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intelligence.xml" ContentType="application/vnd.ms-office.intelligence+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AA178" w14:textId="0C5917CC" w:rsidR="00EB245A" w:rsidRDefault="006021EE" w:rsidP="006021EE">
      <w:pPr>
        <w:pStyle w:val="Pagedecouverture"/>
        <w:rPr>
          <w:noProof/>
        </w:rPr>
      </w:pPr>
      <w:bookmarkStart w:id="0" w:name="LW_BM_COVERPAGE"/>
      <w:r>
        <w:rPr>
          <w:noProof/>
        </w:rPr>
        <w:pict w14:anchorId="6F0E61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C58BE509-2706-44F9-A6E7-9C39F844D953" style="width:455.25pt;height:410.25pt">
            <v:imagedata r:id="rId12" o:title=""/>
          </v:shape>
        </w:pict>
      </w:r>
    </w:p>
    <w:bookmarkEnd w:id="0"/>
    <w:p w14:paraId="18C8653F" w14:textId="77777777" w:rsidR="00EB245A" w:rsidRDefault="00EB245A">
      <w:pPr>
        <w:rPr>
          <w:noProof/>
        </w:rPr>
        <w:sectPr w:rsidR="00EB245A" w:rsidSect="006021EE">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299"/>
        </w:sectPr>
      </w:pPr>
    </w:p>
    <w:p w14:paraId="5C6677AA" w14:textId="118517B2" w:rsidR="00EB245A" w:rsidRDefault="006021EE">
      <w:pPr>
        <w:pStyle w:val="P68B1DB1-Normal1"/>
        <w:jc w:val="center"/>
        <w:rPr>
          <w:noProof/>
          <w:color w:val="000000"/>
        </w:rPr>
      </w:pPr>
      <w:bookmarkStart w:id="1" w:name="_GoBack"/>
      <w:bookmarkEnd w:id="1"/>
      <w:r>
        <w:rPr>
          <w:noProof/>
        </w:rPr>
        <w:lastRenderedPageBreak/>
        <w:t>ANHANG</w:t>
      </w:r>
    </w:p>
    <w:p w14:paraId="21F95161" w14:textId="6F6A4F05" w:rsidR="00EB245A" w:rsidRDefault="006021EE">
      <w:pPr>
        <w:pStyle w:val="P68B1DB1-Normal1"/>
        <w:rPr>
          <w:rFonts w:eastAsia="Times New Roman" w:cs="Times New Roman"/>
          <w:noProof/>
          <w:color w:val="000000"/>
        </w:rPr>
      </w:pPr>
      <w:r>
        <w:rPr>
          <w:noProof/>
        </w:rPr>
        <w:t>ABSCHNITT 1: REFORMEN UND INVESTITIONEN IM RAHMEN DES AUFBAU- UND RESILIENZPLANS</w:t>
      </w:r>
    </w:p>
    <w:p w14:paraId="02EB378F" w14:textId="77777777" w:rsidR="00EB245A" w:rsidRDefault="00EB245A">
      <w:pPr>
        <w:rPr>
          <w:rFonts w:ascii="Times New Roman" w:eastAsia="Times New Roman" w:hAnsi="Times New Roman" w:cs="Times New Roman"/>
          <w:noProof/>
          <w:color w:val="000000"/>
          <w:sz w:val="24"/>
        </w:rPr>
      </w:pPr>
    </w:p>
    <w:p w14:paraId="7965D8B9" w14:textId="4B4A7C9A" w:rsidR="00EB245A" w:rsidRDefault="006021EE">
      <w:pPr>
        <w:rPr>
          <w:rFonts w:ascii="Times New Roman" w:eastAsia="Times New Roman" w:hAnsi="Times New Roman" w:cs="Times New Roman"/>
          <w:b/>
          <w:noProof/>
          <w:color w:val="000000"/>
          <w:sz w:val="24"/>
        </w:rPr>
      </w:pPr>
      <w:r>
        <w:rPr>
          <w:rFonts w:ascii="Times New Roman" w:hAnsi="Times New Roman"/>
          <w:b/>
          <w:noProof/>
          <w:color w:val="000000"/>
          <w:sz w:val="24"/>
        </w:rPr>
        <w:t>1.</w:t>
      </w:r>
      <w:r>
        <w:rPr>
          <w:noProof/>
        </w:rPr>
        <w:tab/>
      </w:r>
      <w:r>
        <w:rPr>
          <w:rFonts w:ascii="Times New Roman" w:hAnsi="Times New Roman"/>
          <w:b/>
          <w:noProof/>
          <w:color w:val="000000"/>
          <w:sz w:val="24"/>
        </w:rPr>
        <w:t xml:space="preserve">Beschreibung der Reformen und Investitionen </w:t>
      </w:r>
    </w:p>
    <w:p w14:paraId="1E885770" w14:textId="77777777" w:rsidR="00EB245A" w:rsidRDefault="006021EE">
      <w:pPr>
        <w:pStyle w:val="P68B1DB1-Text12"/>
        <w:ind w:left="0"/>
        <w:rPr>
          <w:rFonts w:eastAsia="Times New Roman"/>
          <w:noProof/>
        </w:rPr>
      </w:pPr>
      <w:r>
        <w:rPr>
          <w:noProof/>
        </w:rPr>
        <w:t xml:space="preserve">A. KOMPONENTE A: </w:t>
      </w:r>
      <w:r>
        <w:rPr>
          <w:noProof/>
        </w:rPr>
        <w:t>„RESILIENZ UND WETTBEWERBSFÄHIGKEIT DER WIRTSCHAFT“</w:t>
      </w:r>
    </w:p>
    <w:p w14:paraId="619839D3" w14:textId="7C2B7886" w:rsidR="00EB245A" w:rsidRDefault="006021EE">
      <w:pPr>
        <w:pStyle w:val="Text1"/>
        <w:ind w:left="0"/>
        <w:rPr>
          <w:noProof/>
          <w:color w:val="000000"/>
        </w:rPr>
      </w:pPr>
      <w:bookmarkStart w:id="2" w:name="_heading=h.30j0zll"/>
      <w:bookmarkEnd w:id="2"/>
      <w:r>
        <w:rPr>
          <w:noProof/>
        </w:rPr>
        <w:t>Diese Komponente des polnischen Aufbau- und Resilienzplans trägt zur Bewältigung mehrerer Herausforderungen im Zusammenhang mit der Resilienz und Wettbewerbsfähigkeit der polnischen Wirtschaft bei. Die er</w:t>
      </w:r>
      <w:r>
        <w:rPr>
          <w:noProof/>
        </w:rPr>
        <w:t>ste übergeordnete Herausforderung steht im Zusammenhang mit dem Investitionsklima und den Rahmenbedingungen für Unternehmen, die in den letzten Jahren durch regulatorische Mängel, aufwendige administrative Anforderungen und Verfahren und häufige Änderungen</w:t>
      </w:r>
      <w:r>
        <w:rPr>
          <w:noProof/>
        </w:rPr>
        <w:t xml:space="preserve"> wichtiger Gesetze behindert wurden. Zweitens muss Polen seine Innovationskapazität noch ausbauen, um sein Wachstumsmodell von der Kostenwettbewerbsfähigkeit hin zu Nachhaltigkeit und Tätigkeiten mit höherem Mehrwert zu verbessern. Die Gesamtausgaben für F</w:t>
      </w:r>
      <w:r>
        <w:rPr>
          <w:noProof/>
        </w:rPr>
        <w:t>orschung und Entwicklung (FuE) sind mit 1,4 % des BIP gegenüber 2,3 % in der EU im Jahr 2020 nach wie vor niedrig. Obwohl sich die FuE-Ausgaben der Unternehmen in den letzten zehn Jahren mehr als vervierfacht haben, bleiben sie unter dem EU-Durchschnitt. D</w:t>
      </w:r>
      <w:r>
        <w:rPr>
          <w:noProof/>
        </w:rPr>
        <w:t>rittens erfordern der digitale Wandel und andere wirtschaftliche Veränderungen Anstrengungen zur Verbesserung der Arbeitsmarktrelevanz von Kompetenzen und zur Modernisierung der beruflichen Aus- und Weiterbildung. Viertens sind Frauen, ältere Menschen, Men</w:t>
      </w:r>
      <w:r>
        <w:rPr>
          <w:noProof/>
        </w:rPr>
        <w:t>schen mit Behinderungen und Geringqualifizierte deutlich weniger am Arbeitsmarkt beteiligt als in vielen anderen EU-Ländern. Dies ist auf mehrere Faktoren zurückzuführen, darunter ein begrenzter Zugang zu Kinderbetreuung und Langzeitpflege sowie ein niedri</w:t>
      </w:r>
      <w:r>
        <w:rPr>
          <w:noProof/>
        </w:rPr>
        <w:t>ges gesetzliches und tatsächliches Renteneintrittsalter. Darüber hinaus wird die Arbeitsmarktflexibilität durch besondere Rentensysteme und mangelnde Flexibilität bei den Arbeitszeitregelungen eingeschränkt. Schließlich ist der Anteil der befristeten Arbei</w:t>
      </w:r>
      <w:r>
        <w:rPr>
          <w:noProof/>
        </w:rPr>
        <w:t>tsverträge nach wie vor hoch, auch wenn er kontinuierlich zurückgegangen ist.</w:t>
      </w:r>
    </w:p>
    <w:p w14:paraId="17F46405" w14:textId="1BE4CF72" w:rsidR="00EB245A" w:rsidRDefault="006021EE">
      <w:pPr>
        <w:pStyle w:val="P68B1DB1-Text13"/>
        <w:ind w:left="0"/>
        <w:rPr>
          <w:rFonts w:eastAsia="Times New Roman"/>
          <w:noProof/>
        </w:rPr>
      </w:pPr>
      <w:r>
        <w:rPr>
          <w:noProof/>
        </w:rPr>
        <w:t>Hauptziel der Komponente ist es, Investitionen anzukurbeln, die Produktivität zu steigern und die Wettbewerbsfähigkeit und Widerstandsfähigkeit der polnischen Wirtschaft zu stärk</w:t>
      </w:r>
      <w:r>
        <w:rPr>
          <w:noProof/>
        </w:rPr>
        <w:t xml:space="preserve">en. Zu diesem Zweck zielt die Komponente auf Folgendes ab: I) die Tragfähigkeit und Angemessenheit des haushaltspolitischen Rahmens zu stärken; II) Verringerung des Regelungs- und Verwaltungsaufwands für Unternehmen und Unternehmer; III) Unterstützung des </w:t>
      </w:r>
      <w:r>
        <w:rPr>
          <w:noProof/>
        </w:rPr>
        <w:t>digitalen und ökologischen Wandels und der Resilienz von Schlüsselsektoren der Wirtschaft, einschließlich des Agrar- und Lebensmittelsektors; IV) Verbesserung des Innovationsökosystems; V) Förderung der Arbeitsmarktrelevanz von Kompetenzen und Verbesserung</w:t>
      </w:r>
      <w:r>
        <w:rPr>
          <w:noProof/>
        </w:rPr>
        <w:t xml:space="preserve"> des lebenslangen Lernens; VI) Erhöhung der Erwerbsbeteiligung und Anhebung des tatsächlichen Renteneintrittsalters; VII) Verbesserung des Zugangs zu und der Qualität von Kinderbetreuung für Kinder unter drei Jahren und viii) Steigerung der Effizienz der ö</w:t>
      </w:r>
      <w:r>
        <w:rPr>
          <w:noProof/>
        </w:rPr>
        <w:t>ffentlichen Arbeitsverwaltungen.</w:t>
      </w:r>
    </w:p>
    <w:p w14:paraId="575CBA66" w14:textId="7723088F" w:rsidR="00EB245A" w:rsidRDefault="006021EE">
      <w:pPr>
        <w:pStyle w:val="P68B1DB1-Text13"/>
        <w:ind w:left="0"/>
        <w:rPr>
          <w:noProof/>
        </w:rPr>
      </w:pPr>
      <w:r>
        <w:rPr>
          <w:noProof/>
        </w:rPr>
        <w:t xml:space="preserve">Die Komponente betrifft die folgenden länderspezifischen Empfehlungen für Polen, die 2019 und 2020 im Rahmen des Europäischen Semesters abgegeben wurden, insbesondere: Länderspezifische Empfehlungen 3, 2019 und 4, 2020 zur </w:t>
      </w:r>
      <w:r>
        <w:rPr>
          <w:noProof/>
        </w:rPr>
        <w:t>Verbesserung des Investitionsklimas und des Regelungsumfelds, insbesondere durch Stärkung der Rolle der öffentlichen Konsultationen im Gesetzgebungsverfahren. Die Komponente befasst sich weiter mit Folgendem: Länderspezifische Empfehlungen 1, 2019 und 1, 2</w:t>
      </w:r>
      <w:r>
        <w:rPr>
          <w:noProof/>
        </w:rPr>
        <w:t>020 zur Verbesserung der Effizienz der öffentlichen Ausgaben und des Haushaltsverfahrens sowie zur Unterstützung der wirtschaftlichen Erholung durch öffentliche Maßnahmen; Länderspezifische Empfehlung 2 von 2019 zur Angemessenheit künftiger Rentenleistunge</w:t>
      </w:r>
      <w:r>
        <w:rPr>
          <w:noProof/>
        </w:rPr>
        <w:t>n und zur Tragfähigkeit des Rentensystems, insbesondere durch Maßnahmen zur Anhebung des tatsächlichen Renteneintrittsalters und zur Ergreifung von Maßnahmen zur Erhöhung der Erwerbsbeteiligung, unter anderem durch Verbesserung des Zugangs zu Kinderbetreuu</w:t>
      </w:r>
      <w:r>
        <w:rPr>
          <w:noProof/>
        </w:rPr>
        <w:t>ng und Langzeitpflege, und Beseitigung verbleibender Hindernisse für dauerhaftere Beschäftigungsformen und schließlich durch Maßnahmen zur Erhöhung der Arbeitsmarktrelevanz von Kompetenzen und zur Verbesserung des lebenslangen Lernens; Länderspezifische Em</w:t>
      </w:r>
      <w:r>
        <w:rPr>
          <w:noProof/>
        </w:rPr>
        <w:t>pfehlung 3, 2019 durch Stärkung der Innovationskapazität der Wirtschaft, unter anderem durch Unterstützung von Forschungseinrichtungen und ihrer engeren Zusammenarbeit mit der Wirtschaft.</w:t>
      </w:r>
    </w:p>
    <w:p w14:paraId="01263C37" w14:textId="2832C690" w:rsidR="00EB245A" w:rsidRDefault="00EB245A">
      <w:pPr>
        <w:tabs>
          <w:tab w:val="left" w:pos="3731"/>
        </w:tabs>
        <w:rPr>
          <w:noProof/>
        </w:rPr>
      </w:pPr>
    </w:p>
    <w:p w14:paraId="6D7D8B72" w14:textId="3D18C9FF" w:rsidR="00EB245A" w:rsidRDefault="006021EE">
      <w:pPr>
        <w:pStyle w:val="P68B1DB1-Text13"/>
        <w:ind w:left="0"/>
        <w:rPr>
          <w:rFonts w:eastAsia="Times New Roman"/>
          <w:noProof/>
          <w:color w:val="000000"/>
        </w:rPr>
      </w:pPr>
      <w:r>
        <w:rPr>
          <w:noProof/>
        </w:rPr>
        <w:t>Es ist davon auszugehen, dass keine Maßnahme in dieser Komponente d</w:t>
      </w:r>
      <w:r>
        <w:rPr>
          <w:noProof/>
        </w:rPr>
        <w:t>ie Umweltziele im Sinne des Artikels 17 der Verordnung (EU) 2020/852 erheblich beeinträchtigt, wobei die Beschreibung der im Aufbau- und Resilienzplan festgelegten Maßnahmen und Abhilfemaßnahmen im Einklang mit den Technischen Leitlinien für die Vermeidung</w:t>
      </w:r>
      <w:r>
        <w:rPr>
          <w:noProof/>
        </w:rPr>
        <w:t xml:space="preserve"> erheblicher Beeinträchtigungen (DNSH) (2021/C 58/01) zu berücksichtigen ist. </w:t>
      </w:r>
    </w:p>
    <w:p w14:paraId="6A05A809"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rPr>
      </w:pPr>
    </w:p>
    <w:p w14:paraId="047A2FE4" w14:textId="77777777" w:rsidR="00EB245A" w:rsidRDefault="006021EE">
      <w:pPr>
        <w:pStyle w:val="Text1"/>
        <w:ind w:left="0"/>
        <w:rPr>
          <w:rFonts w:eastAsia="Times New Roman"/>
          <w:b/>
          <w:noProof/>
          <w:color w:val="000000"/>
        </w:rPr>
      </w:pPr>
      <w:r>
        <w:rPr>
          <w:b/>
          <w:noProof/>
          <w:color w:val="000000"/>
        </w:rPr>
        <w:t xml:space="preserve">A.1. </w:t>
      </w:r>
      <w:r>
        <w:rPr>
          <w:noProof/>
        </w:rPr>
        <w:t xml:space="preserve"> </w:t>
      </w:r>
      <w:r>
        <w:rPr>
          <w:b/>
          <w:noProof/>
          <w:color w:val="000000"/>
        </w:rPr>
        <w:t>Beschreibung der Reformen und Investitionen für nicht rückzahlbare finanzielle Unterstützung</w:t>
      </w:r>
    </w:p>
    <w:p w14:paraId="6FFA00B4"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rPr>
      </w:pPr>
    </w:p>
    <w:p w14:paraId="0384F559" w14:textId="623CFB91" w:rsidR="00EB245A" w:rsidRDefault="006021EE">
      <w:pPr>
        <w:pStyle w:val="P68B1DB1-Text14"/>
        <w:ind w:left="0"/>
        <w:rPr>
          <w:rFonts w:eastAsia="Times New Roman"/>
          <w:noProof/>
          <w:color w:val="000000"/>
        </w:rPr>
      </w:pPr>
      <w:r>
        <w:rPr>
          <w:noProof/>
        </w:rPr>
        <w:t>Teilkomponente</w:t>
      </w:r>
      <w:r>
        <w:rPr>
          <w:noProof/>
          <w:color w:val="000000"/>
        </w:rPr>
        <w:t xml:space="preserve">A1 – Verringerung der Auswirkungen von COVID-19 auf </w:t>
      </w:r>
      <w:r>
        <w:rPr>
          <w:noProof/>
          <w:color w:val="000000"/>
        </w:rPr>
        <w:t>Unternehmen</w:t>
      </w:r>
    </w:p>
    <w:p w14:paraId="588BD50C"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rPr>
      </w:pPr>
    </w:p>
    <w:p w14:paraId="7BEBEF5D" w14:textId="77777777" w:rsidR="00EB245A" w:rsidRDefault="006021EE">
      <w:pPr>
        <w:pStyle w:val="P68B1DB1-Text15"/>
        <w:ind w:left="0"/>
        <w:rPr>
          <w:rFonts w:eastAsia="Times New Roman"/>
          <w:noProof/>
        </w:rPr>
      </w:pPr>
      <w:r>
        <w:rPr>
          <w:noProof/>
        </w:rPr>
        <w:t>A1.1 Reform des haushaltspolitischen Rahmens</w:t>
      </w:r>
    </w:p>
    <w:p w14:paraId="57B92EAC" w14:textId="06E9162B" w:rsidR="00EB245A" w:rsidRDefault="006021EE">
      <w:pPr>
        <w:pStyle w:val="P68B1DB1-Text13"/>
        <w:ind w:left="0"/>
        <w:rPr>
          <w:rFonts w:eastAsia="Times New Roman"/>
          <w:noProof/>
          <w:color w:val="000000"/>
        </w:rPr>
      </w:pPr>
      <w:r>
        <w:rPr>
          <w:noProof/>
        </w:rPr>
        <w:t>Das übergeordnete Ziel der Reform besteht darin, die Transparenz und Effizienz der öffentlichen Ausgaben zu erhöhen. Zu diesem Zweck zielt die Reform darauf ab, I) Ermöglichung einer effizienteren V</w:t>
      </w:r>
      <w:r>
        <w:rPr>
          <w:noProof/>
        </w:rPr>
        <w:t>erwaltung öffentlicher Mittel; II) Stärkung der Rechenschaftspflicht bei der Verwaltung öffentlicher Mittel; III) Verbesserung der Tragfähigkeit der öffentlichen Finanzen und Verhinderung eines nicht nachhaltigen Anstiegs der Ausgaben.</w:t>
      </w:r>
    </w:p>
    <w:p w14:paraId="28775C3C" w14:textId="6ECC99FA" w:rsidR="00EB245A" w:rsidRDefault="006021EE">
      <w:pPr>
        <w:pStyle w:val="P68B1DB1-Text13"/>
        <w:ind w:left="0"/>
        <w:rPr>
          <w:rFonts w:eastAsia="Times New Roman"/>
          <w:noProof/>
          <w:color w:val="000000"/>
        </w:rPr>
      </w:pPr>
      <w:r>
        <w:rPr>
          <w:noProof/>
        </w:rPr>
        <w:t>Die Reform besteht a</w:t>
      </w:r>
      <w:r>
        <w:rPr>
          <w:noProof/>
        </w:rPr>
        <w:t>us der Umsetzung zweier legislativer Maßnahmen. Erstens wird das Gesetz über die öffentlichen Finanzen geändert, indem ein neues Klassifizierungssystem, ein neues Modell der Haushaltsführung und ein neu definierter mittelfristiger Haushaltsrahmen aufgenomm</w:t>
      </w:r>
      <w:r>
        <w:rPr>
          <w:noProof/>
        </w:rPr>
        <w:t>en werden. Infolge der Änderung wird ein neues Haushaltssystem geschaffen. Zweitens wird das Gesetz über die öffentlichen Finanzen dahingehend geändert, dass der Anwendungsbereich der Stabilisierung der Ausgabenregel auf weitere Einheiten des Staates, insb</w:t>
      </w:r>
      <w:r>
        <w:rPr>
          <w:noProof/>
        </w:rPr>
        <w:t xml:space="preserve">esondere Zweckfonds, ausgeweitet wird. </w:t>
      </w:r>
    </w:p>
    <w:p w14:paraId="715073A6" w14:textId="77777777" w:rsidR="00EB245A" w:rsidRDefault="006021EE">
      <w:pPr>
        <w:pStyle w:val="P68B1DB1-Text13"/>
        <w:ind w:left="0"/>
        <w:rPr>
          <w:rFonts w:eastAsia="Times New Roman"/>
          <w:noProof/>
          <w:color w:val="000000"/>
        </w:rPr>
      </w:pPr>
      <w:r>
        <w:rPr>
          <w:noProof/>
        </w:rPr>
        <w:t xml:space="preserve">Die Durchführung der Reform wird bis zum 31. März 2025 abgeschlossen. </w:t>
      </w:r>
    </w:p>
    <w:p w14:paraId="5A39BBE3"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u w:val="single"/>
        </w:rPr>
      </w:pPr>
    </w:p>
    <w:p w14:paraId="0F455941" w14:textId="31A948B6" w:rsidR="00EB245A" w:rsidRDefault="006021EE">
      <w:pPr>
        <w:pStyle w:val="P68B1DB1-Text15"/>
        <w:ind w:left="0"/>
        <w:rPr>
          <w:rFonts w:eastAsia="Times New Roman"/>
          <w:noProof/>
        </w:rPr>
      </w:pPr>
      <w:r>
        <w:rPr>
          <w:noProof/>
        </w:rPr>
        <w:t>A1.2 Weitere Verringerung des Regelungs- und Verwaltungsaufwands</w:t>
      </w:r>
    </w:p>
    <w:p w14:paraId="49365BFF" w14:textId="10954A76" w:rsidR="00EB245A" w:rsidRDefault="006021EE">
      <w:pPr>
        <w:pStyle w:val="P68B1DB1-Text13"/>
        <w:ind w:left="0"/>
        <w:rPr>
          <w:rFonts w:eastAsia="Times New Roman"/>
          <w:noProof/>
          <w:color w:val="000000"/>
        </w:rPr>
      </w:pPr>
      <w:r>
        <w:rPr>
          <w:noProof/>
        </w:rPr>
        <w:t>Das übergeordnete Ziel der Reform besteht darin, den Verwaltungs- und Verwaltun</w:t>
      </w:r>
      <w:r>
        <w:rPr>
          <w:noProof/>
        </w:rPr>
        <w:t>gsaufwand für Unternehmen in Polen zu verringern und private Investitionen, insbesondere in KMU, zu fördern. Zu diesem Zweck zielt die Reform darauf ab, i) die Verwaltungs- und Gerichtsverfahren zu vereinfachen, ii) die rechtlichen Anforderungen für Untern</w:t>
      </w:r>
      <w:r>
        <w:rPr>
          <w:noProof/>
        </w:rPr>
        <w:t xml:space="preserve">ehmen und Unternehmer so gering wie möglich zu halten und iii) die Entscheidungsfindung zu beschleunigen. </w:t>
      </w:r>
    </w:p>
    <w:p w14:paraId="7523E4AF" w14:textId="38EB7365" w:rsidR="00EB245A" w:rsidRDefault="006021EE">
      <w:pPr>
        <w:pStyle w:val="P68B1DB1-Text13"/>
        <w:ind w:left="0"/>
        <w:rPr>
          <w:rFonts w:eastAsia="Times New Roman"/>
          <w:noProof/>
          <w:color w:val="000000"/>
        </w:rPr>
      </w:pPr>
      <w:r>
        <w:rPr>
          <w:noProof/>
        </w:rPr>
        <w:t>Die Reform besteht aus einem Legislativpaket. Mit dem „Rechtsschild“</w:t>
      </w:r>
      <w:r>
        <w:rPr>
          <w:i/>
          <w:noProof/>
        </w:rPr>
        <w:t>(Tarcza</w:t>
      </w:r>
      <w:r>
        <w:rPr>
          <w:noProof/>
        </w:rPr>
        <w:t>prawna) werden folgende Rechtsvorschriften eingeführt: I) elektronische Ve</w:t>
      </w:r>
      <w:r>
        <w:rPr>
          <w:noProof/>
        </w:rPr>
        <w:t>rfahren zum vorherrschenden Kanal für die Bearbeitung von mindestens acht administrativen und rechtlichen Verfahren zu machen, einschließlich der Einreichung von Erklärungen von Reiseveranstaltern und Unternehmern beim Versicherungsgarantiefonds; II) Verei</w:t>
      </w:r>
      <w:r>
        <w:rPr>
          <w:noProof/>
        </w:rPr>
        <w:t>nfachung der Verwaltungsverfahren, insbesondere in Bezug auf die Berufe der Seeleute und den Handel mit alkoholischen Getränken; III) Verringerung der Anwendung des zweistufigen Verfahrens in mindestens zehn Verfahren, insbesondere im Zusammenhang mit geol</w:t>
      </w:r>
      <w:r>
        <w:rPr>
          <w:noProof/>
        </w:rPr>
        <w:t>ogischen Ressourcen; IV) die Anzahl der Dokumente und Formalitäten zu begrenzen, die in Verwaltungsverfahren, z. B. bei Raumordnungs- und Bauprozessen, erforderlich sind; und v) Verlängerung der Fristen für bestimmte Verwaltungsverfahren, z. B. für die Zul</w:t>
      </w:r>
      <w:r>
        <w:rPr>
          <w:noProof/>
        </w:rPr>
        <w:t xml:space="preserve">assung eines in einem anderen Mitgliedstaat gekauften Fahrzeugs. </w:t>
      </w:r>
    </w:p>
    <w:p w14:paraId="1EE72829" w14:textId="7AA085D5" w:rsidR="00EB245A" w:rsidRDefault="006021EE">
      <w:pPr>
        <w:pStyle w:val="P68B1DB1-Text13"/>
        <w:ind w:left="0"/>
        <w:rPr>
          <w:rFonts w:eastAsia="Times New Roman"/>
          <w:noProof/>
          <w:color w:val="000000"/>
        </w:rPr>
      </w:pPr>
      <w:r>
        <w:rPr>
          <w:noProof/>
        </w:rPr>
        <w:t>Die Durchführung der Reform muss bis zum 30. Juni 2023 abgeschlossen sein.</w:t>
      </w:r>
    </w:p>
    <w:p w14:paraId="5CBFD537"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u w:val="single"/>
        </w:rPr>
      </w:pPr>
    </w:p>
    <w:p w14:paraId="4F865CFD" w14:textId="77777777" w:rsidR="00EB245A" w:rsidRDefault="006021EE">
      <w:pPr>
        <w:pStyle w:val="P68B1DB1-Text15"/>
        <w:keepNext/>
        <w:ind w:left="0"/>
        <w:rPr>
          <w:rFonts w:eastAsia="Times New Roman"/>
          <w:noProof/>
        </w:rPr>
      </w:pPr>
      <w:r>
        <w:rPr>
          <w:noProof/>
        </w:rPr>
        <w:t>A1.2.1 Investitionen von Unternehmen in Produkte, Dienstleistungen und Kompetenzen von Arbeitnehmern und Mitarbeit</w:t>
      </w:r>
      <w:r>
        <w:rPr>
          <w:noProof/>
        </w:rPr>
        <w:t xml:space="preserve">ern im Zusammenhang mit der Diversifizierung von Tätigkeiten </w:t>
      </w:r>
    </w:p>
    <w:p w14:paraId="76CDE40A" w14:textId="72A33D6A" w:rsidR="00EB245A" w:rsidRDefault="006021EE">
      <w:pPr>
        <w:pStyle w:val="P68B1DB1-Text13"/>
        <w:ind w:left="0"/>
        <w:rPr>
          <w:rFonts w:eastAsia="Times New Roman"/>
          <w:noProof/>
          <w:color w:val="000000"/>
        </w:rPr>
      </w:pPr>
      <w:r>
        <w:rPr>
          <w:noProof/>
        </w:rPr>
        <w:t>Das übergeordnete Ziel dieser Investition besteht darin, die Resilienz von KMU und Kleinstunternehmen in den von der COVID-19-Pandemie am stärksten betroffenen Sektoren in Polen zu fördern, insb</w:t>
      </w:r>
      <w:r>
        <w:rPr>
          <w:noProof/>
        </w:rPr>
        <w:t xml:space="preserve">esondere in den Sektoren HoReCa, Tourismus und Kultur. Zu diesem Zweck zielen die Investitionen darauf ab, die Ausweitung und Diversifizierung der Tätigkeiten von KMU und Kleinstunternehmen in diesen Sektoren zu fördern. </w:t>
      </w:r>
    </w:p>
    <w:p w14:paraId="6E1087DA" w14:textId="67B98341" w:rsidR="00EB245A" w:rsidRDefault="006021EE">
      <w:pPr>
        <w:pStyle w:val="P68B1DB1-Text13"/>
        <w:ind w:left="0"/>
        <w:rPr>
          <w:rFonts w:eastAsia="Times New Roman"/>
          <w:noProof/>
          <w:color w:val="000000"/>
        </w:rPr>
      </w:pPr>
      <w:r>
        <w:rPr>
          <w:noProof/>
        </w:rPr>
        <w:t>Die Investition besteht in der Dur</w:t>
      </w:r>
      <w:r>
        <w:rPr>
          <w:noProof/>
        </w:rPr>
        <w:t>chführung der folgenden drei Arten von Tätigkeiten:</w:t>
      </w:r>
    </w:p>
    <w:p w14:paraId="13AEBF05" w14:textId="2597CBE3" w:rsidR="00EB245A" w:rsidRDefault="006021EE">
      <w:pPr>
        <w:pStyle w:val="P68B1DB1-Normal06"/>
        <w:numPr>
          <w:ilvl w:val="0"/>
          <w:numId w:val="13"/>
        </w:numPr>
        <w:pBdr>
          <w:top w:val="nil"/>
          <w:left w:val="nil"/>
          <w:bottom w:val="nil"/>
          <w:right w:val="nil"/>
          <w:between w:val="nil"/>
        </w:pBdr>
        <w:spacing w:before="120" w:after="120" w:line="240" w:lineRule="auto"/>
        <w:jc w:val="both"/>
        <w:rPr>
          <w:rFonts w:eastAsia="Times New Roman" w:cs="Times New Roman"/>
          <w:noProof/>
          <w:color w:val="000000"/>
        </w:rPr>
      </w:pPr>
      <w:r>
        <w:rPr>
          <w:noProof/>
        </w:rPr>
        <w:t xml:space="preserve">Investitionen in die Gestaltung und Herstellung ihrer Waren und Dienstleistungen, z. B.: I) Erwerb von Maschinen und Ausrüstungen, die für die Markteinführung neuer Produkte/Dienstleistungen erforderlich </w:t>
      </w:r>
      <w:r>
        <w:rPr>
          <w:noProof/>
        </w:rPr>
        <w:t>sind; II) Bauarbeiten, einschließlich des Baus neuer Produktionslinien; III) Investitionen im Zusammenhang mit dem ökologischen Wandel, insbesondere zur Förderung der Abfallvermeidung durch Konzeption, des Recyclings/der Wiederverwendung von Abfällen und d</w:t>
      </w:r>
      <w:r>
        <w:rPr>
          <w:noProof/>
        </w:rPr>
        <w:t xml:space="preserve">er Umsetzung von Lösungen für erneuerbare Energien; </w:t>
      </w:r>
    </w:p>
    <w:p w14:paraId="759FE377" w14:textId="77777777" w:rsidR="00EB245A" w:rsidRDefault="006021EE">
      <w:pPr>
        <w:pStyle w:val="P68B1DB1-Normal06"/>
        <w:numPr>
          <w:ilvl w:val="0"/>
          <w:numId w:val="12"/>
        </w:numPr>
        <w:pBdr>
          <w:top w:val="nil"/>
          <w:left w:val="nil"/>
          <w:bottom w:val="nil"/>
          <w:right w:val="nil"/>
          <w:between w:val="nil"/>
        </w:pBdr>
        <w:spacing w:before="120" w:after="120" w:line="240" w:lineRule="auto"/>
        <w:jc w:val="both"/>
        <w:rPr>
          <w:rFonts w:eastAsia="Times New Roman" w:cs="Times New Roman"/>
          <w:noProof/>
          <w:color w:val="000000"/>
        </w:rPr>
      </w:pPr>
      <w:r>
        <w:rPr>
          <w:noProof/>
        </w:rPr>
        <w:t xml:space="preserve">Beratungsdienste für die Durchführung von Projekten; </w:t>
      </w:r>
    </w:p>
    <w:p w14:paraId="3E6CC8F5" w14:textId="77777777" w:rsidR="00EB245A" w:rsidRDefault="006021EE">
      <w:pPr>
        <w:pStyle w:val="P68B1DB1-Normal06"/>
        <w:numPr>
          <w:ilvl w:val="0"/>
          <w:numId w:val="11"/>
        </w:numPr>
        <w:pBdr>
          <w:top w:val="nil"/>
          <w:left w:val="nil"/>
          <w:bottom w:val="nil"/>
          <w:right w:val="nil"/>
          <w:between w:val="nil"/>
        </w:pBdr>
        <w:spacing w:before="120" w:after="120" w:line="240" w:lineRule="auto"/>
        <w:jc w:val="both"/>
        <w:rPr>
          <w:rFonts w:eastAsia="Times New Roman" w:cs="Times New Roman"/>
          <w:noProof/>
          <w:color w:val="000000"/>
        </w:rPr>
      </w:pPr>
      <w:r>
        <w:rPr>
          <w:noProof/>
        </w:rPr>
        <w:t>Weiterqualifizierung/Umqualifizierung von Beschäftigten durch Schulung in den Bereichen neue IT-Lösungen, neue Technologien, Kundenbedarfsanalyse, In</w:t>
      </w:r>
      <w:r>
        <w:rPr>
          <w:noProof/>
        </w:rPr>
        <w:t>formations-/Datenmanagement sowie Risikomanagement.</w:t>
      </w:r>
    </w:p>
    <w:p w14:paraId="357D57F6" w14:textId="39EF5AD9" w:rsidR="00EB245A" w:rsidRDefault="006021EE">
      <w:pPr>
        <w:pStyle w:val="P68B1DB1-Text13"/>
        <w:ind w:left="0"/>
        <w:rPr>
          <w:rFonts w:eastAsia="Times New Roman"/>
          <w:noProof/>
        </w:rPr>
      </w:pPr>
      <w:r>
        <w:rPr>
          <w:noProof/>
        </w:rPr>
        <w:t xml:space="preserve">Die Maßnahme gewährleistet eine ausgewogene Durchführung aller beschriebenen Arten von Projekten, wobei sowohl die besonderen Bedürfnisse der Begünstigten als auch die Ziele der ARF-Verordnung zu </w:t>
      </w:r>
      <w:r>
        <w:rPr>
          <w:noProof/>
        </w:rPr>
        <w:t>berücksichtigen sind.</w:t>
      </w:r>
    </w:p>
    <w:p w14:paraId="6971A52E" w14:textId="73018872" w:rsidR="00EB245A" w:rsidRDefault="006021EE">
      <w:pPr>
        <w:pStyle w:val="P68B1DB1-Text13"/>
        <w:ind w:left="0"/>
        <w:rPr>
          <w:rFonts w:eastAsia="Times New Roman"/>
          <w:noProof/>
          <w:color w:val="000000"/>
        </w:rPr>
      </w:pPr>
      <w:r>
        <w:rPr>
          <w:noProof/>
        </w:rPr>
        <w:t xml:space="preserve">Die Durchführung der Investition muss bis zum 30. Juni 2026 abgeschlossen sein. </w:t>
      </w:r>
    </w:p>
    <w:p w14:paraId="0D0B940D" w14:textId="39082CD7" w:rsidR="00EB245A" w:rsidRDefault="00EB245A">
      <w:pPr>
        <w:pStyle w:val="Text1"/>
        <w:ind w:left="0"/>
        <w:rPr>
          <w:rFonts w:eastAsia="Times New Roman"/>
          <w:b/>
          <w:noProof/>
          <w:color w:val="000000"/>
          <w:u w:val="single"/>
        </w:rPr>
      </w:pPr>
    </w:p>
    <w:p w14:paraId="0F261F2B" w14:textId="77777777" w:rsidR="00EB245A" w:rsidRDefault="006021EE">
      <w:pPr>
        <w:pStyle w:val="P68B1DB1-Text15"/>
        <w:ind w:left="0"/>
        <w:rPr>
          <w:rFonts w:eastAsia="Times New Roman"/>
          <w:noProof/>
        </w:rPr>
      </w:pPr>
      <w:r>
        <w:rPr>
          <w:noProof/>
        </w:rPr>
        <w:t>A1.3 Reform der Flächennutzungsplanung</w:t>
      </w:r>
    </w:p>
    <w:p w14:paraId="44B8E70C" w14:textId="19E76F89" w:rsidR="00EB245A" w:rsidRDefault="006021EE">
      <w:pPr>
        <w:pStyle w:val="P68B1DB1-Text13"/>
        <w:ind w:left="0"/>
        <w:rPr>
          <w:rFonts w:eastAsia="Times New Roman"/>
          <w:noProof/>
          <w:color w:val="000000"/>
        </w:rPr>
      </w:pPr>
      <w:r>
        <w:rPr>
          <w:noProof/>
        </w:rPr>
        <w:t>Das übergeordnete Ziel der Reform besteht darin, ein stabiles und berechenbares Investitionsklima für den Bausektor zu schaffen und die unkontrollierte Ausbreitung von Gebäuden in stadtnahe Gebiete, insbesondere in den größten Städten, zu bekämpfen. Zu die</w:t>
      </w:r>
      <w:r>
        <w:rPr>
          <w:noProof/>
        </w:rPr>
        <w:t>sem Zweck besteht das Ziel der Reform darin, i) die bestehenden Rechtsvorschriften zu straffen und den Rechtsrahmen für die Flächennutzungsplanung auf kommunaler Ebene zu verbessern, II) transparente und klare Regeln für die Bodenentwicklung auf kommunaler</w:t>
      </w:r>
      <w:r>
        <w:rPr>
          <w:noProof/>
        </w:rPr>
        <w:t xml:space="preserve"> Ebene zu schaffen, insbesondere durch den Zugang zu klaren, digitalen und zuverlässigen Informationen über die Bodenentwicklung in den Gemeinden; III) die Beteiligung von Interessenträgern und Sozialpartnern an der Ausarbeitung kommunaler Allgemeinpläne z</w:t>
      </w:r>
      <w:r>
        <w:rPr>
          <w:noProof/>
        </w:rPr>
        <w:t>u verbessern.</w:t>
      </w:r>
    </w:p>
    <w:p w14:paraId="74E6925F" w14:textId="0970C3A5" w:rsidR="00EB245A" w:rsidRDefault="006021EE">
      <w:pPr>
        <w:pStyle w:val="P68B1DB1-Text13"/>
        <w:ind w:left="0"/>
        <w:rPr>
          <w:rFonts w:eastAsia="Times New Roman"/>
          <w:noProof/>
          <w:color w:val="000000"/>
        </w:rPr>
      </w:pPr>
      <w:r>
        <w:rPr>
          <w:noProof/>
        </w:rPr>
        <w:t>Die Reform besteht in der Verabschiedung eines neuen Raumordnungsgesetzes. Das Gesetz I) eine Verpflichtung für alle Gemeinden einzuführen, allgemeine Raumordnungspläne zu erstellen und zu verabschieden, die in lokale Rechtsvorschriften umgew</w:t>
      </w:r>
      <w:r>
        <w:rPr>
          <w:noProof/>
        </w:rPr>
        <w:t>andelt werden sollen, in denen die allgemeinen Bauvorschriften im Gemeindegebiet festgelegt sind; II) eine Anforderung einzuführen, die Investoren verpflichtet, bei der Errichtung neuer Erschließungsprojekte zusätzliche Projekte zugunsten der Gemeinde durc</w:t>
      </w:r>
      <w:r>
        <w:rPr>
          <w:noProof/>
        </w:rPr>
        <w:t>hzuführen, um unter anderem die Entwicklung von Wohnraum ohne ausreichende Dienstleistungen zu verringern; III) Festlegung des Verfahrens, an dem sich die Interessenträger an der Ausarbeitung von Strategien und allgemeinen Plänen in den Gemeinden beteilige</w:t>
      </w:r>
      <w:r>
        <w:rPr>
          <w:noProof/>
        </w:rPr>
        <w:t>n können.</w:t>
      </w:r>
    </w:p>
    <w:p w14:paraId="2D2050E6" w14:textId="77777777" w:rsidR="00EB245A" w:rsidRDefault="006021EE">
      <w:pPr>
        <w:pStyle w:val="P68B1DB1-Text13"/>
        <w:ind w:left="0"/>
        <w:rPr>
          <w:rFonts w:eastAsia="Times New Roman"/>
          <w:noProof/>
        </w:rPr>
      </w:pPr>
      <w:r>
        <w:rPr>
          <w:noProof/>
        </w:rPr>
        <w:t>Die Durchführung der Reform wird bis zum 31. März 2023 abgeschlossen.</w:t>
      </w:r>
    </w:p>
    <w:p w14:paraId="0E27B00A"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rPr>
      </w:pPr>
    </w:p>
    <w:p w14:paraId="16BB8E30" w14:textId="77777777" w:rsidR="00EB245A" w:rsidRDefault="006021EE">
      <w:pPr>
        <w:pStyle w:val="P68B1DB1-Text15"/>
        <w:ind w:left="0"/>
        <w:rPr>
          <w:rFonts w:eastAsia="Times New Roman"/>
          <w:noProof/>
        </w:rPr>
      </w:pPr>
      <w:r>
        <w:rPr>
          <w:noProof/>
        </w:rPr>
        <w:t>A1.3.1 Umsetzung der Raumordnungsreform</w:t>
      </w:r>
    </w:p>
    <w:p w14:paraId="34C0C2E3" w14:textId="047B98DE" w:rsidR="00EB245A" w:rsidRDefault="006021EE">
      <w:pPr>
        <w:pStyle w:val="P68B1DB1-Text13"/>
        <w:ind w:left="0"/>
        <w:rPr>
          <w:rFonts w:eastAsia="Times New Roman"/>
          <w:noProof/>
          <w:color w:val="000000"/>
        </w:rPr>
      </w:pPr>
      <w:r>
        <w:rPr>
          <w:noProof/>
        </w:rPr>
        <w:t>Mit der Investition wird die Umsetzung der neuen Raumplanungsreform gemäß der Reform A.1.3 der Komponente A unterstützt. Die Investitio</w:t>
      </w:r>
      <w:r>
        <w:rPr>
          <w:noProof/>
        </w:rPr>
        <w:t>n dient der Unterstützung der Gemeinden bei der Ausarbeitung allgemeiner Raumordnungspläne mit dem Ziel, dass 80 % der Gemeinden in Polen neue allgemeine Raumordnungspläne annehmen. Die Investition umfasst drei Arten von Maßnahmen: I) technische Unterstütz</w:t>
      </w:r>
      <w:r>
        <w:rPr>
          <w:noProof/>
        </w:rPr>
        <w:t>ung bei der Ausarbeitung allgemeiner Raumordnungspläne; II) Bereitstellung von Lehrmaterial für Gemeinden (z. B. Webinare und Handbücher); III) gezielte Schulungen für Planer, die an der Ausarbeitung allgemeiner Pläne in den Gemeinden beteiligt sind, mit d</w:t>
      </w:r>
      <w:r>
        <w:rPr>
          <w:noProof/>
        </w:rPr>
        <w:t xml:space="preserve">em Ziel, mindestens 1700 Mitarbeiter auszubilden. </w:t>
      </w:r>
    </w:p>
    <w:p w14:paraId="7AE89B59" w14:textId="2AD08AC3" w:rsidR="00EB245A" w:rsidRDefault="006021EE">
      <w:pPr>
        <w:pStyle w:val="P68B1DB1-Text13"/>
        <w:ind w:left="0"/>
        <w:rPr>
          <w:rFonts w:eastAsia="Times New Roman"/>
          <w:noProof/>
          <w:color w:val="000000"/>
        </w:rPr>
      </w:pPr>
      <w:r>
        <w:rPr>
          <w:noProof/>
        </w:rPr>
        <w:t>Die Durchführung der Investition muss bis zum 30. Juni 2026 abgeschlossen sein.</w:t>
      </w:r>
    </w:p>
    <w:p w14:paraId="60061E4C" w14:textId="036FC6B7" w:rsidR="00EB245A" w:rsidRDefault="006021EE">
      <w:pPr>
        <w:rPr>
          <w:rFonts w:ascii="Times New Roman" w:eastAsia="Times New Roman" w:hAnsi="Times New Roman" w:cs="Times New Roman"/>
          <w:noProof/>
          <w:color w:val="000000"/>
          <w:sz w:val="24"/>
        </w:rPr>
      </w:pPr>
      <w:r>
        <w:rPr>
          <w:noProof/>
        </w:rPr>
        <w:br w:type="page"/>
      </w:r>
    </w:p>
    <w:p w14:paraId="72270E67"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rPr>
      </w:pPr>
    </w:p>
    <w:p w14:paraId="6F7E985D" w14:textId="77777777" w:rsidR="00EB245A" w:rsidRDefault="006021EE">
      <w:pPr>
        <w:pStyle w:val="P68B1DB1-Text17"/>
        <w:ind w:left="0"/>
        <w:rPr>
          <w:rFonts w:eastAsia="Times New Roman"/>
          <w:noProof/>
          <w:u w:val="single"/>
        </w:rPr>
      </w:pPr>
      <w:r>
        <w:rPr>
          <w:noProof/>
          <w:u w:val="single"/>
        </w:rPr>
        <w:t>A1.4 Reform zur Verbesserung der Wettbewerbsfähigkeit und des Schutzes der Erzeuger/Verbraucher im Agrarsektor</w:t>
      </w:r>
      <w:r>
        <w:rPr>
          <w:noProof/>
        </w:rPr>
        <w:t xml:space="preserve"> </w:t>
      </w:r>
    </w:p>
    <w:p w14:paraId="596AE543" w14:textId="77777777" w:rsidR="00EB245A" w:rsidRDefault="006021EE">
      <w:pPr>
        <w:pStyle w:val="P68B1DB1-Text13"/>
        <w:ind w:left="0"/>
        <w:rPr>
          <w:rFonts w:eastAsia="Times New Roman"/>
          <w:noProof/>
          <w:color w:val="000000"/>
        </w:rPr>
      </w:pPr>
      <w:r>
        <w:rPr>
          <w:noProof/>
        </w:rPr>
        <w:t>Das überge</w:t>
      </w:r>
      <w:r>
        <w:rPr>
          <w:noProof/>
        </w:rPr>
        <w:t>ordnete Ziel der Reform besteht darin, die Position der Verbraucher und Erzeuger in der Agrar- und Lebensmittelversorgungskette zu stärken, um die Investitionen und die Widerstandsfähigkeit aller Akteure des Agrar- und Lebensmittelsektors, insbesondere von</w:t>
      </w:r>
      <w:r>
        <w:rPr>
          <w:noProof/>
        </w:rPr>
        <w:t xml:space="preserve"> KMU und Kleinerzeugern, zu stärken. Zu diesem Zweck zielt die Reform darauf ab, I) Schaffung einer Reihe von Grundsätzen und bewährten Verfahren in vertikalen Beziehungen in der Agrar- und Lebensmittelversorgungskette; II) Verbesserung des Systems zur Dur</w:t>
      </w:r>
      <w:r>
        <w:rPr>
          <w:noProof/>
        </w:rPr>
        <w:t>chsetzung der Verträge im Agrar- und Lebensmittelsektor, um die Ausnutzung vertraglicher Vorteile zu verhindern; und iii) Verbesserung der Markttransparenz.</w:t>
      </w:r>
    </w:p>
    <w:p w14:paraId="13D07B45" w14:textId="77777777" w:rsidR="00EB245A" w:rsidRDefault="006021EE">
      <w:pPr>
        <w:pStyle w:val="P68B1DB1-Text13"/>
        <w:ind w:left="0"/>
        <w:rPr>
          <w:rFonts w:eastAsia="Times New Roman"/>
          <w:noProof/>
        </w:rPr>
      </w:pPr>
      <w:r>
        <w:rPr>
          <w:noProof/>
        </w:rPr>
        <w:t>Die Reform besteht aus einem neuen Gesetz zur Bekämpfung der unlauteren Nutzung vertraglicher Vorte</w:t>
      </w:r>
      <w:r>
        <w:rPr>
          <w:noProof/>
        </w:rPr>
        <w:t xml:space="preserve">ile im Agrar- und Lebensmittelsektor, das über die Richtlinie 2019/633 über unlautere Handelspraktiken hinausgeht. Die Reform besteht aus: </w:t>
      </w:r>
    </w:p>
    <w:p w14:paraId="0D41D984" w14:textId="068DFB56" w:rsidR="00EB245A" w:rsidRDefault="006021EE">
      <w:pPr>
        <w:pStyle w:val="P68B1DB1-Normal06"/>
        <w:numPr>
          <w:ilvl w:val="0"/>
          <w:numId w:val="19"/>
        </w:numPr>
        <w:pBdr>
          <w:top w:val="nil"/>
          <w:left w:val="nil"/>
          <w:bottom w:val="nil"/>
          <w:right w:val="nil"/>
          <w:between w:val="nil"/>
        </w:pBdr>
        <w:spacing w:before="120" w:after="120" w:line="240" w:lineRule="auto"/>
        <w:jc w:val="both"/>
        <w:rPr>
          <w:rFonts w:eastAsia="Times New Roman" w:cs="Times New Roman"/>
          <w:noProof/>
        </w:rPr>
      </w:pPr>
      <w:r>
        <w:rPr>
          <w:noProof/>
        </w:rPr>
        <w:t>Zusätzlich zu der Liste unlauterer Handelspraktiken in der Richtlinie 2019/633 wird mit der Reform eine offene Defin</w:t>
      </w:r>
      <w:r>
        <w:rPr>
          <w:noProof/>
        </w:rPr>
        <w:t>ition unlauterer Handelspraktiken eingeführt. Insbesondere werden solche zusätzlichen Handelspraktiken vom Amt für Wettbewerb und Verbraucherschutz (UOKiK) als unlauter eingestuft, wenn sie i) den Erfordernissen des guten Geschäftsgebarens zuwiderlaufen; I</w:t>
      </w:r>
      <w:r>
        <w:rPr>
          <w:noProof/>
        </w:rPr>
        <w:t xml:space="preserve">I) die Interessen der anderen Vertragsparteien wesentlich verfälschen oder geeignet sind, sie wesentlich zu verfälschen. </w:t>
      </w:r>
    </w:p>
    <w:p w14:paraId="0D24AE66" w14:textId="77777777" w:rsidR="00EB245A" w:rsidRDefault="006021EE">
      <w:pPr>
        <w:pStyle w:val="P68B1DB1-Normal06"/>
        <w:numPr>
          <w:ilvl w:val="0"/>
          <w:numId w:val="19"/>
        </w:numPr>
        <w:pBdr>
          <w:top w:val="nil"/>
          <w:left w:val="nil"/>
          <w:bottom w:val="nil"/>
          <w:right w:val="nil"/>
          <w:between w:val="nil"/>
        </w:pBdr>
        <w:spacing w:before="120" w:after="120" w:line="240" w:lineRule="auto"/>
        <w:jc w:val="both"/>
        <w:rPr>
          <w:rFonts w:cs="Times New Roman"/>
          <w:noProof/>
          <w:color w:val="000000"/>
        </w:rPr>
      </w:pPr>
      <w:r>
        <w:rPr>
          <w:noProof/>
        </w:rPr>
        <w:t xml:space="preserve">Die Reform schützt alle Handelsakteure, einschließlich der Käufer von Agrar- und Lebensmittelerzeugnissen. </w:t>
      </w:r>
    </w:p>
    <w:p w14:paraId="5330F3D7" w14:textId="28176FC7" w:rsidR="00EB245A" w:rsidRDefault="006021EE">
      <w:pPr>
        <w:pStyle w:val="P68B1DB1-Text13"/>
        <w:ind w:left="0"/>
        <w:rPr>
          <w:rFonts w:eastAsia="Times New Roman"/>
          <w:noProof/>
        </w:rPr>
      </w:pPr>
      <w:r>
        <w:rPr>
          <w:noProof/>
        </w:rPr>
        <w:t xml:space="preserve">Die Reform umfasst auch die Ausarbeitung einer Halbzeitüberprüfung des neuen Gesetzes, in der auch bewertet wird, ob die Ziele erreicht wurden, und Wege für Maßnahmen zur Bewältigung potenzieller Umsetzungsprobleme aufgezeigt werden. </w:t>
      </w:r>
    </w:p>
    <w:p w14:paraId="438DC910" w14:textId="77777777" w:rsidR="00EB245A" w:rsidRDefault="006021EE">
      <w:pPr>
        <w:pStyle w:val="P68B1DB1-Text13"/>
        <w:ind w:left="0"/>
        <w:rPr>
          <w:rFonts w:eastAsia="Times New Roman"/>
          <w:noProof/>
          <w:color w:val="000000"/>
        </w:rPr>
      </w:pPr>
      <w:r>
        <w:rPr>
          <w:noProof/>
        </w:rPr>
        <w:t xml:space="preserve">Die Durchführung der </w:t>
      </w:r>
      <w:r>
        <w:rPr>
          <w:noProof/>
        </w:rPr>
        <w:t>Reform muss bis zum 30. Juni 2025 abgeschlossen sein.</w:t>
      </w:r>
    </w:p>
    <w:p w14:paraId="7002D965"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rPr>
      </w:pPr>
    </w:p>
    <w:p w14:paraId="1950385F" w14:textId="4ACF92EE" w:rsidR="00EB245A" w:rsidRDefault="006021EE">
      <w:pPr>
        <w:pStyle w:val="P68B1DB1-Text15"/>
        <w:ind w:left="0"/>
        <w:rPr>
          <w:rFonts w:eastAsia="Times New Roman"/>
          <w:noProof/>
        </w:rPr>
      </w:pPr>
      <w:r>
        <w:rPr>
          <w:noProof/>
        </w:rPr>
        <w:t>A1.4.1 Investitionen zur Diversifizierung und Verkürzung der Lieferkette von Agrar- und Lebensmittelerzeugnissen und zur Stärkung der Widerstandsfähigkeit von Unternehmen in der Lieferkette</w:t>
      </w:r>
    </w:p>
    <w:p w14:paraId="634BF464" w14:textId="78D4D71D" w:rsidR="00EB245A" w:rsidRDefault="006021EE">
      <w:pPr>
        <w:pStyle w:val="P68B1DB1-Text13"/>
        <w:ind w:left="0"/>
        <w:rPr>
          <w:rFonts w:eastAsia="Times New Roman"/>
          <w:noProof/>
          <w:color w:val="000000"/>
        </w:rPr>
      </w:pPr>
      <w:r>
        <w:rPr>
          <w:noProof/>
        </w:rPr>
        <w:t>Das übergeo</w:t>
      </w:r>
      <w:r>
        <w:rPr>
          <w:noProof/>
        </w:rPr>
        <w:t>rdnete Ziel dieser Investition besteht darin, die Wettbewerbsfähigkeit und Widerstandsfähigkeit des Agrar-, Lebensmittel- und Fischereisektors in Polen zu stärken. Zu diesem Zweck zielt die Investition darauf ab, i) den ökologischen und digitalen Wandel im</w:t>
      </w:r>
      <w:r>
        <w:rPr>
          <w:noProof/>
        </w:rPr>
        <w:t xml:space="preserve"> Agrar-, Lebensmittel- und Fischereisektor zu unterstützen, II) Verkürzung und Stärkung der Widerstandsfähigkeit der Agrar- und Lebensmittelversorgungskette sowie der Fischerei- und Aquakulturkette, insbesondere durch die Unterstützung lokaler KMU, Kleiner</w:t>
      </w:r>
      <w:r>
        <w:rPr>
          <w:noProof/>
        </w:rPr>
        <w:t>zeuger und Fischer; III) Vermeidung von Lebensmittelverschwendung und Beseitigung weißer Flecken und technischer Hindernisse im Zusammenhang mit der Umverteilung von Lebensmitteln.</w:t>
      </w:r>
    </w:p>
    <w:p w14:paraId="0DB136C5" w14:textId="77777777" w:rsidR="00EB245A" w:rsidRDefault="006021EE">
      <w:pPr>
        <w:pStyle w:val="P68B1DB1-Text13"/>
        <w:ind w:left="0"/>
        <w:rPr>
          <w:rFonts w:eastAsia="Times New Roman"/>
          <w:noProof/>
          <w:color w:val="000000"/>
          <w:u w:val="single"/>
        </w:rPr>
      </w:pPr>
      <w:r>
        <w:rPr>
          <w:noProof/>
        </w:rPr>
        <w:t>Die Investition umfasst folgende Initiativen:</w:t>
      </w:r>
    </w:p>
    <w:p w14:paraId="7A1C7060" w14:textId="022A97B0" w:rsidR="00EB245A" w:rsidRDefault="006021EE">
      <w:pPr>
        <w:pStyle w:val="P68B1DB1-Normal06"/>
        <w:numPr>
          <w:ilvl w:val="0"/>
          <w:numId w:val="7"/>
        </w:numPr>
        <w:pBdr>
          <w:top w:val="nil"/>
          <w:left w:val="nil"/>
          <w:bottom w:val="nil"/>
          <w:right w:val="nil"/>
          <w:between w:val="nil"/>
        </w:pBdr>
        <w:spacing w:before="120" w:after="120" w:line="240" w:lineRule="auto"/>
        <w:jc w:val="both"/>
        <w:rPr>
          <w:rFonts w:eastAsia="Times New Roman" w:cs="Times New Roman"/>
          <w:noProof/>
          <w:color w:val="000000"/>
        </w:rPr>
      </w:pPr>
      <w:r>
        <w:rPr>
          <w:noProof/>
        </w:rPr>
        <w:t>Bau und Modernisierung lokale</w:t>
      </w:r>
      <w:r>
        <w:rPr>
          <w:noProof/>
        </w:rPr>
        <w:t>r Lager- und Vertriebszentren, Großhandelsmärkte, lokaler Lebensmittelmärkte und Genossenschaften, einschließlich der Modernisierung der Logistik und der IKT-Infrastruktur.</w:t>
      </w:r>
    </w:p>
    <w:p w14:paraId="59E7583C" w14:textId="76E355E6" w:rsidR="00EB245A" w:rsidRDefault="006021EE">
      <w:pPr>
        <w:pStyle w:val="P68B1DB1-Normal06"/>
        <w:numPr>
          <w:ilvl w:val="0"/>
          <w:numId w:val="7"/>
        </w:numPr>
        <w:pBdr>
          <w:top w:val="nil"/>
          <w:left w:val="nil"/>
          <w:bottom w:val="nil"/>
          <w:right w:val="nil"/>
          <w:between w:val="nil"/>
        </w:pBdr>
        <w:spacing w:before="120" w:after="120" w:line="240" w:lineRule="auto"/>
        <w:jc w:val="both"/>
        <w:rPr>
          <w:rFonts w:eastAsia="Times New Roman" w:cs="Times New Roman"/>
          <w:noProof/>
          <w:color w:val="000000"/>
        </w:rPr>
      </w:pPr>
      <w:r>
        <w:rPr>
          <w:noProof/>
        </w:rPr>
        <w:t>Unterstützung von KMU und Kleinstunternehmen in der Agrar- und Lebensmittelverarbei</w:t>
      </w:r>
      <w:r>
        <w:rPr>
          <w:noProof/>
        </w:rPr>
        <w:t>tung, auch im Fischerei- und Aquakultursektor, die den Erwerb von Maschinen und Ausrüstungen, einschließlich Transportausrüstung, sowie den Ausbau und die Modernisierung der Anlageninfrastruktur umfasst.</w:t>
      </w:r>
    </w:p>
    <w:p w14:paraId="7C1D8078" w14:textId="726AE2B2" w:rsidR="00EB245A" w:rsidRDefault="006021EE">
      <w:pPr>
        <w:pStyle w:val="Normal0"/>
        <w:numPr>
          <w:ilvl w:val="0"/>
          <w:numId w:val="7"/>
        </w:numPr>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themeColor="text1"/>
          <w:sz w:val="24"/>
        </w:rPr>
      </w:pPr>
      <w:r>
        <w:rPr>
          <w:rFonts w:ascii="Times New Roman" w:hAnsi="Times New Roman"/>
          <w:noProof/>
          <w:sz w:val="24"/>
        </w:rPr>
        <w:t>Unterstützung von Landwirten und</w:t>
      </w:r>
      <w:r>
        <w:rPr>
          <w:rFonts w:ascii="Times New Roman" w:hAnsi="Times New Roman"/>
          <w:noProof/>
          <w:sz w:val="24"/>
        </w:rPr>
        <w:t xml:space="preserve"> Fischern bei der Verarbeitung und Vermarktung von Agrar- und Lebensmittelerzeugnissen, einschließlich des Baus und der Modernisierung der Infrastruktur, sowie beim Erwerb neuer Maschinen und Ausrüstungen für die Verarbeitung, den Transport und die Lagerun</w:t>
      </w:r>
      <w:r>
        <w:rPr>
          <w:rFonts w:ascii="Times New Roman" w:hAnsi="Times New Roman"/>
          <w:noProof/>
          <w:sz w:val="24"/>
        </w:rPr>
        <w:t>g von Erzeugnissen. Die Unterstützung umfasst auch die Organisation des Verkaufs von Agrar- und Lebensmittelerzeugnissen über das Internet sowie die Organisation der Lieferungen.</w:t>
      </w:r>
      <w:r>
        <w:rPr>
          <w:noProof/>
        </w:rPr>
        <w:t xml:space="preserve"> </w:t>
      </w:r>
    </w:p>
    <w:p w14:paraId="506769C6" w14:textId="726AE2B2" w:rsidR="00EB245A" w:rsidRDefault="006021EE">
      <w:pPr>
        <w:pStyle w:val="P68B1DB1-Normal06"/>
        <w:numPr>
          <w:ilvl w:val="0"/>
          <w:numId w:val="7"/>
        </w:numPr>
        <w:pBdr>
          <w:top w:val="nil"/>
          <w:left w:val="nil"/>
          <w:bottom w:val="nil"/>
          <w:right w:val="nil"/>
          <w:between w:val="nil"/>
        </w:pBdr>
        <w:spacing w:before="120" w:after="120" w:line="240" w:lineRule="auto"/>
        <w:jc w:val="both"/>
        <w:rPr>
          <w:rFonts w:eastAsia="Times New Roman" w:cs="Times New Roman"/>
          <w:noProof/>
          <w:color w:val="000000"/>
        </w:rPr>
      </w:pPr>
      <w:r>
        <w:rPr>
          <w:noProof/>
        </w:rPr>
        <w:t>Unterstützung von Wohltätigkeitsorganisationen im Agrar- und Lebensmittelsek</w:t>
      </w:r>
      <w:r>
        <w:rPr>
          <w:noProof/>
        </w:rPr>
        <w:t>tor bei der Modernisierung von Gebäuden, Infrastruktur und Ausrüstung, einschließlich Transportausrüstung. Die Unterstützung umfasst die Entwicklung von IT-Systemen und digitalen Anwendungen.</w:t>
      </w:r>
    </w:p>
    <w:p w14:paraId="0E8DE975" w14:textId="77777777" w:rsidR="00EB245A" w:rsidRDefault="006021EE">
      <w:pPr>
        <w:pStyle w:val="P68B1DB1-Normal06"/>
        <w:numPr>
          <w:ilvl w:val="0"/>
          <w:numId w:val="7"/>
        </w:numPr>
        <w:pBdr>
          <w:top w:val="nil"/>
          <w:left w:val="nil"/>
          <w:bottom w:val="nil"/>
          <w:right w:val="nil"/>
          <w:between w:val="nil"/>
        </w:pBdr>
        <w:spacing w:before="120" w:after="120" w:line="240" w:lineRule="auto"/>
        <w:jc w:val="both"/>
        <w:rPr>
          <w:rFonts w:eastAsia="Times New Roman" w:cs="Times New Roman"/>
          <w:noProof/>
          <w:color w:val="000000"/>
        </w:rPr>
      </w:pPr>
      <w:r>
        <w:rPr>
          <w:noProof/>
        </w:rPr>
        <w:t>Unterstützung der landwirtschaftlichen Erzeuger bei der Umsetzun</w:t>
      </w:r>
      <w:r>
        <w:rPr>
          <w:noProof/>
        </w:rPr>
        <w:t>g von Lösungen für die Landwirtschaft 4.0. Dies umfasst den Erwerb von Sensoren, Tischen und digitaler Ausrüstung sowie den Kauf und die Wartung digitaler Lösungen wie Anwendungen und Software.</w:t>
      </w:r>
    </w:p>
    <w:p w14:paraId="38D3DC9E" w14:textId="0A63595C" w:rsidR="00EB245A" w:rsidRDefault="006021EE">
      <w:pPr>
        <w:pStyle w:val="P68B1DB1-Normal06"/>
        <w:numPr>
          <w:ilvl w:val="0"/>
          <w:numId w:val="7"/>
        </w:numPr>
        <w:spacing w:before="120" w:after="120" w:line="240" w:lineRule="auto"/>
        <w:jc w:val="both"/>
        <w:rPr>
          <w:rFonts w:eastAsia="Times New Roman" w:cs="Times New Roman"/>
          <w:noProof/>
          <w:color w:val="000000"/>
        </w:rPr>
      </w:pPr>
      <w:r>
        <w:rPr>
          <w:noProof/>
        </w:rPr>
        <w:t>Unterstützung von Agrar-, Fischerei- und Aquakulturerzeugern i</w:t>
      </w:r>
      <w:r>
        <w:rPr>
          <w:noProof/>
        </w:rPr>
        <w:t>m Zusammenhang mit dem ökologischen Wandel. Dies umfasst die Renovierung der Infrastruktur der Erzeuger, einschließlich des Austauschs von Dächern, die gesundheits- oder umweltschädliche Materialien enthalten, die thermische Modernisierung von Gebäuden, de</w:t>
      </w:r>
      <w:r>
        <w:rPr>
          <w:noProof/>
        </w:rPr>
        <w:t>n Austausch von Elektro- und Lüftungsanlagen durch energieeffiziente Anlagen sowie den Austausch von mit Kreosot imprägnierten Polträgern in Hopfenplantagen.</w:t>
      </w:r>
    </w:p>
    <w:p w14:paraId="561DAA42" w14:textId="77777777" w:rsidR="00EB245A" w:rsidRDefault="006021EE">
      <w:pPr>
        <w:pStyle w:val="P68B1DB1-Normal06"/>
        <w:numPr>
          <w:ilvl w:val="0"/>
          <w:numId w:val="7"/>
        </w:numPr>
        <w:spacing w:before="120" w:after="120" w:line="240" w:lineRule="auto"/>
        <w:jc w:val="both"/>
        <w:rPr>
          <w:noProof/>
        </w:rPr>
      </w:pPr>
      <w:r>
        <w:rPr>
          <w:noProof/>
        </w:rPr>
        <w:t>Unterstützung der landwirtschaftlichen Beratungsstellen und landwirtschaftlichen Schulen bei der M</w:t>
      </w:r>
      <w:r>
        <w:rPr>
          <w:noProof/>
        </w:rPr>
        <w:t xml:space="preserve">odernisierung der Lehr- und Demonstrationsbasis für den Bildungsbedarf im Bereich Landwirtschaft 4.0. </w:t>
      </w:r>
    </w:p>
    <w:p w14:paraId="0DBE6088" w14:textId="034701D3" w:rsidR="00EB245A" w:rsidRDefault="006021EE">
      <w:pPr>
        <w:pStyle w:val="P68B1DB1-Normal06"/>
        <w:spacing w:before="120" w:after="120" w:line="240" w:lineRule="auto"/>
        <w:jc w:val="both"/>
        <w:rPr>
          <w:noProof/>
        </w:rPr>
      </w:pPr>
      <w:r>
        <w:rPr>
          <w:noProof/>
        </w:rPr>
        <w:t xml:space="preserve">Es ist davon auszugehen, dass diese Maßnahme die Umweltziele im Sinne des Artikels 17 der Verordnung (EU) 2020/852 nicht erheblich beeinträchtigt, wobei </w:t>
      </w:r>
      <w:r>
        <w:rPr>
          <w:noProof/>
        </w:rPr>
        <w:t>die Beschreibung der Maßnahme und die im Aufbau- und Resilienzplan im Einklang mit den Technischen Leitlinien für die Vermeidung erheblicher Beeinträchtigungen im Zusammenhang mit der Vermeidung erheblicher Beeinträchtigungen (2021/C 58/01) dargelegten Abh</w:t>
      </w:r>
      <w:r>
        <w:rPr>
          <w:noProof/>
        </w:rPr>
        <w:t xml:space="preserve">ilfemaßnahmen zu berücksichtigen sind. </w:t>
      </w:r>
    </w:p>
    <w:p w14:paraId="0FF964B5" w14:textId="78C08BC1" w:rsidR="00EB245A" w:rsidRDefault="006021EE">
      <w:pPr>
        <w:pStyle w:val="P68B1DB1-Text13"/>
        <w:ind w:left="0"/>
        <w:rPr>
          <w:rFonts w:eastAsia="Times New Roman"/>
          <w:noProof/>
        </w:rPr>
      </w:pPr>
      <w:r>
        <w:rPr>
          <w:noProof/>
        </w:rPr>
        <w:t>Dazu gehört Folgendes:</w:t>
      </w:r>
    </w:p>
    <w:p w14:paraId="07D3218A" w14:textId="329BC2C8" w:rsidR="00EB245A" w:rsidRDefault="006021EE">
      <w:pPr>
        <w:pStyle w:val="Normal0"/>
        <w:numPr>
          <w:ilvl w:val="0"/>
          <w:numId w:val="7"/>
        </w:numPr>
        <w:pBdr>
          <w:top w:val="nil"/>
          <w:left w:val="nil"/>
          <w:bottom w:val="nil"/>
          <w:right w:val="nil"/>
          <w:between w:val="nil"/>
        </w:pBdr>
        <w:spacing w:before="120" w:after="120" w:line="257" w:lineRule="auto"/>
        <w:jc w:val="both"/>
        <w:rPr>
          <w:rFonts w:ascii="Times New Roman" w:eastAsia="Times New Roman" w:hAnsi="Times New Roman" w:cs="Times New Roman"/>
          <w:noProof/>
          <w:color w:val="000000" w:themeColor="text1"/>
          <w:sz w:val="24"/>
        </w:rPr>
      </w:pPr>
      <w:r>
        <w:rPr>
          <w:rFonts w:ascii="Times New Roman" w:hAnsi="Times New Roman"/>
          <w:noProof/>
          <w:color w:val="000000" w:themeColor="text1"/>
          <w:sz w:val="24"/>
        </w:rPr>
        <w:t>Bei den erworbenen Lastkraftwagen und anderen schweren Nutzfahrzeugen darf es sich nur um emissionsfreie</w:t>
      </w:r>
      <w:r w:rsidRPr="004E1987">
        <w:rPr>
          <w:rStyle w:val="FootnoteReference"/>
          <w:rFonts w:ascii="Times New Roman" w:eastAsia="Times New Roman" w:hAnsi="Times New Roman" w:cs="Times New Roman"/>
          <w:noProof/>
          <w:color w:val="000000" w:themeColor="text1"/>
          <w:sz w:val="24"/>
        </w:rPr>
        <w:footnoteReference w:id="2"/>
      </w:r>
      <w:r>
        <w:rPr>
          <w:rFonts w:ascii="Times New Roman" w:hAnsi="Times New Roman"/>
          <w:noProof/>
          <w:color w:val="000000" w:themeColor="text1"/>
          <w:sz w:val="24"/>
        </w:rPr>
        <w:t>, emissionsarme oder LNG-/CNG</w:t>
      </w:r>
      <w:r w:rsidRPr="004E1987">
        <w:rPr>
          <w:rStyle w:val="FootnoteReference"/>
          <w:rFonts w:ascii="Times New Roman" w:eastAsia="Times New Roman" w:hAnsi="Times New Roman" w:cs="Times New Roman"/>
          <w:noProof/>
          <w:color w:val="000000" w:themeColor="text1"/>
          <w:sz w:val="24"/>
        </w:rPr>
        <w:footnoteReference w:id="3"/>
      </w:r>
      <w:r>
        <w:rPr>
          <w:rFonts w:ascii="Times New Roman" w:hAnsi="Times New Roman"/>
          <w:noProof/>
          <w:color w:val="000000" w:themeColor="text1"/>
          <w:sz w:val="24"/>
        </w:rPr>
        <w:t xml:space="preserve">-Lastkraftwagen handeln, die mit Biogas/Biomethan </w:t>
      </w:r>
      <w:r>
        <w:rPr>
          <w:rFonts w:ascii="Times New Roman" w:hAnsi="Times New Roman"/>
          <w:noProof/>
          <w:color w:val="000000" w:themeColor="text1"/>
          <w:sz w:val="24"/>
        </w:rPr>
        <w:t xml:space="preserve">betrieben werden. Fahrzeuge mit besonderer Zweckbestimmung müssen den oben genannten Vorschriften entsprechen. Für Fahrzeuge, die Biokraftstoffe, flüssige Biobrennstoffe und Biomasse-Brennstoffe verwenden, müssen die folgenden Bedingungen erfüllt sein: I) </w:t>
      </w:r>
      <w:r>
        <w:rPr>
          <w:rFonts w:ascii="Times New Roman" w:hAnsi="Times New Roman"/>
          <w:noProof/>
          <w:color w:val="000000" w:themeColor="text1"/>
          <w:sz w:val="24"/>
        </w:rPr>
        <w:t>die Nachhaltigkeitskriterien und die Kriterien für Treibhausgaseinsparungen gemäß den Artikeln 29-31 und die Vorschriften für Biokraftstoffe auf Lebens- und Futtermittelbasis gemäß Artikel 26 der Erneuerbare-Energien-Richtlinie</w:t>
      </w:r>
      <w:r>
        <w:rPr>
          <w:rFonts w:ascii="Times New Roman" w:hAnsi="Times New Roman"/>
          <w:i/>
          <w:noProof/>
          <w:color w:val="000000" w:themeColor="text1"/>
          <w:sz w:val="24"/>
        </w:rPr>
        <w:t>(Richtlinie (EU) 2018/2001 (R</w:t>
      </w:r>
      <w:r>
        <w:rPr>
          <w:rFonts w:ascii="Times New Roman" w:hAnsi="Times New Roman"/>
          <w:i/>
          <w:noProof/>
          <w:color w:val="000000" w:themeColor="text1"/>
          <w:sz w:val="24"/>
        </w:rPr>
        <w:t>ED II)</w:t>
      </w:r>
      <w:r>
        <w:rPr>
          <w:rFonts w:ascii="Times New Roman" w:hAnsi="Times New Roman"/>
          <w:noProof/>
          <w:color w:val="000000" w:themeColor="text1"/>
          <w:sz w:val="24"/>
        </w:rPr>
        <w:t>und den damit verbundenen Durchführungsrechtsakten und delegierten Rechtsakten erfüllt; und ii) Gewähr dafür bietet, dass ausschließlich Biokraftstoffe, flüssige Biobrennstoffe und Biomasse-Brennstoffe, die im Rahmen einer Regelung aus der Aufbau- un</w:t>
      </w:r>
      <w:r>
        <w:rPr>
          <w:rFonts w:ascii="Times New Roman" w:hAnsi="Times New Roman"/>
          <w:noProof/>
          <w:color w:val="000000" w:themeColor="text1"/>
          <w:sz w:val="24"/>
        </w:rPr>
        <w:t xml:space="preserve">d Resilienzfazilität erworben wurden, verwendet werden, die der RED II entsprechen; und iii) durch „flankierende Maßnahmen“ ergänzt werden, die belegen, dass der Anteil von Biokraftstoffen, flüssigen Biobrennstoffen und Biomasse-Brennstoffen am nationalen </w:t>
      </w:r>
      <w:r>
        <w:rPr>
          <w:rFonts w:ascii="Times New Roman" w:hAnsi="Times New Roman"/>
          <w:noProof/>
          <w:color w:val="000000" w:themeColor="text1"/>
          <w:sz w:val="24"/>
        </w:rPr>
        <w:t>Gemisch im Laufe der Zeit erhöht wird.</w:t>
      </w:r>
    </w:p>
    <w:p w14:paraId="1A5E92A6" w14:textId="16E0ADCC" w:rsidR="00EB245A" w:rsidRDefault="006021EE">
      <w:pPr>
        <w:pStyle w:val="P68B1DB1-Normal06"/>
        <w:numPr>
          <w:ilvl w:val="0"/>
          <w:numId w:val="7"/>
        </w:numPr>
        <w:pBdr>
          <w:top w:val="nil"/>
          <w:left w:val="nil"/>
          <w:bottom w:val="nil"/>
          <w:right w:val="nil"/>
          <w:between w:val="nil"/>
        </w:pBdr>
        <w:spacing w:before="120" w:after="120" w:line="257" w:lineRule="auto"/>
        <w:jc w:val="both"/>
        <w:rPr>
          <w:rFonts w:cs="Times New Roman"/>
          <w:noProof/>
        </w:rPr>
      </w:pPr>
      <w:r>
        <w:rPr>
          <w:noProof/>
        </w:rPr>
        <w:t>Alle Gebäuderenovierungen müssen im Einklang mit der Richtlinie über die Gesamtenergieeffizienz von Gebäuden</w:t>
      </w:r>
      <w:r>
        <w:rPr>
          <w:i/>
          <w:noProof/>
        </w:rPr>
        <w:t>(Richtlinie (EU) 2018/844) durchgeführt</w:t>
      </w:r>
      <w:r>
        <w:rPr>
          <w:noProof/>
        </w:rPr>
        <w:t>werden.</w:t>
      </w:r>
    </w:p>
    <w:p w14:paraId="6F4671D3" w14:textId="045C815F" w:rsidR="00EB245A" w:rsidRDefault="006021EE">
      <w:pPr>
        <w:pStyle w:val="P68B1DB1-Normal06"/>
        <w:numPr>
          <w:ilvl w:val="0"/>
          <w:numId w:val="7"/>
        </w:numPr>
        <w:pBdr>
          <w:top w:val="nil"/>
          <w:left w:val="nil"/>
          <w:bottom w:val="nil"/>
          <w:right w:val="nil"/>
          <w:between w:val="nil"/>
        </w:pBdr>
        <w:spacing w:before="120" w:after="120" w:line="257" w:lineRule="auto"/>
        <w:jc w:val="both"/>
        <w:rPr>
          <w:rFonts w:cs="Times New Roman"/>
          <w:noProof/>
        </w:rPr>
      </w:pPr>
      <w:r>
        <w:rPr>
          <w:noProof/>
        </w:rPr>
        <w:t>Anlagen zur Erzeugung von Biogas müssen die Nachhaltigkeitskri</w:t>
      </w:r>
      <w:r>
        <w:rPr>
          <w:noProof/>
        </w:rPr>
        <w:t>terien und die Kriterien für Treibhausgaseinsparungen gemäß den Artikeln 29-31 und die Vorschriften für Biokraftstoffe auf Lebens- und Futtermittelbasis gemäß Artikel 26 der Erneuerbare-Energien-Richtlinie</w:t>
      </w:r>
      <w:r>
        <w:rPr>
          <w:i/>
          <w:noProof/>
        </w:rPr>
        <w:t>(Richtlinie (EU) 2018/2001(RED II))</w:t>
      </w:r>
      <w:r>
        <w:rPr>
          <w:noProof/>
        </w:rPr>
        <w:t xml:space="preserve">sowie die damit </w:t>
      </w:r>
      <w:r>
        <w:rPr>
          <w:noProof/>
        </w:rPr>
        <w:t>verbundenen Durchführungsrechtsakte und delegierten Rechtsakte erfüllen.</w:t>
      </w:r>
    </w:p>
    <w:p w14:paraId="31D496BC" w14:textId="0EE3082A" w:rsidR="00EB245A" w:rsidRDefault="006021EE">
      <w:pPr>
        <w:pStyle w:val="P68B1DB1-Text13"/>
        <w:ind w:left="0"/>
        <w:rPr>
          <w:rFonts w:eastAsia="Times New Roman"/>
          <w:noProof/>
        </w:rPr>
      </w:pPr>
      <w:r>
        <w:rPr>
          <w:noProof/>
        </w:rPr>
        <w:t xml:space="preserve">Die Durchführung der Investition muss bis zum 30. Juni 2026 abgeschlossen sein. </w:t>
      </w:r>
    </w:p>
    <w:p w14:paraId="0CF8CE15" w14:textId="5F6080E6" w:rsidR="00EB245A" w:rsidRDefault="006021EE">
      <w:pPr>
        <w:rPr>
          <w:rFonts w:ascii="Times New Roman" w:eastAsia="Times New Roman" w:hAnsi="Times New Roman" w:cs="Times New Roman"/>
          <w:noProof/>
          <w:color w:val="000000" w:themeColor="text1"/>
          <w:sz w:val="24"/>
        </w:rPr>
      </w:pPr>
      <w:r>
        <w:rPr>
          <w:noProof/>
        </w:rPr>
        <w:br w:type="page"/>
      </w:r>
    </w:p>
    <w:p w14:paraId="143DDE96" w14:textId="77777777" w:rsidR="00EB245A" w:rsidRDefault="00EB245A">
      <w:pPr>
        <w:pStyle w:val="Text1"/>
        <w:ind w:left="0"/>
        <w:rPr>
          <w:rFonts w:eastAsia="Times New Roman"/>
          <w:noProof/>
          <w:color w:val="000000" w:themeColor="text1"/>
        </w:rPr>
      </w:pPr>
    </w:p>
    <w:p w14:paraId="0AF336A8" w14:textId="133979FF" w:rsidR="00EB245A" w:rsidRDefault="006021EE">
      <w:pPr>
        <w:pStyle w:val="P68B1DB1-Text17"/>
        <w:ind w:left="0"/>
        <w:rPr>
          <w:rFonts w:eastAsia="Times New Roman"/>
          <w:noProof/>
          <w:color w:val="000000" w:themeColor="text1"/>
        </w:rPr>
      </w:pPr>
      <w:r>
        <w:rPr>
          <w:noProof/>
        </w:rPr>
        <w:t>Teilkomponente A2 – Entwicklung des nationalen Innovationssystems: Stärkung der Koordinierung, Förd</w:t>
      </w:r>
      <w:r>
        <w:rPr>
          <w:noProof/>
        </w:rPr>
        <w:t>erung der Innovationskapazität und der Zusammenarbeit zwischen Unternehmen und Forschungseinrichtungen, auch im Bereich der Umwelttechnologien</w:t>
      </w:r>
    </w:p>
    <w:p w14:paraId="1F09EAF4"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rPr>
      </w:pPr>
    </w:p>
    <w:p w14:paraId="61169AC1" w14:textId="77777777" w:rsidR="00EB245A" w:rsidRDefault="006021EE">
      <w:pPr>
        <w:pStyle w:val="P68B1DB1-Text15"/>
        <w:ind w:left="0"/>
        <w:rPr>
          <w:rFonts w:eastAsia="Times New Roman"/>
          <w:noProof/>
        </w:rPr>
      </w:pPr>
      <w:r>
        <w:rPr>
          <w:noProof/>
        </w:rPr>
        <w:t>A2.1 Beschleunigung von Robotisierungs- und Digitalisierungs- und Innovationsprozessen</w:t>
      </w:r>
    </w:p>
    <w:p w14:paraId="6E9B63D8" w14:textId="77777777" w:rsidR="00EB245A" w:rsidRDefault="006021EE">
      <w:pPr>
        <w:pStyle w:val="P68B1DB1-Text13"/>
        <w:ind w:left="0"/>
        <w:rPr>
          <w:rFonts w:eastAsia="Times New Roman"/>
          <w:noProof/>
          <w:color w:val="000000"/>
        </w:rPr>
      </w:pPr>
      <w:r>
        <w:rPr>
          <w:noProof/>
        </w:rPr>
        <w:t xml:space="preserve">Ziel der Reform ist es, die Nachfrage nach Wissen und Innovation und deren wirksamer Einsatz in Unternehmen in der digitalen Wirtschaft zu stärken. </w:t>
      </w:r>
    </w:p>
    <w:p w14:paraId="3F058D9F" w14:textId="14E44F48" w:rsidR="00EB245A" w:rsidRDefault="006021EE">
      <w:pPr>
        <w:pStyle w:val="P68B1DB1-Text13"/>
        <w:ind w:left="0"/>
        <w:rPr>
          <w:noProof/>
        </w:rPr>
      </w:pPr>
      <w:r>
        <w:rPr>
          <w:noProof/>
        </w:rPr>
        <w:t>Die Reform besteht in der Einführung von Steuerpräferenzen für Unternehmen, die den Digitalisierungsprozess</w:t>
      </w:r>
      <w:r>
        <w:rPr>
          <w:noProof/>
        </w:rPr>
        <w:t xml:space="preserve"> durch Investitionen in Robotisierung und Digitalisierung durchführen. Die Steuererleichterung erfolgt in Form eines zusätzlichen Steuerabzugs zur Unterstützung des Erwerbs von Robotern. </w:t>
      </w:r>
    </w:p>
    <w:p w14:paraId="2C641F87" w14:textId="77777777" w:rsidR="00EB245A" w:rsidRDefault="006021EE">
      <w:pPr>
        <w:pStyle w:val="P68B1DB1-Text13"/>
        <w:ind w:left="0"/>
        <w:rPr>
          <w:rFonts w:eastAsia="Times New Roman"/>
          <w:noProof/>
          <w:color w:val="000000"/>
        </w:rPr>
      </w:pPr>
      <w:r>
        <w:rPr>
          <w:noProof/>
        </w:rPr>
        <w:t>Die Umsetzung der Reform muss bis zum 30. Juni 2022 abgeschlossen se</w:t>
      </w:r>
      <w:r>
        <w:rPr>
          <w:noProof/>
        </w:rPr>
        <w:t>in.</w:t>
      </w:r>
    </w:p>
    <w:p w14:paraId="3656B9AB"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rPr>
      </w:pPr>
    </w:p>
    <w:p w14:paraId="7F7F5F82" w14:textId="14F29FE0" w:rsidR="00EB245A" w:rsidRDefault="006021EE">
      <w:pPr>
        <w:pStyle w:val="P68B1DB1-Text17"/>
        <w:ind w:left="0"/>
        <w:rPr>
          <w:rFonts w:eastAsia="Times New Roman"/>
          <w:noProof/>
          <w:u w:val="single"/>
        </w:rPr>
      </w:pPr>
      <w:r>
        <w:rPr>
          <w:noProof/>
          <w:u w:val="single"/>
        </w:rPr>
        <w:t>A2.1.1 Investitionen zur Unterstützung der Robotisierung und Digitalisierung in Unternehmen</w:t>
      </w:r>
      <w:r>
        <w:rPr>
          <w:noProof/>
        </w:rPr>
        <w:t xml:space="preserve"> </w:t>
      </w:r>
    </w:p>
    <w:p w14:paraId="752F31DE" w14:textId="77777777" w:rsidR="00EB245A" w:rsidRDefault="006021EE">
      <w:pPr>
        <w:pStyle w:val="P68B1DB1-Text13"/>
        <w:ind w:left="0"/>
        <w:rPr>
          <w:rFonts w:eastAsia="Times New Roman"/>
          <w:noProof/>
          <w:color w:val="000000"/>
        </w:rPr>
      </w:pPr>
      <w:r>
        <w:rPr>
          <w:noProof/>
        </w:rPr>
        <w:t>Ziel dieser Investition ist die Unterstützung von Projekten, die die Einführung innovativer Lösungen für den digitalen Wandel zum Gegenstand haben.</w:t>
      </w:r>
    </w:p>
    <w:p w14:paraId="70E223A6" w14:textId="7BE8A64B" w:rsidR="00EB245A" w:rsidRDefault="006021EE">
      <w:pPr>
        <w:pStyle w:val="P68B1DB1-Text13"/>
        <w:ind w:left="0"/>
        <w:rPr>
          <w:rFonts w:eastAsia="Times New Roman"/>
          <w:noProof/>
        </w:rPr>
      </w:pPr>
      <w:r>
        <w:rPr>
          <w:noProof/>
        </w:rPr>
        <w:t>Die Invest</w:t>
      </w:r>
      <w:r>
        <w:rPr>
          <w:noProof/>
        </w:rPr>
        <w:t>ition besteht in der Digitalisierung von Geschäftsabläufen und der Unterstützung des Übergangs zur Industrie 4.0 mit besonderem Schwerpunkt auf Robotisierung und operativen Technologien. Mit der Investition wird der Einsatz von Cloud-Technologien und künst</w:t>
      </w:r>
      <w:r>
        <w:rPr>
          <w:noProof/>
        </w:rPr>
        <w:t>licher Intelligenz bei der Integration und Verwaltung von Fertigungs- und Geschäftsprozessen unterstützt; Einführung intelligenter Produktionslinien, Bau intelligenter Fabriken; Einsatz moderner digitaler Technologien, die den Übergang zur Verringerung der</w:t>
      </w:r>
      <w:r>
        <w:rPr>
          <w:noProof/>
        </w:rPr>
        <w:t xml:space="preserve"> Umweltemissionen (insbesondere von Treibhausgasen) und zur Verringerung der Nutzung natürlicher Ressourcen und der Umweltauswirkungen von Fertigungs- und Geschäftsprozessen unterstützen.</w:t>
      </w:r>
    </w:p>
    <w:p w14:paraId="5AFC7AC4" w14:textId="2EAA2B5A" w:rsidR="00EB245A" w:rsidRDefault="006021EE">
      <w:pPr>
        <w:pStyle w:val="P68B1DB1-Text13"/>
        <w:ind w:left="0"/>
        <w:rPr>
          <w:rFonts w:eastAsia="Times New Roman"/>
          <w:noProof/>
          <w:color w:val="000000"/>
        </w:rPr>
      </w:pPr>
      <w:r>
        <w:rPr>
          <w:noProof/>
        </w:rPr>
        <w:t>Die Durchführung der Investition muss bis zum 30. Juni 2026 abgeschl</w:t>
      </w:r>
      <w:r>
        <w:rPr>
          <w:noProof/>
        </w:rPr>
        <w:t>ossen sein.</w:t>
      </w:r>
    </w:p>
    <w:p w14:paraId="3E62BDBC" w14:textId="2C7BF8A0"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u w:val="single"/>
        </w:rPr>
      </w:pPr>
    </w:p>
    <w:p w14:paraId="07445389" w14:textId="755E5152" w:rsidR="00EB245A" w:rsidRDefault="006021EE">
      <w:pPr>
        <w:pStyle w:val="P68B1DB1-Text15"/>
        <w:ind w:left="0"/>
        <w:rPr>
          <w:rFonts w:eastAsia="Times New Roman"/>
          <w:noProof/>
        </w:rPr>
      </w:pPr>
      <w:r>
        <w:rPr>
          <w:noProof/>
        </w:rPr>
        <w:t>A2.2 Schaffung der Voraussetzungen für den Übergang zu einem Kreislaufwirtschaftsmodell</w:t>
      </w:r>
    </w:p>
    <w:p w14:paraId="2E41BD47" w14:textId="6EA118DB" w:rsidR="00EB245A" w:rsidRDefault="006021EE">
      <w:pPr>
        <w:pStyle w:val="P68B1DB1-Text13"/>
        <w:ind w:left="0"/>
        <w:rPr>
          <w:rFonts w:eastAsia="Times New Roman"/>
          <w:noProof/>
          <w:color w:val="000000"/>
        </w:rPr>
      </w:pPr>
      <w:r>
        <w:rPr>
          <w:noProof/>
        </w:rPr>
        <w:t>Ziel der Reform ist es, einen geeigneten Rechtsrahmen für das Funktionieren des Handels mit Sekundärrohstoffen zu schaffen. Mit der Reform werden Vorschrif</w:t>
      </w:r>
      <w:r>
        <w:rPr>
          <w:noProof/>
        </w:rPr>
        <w:t>ten über das Ende der Abfalleigenschaft für wichtige Industrieabfälle (mit dem größten wirtschaftlichen Potenzial) und eine Definition von Sekundärrohstoffen eingeführt, die den Verkehr und die Verwendung von Abfällen als Sekundärrohstoffe erleichtern würd</w:t>
      </w:r>
      <w:r>
        <w:rPr>
          <w:noProof/>
        </w:rPr>
        <w:t xml:space="preserve">e. </w:t>
      </w:r>
    </w:p>
    <w:p w14:paraId="4B9F17DB" w14:textId="77777777" w:rsidR="00EB245A" w:rsidRDefault="006021EE">
      <w:pPr>
        <w:pStyle w:val="P68B1DB1-Text13"/>
        <w:ind w:left="0"/>
        <w:rPr>
          <w:rFonts w:eastAsia="Times New Roman"/>
          <w:noProof/>
          <w:color w:val="000000"/>
        </w:rPr>
      </w:pPr>
      <w:r>
        <w:rPr>
          <w:noProof/>
        </w:rPr>
        <w:t>Die Reform besteht aus einem Rahmen für die Entwicklung des Sekundärrohstoffmarktes, um die Bewirtschaftung dieser Rohstoffe zu erleichtern, was zu einer Verringerung der Nutzung natürlicher Ressourcen führt und natürliche Materialien und Erzeugnisse e</w:t>
      </w:r>
      <w:r>
        <w:rPr>
          <w:noProof/>
        </w:rPr>
        <w:t>rsetzt. Die Reform soll zu einer Verringerung der Abfalllagerung auf Abfallhalden führen.</w:t>
      </w:r>
    </w:p>
    <w:p w14:paraId="462D9EF0" w14:textId="77777777" w:rsidR="00EB245A" w:rsidRDefault="006021EE">
      <w:pPr>
        <w:pStyle w:val="P68B1DB1-Text13"/>
        <w:ind w:left="0"/>
        <w:rPr>
          <w:rFonts w:eastAsia="Times New Roman"/>
          <w:noProof/>
          <w:color w:val="000000"/>
        </w:rPr>
      </w:pPr>
      <w:r>
        <w:rPr>
          <w:noProof/>
        </w:rPr>
        <w:t>Die Umsetzung der Reform wird bis zum 30. Juni 2024 abgeschlossen sein.</w:t>
      </w:r>
    </w:p>
    <w:p w14:paraId="049F31CB"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rPr>
      </w:pPr>
    </w:p>
    <w:p w14:paraId="073D571A" w14:textId="3AEC15B7" w:rsidR="00EB245A" w:rsidRDefault="006021EE">
      <w:pPr>
        <w:pStyle w:val="P68B1DB1-Text18"/>
        <w:ind w:left="0"/>
        <w:rPr>
          <w:rFonts w:eastAsia="Times New Roman"/>
          <w:b/>
          <w:noProof/>
        </w:rPr>
      </w:pPr>
      <w:r>
        <w:rPr>
          <w:b/>
          <w:noProof/>
        </w:rPr>
        <w:t>A2.2.1 Investitionen in den Einsatz von Umwelttechnologien und -innovationen, einschließlich</w:t>
      </w:r>
      <w:r>
        <w:rPr>
          <w:noProof/>
        </w:rPr>
        <w:t xml:space="preserve"> </w:t>
      </w:r>
      <w:r>
        <w:rPr>
          <w:b/>
          <w:noProof/>
        </w:rPr>
        <w:t>solcher im Zusammenhang mit der Kreislaufwirtschaft</w:t>
      </w:r>
    </w:p>
    <w:p w14:paraId="1020E616" w14:textId="75B8DE3B" w:rsidR="00EB245A" w:rsidRDefault="006021EE">
      <w:pPr>
        <w:pStyle w:val="P68B1DB1-Text13"/>
        <w:ind w:left="0"/>
        <w:rPr>
          <w:rFonts w:eastAsia="Times New Roman"/>
          <w:noProof/>
          <w:color w:val="000000"/>
        </w:rPr>
      </w:pPr>
      <w:r>
        <w:rPr>
          <w:noProof/>
        </w:rPr>
        <w:t>Ziel dieser Investition ist es, die Nutzung von Sekundärrohstoffen zu fördern, unter anderem durch die Finanzierung von Forschungs- und Entwicklungsinfrastrukturen (FuE) zur Entwicklung von Technologien f</w:t>
      </w:r>
      <w:r>
        <w:rPr>
          <w:noProof/>
        </w:rPr>
        <w:t>ür die Verwendung von Abfällen als Sekundärrohstoffe mit dem Ziel, eine effizientere Wirtschaft zu schaffen.</w:t>
      </w:r>
    </w:p>
    <w:p w14:paraId="2A25D3EB" w14:textId="130A767B" w:rsidR="00EB245A" w:rsidRDefault="006021EE">
      <w:pPr>
        <w:pStyle w:val="P68B1DB1-Text13"/>
        <w:ind w:left="0"/>
        <w:rPr>
          <w:rFonts w:eastAsia="Times New Roman"/>
          <w:noProof/>
        </w:rPr>
      </w:pPr>
      <w:r>
        <w:rPr>
          <w:noProof/>
        </w:rPr>
        <w:t>Die Investition besteht aus zwei Maßnahmen. Mit der ersten Maßnahme werden an KMU vergebene Projekte zur Entwicklung und Umsetzung grüner Technolog</w:t>
      </w:r>
      <w:r>
        <w:rPr>
          <w:noProof/>
        </w:rPr>
        <w:t xml:space="preserve">ien im Zusammenhang mit der Kreislaufwirtschaft unterstützt, die zu einem verbesserten Materialmanagement, einer höheren Energieeffizienz und einer Verlagerung der Unternehmensphilosophie hin zu Abfallfreiheit führen. </w:t>
      </w:r>
    </w:p>
    <w:p w14:paraId="4C80D150" w14:textId="230F5ABB" w:rsidR="00EB245A" w:rsidRDefault="006021EE">
      <w:pPr>
        <w:pStyle w:val="P68B1DB1-Text13"/>
        <w:ind w:left="0"/>
        <w:rPr>
          <w:rFonts w:eastAsia="Times New Roman"/>
          <w:noProof/>
          <w:color w:val="000000"/>
        </w:rPr>
      </w:pPr>
      <w:r>
        <w:rPr>
          <w:noProof/>
        </w:rPr>
        <w:t>Die Durchführung der Maßnahme muss bi</w:t>
      </w:r>
      <w:r>
        <w:rPr>
          <w:noProof/>
        </w:rPr>
        <w:t>s zum 31. März 2025 abgeschlossen sein.</w:t>
      </w:r>
    </w:p>
    <w:p w14:paraId="17A13EDE" w14:textId="1C905C78" w:rsidR="00EB245A" w:rsidRDefault="006021EE">
      <w:pPr>
        <w:pStyle w:val="P68B1DB1-Text13"/>
        <w:ind w:left="0"/>
        <w:rPr>
          <w:rFonts w:eastAsia="Times New Roman"/>
          <w:noProof/>
        </w:rPr>
      </w:pPr>
      <w:r>
        <w:rPr>
          <w:noProof/>
        </w:rPr>
        <w:t xml:space="preserve">Im Rahmen der zweiten Maßnahme werden Projekte zur Förderung der Entwicklung von Technologien finanziert, die zur Schaffung eines Marktes für Sekundärrohstoffe beitragen. </w:t>
      </w:r>
    </w:p>
    <w:p w14:paraId="78110455" w14:textId="0BB17536" w:rsidR="00EB245A" w:rsidRDefault="006021EE">
      <w:pPr>
        <w:pStyle w:val="P68B1DB1-Text13"/>
        <w:ind w:left="0"/>
        <w:rPr>
          <w:rFonts w:eastAsia="Times New Roman"/>
          <w:noProof/>
          <w:color w:val="000000"/>
        </w:rPr>
      </w:pPr>
      <w:r>
        <w:rPr>
          <w:noProof/>
        </w:rPr>
        <w:t xml:space="preserve">Die Durchführung der Maßnahme muss bis zum </w:t>
      </w:r>
      <w:r>
        <w:rPr>
          <w:noProof/>
        </w:rPr>
        <w:t>30. September 2025 abgeschlossen sein.</w:t>
      </w:r>
    </w:p>
    <w:p w14:paraId="6C05423B" w14:textId="20C108A8" w:rsidR="00EB245A" w:rsidRDefault="006021EE">
      <w:pPr>
        <w:pStyle w:val="Text1"/>
        <w:ind w:left="0"/>
        <w:rPr>
          <w:rFonts w:eastAsia="Times New Roman"/>
          <w:noProof/>
          <w:color w:val="000000"/>
        </w:rPr>
      </w:pPr>
      <w:r>
        <w:rPr>
          <w:noProof/>
          <w:color w:val="000000"/>
        </w:rPr>
        <w:t>Die Auswahl der Begünstigten erfolgt nach festgelegten</w:t>
      </w:r>
      <w:r>
        <w:rPr>
          <w:noProof/>
        </w:rPr>
        <w:t xml:space="preserve"> </w:t>
      </w:r>
      <w:r>
        <w:rPr>
          <w:noProof/>
          <w:color w:val="000000"/>
        </w:rPr>
        <w:t>Auswahlkriterien nach den Grundsätzen der Nichtdiskriminierung und der Transparenz. Die Projekte betreffen die Entwicklung, Umsetzung oder Anwendung grüner Indust</w:t>
      </w:r>
      <w:r>
        <w:rPr>
          <w:noProof/>
          <w:color w:val="000000"/>
        </w:rPr>
        <w:t>rielösungen, die auf eine Steigerung der Energieeffizienz in Produktion und Betriebsprozessen oder die Verringerung von Abfällen aus Produktion und Betriebsabläufen oder auf die Wiederverwendung oder Recycling von Abfällen oder eine Verringerung der Treibh</w:t>
      </w:r>
      <w:r>
        <w:rPr>
          <w:noProof/>
          <w:color w:val="000000"/>
        </w:rPr>
        <w:t>ausgasemissionen aus Produktion und Betriebsabläufen abzielen. Um sicherzustellen, dass die Maßnahme den Technischen Leitlinien für die „Vermeidung erheblicher Beeinträchtigungen“ (2021/C 58/01) entspricht, werden die folgenden Tätigkeiten von den Förderkr</w:t>
      </w:r>
      <w:r>
        <w:rPr>
          <w:noProof/>
          <w:color w:val="000000"/>
        </w:rPr>
        <w:t>iterien für künftige Aufforderungen zur Einreichung von Projektvorschlägen ausgeschlossen: I) Tätigkeiten im Zusammenhang mit fossilen Brennstoffen, einschließlich nachgelagerter Verwendung</w:t>
      </w:r>
      <w:r w:rsidRPr="004E1987">
        <w:rPr>
          <w:noProof/>
          <w:color w:val="000000"/>
          <w:vertAlign w:val="superscript"/>
        </w:rPr>
        <w:footnoteReference w:id="4"/>
      </w:r>
      <w:r>
        <w:rPr>
          <w:noProof/>
          <w:color w:val="000000"/>
        </w:rPr>
        <w:t xml:space="preserve">; II) Tätigkeiten im Rahmen des EU-Emissionshandelssystems (EHS), </w:t>
      </w:r>
      <w:r>
        <w:rPr>
          <w:noProof/>
          <w:color w:val="000000"/>
        </w:rPr>
        <w:t>bei denen projizierte Treibhausgasemissionen erreicht werden, die nicht unter den einschlägigen Benchmarks liegen</w:t>
      </w:r>
      <w:r w:rsidRPr="004E1987">
        <w:rPr>
          <w:noProof/>
          <w:color w:val="000000"/>
          <w:vertAlign w:val="superscript"/>
        </w:rPr>
        <w:footnoteReference w:id="5"/>
      </w:r>
      <w:r>
        <w:rPr>
          <w:noProof/>
          <w:color w:val="000000"/>
        </w:rPr>
        <w:t>; III) Tätigkeiten im Zusammenhang mit Abfalldeponien, Verbrennungsanlagen</w:t>
      </w:r>
      <w:r w:rsidRPr="004E1987">
        <w:rPr>
          <w:noProof/>
          <w:color w:val="000000"/>
          <w:vertAlign w:val="superscript"/>
        </w:rPr>
        <w:footnoteReference w:id="6"/>
      </w:r>
      <w:r>
        <w:rPr>
          <w:noProof/>
          <w:color w:val="000000"/>
        </w:rPr>
        <w:t xml:space="preserve"> und Anlagen zur mechanisch-biologischen Behandlung</w:t>
      </w:r>
      <w:r w:rsidRPr="004E1987">
        <w:rPr>
          <w:noProof/>
          <w:color w:val="000000"/>
          <w:vertAlign w:val="superscript"/>
        </w:rPr>
        <w:footnoteReference w:id="7"/>
      </w:r>
      <w:r>
        <w:rPr>
          <w:noProof/>
          <w:color w:val="000000"/>
        </w:rPr>
        <w:t>; und iv) Tätig</w:t>
      </w:r>
      <w:r>
        <w:rPr>
          <w:noProof/>
          <w:color w:val="000000"/>
        </w:rPr>
        <w:t xml:space="preserve">keiten, bei denen die langfristige Beseitigung von Abfällen der Umwelt schaden kann. </w:t>
      </w:r>
    </w:p>
    <w:p w14:paraId="53128261"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rPr>
      </w:pPr>
    </w:p>
    <w:p w14:paraId="0CD85426" w14:textId="77777777" w:rsidR="00EB245A" w:rsidRDefault="006021EE">
      <w:pPr>
        <w:pStyle w:val="P68B1DB1-Text15"/>
        <w:ind w:left="0"/>
        <w:rPr>
          <w:rFonts w:eastAsia="Times New Roman"/>
          <w:noProof/>
        </w:rPr>
      </w:pPr>
      <w:r>
        <w:rPr>
          <w:noProof/>
        </w:rPr>
        <w:t xml:space="preserve">A2.3 Schaffung der institutionellen und rechtlichen Grundlage für die Entwicklung unbemannter Luftfahrzeuge (UAV)  </w:t>
      </w:r>
    </w:p>
    <w:p w14:paraId="0FE7ABA8" w14:textId="77777777" w:rsidR="00EB245A" w:rsidRDefault="006021EE">
      <w:pPr>
        <w:pStyle w:val="P68B1DB1-Text13"/>
        <w:ind w:left="0"/>
        <w:rPr>
          <w:rFonts w:eastAsia="Times New Roman"/>
          <w:noProof/>
          <w:color w:val="000000"/>
        </w:rPr>
      </w:pPr>
      <w:r>
        <w:rPr>
          <w:noProof/>
        </w:rPr>
        <w:t>Ziel der Reform ist die Schaffung einer Stelle zur Un</w:t>
      </w:r>
      <w:r>
        <w:rPr>
          <w:noProof/>
        </w:rPr>
        <w:t>terstützung der Erprobung und Umsetzung neuer UAV-gestützter Lösungen, insbesondere in städtischen Gebieten.</w:t>
      </w:r>
    </w:p>
    <w:p w14:paraId="6C2A1E4A" w14:textId="7244FF16" w:rsidR="00EB245A" w:rsidRDefault="006021EE">
      <w:pPr>
        <w:pStyle w:val="P68B1DB1-Text13"/>
        <w:ind w:left="0"/>
        <w:rPr>
          <w:rFonts w:eastAsia="Times New Roman"/>
          <w:noProof/>
        </w:rPr>
      </w:pPr>
      <w:r>
        <w:rPr>
          <w:noProof/>
        </w:rPr>
        <w:t>Mit der Reform wird der polnischen Agentur für Flugsicherungsdienste das Recht eingeräumt, Beteiligungen an gewerblichen Unternehmen zu halten, und</w:t>
      </w:r>
      <w:r>
        <w:rPr>
          <w:noProof/>
        </w:rPr>
        <w:t xml:space="preserve"> sie oder ihre Tochtergesellschaften ermächtigen, Pilotprojekte zur Unterstützung der Umsetzung von Geschäftsmodellen und Diensten auf der Grundlage von UAV durchzuführen. Die polnische Agentur für Flugsicherungsdienste fungiert auch als Anbieter spezialis</w:t>
      </w:r>
      <w:r>
        <w:rPr>
          <w:noProof/>
        </w:rPr>
        <w:t>ierter Dienste für unbemannte Luftfahrzeuge im Rahmen des geplanten Netzes von Kompetenzzentren.</w:t>
      </w:r>
    </w:p>
    <w:p w14:paraId="154D2A37" w14:textId="322BF0EA" w:rsidR="00EB245A" w:rsidRDefault="006021EE">
      <w:pPr>
        <w:pStyle w:val="P68B1DB1-Text13"/>
        <w:ind w:left="0"/>
        <w:rPr>
          <w:rFonts w:eastAsia="Times New Roman"/>
          <w:noProof/>
          <w:color w:val="000000"/>
        </w:rPr>
      </w:pPr>
      <w:r>
        <w:rPr>
          <w:noProof/>
        </w:rPr>
        <w:t>Die Umsetzung dieser Reform wird bis zum 30. Juni 2023 abgeschlossen sein.</w:t>
      </w:r>
    </w:p>
    <w:p w14:paraId="62486C05" w14:textId="77777777" w:rsidR="00EB245A" w:rsidRDefault="00EB245A">
      <w:pPr>
        <w:pStyle w:val="Normal0"/>
        <w:spacing w:before="120" w:after="120" w:line="240" w:lineRule="auto"/>
        <w:jc w:val="both"/>
        <w:rPr>
          <w:rFonts w:ascii="Times New Roman" w:eastAsia="Times New Roman" w:hAnsi="Times New Roman" w:cs="Times New Roman"/>
          <w:b/>
          <w:noProof/>
          <w:color w:val="000000" w:themeColor="text1"/>
          <w:sz w:val="24"/>
          <w:u w:val="single"/>
        </w:rPr>
      </w:pPr>
    </w:p>
    <w:p w14:paraId="6E889D12" w14:textId="42E2AEFE" w:rsidR="00EB245A" w:rsidRDefault="006021EE">
      <w:pPr>
        <w:pStyle w:val="P68B1DB1-Text15"/>
        <w:ind w:left="0"/>
        <w:rPr>
          <w:rFonts w:eastAsia="Times New Roman"/>
          <w:noProof/>
        </w:rPr>
      </w:pPr>
      <w:r>
        <w:rPr>
          <w:noProof/>
        </w:rPr>
        <w:t>A2.3.1 Entwicklung und Ausrüstung von Kompetenzzentren (Fachausbildungszentren, Zen</w:t>
      </w:r>
      <w:r>
        <w:rPr>
          <w:noProof/>
        </w:rPr>
        <w:t>tren zur Unterstützung der Umsetzung, Beobachtungsstellen) und der Managementinfrastruktur für unbemannte Fahrzeuge als Innovationsökosystem</w:t>
      </w:r>
    </w:p>
    <w:p w14:paraId="02823E03" w14:textId="1C8C4EAC" w:rsidR="00EB245A" w:rsidRDefault="006021EE">
      <w:pPr>
        <w:pStyle w:val="P68B1DB1-Text13"/>
        <w:ind w:left="0"/>
        <w:rPr>
          <w:rFonts w:eastAsia="Times New Roman"/>
          <w:noProof/>
          <w:color w:val="000000"/>
        </w:rPr>
      </w:pPr>
      <w:r>
        <w:rPr>
          <w:noProof/>
        </w:rPr>
        <w:t>Ziel dieser Investition ist die Einrichtung eines integrierten Systems von Kompetenzzentren und Infrastrukturen für</w:t>
      </w:r>
      <w:r>
        <w:rPr>
          <w:noProof/>
        </w:rPr>
        <w:t xml:space="preserve"> unbemannte Fahrzeuge.</w:t>
      </w:r>
    </w:p>
    <w:p w14:paraId="15460300" w14:textId="0C8AB1FC" w:rsidR="00EB245A" w:rsidRDefault="006021EE">
      <w:pPr>
        <w:pStyle w:val="P68B1DB1-Text13"/>
        <w:ind w:left="0"/>
        <w:rPr>
          <w:rFonts w:eastAsia="Times New Roman"/>
          <w:noProof/>
        </w:rPr>
      </w:pPr>
      <w:r>
        <w:rPr>
          <w:noProof/>
        </w:rPr>
        <w:t>Die Investition besteht in der Einrichtung lokaler Zentren, die mit einer Infrastruktur für unbemannte Fahrzeuge ausgestattet sind. Lokale Zentren und/oder Infrastrukturen werden an zehn Standorten eingerichtet. Der im ersten Kompete</w:t>
      </w:r>
      <w:r>
        <w:rPr>
          <w:noProof/>
        </w:rPr>
        <w:t>nzzentrum entwickelte Dienst (Meilenstein A36G) bildet die Grundlage für die Aufgaben, die in den verbleibenden neun Kompetenzzentren im Rahmen der Etappenziele A34G und A35G ausgeführt werden. Die wichtigsten Elemente des geförderten Projekts sind die ter</w:t>
      </w:r>
      <w:r>
        <w:rPr>
          <w:noProof/>
        </w:rPr>
        <w:t xml:space="preserve">restrische Infrastruktur, lokale Daten- und Verkehrsmanagementzentren sowie digitale Dienste und Hersteller. </w:t>
      </w:r>
    </w:p>
    <w:p w14:paraId="4A33597F" w14:textId="6AA5588B" w:rsidR="00EB245A" w:rsidRDefault="006021EE">
      <w:pPr>
        <w:pStyle w:val="P68B1DB1-Text13"/>
        <w:ind w:left="0"/>
        <w:rPr>
          <w:rFonts w:eastAsia="Times New Roman"/>
          <w:noProof/>
          <w:color w:val="000000"/>
        </w:rPr>
      </w:pPr>
      <w:r>
        <w:rPr>
          <w:noProof/>
        </w:rPr>
        <w:t>Das zweite Element der Investition besteht in der Einführung von Diensten für unbemannte Fahrzeuge, die darauf abzielen, fortgeschrittene Massenfl</w:t>
      </w:r>
      <w:r>
        <w:rPr>
          <w:noProof/>
        </w:rPr>
        <w:t>üge unbemannter Luftfahrzeuge in dem jedem Kompetenzzentrum zugewiesenen Bereich zu ermöglichen.</w:t>
      </w:r>
    </w:p>
    <w:p w14:paraId="609773F7" w14:textId="78D0368C" w:rsidR="00EB245A" w:rsidRDefault="006021EE">
      <w:pPr>
        <w:pStyle w:val="P68B1DB1-Text13"/>
        <w:ind w:left="0"/>
        <w:rPr>
          <w:rFonts w:eastAsia="Times New Roman"/>
          <w:noProof/>
          <w:color w:val="000000"/>
        </w:rPr>
      </w:pPr>
      <w:r>
        <w:rPr>
          <w:noProof/>
        </w:rPr>
        <w:t>Die Durchführung der Investition muss bis zum 30. Juni 2026 abgeschlossen sein.</w:t>
      </w:r>
    </w:p>
    <w:p w14:paraId="66C992EA" w14:textId="77777777" w:rsidR="00EB245A" w:rsidRDefault="00EB245A">
      <w:pPr>
        <w:pStyle w:val="Text1"/>
        <w:ind w:left="0"/>
        <w:rPr>
          <w:rFonts w:eastAsia="Times New Roman"/>
          <w:noProof/>
          <w:color w:val="000000"/>
        </w:rPr>
      </w:pPr>
    </w:p>
    <w:p w14:paraId="00998E28" w14:textId="77777777" w:rsidR="00EB245A" w:rsidRDefault="006021EE">
      <w:pPr>
        <w:pStyle w:val="P68B1DB1-Text15"/>
        <w:ind w:left="0"/>
        <w:rPr>
          <w:rFonts w:eastAsia="Times New Roman"/>
          <w:noProof/>
        </w:rPr>
      </w:pPr>
      <w:r>
        <w:rPr>
          <w:noProof/>
        </w:rPr>
        <w:t>A2.4 Stärkung der Mechanismen für die Zusammenarbeit zwischen Wissenschaft und</w:t>
      </w:r>
      <w:r>
        <w:rPr>
          <w:noProof/>
        </w:rPr>
        <w:t xml:space="preserve"> Industrie</w:t>
      </w:r>
    </w:p>
    <w:p w14:paraId="0D368E6F" w14:textId="42A1F43E" w:rsidR="00EB245A" w:rsidRDefault="006021EE">
      <w:pPr>
        <w:pStyle w:val="P68B1DB1-Text13"/>
        <w:ind w:left="0"/>
        <w:rPr>
          <w:rFonts w:eastAsia="Times New Roman"/>
          <w:noProof/>
          <w:color w:val="000000"/>
        </w:rPr>
      </w:pPr>
      <w:r>
        <w:rPr>
          <w:noProof/>
        </w:rPr>
        <w:t>Die Reform umfasst zwei Maßnahmen. Ziel der ersten Maßnahme ist es, Universitäten und Forschungsinstituten die Möglichkeit zu geben, Anteilseigner von Unternehmen zu werden. Damit soll der Technologietransfer interdisziplinärer und flexibler ges</w:t>
      </w:r>
      <w:r>
        <w:rPr>
          <w:noProof/>
        </w:rPr>
        <w:t xml:space="preserve">taltet werden. </w:t>
      </w:r>
    </w:p>
    <w:p w14:paraId="5A09F544" w14:textId="040AEF90" w:rsidR="00EB245A" w:rsidRDefault="006021EE">
      <w:pPr>
        <w:pStyle w:val="P68B1DB1-Text13"/>
        <w:ind w:left="0"/>
        <w:rPr>
          <w:rFonts w:eastAsia="Times New Roman"/>
          <w:noProof/>
          <w:color w:val="000000"/>
        </w:rPr>
      </w:pPr>
      <w:r>
        <w:rPr>
          <w:noProof/>
        </w:rPr>
        <w:t>Die erste Maßnahme im Rahmen dieser Reform besteht in der Erweiterung der Kategorien von Einrichtungen, mit denen Universitäten Zweckgesellschaften gründen können. Dabei handelt es sich um Forschungsinstitute, Institute der Polnischen Akade</w:t>
      </w:r>
      <w:r>
        <w:rPr>
          <w:noProof/>
        </w:rPr>
        <w:t>mie der Wissenschaften und Institute des Forschungsnetzwerks Łukasiewicz. Die Reform ermöglicht die Schaffung von Fahrzeugen mit besonderer Zweckbestimmung, die speziell für die Vermarktung von FuE-Ergebnissen ausgelegt sind.</w:t>
      </w:r>
    </w:p>
    <w:p w14:paraId="20127AE4" w14:textId="02675FA9" w:rsidR="00EB245A" w:rsidRDefault="006021EE">
      <w:pPr>
        <w:pStyle w:val="P68B1DB1-Text13"/>
        <w:ind w:left="0"/>
        <w:rPr>
          <w:rFonts w:eastAsia="Times New Roman"/>
          <w:noProof/>
          <w:color w:val="000000"/>
        </w:rPr>
      </w:pPr>
      <w:r>
        <w:rPr>
          <w:noProof/>
        </w:rPr>
        <w:t>Die Umsetzung dieser Reform so</w:t>
      </w:r>
      <w:r>
        <w:rPr>
          <w:noProof/>
        </w:rPr>
        <w:t>llte bis zum 31. März 2022 abgeschlossen sein.</w:t>
      </w:r>
    </w:p>
    <w:p w14:paraId="5C185861" w14:textId="25ECB081" w:rsidR="00EB245A" w:rsidRDefault="006021EE">
      <w:pPr>
        <w:pStyle w:val="P68B1DB1-Text13"/>
        <w:ind w:left="0"/>
        <w:rPr>
          <w:rFonts w:eastAsia="Times New Roman"/>
          <w:noProof/>
          <w:color w:val="000000"/>
        </w:rPr>
      </w:pPr>
      <w:r>
        <w:rPr>
          <w:noProof/>
        </w:rPr>
        <w:t>Mit der zweiten Maßnahme im Rahmen dieser Reform werden für die dem Ministerium für Landwirtschaft und ländliche Entwicklung unterstellten Forschungseinrichtungen und nachgeordneten Einheiten Regeln für den Einsatz von Laboratorien, Forschungsinfrastruktur</w:t>
      </w:r>
      <w:r>
        <w:rPr>
          <w:noProof/>
        </w:rPr>
        <w:t xml:space="preserve"> und Wissenstransfer im Rahmen der Zusammenarbeit zwischen Wissenschaft und Wirtschaft festgelegt. Die Regeln für die Gewährung von Beihilfen richten sich nach den Grundsätzen der Nichtdiskriminierung und der Transparenz.</w:t>
      </w:r>
    </w:p>
    <w:p w14:paraId="229874DD" w14:textId="52CD7DCE" w:rsidR="00EB245A" w:rsidRDefault="006021EE">
      <w:pPr>
        <w:pStyle w:val="P68B1DB1-Text13"/>
        <w:ind w:left="0"/>
        <w:rPr>
          <w:rFonts w:eastAsia="Times New Roman"/>
          <w:noProof/>
          <w:color w:val="000000"/>
        </w:rPr>
      </w:pPr>
      <w:r>
        <w:rPr>
          <w:noProof/>
        </w:rPr>
        <w:t>Die Umsetzung dieser Reform sollte</w:t>
      </w:r>
      <w:r>
        <w:rPr>
          <w:noProof/>
        </w:rPr>
        <w:t xml:space="preserve"> bis zum 31. März 2022 abgeschlossen sein.</w:t>
      </w:r>
    </w:p>
    <w:p w14:paraId="4B99056E"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u w:val="single"/>
        </w:rPr>
      </w:pPr>
    </w:p>
    <w:p w14:paraId="3D0BAB01" w14:textId="77777777" w:rsidR="00EB245A" w:rsidRDefault="006021EE">
      <w:pPr>
        <w:pStyle w:val="P68B1DB1-Text15"/>
        <w:ind w:left="0"/>
        <w:rPr>
          <w:rFonts w:eastAsia="Times New Roman"/>
          <w:noProof/>
        </w:rPr>
      </w:pPr>
      <w:r>
        <w:rPr>
          <w:noProof/>
        </w:rPr>
        <w:t>A2.4.1 Investitionen in die Entwicklung von Forschungskapazitäten</w:t>
      </w:r>
    </w:p>
    <w:p w14:paraId="60EB99DB" w14:textId="3D968B51" w:rsidR="00EB245A" w:rsidRDefault="006021EE">
      <w:pPr>
        <w:pStyle w:val="P68B1DB1-Text13"/>
        <w:ind w:left="0"/>
        <w:rPr>
          <w:rFonts w:eastAsia="Times New Roman"/>
          <w:noProof/>
          <w:color w:val="000000"/>
        </w:rPr>
      </w:pPr>
      <w:r>
        <w:rPr>
          <w:noProof/>
        </w:rPr>
        <w:t>Ziel dieser Investition ist es, eine engere Zusammenarbeit zwischen Forschungs- und Innovationseinrichtungen sowie zwischen wissenschaftlichen Ein</w:t>
      </w:r>
      <w:r>
        <w:rPr>
          <w:noProof/>
        </w:rPr>
        <w:t>richtungen und Unternehmen zu gewährleisten. Sie trägt zur Steigerung hochwertiger FuE-Ergebnisse mit hohem Vermarktungspotenzial bei.</w:t>
      </w:r>
    </w:p>
    <w:p w14:paraId="6D6FDD9E" w14:textId="19A793B7" w:rsidR="00EB245A" w:rsidRDefault="006021EE">
      <w:pPr>
        <w:pStyle w:val="P68B1DB1-Text13"/>
        <w:ind w:left="0"/>
        <w:rPr>
          <w:rFonts w:eastAsia="Times New Roman"/>
          <w:noProof/>
        </w:rPr>
      </w:pPr>
      <w:r>
        <w:rPr>
          <w:noProof/>
        </w:rPr>
        <w:t xml:space="preserve">Diese Investition besteht in der Finanzierung der Forschungsinfrastruktur innerhalb des Forschungsnetzwerks Łukasiewicz, </w:t>
      </w:r>
      <w:r>
        <w:rPr>
          <w:noProof/>
        </w:rPr>
        <w:t xml:space="preserve">des polnischen Fahrplans für die Forschungsinfrastruktur sowie der Agrar- und Lebensmittelinstitute und nachgeordneten Einheiten unter der Aufsicht des Ministeriums für Landwirtschaft und ländliche Entwicklung. </w:t>
      </w:r>
    </w:p>
    <w:p w14:paraId="0839BA2B" w14:textId="3BAEEC1C" w:rsidR="00EB245A" w:rsidRDefault="006021EE">
      <w:pPr>
        <w:pStyle w:val="Text1"/>
        <w:ind w:left="0"/>
        <w:rPr>
          <w:rFonts w:eastAsia="Times New Roman"/>
          <w:noProof/>
          <w:color w:val="000000" w:themeColor="text1"/>
        </w:rPr>
      </w:pPr>
      <w:r>
        <w:rPr>
          <w:noProof/>
          <w:color w:val="000000"/>
        </w:rPr>
        <w:t>Um sicherzustellen, dass die Maßnahme den Te</w:t>
      </w:r>
      <w:r>
        <w:rPr>
          <w:noProof/>
          <w:color w:val="000000"/>
        </w:rPr>
        <w:t>chnischen Leitlinien für die „Vermeidung erheblicher Beeinträchtigungen“ (2021/C 58/01) entspricht, werden die folgenden Tätigkeiten von den Förderkriterien für künftige Aufforderungen zur Einreichung von Projektvorschlägen ausgeschlossen: I) Tätigkeiten i</w:t>
      </w:r>
      <w:r>
        <w:rPr>
          <w:noProof/>
          <w:color w:val="000000"/>
        </w:rPr>
        <w:t>m Zusammenhang mit fossilen Brennstoffen, einschließlich nachgelagerter Verwendung</w:t>
      </w:r>
      <w:r w:rsidRPr="004E1987">
        <w:rPr>
          <w:rStyle w:val="FootnoteReference"/>
          <w:rFonts w:eastAsia="Times New Roman"/>
          <w:noProof/>
          <w:color w:val="000000" w:themeColor="text1"/>
        </w:rPr>
        <w:footnoteReference w:id="8"/>
      </w:r>
      <w:r>
        <w:rPr>
          <w:noProof/>
          <w:color w:val="000000"/>
        </w:rPr>
        <w:t xml:space="preserve">; II) Tätigkeiten im Rahmen des EU-Emissionshandelssystems (EHS), bei denen projizierte Treibhausgasemissionen erreicht werden, die nicht unter den einschlägigen Benchmarks </w:t>
      </w:r>
      <w:r>
        <w:rPr>
          <w:noProof/>
          <w:color w:val="000000"/>
        </w:rPr>
        <w:t>liegen</w:t>
      </w:r>
      <w:r w:rsidRPr="004E1987">
        <w:rPr>
          <w:rStyle w:val="FootnoteReference"/>
          <w:rFonts w:eastAsia="Times New Roman"/>
          <w:noProof/>
          <w:color w:val="000000" w:themeColor="text1"/>
        </w:rPr>
        <w:footnoteReference w:id="9"/>
      </w:r>
      <w:r>
        <w:rPr>
          <w:noProof/>
          <w:color w:val="000000"/>
        </w:rPr>
        <w:t>; III) Tätigkeiten im Zusammenhang mit Abfalldeponien, Verbrennungsanlagen</w:t>
      </w:r>
      <w:r w:rsidRPr="004E1987">
        <w:rPr>
          <w:rStyle w:val="FootnoteReference"/>
          <w:rFonts w:eastAsia="Times New Roman"/>
          <w:noProof/>
          <w:color w:val="000000" w:themeColor="text1"/>
        </w:rPr>
        <w:footnoteReference w:id="10"/>
      </w:r>
      <w:r>
        <w:rPr>
          <w:noProof/>
          <w:color w:val="000000"/>
        </w:rPr>
        <w:t xml:space="preserve"> und Anlagen zur mechanisch-biologischen Behandlung</w:t>
      </w:r>
      <w:r w:rsidRPr="004E1987">
        <w:rPr>
          <w:rStyle w:val="FootnoteReference"/>
          <w:rFonts w:eastAsia="Times New Roman"/>
          <w:noProof/>
          <w:color w:val="000000" w:themeColor="text1"/>
        </w:rPr>
        <w:footnoteReference w:id="11"/>
      </w:r>
      <w:r>
        <w:rPr>
          <w:noProof/>
          <w:color w:val="000000"/>
        </w:rPr>
        <w:t xml:space="preserve">; und iv) Tätigkeiten, bei denen die langfristige Beseitigung von Abfällen der Umwelt schaden kann. </w:t>
      </w:r>
    </w:p>
    <w:p w14:paraId="69F816B6" w14:textId="7E1E4E21" w:rsidR="00EB245A" w:rsidRDefault="006021EE">
      <w:pPr>
        <w:pStyle w:val="P68B1DB1-Text13"/>
        <w:ind w:left="0"/>
        <w:rPr>
          <w:rFonts w:eastAsia="Times New Roman"/>
          <w:noProof/>
          <w:color w:val="000000"/>
        </w:rPr>
      </w:pPr>
      <w:r>
        <w:rPr>
          <w:noProof/>
        </w:rPr>
        <w:t xml:space="preserve">Die Durchführung der </w:t>
      </w:r>
      <w:r>
        <w:rPr>
          <w:noProof/>
        </w:rPr>
        <w:t>Investition muss bis zum 30. Juni 2026 abgeschlossen sein.</w:t>
      </w:r>
    </w:p>
    <w:p w14:paraId="7D6BE619" w14:textId="77777777" w:rsidR="00EB245A" w:rsidRDefault="00EB245A">
      <w:pPr>
        <w:pStyle w:val="Normal0"/>
        <w:spacing w:before="120" w:after="120" w:line="240" w:lineRule="auto"/>
        <w:jc w:val="both"/>
        <w:rPr>
          <w:rFonts w:ascii="Times New Roman" w:eastAsia="Times New Roman" w:hAnsi="Times New Roman" w:cs="Times New Roman"/>
          <w:noProof/>
          <w:color w:val="000000" w:themeColor="text1"/>
          <w:sz w:val="24"/>
        </w:rPr>
      </w:pPr>
    </w:p>
    <w:p w14:paraId="5CCFB21C" w14:textId="318E4154" w:rsidR="00EB245A" w:rsidRDefault="006021EE">
      <w:pPr>
        <w:pStyle w:val="P68B1DB1-Text17"/>
        <w:ind w:left="0"/>
        <w:rPr>
          <w:rFonts w:eastAsia="Times New Roman"/>
          <w:noProof/>
          <w:color w:val="000000" w:themeColor="text1"/>
        </w:rPr>
      </w:pPr>
      <w:r>
        <w:rPr>
          <w:noProof/>
        </w:rPr>
        <w:t>Teilkomponente A3 – Bildung für die moderne Wirtschaft</w:t>
      </w:r>
    </w:p>
    <w:p w14:paraId="396CF71A"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rPr>
      </w:pPr>
    </w:p>
    <w:p w14:paraId="4D56A643" w14:textId="55E78B5B" w:rsidR="00EB245A" w:rsidRDefault="006021EE">
      <w:pPr>
        <w:pStyle w:val="P68B1DB1-Text15"/>
        <w:ind w:left="0"/>
        <w:rPr>
          <w:noProof/>
        </w:rPr>
      </w:pPr>
      <w:r>
        <w:rPr>
          <w:noProof/>
        </w:rPr>
        <w:t>A3.1 Arbeitskräfte für die moderne Wirtschaft: Verbesserung der Abstimmung von Kompetenzen und Qualifikationen auf die Anforderungen des Arb</w:t>
      </w:r>
      <w:r>
        <w:rPr>
          <w:noProof/>
        </w:rPr>
        <w:t>eitsmarkts aufgrund der Einführung neuer Technologien in der Wirtschaft und des ökologischen und digitalen Wandels</w:t>
      </w:r>
    </w:p>
    <w:p w14:paraId="6ED81CE6" w14:textId="450EFBC2" w:rsidR="00EB245A" w:rsidRDefault="006021EE">
      <w:pPr>
        <w:pStyle w:val="P68B1DB1-Text13"/>
        <w:ind w:left="0"/>
        <w:rPr>
          <w:rFonts w:eastAsia="Times New Roman"/>
          <w:noProof/>
          <w:color w:val="000000"/>
        </w:rPr>
      </w:pPr>
      <w:r>
        <w:rPr>
          <w:noProof/>
        </w:rPr>
        <w:t>Hauptziel der Reform ist es, die Arbeitskräfte auf die moderne Wirtschaft vorzubereiten und die Anpassung von Kompetenzen und Qualifikationen</w:t>
      </w:r>
      <w:r>
        <w:rPr>
          <w:noProof/>
        </w:rPr>
        <w:t xml:space="preserve"> an die Anforderungen des Arbeitsmarkts im Zusammenhang mit der Einführung neuer Technologien in der Wirtschaft und dem ökologischen und digitalen Wandel zu verbessern. </w:t>
      </w:r>
    </w:p>
    <w:p w14:paraId="0357DF2E" w14:textId="3B84D661" w:rsidR="00EB245A" w:rsidRDefault="006021EE">
      <w:pPr>
        <w:pStyle w:val="P68B1DB1-Text13"/>
        <w:ind w:left="0"/>
        <w:rPr>
          <w:rFonts w:eastAsia="Times New Roman"/>
          <w:noProof/>
          <w:color w:val="000000"/>
        </w:rPr>
      </w:pPr>
      <w:r>
        <w:rPr>
          <w:noProof/>
        </w:rPr>
        <w:t>Ziel dieser Reform ist es, branchenspezifische Kompetenzzentren einzurichten und die e</w:t>
      </w:r>
      <w:r>
        <w:rPr>
          <w:noProof/>
        </w:rPr>
        <w:t>inschlägigen Rechtsvorschriften zu ändern, um gezielte Weiterbildungs- und Umschulungsdienste bereitzustellen. Ziel der Reform ist es, die Zusammenarbeit der Arbeitgeber mit Anbietern beruflicher Bildung zu unterstützen, zur Verbreitung innovativer Lösunge</w:t>
      </w:r>
      <w:r>
        <w:rPr>
          <w:noProof/>
        </w:rPr>
        <w:t xml:space="preserve">n beizutragen und Innovationen in der beruflichen Bildung zu fördern. Die Inklusion von Menschen mit Behinderungen ist ebenfalls zu berücksichtigen. Als solche ergänzen die Kompetenzzentren das bestehende Angebot an weiterführender und höherer beruflicher </w:t>
      </w:r>
      <w:r>
        <w:rPr>
          <w:noProof/>
        </w:rPr>
        <w:t>Aus- und Weiterbildung sowie lebenslangem Lernen.</w:t>
      </w:r>
    </w:p>
    <w:p w14:paraId="139CAF24" w14:textId="2B60AA78" w:rsidR="00EB245A" w:rsidRDefault="006021EE">
      <w:pPr>
        <w:pStyle w:val="P68B1DB1-Text13"/>
        <w:ind w:left="0"/>
        <w:rPr>
          <w:rFonts w:eastAsia="Times New Roman"/>
          <w:noProof/>
          <w:color w:val="000000"/>
        </w:rPr>
      </w:pPr>
      <w:r>
        <w:rPr>
          <w:noProof/>
        </w:rPr>
        <w:t>Die Reform umfasst eine Änderung des Bildungsgesetzes und der Lehrercharta. Dies erfolgt im Anschluss an eine Überprüfung in enger Zusammenarbeit mit den Sozialpartnern, regionalen Behörden, Sektoren und an</w:t>
      </w:r>
      <w:r>
        <w:rPr>
          <w:noProof/>
        </w:rPr>
        <w:t xml:space="preserve">deren Interessenträgern. Mit der Änderung des Bildungsgesetzes wird ein Entwicklungsplan für das Netz der Kompetenzzentren vorgesehen, der Ort und die Rolle der Kompetenzzentren im System der allgemeinen und beruflichen Bildung festgelegt, die Bedingungen </w:t>
      </w:r>
      <w:r>
        <w:rPr>
          <w:noProof/>
        </w:rPr>
        <w:t>für die Beschäftigung von Personal in den Kompetenzzentren festgelegt, Bestimmungen für zyklische Überprüfungen festgelegt, um die Aufsicht über ihre Leitung und Nachhaltigkeit nach 2026 sicherzustellen, und ein bestehendes Governance-System mit maßgeschne</w:t>
      </w:r>
      <w:r>
        <w:rPr>
          <w:noProof/>
        </w:rPr>
        <w:t>iderten Bestimmungen über die Governance von Kompetenzzentren, einschließlich Arbeitgebern (einschließlich Vertretern von KMU), Sozialpartnern und anderen einschlägigen Interessenträgern, einschließlich regionaler und lokaler Behörden, angepasst. Sie umfas</w:t>
      </w:r>
      <w:r>
        <w:rPr>
          <w:noProof/>
        </w:rPr>
        <w:t>st auch die Festlegung von Finanzierungsregelungen (auch nach Einstellung der EU-Unterstützung), Ausbildungsbedingungen, Bestimmungen für Berufsberatung und Lehrpläne, und es werden die Arten der angebotenen Ausbildung, die Zielgruppen, die Arten von Quali</w:t>
      </w:r>
      <w:r>
        <w:rPr>
          <w:noProof/>
        </w:rPr>
        <w:t>fikationen und Standards, Qualitätssicherungs- und Überprüfungsmechanismen sowie die Art und Weise, wie die Sektoren mit den Kompetenzzentren verknüpft werden sollen, festgelegt. Die Änderung der Lehrercharta soll die Weiterbildung von Lehrkräften in der b</w:t>
      </w:r>
      <w:r>
        <w:rPr>
          <w:noProof/>
        </w:rPr>
        <w:t>eruflichen Bildung durch die Kompetenzzentren ermöglichen.</w:t>
      </w:r>
    </w:p>
    <w:p w14:paraId="2892FC7F" w14:textId="0413F7C5" w:rsidR="00EB245A" w:rsidRDefault="006021EE">
      <w:pPr>
        <w:pStyle w:val="P68B1DB1-Text13"/>
        <w:ind w:left="0"/>
        <w:rPr>
          <w:rFonts w:eastAsia="Times New Roman"/>
          <w:noProof/>
          <w:color w:val="000000"/>
        </w:rPr>
      </w:pPr>
      <w:r>
        <w:rPr>
          <w:noProof/>
        </w:rPr>
        <w:t xml:space="preserve">Die Reform zielt auch darauf ab, die Koordinierung der beruflichen Aus- und Weiterbildung, der Hochschulbildung und des lebenslangen Lernens in den Regionen anzupassen, um nachhaltige und wirksame </w:t>
      </w:r>
      <w:r>
        <w:rPr>
          <w:noProof/>
        </w:rPr>
        <w:t xml:space="preserve">Methoden der Zusammenarbeit und Interaktion zwischen den verschiedenen Akteuren im Bereich der Kompetenzentwicklung zu schaffen, die Teil der verschiedenen Governance-Strukturen sind (z. B. Bildungseinrichtungen, Arbeitsmarkteinrichtungen, Unternehmen und </w:t>
      </w:r>
      <w:r>
        <w:rPr>
          <w:noProof/>
        </w:rPr>
        <w:t xml:space="preserve">Arbeitgeberverbände sowie lokale Behörden). </w:t>
      </w:r>
    </w:p>
    <w:p w14:paraId="29ED6463" w14:textId="13FEED0E" w:rsidR="00EB245A" w:rsidRDefault="006021EE">
      <w:pPr>
        <w:pStyle w:val="P68B1DB1-Text13"/>
        <w:ind w:left="0"/>
        <w:rPr>
          <w:rFonts w:eastAsia="Times New Roman"/>
          <w:noProof/>
          <w:color w:val="000000"/>
        </w:rPr>
      </w:pPr>
      <w:r>
        <w:rPr>
          <w:noProof/>
        </w:rPr>
        <w:t>Dies soll durch das Inkrafttreten von Änderungen mehrerer Rechtsakte, nach Überprüfung bestehender Koordinierungsmechanismen und in enger Zusammenarbeit mit den lokalen und regionalen Gebietskörperschaften errei</w:t>
      </w:r>
      <w:r>
        <w:rPr>
          <w:noProof/>
        </w:rPr>
        <w:t>cht werden. Im Rahmen der Reform werden die Rechte und Verantwortlichkeiten der Regionen bei der Koordinierung der Kompetenzpolitik ermittelt und die Weiterbildungsangebote von Einrichtungen des lebenslangen Lernens auf der Grundlage operationeller Durchfü</w:t>
      </w:r>
      <w:r>
        <w:rPr>
          <w:noProof/>
        </w:rPr>
        <w:t>hrungsprogramme für die (nationale) integrierte Kompetenzstrategie 2030 auf regionaler Ebene beeinflusst. Diese Änderungen umfassen die rechtliche Einrichtung regionaler Koordinierungsteams (eines in jeder polnischen Woiwodschaft), die die Politik der beru</w:t>
      </w:r>
      <w:r>
        <w:rPr>
          <w:noProof/>
        </w:rPr>
        <w:t>flichen Aus- und Weiterbildung, die Hochschulbildung und das lebenslange Lernen koordinieren; eine Governance-Struktur, die die Zuständigkeiten der Regionen und der Sozialpartner umfasst; die Verpflichtung, operationelle Durchführungsprogramme für die nati</w:t>
      </w:r>
      <w:r>
        <w:rPr>
          <w:noProof/>
        </w:rPr>
        <w:t>onale integrierte Kompetenzstrategie 2030 auf regionaler Ebene (eines in jeder „Woiwodschaft“) anzunehmen und ein Programm alle fünf Jahre zu aktualisieren und sicherzustellen, dass das Lernangebot an die diagnostizierten Qualifikationsanforderungen angepa</w:t>
      </w:r>
      <w:r>
        <w:rPr>
          <w:noProof/>
        </w:rPr>
        <w:t>sst wird. Die Änderungen umfassen Bestimmungen über die Arbeitsweise des Koordinierungsbüros (Bereitstellung von Diensten für die regionalen Koordinierungsteams) und einen Umsetzungsplan für die Überwachung und Bewertung.</w:t>
      </w:r>
    </w:p>
    <w:p w14:paraId="1330F20D" w14:textId="08D94D04" w:rsidR="00EB245A" w:rsidRDefault="006021EE">
      <w:pPr>
        <w:pStyle w:val="P68B1DB1-Text13"/>
        <w:ind w:left="0"/>
        <w:rPr>
          <w:rFonts w:eastAsia="Times New Roman"/>
          <w:noProof/>
        </w:rPr>
      </w:pPr>
      <w:r>
        <w:rPr>
          <w:noProof/>
        </w:rPr>
        <w:t>Die Durchfü</w:t>
      </w:r>
      <w:r>
        <w:rPr>
          <w:noProof/>
        </w:rPr>
        <w:t xml:space="preserve">hrung der Reform wird bis zum 31. März 2025 abgeschlossen. </w:t>
      </w:r>
    </w:p>
    <w:p w14:paraId="136C4316"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rPr>
      </w:pPr>
    </w:p>
    <w:p w14:paraId="3F8F7F17" w14:textId="38D6C5C1" w:rsidR="00EB245A" w:rsidRDefault="006021EE">
      <w:pPr>
        <w:pStyle w:val="P68B1DB1-Text15"/>
        <w:ind w:left="0"/>
        <w:rPr>
          <w:rFonts w:eastAsia="Times New Roman"/>
          <w:noProof/>
        </w:rPr>
      </w:pPr>
      <w:r>
        <w:rPr>
          <w:noProof/>
        </w:rPr>
        <w:t>A3.1.1 Investitionen in moderne Berufsbildung, Hochschulbildung und lebenslanges Lernen</w:t>
      </w:r>
    </w:p>
    <w:p w14:paraId="370C55E9" w14:textId="614BCC5B" w:rsidR="00EB245A" w:rsidRDefault="006021EE">
      <w:pPr>
        <w:pStyle w:val="P68B1DB1-Text13"/>
        <w:ind w:left="0"/>
        <w:rPr>
          <w:rFonts w:eastAsia="Times New Roman"/>
          <w:noProof/>
          <w:color w:val="000000"/>
        </w:rPr>
      </w:pPr>
      <w:r>
        <w:rPr>
          <w:noProof/>
        </w:rPr>
        <w:t xml:space="preserve">Die Investition im Zusammenhang mit der Reform A3.1 zielt auf die tatsächliche Schaffung und das </w:t>
      </w:r>
      <w:r>
        <w:rPr>
          <w:noProof/>
        </w:rPr>
        <w:t>uneingeschränkte Funktionieren des Netzes sektoraler Kompetenzzentren ab, um die Entwicklung einer modernen Berufsbildung, der Hochschulbildung und des lebenslangen Lernens zu unterstützen. Dazu gehören die Einrichtung von Kompetenzzentren und die Bereitst</w:t>
      </w:r>
      <w:r>
        <w:rPr>
          <w:noProof/>
        </w:rPr>
        <w:t xml:space="preserve">ellung von Berufsbildungskursen und Lehrplänen, auch für Erwachsene, Studierende, junge Menschen, Lehrkräfte in der beruflichen Aus- und Weiterbildung und Arbeitnehmer. Die Investition umfasst nicht den Erwerb von Grundstücken. </w:t>
      </w:r>
    </w:p>
    <w:p w14:paraId="310025BF" w14:textId="33EBA663" w:rsidR="00EB245A" w:rsidRDefault="006021EE">
      <w:pPr>
        <w:pStyle w:val="P68B1DB1-Text13"/>
        <w:ind w:left="0"/>
        <w:rPr>
          <w:rFonts w:eastAsia="Times New Roman"/>
          <w:noProof/>
        </w:rPr>
      </w:pPr>
      <w:r>
        <w:rPr>
          <w:noProof/>
        </w:rPr>
        <w:t xml:space="preserve">Für die Bereitstellung von </w:t>
      </w:r>
      <w:r>
        <w:rPr>
          <w:noProof/>
        </w:rPr>
        <w:t>Weiterbildungs- und Umschulungs- und Ausbildungsprogrammen in den Kompetenzzentren, einschließlich der Zertifizierung von Lernergebnissen, werden 24000 Lernende in allen Zentren geschult. Von diesen Lernenden müssen mindestens 60 % Erwachsene sein (mindest</w:t>
      </w:r>
      <w:r>
        <w:rPr>
          <w:noProof/>
        </w:rPr>
        <w:t>ens 25 Jahre alt – ohne Lehrkräfte in der beruflichen Aus- und Weiterbildung); mindestens 20 % der Lernenden müssen junge Menschen (zwischen 14 und 24 Jahren) sein; mindestens 10 % der Lernenden müssen Lehrkräfte in der beruflichen Aus- und Weiterbildung s</w:t>
      </w:r>
      <w:r>
        <w:rPr>
          <w:noProof/>
        </w:rPr>
        <w:t>ein, die in den ersten beiden Betriebsjahren der Kompetenzzentren (nach der Reform des Lehrergesetzes) an der Ausbildung teilnehmen. Schließlich muss jedes Weiterbildungsprogramm mindestens eine digitale und eine grüne Dimension umfassen, die auf dem beste</w:t>
      </w:r>
      <w:r>
        <w:rPr>
          <w:noProof/>
        </w:rPr>
        <w:t xml:space="preserve">n verfügbaren Wissen und der besten verfügbaren Wissenschaft beruht. Mindestens 90 Branchenorganisationen müssen in die Kompetenzzentren einbezogen werden (für die Schulungen angeboten werden). </w:t>
      </w:r>
    </w:p>
    <w:p w14:paraId="0191D6C5" w14:textId="5FE7E4BE" w:rsidR="00EB245A" w:rsidRDefault="006021EE">
      <w:pPr>
        <w:pStyle w:val="P68B1DB1-Text13"/>
        <w:ind w:left="0"/>
        <w:rPr>
          <w:rFonts w:eastAsia="Times New Roman"/>
          <w:noProof/>
          <w:color w:val="000000"/>
        </w:rPr>
      </w:pPr>
      <w:r>
        <w:rPr>
          <w:noProof/>
        </w:rPr>
        <w:t>Mit der Investition werden außerdem mindestens 14 funktionier</w:t>
      </w:r>
      <w:r>
        <w:rPr>
          <w:noProof/>
        </w:rPr>
        <w:t>ende regionale Koordinierungsteams eingerichtet, deren übergeordnetes Ziel es ist, 16 regionale Koordinierungsteams (eines für jede „Woiwodschaft“) zu erreichen. Diese Teams koordinieren die Politik in den Bereichen berufliche Aus- und Weiterbildung und le</w:t>
      </w:r>
      <w:r>
        <w:rPr>
          <w:noProof/>
        </w:rPr>
        <w:t xml:space="preserve">benslanges Lernen. Die Investition umfasst die Unterstützung und Entwicklung von Koordinierungsmechanismen auf zentraler und regionaler Ebene sowie die Unterstützung der Tätigkeiten der regionalen Teams zur Erfüllung ihrer Aufgaben. </w:t>
      </w:r>
    </w:p>
    <w:p w14:paraId="52E8EA61" w14:textId="7617EE91" w:rsidR="00EB245A" w:rsidRDefault="006021EE">
      <w:pPr>
        <w:pStyle w:val="P68B1DB1-Text13"/>
        <w:ind w:left="0"/>
        <w:rPr>
          <w:rFonts w:eastAsia="Times New Roman"/>
          <w:noProof/>
          <w:color w:val="000000"/>
        </w:rPr>
      </w:pPr>
      <w:r>
        <w:rPr>
          <w:noProof/>
        </w:rPr>
        <w:t xml:space="preserve">Darüber hinaus werden </w:t>
      </w:r>
      <w:r>
        <w:rPr>
          <w:noProof/>
        </w:rPr>
        <w:t>mit dem übergeordneten Ziel, 16 operationelle Durchführungsprogramme auf regionaler Ebene (eines für jede Woiwodschaft) zu entwickeln, von den bestehenden regionalen Koordinierungsteams für berufliche Aus- und Weiterbildung und lebenslanges Lernen mindeste</w:t>
      </w:r>
      <w:r>
        <w:rPr>
          <w:noProof/>
        </w:rPr>
        <w:t>ns 14 operationelle Durchführungsprogramme auf regionaler Ebene entwickelt. Dabei handelt es sich um Durchführungsprogramme für die nationale integrierte Kompetenzstrategie 2030 auf regionaler Ebene.</w:t>
      </w:r>
    </w:p>
    <w:p w14:paraId="2298B8EB" w14:textId="11F38318" w:rsidR="00EB245A" w:rsidRDefault="006021EE">
      <w:pPr>
        <w:pStyle w:val="P68B1DB1-Text13"/>
        <w:ind w:left="0"/>
        <w:rPr>
          <w:rFonts w:eastAsia="Times New Roman"/>
          <w:noProof/>
        </w:rPr>
      </w:pPr>
      <w:r>
        <w:rPr>
          <w:noProof/>
        </w:rPr>
        <w:t>Die Durchführung der Investition muss bis zum 30. Juni 2</w:t>
      </w:r>
      <w:r>
        <w:rPr>
          <w:noProof/>
        </w:rPr>
        <w:t>026 abgeschlossen sein.</w:t>
      </w:r>
    </w:p>
    <w:p w14:paraId="708B375E"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u w:val="single"/>
        </w:rPr>
      </w:pPr>
    </w:p>
    <w:p w14:paraId="2A062E5F" w14:textId="147032B0" w:rsidR="00EB245A" w:rsidRDefault="006021EE">
      <w:pPr>
        <w:pStyle w:val="P68B1DB1-Text17"/>
        <w:ind w:left="0"/>
        <w:rPr>
          <w:rFonts w:eastAsia="Times New Roman"/>
          <w:noProof/>
        </w:rPr>
      </w:pPr>
      <w:r>
        <w:rPr>
          <w:noProof/>
        </w:rPr>
        <w:t>Teilkomponente A4 – Erhöhung der strukturellen Abstimmung von Angebot und Nachfrage, Effizienz und Krisenresilienz des Arbeitsmarkts</w:t>
      </w:r>
    </w:p>
    <w:p w14:paraId="3A544A3F" w14:textId="77777777" w:rsidR="00EB245A" w:rsidRDefault="00EB245A">
      <w:pPr>
        <w:spacing w:after="0"/>
        <w:rPr>
          <w:rFonts w:ascii="Times New Roman" w:eastAsia="Times New Roman" w:hAnsi="Times New Roman" w:cs="Times New Roman"/>
          <w:b/>
          <w:noProof/>
          <w:color w:val="000000"/>
          <w:sz w:val="24"/>
        </w:rPr>
      </w:pPr>
    </w:p>
    <w:p w14:paraId="12D0269F" w14:textId="77777777" w:rsidR="00EB245A" w:rsidRDefault="006021EE">
      <w:pPr>
        <w:pStyle w:val="P68B1DB1-Text17"/>
        <w:ind w:left="0"/>
        <w:rPr>
          <w:rFonts w:eastAsia="Times New Roman"/>
          <w:noProof/>
          <w:u w:val="single"/>
        </w:rPr>
      </w:pPr>
      <w:r>
        <w:rPr>
          <w:noProof/>
          <w:u w:val="single"/>
        </w:rPr>
        <w:t>A4.1 Wirksame Arbeitsmarktinstitutionen</w:t>
      </w:r>
      <w:r>
        <w:rPr>
          <w:noProof/>
        </w:rPr>
        <w:t xml:space="preserve"> </w:t>
      </w:r>
    </w:p>
    <w:p w14:paraId="3FF900EA" w14:textId="6B224562" w:rsidR="00EB245A" w:rsidRDefault="006021EE">
      <w:pPr>
        <w:pStyle w:val="P68B1DB1-Text13"/>
        <w:ind w:left="0"/>
        <w:rPr>
          <w:rFonts w:eastAsia="Times New Roman"/>
          <w:noProof/>
          <w:color w:val="000000"/>
        </w:rPr>
      </w:pPr>
      <w:r>
        <w:rPr>
          <w:noProof/>
        </w:rPr>
        <w:t>Das übergeordnete Ziel der Reform besteht darin, die Erw</w:t>
      </w:r>
      <w:r>
        <w:rPr>
          <w:noProof/>
        </w:rPr>
        <w:t>erbsbeteiligung zu erhöhen, um zu einer höheren Produktivität, Krisenresilienz und globalen Wettbewerbsfähigkeit der polnischen Wirtschaft beizutragen. Ein weiteres Ziel ist die Schaffung neuer Flexibilität und Sicherheit auf dem polnischen Arbeitsmarkt. Z</w:t>
      </w:r>
      <w:r>
        <w:rPr>
          <w:noProof/>
        </w:rPr>
        <w:t>u diesem Zweck zielt die Reform darauf ab, I) Neugestaltung der Arbeitsweise der öffentlichen Arbeitsverwaltungen und Verbesserung der aktiven Arbeitsmarktpolitik; II) Erleichterung des Einstellungsverfahrens für ausländische Arbeitnehmer; III) Vereinfachu</w:t>
      </w:r>
      <w:r>
        <w:rPr>
          <w:noProof/>
        </w:rPr>
        <w:t>ng der Einstellungsverfahren durch die Umsetzung neuer Bestimmungen über elektronische Verträge; und iv) Auslotung von Möglichkeiten für eine verstärkte Nutzung von Tarifverträgen und eines einzigen Arbeitsvertrags.</w:t>
      </w:r>
    </w:p>
    <w:p w14:paraId="51E05130" w14:textId="331423E5" w:rsidR="00EB245A" w:rsidRDefault="006021EE">
      <w:pPr>
        <w:pStyle w:val="P68B1DB1-Text13"/>
        <w:ind w:left="0"/>
        <w:rPr>
          <w:rFonts w:eastAsia="Times New Roman"/>
          <w:noProof/>
          <w:color w:val="000000"/>
        </w:rPr>
      </w:pPr>
      <w:r>
        <w:rPr>
          <w:noProof/>
        </w:rPr>
        <w:t>Die Reform besteht aus dem Inkrafttreten</w:t>
      </w:r>
      <w:r>
        <w:rPr>
          <w:noProof/>
        </w:rPr>
        <w:t xml:space="preserve"> neuer Rechtsvorschriften über öffentliche Arbeitsverwaltungen, über die Beschäftigung von Drittstaatsangehörigen und über den elektronischen Abschluss bestimmter Arbeitsverträge. Darüber hinaus besteht die Reform in der Annahme neuer Standards und eines n</w:t>
      </w:r>
      <w:r>
        <w:rPr>
          <w:noProof/>
        </w:rPr>
        <w:t>euen Leistungsrahmens für die Arbeitsweise und Koordinierung der öffentlichen Arbeitsverwaltungen. Es wird ein Konsultationsprozess der Sozialpartner zum Potenzial von Tarifverträgen und eine umfassende Studie über die potenzielle Rolle eines einzigen Arbe</w:t>
      </w:r>
      <w:r>
        <w:rPr>
          <w:noProof/>
        </w:rPr>
        <w:t>itsvertrags durchgeführt. Die einschlägigen Reformprioritäten, die in der Konsultation und in der Studie ermittelt wurden, werden durch das Inkrafttreten einer Änderung der einschlägigen Gesetze umgesetzt.</w:t>
      </w:r>
    </w:p>
    <w:p w14:paraId="230F3499" w14:textId="4DB2D20F" w:rsidR="00EB245A" w:rsidRDefault="006021EE">
      <w:pPr>
        <w:pStyle w:val="P68B1DB1-Text13"/>
        <w:ind w:left="0"/>
        <w:rPr>
          <w:rFonts w:eastAsia="Times New Roman"/>
          <w:noProof/>
          <w:color w:val="000000"/>
        </w:rPr>
      </w:pPr>
      <w:r>
        <w:rPr>
          <w:noProof/>
        </w:rPr>
        <w:t>Die Durchführung der Reform muss bis zum 31. Dezem</w:t>
      </w:r>
      <w:r>
        <w:rPr>
          <w:noProof/>
        </w:rPr>
        <w:t>ber 2024 abgeschlossen sein.</w:t>
      </w:r>
    </w:p>
    <w:p w14:paraId="1FC39945" w14:textId="77777777" w:rsidR="00EB245A" w:rsidRDefault="00EB245A">
      <w:pPr>
        <w:pStyle w:val="Normal0"/>
        <w:spacing w:before="120" w:after="120" w:line="240" w:lineRule="auto"/>
        <w:jc w:val="both"/>
        <w:rPr>
          <w:rFonts w:ascii="Times New Roman" w:eastAsia="Times New Roman" w:hAnsi="Times New Roman" w:cs="Times New Roman"/>
          <w:noProof/>
          <w:color w:val="000000" w:themeColor="text1"/>
          <w:sz w:val="24"/>
        </w:rPr>
      </w:pPr>
    </w:p>
    <w:p w14:paraId="2FDB5F36" w14:textId="77777777" w:rsidR="00EB245A" w:rsidRDefault="006021EE">
      <w:pPr>
        <w:pStyle w:val="P68B1DB1-Text15"/>
        <w:ind w:left="0"/>
        <w:rPr>
          <w:rFonts w:eastAsia="Times New Roman"/>
          <w:noProof/>
        </w:rPr>
      </w:pPr>
      <w:r>
        <w:rPr>
          <w:noProof/>
        </w:rPr>
        <w:t xml:space="preserve">A4.1.1 Investitionen zur Unterstützung der Reform der Arbeitsmarktinstitutionen </w:t>
      </w:r>
    </w:p>
    <w:p w14:paraId="3D3584B1" w14:textId="77777777" w:rsidR="00EB245A" w:rsidRDefault="006021EE">
      <w:pPr>
        <w:pStyle w:val="P68B1DB1-Text13"/>
        <w:ind w:left="0"/>
        <w:rPr>
          <w:rFonts w:eastAsia="Times New Roman"/>
          <w:noProof/>
          <w:color w:val="000000"/>
        </w:rPr>
      </w:pPr>
      <w:r>
        <w:rPr>
          <w:noProof/>
        </w:rPr>
        <w:t>Das übergeordnete Ziel dieser Investition besteht darin, die Kapazitäten der öffentlichen Arbeitsverwaltungen zur Unterstützung des Funktionieren</w:t>
      </w:r>
      <w:r>
        <w:rPr>
          <w:noProof/>
        </w:rPr>
        <w:t>s des Arbeitsmarktes zu erhöhen. Zu diesem Zweck zielt die Investition darauf ab, die Dienste und Instrumente der öffentlichen Arbeitsverwaltungen zu digitalisieren, das Personal der öffentlichen Arbeitsverwaltungen zu schulen und eine Informationskampagne</w:t>
      </w:r>
      <w:r>
        <w:rPr>
          <w:noProof/>
        </w:rPr>
        <w:t xml:space="preserve"> über die neuen Dienstleistungen durchzuführen, die von den öffentlichen Arbeitsverwaltungen angeboten werden, auch für ihre erstmaligen künftigen Nutzer.</w:t>
      </w:r>
    </w:p>
    <w:p w14:paraId="0883A34B" w14:textId="16A1B557" w:rsidR="00EB245A" w:rsidRDefault="006021EE">
      <w:pPr>
        <w:pStyle w:val="P68B1DB1-Text13"/>
        <w:ind w:left="0"/>
        <w:rPr>
          <w:rFonts w:eastAsia="Times New Roman"/>
          <w:noProof/>
          <w:color w:val="000000"/>
        </w:rPr>
      </w:pPr>
      <w:r>
        <w:rPr>
          <w:noProof/>
        </w:rPr>
        <w:t xml:space="preserve">Die Investitionen umfassen i) die Digitalisierung der Verfahren der öffentlichen Arbeitsverwaltungen </w:t>
      </w:r>
      <w:r>
        <w:rPr>
          <w:noProof/>
        </w:rPr>
        <w:t xml:space="preserve">und ii) Schulungen für das Personal der öffentlichen Arbeitsverwaltungen. </w:t>
      </w:r>
    </w:p>
    <w:p w14:paraId="2C9D0204" w14:textId="54B687BF" w:rsidR="00EB245A" w:rsidRDefault="006021EE">
      <w:pPr>
        <w:pStyle w:val="P68B1DB1-Text13"/>
        <w:ind w:left="0"/>
        <w:rPr>
          <w:rFonts w:eastAsia="Times New Roman"/>
          <w:noProof/>
          <w:color w:val="000000"/>
        </w:rPr>
      </w:pPr>
      <w:r>
        <w:rPr>
          <w:noProof/>
        </w:rPr>
        <w:t>Die Durchführung der Investition muss bis zum 30. Juni 2026 abgeschlossen sein.</w:t>
      </w:r>
    </w:p>
    <w:p w14:paraId="6D93D00C" w14:textId="1E4B50C4" w:rsidR="00EB245A" w:rsidRDefault="00EB245A">
      <w:pPr>
        <w:pStyle w:val="Text1"/>
        <w:ind w:left="0"/>
        <w:rPr>
          <w:b/>
          <w:noProof/>
          <w:color w:val="000000" w:themeColor="text1"/>
          <w:u w:val="single"/>
        </w:rPr>
      </w:pPr>
    </w:p>
    <w:p w14:paraId="6C61DB17" w14:textId="179960B8" w:rsidR="00EB245A" w:rsidRDefault="006021EE">
      <w:pPr>
        <w:pStyle w:val="P68B1DB1-Text15"/>
        <w:ind w:left="0"/>
        <w:rPr>
          <w:rFonts w:eastAsia="Times New Roman"/>
          <w:noProof/>
        </w:rPr>
      </w:pPr>
      <w:r>
        <w:rPr>
          <w:noProof/>
        </w:rPr>
        <w:t xml:space="preserve">A4.2 Reform zur Verbesserung der Arbeitsmarktsituation von Eltern durch Verbesserung des Zugangs zu </w:t>
      </w:r>
      <w:r>
        <w:rPr>
          <w:noProof/>
        </w:rPr>
        <w:t>hochwertiger Kinderbetreuung für Kinder bis zum Alter von drei Jahren</w:t>
      </w:r>
    </w:p>
    <w:p w14:paraId="1FB01AB7" w14:textId="14AC0A5A" w:rsidR="00EB245A" w:rsidRDefault="006021EE">
      <w:pPr>
        <w:pStyle w:val="P68B1DB1-Text13"/>
        <w:ind w:left="0"/>
        <w:rPr>
          <w:rFonts w:eastAsia="Times New Roman"/>
          <w:noProof/>
          <w:color w:val="000000"/>
        </w:rPr>
      </w:pPr>
      <w:r>
        <w:rPr>
          <w:noProof/>
        </w:rPr>
        <w:t>Das übergeordnete Ziel der Reform besteht darin, den Zugang zu Kinderbetreuungseinrichtungen für Kinder bis zum Alter von drei Jahren zu erleichtern und hohe Bildungs- und Qualitätsstand</w:t>
      </w:r>
      <w:r>
        <w:rPr>
          <w:noProof/>
        </w:rPr>
        <w:t>ards für Kinderbetreuungsdienste zu gewährleisten. Zu diesem Zweck besteht das Ziel der Reform darin, i) die Verwaltung der internen und externen Mittel für die Einrichtung und den Betrieb von Kinderbetreuungseinrichtungen zu straffen, II) eine stabile lan</w:t>
      </w:r>
      <w:r>
        <w:rPr>
          <w:noProof/>
        </w:rPr>
        <w:t>gfristige inländische Finanzierung der Kinderbetreuungsdienste für Kinder bis zum Alter von drei Jahren zu gewährleisten; sowie iii) Umsetzung einer Reihe verbindlicher Mindestbildungs- und Qualitätsstandards für Kinderbetreuungseinrichtungen.</w:t>
      </w:r>
    </w:p>
    <w:p w14:paraId="517B32C1" w14:textId="77777777" w:rsidR="00EB245A" w:rsidRDefault="006021EE">
      <w:pPr>
        <w:pStyle w:val="P68B1DB1-Text13"/>
        <w:ind w:left="0"/>
        <w:rPr>
          <w:rFonts w:eastAsia="Times New Roman"/>
          <w:noProof/>
          <w:color w:val="000000"/>
        </w:rPr>
      </w:pPr>
      <w:r>
        <w:rPr>
          <w:noProof/>
        </w:rPr>
        <w:t>Die Reform b</w:t>
      </w:r>
      <w:r>
        <w:rPr>
          <w:noProof/>
        </w:rPr>
        <w:t xml:space="preserve">esteht in der Annahme einer Änderung des Gesetzes über die Betreuung von Kindern bis zu drei Jahren und der Einrichtung eines speziellen Mehrjahresprogramms für die Einrichtung und den Betrieb von Kinderbetreuungseinrichtungen. Mit der Änderung soll unter </w:t>
      </w:r>
      <w:r>
        <w:rPr>
          <w:noProof/>
        </w:rPr>
        <w:t>anderem die Verwaltung von drei verschiedenen Finanzierungsquellen für die Einrichtung und den Betrieb von Kinderbetreuungseinrichtungen zusammengeführt werden: Inlandsfinanzierung, Europäischer Sozialfonds+ und Aufbau- und Resilienzfazilität. Die Reform b</w:t>
      </w:r>
      <w:r>
        <w:rPr>
          <w:noProof/>
        </w:rPr>
        <w:t>esteht auch darin, ein einschlägiges System zu konzipieren und dafür zu sorgen, dass ausreichende Mittel bereitgestellt werden, um eine stabile langfristige inländische Finanzierung von Kinderbetreuungsdiensten für Kinder bis zum Alter von drei Jahren zu s</w:t>
      </w:r>
      <w:r>
        <w:rPr>
          <w:noProof/>
        </w:rPr>
        <w:t>chaffen. Schließlich besteht die Reform in der Durchführung einer strategischen Überprüfung der bestehenden Betreuungs- und Bildungsstandards für Kinder unter drei Jahren, der Entwicklung einschlägiger pädagogischer Leitlinien und Unterstützung für Kinderb</w:t>
      </w:r>
      <w:r>
        <w:rPr>
          <w:noProof/>
        </w:rPr>
        <w:t xml:space="preserve">etreuungseinrichtungen und der Umsetzung einschlägiger rechtlicher Änderungen auf der Grundlage dieser Überprüfung, um eine Reihe verbindlicher Mindestbildungs- und Qualitätsstandards für Kinderbetreuungseinrichtungen festzulegen, um die hohe Qualität von </w:t>
      </w:r>
      <w:r>
        <w:rPr>
          <w:noProof/>
        </w:rPr>
        <w:t xml:space="preserve">Bildung und Betreuung von einem frühen Alter an zu unterstützen. </w:t>
      </w:r>
    </w:p>
    <w:p w14:paraId="39C8C92C" w14:textId="5B99F7ED" w:rsidR="00EB245A" w:rsidRDefault="006021EE">
      <w:pPr>
        <w:pStyle w:val="P68B1DB1-Text13"/>
        <w:ind w:left="0"/>
        <w:rPr>
          <w:rFonts w:eastAsia="Times New Roman"/>
          <w:noProof/>
          <w:color w:val="000000"/>
        </w:rPr>
      </w:pPr>
      <w:r>
        <w:rPr>
          <w:noProof/>
        </w:rPr>
        <w:t>Die Umsetzung der Reform wird bis zum 30. Juni 2024 abgeschlossen sein.</w:t>
      </w:r>
    </w:p>
    <w:p w14:paraId="34CE0A41"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rPr>
      </w:pPr>
    </w:p>
    <w:p w14:paraId="41985E9C" w14:textId="77777777" w:rsidR="00EB245A" w:rsidRDefault="006021EE">
      <w:pPr>
        <w:pStyle w:val="P68B1DB1-Text15"/>
        <w:ind w:left="0"/>
        <w:rPr>
          <w:rFonts w:eastAsia="Times New Roman"/>
          <w:noProof/>
        </w:rPr>
      </w:pPr>
      <w:r>
        <w:rPr>
          <w:noProof/>
        </w:rPr>
        <w:t>A4.2.1 Unterstützung für Kinderbetreuungseinrichtungen für Kinder bis zu drei Jahren (Kinderkrippen, Kinderclubs) unt</w:t>
      </w:r>
      <w:r>
        <w:rPr>
          <w:noProof/>
        </w:rPr>
        <w:t>er Maluch+</w:t>
      </w:r>
    </w:p>
    <w:p w14:paraId="1BDCB003" w14:textId="469A4908" w:rsidR="00EB245A" w:rsidRDefault="006021EE">
      <w:pPr>
        <w:pStyle w:val="P68B1DB1-Text13"/>
        <w:ind w:left="0"/>
        <w:rPr>
          <w:rFonts w:eastAsia="Times New Roman"/>
          <w:noProof/>
          <w:color w:val="000000"/>
        </w:rPr>
      </w:pPr>
      <w:r>
        <w:rPr>
          <w:noProof/>
        </w:rPr>
        <w:t>Das übergeordnete Ziel dieser Investition besteht darin, die Verfügbarkeit von Kinderbetreuungseinrichtungen bis zum Alter von drei Jahren zu erhöhen, indem die Kosten für den Bau von Kinderbetreuungseinrichtungen bezuschusst und ein Finanzierun</w:t>
      </w:r>
      <w:r>
        <w:rPr>
          <w:noProof/>
        </w:rPr>
        <w:t>gssystem für Kinderbetreuungseinrichtungen für Kinder bis zu drei Jahren eingerichtet wird. Zu diesem Zweck zielt die Investition darauf ab, i) ein IT-System zur Verwaltung der Finanzierung und Schaffung von Kinderbetreuungseinrichtungen für Kinder bis zum</w:t>
      </w:r>
      <w:r>
        <w:rPr>
          <w:noProof/>
        </w:rPr>
        <w:t xml:space="preserve"> Alter von drei Jahren einzuführen und ii) neue Plätze in Kinderbetreuungseinrichtungen (Kinderkrippen, Kinderclubs) für Kinder bis zu drei Jahren zu schaffen.</w:t>
      </w:r>
    </w:p>
    <w:p w14:paraId="39BEFB42" w14:textId="77777777" w:rsidR="00EB245A" w:rsidRDefault="006021EE">
      <w:pPr>
        <w:pStyle w:val="P68B1DB1-Text13"/>
        <w:ind w:left="0"/>
        <w:rPr>
          <w:rFonts w:eastAsia="Times New Roman"/>
          <w:noProof/>
          <w:color w:val="000000"/>
        </w:rPr>
      </w:pPr>
      <w:r>
        <w:rPr>
          <w:noProof/>
        </w:rPr>
        <w:t>Die Investition besteht in der Entwicklung und Einführung eines IT-Systems zur Verwaltung der Fi</w:t>
      </w:r>
      <w:r>
        <w:rPr>
          <w:noProof/>
        </w:rPr>
        <w:t>nanzierung und Schaffung von Kinderbetreuungseinrichtungen für Kinder bis zum Alter von drei Jahren. Im Rahmen des Systems werden verschiedene Finanzierungsquellen für die Kinderbetreuung kombiniert (europäische Fonds, nationale Finanzierung aus dem zentra</w:t>
      </w:r>
      <w:r>
        <w:rPr>
          <w:noProof/>
        </w:rPr>
        <w:t>len Haushalt, Finanzierung durch die lokalen Gebietskörperschaften).</w:t>
      </w:r>
    </w:p>
    <w:p w14:paraId="5AF032E9" w14:textId="758F4204" w:rsidR="00EB245A" w:rsidRDefault="006021EE">
      <w:pPr>
        <w:pStyle w:val="P68B1DB1-Text13"/>
        <w:ind w:left="0"/>
        <w:rPr>
          <w:rFonts w:eastAsia="Times New Roman"/>
          <w:noProof/>
          <w:color w:val="000000"/>
        </w:rPr>
      </w:pPr>
      <w:r>
        <w:rPr>
          <w:noProof/>
        </w:rPr>
        <w:t>Die Investition besteht auch in der Schaffung von 47500 neuen Plätzen in Kinderkrippen und Kinderclubs durch den Bau neuer Anlagen und die Renovierung (Renovierungen und Anpassungen) best</w:t>
      </w:r>
      <w:r>
        <w:rPr>
          <w:noProof/>
        </w:rPr>
        <w:t>ehender Einrichtungen. In Ausnahmefällen kann dies bei Bedarf auch den Erwerb von Immobilien und Infrastrukturen (Erwerb von Grundstücken oder Räumlichkeiten) umfassen.</w:t>
      </w:r>
    </w:p>
    <w:p w14:paraId="272FC635" w14:textId="6EA80333" w:rsidR="00EB245A" w:rsidRDefault="006021EE">
      <w:pPr>
        <w:pStyle w:val="P68B1DB1-Text13"/>
        <w:ind w:left="0"/>
        <w:rPr>
          <w:noProof/>
        </w:rPr>
      </w:pPr>
      <w:r>
        <w:rPr>
          <w:noProof/>
        </w:rPr>
        <w:t>Es ist eine klare Abgrenzung zwischen den Mitteln aus der Aufbau- und Resilienzfazilitä</w:t>
      </w:r>
      <w:r>
        <w:rPr>
          <w:noProof/>
        </w:rPr>
        <w:t>t und anderen EU-Mitteln zu beachten. Die Durchführung der Investition muss bis zum 30. Juni 2026 abgeschlossen sein.</w:t>
      </w:r>
    </w:p>
    <w:p w14:paraId="0C45E4FB" w14:textId="27D811CE" w:rsidR="00EB245A" w:rsidRDefault="006021EE">
      <w:pPr>
        <w:pStyle w:val="P68B1DB1-Text15"/>
        <w:pageBreakBefore/>
        <w:ind w:left="0"/>
        <w:rPr>
          <w:rFonts w:eastAsia="Times New Roman"/>
          <w:noProof/>
        </w:rPr>
      </w:pPr>
      <w:r>
        <w:rPr>
          <w:noProof/>
        </w:rPr>
        <w:t>A4.3 Umsetzung des Rechtsrahmens für die Entwicklung der Sozialwirtschaft</w:t>
      </w:r>
    </w:p>
    <w:p w14:paraId="2C58F83D" w14:textId="77777777" w:rsidR="00EB245A" w:rsidRDefault="006021EE">
      <w:pPr>
        <w:pStyle w:val="P68B1DB1-Text13"/>
        <w:ind w:left="0"/>
        <w:rPr>
          <w:rFonts w:eastAsia="Times New Roman"/>
          <w:noProof/>
          <w:color w:val="000000"/>
        </w:rPr>
      </w:pPr>
      <w:r>
        <w:rPr>
          <w:noProof/>
        </w:rPr>
        <w:t>Das übergeordnete Ziel der Reform besteht darin, die Erwerbsquot</w:t>
      </w:r>
      <w:r>
        <w:rPr>
          <w:noProof/>
        </w:rPr>
        <w:t>e von Menschen, die von sozialer Ausgrenzung bedroht sind, zu erhöhen und die Deinstitutionalisierung sozialer Dienstleistungen zu unterstützen. Zu diesem Zweck besteht das Ziel der Reform darin, in den Rechtsvorschriften einen Rahmen für das Funktionieren</w:t>
      </w:r>
      <w:r>
        <w:rPr>
          <w:noProof/>
        </w:rPr>
        <w:t xml:space="preserve"> der Akteure der Sozialwirtschaft festzulegen.</w:t>
      </w:r>
    </w:p>
    <w:p w14:paraId="2FA6F748" w14:textId="77777777" w:rsidR="00EB245A" w:rsidRDefault="006021EE">
      <w:pPr>
        <w:pStyle w:val="P68B1DB1-Text13"/>
        <w:ind w:left="0"/>
        <w:rPr>
          <w:rFonts w:eastAsia="Times New Roman"/>
          <w:noProof/>
          <w:color w:val="000000"/>
        </w:rPr>
      </w:pPr>
      <w:r>
        <w:rPr>
          <w:noProof/>
        </w:rPr>
        <w:t>Die Reform besteht in der Annahme eines Gesetzes über die Sozialwirtschaft. In dem Gesetz werden die Grundregeln für diesen Sektor festgelegt, darunter insbesondere die Grundsätze der Funktionsweise und der Un</w:t>
      </w:r>
      <w:r>
        <w:rPr>
          <w:noProof/>
        </w:rPr>
        <w:t>terstützung eines Sozialunternehmens, neue Formen der Zusammenarbeit zwischen sozialwirtschaftlichen Einrichtungen und lokalen Gebietskörperschaften bei der Umsetzung sozialer Dienstleistungen sowie die Grundsätze der Koordinierung der Politik im Bereich d</w:t>
      </w:r>
      <w:r>
        <w:rPr>
          <w:noProof/>
        </w:rPr>
        <w:t>er Entwicklung der Sozialwirtschaft.</w:t>
      </w:r>
    </w:p>
    <w:p w14:paraId="5036C115" w14:textId="1BB27759" w:rsidR="00EB245A" w:rsidRDefault="006021EE">
      <w:pPr>
        <w:pStyle w:val="P68B1DB1-Text13"/>
        <w:ind w:left="0"/>
        <w:rPr>
          <w:rFonts w:eastAsia="Times New Roman"/>
          <w:noProof/>
        </w:rPr>
      </w:pPr>
      <w:r>
        <w:rPr>
          <w:noProof/>
        </w:rPr>
        <w:t>Die Umsetzung der Reform muss bis zum 30. Juni 2022 abgeschlossen sein.</w:t>
      </w:r>
    </w:p>
    <w:p w14:paraId="28993FCA" w14:textId="77777777" w:rsidR="00EB245A" w:rsidRDefault="00EB245A">
      <w:pPr>
        <w:pStyle w:val="Text1"/>
        <w:ind w:left="0"/>
        <w:rPr>
          <w:rFonts w:eastAsia="Times New Roman"/>
          <w:noProof/>
          <w:color w:val="000000" w:themeColor="text1"/>
        </w:rPr>
      </w:pPr>
    </w:p>
    <w:p w14:paraId="1AC4645D" w14:textId="77777777" w:rsidR="00EB245A" w:rsidRDefault="006021EE">
      <w:pPr>
        <w:pStyle w:val="P68B1DB1-Text15"/>
        <w:ind w:left="0"/>
        <w:rPr>
          <w:rFonts w:eastAsia="Times New Roman"/>
          <w:noProof/>
        </w:rPr>
      </w:pPr>
      <w:r>
        <w:rPr>
          <w:noProof/>
        </w:rPr>
        <w:t>A4.3.1 Investitionsförderungsprogramme, die es insbesondere ermöglichen, Aktivitäten zu entwickeln, die Beteiligung an der Erbringung sozialer Die</w:t>
      </w:r>
      <w:r>
        <w:rPr>
          <w:noProof/>
        </w:rPr>
        <w:t>nstleistungen zu erhöhen und die Qualität der Wiedereingliederung in sozialwirtschaftliche Einrichtungen zu verbessern</w:t>
      </w:r>
    </w:p>
    <w:p w14:paraId="78CC3A06" w14:textId="3E9FA8D1" w:rsidR="00EB245A" w:rsidRDefault="006021EE">
      <w:pPr>
        <w:pStyle w:val="P68B1DB1-Text13"/>
        <w:ind w:left="0"/>
        <w:rPr>
          <w:rFonts w:eastAsia="Times New Roman"/>
          <w:noProof/>
          <w:color w:val="000000"/>
        </w:rPr>
      </w:pPr>
      <w:r>
        <w:rPr>
          <w:noProof/>
        </w:rPr>
        <w:t>Das übergeordnete Ziel dieser Investition besteht darin, die Wirkung sozialwirtschaftlicher Einrichtungen im Hinblick auf die soziale und</w:t>
      </w:r>
      <w:r>
        <w:rPr>
          <w:noProof/>
        </w:rPr>
        <w:t xml:space="preserve"> berufliche Wiedereingliederung von Menschen, die von sozialer Ausgrenzung bedroht sind, zu maximieren und die Deinstitutionalisierung sozialer Dienstleistungen zu unterstützen. Zu diesem Zweck zielt die Investition darauf ab, Einrichtungen dabei zu unters</w:t>
      </w:r>
      <w:r>
        <w:rPr>
          <w:noProof/>
        </w:rPr>
        <w:t>tützen, den Status eines Sozialunternehmens zu erlangen und Arbeitsplätze in sozialwirtschaftlichen Einrichtungen zu erhalten.</w:t>
      </w:r>
    </w:p>
    <w:p w14:paraId="51B53191" w14:textId="0E1C4108" w:rsidR="00EB245A" w:rsidRDefault="006021EE">
      <w:pPr>
        <w:pStyle w:val="P68B1DB1-Text13"/>
        <w:ind w:left="0"/>
        <w:rPr>
          <w:rFonts w:eastAsia="Times New Roman"/>
          <w:noProof/>
          <w:color w:val="000000"/>
        </w:rPr>
      </w:pPr>
      <w:r>
        <w:rPr>
          <w:noProof/>
        </w:rPr>
        <w:t>Die Investition besteht in der Vorbereitung und Durchführung von Programmen, die förderfähigen Einrichtungen Finanzhilfen gewähre</w:t>
      </w:r>
      <w:r>
        <w:rPr>
          <w:noProof/>
        </w:rPr>
        <w:t>n. Die Ziele zur Messung der Verwirklichung der Investition bestehen darin, i) 1400 Einrichtungen den Status eines Sozialunternehmens zuzuerkennen und ii) mindestens 1000 sozialen Einrichtungen finanzielle Unterstützung zu gewähren.</w:t>
      </w:r>
    </w:p>
    <w:p w14:paraId="38B298FD" w14:textId="44407BB6" w:rsidR="00EB245A" w:rsidRDefault="006021EE">
      <w:pPr>
        <w:pStyle w:val="P68B1DB1-Text13"/>
        <w:ind w:left="0"/>
        <w:rPr>
          <w:rFonts w:eastAsia="Times New Roman"/>
          <w:noProof/>
          <w:color w:val="000000"/>
        </w:rPr>
      </w:pPr>
      <w:r>
        <w:rPr>
          <w:noProof/>
        </w:rPr>
        <w:t>Die Auswahl der Begünst</w:t>
      </w:r>
      <w:r>
        <w:rPr>
          <w:noProof/>
        </w:rPr>
        <w:t>igten erfolgt nach festgelegten Auswahlkriterien, die den Grundsätzen der Nichtdiskriminierung und der Transparenz entsprechen.</w:t>
      </w:r>
    </w:p>
    <w:p w14:paraId="7C94FC20" w14:textId="0B895B0D" w:rsidR="00EB245A" w:rsidRDefault="006021EE">
      <w:pPr>
        <w:pStyle w:val="P68B1DB1-Text13"/>
        <w:ind w:left="0"/>
        <w:rPr>
          <w:rFonts w:eastAsia="Times New Roman"/>
          <w:b/>
          <w:noProof/>
        </w:rPr>
      </w:pPr>
      <w:r>
        <w:rPr>
          <w:noProof/>
        </w:rPr>
        <w:t>Die Durchführung der Investition muss bis zum 31. Dezember 2025 abgeschlossen sein.</w:t>
      </w:r>
    </w:p>
    <w:p w14:paraId="1DAC7099" w14:textId="04677BEE" w:rsidR="00EB245A" w:rsidRDefault="00EB245A">
      <w:pPr>
        <w:pStyle w:val="Text1"/>
        <w:ind w:left="0"/>
        <w:rPr>
          <w:noProof/>
          <w:color w:val="000000" w:themeColor="text1"/>
        </w:rPr>
      </w:pPr>
    </w:p>
    <w:p w14:paraId="066CBF28" w14:textId="7139178D" w:rsidR="00EB245A" w:rsidRDefault="006021EE">
      <w:pPr>
        <w:pStyle w:val="P68B1DB1-Text15"/>
        <w:ind w:left="0"/>
        <w:rPr>
          <w:rFonts w:eastAsia="Times New Roman"/>
          <w:noProof/>
        </w:rPr>
      </w:pPr>
      <w:r>
        <w:rPr>
          <w:noProof/>
        </w:rPr>
        <w:t xml:space="preserve">A4.4 Flexibilisierung der </w:t>
      </w:r>
      <w:r>
        <w:rPr>
          <w:noProof/>
        </w:rPr>
        <w:t>Beschäftigungsformen und Einführung von Telearbeit</w:t>
      </w:r>
    </w:p>
    <w:p w14:paraId="3E653869" w14:textId="77777777" w:rsidR="00EB245A" w:rsidRDefault="006021EE">
      <w:pPr>
        <w:pStyle w:val="P68B1DB1-Text13"/>
        <w:ind w:left="0"/>
        <w:rPr>
          <w:rFonts w:eastAsia="Times New Roman"/>
          <w:noProof/>
          <w:color w:val="000000"/>
        </w:rPr>
      </w:pPr>
      <w:r>
        <w:rPr>
          <w:noProof/>
        </w:rPr>
        <w:t>Das übergeordnete Ziel der Reform besteht darin, die Vereinbarkeit familiärer und beruflicher Pflichten zu erleichtern und Menschen aus Gruppen mit geringerer Erwerbsbeteiligung dabei zu helfen, eine regul</w:t>
      </w:r>
      <w:r>
        <w:rPr>
          <w:noProof/>
        </w:rPr>
        <w:t>äre Beschäftigung zu finden. Zu diesem Zweck werden Telearbeit und flexible Formen der Arbeitszeitgestaltung im Arbeitsgesetzbuch verankert.</w:t>
      </w:r>
    </w:p>
    <w:p w14:paraId="0C2422C3" w14:textId="77777777" w:rsidR="00EB245A" w:rsidRDefault="006021EE">
      <w:pPr>
        <w:pStyle w:val="P68B1DB1-Text13"/>
        <w:ind w:left="0"/>
        <w:rPr>
          <w:rFonts w:eastAsia="Times New Roman"/>
          <w:noProof/>
          <w:color w:val="000000"/>
        </w:rPr>
      </w:pPr>
      <w:r>
        <w:rPr>
          <w:noProof/>
        </w:rPr>
        <w:t>Die Reform besteht in der Annahme einer Änderung des Arbeitsgesetzbuchs. Die Änderung soll Telearbeit jederzeit und</w:t>
      </w:r>
      <w:r>
        <w:rPr>
          <w:noProof/>
        </w:rPr>
        <w:t xml:space="preserve"> nicht nur unter außergewöhnlichen Umständen ermöglichen und flexible Formen der Arbeitszeitgestaltung einführen. In der Änderung werden auch mehrere operative Regelungen für Telearbeit und flexible Arbeit festgelegt, darunter: I) die Möglichkeit der Telea</w:t>
      </w:r>
      <w:r>
        <w:rPr>
          <w:noProof/>
        </w:rPr>
        <w:t>rbeit außerhalb des Ortes der dienstlichen Verwendung auf der Grundlage von Vereinbarungen zwischen dem Arbeitnehmer und dem Arbeitgeber, ii) eine Festlegung der Regeln für die vom Arbeitgeber bereitzustellenden Arbeitswerkzeuge und iii) die Schaffung eine</w:t>
      </w:r>
      <w:r>
        <w:rPr>
          <w:noProof/>
        </w:rPr>
        <w:t>s Rahmens für die Grundsätze des Gesundheitsschutzes und der Sicherheit bei der Telearbeit.</w:t>
      </w:r>
    </w:p>
    <w:p w14:paraId="29520B70" w14:textId="77777777" w:rsidR="00EB245A" w:rsidRDefault="006021EE">
      <w:pPr>
        <w:pStyle w:val="P68B1DB1-Text13"/>
        <w:ind w:left="0"/>
        <w:rPr>
          <w:rFonts w:eastAsia="Times New Roman"/>
          <w:noProof/>
        </w:rPr>
      </w:pPr>
      <w:r>
        <w:rPr>
          <w:noProof/>
        </w:rPr>
        <w:t>Die Umsetzung der Reform muss bis zum 30. September 2022 abgeschlossen sein.</w:t>
      </w:r>
    </w:p>
    <w:p w14:paraId="25AD9223" w14:textId="0128B438" w:rsidR="00EB245A" w:rsidRDefault="006021EE">
      <w:pPr>
        <w:pStyle w:val="P68B1DB1-Text15"/>
        <w:pageBreakBefore/>
        <w:pBdr>
          <w:top w:val="nil"/>
          <w:left w:val="nil"/>
          <w:bottom w:val="nil"/>
          <w:right w:val="nil"/>
          <w:between w:val="nil"/>
        </w:pBdr>
        <w:ind w:left="0"/>
        <w:rPr>
          <w:rFonts w:eastAsia="Times New Roman"/>
          <w:noProof/>
        </w:rPr>
      </w:pPr>
      <w:r>
        <w:rPr>
          <w:noProof/>
        </w:rPr>
        <w:t>A4.5 Verlängerung der beruflichen Laufbahn und Förderung der Arbeit über das gesetzlich</w:t>
      </w:r>
      <w:r>
        <w:rPr>
          <w:noProof/>
        </w:rPr>
        <w:t>e Renteneintrittsalter hinaus</w:t>
      </w:r>
    </w:p>
    <w:p w14:paraId="279728C5" w14:textId="77777777" w:rsidR="00EB245A" w:rsidRDefault="006021EE">
      <w:pPr>
        <w:pStyle w:val="P68B1DB1-Text13"/>
        <w:ind w:left="0"/>
        <w:rPr>
          <w:rFonts w:eastAsia="Times New Roman"/>
          <w:noProof/>
          <w:color w:val="000000"/>
        </w:rPr>
      </w:pPr>
      <w:r>
        <w:rPr>
          <w:noProof/>
        </w:rPr>
        <w:t>Das übergeordnete Ziel der Reform besteht darin, die Fähigkeit und Motivation der Arbeitnehmer, über das Rentenalter hinaus auf dem Arbeitsmarkt zu verbleiben, zu erhöhen. Zu diesem Zweck wird ein steuerlicher Anreiz für dieje</w:t>
      </w:r>
      <w:r>
        <w:rPr>
          <w:noProof/>
        </w:rPr>
        <w:t>nigen eingeführt, die das gesetzliche Renteneintrittsalter erreicht haben, aber es vorziehen, nicht in den Ruhestand zu treten und weiter zu arbeiten. Innerhalb von zwei Jahren nach Einführung des steuerlichen Anreizes wird ein Bericht veröffentlicht, in d</w:t>
      </w:r>
      <w:r>
        <w:rPr>
          <w:noProof/>
        </w:rPr>
        <w:t xml:space="preserve">em seine Auswirkungen auf das tatsächliche Renteneintrittsalter bewertet werden. </w:t>
      </w:r>
    </w:p>
    <w:p w14:paraId="5BAAF82F" w14:textId="442BB4EA" w:rsidR="00EB245A" w:rsidRDefault="006021EE">
      <w:pPr>
        <w:pStyle w:val="P68B1DB1-Text13"/>
        <w:ind w:left="0"/>
        <w:rPr>
          <w:rFonts w:eastAsia="Times New Roman"/>
          <w:noProof/>
          <w:color w:val="000000"/>
        </w:rPr>
      </w:pPr>
      <w:r>
        <w:rPr>
          <w:noProof/>
        </w:rPr>
        <w:t xml:space="preserve">Die Reform besteht in der Annahme einer Änderung des Einkommensteuergesetzes und einer Bewertung dieser Maßnahme. Mit der Änderung wird ab 2023 die Einkommensteuer für </w:t>
      </w:r>
      <w:r>
        <w:rPr>
          <w:noProof/>
        </w:rPr>
        <w:t>Personen gesenkt, die das gesetzliche Renteneintrittsalter erreicht haben, aber nicht in den Ruhestand treten und weiter arbeiten möchten. Arbeitnehmer, die in die erste Einkommenssteuerstufe (85 528 PLN im Jahr 2021) fallen und nicht mehr als den durchsch</w:t>
      </w:r>
      <w:r>
        <w:rPr>
          <w:noProof/>
        </w:rPr>
        <w:t xml:space="preserve">nittlichen Bruttolohn in der polnischen Volkswirtschaft verdienen, sind von der Einkommensteuer befreit. Der Einkommensteuersatz wird für andere Arbeitnehmer mit höherem Einkommen, die das gesetzliche Renteneintrittsalter erreicht haben, aber nicht in den </w:t>
      </w:r>
      <w:r>
        <w:rPr>
          <w:noProof/>
        </w:rPr>
        <w:t>Ruhestand gehen und weiter erwerbstätig sind, gesenkt. Dank dieser Steueranreize müssen die Steuerpflichtigen zusätzliche Beträge in Höhe der nicht entrichteten Einkommensteuer erwirtschaften, die ihnen Anreize für die Verlängerung ihrer beruflichen Laufba</w:t>
      </w:r>
      <w:r>
        <w:rPr>
          <w:noProof/>
        </w:rPr>
        <w:t>hn bieten sollen. Innerhalb von zwei Jahren nach Einführung der oben genannten Maßnahme wird ein Bericht erstellt, in dem die Auswirkungen der Änderungen der Einkommensteuer auf das tatsächliche Renteneintrittsalter bewertet werden. Dabei werden die Auswir</w:t>
      </w:r>
      <w:r>
        <w:rPr>
          <w:noProof/>
        </w:rPr>
        <w:t>kungen auf die Erwerbsbeteiligung, die Tragfähigkeit des Rentensystems, die öffentlichen Finanzen und die Gleichstellung der Geschlechter analysiert.</w:t>
      </w:r>
    </w:p>
    <w:p w14:paraId="39416CA2" w14:textId="578A4C11" w:rsidR="00EB245A" w:rsidRDefault="006021EE">
      <w:pPr>
        <w:pStyle w:val="P68B1DB1-Text13"/>
        <w:ind w:left="0"/>
        <w:rPr>
          <w:rFonts w:eastAsia="Times New Roman"/>
          <w:noProof/>
          <w:color w:val="000000"/>
        </w:rPr>
      </w:pPr>
      <w:r>
        <w:rPr>
          <w:noProof/>
        </w:rPr>
        <w:t>Die Durchführung der Reform muss bis zum 31. Dezember 2024 abgeschlossen sein.</w:t>
      </w:r>
    </w:p>
    <w:p w14:paraId="6F9501DD"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rPr>
      </w:pPr>
    </w:p>
    <w:p w14:paraId="3077CAAA" w14:textId="77777777" w:rsidR="00EB245A" w:rsidRDefault="006021EE">
      <w:pPr>
        <w:pStyle w:val="P68B1DB1-Text15"/>
        <w:ind w:left="0"/>
        <w:rPr>
          <w:rFonts w:eastAsia="Times New Roman"/>
          <w:noProof/>
        </w:rPr>
      </w:pPr>
      <w:r>
        <w:rPr>
          <w:noProof/>
        </w:rPr>
        <w:t>A4.6 Steigerung der Erwerb</w:t>
      </w:r>
      <w:r>
        <w:rPr>
          <w:noProof/>
        </w:rPr>
        <w:t>sbeteiligung bestimmter Gruppen durch den Ausbau der Langzeitpflege</w:t>
      </w:r>
    </w:p>
    <w:p w14:paraId="53289D32" w14:textId="77777777" w:rsidR="00EB245A" w:rsidRDefault="006021EE">
      <w:pPr>
        <w:pStyle w:val="P68B1DB1-Text13"/>
        <w:ind w:left="0"/>
        <w:rPr>
          <w:rFonts w:eastAsia="Times New Roman"/>
          <w:noProof/>
          <w:color w:val="000000"/>
        </w:rPr>
      </w:pPr>
      <w:r>
        <w:rPr>
          <w:noProof/>
        </w:rPr>
        <w:t>Das übergeordnete Ziel der Reform besteht darin, die Erwerbsbeteiligung bestimmter Gruppen, insbesondere von Frauen, durch den Ausbau des Langzeitpflegesystems in Polen zu erhöhen. Zu dies</w:t>
      </w:r>
      <w:r>
        <w:rPr>
          <w:noProof/>
        </w:rPr>
        <w:t xml:space="preserve">em Zweck wird eine strategische Überprüfung des Langzeitpflegesystems durchgeführt, auf die einschlägige Gesetzesänderungen folgen. </w:t>
      </w:r>
    </w:p>
    <w:p w14:paraId="4CE69895" w14:textId="0CF05FF6" w:rsidR="00EB245A" w:rsidRDefault="006021EE">
      <w:pPr>
        <w:pStyle w:val="P68B1DB1-Text13"/>
        <w:ind w:left="0"/>
        <w:rPr>
          <w:noProof/>
        </w:rPr>
      </w:pPr>
      <w:r>
        <w:rPr>
          <w:noProof/>
        </w:rPr>
        <w:t>Die Reform besteht zunächst in der Veröffentlichung einer Analyse des Langzeitpflegesystems in Polen. Im Rahmen der Analyse</w:t>
      </w:r>
      <w:r>
        <w:rPr>
          <w:noProof/>
        </w:rPr>
        <w:t xml:space="preserve"> werden insbesondere Möglichkeiten für die Integration der sozialen und gesundheitlichen Langzeitpflege, die Deinstitutionalisierung dieser Dienstleistungen, ihre Einordnung in eine einzige Behörde, die Verringerung der Fragmentierung des Pflegeangebots, d</w:t>
      </w:r>
      <w:r>
        <w:rPr>
          <w:noProof/>
        </w:rPr>
        <w:t>ie Schaffung eines stabilen Systems für eine angemessene Finanzierung der Langzeitpflegedienste, insbesondere der gemeindenahen und häuslichen Pflege, und ein Qualitätsrahmen für Langzeitpflegedienste untersucht. Im Rahmen der Analyse wird auch untersucht,</w:t>
      </w:r>
      <w:r>
        <w:rPr>
          <w:noProof/>
        </w:rPr>
        <w:t xml:space="preserve"> wie die Pflegeleistungen überarbeitet werden können, um eine Fortsetzung der Erwerbstätigkeit zu ermöglichen. Die Analyse erfolgt in Absprache mit den einschlägigen Interessenträgern, einschließlich der Sozialpartner, die sich mit Langzeitpflege befassen,</w:t>
      </w:r>
      <w:r>
        <w:rPr>
          <w:noProof/>
        </w:rPr>
        <w:t xml:space="preserve"> und der lokalen Behörden. </w:t>
      </w:r>
    </w:p>
    <w:p w14:paraId="0422B214" w14:textId="6C4E5377" w:rsidR="00EB245A" w:rsidRDefault="006021EE">
      <w:pPr>
        <w:pStyle w:val="P68B1DB1-Text13"/>
        <w:ind w:left="0"/>
        <w:rPr>
          <w:rFonts w:eastAsia="Times New Roman"/>
          <w:noProof/>
          <w:color w:val="000000"/>
        </w:rPr>
      </w:pPr>
      <w:r>
        <w:rPr>
          <w:noProof/>
        </w:rPr>
        <w:t>Zweitens umfasst die Reform die Änderung der einschlägigen Gesetze und die Veröffentlichung der Überprüfung der öffentlichen Ausgaben zur Bewertung der Wirksamkeit der öffentlichen Finanzen für die Langzeitpflege sowie die Annah</w:t>
      </w:r>
      <w:r>
        <w:rPr>
          <w:noProof/>
        </w:rPr>
        <w:t>me eines Dokuments, in dem eine harmonisierte Definition der Qualität der Langzeitpflege in den Sozial- und Gesundheitssystemen und ein integriertes System für die Überwachung und Bewertung der Qualität sowie die Erhebung und Nutzung von Daten zur Umsetzun</w:t>
      </w:r>
      <w:r>
        <w:rPr>
          <w:noProof/>
        </w:rPr>
        <w:t>g der in der Analyse ermittelten Reformprioritäten vorgeschlagen werden.</w:t>
      </w:r>
    </w:p>
    <w:p w14:paraId="0F874AFA" w14:textId="6208326E" w:rsidR="00EB245A" w:rsidRDefault="006021EE">
      <w:pPr>
        <w:pStyle w:val="P68B1DB1-Text13"/>
        <w:ind w:left="0"/>
        <w:rPr>
          <w:rFonts w:eastAsia="Times New Roman"/>
          <w:noProof/>
          <w:color w:val="000000"/>
        </w:rPr>
      </w:pPr>
      <w:r>
        <w:rPr>
          <w:noProof/>
        </w:rPr>
        <w:t>Die Durchführung der Reform muss bis zum 31. Dezember 2025 abgeschlossen sein.</w:t>
      </w:r>
    </w:p>
    <w:p w14:paraId="42300483" w14:textId="65212474"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rPr>
      </w:pPr>
    </w:p>
    <w:p w14:paraId="2B42C771" w14:textId="77777777" w:rsidR="00EB245A" w:rsidRDefault="006021EE">
      <w:pPr>
        <w:pStyle w:val="P68B1DB1-Text15"/>
        <w:ind w:left="0"/>
        <w:rPr>
          <w:rFonts w:eastAsia="Times New Roman"/>
          <w:noProof/>
        </w:rPr>
      </w:pPr>
      <w:r>
        <w:rPr>
          <w:noProof/>
        </w:rPr>
        <w:t>A4.7 Begrenzung der Arbeitsmarktsegmentierung</w:t>
      </w:r>
    </w:p>
    <w:p w14:paraId="4065AE86" w14:textId="77777777" w:rsidR="00EB245A" w:rsidRDefault="006021EE">
      <w:pPr>
        <w:pStyle w:val="P68B1DB1-Text13"/>
        <w:ind w:left="0"/>
        <w:rPr>
          <w:rFonts w:eastAsia="Times New Roman"/>
          <w:noProof/>
          <w:color w:val="000000"/>
        </w:rPr>
      </w:pPr>
      <w:r>
        <w:rPr>
          <w:noProof/>
        </w:rPr>
        <w:t xml:space="preserve">Das übergeordnete Ziel der Reform besteht darin, die </w:t>
      </w:r>
      <w:r>
        <w:rPr>
          <w:noProof/>
        </w:rPr>
        <w:t>Segmentierung des Arbeitsmarktes zu begrenzen und die soziale Sicherheit bestimmter Arbeitnehmer zu erhöhen. Zu diesem Zweck unterliegen alle zivilrechtlichen Arbeitsverträge den Sozialversicherungsbeiträgen, mit Ausnahme von Mandatsverträgen, die mit Schü</w:t>
      </w:r>
      <w:r>
        <w:rPr>
          <w:noProof/>
        </w:rPr>
        <w:t xml:space="preserve">lern der Sekundarstufe und Schülern bis zum 26. Lebensjahr geschlossen werden. </w:t>
      </w:r>
    </w:p>
    <w:p w14:paraId="25F3A1F5" w14:textId="429DFECE" w:rsidR="00EB245A" w:rsidRDefault="006021EE">
      <w:pPr>
        <w:pStyle w:val="P68B1DB1-Text13"/>
        <w:ind w:left="0"/>
        <w:rPr>
          <w:rFonts w:eastAsia="Times New Roman"/>
          <w:noProof/>
          <w:color w:val="000000"/>
        </w:rPr>
      </w:pPr>
      <w:r>
        <w:rPr>
          <w:noProof/>
        </w:rPr>
        <w:t>Die Reform wird durch einen Rechtsakt umgesetzt, mit dem sichergestellt wird, dass die Beschäftigung auf der Grundlage zivilrechtlicher Verträge sozialversicherungspflichtig is</w:t>
      </w:r>
      <w:r>
        <w:rPr>
          <w:noProof/>
        </w:rPr>
        <w:t>t: Renten, Invalidität, Unfall und Berufskrankheit sowie – mit Ausnahme von Verträgen für besondere Aufgaben, für die sie freiwillig sind – Leistungen bei Krankheit. Darüber hinaus wird die Regel aufgehoben, nach der die Sozialversicherungsbeiträge auf der</w:t>
      </w:r>
      <w:r>
        <w:rPr>
          <w:noProof/>
        </w:rPr>
        <w:t xml:space="preserve"> Grundlage des Mindestlohns für zivilrechtliche Verträge gezahlt werden.</w:t>
      </w:r>
    </w:p>
    <w:p w14:paraId="02E9806A" w14:textId="3CC16E7D" w:rsidR="00EB245A" w:rsidRDefault="006021EE">
      <w:pPr>
        <w:pStyle w:val="P68B1DB1-Text13"/>
        <w:ind w:left="0"/>
        <w:rPr>
          <w:rFonts w:eastAsia="Times New Roman"/>
          <w:noProof/>
        </w:rPr>
        <w:sectPr w:rsidR="00EB245A" w:rsidSect="005E6922">
          <w:headerReference w:type="even" r:id="rId19"/>
          <w:headerReference w:type="default" r:id="rId20"/>
          <w:footerReference w:type="even" r:id="rId21"/>
          <w:footerReference w:type="default" r:id="rId22"/>
          <w:headerReference w:type="first" r:id="rId23"/>
          <w:footerReference w:type="first" r:id="rId24"/>
          <w:pgSz w:w="11907" w:h="16839"/>
          <w:pgMar w:top="1134" w:right="1134" w:bottom="1134" w:left="1134" w:header="567" w:footer="567" w:gutter="0"/>
          <w:cols w:space="720"/>
          <w:docGrid w:linePitch="299"/>
        </w:sectPr>
      </w:pPr>
      <w:r>
        <w:rPr>
          <w:noProof/>
        </w:rPr>
        <w:t>Die Durchführung der Reform muss bis zum 31. Dezember 2023 abgeschlossen sein.</w:t>
      </w:r>
    </w:p>
    <w:p w14:paraId="1A352A9E" w14:textId="77777777" w:rsidR="00EB245A" w:rsidRDefault="006021E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rPr>
      </w:pPr>
      <w:r>
        <w:rPr>
          <w:rFonts w:ascii="Times New Roman" w:hAnsi="Times New Roman"/>
          <w:b/>
          <w:noProof/>
          <w:color w:val="000000"/>
          <w:sz w:val="24"/>
        </w:rPr>
        <w:t xml:space="preserve">A.2. </w:t>
      </w:r>
      <w:r>
        <w:rPr>
          <w:noProof/>
        </w:rPr>
        <w:t xml:space="preserve"> </w:t>
      </w:r>
      <w:r>
        <w:rPr>
          <w:rFonts w:ascii="Times New Roman" w:hAnsi="Times New Roman"/>
          <w:b/>
          <w:noProof/>
          <w:color w:val="000000"/>
          <w:sz w:val="24"/>
        </w:rPr>
        <w:t>Etappenziele, Zielwerte, Indikatoren u</w:t>
      </w:r>
      <w:r>
        <w:rPr>
          <w:rFonts w:ascii="Times New Roman" w:hAnsi="Times New Roman"/>
          <w:b/>
          <w:noProof/>
          <w:color w:val="000000"/>
          <w:sz w:val="24"/>
        </w:rPr>
        <w:t>nd Zeitplan für die Überwachung und Durchführung der nicht rückzahlbaren finanziellen Unterstützung</w:t>
      </w:r>
    </w:p>
    <w:p w14:paraId="08CE6F91" w14:textId="04B09FE2" w:rsidR="00EB245A" w:rsidRDefault="006021EE">
      <w:pPr>
        <w:pStyle w:val="P68B1DB1-Normal09"/>
        <w:pBdr>
          <w:top w:val="nil"/>
          <w:left w:val="nil"/>
          <w:bottom w:val="nil"/>
          <w:right w:val="nil"/>
          <w:between w:val="nil"/>
        </w:pBdr>
        <w:spacing w:before="120" w:after="120" w:line="240" w:lineRule="auto"/>
        <w:jc w:val="both"/>
        <w:rPr>
          <w:rFonts w:eastAsia="Times New Roman" w:cs="Times New Roman"/>
          <w:noProof/>
        </w:rPr>
      </w:pPr>
      <w:r>
        <w:rPr>
          <w:noProof/>
        </w:rPr>
        <w:t>A1 – RAHMENBEDINGUNGEN FÜR UNTERNEHMEN</w:t>
      </w:r>
    </w:p>
    <w:tbl>
      <w:tblPr>
        <w:tblStyle w:val="NormalTable0"/>
        <w:tblW w:w="15309"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707"/>
        <w:gridCol w:w="2130"/>
        <w:gridCol w:w="1269"/>
        <w:gridCol w:w="1843"/>
        <w:gridCol w:w="1276"/>
        <w:gridCol w:w="1422"/>
        <w:gridCol w:w="1271"/>
        <w:gridCol w:w="992"/>
        <w:gridCol w:w="851"/>
        <w:gridCol w:w="992"/>
        <w:gridCol w:w="2556"/>
      </w:tblGrid>
      <w:tr w:rsidR="00EB245A" w14:paraId="726EA917" w14:textId="77777777" w:rsidTr="00593BFE">
        <w:trPr>
          <w:trHeight w:val="807"/>
          <w:tblHeader/>
          <w:jc w:val="center"/>
        </w:trPr>
        <w:tc>
          <w:tcPr>
            <w:tcW w:w="7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5334FB1B" w14:textId="00D35492"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Lfd. Nr. Nr.</w:t>
            </w:r>
          </w:p>
        </w:tc>
        <w:tc>
          <w:tcPr>
            <w:tcW w:w="21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34695AC7"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Verbundene Maßnahme (Reform oder Investition)</w:t>
            </w:r>
          </w:p>
        </w:tc>
        <w:tc>
          <w:tcPr>
            <w:tcW w:w="12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58221195"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Etappenziel/Zielwert</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0D909AED"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Namen</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22B1FE9B" w14:textId="77777777" w:rsidR="00EB245A" w:rsidRDefault="006021EE">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rPr>
            </w:pPr>
            <w:r>
              <w:rPr>
                <w:rFonts w:ascii="Times New Roman" w:hAnsi="Times New Roman"/>
                <w:b/>
                <w:noProof/>
                <w:color w:val="000000"/>
                <w:sz w:val="18"/>
              </w:rPr>
              <w:t>Etappenziel/Zielwert</w:t>
            </w:r>
            <w:r>
              <w:rPr>
                <w:noProof/>
              </w:rPr>
              <w:t xml:space="preserve">  </w:t>
            </w:r>
            <w:r>
              <w:rPr>
                <w:noProof/>
              </w:rPr>
              <w:br/>
            </w:r>
            <w:r>
              <w:rPr>
                <w:rFonts w:ascii="Times New Roman" w:hAnsi="Times New Roman"/>
                <w:b/>
                <w:noProof/>
                <w:color w:val="000000"/>
                <w:sz w:val="18"/>
              </w:rPr>
              <w:t xml:space="preserve">(für </w:t>
            </w:r>
            <w:r>
              <w:rPr>
                <w:rFonts w:ascii="Times New Roman" w:hAnsi="Times New Roman"/>
                <w:b/>
                <w:noProof/>
                <w:color w:val="000000"/>
                <w:sz w:val="18"/>
              </w:rPr>
              <w:t>Etappenziele)</w:t>
            </w:r>
          </w:p>
        </w:tc>
        <w:tc>
          <w:tcPr>
            <w:tcW w:w="36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095D8EA5" w14:textId="77777777" w:rsidR="00EB245A" w:rsidRDefault="006021EE">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rPr>
            </w:pPr>
            <w:r>
              <w:rPr>
                <w:rFonts w:ascii="Times New Roman" w:hAnsi="Times New Roman"/>
                <w:b/>
                <w:noProof/>
                <w:color w:val="000000"/>
                <w:sz w:val="18"/>
              </w:rPr>
              <w:t>Qualitative Indikatoren (für Etappenziele)</w:t>
            </w:r>
            <w:r>
              <w:rPr>
                <w:noProof/>
              </w:rPr>
              <w:t xml:space="preserve">  </w:t>
            </w:r>
            <w:r>
              <w:rPr>
                <w:noProof/>
              </w:rPr>
              <w:br/>
            </w:r>
            <w:r>
              <w:rPr>
                <w:rFonts w:ascii="Times New Roman" w:hAnsi="Times New Roman"/>
                <w:b/>
                <w:noProof/>
                <w:color w:val="000000"/>
                <w:sz w:val="18"/>
              </w:rPr>
              <w:t>(für Ziele)</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167540E1"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 xml:space="preserve">Vorläufiger Zeitplan für die Fertigstellung </w:t>
            </w:r>
          </w:p>
        </w:tc>
        <w:tc>
          <w:tcPr>
            <w:tcW w:w="25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46B83F06"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Beschreibung der einzelnen Etappenziele und Zielvorgaben</w:t>
            </w:r>
          </w:p>
        </w:tc>
      </w:tr>
      <w:tr w:rsidR="00EB245A" w14:paraId="119887F0" w14:textId="77777777" w:rsidTr="00593BFE">
        <w:trPr>
          <w:trHeight w:val="365"/>
          <w:jc w:val="center"/>
        </w:trPr>
        <w:tc>
          <w:tcPr>
            <w:tcW w:w="707" w:type="dxa"/>
            <w:vMerge/>
            <w:vAlign w:val="center"/>
          </w:tcPr>
          <w:p w14:paraId="61CDCEAD"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2130" w:type="dxa"/>
            <w:vMerge/>
            <w:vAlign w:val="center"/>
          </w:tcPr>
          <w:p w14:paraId="6BB9E253"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269" w:type="dxa"/>
            <w:vMerge/>
            <w:vAlign w:val="center"/>
          </w:tcPr>
          <w:p w14:paraId="23DE523C"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843" w:type="dxa"/>
            <w:vMerge/>
            <w:vAlign w:val="center"/>
          </w:tcPr>
          <w:p w14:paraId="52E56223"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276" w:type="dxa"/>
            <w:vMerge/>
            <w:vAlign w:val="center"/>
          </w:tcPr>
          <w:p w14:paraId="07547A01"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65145CAE"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Maßeinheit</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14E149BB"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 xml:space="preserve">Ausgangslage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7996A6EA"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Ziel</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14400C56"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Viertel</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3C72651D"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Jahre</w:t>
            </w:r>
          </w:p>
        </w:tc>
        <w:tc>
          <w:tcPr>
            <w:tcW w:w="2556" w:type="dxa"/>
            <w:vMerge/>
            <w:vAlign w:val="center"/>
          </w:tcPr>
          <w:p w14:paraId="5043CB0F"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r>
      <w:tr w:rsidR="00EB245A" w14:paraId="62BC400A" w14:textId="77777777" w:rsidTr="00593BFE">
        <w:trPr>
          <w:trHeight w:val="1247"/>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49841BE" w14:textId="1F5BE900"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A1G</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319D8E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A1.1 Reform des </w:t>
            </w:r>
            <w:r>
              <w:rPr>
                <w:noProof/>
              </w:rPr>
              <w:t>haushaltspolitischen Rahmens</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4421DF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Meilenstein</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897582B" w14:textId="39CAA0DA" w:rsidR="00EB245A" w:rsidRDefault="006021EE">
            <w:pPr>
              <w:pStyle w:val="P68B1DB1-Normal012"/>
              <w:spacing w:after="0" w:line="240" w:lineRule="auto"/>
              <w:rPr>
                <w:rFonts w:eastAsia="Times New Roman" w:cs="Times New Roman"/>
                <w:noProof/>
                <w:color w:val="000000" w:themeColor="text1"/>
              </w:rPr>
            </w:pPr>
            <w:r>
              <w:rPr>
                <w:noProof/>
              </w:rPr>
              <w:t>Ausarbeitung eines Konzeptpapiers zum standardisierten Kontenplan, der in die Haushaltsklassifikation integriert ist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EFFFBC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Veröffentlichung auf der Website des Finanzministeriums</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7BEAA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3E4A9CD"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6584BE"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4B5F073"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FBE425F"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2022</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C53015B" w14:textId="3AFFF06B"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Veröffentlichung des Konzeptpapiers auf der Biuletyn Informacji Publicznej (Website für öffentliche Informationen) des Finanzministeriums. Das Konzeptpapier enthält die Beschreibung und Einrichtung des neuen Klassifizierungssystems.</w:t>
            </w:r>
          </w:p>
        </w:tc>
      </w:tr>
      <w:tr w:rsidR="00EB245A" w14:paraId="5C49D920" w14:textId="77777777" w:rsidTr="00593BFE">
        <w:trPr>
          <w:trHeight w:val="313"/>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8F999B5" w14:textId="50A08FA8" w:rsidR="00EB245A" w:rsidRDefault="006021EE">
            <w:pPr>
              <w:pStyle w:val="P68B1DB1-Normal011"/>
              <w:spacing w:after="0" w:line="240" w:lineRule="auto"/>
              <w:jc w:val="center"/>
              <w:rPr>
                <w:rFonts w:eastAsia="Times New Roman" w:cs="Times New Roman"/>
                <w:noProof/>
                <w:color w:val="000000" w:themeColor="text1"/>
              </w:rPr>
            </w:pPr>
            <w:r>
              <w:rPr>
                <w:noProof/>
              </w:rPr>
              <w:t>A2G</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BDB441"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A1.1 Reform des </w:t>
            </w:r>
            <w:r>
              <w:rPr>
                <w:noProof/>
              </w:rPr>
              <w:t>haushaltspolitischen Rahmens</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48E22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Meilenstein</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D3F861" w14:textId="7002994D"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Inkrafttreten einer vom Finanzministerium ausgearbeiteten Änderung des Gesetzes über die öffentlichen Finanzen zur Umsetzung des neuen Haushaltssystems, einschließlich des neuen Klassifizierungssystems, des neuen Mo</w:t>
            </w:r>
            <w:r>
              <w:rPr>
                <w:noProof/>
              </w:rPr>
              <w:t>dells der Haushaltsführung und des neu festgelegten mittelfristigen Haushaltsrahmens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4365D80" w14:textId="507B81EA"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Bestimmung in der Änderung des Gesetzes über die öffentlichen Finanzen, aus der hervorgeht, dass es in Kraft tritt</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9AF38F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5AA318D"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1512BE8"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103B77"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C32F1D6"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2025</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37F395B" w14:textId="6F839A79" w:rsidR="00EB245A" w:rsidRDefault="006021EE">
            <w:pPr>
              <w:pStyle w:val="P68B1DB1-Normal011"/>
              <w:pBdr>
                <w:top w:val="nil"/>
                <w:left w:val="nil"/>
                <w:bottom w:val="nil"/>
                <w:right w:val="nil"/>
                <w:between w:val="nil"/>
              </w:pBdr>
              <w:spacing w:after="0" w:line="240" w:lineRule="auto"/>
              <w:rPr>
                <w:rFonts w:eastAsia="Times New Roman" w:cs="Times New Roman"/>
                <w:noProof/>
                <w:color w:val="000000"/>
              </w:rPr>
            </w:pPr>
            <w:r>
              <w:rPr>
                <w:noProof/>
                <w:color w:val="000000" w:themeColor="text1"/>
              </w:rPr>
              <w:t xml:space="preserve">Inkrafttreten einer Änderung des Gesetzes </w:t>
            </w:r>
            <w:r>
              <w:rPr>
                <w:noProof/>
                <w:color w:val="000000" w:themeColor="text1"/>
              </w:rPr>
              <w:t>über die öffentlichen Finanzen zur Umsetzung des neuen Haushaltssystems, einschließlich des neuen Klassifizierungssystems, des neuen Modells der Haushaltsführung und des neu</w:t>
            </w:r>
            <w:r>
              <w:rPr>
                <w:noProof/>
              </w:rPr>
              <w:t>festgelegten</w:t>
            </w:r>
            <w:r>
              <w:rPr>
                <w:noProof/>
                <w:color w:val="000000" w:themeColor="text1"/>
              </w:rPr>
              <w:t xml:space="preserve"> mittelfristigen Haushaltsrahmens. Das neue Klassifikationssystem integ</w:t>
            </w:r>
            <w:r>
              <w:rPr>
                <w:noProof/>
                <w:color w:val="000000" w:themeColor="text1"/>
              </w:rPr>
              <w:t>riert die bestehende Haushaltsklassifikation und die Leistungsklassifikation und verknüpft sie mit dem Standardplan der Konten. Transaktionen werden auf derselben Grundlage erfasst, um die Qualität der Daten in der Haushalts-, Finanz- und Statistikberichte</w:t>
            </w:r>
            <w:r>
              <w:rPr>
                <w:noProof/>
                <w:color w:val="000000" w:themeColor="text1"/>
              </w:rPr>
              <w:t>rstattung zu verbessern. Das neue System umfasst eine Reihe getrennter Segmente sowie Datenkodierungsstrukturen in diesen Segmenten, die dem Informationsbedarf verschiedener Nutzer des Systems entsprechen.</w:t>
            </w:r>
          </w:p>
        </w:tc>
      </w:tr>
      <w:tr w:rsidR="00EB245A" w14:paraId="5D1E5DAD" w14:textId="77777777" w:rsidTr="00593BFE">
        <w:trPr>
          <w:trHeight w:val="313"/>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CD5EC4" w14:textId="231B2AE2"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A3G</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D8F93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A1.1 Reform des haushaltspolitischen Rahmens</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C37E2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Meilenstein</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D534BC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Inkrafttreten einer Änderung des Gesetzes über die öffentlichen Finanzen, mit der der Anwendungsbereich der Regelung zur Stabilisierung der Ausgaben (SER) auf staatliche Zweckfonds ausgeweitet wird</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0C29F82" w14:textId="7F639C11"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Bestimmung in der Änderung des Gesetzes über d</w:t>
            </w:r>
            <w:r>
              <w:rPr>
                <w:noProof/>
              </w:rPr>
              <w:t>ie öffentlichen Finanzen, aus der hervorgeht, dass es in Kraft tritt</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196589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p w14:paraId="5A4B2E9D" w14:textId="77777777" w:rsidR="00EB245A" w:rsidRDefault="00EB245A">
            <w:pPr>
              <w:rPr>
                <w:noProof/>
              </w:rPr>
            </w:pPr>
          </w:p>
          <w:p w14:paraId="18851FD0" w14:textId="77777777" w:rsidR="00EB245A" w:rsidRDefault="00EB245A">
            <w:pPr>
              <w:rPr>
                <w:noProof/>
              </w:rPr>
            </w:pPr>
          </w:p>
          <w:p w14:paraId="28B13216" w14:textId="77777777" w:rsidR="00EB245A" w:rsidRDefault="00EB245A">
            <w:pPr>
              <w:rPr>
                <w:noProof/>
              </w:rPr>
            </w:pPr>
          </w:p>
          <w:p w14:paraId="0DA70637" w14:textId="77777777" w:rsidR="00EB245A" w:rsidRDefault="00EB245A">
            <w:pPr>
              <w:rPr>
                <w:noProof/>
              </w:rPr>
            </w:pP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6624170"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8484D5"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56CC74"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B281B9"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2021</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0EE1EC" w14:textId="4BE0AC3E"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r>
              <w:rPr>
                <w:rFonts w:ascii="Times New Roman" w:hAnsi="Times New Roman"/>
                <w:noProof/>
                <w:color w:val="000000"/>
                <w:sz w:val="18"/>
              </w:rPr>
              <w:t>Inkrafttreten einer Änderung des Gesetzes über die öffentlichen Finanzen, um den Anwendungsbereich der Regelung zur Stabilisierung der Ausgaben (SER) auszuweiten.</w:t>
            </w:r>
            <w:r>
              <w:rPr>
                <w:noProof/>
              </w:rPr>
              <w:t xml:space="preserve">  </w:t>
            </w:r>
            <w:r>
              <w:rPr>
                <w:noProof/>
              </w:rPr>
              <w:br/>
            </w:r>
            <w:r>
              <w:rPr>
                <w:rFonts w:ascii="Times New Roman" w:hAnsi="Times New Roman"/>
                <w:noProof/>
                <w:color w:val="000000"/>
                <w:sz w:val="18"/>
              </w:rPr>
              <w:t xml:space="preserve">Zu </w:t>
            </w:r>
            <w:r>
              <w:rPr>
                <w:rFonts w:ascii="Times New Roman" w:hAnsi="Times New Roman"/>
                <w:noProof/>
                <w:color w:val="000000"/>
                <w:sz w:val="18"/>
              </w:rPr>
              <w:t>den angenommenen Auswirkungen der Änderungen gehört die Einbeziehung einer größeren Zahl von Einheiten des Staates (staatliche Zweckfonds) innerhalb des Anwendungsbereichs der SER, was eine Erhöhung der Transparenz und Effizienz der öffentlichen Finanzverw</w:t>
            </w:r>
            <w:r>
              <w:rPr>
                <w:rFonts w:ascii="Times New Roman" w:hAnsi="Times New Roman"/>
                <w:noProof/>
                <w:color w:val="000000"/>
                <w:sz w:val="18"/>
              </w:rPr>
              <w:t>altung ermöglichen wird. Das Finanzministerium ist für die Ausarbeitung der Änderung zuständig.</w:t>
            </w:r>
          </w:p>
        </w:tc>
      </w:tr>
      <w:tr w:rsidR="00EB245A" w14:paraId="1D5532F1" w14:textId="77777777" w:rsidTr="00593BFE">
        <w:trPr>
          <w:trHeight w:val="313"/>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598DEE6" w14:textId="6448D6A6"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A4G</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BB2B68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A1.1 Reform des haushaltspolitischen Rahmens</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DE33FB"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Meilenstein</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40E99C2" w14:textId="77777777"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r>
              <w:rPr>
                <w:rFonts w:ascii="Times New Roman" w:hAnsi="Times New Roman"/>
                <w:noProof/>
                <w:color w:val="000000"/>
                <w:sz w:val="18"/>
              </w:rPr>
              <w:t xml:space="preserve">Überprüfung der Funktionsweise der Regelung zur Stabilisierung der Ausgaben in den Jahren </w:t>
            </w:r>
            <w:r>
              <w:rPr>
                <w:rFonts w:ascii="Times New Roman" w:hAnsi="Times New Roman"/>
                <w:noProof/>
                <w:color w:val="000000"/>
                <w:sz w:val="18"/>
              </w:rPr>
              <w:t>2019-2023 mit dem Ziel,</w:t>
            </w:r>
            <w:r>
              <w:rPr>
                <w:noProof/>
              </w:rPr>
              <w:t xml:space="preserve">  </w:t>
            </w:r>
            <w:r>
              <w:rPr>
                <w:noProof/>
              </w:rPr>
              <w:br/>
            </w:r>
            <w:r>
              <w:rPr>
                <w:rFonts w:ascii="Times New Roman" w:hAnsi="Times New Roman"/>
                <w:noProof/>
                <w:color w:val="000000"/>
                <w:sz w:val="18"/>
              </w:rPr>
              <w:t>— Beurteilung der Wirksamkeit der Regelung, einschließlich der Anwendung der Ausstiegs- und der Rückgabeklausel</w:t>
            </w:r>
            <w:r>
              <w:rPr>
                <w:noProof/>
              </w:rPr>
              <w:t xml:space="preserve"> </w:t>
            </w:r>
            <w:r>
              <w:rPr>
                <w:noProof/>
              </w:rPr>
              <w:br/>
              <w:t xml:space="preserve"> </w:t>
            </w:r>
            <w:r>
              <w:rPr>
                <w:rFonts w:ascii="Times New Roman" w:hAnsi="Times New Roman"/>
                <w:noProof/>
                <w:color w:val="000000"/>
                <w:sz w:val="18"/>
              </w:rPr>
              <w:t>— Analyse der Auswirkungen von Änderungen der EU-Vorschriften auf die Formel für die Stabilisierung der Ausgabenrege</w:t>
            </w:r>
            <w:r>
              <w:rPr>
                <w:rFonts w:ascii="Times New Roman" w:hAnsi="Times New Roman"/>
                <w:noProof/>
                <w:color w:val="000000"/>
                <w:sz w:val="18"/>
              </w:rPr>
              <w:t>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31CD7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Veröffentlichung auf der Website des Finanzministeriums in Biuletyn Informacji Publicznej</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8F56C0"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49CC1F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0EF996B"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13C9489"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F96DD5"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2025</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CCBA0C" w14:textId="6ECDBCBF"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r>
              <w:rPr>
                <w:rFonts w:ascii="Times New Roman" w:hAnsi="Times New Roman"/>
                <w:noProof/>
                <w:color w:val="000000" w:themeColor="text1"/>
                <w:sz w:val="18"/>
              </w:rPr>
              <w:t>Veröffentlichung einer Überprüfung der Funktionsweise der Regelung zur Stabilisierung der Ausgaben (SER)</w:t>
            </w:r>
            <w:r>
              <w:rPr>
                <w:rFonts w:ascii="Times New Roman" w:hAnsi="Times New Roman"/>
                <w:noProof/>
                <w:color w:val="000000" w:themeColor="text1"/>
                <w:sz w:val="18"/>
              </w:rPr>
              <w:t xml:space="preserve"> unter besonderer Berücksichtigung ihres Anwendungsbereichs nach fünf Jahren ihrer Anwendung (Überprüfung 2019–2023). Die Überprüfung wird auf der Website des Finanzministeriums veröffentlicht.</w:t>
            </w:r>
            <w:r>
              <w:rPr>
                <w:noProof/>
              </w:rPr>
              <w:t xml:space="preserve">  </w:t>
            </w:r>
            <w:r>
              <w:rPr>
                <w:noProof/>
              </w:rPr>
              <w:br/>
            </w:r>
            <w:r>
              <w:rPr>
                <w:rFonts w:ascii="Times New Roman" w:hAnsi="Times New Roman"/>
                <w:noProof/>
                <w:color w:val="000000" w:themeColor="text1"/>
                <w:sz w:val="18"/>
              </w:rPr>
              <w:t>Die SER wurde 2013 als Instrument zur Unterstützung der Haus</w:t>
            </w:r>
            <w:r>
              <w:rPr>
                <w:rFonts w:ascii="Times New Roman" w:hAnsi="Times New Roman"/>
                <w:noProof/>
                <w:color w:val="000000" w:themeColor="text1"/>
                <w:sz w:val="18"/>
              </w:rPr>
              <w:t>haltspolitik eingeführt. Im Jahr 2018 wurde die Funktionsweise der SER in den ersten fünf Jahren überprüft. Die nächste Überprüfung erstreckt sich auf die Jahre 2019-2023. Die Analyse der Funktionsweise der SER ermöglicht die Ausarbeitung von Empfehlungen,</w:t>
            </w:r>
            <w:r>
              <w:rPr>
                <w:rFonts w:ascii="Times New Roman" w:hAnsi="Times New Roman"/>
                <w:noProof/>
                <w:color w:val="000000" w:themeColor="text1"/>
                <w:sz w:val="18"/>
              </w:rPr>
              <w:t xml:space="preserve"> unter anderem im Hinblick auf die Erreichung der Ziele und Parameter der SER-Formel und ihres Anwendungsbereichs.</w:t>
            </w:r>
          </w:p>
        </w:tc>
      </w:tr>
      <w:tr w:rsidR="00EB245A" w14:paraId="1BA92451" w14:textId="77777777" w:rsidTr="00593BFE">
        <w:trPr>
          <w:trHeight w:val="313"/>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8941E47" w14:textId="595F8122"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A5G</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45A6DB" w14:textId="55CA6E55"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A1.2 Weitere Verringerung des Regelungs- und Verwaltungsaufwands</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631EBCB" w14:textId="77187AD4"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Meilenstein</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5391831"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Inkrafttreten eines Legislativpakets zur Verringerung des </w:t>
            </w:r>
            <w:r>
              <w:rPr>
                <w:noProof/>
              </w:rPr>
              <w:t>Verwaltungsaufwands für Unternehmen und Bürger</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212D3D6" w14:textId="5A977140"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Bestimmungen des Legislativpakets über sein Inkrafttreten</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3886A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ECEB11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D8BF34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9434170" w14:textId="41F59760"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897C7B7" w14:textId="05BD1060"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2022</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449E3BC" w14:textId="783812A8"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Inkrafttreten eines Legislativpakets, das darauf abzielt, rechtliche Hindernisse für das Investitionsklima zu beseitigen, insbesondere </w:t>
            </w:r>
            <w:r>
              <w:rPr>
                <w:noProof/>
              </w:rPr>
              <w:t>durch:</w:t>
            </w:r>
          </w:p>
          <w:p w14:paraId="7B05B523" w14:textId="59F3C508"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Vereinfachung administrativer und stillschweigender Verfahren in mindestens 12 Verfahren, insbesondere in Bezug auf die Berufe der Seeleute und den Handel mit alkoholischen Getränken;</w:t>
            </w:r>
          </w:p>
          <w:p w14:paraId="2998C8A3" w14:textId="2A3EE43F"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2) Verringerung der Anwendung des zweistufigen Verfahrens in mind</w:t>
            </w:r>
            <w:r>
              <w:rPr>
                <w:noProof/>
              </w:rPr>
              <w:t xml:space="preserve">estens zehn Verfahren, insbesondere im Zusammenhang mit geologischen Ressourcen;  </w:t>
            </w:r>
          </w:p>
          <w:p w14:paraId="2CBE7EFE" w14:textId="53790AA0"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3) Digitalisierung der Art und Weise der Bearbeitung von Anträgen in mindestens acht Verwaltungsverfahren, z. B. im Zusammenhang mit der Einreichung von Erklärungen von Reis</w:t>
            </w:r>
            <w:r>
              <w:rPr>
                <w:noProof/>
              </w:rPr>
              <w:t xml:space="preserve">everanstaltern und Unternehmern an den Versicherungsgarantiefonds und der Einreichung von Anträgen auf Sozialleistungen durch Studierende sowie im Zusammenhang mit den geodätischen Verfahren; </w:t>
            </w:r>
          </w:p>
          <w:p w14:paraId="2E2196DF" w14:textId="6C17770C"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4) Einführung weiterer Rationalisierungen der Verwaltungsverfah</w:t>
            </w:r>
            <w:r>
              <w:rPr>
                <w:noProof/>
              </w:rPr>
              <w:t>ren (z. B. Begrenzung der Zahl der Dokumente oder weniger Formalitäten), insbesondere im Zusammenhang mit der Einführung einer Reihe von Verbesserungen des Raumplanungsprozesses, des Bauprozesses und des Flurbereinigungsprozesses;</w:t>
            </w:r>
          </w:p>
          <w:p w14:paraId="086BE4BA" w14:textId="26D4F252"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5) Verlängerung der Frist</w:t>
            </w:r>
            <w:r>
              <w:rPr>
                <w:noProof/>
              </w:rPr>
              <w:t xml:space="preserve"> für die Erfüllung der Pflichten von Unternehmern und natürlichen Personen gegenüber der Verwaltung in einigen Fällen von Verwaltungsverfahren, z. B. Verlängerung der Frist für die Zulassung eines in anderen Mitgliedstaaten erworbenen Autos von 30 auf 60 T</w:t>
            </w:r>
            <w:r>
              <w:rPr>
                <w:noProof/>
              </w:rPr>
              <w:t xml:space="preserve">age oder Verlängerung der Frist für die Verwendung des Tourismusgutscheins vom 31. März 2022 bis zum 30. September 2022. </w:t>
            </w:r>
          </w:p>
        </w:tc>
      </w:tr>
      <w:tr w:rsidR="00EB245A" w14:paraId="72551064" w14:textId="77777777" w:rsidTr="00593BFE">
        <w:trPr>
          <w:trHeight w:val="313"/>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697EEC" w14:textId="2B213C30"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A7G</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FEF58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A1.2.1 Investitionen von Unternehmen in Produkte, Dienstleistungen und Kompetenzen von Arbeitnehmern und Mitarbeitern im Zusammenhang mit der Diversifizierung von Tätigkeiten </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61A4C5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AD6B863" w14:textId="65784988"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T1 – Zahl der KMU und Kleinstunternehmen in den Bereichen HoReCa, Kultur un</w:t>
            </w:r>
            <w:r>
              <w:rPr>
                <w:noProof/>
              </w:rPr>
              <w:t>d Tourismus, die Verträge über Projekte zur Modernisierung ihrer Geschäftstätigkeit unterzeichnet haben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F8BA61"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5F94F2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584315"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3A0141" w14:textId="747C8F3D"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1214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F9947D" w14:textId="17DADD6F"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C623E38" w14:textId="7F62BD45"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2024</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C365D5" w14:textId="3BEF71FB"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r>
              <w:rPr>
                <w:rFonts w:ascii="Times New Roman" w:hAnsi="Times New Roman"/>
                <w:noProof/>
                <w:color w:val="000000" w:themeColor="text1"/>
                <w:sz w:val="18"/>
              </w:rPr>
              <w:t xml:space="preserve">Mindestens 1214 KMU und Kleinstunternehmen in den Bereichen HoReCa, Kultur und Tourismus haben Verträge über Projekte zur </w:t>
            </w:r>
            <w:r>
              <w:rPr>
                <w:rFonts w:ascii="Times New Roman" w:hAnsi="Times New Roman"/>
                <w:noProof/>
                <w:color w:val="000000" w:themeColor="text1"/>
                <w:sz w:val="18"/>
              </w:rPr>
              <w:t>Modernisierung ihrer Geschäftstätigkeit unterzeichnet. Die Projekte umfassen die folgenden drei Arten von Aktivitäten:</w:t>
            </w:r>
            <w:r>
              <w:rPr>
                <w:noProof/>
              </w:rPr>
              <w:t xml:space="preserve">  </w:t>
            </w:r>
            <w:r>
              <w:rPr>
                <w:noProof/>
              </w:rPr>
              <w:br/>
            </w:r>
            <w:r>
              <w:rPr>
                <w:rFonts w:ascii="Times New Roman" w:hAnsi="Times New Roman"/>
                <w:noProof/>
                <w:color w:val="000000" w:themeColor="text1"/>
                <w:sz w:val="18"/>
              </w:rPr>
              <w:t>1) Investitionen in die Gestaltung und Herstellung ihrer Waren und Dienstleistungen, z. B.: I) Erwerb von Maschinen und Ausrüstungen, d</w:t>
            </w:r>
            <w:r>
              <w:rPr>
                <w:rFonts w:ascii="Times New Roman" w:hAnsi="Times New Roman"/>
                <w:noProof/>
                <w:color w:val="000000" w:themeColor="text1"/>
                <w:sz w:val="18"/>
              </w:rPr>
              <w:t>ie für die Markteinführung neuer Produkte/Dienstleistungen erforderlich sind; II) Bauarbeiten, einschließlich des Baus neuer Produktionslinien; III) Investitionen im Zusammenhang mit dem ökologischen Wandel, insbesondere zur Förderung der Abfallvermeidung,</w:t>
            </w:r>
            <w:r>
              <w:rPr>
                <w:rFonts w:ascii="Times New Roman" w:hAnsi="Times New Roman"/>
                <w:noProof/>
                <w:color w:val="000000" w:themeColor="text1"/>
                <w:sz w:val="18"/>
              </w:rPr>
              <w:t xml:space="preserve"> des Recyclings/der Wiederverwendung von Abfällen und der Umsetzung von Lösungen für erneuerbare Energien;</w:t>
            </w:r>
            <w:r>
              <w:rPr>
                <w:noProof/>
              </w:rPr>
              <w:t xml:space="preserve">  </w:t>
            </w:r>
            <w:r>
              <w:rPr>
                <w:noProof/>
              </w:rPr>
              <w:br/>
            </w:r>
            <w:r>
              <w:rPr>
                <w:rFonts w:ascii="Times New Roman" w:hAnsi="Times New Roman"/>
                <w:noProof/>
                <w:color w:val="000000" w:themeColor="text1"/>
                <w:sz w:val="18"/>
              </w:rPr>
              <w:t>2. Beratungsdienste für die Durchführung von Projekten;</w:t>
            </w:r>
            <w:r>
              <w:rPr>
                <w:noProof/>
              </w:rPr>
              <w:t xml:space="preserve">  </w:t>
            </w:r>
            <w:r>
              <w:rPr>
                <w:noProof/>
              </w:rPr>
              <w:br/>
            </w:r>
            <w:r>
              <w:rPr>
                <w:rFonts w:ascii="Times New Roman" w:hAnsi="Times New Roman"/>
                <w:noProof/>
                <w:color w:val="000000" w:themeColor="text1"/>
                <w:sz w:val="18"/>
              </w:rPr>
              <w:t>3) Weiterqualifizierung/Umqualifizierung der Beschäftigten durch Schulung in den Bereiche</w:t>
            </w:r>
            <w:r>
              <w:rPr>
                <w:rFonts w:ascii="Times New Roman" w:hAnsi="Times New Roman"/>
                <w:noProof/>
                <w:color w:val="000000" w:themeColor="text1"/>
                <w:sz w:val="18"/>
              </w:rPr>
              <w:t>n neue IT-Lösungen, neue Technologien, Kundenbedarfsanalyse, Informations-/Datenmanagement sowie Risikomanagement.</w:t>
            </w:r>
          </w:p>
          <w:p w14:paraId="78844966" w14:textId="4186A18E"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highlight w:val="yellow"/>
              </w:rPr>
            </w:pPr>
          </w:p>
          <w:p w14:paraId="310E4922" w14:textId="4186A18E"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Die Investition muss eine ausgewogene Durchführung aller in der Zielvorgabe beschriebenen Arten von Projekten gewährleisten, wobei sowohl di</w:t>
            </w:r>
            <w:r>
              <w:rPr>
                <w:noProof/>
              </w:rPr>
              <w:t>e besonderen Bedürfnisse der Begünstigten als auch die Ziele der Verordnung über die Aufbau- und Resilienzfazilität zu berücksichtigen sind.</w:t>
            </w:r>
          </w:p>
          <w:p w14:paraId="07459315" w14:textId="38868175"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p w14:paraId="5ED379B7" w14:textId="40DA71B4"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Die Investitionen im Rahmen dieser Maßnahme müssen in vollem Einklang mit den technischen Leitlinien für die Verme</w:t>
            </w:r>
            <w:r>
              <w:rPr>
                <w:noProof/>
              </w:rPr>
              <w:t>idung erheblicher Beeinträchtigungen (2021/C 58/01) stehen.</w:t>
            </w:r>
          </w:p>
        </w:tc>
      </w:tr>
      <w:tr w:rsidR="00EB245A" w14:paraId="1F30A922" w14:textId="77777777" w:rsidTr="00593BFE">
        <w:trPr>
          <w:trHeight w:val="313"/>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4B0A208" w14:textId="350EB81B"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A8G</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15EA44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A1.2.1 Investitionen von Unternehmen in Produkte, Dienstleistungen und Kompetenzen von Arbeitnehmern und Mitarbeitern im Zusammenhang mit der Diversifizierung von Tätigkeiten </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9A125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61CBE57" w14:textId="564A4859"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T2 – Zahl </w:t>
            </w:r>
            <w:r>
              <w:rPr>
                <w:noProof/>
              </w:rPr>
              <w:t>der KMU und Kleinstunternehmen in den Bereichen HoReCa, Kultur und Tourismus, die ihre Geschäftstätigkeit modernisiert haben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65DB19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407ED7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CE56103" w14:textId="79F41F82"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B40225E" w14:textId="7DB8FB63"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2510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A7EA1C0" w14:textId="0A03F64F"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FE49A7A" w14:textId="550CDA16"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2026</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1205B39" w14:textId="19E23DA3"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r>
              <w:rPr>
                <w:rFonts w:ascii="Times New Roman" w:hAnsi="Times New Roman"/>
                <w:noProof/>
                <w:color w:val="000000" w:themeColor="text1"/>
                <w:sz w:val="18"/>
              </w:rPr>
              <w:t>Mindestens 2510 KMU und Kleinstunternehmen in den Bereichen HoReCa, Kultur und Tourismus haben Projekte zur Modernisierung ihrer Geschäftstätigkeit abgeschlossen. Die Projekte umfassen die folgenden drei Arten von Aktivitäten:</w:t>
            </w:r>
            <w:r>
              <w:rPr>
                <w:noProof/>
              </w:rPr>
              <w:t xml:space="preserve">  </w:t>
            </w:r>
            <w:r>
              <w:rPr>
                <w:noProof/>
              </w:rPr>
              <w:br/>
            </w:r>
            <w:r>
              <w:rPr>
                <w:rFonts w:ascii="Times New Roman" w:hAnsi="Times New Roman"/>
                <w:noProof/>
                <w:color w:val="000000" w:themeColor="text1"/>
                <w:sz w:val="18"/>
              </w:rPr>
              <w:t>1) Investitionen in die Ges</w:t>
            </w:r>
            <w:r>
              <w:rPr>
                <w:rFonts w:ascii="Times New Roman" w:hAnsi="Times New Roman"/>
                <w:noProof/>
                <w:color w:val="000000" w:themeColor="text1"/>
                <w:sz w:val="18"/>
              </w:rPr>
              <w:t>taltung und Herstellung ihrer Waren und Dienstleistungen, z. B.: I) Erwerb von Maschinen und Ausrüstungen, die für die Markteinführung neuer Produkte/Dienstleistungen erforderlich sind; II) Bauarbeiten, einschließlich des Baus neuer Produktionslinien; III)</w:t>
            </w:r>
            <w:r>
              <w:rPr>
                <w:rFonts w:ascii="Times New Roman" w:hAnsi="Times New Roman"/>
                <w:noProof/>
                <w:color w:val="000000" w:themeColor="text1"/>
                <w:sz w:val="18"/>
              </w:rPr>
              <w:t xml:space="preserve"> Investitionen im Zusammenhang mit dem ökologischen Wandel, insbesondere zur Förderung der Abfallvermeidung, des Recyclings/der Wiederverwendung von Abfällen und der Umsetzung von Lösungen für erneuerbare Energien;</w:t>
            </w:r>
            <w:r>
              <w:rPr>
                <w:noProof/>
              </w:rPr>
              <w:t xml:space="preserve">  </w:t>
            </w:r>
            <w:r>
              <w:rPr>
                <w:noProof/>
              </w:rPr>
              <w:br/>
            </w:r>
            <w:r>
              <w:rPr>
                <w:rFonts w:ascii="Times New Roman" w:hAnsi="Times New Roman"/>
                <w:noProof/>
                <w:color w:val="000000" w:themeColor="text1"/>
                <w:sz w:val="18"/>
              </w:rPr>
              <w:t>2. Beratungsdienste für die Durchführun</w:t>
            </w:r>
            <w:r>
              <w:rPr>
                <w:rFonts w:ascii="Times New Roman" w:hAnsi="Times New Roman"/>
                <w:noProof/>
                <w:color w:val="000000" w:themeColor="text1"/>
                <w:sz w:val="18"/>
              </w:rPr>
              <w:t>g von Projekten;</w:t>
            </w:r>
            <w:r>
              <w:rPr>
                <w:noProof/>
              </w:rPr>
              <w:t xml:space="preserve">  </w:t>
            </w:r>
            <w:r>
              <w:rPr>
                <w:noProof/>
              </w:rPr>
              <w:br/>
            </w:r>
            <w:r>
              <w:rPr>
                <w:rFonts w:ascii="Times New Roman" w:hAnsi="Times New Roman"/>
                <w:noProof/>
                <w:color w:val="000000" w:themeColor="text1"/>
                <w:sz w:val="18"/>
              </w:rPr>
              <w:t>3) Weiterqualifizierung/Umqualifizierung der Beschäftigten durch Schulung in den Bereichen neue IT-Lösungen, neue Technologien, Kundenbedarfsanalyse, Informations-/Datenmanagement sowie Risikomanagement.</w:t>
            </w:r>
          </w:p>
          <w:p w14:paraId="6F52FCD5" w14:textId="4186A18E"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p>
          <w:p w14:paraId="00972B48" w14:textId="4186A18E" w:rsidR="00EB245A" w:rsidRDefault="006021EE">
            <w:pPr>
              <w:pStyle w:val="P68B1DB1-Normal012"/>
              <w:spacing w:after="0" w:line="240" w:lineRule="auto"/>
              <w:rPr>
                <w:rFonts w:eastAsia="Times New Roman" w:cs="Times New Roman"/>
                <w:noProof/>
                <w:color w:val="000000" w:themeColor="text1"/>
              </w:rPr>
            </w:pPr>
            <w:r>
              <w:rPr>
                <w:noProof/>
              </w:rPr>
              <w:t>Die Investition muss eine ausgew</w:t>
            </w:r>
            <w:r>
              <w:rPr>
                <w:noProof/>
              </w:rPr>
              <w:t>ogene Durchführung aller in der Zielvorgabe beschriebenen Arten von Projekten gewährleisten, wobei sowohl die besonderen Bedürfnisse der Begünstigten als auch die Ziele der Verordnung über die Aufbau- und Resilienzfazilität zu berücksichtigen sind.</w:t>
            </w:r>
          </w:p>
          <w:p w14:paraId="2EF56932" w14:textId="3E4C9E8C" w:rsidR="00EB245A" w:rsidRDefault="00EB245A">
            <w:pPr>
              <w:pStyle w:val="Normal0"/>
              <w:spacing w:after="0" w:line="240" w:lineRule="auto"/>
              <w:rPr>
                <w:rFonts w:ascii="Times New Roman" w:eastAsia="Times New Roman" w:hAnsi="Times New Roman" w:cs="Times New Roman"/>
                <w:noProof/>
                <w:color w:val="000000" w:themeColor="text1"/>
                <w:sz w:val="18"/>
              </w:rPr>
            </w:pPr>
          </w:p>
          <w:p w14:paraId="7A3F6E35" w14:textId="1183808E"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Die </w:t>
            </w:r>
            <w:r>
              <w:rPr>
                <w:noProof/>
              </w:rPr>
              <w:t>Investitionen im Rahmen dieser Maßnahme müssen in vollem Einklang mit den technischen Leitlinien für die Vermeidung erheblicher Beeinträchtigungen (2021/C 58/01) stehen.</w:t>
            </w:r>
          </w:p>
        </w:tc>
      </w:tr>
      <w:tr w:rsidR="00EB245A" w14:paraId="475E0527" w14:textId="77777777" w:rsidTr="00593BFE">
        <w:trPr>
          <w:trHeight w:val="313"/>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73E586" w14:textId="5911A729" w:rsidR="00EB245A" w:rsidRDefault="006021EE">
            <w:pPr>
              <w:pStyle w:val="P68B1DB1-Normal011"/>
              <w:pBdr>
                <w:top w:val="nil"/>
                <w:left w:val="nil"/>
                <w:bottom w:val="nil"/>
                <w:right w:val="nil"/>
                <w:between w:val="nil"/>
              </w:pBdr>
              <w:spacing w:after="0" w:line="240" w:lineRule="auto"/>
              <w:jc w:val="center"/>
              <w:rPr>
                <w:rFonts w:eastAsia="Times New Roman" w:cs="Times New Roman"/>
                <w:b/>
                <w:noProof/>
                <w:color w:val="000000"/>
              </w:rPr>
            </w:pPr>
            <w:r>
              <w:rPr>
                <w:noProof/>
              </w:rPr>
              <w:t>A12G</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DADD4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A1.3 Reform der Flächennutzungsplanung</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FA45C1"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Meilenstein</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041D6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Inkrafttreten eines neuen </w:t>
            </w:r>
            <w:r>
              <w:rPr>
                <w:noProof/>
              </w:rPr>
              <w:t>Gesetzes über die Raumplanung</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4A1DC63" w14:textId="4971ECB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Bestimmung im Raumordnungsgesetz über sein Inkrafttreten</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53EF7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D6473E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96D69F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E3591B"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99A5668"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2023</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9A71797" w14:textId="610007F6"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r>
              <w:rPr>
                <w:rFonts w:ascii="Times New Roman" w:hAnsi="Times New Roman"/>
                <w:noProof/>
                <w:color w:val="000000" w:themeColor="text1"/>
                <w:sz w:val="18"/>
              </w:rPr>
              <w:t xml:space="preserve">Nach einer öffentlichen Konsultation Inkrafttreten eines neuen Gesetzes über die Raumplanung, mit dem </w:t>
            </w:r>
            <w:r>
              <w:rPr>
                <w:noProof/>
              </w:rPr>
              <w:t xml:space="preserve">  </w:t>
            </w:r>
            <w:r>
              <w:rPr>
                <w:noProof/>
              </w:rPr>
              <w:br/>
              <w:t>1</w:t>
            </w:r>
            <w:r>
              <w:rPr>
                <w:rFonts w:ascii="Times New Roman" w:hAnsi="Times New Roman"/>
                <w:noProof/>
                <w:color w:val="000000" w:themeColor="text1"/>
                <w:sz w:val="18"/>
              </w:rPr>
              <w:t xml:space="preserve">) Einführung einer Verpflichtung für alle </w:t>
            </w:r>
            <w:r>
              <w:rPr>
                <w:rFonts w:ascii="Times New Roman" w:hAnsi="Times New Roman"/>
                <w:noProof/>
                <w:color w:val="000000" w:themeColor="text1"/>
                <w:sz w:val="18"/>
              </w:rPr>
              <w:t xml:space="preserve">Gemeinden, allgemeine Raumordnungspläne zu erstellen und anzunehmen, die in lokale Rechtsvorschriften umgewandelt werden sollen, in denen die allgemeinen Bauvorschriften im Gemeindegebiet festgelegt sind; </w:t>
            </w:r>
            <w:r>
              <w:rPr>
                <w:noProof/>
              </w:rPr>
              <w:t xml:space="preserve"> </w:t>
            </w:r>
            <w:r>
              <w:rPr>
                <w:noProof/>
              </w:rPr>
              <w:br/>
            </w:r>
            <w:r>
              <w:rPr>
                <w:rFonts w:ascii="Times New Roman" w:hAnsi="Times New Roman"/>
                <w:noProof/>
                <w:sz w:val="18"/>
              </w:rPr>
              <w:t>2</w:t>
            </w:r>
            <w:r>
              <w:rPr>
                <w:rFonts w:ascii="Times New Roman" w:hAnsi="Times New Roman"/>
                <w:noProof/>
                <w:color w:val="000000" w:themeColor="text1"/>
                <w:sz w:val="18"/>
              </w:rPr>
              <w:t>) eine Anforderung einzuführen, die Investoren v</w:t>
            </w:r>
            <w:r>
              <w:rPr>
                <w:rFonts w:ascii="Times New Roman" w:hAnsi="Times New Roman"/>
                <w:noProof/>
                <w:color w:val="000000" w:themeColor="text1"/>
                <w:sz w:val="18"/>
              </w:rPr>
              <w:t>erpflichtet, bei der Errichtung neuer Erschließungsprojekte zusätzliche Projekte zugunsten der Gemeinde durchzuführen, um unter anderem die Entwicklung von Wohnraum ohne ausreichende Dienstleistungen zu verringern;</w:t>
            </w:r>
            <w:r>
              <w:rPr>
                <w:rFonts w:ascii="Times New Roman" w:hAnsi="Times New Roman"/>
                <w:noProof/>
                <w:sz w:val="18"/>
              </w:rPr>
              <w:t xml:space="preserve"> </w:t>
            </w:r>
          </w:p>
          <w:p w14:paraId="7D6BC3F8" w14:textId="593E4115" w:rsidR="00EB245A" w:rsidRDefault="006021EE">
            <w:pPr>
              <w:pStyle w:val="P68B1DB1-Normal011"/>
              <w:pBdr>
                <w:top w:val="nil"/>
                <w:left w:val="nil"/>
                <w:bottom w:val="nil"/>
                <w:right w:val="nil"/>
                <w:between w:val="nil"/>
              </w:pBdr>
              <w:spacing w:after="0" w:line="240" w:lineRule="auto"/>
              <w:rPr>
                <w:rFonts w:eastAsia="Times New Roman" w:cs="Times New Roman"/>
                <w:noProof/>
                <w:color w:val="000000"/>
              </w:rPr>
            </w:pPr>
            <w:r>
              <w:rPr>
                <w:noProof/>
              </w:rPr>
              <w:t>3</w:t>
            </w:r>
            <w:r>
              <w:rPr>
                <w:noProof/>
                <w:color w:val="000000" w:themeColor="text1"/>
              </w:rPr>
              <w:t>) Festlegung des Verfahrens, an dem sic</w:t>
            </w:r>
            <w:r>
              <w:rPr>
                <w:noProof/>
                <w:color w:val="000000" w:themeColor="text1"/>
              </w:rPr>
              <w:t xml:space="preserve">h die Interessenträger an der Ausarbeitung von Strategien und allgemeinen Plänen in den Gemeinden beteiligen können. </w:t>
            </w:r>
          </w:p>
        </w:tc>
      </w:tr>
      <w:tr w:rsidR="00EB245A" w14:paraId="797495AD" w14:textId="77777777" w:rsidTr="00593BFE">
        <w:trPr>
          <w:trHeight w:val="313"/>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0DF9E56" w14:textId="54B0AE75" w:rsidR="00EB245A" w:rsidRDefault="006021EE">
            <w:pPr>
              <w:pStyle w:val="P68B1DB1-Normal011"/>
              <w:spacing w:line="240" w:lineRule="auto"/>
              <w:jc w:val="center"/>
              <w:rPr>
                <w:rFonts w:cs="Times New Roman"/>
                <w:noProof/>
              </w:rPr>
            </w:pPr>
            <w:r>
              <w:rPr>
                <w:noProof/>
              </w:rPr>
              <w:t>A13G</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036239" w14:textId="77777777" w:rsidR="00EB245A" w:rsidRDefault="006021EE">
            <w:pPr>
              <w:pStyle w:val="P68B1DB1-Normal012"/>
              <w:spacing w:line="240" w:lineRule="auto"/>
              <w:rPr>
                <w:rFonts w:eastAsia="Times New Roman" w:cs="Times New Roman"/>
                <w:noProof/>
                <w:color w:val="000000" w:themeColor="text1"/>
              </w:rPr>
            </w:pPr>
            <w:r>
              <w:rPr>
                <w:noProof/>
              </w:rPr>
              <w:t>A1.3.1 Umsetzung der Raumordnungsreform</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EE611D7" w14:textId="77777777" w:rsidR="00EB245A" w:rsidRDefault="006021EE">
            <w:pPr>
              <w:pStyle w:val="P68B1DB1-Normal012"/>
              <w:spacing w:line="240" w:lineRule="auto"/>
              <w:rPr>
                <w:rFonts w:eastAsia="Times New Roman" w:cs="Times New Roman"/>
                <w:noProof/>
                <w:color w:val="000000" w:themeColor="text1"/>
              </w:rPr>
            </w:pPr>
            <w:r>
              <w:rPr>
                <w:noProof/>
              </w:rPr>
              <w:t>Meilenstein</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65A0B35" w14:textId="617F2307" w:rsidR="00EB245A" w:rsidRDefault="006021EE">
            <w:pPr>
              <w:pStyle w:val="P68B1DB1-Normal012"/>
              <w:spacing w:line="240" w:lineRule="auto"/>
              <w:rPr>
                <w:rFonts w:eastAsia="Times New Roman" w:cs="Times New Roman"/>
                <w:noProof/>
                <w:color w:val="000000" w:themeColor="text1"/>
              </w:rPr>
            </w:pPr>
            <w:r>
              <w:rPr>
                <w:noProof/>
              </w:rPr>
              <w:t xml:space="preserve">Veröffentlichung eines Dokuments, in dem der Zuweisungsmechanismus und der </w:t>
            </w:r>
            <w:r>
              <w:rPr>
                <w:noProof/>
              </w:rPr>
              <w:t>Richtbetrag für die einzelnen Gemeinden in Polen für die Umsetzung der Raumplanungsreform festgelegt sind</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4E871BC" w14:textId="5D72187D" w:rsidR="00EB245A" w:rsidRDefault="006021EE">
            <w:pPr>
              <w:pStyle w:val="P68B1DB1-Normal012"/>
              <w:spacing w:line="240" w:lineRule="auto"/>
              <w:rPr>
                <w:rFonts w:eastAsia="Times New Roman" w:cs="Times New Roman"/>
                <w:noProof/>
                <w:color w:val="000000" w:themeColor="text1"/>
              </w:rPr>
            </w:pPr>
            <w:r>
              <w:rPr>
                <w:noProof/>
              </w:rPr>
              <w:t>Veröffentlichung auf der Website des Ministeriums für wirtschaftliche Entwicklung und Technologie</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44A5D23" w14:textId="77777777" w:rsidR="00EB245A" w:rsidRDefault="00EB245A">
            <w:pPr>
              <w:pStyle w:val="Normal0"/>
              <w:spacing w:line="240" w:lineRule="auto"/>
              <w:rPr>
                <w:rFonts w:ascii="Times New Roman" w:eastAsia="Times New Roman" w:hAnsi="Times New Roman" w:cs="Times New Roman"/>
                <w:noProof/>
                <w:color w:val="000000" w:themeColor="text1"/>
                <w:sz w:val="18"/>
              </w:rPr>
            </w:pP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38610EB" w14:textId="77777777" w:rsidR="00EB245A" w:rsidRDefault="00EB245A">
            <w:pPr>
              <w:pStyle w:val="Normal0"/>
              <w:spacing w:line="240" w:lineRule="auto"/>
              <w:rPr>
                <w:rFonts w:ascii="Times New Roman" w:eastAsia="Times New Roman" w:hAnsi="Times New Roman" w:cs="Times New Roman"/>
                <w:noProof/>
                <w:color w:val="000000" w:themeColor="text1"/>
                <w:sz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37805D2" w14:textId="77777777" w:rsidR="00EB245A" w:rsidRDefault="00EB245A">
            <w:pPr>
              <w:pStyle w:val="Normal0"/>
              <w:spacing w:line="240" w:lineRule="auto"/>
              <w:rPr>
                <w:rFonts w:ascii="Times New Roman" w:eastAsia="Times New Roman" w:hAnsi="Times New Roman" w:cs="Times New Roman"/>
                <w:noProof/>
                <w:color w:val="000000" w:themeColor="text1"/>
                <w:sz w:val="1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A8B0D65" w14:textId="56A20685" w:rsidR="00EB245A" w:rsidRDefault="006021EE">
            <w:pPr>
              <w:pStyle w:val="P68B1DB1-Normal012"/>
              <w:spacing w:line="240" w:lineRule="auto"/>
              <w:jc w:val="center"/>
              <w:rPr>
                <w:rFonts w:eastAsia="Times New Roman" w:cs="Times New Roman"/>
                <w:noProof/>
                <w:color w:val="000000" w:themeColor="text1"/>
              </w:rPr>
            </w:pPr>
            <w:r>
              <w:rPr>
                <w:noProof/>
              </w:rPr>
              <w:t>Q3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CA538D7" w14:textId="20E103F2" w:rsidR="00EB245A" w:rsidRDefault="006021EE">
            <w:pPr>
              <w:pStyle w:val="P68B1DB1-Normal012"/>
              <w:spacing w:line="240" w:lineRule="auto"/>
              <w:jc w:val="center"/>
              <w:rPr>
                <w:rFonts w:eastAsia="Times New Roman" w:cs="Times New Roman"/>
                <w:noProof/>
                <w:color w:val="000000" w:themeColor="text1"/>
              </w:rPr>
            </w:pPr>
            <w:r>
              <w:rPr>
                <w:noProof/>
              </w:rPr>
              <w:t>2022</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70B6C4" w14:textId="64724F23" w:rsidR="00EB245A" w:rsidRDefault="006021EE">
            <w:pPr>
              <w:pStyle w:val="P68B1DB1-Normal012"/>
              <w:spacing w:after="0" w:line="240" w:lineRule="auto"/>
              <w:rPr>
                <w:rFonts w:eastAsia="Times New Roman" w:cs="Times New Roman"/>
                <w:noProof/>
                <w:color w:val="000000" w:themeColor="text1"/>
              </w:rPr>
            </w:pPr>
            <w:r>
              <w:rPr>
                <w:noProof/>
              </w:rPr>
              <w:t xml:space="preserve">Nach einer öffentlichen Konsultation die </w:t>
            </w:r>
            <w:r>
              <w:rPr>
                <w:noProof/>
              </w:rPr>
              <w:t>Veröffentlichung eines Dokuments, in dem der Zuweisungsmechanismus und der Richtbetrag der Unterstützung festgelegt sind, die jede Gemeinde für die Umsetzung der im Etappenziel A12G festgelegten Flächennutzungsreform erhält. In dem Dokument ist insbesonder</w:t>
            </w:r>
            <w:r>
              <w:rPr>
                <w:noProof/>
              </w:rPr>
              <w:t>e die Höhe der Unterstützung anzugeben, die jeder Gemeinde zu gewähren ist, und es ist zu erläutern, für welche Art von Tätigkeiten die Unterstützung verwendet werden soll.</w:t>
            </w:r>
          </w:p>
          <w:p w14:paraId="3B7B4B86" w14:textId="2E4C7F0F" w:rsidR="00EB245A" w:rsidRDefault="006021EE">
            <w:pPr>
              <w:pStyle w:val="P68B1DB1-Normal012"/>
              <w:spacing w:after="0" w:line="240" w:lineRule="auto"/>
              <w:rPr>
                <w:rFonts w:eastAsia="Times New Roman" w:cs="Times New Roman"/>
                <w:noProof/>
                <w:color w:val="000000" w:themeColor="text1"/>
              </w:rPr>
            </w:pPr>
            <w:r>
              <w:rPr>
                <w:noProof/>
              </w:rPr>
              <w:t>Alle Gemeinden in Polen erhalten Unterstützung für die Durchführung dieser Maßnahme</w:t>
            </w:r>
            <w:r>
              <w:rPr>
                <w:noProof/>
              </w:rPr>
              <w:t>. Bei der Höhe der jeder Gemeinde zuzuweisenden Förderung sind die Bevölkerungszahl und die Größe des Gebiets der Gemeinde zu berücksichtigen (stärker besiedelte/extensive Gemeinden erhalten mehr Unterstützung).</w:t>
            </w:r>
          </w:p>
        </w:tc>
      </w:tr>
      <w:tr w:rsidR="00EB245A" w14:paraId="22527DB0" w14:textId="77777777" w:rsidTr="00593BFE">
        <w:trPr>
          <w:trHeight w:val="313"/>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9F18D26" w14:textId="1546ACA9" w:rsidR="00EB245A" w:rsidRDefault="006021EE">
            <w:pPr>
              <w:pStyle w:val="P68B1DB1-Normal011"/>
              <w:pBdr>
                <w:top w:val="nil"/>
                <w:left w:val="nil"/>
                <w:bottom w:val="nil"/>
                <w:right w:val="nil"/>
                <w:between w:val="nil"/>
              </w:pBdr>
              <w:spacing w:after="0" w:line="240" w:lineRule="auto"/>
              <w:jc w:val="center"/>
              <w:rPr>
                <w:rFonts w:eastAsia="Times New Roman" w:cs="Times New Roman"/>
                <w:b/>
                <w:noProof/>
                <w:color w:val="000000"/>
              </w:rPr>
            </w:pPr>
            <w:r>
              <w:rPr>
                <w:noProof/>
              </w:rPr>
              <w:t>A14G</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D433D61" w14:textId="47D199FF"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A1.3.1 Umsetzung der Reform der </w:t>
            </w:r>
            <w:r>
              <w:rPr>
                <w:noProof/>
              </w:rPr>
              <w:t>Flächennutzungsplanung</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78566D1"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A82841" w14:textId="535A7DED"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Mitarbeiter der lokalen Gebietskörperschaften und Raumordnungsbehörden, die einen Kurs zum neuen Raumordnungsgesetz absolviert haben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302A59"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C24BC91"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322F001"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A9DDCF2"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850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35CD073"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C04FD3E"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2024</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8B29A20" w14:textId="5D85481F"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Mindestens 850 Mitarbeiter aus lokalen Behörden und Raumordnungsbehörden haben einen Lehrgang und/oder ein Postgraduiertenstudium zum neuen Raumordnungsgesetz gemäß Meilenstein A12G abgeschlossen.</w:t>
            </w:r>
          </w:p>
        </w:tc>
      </w:tr>
      <w:tr w:rsidR="00EB245A" w14:paraId="233E0710" w14:textId="77777777" w:rsidTr="00593BFE">
        <w:trPr>
          <w:trHeight w:val="313"/>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E1E336A" w14:textId="519DBF38" w:rsidR="00EB245A" w:rsidRDefault="006021EE">
            <w:pPr>
              <w:pStyle w:val="P68B1DB1-Normal011"/>
              <w:pBdr>
                <w:top w:val="nil"/>
                <w:left w:val="nil"/>
                <w:bottom w:val="nil"/>
                <w:right w:val="nil"/>
                <w:between w:val="nil"/>
              </w:pBdr>
              <w:spacing w:after="0" w:line="240" w:lineRule="auto"/>
              <w:jc w:val="center"/>
              <w:rPr>
                <w:rFonts w:eastAsia="Times New Roman" w:cs="Times New Roman"/>
                <w:b/>
                <w:noProof/>
                <w:color w:val="000000"/>
              </w:rPr>
            </w:pPr>
            <w:r>
              <w:rPr>
                <w:noProof/>
              </w:rPr>
              <w:t>A15G</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E62CE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A1.3.1 Umsetzung der Reform der </w:t>
            </w:r>
            <w:r>
              <w:rPr>
                <w:noProof/>
              </w:rPr>
              <w:t>Flächennutzungsplanung</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873CFE"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8178283" w14:textId="3749CD11"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Mitarbeiter der lokalen Gebietskörperschaften und Raumordnungsbehörden, die einen Kurs zum neuen Raumordnungsgesetz absolviert haben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1CBAF0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E2BBB6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600D04"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850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C896E8" w14:textId="789E317F"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1700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A86818B"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169B85"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2026</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A57601" w14:textId="451D330A"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Mindestens 1700 Mitarbeiter von Kommunalbehörden und Raumplanungern, </w:t>
            </w:r>
            <w:r>
              <w:rPr>
                <w:noProof/>
              </w:rPr>
              <w:t>die einen Lehrgang und/oder ein Postgraduiertenstudium zum neuen Raumordnungsgesetz gemäß Meilenstein A12G abgeschlossen haben.</w:t>
            </w:r>
          </w:p>
        </w:tc>
      </w:tr>
      <w:tr w:rsidR="00EB245A" w14:paraId="07B6E8D5" w14:textId="77777777" w:rsidTr="00593BFE">
        <w:trPr>
          <w:trHeight w:val="493"/>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F502F61" w14:textId="7828E305" w:rsidR="00EB245A" w:rsidRDefault="006021EE">
            <w:pPr>
              <w:pStyle w:val="P68B1DB1-Normal011"/>
              <w:pBdr>
                <w:top w:val="nil"/>
                <w:left w:val="nil"/>
                <w:bottom w:val="nil"/>
                <w:right w:val="nil"/>
                <w:between w:val="nil"/>
              </w:pBdr>
              <w:spacing w:after="0" w:line="240" w:lineRule="auto"/>
              <w:jc w:val="center"/>
              <w:rPr>
                <w:rFonts w:cs="Times New Roman"/>
                <w:noProof/>
              </w:rPr>
            </w:pPr>
            <w:r>
              <w:rPr>
                <w:noProof/>
              </w:rPr>
              <w:t>A16G</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36861D" w14:textId="1965F409"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A1.3.1 Umsetzung der Reform der Flächennutzungsplanung</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C3D356" w14:textId="4F288A60"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38F6B0D" w14:textId="47B32A88"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Anteil der Gemeinden, die mit der Ausarbeitung allgemeiner </w:t>
            </w:r>
            <w:r>
              <w:rPr>
                <w:noProof/>
              </w:rPr>
              <w:t>Raumordnungspläne begonnen haben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00A9F47"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8D1A31" w14:textId="6EA57629"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(Prozent)</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A32BADF" w14:textId="2CC93140"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37B428" w14:textId="3F737335" w:rsidR="00EB245A" w:rsidRDefault="006021EE">
            <w:pPr>
              <w:pStyle w:val="P68B1DB1-Normal012"/>
              <w:spacing w:after="0" w:line="240" w:lineRule="auto"/>
              <w:jc w:val="right"/>
              <w:rPr>
                <w:rFonts w:eastAsia="Times New Roman" w:cs="Times New Roman"/>
                <w:noProof/>
                <w:color w:val="000000" w:themeColor="text1"/>
              </w:rPr>
            </w:pPr>
            <w:r>
              <w:rPr>
                <w:noProof/>
              </w:rPr>
              <w:t>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0756C0" w14:textId="3759D595"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0000" w:themeColor="text1"/>
              </w:rPr>
            </w:pPr>
            <w:r>
              <w:rPr>
                <w:noProof/>
              </w:rPr>
              <w:t>Q4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797ACAA" w14:textId="57C23510"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0000" w:themeColor="text1"/>
              </w:rPr>
            </w:pPr>
            <w:r>
              <w:rPr>
                <w:noProof/>
              </w:rPr>
              <w:t>2024</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0C7AFFB" w14:textId="3FEA2536" w:rsidR="00EB245A" w:rsidRDefault="006021EE">
            <w:pPr>
              <w:pStyle w:val="P68B1DB1-Normal012"/>
              <w:spacing w:after="0" w:line="240" w:lineRule="auto"/>
              <w:rPr>
                <w:rFonts w:eastAsia="Times New Roman" w:cs="Times New Roman"/>
                <w:noProof/>
                <w:color w:val="000000" w:themeColor="text1"/>
              </w:rPr>
            </w:pPr>
            <w:r>
              <w:rPr>
                <w:noProof/>
              </w:rPr>
              <w:t>Mindestens 50 % der Gemeinden haben mit der Ausarbeitung eines allgemeinen Raumordnungsplans begonnen, wie dies in dem neuen Gesetz in Meilenstein A12G vorgesehen ist. Dies erfolgt durch Eintragung</w:t>
            </w:r>
            <w:r>
              <w:rPr>
                <w:noProof/>
              </w:rPr>
              <w:t xml:space="preserve"> in das Register der Geodatensätze und -dienste.</w:t>
            </w:r>
          </w:p>
        </w:tc>
      </w:tr>
      <w:tr w:rsidR="00EB245A" w14:paraId="710E0C51" w14:textId="77777777" w:rsidTr="00593BFE">
        <w:trPr>
          <w:trHeight w:val="313"/>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9B77162" w14:textId="2A15C7B4" w:rsidR="00EB245A" w:rsidRDefault="006021EE">
            <w:pPr>
              <w:pStyle w:val="P68B1DB1-Normal011"/>
              <w:pBdr>
                <w:top w:val="nil"/>
                <w:left w:val="nil"/>
                <w:bottom w:val="nil"/>
                <w:right w:val="nil"/>
                <w:between w:val="nil"/>
              </w:pBdr>
              <w:spacing w:after="0" w:line="240" w:lineRule="auto"/>
              <w:jc w:val="center"/>
              <w:rPr>
                <w:rFonts w:cs="Times New Roman"/>
                <w:noProof/>
              </w:rPr>
            </w:pPr>
            <w:r>
              <w:rPr>
                <w:noProof/>
              </w:rPr>
              <w:t>A17G</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D857EC3" w14:textId="4C3E2881"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A1.3.1 Umsetzung der Reform der Flächennutzungsplanung</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5CF317" w14:textId="7BBA7553"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9E69F42" w14:textId="715E9894"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Anteil der Gemeinden, die allgemeine Raumordnungspläne angenommen haben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788203"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D20A188" w14:textId="551068AA"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(Prozent)</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E19C39" w14:textId="1C312CB0" w:rsidR="00EB245A" w:rsidRDefault="006021EE">
            <w:pPr>
              <w:pStyle w:val="P68B1DB1-Normal012"/>
              <w:spacing w:after="0" w:line="240" w:lineRule="auto"/>
              <w:jc w:val="right"/>
              <w:rPr>
                <w:rFonts w:eastAsia="Times New Roman" w:cs="Times New Roman"/>
                <w:noProof/>
              </w:rPr>
            </w:pPr>
            <w:r>
              <w:rPr>
                <w:noProof/>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5330AEE" w14:textId="4661FF7E"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0000" w:themeColor="text1"/>
              </w:rPr>
            </w:pPr>
            <w:r>
              <w:rPr>
                <w:noProof/>
              </w:rPr>
              <w:t>80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237063C" w14:textId="40977AD9"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0000" w:themeColor="text1"/>
              </w:rPr>
            </w:pPr>
            <w:r>
              <w:rPr>
                <w:noProof/>
              </w:rPr>
              <w:t>Q2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3F6E0FE" w14:textId="22B4B2F4"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0000" w:themeColor="text1"/>
              </w:rPr>
            </w:pPr>
            <w:r>
              <w:rPr>
                <w:noProof/>
              </w:rPr>
              <w:t>2026</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1226F21" w14:textId="6F53E49E" w:rsidR="00EB245A" w:rsidRDefault="006021EE">
            <w:pPr>
              <w:pStyle w:val="P68B1DB1-Normal012"/>
              <w:spacing w:after="0" w:line="240" w:lineRule="auto"/>
              <w:rPr>
                <w:rFonts w:eastAsia="Times New Roman" w:cs="Times New Roman"/>
                <w:noProof/>
                <w:color w:val="000000" w:themeColor="text1"/>
              </w:rPr>
            </w:pPr>
            <w:r>
              <w:rPr>
                <w:noProof/>
              </w:rPr>
              <w:t xml:space="preserve">80 % der Gemeinden haben einen allgemeinen </w:t>
            </w:r>
            <w:r>
              <w:rPr>
                <w:noProof/>
              </w:rPr>
              <w:t>Raumordnungsplan ausgearbeitet und angenommen, wie es in dem neuen Gesetz in Meilenstein A12G vorgesehen ist.</w:t>
            </w:r>
          </w:p>
        </w:tc>
      </w:tr>
      <w:tr w:rsidR="00EB245A" w14:paraId="35E6BF2C" w14:textId="77777777" w:rsidTr="00593BFE">
        <w:trPr>
          <w:trHeight w:val="313"/>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11B77A1" w14:textId="2BBDA42E"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A18G</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64D0D7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A1.4 Reform zur Verbesserung der Wettbewerbsfähigkeit und des Schutzes der Erzeuger/Verbraucher im Agrarsektor </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12F925B"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Meilenstein</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07788BB" w14:textId="57FA6DAE" w:rsidR="00EB245A" w:rsidRDefault="006021EE">
            <w:pPr>
              <w:pStyle w:val="P68B1DB1-Normal012"/>
              <w:spacing w:after="0" w:line="240" w:lineRule="auto"/>
              <w:rPr>
                <w:noProof/>
                <w:color w:val="000000" w:themeColor="text1"/>
              </w:rPr>
            </w:pPr>
            <w:r>
              <w:rPr>
                <w:noProof/>
              </w:rPr>
              <w:t xml:space="preserve">Inkrafttreten </w:t>
            </w:r>
            <w:r>
              <w:rPr>
                <w:noProof/>
              </w:rPr>
              <w:t>eines neuen Gesetzes zur Bekämpfung der unlauteren Nutzung vertraglicher Vorteile im Agrar- und Lebensmittelhandel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08527F" w14:textId="020DE8C1" w:rsidR="00EB245A" w:rsidRDefault="006021EE">
            <w:pPr>
              <w:pStyle w:val="P68B1DB1-Normal012"/>
              <w:spacing w:after="0" w:line="240" w:lineRule="auto"/>
              <w:rPr>
                <w:noProof/>
                <w:color w:val="000000" w:themeColor="text1"/>
              </w:rPr>
            </w:pPr>
            <w:r>
              <w:rPr>
                <w:noProof/>
              </w:rPr>
              <w:t>Bestimmung des neuen Gesetzes zur Bekämpfung der missbräuchlichen Nutzung vertraglicher Vergünstigungen im Agrar- und Lebensmittelhandel unte</w:t>
            </w:r>
            <w:r>
              <w:rPr>
                <w:noProof/>
              </w:rPr>
              <w:t>r Hinweis auf sein Inkrafttreten</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A7717C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9A23A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4536B0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ED34D64"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9D64232"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2022</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13FCC4E" w14:textId="77777777" w:rsidR="00EB245A" w:rsidRDefault="006021EE">
            <w:pPr>
              <w:pStyle w:val="Normal0"/>
              <w:spacing w:after="0" w:line="240" w:lineRule="auto"/>
              <w:rPr>
                <w:rFonts w:ascii="Times New Roman" w:eastAsia="Times New Roman" w:hAnsi="Times New Roman" w:cs="Times New Roman"/>
                <w:noProof/>
                <w:sz w:val="18"/>
              </w:rPr>
            </w:pPr>
            <w:r>
              <w:rPr>
                <w:rFonts w:ascii="Times New Roman" w:hAnsi="Times New Roman"/>
                <w:noProof/>
                <w:sz w:val="18"/>
              </w:rPr>
              <w:t xml:space="preserve">Nach einer öffentlichen Konsultation Inkrafttreten eines neuen Gesetzes zur Bekämpfung der unlauteren Nutzung vertraglicher Vorteile im Agrar- und Lebensmittelhandel, das  </w:t>
            </w:r>
            <w:r>
              <w:rPr>
                <w:noProof/>
              </w:rPr>
              <w:t xml:space="preserve">  </w:t>
            </w:r>
            <w:r>
              <w:rPr>
                <w:noProof/>
              </w:rPr>
              <w:br/>
            </w:r>
            <w:r>
              <w:rPr>
                <w:rFonts w:ascii="Times New Roman" w:hAnsi="Times New Roman"/>
                <w:noProof/>
                <w:sz w:val="18"/>
              </w:rPr>
              <w:t xml:space="preserve"> 1) die Grundlage für ein besseres Funktionieren der Lebensmittelversorgungskette zu schaffen und eine Reihe von Grundsätzen für bewährte Verfahren in vertikalen Beziehungen in der Lebensmittelversorgungskette zu billigen sowie eine Mindestharmonisierung d</w:t>
            </w:r>
            <w:r>
              <w:rPr>
                <w:rFonts w:ascii="Times New Roman" w:hAnsi="Times New Roman"/>
                <w:noProof/>
                <w:sz w:val="18"/>
              </w:rPr>
              <w:t xml:space="preserve">er Standards gemäß der Richtlinie (EU) 2019/633 sicherzustellen; </w:t>
            </w:r>
            <w:r>
              <w:rPr>
                <w:noProof/>
              </w:rPr>
              <w:t xml:space="preserve"> </w:t>
            </w:r>
            <w:r>
              <w:rPr>
                <w:noProof/>
              </w:rPr>
              <w:br/>
            </w:r>
            <w:r>
              <w:rPr>
                <w:rFonts w:ascii="Times New Roman" w:hAnsi="Times New Roman"/>
                <w:noProof/>
                <w:sz w:val="18"/>
              </w:rPr>
              <w:t xml:space="preserve"> 2. Schutz des gesamten Handels mit Agrar- und Lebensmittelerzeugnissen vor unlauteren Handelspraktiken; </w:t>
            </w:r>
            <w:r>
              <w:rPr>
                <w:noProof/>
              </w:rPr>
              <w:t xml:space="preserve"> </w:t>
            </w:r>
            <w:r>
              <w:rPr>
                <w:noProof/>
              </w:rPr>
              <w:br/>
            </w:r>
            <w:r>
              <w:rPr>
                <w:rFonts w:ascii="Times New Roman" w:hAnsi="Times New Roman"/>
                <w:noProof/>
                <w:sz w:val="18"/>
              </w:rPr>
              <w:t xml:space="preserve"> Über die Richtlinie (EU) 2019/633 des Europäischen Parlaments und des Rates vom 1</w:t>
            </w:r>
            <w:r>
              <w:rPr>
                <w:rFonts w:ascii="Times New Roman" w:hAnsi="Times New Roman"/>
                <w:noProof/>
                <w:sz w:val="18"/>
              </w:rPr>
              <w:t xml:space="preserve">7. April 2019 über unlautere Handelspraktiken in den Geschäftsbeziehungen zwischen Unternehmen in der Agrar- und Lebensmittelversorgungskette hinausgehen. </w:t>
            </w:r>
            <w:r>
              <w:rPr>
                <w:noProof/>
              </w:rPr>
              <w:t xml:space="preserve"> </w:t>
            </w:r>
            <w:r>
              <w:rPr>
                <w:noProof/>
              </w:rPr>
              <w:br/>
            </w:r>
            <w:r>
              <w:rPr>
                <w:rFonts w:ascii="Times New Roman" w:hAnsi="Times New Roman"/>
                <w:noProof/>
                <w:sz w:val="18"/>
              </w:rPr>
              <w:t xml:space="preserve">Dieses Gesetz geht wie folgt über die Richtlinie über unlautere Handelspraktiken hinaus: </w:t>
            </w:r>
            <w:r>
              <w:rPr>
                <w:noProof/>
              </w:rPr>
              <w:t xml:space="preserve"> </w:t>
            </w:r>
            <w:r>
              <w:rPr>
                <w:noProof/>
              </w:rPr>
              <w:br/>
            </w:r>
            <w:r>
              <w:rPr>
                <w:rFonts w:ascii="Times New Roman" w:hAnsi="Times New Roman"/>
                <w:noProof/>
                <w:sz w:val="18"/>
              </w:rPr>
              <w:t>a) Obwoh</w:t>
            </w:r>
            <w:r>
              <w:rPr>
                <w:rFonts w:ascii="Times New Roman" w:hAnsi="Times New Roman"/>
                <w:noProof/>
                <w:sz w:val="18"/>
              </w:rPr>
              <w:t>l die Richtlinie eine erschöpfende Liste unlauterer Handelspraktiken enthält, wird mit dem neuen Gesetz zusätzlich zu dieser Liste eine offene Definition unlauterer Handelspraktiken eingeführt. Insbesondere werden solche zusätzlichen Handelspraktiken vom A</w:t>
            </w:r>
            <w:r>
              <w:rPr>
                <w:rFonts w:ascii="Times New Roman" w:hAnsi="Times New Roman"/>
                <w:noProof/>
                <w:sz w:val="18"/>
              </w:rPr>
              <w:t>mt für Wettbewerb und Verbraucherschutz (UOKiK) als unlauter eingestuft, wenn sie i) den Erfordernissen des guten Geschäftsgebarens zuwiderlaufen; II) sie die Interessen der anderen Vertragspartei wesentlich verfälschen oder wahrscheinlich wesentlich verze</w:t>
            </w:r>
            <w:r>
              <w:rPr>
                <w:rFonts w:ascii="Times New Roman" w:hAnsi="Times New Roman"/>
                <w:noProof/>
                <w:sz w:val="18"/>
              </w:rPr>
              <w:t xml:space="preserve">rren; </w:t>
            </w:r>
          </w:p>
          <w:p w14:paraId="766BBF65" w14:textId="77777777" w:rsidR="00EB245A" w:rsidRDefault="006021EE">
            <w:pPr>
              <w:pStyle w:val="P68B1DB1-Normal011"/>
              <w:spacing w:after="0" w:line="240" w:lineRule="auto"/>
              <w:rPr>
                <w:rFonts w:eastAsia="Times New Roman" w:cs="Times New Roman"/>
                <w:noProof/>
              </w:rPr>
            </w:pPr>
            <w:r>
              <w:rPr>
                <w:noProof/>
              </w:rPr>
              <w:t xml:space="preserve">B) Während die Richtlinie nur die Lieferanten von Agrar- und Lebensmittelerzeugnissen schützt, sollen alle Handelsakteure, einschließlich der Käufer von Agrar- und Lebensmittelerzeugnissen, durch das neue Gesetz geschützt werden. </w:t>
            </w:r>
          </w:p>
          <w:p w14:paraId="7B5ABDAF" w14:textId="62C85601"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Die Reform soll es</w:t>
            </w:r>
            <w:r>
              <w:rPr>
                <w:noProof/>
              </w:rPr>
              <w:t xml:space="preserve"> dem Amt für Wettbewerb und Verbraucherschutz ermöglichen, nicht nur die von den Marktteilnehmern vorgelegten Fälle zu untersuchen, sondern eigene Untersuchungen durchzuführen. </w:t>
            </w:r>
          </w:p>
        </w:tc>
      </w:tr>
      <w:tr w:rsidR="00EB245A" w14:paraId="376BE365" w14:textId="77777777" w:rsidTr="00593BFE">
        <w:trPr>
          <w:trHeight w:val="313"/>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6D80A2" w14:textId="25505493"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A19G</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6F0C8C0"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A1.4 Reform zur Verbesserung der Wettbewerbsfähigkeit und des Schutzes der Erzeuger/Verbraucher im Agrarsektor </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A5670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Meilenstein</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C1A4DB0" w14:textId="199C2202"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Annahme einer Halbzeitüberprüfung des neuen Gesetzes zur Bekämpfung der unlauteren Nutzung vertraglicher Vorteile im Agrar- und Lebe</w:t>
            </w:r>
            <w:r>
              <w:rPr>
                <w:noProof/>
              </w:rPr>
              <w:t>nsmittelhandel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210EFF1" w14:textId="5D3EB8B5"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Veröffentlichung auf der Website des Amtes für Wettbewerb und Verbraucherschutz</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D7A3EC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29C278E"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790C8A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AE9D3A3"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C01C751"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2025</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7215B3B" w14:textId="35452330"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Im Rahmen der Überprüfung wird bewertet, ob die Ziele der Reform zur Bekämpfung unlauterer Handelspraktiken im Agrar- und Lebensmittelsektor erreicht wurden, und Wege für Maßnahmen zur Bewältigung potenzieller Umsetzungsprobleme aufgezeigt.   </w:t>
            </w:r>
          </w:p>
        </w:tc>
      </w:tr>
      <w:tr w:rsidR="00EB245A" w14:paraId="45D37336" w14:textId="77777777" w:rsidTr="00593BFE">
        <w:trPr>
          <w:trHeight w:val="313"/>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EC88BF" w14:textId="3A11EF12" w:rsidR="00EB245A" w:rsidRDefault="006021EE">
            <w:pPr>
              <w:pStyle w:val="P68B1DB1-Normal011"/>
              <w:pBdr>
                <w:top w:val="nil"/>
                <w:left w:val="nil"/>
                <w:bottom w:val="nil"/>
                <w:right w:val="nil"/>
                <w:between w:val="nil"/>
              </w:pBdr>
              <w:spacing w:after="0" w:line="240" w:lineRule="auto"/>
              <w:jc w:val="center"/>
              <w:rPr>
                <w:rFonts w:cs="Times New Roman"/>
                <w:noProof/>
              </w:rPr>
            </w:pPr>
            <w:r>
              <w:rPr>
                <w:noProof/>
              </w:rPr>
              <w:t>A20G</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4703EB" w14:textId="671D4DF8"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A1.4.1</w:t>
            </w:r>
            <w:r>
              <w:rPr>
                <w:noProof/>
              </w:rPr>
              <w:t xml:space="preserve"> Investitionen zur Diversifizierung und Verkürzung der Lieferkette von Agrar- und Lebensmittelerzeugnissen und zur Stärkung der Widerstandsfähigkeit der Unternehmen in der Lieferkette</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56E23DD" w14:textId="6A45228B"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Meilenstein</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D62B8CB" w14:textId="794B2D92"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Annahme von Kriterien für die Auswahl der Begünstigten für a</w:t>
            </w:r>
            <w:r>
              <w:rPr>
                <w:noProof/>
              </w:rPr>
              <w:t>lle Projekte im Rahmen dieser Investition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F57FF9D" w14:textId="54203CA3"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Veröffentlichung der Kriterien für die Auswahl der Begünstigten auf der Website des Ministeriums für Landwirtschaft und ländliche Entwicklung und der Agentur für die Umstrukturierung und Modernisierung der Landwirt</w:t>
            </w:r>
            <w:r>
              <w:rPr>
                <w:noProof/>
              </w:rPr>
              <w:t>schaft</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DF608E5" w14:textId="73C32A21"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C01162" w14:textId="213429ED"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D67AE6D" w14:textId="69393F5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D9B4C8F" w14:textId="543FC911"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D4F64C" w14:textId="2E117090"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2022</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9F98E44" w14:textId="6C98B984"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r>
              <w:rPr>
                <w:rFonts w:ascii="Times New Roman" w:hAnsi="Times New Roman"/>
                <w:noProof/>
                <w:color w:val="000000" w:themeColor="text1"/>
                <w:sz w:val="18"/>
              </w:rPr>
              <w:t>Nach einer öffentlichen Konsultation Annahme der Kriterien für die Auswahl der Begünstigten für alle Projekte im Rahmen dieser Investition. Die Auswahlkriterien entsprechen den Grundsätzen der Nichtdiskriminierung und der Transparenz.</w:t>
            </w:r>
            <w:r>
              <w:rPr>
                <w:noProof/>
              </w:rPr>
              <w:t xml:space="preserve">  </w:t>
            </w:r>
            <w:r>
              <w:rPr>
                <w:noProof/>
              </w:rPr>
              <w:br/>
            </w:r>
            <w:r>
              <w:rPr>
                <w:rFonts w:ascii="Times New Roman" w:hAnsi="Times New Roman"/>
                <w:noProof/>
                <w:color w:val="000000" w:themeColor="text1"/>
                <w:sz w:val="18"/>
              </w:rPr>
              <w:t>Bei den Auswahlkriterien werden folgende Bereiche bevorzugt:</w:t>
            </w:r>
            <w:r>
              <w:rPr>
                <w:noProof/>
              </w:rPr>
              <w:t xml:space="preserve">  </w:t>
            </w:r>
            <w:r>
              <w:rPr>
                <w:noProof/>
              </w:rPr>
              <w:br/>
            </w:r>
            <w:r>
              <w:rPr>
                <w:rFonts w:ascii="Times New Roman" w:hAnsi="Times New Roman"/>
                <w:noProof/>
                <w:color w:val="000000" w:themeColor="text1"/>
                <w:sz w:val="18"/>
              </w:rPr>
              <w:t xml:space="preserve">I) Digitalisierung; </w:t>
            </w:r>
            <w:r>
              <w:rPr>
                <w:noProof/>
              </w:rPr>
              <w:t xml:space="preserve"> </w:t>
            </w:r>
            <w:r>
              <w:rPr>
                <w:noProof/>
              </w:rPr>
              <w:br/>
            </w:r>
            <w:r>
              <w:rPr>
                <w:rFonts w:ascii="Times New Roman" w:hAnsi="Times New Roman"/>
                <w:noProof/>
                <w:color w:val="000000" w:themeColor="text1"/>
                <w:sz w:val="18"/>
              </w:rPr>
              <w:t xml:space="preserve">II) Schaffung von Arbeitsplätzen; </w:t>
            </w:r>
            <w:r>
              <w:rPr>
                <w:noProof/>
              </w:rPr>
              <w:t xml:space="preserve"> </w:t>
            </w:r>
            <w:r>
              <w:rPr>
                <w:noProof/>
              </w:rPr>
              <w:br/>
            </w:r>
            <w:r>
              <w:rPr>
                <w:rFonts w:ascii="Times New Roman" w:hAnsi="Times New Roman"/>
                <w:noProof/>
                <w:color w:val="000000" w:themeColor="text1"/>
                <w:sz w:val="18"/>
              </w:rPr>
              <w:t xml:space="preserve">III) Umweltschutz und nachhaltige Lebensmittelerzeugung; </w:t>
            </w:r>
            <w:r>
              <w:rPr>
                <w:noProof/>
              </w:rPr>
              <w:t xml:space="preserve"> </w:t>
            </w:r>
            <w:r>
              <w:rPr>
                <w:noProof/>
              </w:rPr>
              <w:br/>
            </w:r>
            <w:r>
              <w:rPr>
                <w:rFonts w:ascii="Times New Roman" w:hAnsi="Times New Roman"/>
                <w:noProof/>
                <w:color w:val="000000" w:themeColor="text1"/>
                <w:sz w:val="18"/>
              </w:rPr>
              <w:t xml:space="preserve">IV) die Kreislaufwirtschaft, einschließlich Maßnahmen zur Vermeidung von </w:t>
            </w:r>
            <w:r>
              <w:rPr>
                <w:rFonts w:ascii="Times New Roman" w:hAnsi="Times New Roman"/>
                <w:noProof/>
                <w:color w:val="000000" w:themeColor="text1"/>
                <w:sz w:val="18"/>
              </w:rPr>
              <w:t>Lebensmittelverschwendung.</w:t>
            </w:r>
            <w:r>
              <w:rPr>
                <w:noProof/>
              </w:rPr>
              <w:t xml:space="preserve">  </w:t>
            </w:r>
            <w:r>
              <w:rPr>
                <w:noProof/>
              </w:rPr>
              <w:br/>
            </w:r>
            <w:r>
              <w:rPr>
                <w:rFonts w:ascii="Times New Roman" w:hAnsi="Times New Roman"/>
                <w:noProof/>
                <w:color w:val="000000" w:themeColor="text1"/>
                <w:sz w:val="18"/>
              </w:rPr>
              <w:t>Das Antrags- und Überprüfungsverfahren wird von der Agentur für die Umstrukturierung und Modernisierung der Landwirtschaft (ARMA) durchgeführt, um Kohärenz und Transparenz zu gewährleisten und Doppelfinanzierungen zu vermeiden.</w:t>
            </w:r>
          </w:p>
        </w:tc>
      </w:tr>
      <w:tr w:rsidR="00EB245A" w14:paraId="6765AB1E" w14:textId="77777777" w:rsidTr="00593BFE">
        <w:trPr>
          <w:trHeight w:val="624"/>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007C906" w14:textId="6877A1A0"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A21G</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3C32C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A1.4.1 Investitionen zur Diversifizierung und Verkürzung der Lieferkette von Agrar- und Lebensmittelerzeugnissen und zur Stärkung der Widerstandsfähigkeit der Unternehmen in der Lieferkette</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285379"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B60DF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Errichtete oder modernisierte Vertriebs- und </w:t>
            </w:r>
            <w:r>
              <w:rPr>
                <w:noProof/>
              </w:rPr>
              <w:t>Speicherzentren und modernisierte Großhandelsmärkte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4AD8D1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1A2992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B7EFE02"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3D9E551" w14:textId="258C26DE" w:rsidR="00EB245A" w:rsidRDefault="006021EE">
            <w:pPr>
              <w:pStyle w:val="P68B1DB1-Normal012"/>
              <w:spacing w:after="0" w:line="240" w:lineRule="auto"/>
              <w:jc w:val="right"/>
              <w:rPr>
                <w:rFonts w:eastAsia="Times New Roman" w:cs="Times New Roman"/>
                <w:noProof/>
              </w:rPr>
            </w:pPr>
            <w:r>
              <w:rPr>
                <w:noProof/>
              </w:rPr>
              <w:t>166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CC933B" w14:textId="0CBBDEB4" w:rsidR="00EB245A" w:rsidRDefault="006021EE">
            <w:pPr>
              <w:pStyle w:val="P68B1DB1-Normal012"/>
              <w:spacing w:after="0" w:line="240" w:lineRule="auto"/>
              <w:jc w:val="center"/>
              <w:rPr>
                <w:rFonts w:eastAsia="Times New Roman" w:cs="Times New Roman"/>
                <w:noProof/>
              </w:rPr>
            </w:pPr>
            <w:r>
              <w:rPr>
                <w:noProof/>
              </w:rPr>
              <w:t>Q2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CE97451" w14:textId="1E5B60E1" w:rsidR="00EB245A" w:rsidRDefault="006021EE">
            <w:pPr>
              <w:pStyle w:val="P68B1DB1-Normal012"/>
              <w:spacing w:after="0" w:line="240" w:lineRule="auto"/>
              <w:jc w:val="center"/>
              <w:rPr>
                <w:rFonts w:eastAsia="Times New Roman" w:cs="Times New Roman"/>
                <w:noProof/>
              </w:rPr>
            </w:pPr>
            <w:r>
              <w:rPr>
                <w:noProof/>
              </w:rPr>
              <w:t>2026</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092807" w14:textId="06138CEA" w:rsidR="00EB245A" w:rsidRDefault="006021EE">
            <w:pPr>
              <w:pStyle w:val="P68B1DB1-Normal012"/>
              <w:spacing w:after="0" w:line="240" w:lineRule="auto"/>
              <w:rPr>
                <w:rFonts w:eastAsia="Times New Roman" w:cs="Times New Roman"/>
                <w:noProof/>
                <w:color w:val="000000" w:themeColor="text1"/>
              </w:rPr>
            </w:pPr>
            <w:r>
              <w:rPr>
                <w:noProof/>
              </w:rPr>
              <w:t xml:space="preserve">Errichtung oder Modernisierung von mindestens 166 Vertriebs- und Speicherzentren und Großhandelsmärkten (einschließlich Genossenschaften). Ziel ist es, eine Reihe unabhängiger </w:t>
            </w:r>
            <w:r>
              <w:rPr>
                <w:noProof/>
              </w:rPr>
              <w:t>Vertriebs- und Lagerzentren auf lokaler Ebene zu schaffen, um die Lebensmittelversorgungskette zu diversifizieren und zu verkürzen sowie nachhaltigere Produktionsverfahren im Agrar- und Lebensmittelsektor zu fördern, insbesondere durch die Vermeidung von L</w:t>
            </w:r>
            <w:r>
              <w:rPr>
                <w:noProof/>
              </w:rPr>
              <w:t>ebensmittelverschwendung. Die Investition umfasst:</w:t>
            </w:r>
          </w:p>
          <w:p w14:paraId="3091E0EA" w14:textId="19ACC6F9" w:rsidR="00EB245A" w:rsidRDefault="006021EE">
            <w:pPr>
              <w:pStyle w:val="P68B1DB1-Normal012"/>
              <w:numPr>
                <w:ilvl w:val="0"/>
                <w:numId w:val="4"/>
              </w:numPr>
              <w:pBdr>
                <w:top w:val="nil"/>
                <w:left w:val="nil"/>
                <w:bottom w:val="nil"/>
                <w:right w:val="nil"/>
                <w:between w:val="nil"/>
              </w:pBdr>
              <w:spacing w:after="0" w:line="240" w:lineRule="auto"/>
              <w:rPr>
                <w:rFonts w:eastAsia="Times New Roman" w:cs="Times New Roman"/>
                <w:noProof/>
                <w:color w:val="000000" w:themeColor="text1"/>
              </w:rPr>
            </w:pPr>
            <w:r>
              <w:rPr>
                <w:noProof/>
              </w:rPr>
              <w:t>Bau oder Modernisierung von Gebäuden und einschlägigen Infrastrukturen wie Lager-, Verpackungs-, Verlade- und Verkaufseinrichtungen, soziale Einrichtungen und Laboratorien. Darüber hinaus umfassen die Inve</w:t>
            </w:r>
            <w:r>
              <w:rPr>
                <w:noProof/>
              </w:rPr>
              <w:t>stitionen den Erwerb von Solarpaneelen und den Bau von Wärmerückgewinnungsanlagen, Biomasseöfen und Kältemitteln mit geringeren oder neutralen Auswirkungen auf die Umwelt. Die Modernisierung von Gebäuden umfasst auch Investitionen in die Thermomodernisieru</w:t>
            </w:r>
            <w:r>
              <w:rPr>
                <w:noProof/>
              </w:rPr>
              <w:t>ng von Gebäuden, den Bau von Abfallbehandlungsanlagen und den Bau von Wasser- und Energiesparanlagen.</w:t>
            </w:r>
          </w:p>
          <w:p w14:paraId="76854333" w14:textId="250592DD" w:rsidR="00EB245A" w:rsidRDefault="006021EE">
            <w:pPr>
              <w:pStyle w:val="P68B1DB1-Normal012"/>
              <w:numPr>
                <w:ilvl w:val="0"/>
                <w:numId w:val="4"/>
              </w:numPr>
              <w:pBdr>
                <w:top w:val="nil"/>
                <w:left w:val="nil"/>
                <w:bottom w:val="nil"/>
                <w:right w:val="nil"/>
                <w:between w:val="nil"/>
              </w:pBdr>
              <w:spacing w:after="0" w:line="240" w:lineRule="auto"/>
              <w:rPr>
                <w:rFonts w:cs="Times New Roman"/>
                <w:noProof/>
                <w:color w:val="000000" w:themeColor="text1"/>
              </w:rPr>
            </w:pPr>
            <w:r>
              <w:rPr>
                <w:noProof/>
              </w:rPr>
              <w:t>Kauf und Installation von Maschinen und Geräten für die Lagerung, den Verkauf, die Verpackung und den Transport von Agrar- und Lebensmittelerzeugnissen</w:t>
            </w:r>
          </w:p>
          <w:p w14:paraId="5DC2F90F" w14:textId="556339F9" w:rsidR="00EB245A" w:rsidRDefault="006021EE">
            <w:pPr>
              <w:pStyle w:val="P68B1DB1-Normal012"/>
              <w:numPr>
                <w:ilvl w:val="0"/>
                <w:numId w:val="4"/>
              </w:numPr>
              <w:pBdr>
                <w:top w:val="nil"/>
                <w:left w:val="nil"/>
                <w:bottom w:val="nil"/>
                <w:right w:val="nil"/>
                <w:between w:val="nil"/>
              </w:pBdr>
              <w:spacing w:after="0" w:line="240" w:lineRule="auto"/>
              <w:rPr>
                <w:rFonts w:cs="Times New Roman"/>
                <w:noProof/>
                <w:color w:val="000000" w:themeColor="text1"/>
              </w:rPr>
            </w:pPr>
            <w:r>
              <w:rPr>
                <w:noProof/>
              </w:rPr>
              <w:t>Er</w:t>
            </w:r>
            <w:r>
              <w:rPr>
                <w:noProof/>
              </w:rPr>
              <w:t>werb und Installation von IT-Systemen zur Unterstützung, Lagerung und Vermarktung von Lebensmitteln, einschließlich Verwaltungs- und Buchführungssystemen.</w:t>
            </w:r>
          </w:p>
          <w:p w14:paraId="0791B279" w14:textId="0787B348" w:rsidR="00EB245A" w:rsidRDefault="006021EE">
            <w:pPr>
              <w:pStyle w:val="P68B1DB1-Normal012"/>
              <w:numPr>
                <w:ilvl w:val="0"/>
                <w:numId w:val="4"/>
              </w:numPr>
              <w:pBdr>
                <w:top w:val="nil"/>
                <w:left w:val="nil"/>
                <w:bottom w:val="nil"/>
                <w:right w:val="nil"/>
                <w:between w:val="nil"/>
              </w:pBdr>
              <w:spacing w:after="0" w:line="240" w:lineRule="auto"/>
              <w:rPr>
                <w:rFonts w:cs="Times New Roman"/>
                <w:noProof/>
                <w:color w:val="000000" w:themeColor="text1"/>
              </w:rPr>
            </w:pPr>
            <w:r>
              <w:rPr>
                <w:noProof/>
              </w:rPr>
              <w:t>Erwerb neuer spezialisierter Transportmittel für die Lagerverwaltung (z. B. Gabelstapler) und für die</w:t>
            </w:r>
            <w:r>
              <w:rPr>
                <w:noProof/>
              </w:rPr>
              <w:t xml:space="preserve"> Beförderung von Agrar- und Lebensmittelerzeugnissen (wie Tanks, Silos, Kühlhäuser und Isothermen). Bei der Anschaffung von Transportmitteln sind die technischen Leitlinien für die Vermeidung erheblicher Beeinträchtigungen (2021/C58/01) vollständig einzuha</w:t>
            </w:r>
            <w:r>
              <w:rPr>
                <w:noProof/>
              </w:rPr>
              <w:t>lten.</w:t>
            </w:r>
          </w:p>
          <w:p w14:paraId="767B1C88" w14:textId="2FCFF0D8" w:rsidR="00EB245A" w:rsidRDefault="006021EE">
            <w:pPr>
              <w:pStyle w:val="P68B1DB1-Normal012"/>
              <w:numPr>
                <w:ilvl w:val="0"/>
                <w:numId w:val="4"/>
              </w:numPr>
              <w:pBdr>
                <w:top w:val="nil"/>
                <w:left w:val="nil"/>
                <w:bottom w:val="nil"/>
                <w:right w:val="nil"/>
                <w:between w:val="nil"/>
              </w:pBdr>
              <w:spacing w:after="0" w:line="240" w:lineRule="auto"/>
              <w:rPr>
                <w:rFonts w:cs="Times New Roman"/>
                <w:noProof/>
                <w:color w:val="000000" w:themeColor="text1"/>
              </w:rPr>
            </w:pPr>
            <w:r>
              <w:rPr>
                <w:noProof/>
              </w:rPr>
              <w:t>Investitionen im Zusammenhang mit der Einhaltung zertifizierter Qualitätsmanagementsysteme</w:t>
            </w:r>
          </w:p>
          <w:p w14:paraId="04CD0502" w14:textId="17941C6B" w:rsidR="00EB245A" w:rsidRDefault="006021EE">
            <w:pPr>
              <w:pStyle w:val="P68B1DB1-Normal012"/>
              <w:numPr>
                <w:ilvl w:val="0"/>
                <w:numId w:val="4"/>
              </w:numPr>
              <w:pBdr>
                <w:top w:val="nil"/>
                <w:left w:val="nil"/>
                <w:bottom w:val="nil"/>
                <w:right w:val="nil"/>
                <w:between w:val="nil"/>
              </w:pBdr>
              <w:spacing w:after="0" w:line="240" w:lineRule="auto"/>
              <w:rPr>
                <w:rFonts w:cs="Times New Roman"/>
                <w:noProof/>
                <w:color w:val="000000" w:themeColor="text1"/>
              </w:rPr>
            </w:pPr>
            <w:r>
              <w:rPr>
                <w:noProof/>
              </w:rPr>
              <w:t>Vorabgebühren für Patente und Lizenzen.</w:t>
            </w:r>
          </w:p>
          <w:p w14:paraId="26CC8732" w14:textId="17941C6B" w:rsidR="00EB245A" w:rsidRDefault="00EB245A">
            <w:pPr>
              <w:pStyle w:val="Normal0"/>
              <w:spacing w:after="0" w:line="240" w:lineRule="auto"/>
              <w:rPr>
                <w:rFonts w:ascii="Times New Roman" w:eastAsia="Times New Roman" w:hAnsi="Times New Roman" w:cs="Times New Roman"/>
                <w:noProof/>
                <w:color w:val="000000" w:themeColor="text1"/>
                <w:sz w:val="18"/>
              </w:rPr>
            </w:pPr>
          </w:p>
          <w:p w14:paraId="4F497344" w14:textId="13BFF8F0" w:rsidR="00EB245A" w:rsidRDefault="006021EE">
            <w:pPr>
              <w:pStyle w:val="P68B1DB1-Normal012"/>
              <w:spacing w:after="0" w:line="240" w:lineRule="auto"/>
              <w:rPr>
                <w:rFonts w:eastAsia="Times New Roman" w:cs="Times New Roman"/>
                <w:noProof/>
                <w:color w:val="000000" w:themeColor="text1"/>
              </w:rPr>
            </w:pPr>
            <w:r>
              <w:rPr>
                <w:noProof/>
              </w:rPr>
              <w:t>Die Investition muss eine ausgewogene Durchführung aller in der Zielvorgabe beschriebenen Arten von Projekten gewährle</w:t>
            </w:r>
            <w:r>
              <w:rPr>
                <w:noProof/>
              </w:rPr>
              <w:t>isten, wobei sowohl die besonderen Bedürfnisse der Begünstigten als auch die Ziele der Verordnung über die Aufbau- und Resilienzfazilität zu berücksichtigen sind.</w:t>
            </w:r>
          </w:p>
          <w:p w14:paraId="61829076"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p>
          <w:p w14:paraId="2BA226A1" w14:textId="2EA0092C"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Die Investitionen werden im Einklang mit den technischen Leitlinien für die Vermeidung </w:t>
            </w:r>
            <w:r>
              <w:rPr>
                <w:noProof/>
              </w:rPr>
              <w:t>erheblicher Beeinträchtigungen (2021/C 58/01) getätigt, insbesondere in Bezug auf Anforderungen in Bezug auf Energieeffizienz, Fahrzeuge, erneuerbare Energien und Abfallbewirtschaftung.</w:t>
            </w:r>
          </w:p>
        </w:tc>
      </w:tr>
      <w:tr w:rsidR="00EB245A" w14:paraId="2592C230" w14:textId="77777777" w:rsidTr="00593BFE">
        <w:trPr>
          <w:trHeight w:val="313"/>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B568215" w14:textId="508075D4"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A22G</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6C3DEAB"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A1.4.1 Investitionen zur Diversifizierung und Verkürzung der </w:t>
            </w:r>
            <w:r>
              <w:rPr>
                <w:noProof/>
              </w:rPr>
              <w:t>Lieferkette von Agrar- und Lebensmittelerzeugnissen und zur Stärkung der Widerstandsfähigkeit der Unternehmen in der Lieferkette</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687BC1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B1FA45" w14:textId="65CE7E76"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KMU im Agrar- und Lebensmittelsektor, die Projekte zur Modernisierung ihrer Infrastruktur und Ausrüstung abgeschlossen hab</w:t>
            </w:r>
            <w:r>
              <w:rPr>
                <w:noProof/>
              </w:rPr>
              <w:t>en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A58656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640446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3113584"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8F7D30E"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400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CF82A2F"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6C646BA"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2024</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7C22F2D" w14:textId="7BABAD54"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r>
              <w:rPr>
                <w:rFonts w:ascii="Times New Roman" w:hAnsi="Times New Roman"/>
                <w:noProof/>
                <w:color w:val="000000" w:themeColor="text1"/>
                <w:sz w:val="18"/>
              </w:rPr>
              <w:t>Mindestens 400 KMU im Agrar-, Lebensmittel- und Fischereisektor haben Projekte zur Modernisierung ihrer Infrastruktur und Ausrüstung abgeschlossen. Die Investitionen umfassen folgende Arten von Tätigkeiten:</w:t>
            </w:r>
            <w:r>
              <w:rPr>
                <w:noProof/>
              </w:rPr>
              <w:t xml:space="preserve">  </w:t>
            </w:r>
            <w:r>
              <w:rPr>
                <w:noProof/>
              </w:rPr>
              <w:br/>
            </w:r>
            <w:r>
              <w:rPr>
                <w:rFonts w:ascii="Times New Roman" w:hAnsi="Times New Roman"/>
                <w:noProof/>
                <w:color w:val="000000" w:themeColor="text1"/>
                <w:sz w:val="18"/>
              </w:rPr>
              <w:t xml:space="preserve">1. Bau oder </w:t>
            </w:r>
            <w:r>
              <w:rPr>
                <w:rFonts w:ascii="Times New Roman" w:hAnsi="Times New Roman"/>
                <w:noProof/>
                <w:color w:val="000000" w:themeColor="text1"/>
                <w:sz w:val="18"/>
              </w:rPr>
              <w:t>Modernisierung von Gebäuden und einschlägigen Infrastrukturen wie Produktions- und Lagereinrichtungen und Laboratorien. Die Unterstützung deckt auch grüne Investitionen wie den Bau von Abfalllager- und Abfallbewirtschaftungsanlagen, Kläranlagen und Biogasa</w:t>
            </w:r>
            <w:r>
              <w:rPr>
                <w:rFonts w:ascii="Times New Roman" w:hAnsi="Times New Roman"/>
                <w:noProof/>
                <w:color w:val="000000" w:themeColor="text1"/>
                <w:sz w:val="18"/>
              </w:rPr>
              <w:t>nlagen ab. Darüber hinaus umfassen die Investitionen den Erwerb von Solarpaneelen und den Bau von Wärmerückgewinnungsanlagen, Biomasseöfen und Kältemitteln mit geringeren oder neutralen Auswirkungen auf die Umwelt.</w:t>
            </w:r>
            <w:r>
              <w:rPr>
                <w:noProof/>
              </w:rPr>
              <w:t xml:space="preserve">  </w:t>
            </w:r>
            <w:r>
              <w:rPr>
                <w:noProof/>
              </w:rPr>
              <w:br/>
            </w:r>
            <w:r>
              <w:rPr>
                <w:rFonts w:ascii="Times New Roman" w:hAnsi="Times New Roman"/>
                <w:noProof/>
                <w:color w:val="000000" w:themeColor="text1"/>
                <w:sz w:val="18"/>
              </w:rPr>
              <w:t>Kauf und Installation von Maschinen und</w:t>
            </w:r>
            <w:r>
              <w:rPr>
                <w:rFonts w:ascii="Times New Roman" w:hAnsi="Times New Roman"/>
                <w:noProof/>
                <w:color w:val="000000" w:themeColor="text1"/>
                <w:sz w:val="18"/>
              </w:rPr>
              <w:t xml:space="preserve"> Ausrüstungen für die Lagerung, die Verarbeitung und den Verkauf von Agrar- und Lebensmittelerzeugnissen sowie Fischerei- und Aquakulturerzeugnissen.</w:t>
            </w:r>
            <w:r>
              <w:rPr>
                <w:noProof/>
              </w:rPr>
              <w:t xml:space="preserve">  </w:t>
            </w:r>
            <w:r>
              <w:rPr>
                <w:noProof/>
              </w:rPr>
              <w:br/>
            </w:r>
            <w:r>
              <w:rPr>
                <w:rFonts w:ascii="Times New Roman" w:hAnsi="Times New Roman"/>
                <w:noProof/>
                <w:color w:val="000000" w:themeColor="text1"/>
                <w:sz w:val="18"/>
              </w:rPr>
              <w:t>Kauf und Installation von IT-Systemen zur Unterstützung der Produktions-, Lagerungs- und Verkaufsprozess</w:t>
            </w:r>
            <w:r>
              <w:rPr>
                <w:rFonts w:ascii="Times New Roman" w:hAnsi="Times New Roman"/>
                <w:noProof/>
                <w:color w:val="000000" w:themeColor="text1"/>
                <w:sz w:val="18"/>
              </w:rPr>
              <w:t>e, einschließlich Management und Buchführung.</w:t>
            </w:r>
            <w:r>
              <w:rPr>
                <w:noProof/>
              </w:rPr>
              <w:t xml:space="preserve">  </w:t>
            </w:r>
            <w:r>
              <w:rPr>
                <w:noProof/>
              </w:rPr>
              <w:br/>
            </w:r>
            <w:r>
              <w:rPr>
                <w:rFonts w:ascii="Times New Roman" w:hAnsi="Times New Roman"/>
                <w:noProof/>
                <w:color w:val="000000" w:themeColor="text1"/>
                <w:sz w:val="18"/>
              </w:rPr>
              <w:t xml:space="preserve">4. Kauf neuer emissionsfreier oder emissionsarmer spezialisierter Transportmittel für die Lagerverwaltung (z. B. Gabelstapler) und für die Beförderung von Agrar- und Lebensmittelerzeugnissen sowie Fischerei- </w:t>
            </w:r>
            <w:r>
              <w:rPr>
                <w:rFonts w:ascii="Times New Roman" w:hAnsi="Times New Roman"/>
                <w:noProof/>
                <w:color w:val="000000" w:themeColor="text1"/>
                <w:sz w:val="18"/>
              </w:rPr>
              <w:t xml:space="preserve">und Aquakulturerzeugnissen (wie Tanks, Silos, Kühlhäuser und Isothermen). </w:t>
            </w:r>
            <w:r>
              <w:rPr>
                <w:noProof/>
              </w:rPr>
              <w:t xml:space="preserve"> </w:t>
            </w:r>
            <w:r>
              <w:rPr>
                <w:noProof/>
              </w:rPr>
              <w:br/>
            </w:r>
            <w:r>
              <w:rPr>
                <w:rFonts w:ascii="Times New Roman" w:hAnsi="Times New Roman"/>
                <w:noProof/>
                <w:color w:val="000000" w:themeColor="text1"/>
                <w:sz w:val="18"/>
              </w:rPr>
              <w:t>5) Investitionen im Zusammenhang mit der Einhaltung zertifizierter Qualitätsmanagementsysteme.</w:t>
            </w:r>
            <w:r>
              <w:rPr>
                <w:noProof/>
              </w:rPr>
              <w:t xml:space="preserve">  </w:t>
            </w:r>
            <w:r>
              <w:rPr>
                <w:noProof/>
              </w:rPr>
              <w:br/>
            </w:r>
            <w:r>
              <w:rPr>
                <w:rFonts w:ascii="Times New Roman" w:hAnsi="Times New Roman"/>
                <w:noProof/>
                <w:color w:val="000000" w:themeColor="text1"/>
                <w:sz w:val="18"/>
              </w:rPr>
              <w:t>6) Vorabgebühren für Patente und Lizenzen.</w:t>
            </w:r>
          </w:p>
          <w:p w14:paraId="17AD93B2" w14:textId="17941C6B" w:rsidR="00EB245A" w:rsidRDefault="00EB245A">
            <w:pPr>
              <w:pStyle w:val="Normal0"/>
              <w:spacing w:after="0" w:line="240" w:lineRule="auto"/>
              <w:rPr>
                <w:rFonts w:ascii="Times New Roman" w:eastAsia="Times New Roman" w:hAnsi="Times New Roman" w:cs="Times New Roman"/>
                <w:noProof/>
                <w:color w:val="000000" w:themeColor="text1"/>
                <w:sz w:val="18"/>
              </w:rPr>
            </w:pPr>
          </w:p>
          <w:p w14:paraId="583AE7BC" w14:textId="5ACDA37F" w:rsidR="00EB245A" w:rsidRDefault="006021EE">
            <w:pPr>
              <w:pStyle w:val="P68B1DB1-Normal012"/>
              <w:spacing w:after="0" w:line="240" w:lineRule="auto"/>
              <w:rPr>
                <w:rFonts w:eastAsia="Times New Roman" w:cs="Times New Roman"/>
                <w:noProof/>
                <w:color w:val="000000" w:themeColor="text1"/>
              </w:rPr>
            </w:pPr>
            <w:r>
              <w:rPr>
                <w:noProof/>
              </w:rPr>
              <w:t>Die Investition muss eine ausgewogene D</w:t>
            </w:r>
            <w:r>
              <w:rPr>
                <w:noProof/>
              </w:rPr>
              <w:t xml:space="preserve">urchführung aller in der Zielvorgabe beschriebenen Arten von Projekten gewährleisten, wobei sowohl die besonderen Bedürfnisse der Begünstigten als auch die Ziele der Verordnung über die Aufbau- und Resilienzfazilität zu berücksichtigen sind.   </w:t>
            </w:r>
          </w:p>
          <w:p w14:paraId="66204FF1" w14:textId="19C90F4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Die Investition muss in voller Übereinstimmung mit den technischen Leitlinien für die Vermeidung erheblicher Beeinträchtigungen (2021/C 58/01) durchgeführt werden, insbesondere in Bezug auf Anforderungen in Bezug auf Energieeffizienz, erneuerbare Energien,</w:t>
            </w:r>
            <w:r>
              <w:rPr>
                <w:noProof/>
              </w:rPr>
              <w:t xml:space="preserve"> Abfallbewirtschaftung und Transportausrüstung.</w:t>
            </w:r>
          </w:p>
        </w:tc>
      </w:tr>
      <w:tr w:rsidR="00EB245A" w14:paraId="5727B446" w14:textId="77777777" w:rsidTr="00593BFE">
        <w:trPr>
          <w:trHeight w:val="313"/>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4C26413" w14:textId="6B3525C6"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A23G</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D85159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A1.4.1 Investitionen zur Diversifizierung und Verkürzung der Lieferkette von Agrar- und Lebensmittelerzeugnissen und zur Stärkung der Widerstandsfähigkeit der Unternehmen in der Lieferkette</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C70DA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107FDB0" w14:textId="7D4A88E9"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KMU im </w:t>
            </w:r>
            <w:r>
              <w:rPr>
                <w:noProof/>
              </w:rPr>
              <w:t>Agrar- und Lebensmittelsektor, die Projekte zur Modernisierung ihrer Infrastruktur und Ausrüstung abgeschlossen haben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721E545"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B1788F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A8B2917"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400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FFCB7C" w14:textId="197799F2" w:rsidR="00EB245A" w:rsidRDefault="006021EE">
            <w:pPr>
              <w:pStyle w:val="P68B1DB1-Normal012"/>
              <w:spacing w:after="0" w:line="240" w:lineRule="auto"/>
              <w:jc w:val="right"/>
              <w:rPr>
                <w:rFonts w:eastAsia="Times New Roman" w:cs="Times New Roman"/>
                <w:noProof/>
              </w:rPr>
            </w:pPr>
            <w:r>
              <w:rPr>
                <w:noProof/>
              </w:rPr>
              <w:t>830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7C7126" w14:textId="1C599409" w:rsidR="00EB245A" w:rsidRDefault="006021EE">
            <w:pPr>
              <w:pStyle w:val="P68B1DB1-Normal012"/>
              <w:spacing w:after="0" w:line="240" w:lineRule="auto"/>
              <w:jc w:val="center"/>
              <w:rPr>
                <w:rFonts w:eastAsia="Times New Roman" w:cs="Times New Roman"/>
                <w:noProof/>
              </w:rPr>
            </w:pPr>
            <w:r>
              <w:rPr>
                <w:noProof/>
              </w:rPr>
              <w:t>Q2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172651" w14:textId="3390DCCF" w:rsidR="00EB245A" w:rsidRDefault="006021EE">
            <w:pPr>
              <w:pStyle w:val="P68B1DB1-Normal012"/>
              <w:spacing w:after="0" w:line="240" w:lineRule="auto"/>
              <w:jc w:val="center"/>
              <w:rPr>
                <w:rFonts w:eastAsia="Times New Roman" w:cs="Times New Roman"/>
                <w:noProof/>
              </w:rPr>
            </w:pPr>
            <w:r>
              <w:rPr>
                <w:noProof/>
              </w:rPr>
              <w:t>2026</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D3C5F3" w14:textId="5773CC3C" w:rsidR="00EB245A" w:rsidRDefault="006021EE">
            <w:pPr>
              <w:pStyle w:val="P68B1DB1-Normal012"/>
              <w:spacing w:after="0" w:line="240" w:lineRule="auto"/>
              <w:rPr>
                <w:rFonts w:eastAsia="Times New Roman" w:cs="Times New Roman"/>
                <w:noProof/>
                <w:color w:val="000000" w:themeColor="text1"/>
              </w:rPr>
            </w:pPr>
            <w:r>
              <w:rPr>
                <w:noProof/>
              </w:rPr>
              <w:t xml:space="preserve">Mindestens 830 KMU im Agrar-, Lebensmittel- und Fischereisektor haben Projekte zur Modernisierung ihrer Infrastruktur und Ausrüstung abgeschlossen. </w:t>
            </w:r>
          </w:p>
          <w:p w14:paraId="4679F5FA" w14:textId="106F0E3D" w:rsidR="00EB245A" w:rsidRDefault="006021EE">
            <w:pPr>
              <w:pStyle w:val="Normal0"/>
              <w:spacing w:after="0" w:line="240" w:lineRule="auto"/>
              <w:rPr>
                <w:rFonts w:ascii="Times New Roman" w:eastAsia="Times New Roman" w:hAnsi="Times New Roman" w:cs="Times New Roman"/>
                <w:noProof/>
                <w:color w:val="000000" w:themeColor="text1"/>
                <w:sz w:val="18"/>
              </w:rPr>
            </w:pPr>
            <w:r>
              <w:rPr>
                <w:rFonts w:ascii="Times New Roman" w:hAnsi="Times New Roman"/>
                <w:noProof/>
                <w:color w:val="000000" w:themeColor="text1"/>
                <w:sz w:val="18"/>
              </w:rPr>
              <w:t>Die Investition umfasst folgende Arten von Projekten:</w:t>
            </w:r>
            <w:r>
              <w:rPr>
                <w:noProof/>
              </w:rPr>
              <w:t xml:space="preserve">  </w:t>
            </w:r>
            <w:r>
              <w:rPr>
                <w:noProof/>
              </w:rPr>
              <w:br/>
            </w:r>
            <w:r>
              <w:rPr>
                <w:rFonts w:ascii="Times New Roman" w:hAnsi="Times New Roman"/>
                <w:noProof/>
                <w:color w:val="000000" w:themeColor="text1"/>
                <w:sz w:val="18"/>
              </w:rPr>
              <w:t>1. Bau oder Modernisierung von Gebäuden und einschl</w:t>
            </w:r>
            <w:r>
              <w:rPr>
                <w:rFonts w:ascii="Times New Roman" w:hAnsi="Times New Roman"/>
                <w:noProof/>
                <w:color w:val="000000" w:themeColor="text1"/>
                <w:sz w:val="18"/>
              </w:rPr>
              <w:t xml:space="preserve">ägigen Infrastrukturen wie Produktions- und Lagereinrichtungen und Laboratorien. Die Unterstützung deckt auch grüne Investitionen wie den Bau von Abfalllager- und Abfallbewirtschaftungsanlagen, Kläranlagen und Biogasanlagen ab. Darüber hinaus umfassen die </w:t>
            </w:r>
            <w:r>
              <w:rPr>
                <w:rFonts w:ascii="Times New Roman" w:hAnsi="Times New Roman"/>
                <w:noProof/>
                <w:color w:val="000000" w:themeColor="text1"/>
                <w:sz w:val="18"/>
              </w:rPr>
              <w:t>Investitionen den Erwerb von Solarpaneelen und den Bau von Wärmerückgewinnungsanlagen, Biomasseöfen und Kältemitteln mit geringeren oder neutralen Auswirkungen auf die Umwelt.</w:t>
            </w:r>
            <w:r>
              <w:rPr>
                <w:noProof/>
              </w:rPr>
              <w:t xml:space="preserve">  </w:t>
            </w:r>
            <w:r>
              <w:rPr>
                <w:noProof/>
              </w:rPr>
              <w:br/>
            </w:r>
            <w:r>
              <w:rPr>
                <w:rFonts w:ascii="Times New Roman" w:hAnsi="Times New Roman"/>
                <w:noProof/>
                <w:color w:val="000000" w:themeColor="text1"/>
                <w:sz w:val="18"/>
              </w:rPr>
              <w:t>Kauf und Installation von Maschinen und Ausrüstungen für die Lagerung, die Ver</w:t>
            </w:r>
            <w:r>
              <w:rPr>
                <w:rFonts w:ascii="Times New Roman" w:hAnsi="Times New Roman"/>
                <w:noProof/>
                <w:color w:val="000000" w:themeColor="text1"/>
                <w:sz w:val="18"/>
              </w:rPr>
              <w:t>arbeitung und den Verkauf von Agrar- und Lebensmittelerzeugnissen sowie Fischerei- und Aquakulturerzeugnissen.</w:t>
            </w:r>
            <w:r>
              <w:rPr>
                <w:noProof/>
              </w:rPr>
              <w:t xml:space="preserve">  </w:t>
            </w:r>
            <w:r>
              <w:rPr>
                <w:noProof/>
              </w:rPr>
              <w:br/>
            </w:r>
            <w:r>
              <w:rPr>
                <w:rFonts w:ascii="Times New Roman" w:hAnsi="Times New Roman"/>
                <w:noProof/>
                <w:color w:val="000000" w:themeColor="text1"/>
                <w:sz w:val="18"/>
              </w:rPr>
              <w:t>Kauf und Installation von IT-Systemen zur Unterstützung der Produktions-, Lagerungs- und Verkaufsprozesse, einschließlich Management und Buchfü</w:t>
            </w:r>
            <w:r>
              <w:rPr>
                <w:rFonts w:ascii="Times New Roman" w:hAnsi="Times New Roman"/>
                <w:noProof/>
                <w:color w:val="000000" w:themeColor="text1"/>
                <w:sz w:val="18"/>
              </w:rPr>
              <w:t>hrung.</w:t>
            </w:r>
            <w:r>
              <w:rPr>
                <w:noProof/>
              </w:rPr>
              <w:t xml:space="preserve">  </w:t>
            </w:r>
            <w:r>
              <w:rPr>
                <w:noProof/>
              </w:rPr>
              <w:br/>
            </w:r>
            <w:r>
              <w:rPr>
                <w:rFonts w:ascii="Times New Roman" w:hAnsi="Times New Roman"/>
                <w:noProof/>
                <w:color w:val="000000" w:themeColor="text1"/>
                <w:sz w:val="18"/>
              </w:rPr>
              <w:t xml:space="preserve">4. Kauf neuer emissionsfreier oder emissionsarmer spezialisierter Transportmittel für die Lagerverwaltung (z. B. Gabelstapler) und für die Beförderung von Agrar- und Lebensmittelerzeugnissen sowie Fischerei- und Aquakulturerzeugnissen (wie Tanks, </w:t>
            </w:r>
            <w:r>
              <w:rPr>
                <w:rFonts w:ascii="Times New Roman" w:hAnsi="Times New Roman"/>
                <w:noProof/>
                <w:color w:val="000000" w:themeColor="text1"/>
                <w:sz w:val="18"/>
              </w:rPr>
              <w:t xml:space="preserve">Silos, Kühlhäuser und Isothermen). </w:t>
            </w:r>
            <w:r>
              <w:rPr>
                <w:noProof/>
              </w:rPr>
              <w:t xml:space="preserve"> </w:t>
            </w:r>
            <w:r>
              <w:rPr>
                <w:noProof/>
              </w:rPr>
              <w:br/>
            </w:r>
            <w:r>
              <w:rPr>
                <w:rFonts w:ascii="Times New Roman" w:hAnsi="Times New Roman"/>
                <w:noProof/>
                <w:color w:val="000000" w:themeColor="text1"/>
                <w:sz w:val="18"/>
              </w:rPr>
              <w:t>5) Investitionen im Zusammenhang mit der Einhaltung zertifizierter Qualitätsmanagementsysteme.</w:t>
            </w:r>
            <w:r>
              <w:rPr>
                <w:noProof/>
              </w:rPr>
              <w:t xml:space="preserve">  </w:t>
            </w:r>
            <w:r>
              <w:rPr>
                <w:noProof/>
              </w:rPr>
              <w:br/>
            </w:r>
            <w:r>
              <w:rPr>
                <w:rFonts w:ascii="Times New Roman" w:hAnsi="Times New Roman"/>
                <w:noProof/>
                <w:color w:val="000000" w:themeColor="text1"/>
                <w:sz w:val="18"/>
              </w:rPr>
              <w:t>6) Vorabgebühren für Patente und Lizenzen.</w:t>
            </w:r>
          </w:p>
          <w:p w14:paraId="06BBB925" w14:textId="5ACDA37F" w:rsidR="00EB245A" w:rsidRDefault="006021EE">
            <w:pPr>
              <w:pStyle w:val="P68B1DB1-Normal012"/>
              <w:spacing w:after="0" w:line="240" w:lineRule="auto"/>
              <w:rPr>
                <w:rFonts w:eastAsia="Times New Roman" w:cs="Times New Roman"/>
                <w:noProof/>
                <w:color w:val="000000" w:themeColor="text1"/>
              </w:rPr>
            </w:pPr>
            <w:r>
              <w:rPr>
                <w:noProof/>
              </w:rPr>
              <w:t>Die Investition muss eine ausgewogene Durchführung aller in der Zielvorgabe bes</w:t>
            </w:r>
            <w:r>
              <w:rPr>
                <w:noProof/>
              </w:rPr>
              <w:t xml:space="preserve">chriebenen Arten von Projekten gewährleisten, wobei sowohl die besonderen Bedürfnisse der Begünstigten als auch die Ziele der Verordnung über die Aufbau- und Resilienzfazilität zu berücksichtigen sind.   </w:t>
            </w:r>
          </w:p>
          <w:p w14:paraId="3289AB0C" w14:textId="77777777" w:rsidR="00EB245A" w:rsidRDefault="00EB245A">
            <w:pPr>
              <w:pStyle w:val="Normal0"/>
              <w:spacing w:after="0" w:line="240" w:lineRule="auto"/>
              <w:rPr>
                <w:rFonts w:ascii="Times New Roman" w:eastAsia="Times New Roman" w:hAnsi="Times New Roman" w:cs="Times New Roman"/>
                <w:noProof/>
                <w:color w:val="000000" w:themeColor="text1"/>
                <w:sz w:val="18"/>
              </w:rPr>
            </w:pPr>
          </w:p>
          <w:p w14:paraId="02F2C34E" w14:textId="6FB29C3F" w:rsidR="00EB245A" w:rsidRDefault="006021EE">
            <w:pPr>
              <w:pStyle w:val="P68B1DB1-Normal012"/>
              <w:spacing w:after="0" w:line="240" w:lineRule="auto"/>
              <w:rPr>
                <w:rFonts w:eastAsia="Times New Roman" w:cs="Times New Roman"/>
                <w:noProof/>
                <w:color w:val="000000" w:themeColor="text1"/>
              </w:rPr>
            </w:pPr>
            <w:r>
              <w:rPr>
                <w:noProof/>
              </w:rPr>
              <w:t>Die Investition muss in voller Übereinstimmung mit</w:t>
            </w:r>
            <w:r>
              <w:rPr>
                <w:noProof/>
              </w:rPr>
              <w:t xml:space="preserve"> den technischen Leitlinien für die Vermeidung erheblicher Beeinträchtigungen (2021/C 58/01) durchgeführt werden, insbesondere in Bezug auf Anforderungen in Bezug auf Energieeffizienz, erneuerbare Energien, Abfallbewirtschaftung und Transportausrüstung.</w:t>
            </w:r>
          </w:p>
        </w:tc>
      </w:tr>
      <w:tr w:rsidR="00EB245A" w14:paraId="756BD8A7" w14:textId="77777777" w:rsidTr="00593BFE">
        <w:trPr>
          <w:trHeight w:val="313"/>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E4F76D" w14:textId="70F6FC03"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A24G</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968D4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A1.4.1 Investitionen zur Diversifizierung und Verkürzung der Lieferkette von Agrar- und Lebensmittelerzeugnissen und zur Stärkung der Widerstandsfähigkeit der Unternehmen in der Lieferkette</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89BCD0E"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CEA28BC" w14:textId="55CB652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Wohltätigkeitsorganisationen im Lebensmittelsektor, die </w:t>
            </w:r>
            <w:r>
              <w:rPr>
                <w:noProof/>
              </w:rPr>
              <w:t>Projekte zur Modernisierung ihrer Infrastruktur und Ausrüstung abgeschlossen haben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DD1135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0B375F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31F93F"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8861898"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5CBD161"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F37997"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2025</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5BBD52" w14:textId="77777777"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r>
              <w:rPr>
                <w:rFonts w:ascii="Times New Roman" w:hAnsi="Times New Roman"/>
                <w:noProof/>
                <w:color w:val="000000" w:themeColor="text1"/>
                <w:sz w:val="18"/>
              </w:rPr>
              <w:t>Mindestens 50 Wohltätigkeitsorganisationen im Lebensmittelsektor haben Projekte zur Modernisierung ihrer Infrastruktur und Ausrüstung abgeschlossen, um</w:t>
            </w:r>
            <w:r>
              <w:rPr>
                <w:rFonts w:ascii="Times New Roman" w:hAnsi="Times New Roman"/>
                <w:noProof/>
                <w:color w:val="000000" w:themeColor="text1"/>
                <w:sz w:val="18"/>
              </w:rPr>
              <w:t xml:space="preserve"> nachhaltigere Ernährungsgewohnheiten zu fördern, insbesondere durch die Vermeidung von Lebensmittelverschwendung. Mit den Investitionen wird die Modernisierung der Infrastruktur von Wohltätigkeitsorganisationen unterstützt, darunter:</w:t>
            </w:r>
            <w:r>
              <w:rPr>
                <w:noProof/>
              </w:rPr>
              <w:t xml:space="preserve">  </w:t>
            </w:r>
            <w:r>
              <w:rPr>
                <w:noProof/>
              </w:rPr>
              <w:br/>
            </w:r>
            <w:r>
              <w:rPr>
                <w:rFonts w:ascii="Times New Roman" w:hAnsi="Times New Roman"/>
                <w:noProof/>
                <w:color w:val="000000" w:themeColor="text1"/>
                <w:sz w:val="18"/>
              </w:rPr>
              <w:t>1. Bau und Anpassun</w:t>
            </w:r>
            <w:r>
              <w:rPr>
                <w:rFonts w:ascii="Times New Roman" w:hAnsi="Times New Roman"/>
                <w:noProof/>
                <w:color w:val="000000" w:themeColor="text1"/>
                <w:sz w:val="18"/>
              </w:rPr>
              <w:t>g bestehender Gebäude für die Lagerung, Zubereitung und Verteilung von Nahrungsmitteln.</w:t>
            </w:r>
            <w:r>
              <w:rPr>
                <w:noProof/>
              </w:rPr>
              <w:t xml:space="preserve">  </w:t>
            </w:r>
            <w:r>
              <w:rPr>
                <w:noProof/>
              </w:rPr>
              <w:br/>
            </w:r>
            <w:r>
              <w:rPr>
                <w:rFonts w:ascii="Times New Roman" w:hAnsi="Times New Roman"/>
                <w:noProof/>
                <w:color w:val="000000" w:themeColor="text1"/>
                <w:sz w:val="18"/>
              </w:rPr>
              <w:t>2. Kauf von Kühlbehältern, Kühlschränken, Gefriergeräten und Stromerzeugern.</w:t>
            </w:r>
            <w:r>
              <w:rPr>
                <w:noProof/>
              </w:rPr>
              <w:t xml:space="preserve">  </w:t>
            </w:r>
            <w:r>
              <w:rPr>
                <w:noProof/>
              </w:rPr>
              <w:br/>
            </w:r>
            <w:r>
              <w:rPr>
                <w:rFonts w:ascii="Times New Roman" w:hAnsi="Times New Roman"/>
                <w:noProof/>
                <w:color w:val="000000" w:themeColor="text1"/>
                <w:sz w:val="18"/>
              </w:rPr>
              <w:t>Kauf von Maschinen, Geräten und Ausrüstungen für die Verarbeitung, Lagerung, Verpackung</w:t>
            </w:r>
            <w:r>
              <w:rPr>
                <w:rFonts w:ascii="Times New Roman" w:hAnsi="Times New Roman"/>
                <w:noProof/>
                <w:color w:val="000000" w:themeColor="text1"/>
                <w:sz w:val="18"/>
              </w:rPr>
              <w:t xml:space="preserve"> und Verteilung von Lebensmitteln und Mahlzeiten.</w:t>
            </w:r>
            <w:r>
              <w:rPr>
                <w:noProof/>
              </w:rPr>
              <w:t xml:space="preserve">  </w:t>
            </w:r>
            <w:r>
              <w:rPr>
                <w:noProof/>
              </w:rPr>
              <w:br/>
            </w:r>
            <w:r>
              <w:rPr>
                <w:rFonts w:ascii="Times New Roman" w:hAnsi="Times New Roman"/>
                <w:noProof/>
                <w:color w:val="000000" w:themeColor="text1"/>
                <w:sz w:val="18"/>
              </w:rPr>
              <w:t>5) Kauf von Geräten und IT-Anwendungen für die Verwaltung logistischer Prozesse im Zusammenhang mit der Verteilung von Lebensmitteln.</w:t>
            </w:r>
            <w:r>
              <w:rPr>
                <w:noProof/>
              </w:rPr>
              <w:t xml:space="preserve">  </w:t>
            </w:r>
            <w:r>
              <w:rPr>
                <w:noProof/>
              </w:rPr>
              <w:br/>
            </w:r>
            <w:r>
              <w:rPr>
                <w:rFonts w:ascii="Times New Roman" w:hAnsi="Times New Roman"/>
                <w:noProof/>
                <w:color w:val="000000" w:themeColor="text1"/>
                <w:sz w:val="18"/>
              </w:rPr>
              <w:t>6) Kauf spezieller Transportmittel, die für die Sammlung und den Tra</w:t>
            </w:r>
            <w:r>
              <w:rPr>
                <w:rFonts w:ascii="Times New Roman" w:hAnsi="Times New Roman"/>
                <w:noProof/>
                <w:color w:val="000000" w:themeColor="text1"/>
                <w:sz w:val="18"/>
              </w:rPr>
              <w:t>nsport von Lebensmitteln und die Lagerverwaltung erforderlich sind (z. B. Speisekarren, Isothemen, Gabelstapler und Aufzüge).</w:t>
            </w:r>
          </w:p>
          <w:p w14:paraId="35AB6B9B" w14:textId="77777777" w:rsidR="00EB245A" w:rsidRDefault="00EB245A">
            <w:pPr>
              <w:pStyle w:val="Normal0"/>
              <w:spacing w:after="0" w:line="240" w:lineRule="auto"/>
              <w:rPr>
                <w:rFonts w:ascii="Times New Roman" w:eastAsia="Times New Roman" w:hAnsi="Times New Roman" w:cs="Times New Roman"/>
                <w:noProof/>
                <w:color w:val="000000" w:themeColor="text1"/>
                <w:sz w:val="18"/>
              </w:rPr>
            </w:pPr>
          </w:p>
          <w:p w14:paraId="417E8788" w14:textId="4F6CA4E1" w:rsidR="00EB245A" w:rsidRDefault="006021EE">
            <w:pPr>
              <w:pStyle w:val="P68B1DB1-Normal012"/>
              <w:spacing w:after="0" w:line="240" w:lineRule="auto"/>
              <w:rPr>
                <w:rFonts w:eastAsia="Times New Roman" w:cs="Times New Roman"/>
                <w:noProof/>
                <w:color w:val="000000" w:themeColor="text1"/>
              </w:rPr>
            </w:pPr>
            <w:r>
              <w:rPr>
                <w:noProof/>
              </w:rPr>
              <w:t>Die Investition muss eine ausgewogene Durchführung aller in der Zielvorgabe beschriebenen Arten von Projekten gewährleisten, wobe</w:t>
            </w:r>
            <w:r>
              <w:rPr>
                <w:noProof/>
              </w:rPr>
              <w:t>i sowohl die besonderen Bedürfnisse der Begünstigten als auch die Ziele der Verordnung über die Aufbau- und Resilienzfazilität zu berücksichtigen sind.</w:t>
            </w:r>
          </w:p>
          <w:p w14:paraId="70D64551" w14:textId="171EA4FB"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Die Investition muss in voller Übereinstimmung mit den technischen Leitlinien für die Vermeidung </w:t>
            </w:r>
            <w:r>
              <w:rPr>
                <w:noProof/>
              </w:rPr>
              <w:t>erheblicher Beeinträchtigungen (2021/C 58/01) durchgeführt werden, insbesondere in Bezug auf Anforderungen in Bezug auf Energieeffizienz, erneuerbare Energien, Abfallbewirtschaftung und Transportausrüstung.</w:t>
            </w:r>
          </w:p>
        </w:tc>
      </w:tr>
      <w:tr w:rsidR="00EB245A" w14:paraId="13080C89" w14:textId="77777777" w:rsidTr="00593BFE">
        <w:trPr>
          <w:trHeight w:val="313"/>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8EB8EE" w14:textId="4E2EEC43"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A25G</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A8C7D5"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A1.4.1 Investitionen zur Diversifizierung </w:t>
            </w:r>
            <w:r>
              <w:rPr>
                <w:noProof/>
              </w:rPr>
              <w:t>und Verkürzung der Lieferkette von Agrar- und Lebensmittelerzeugnissen und zur Stärkung der Widerstandsfähigkeit der Unternehmen in der Lieferkette</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143153B"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978EC08" w14:textId="7181C91B" w:rsidR="00EB245A" w:rsidRDefault="006021EE">
            <w:pPr>
              <w:pStyle w:val="P68B1DB1-Normal011"/>
              <w:pBdr>
                <w:top w:val="nil"/>
                <w:left w:val="nil"/>
                <w:bottom w:val="nil"/>
                <w:right w:val="nil"/>
                <w:between w:val="nil"/>
              </w:pBdr>
              <w:spacing w:after="0" w:line="240" w:lineRule="auto"/>
              <w:rPr>
                <w:rFonts w:cs="Times New Roman"/>
                <w:noProof/>
              </w:rPr>
            </w:pPr>
            <w:r>
              <w:rPr>
                <w:noProof/>
              </w:rPr>
              <w:t>Landwirte und Fischer, die Projekte zur Modernisierung ihrer Infrastruktur und Ausrüstung, zur Verkürzu</w:t>
            </w:r>
            <w:r>
              <w:rPr>
                <w:noProof/>
              </w:rPr>
              <w:t>ng der Lebensmittelversorgungsketten und zur Umsetzung landwirtschaftlicher Lösungen 4.0 in Produktionsprozessen abgeschlossen haben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236E82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FB9251"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213FF8E"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71A78E" w14:textId="04EC1568"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12000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CF537B9"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C50701"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2023</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478959" w14:textId="19AEC106"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Mindestens 12000 Landwirte und Fischer haben Projekte zur Modernisierung ihrer Infrastruktur und </w:t>
            </w:r>
            <w:r>
              <w:rPr>
                <w:noProof/>
              </w:rPr>
              <w:t xml:space="preserve">Ausrüstung abgeschlossen, um ihre Widerstandsfähigkeit gegenüber künftigen Krisen zu erhöhen, nachhaltige Produktionsmuster zu verbessern, Lieferketten zu verkürzen und Technologien für die Landwirtschaft 4.0 zu unterstützen. </w:t>
            </w:r>
          </w:p>
          <w:p w14:paraId="3C466FBF" w14:textId="53884EE5"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Die Investitionen umfassen:</w:t>
            </w:r>
          </w:p>
          <w:p w14:paraId="46736703" w14:textId="1759CB25" w:rsidR="00EB245A" w:rsidRDefault="006021EE">
            <w:pPr>
              <w:pStyle w:val="P68B1DB1-Normal012"/>
              <w:spacing w:line="240" w:lineRule="auto"/>
              <w:rPr>
                <w:rFonts w:eastAsia="Times New Roman" w:cs="Times New Roman"/>
                <w:noProof/>
                <w:color w:val="000000" w:themeColor="text1"/>
              </w:rPr>
            </w:pPr>
            <w:r>
              <w:rPr>
                <w:noProof/>
              </w:rPr>
              <w:t>1. Bau und Modernisierung von Gebäuden und Infrastrukturen für die Verarbeitung und Lagerung von Agrar-, Fischerei- und Aquakulturerzeugnissen sowie von Lebensmitteln durch Landwirte. Die Unterstützung umfasst auch den Ersatz umwelt- und gesundheitsschädli</w:t>
            </w:r>
            <w:r>
              <w:rPr>
                <w:noProof/>
              </w:rPr>
              <w:t>cher Materialien in Gebäuden, die für die landwirtschaftliche Erzeugung genutzt werden, oder auf Flächen, die für die landwirtschaftliche Erzeugung genutzt werden;</w:t>
            </w:r>
          </w:p>
          <w:p w14:paraId="0E8CC00B" w14:textId="08BC8AE6" w:rsidR="00EB245A" w:rsidRDefault="006021EE">
            <w:pPr>
              <w:pStyle w:val="P68B1DB1-Normal13"/>
              <w:pBdr>
                <w:top w:val="nil"/>
                <w:left w:val="nil"/>
                <w:bottom w:val="nil"/>
                <w:right w:val="nil"/>
                <w:between w:val="nil"/>
              </w:pBdr>
              <w:spacing w:after="160" w:line="240" w:lineRule="auto"/>
              <w:rPr>
                <w:rFonts w:eastAsia="Times New Roman" w:cs="Times New Roman"/>
                <w:noProof/>
              </w:rPr>
            </w:pPr>
            <w:r>
              <w:rPr>
                <w:noProof/>
              </w:rPr>
              <w:t>2. Bau von Wärmerückgewinnungsanlagen, Biomasseöfen und Kältemitteln mit geringeren oder neu</w:t>
            </w:r>
            <w:r>
              <w:rPr>
                <w:noProof/>
              </w:rPr>
              <w:t>tralen Auswirkungen auf die Umwelt. Die Förderung umfasst auch die thermische Modernisierung von Gebäuden, den Bau von Abfalllager- und Abfallbewirtschaftungsanlagen, Kläranlagen und Biogasanlagen sowie den Erwerb von Photovoltaik- und Solarpaneelen.</w:t>
            </w:r>
          </w:p>
          <w:p w14:paraId="13257AEE" w14:textId="5B96368D" w:rsidR="00EB245A" w:rsidRDefault="006021EE">
            <w:pPr>
              <w:pStyle w:val="P68B1DB1-Normal13"/>
              <w:pBdr>
                <w:top w:val="nil"/>
                <w:left w:val="nil"/>
                <w:bottom w:val="nil"/>
                <w:right w:val="nil"/>
                <w:between w:val="nil"/>
              </w:pBdr>
              <w:spacing w:after="160" w:line="240" w:lineRule="auto"/>
              <w:rPr>
                <w:rFonts w:eastAsia="Times New Roman" w:cs="Times New Roman"/>
                <w:noProof/>
              </w:rPr>
            </w:pPr>
            <w:r>
              <w:rPr>
                <w:noProof/>
              </w:rPr>
              <w:t xml:space="preserve">Kauf </w:t>
            </w:r>
            <w:r>
              <w:rPr>
                <w:noProof/>
              </w:rPr>
              <w:t>und Installation von Maschinen und Ausrüstungen für die Erzeugung, Verarbeitung und Lagerung von Agrar-, Fischerei- und Aquakulturerzeugnissen durch Landwirte.</w:t>
            </w:r>
          </w:p>
          <w:p w14:paraId="3738661D" w14:textId="07CC6D32" w:rsidR="00EB245A" w:rsidRDefault="006021EE">
            <w:pPr>
              <w:pStyle w:val="P68B1DB1-Normal13"/>
              <w:pBdr>
                <w:top w:val="nil"/>
                <w:left w:val="nil"/>
                <w:bottom w:val="nil"/>
                <w:right w:val="nil"/>
                <w:between w:val="nil"/>
              </w:pBdr>
              <w:spacing w:after="160" w:line="240" w:lineRule="auto"/>
              <w:rPr>
                <w:rFonts w:eastAsia="Times New Roman" w:cs="Times New Roman"/>
                <w:noProof/>
              </w:rPr>
            </w:pPr>
            <w:r>
              <w:rPr>
                <w:noProof/>
              </w:rPr>
              <w:t>4) Bau oder Modernisierung von Ortsstätten für den Direktverkauf von Lebensmitteln. Dies schließ</w:t>
            </w:r>
            <w:r>
              <w:rPr>
                <w:noProof/>
              </w:rPr>
              <w:t xml:space="preserve">t die Entwicklung, die Anpassung und den Bau von Räumlichkeiten für den Direktverkauf sowie den Erwerb der entsprechenden Ausrüstung wie Kühl- und Gefrierschränke sowie Verarbeitungsmaschinen und -geräte ein.  </w:t>
            </w:r>
          </w:p>
          <w:p w14:paraId="1B02CF25" w14:textId="2DF40E51" w:rsidR="00EB245A" w:rsidRDefault="006021EE">
            <w:pPr>
              <w:pStyle w:val="P68B1DB1-Normal13"/>
              <w:pBdr>
                <w:top w:val="nil"/>
                <w:left w:val="nil"/>
                <w:bottom w:val="nil"/>
                <w:right w:val="nil"/>
                <w:between w:val="nil"/>
              </w:pBdr>
              <w:spacing w:after="160" w:line="240" w:lineRule="auto"/>
              <w:rPr>
                <w:rFonts w:eastAsia="Times New Roman" w:cs="Times New Roman"/>
                <w:noProof/>
              </w:rPr>
            </w:pPr>
            <w:r>
              <w:rPr>
                <w:noProof/>
              </w:rPr>
              <w:t>Erwerb und Installation von IT-Systemen und d</w:t>
            </w:r>
            <w:r>
              <w:rPr>
                <w:noProof/>
              </w:rPr>
              <w:t>igitalen Lösungen im Zusammenhang mit der Landwirtschaft 4.0 zur Unterstützung von Produktions-, Lagerungs- und Verkaufsverfahren für Agrar- und Lebensmittelerzeugnisse. Dies schließt den Erwerb von Maschinen, Ausrüstungen und Software für diese Zwecke ein</w:t>
            </w:r>
            <w:r>
              <w:rPr>
                <w:noProof/>
              </w:rPr>
              <w:t xml:space="preserve">, einschließlich Sensoren, IT-Ausrüstung und Softwareanwendungen.  </w:t>
            </w:r>
          </w:p>
          <w:p w14:paraId="72A056C9" w14:textId="77777777" w:rsidR="00EB245A" w:rsidRDefault="006021EE">
            <w:pPr>
              <w:pBdr>
                <w:top w:val="nil"/>
                <w:left w:val="nil"/>
                <w:bottom w:val="nil"/>
                <w:right w:val="nil"/>
                <w:between w:val="nil"/>
              </w:pBdr>
              <w:spacing w:after="160" w:line="240" w:lineRule="auto"/>
              <w:rPr>
                <w:noProof/>
              </w:rPr>
            </w:pPr>
            <w:r>
              <w:rPr>
                <w:rFonts w:ascii="Times New Roman" w:hAnsi="Times New Roman"/>
                <w:noProof/>
                <w:color w:val="000000" w:themeColor="text1"/>
                <w:sz w:val="18"/>
              </w:rPr>
              <w:t>6) Kauf emissionsfreier/emissionsarmer Spezialfahrzeuge, wie Kühlwagen, Tankwagen und isotherm Lkw, um den Haus-zu-Haus-Verkauf oder die Beförderung von Agrar- und Lebensmittelerzeugnissen</w:t>
            </w:r>
            <w:r>
              <w:rPr>
                <w:rFonts w:ascii="Times New Roman" w:hAnsi="Times New Roman"/>
                <w:noProof/>
                <w:color w:val="000000" w:themeColor="text1"/>
                <w:sz w:val="18"/>
              </w:rPr>
              <w:t xml:space="preserve"> zu unterstützen. </w:t>
            </w:r>
            <w:r>
              <w:rPr>
                <w:noProof/>
              </w:rPr>
              <w:t xml:space="preserve"> </w:t>
            </w:r>
          </w:p>
          <w:p w14:paraId="65590E18" w14:textId="0C2E5E80" w:rsidR="00EB245A" w:rsidRDefault="006021EE">
            <w:pPr>
              <w:pStyle w:val="P68B1DB1-Normal13"/>
              <w:pBdr>
                <w:top w:val="nil"/>
                <w:left w:val="nil"/>
                <w:bottom w:val="nil"/>
                <w:right w:val="nil"/>
                <w:between w:val="nil"/>
              </w:pBdr>
              <w:spacing w:after="160" w:line="240" w:lineRule="auto"/>
              <w:rPr>
                <w:rFonts w:eastAsia="Times New Roman" w:cs="Times New Roman"/>
                <w:noProof/>
              </w:rPr>
            </w:pPr>
            <w:r>
              <w:rPr>
                <w:noProof/>
              </w:rPr>
              <w:t>7) Entwicklung von Online-Tools für den Verkauf von Agrar-, Fischerei-, Aquakultur- und Lebensmittelerzeugnissen sowie Unterstützung bei der Organisation von Lieferungen.</w:t>
            </w:r>
          </w:p>
          <w:p w14:paraId="342264CD" w14:textId="77C014A7" w:rsidR="00EB245A" w:rsidRDefault="006021EE">
            <w:pPr>
              <w:pStyle w:val="P68B1DB1-Normal13"/>
              <w:pBdr>
                <w:top w:val="nil"/>
                <w:left w:val="nil"/>
                <w:bottom w:val="nil"/>
                <w:right w:val="nil"/>
                <w:between w:val="nil"/>
              </w:pBdr>
              <w:spacing w:after="160" w:line="240" w:lineRule="auto"/>
              <w:rPr>
                <w:rFonts w:eastAsia="Times New Roman" w:cs="Times New Roman"/>
                <w:noProof/>
              </w:rPr>
            </w:pPr>
            <w:r>
              <w:rPr>
                <w:noProof/>
              </w:rPr>
              <w:t>8) Vorabgebühren für Patente und Lizenzen.</w:t>
            </w:r>
          </w:p>
          <w:p w14:paraId="3744D6B9" w14:textId="5ACDA37F" w:rsidR="00EB245A" w:rsidRDefault="006021EE">
            <w:pPr>
              <w:pStyle w:val="P68B1DB1-Normal012"/>
              <w:spacing w:after="0" w:line="240" w:lineRule="auto"/>
              <w:rPr>
                <w:rFonts w:eastAsia="Times New Roman" w:cs="Times New Roman"/>
                <w:noProof/>
                <w:color w:val="000000" w:themeColor="text1"/>
              </w:rPr>
            </w:pPr>
            <w:r>
              <w:rPr>
                <w:noProof/>
              </w:rPr>
              <w:t>Die Investition muss e</w:t>
            </w:r>
            <w:r>
              <w:rPr>
                <w:noProof/>
              </w:rPr>
              <w:t>ine ausgewogene Durchführung aller in der Zielvorgabe beschriebenen Arten von Projekten gewährleisten, wobei sowohl die besonderen Bedürfnisse der Begünstigten als auch die Ziele der Verordnung über die Aufbau- und Resilienzfazilität zu berücksichtigen sin</w:t>
            </w:r>
            <w:r>
              <w:rPr>
                <w:noProof/>
              </w:rPr>
              <w:t xml:space="preserve">d.   </w:t>
            </w:r>
          </w:p>
          <w:p w14:paraId="640850CC" w14:textId="0581B74A" w:rsidR="00EB245A" w:rsidRDefault="00EB245A">
            <w:pPr>
              <w:pStyle w:val="Normal0"/>
              <w:spacing w:after="0" w:line="240" w:lineRule="auto"/>
              <w:rPr>
                <w:rFonts w:ascii="Times New Roman" w:eastAsia="Times New Roman" w:hAnsi="Times New Roman" w:cs="Times New Roman"/>
                <w:noProof/>
                <w:color w:val="000000" w:themeColor="text1"/>
                <w:sz w:val="18"/>
              </w:rPr>
            </w:pPr>
          </w:p>
          <w:p w14:paraId="16D6A936" w14:textId="5CDB8DC4" w:rsidR="00EB245A" w:rsidRDefault="006021EE">
            <w:pPr>
              <w:pStyle w:val="P68B1DB1-Normal012"/>
              <w:spacing w:after="0" w:line="240" w:lineRule="auto"/>
              <w:rPr>
                <w:rFonts w:eastAsia="Times New Roman" w:cs="Times New Roman"/>
                <w:noProof/>
              </w:rPr>
            </w:pPr>
            <w:r>
              <w:rPr>
                <w:noProof/>
              </w:rPr>
              <w:t xml:space="preserve">Die Investition muss in voller Übereinstimmung mit den technischen Leitlinien für die Vermeidung erheblicher Beeinträchtigungen (2021/C 58/01) durchgeführt werden, insbesondere in Bezug auf Anforderungen in Bezug auf Energieeffizienz, erneuerbare </w:t>
            </w:r>
            <w:r>
              <w:rPr>
                <w:noProof/>
              </w:rPr>
              <w:t>Energien, Abfallbewirtschaftung und Transportausrüstung.</w:t>
            </w:r>
          </w:p>
        </w:tc>
      </w:tr>
      <w:tr w:rsidR="00EB245A" w14:paraId="15A82A32" w14:textId="77777777" w:rsidTr="00593BFE">
        <w:trPr>
          <w:trHeight w:val="313"/>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FDD700" w14:textId="792A92D7"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A26G</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74BEA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A1.4.1 Investitionen zur Diversifizierung und Verkürzung der Lieferkette von Agrar- und Lebensmittelerzeugnissen und zur Stärkung der Widerstandsfähigkeit der Unternehmen in der Lieferkette</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8A27E4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F312A2" w14:textId="2B99243F" w:rsidR="00EB245A" w:rsidRDefault="006021EE">
            <w:pPr>
              <w:pStyle w:val="P68B1DB1-Normal011"/>
              <w:spacing w:after="0" w:line="240" w:lineRule="auto"/>
              <w:rPr>
                <w:rFonts w:cs="Times New Roman"/>
                <w:noProof/>
              </w:rPr>
            </w:pPr>
            <w:r>
              <w:rPr>
                <w:noProof/>
              </w:rPr>
              <w:t>Landwirte und Fischer, die Projekte zur Modernisierung ihrer Infrastruktur und Ausrüstung, zur Verkürzung der Lebensmittelversorgungsketten und zur Umsetzung landwirtschaftlicher Lösungen 4.0 in Produktionsprozessen abgeschlossen haben</w:t>
            </w:r>
          </w:p>
          <w:p w14:paraId="30593F10" w14:textId="749B302F"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ADA28F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25BCDC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A96B3F4" w14:textId="1F357EE5"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12000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5CE305" w14:textId="7690F706" w:rsidR="00EB245A" w:rsidRDefault="006021EE">
            <w:pPr>
              <w:pStyle w:val="P68B1DB1-Normal012"/>
              <w:spacing w:after="0" w:line="240" w:lineRule="auto"/>
              <w:jc w:val="right"/>
              <w:rPr>
                <w:rFonts w:eastAsia="Times New Roman" w:cs="Times New Roman"/>
                <w:noProof/>
              </w:rPr>
            </w:pPr>
            <w:r>
              <w:rPr>
                <w:noProof/>
              </w:rPr>
              <w:t>42641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E58027" w14:textId="3D945A21" w:rsidR="00EB245A" w:rsidRDefault="006021EE">
            <w:pPr>
              <w:pStyle w:val="P68B1DB1-Normal012"/>
              <w:spacing w:after="0" w:line="240" w:lineRule="auto"/>
              <w:jc w:val="center"/>
              <w:rPr>
                <w:rFonts w:eastAsia="Times New Roman" w:cs="Times New Roman"/>
                <w:noProof/>
              </w:rPr>
            </w:pPr>
            <w:r>
              <w:rPr>
                <w:noProof/>
              </w:rPr>
              <w:t>Q2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039129" w14:textId="7F528671" w:rsidR="00EB245A" w:rsidRDefault="006021EE">
            <w:pPr>
              <w:pStyle w:val="P68B1DB1-Normal012"/>
              <w:spacing w:after="0" w:line="240" w:lineRule="auto"/>
              <w:jc w:val="center"/>
              <w:rPr>
                <w:rFonts w:eastAsia="Times New Roman" w:cs="Times New Roman"/>
                <w:noProof/>
              </w:rPr>
            </w:pPr>
            <w:r>
              <w:rPr>
                <w:noProof/>
              </w:rPr>
              <w:t>2026</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17F6468" w14:textId="6498F3DE" w:rsidR="00EB245A" w:rsidRDefault="006021EE">
            <w:pPr>
              <w:pStyle w:val="P68B1DB1-Normal012"/>
              <w:spacing w:after="0" w:line="240" w:lineRule="auto"/>
              <w:rPr>
                <w:rFonts w:eastAsia="Times New Roman" w:cs="Times New Roman"/>
                <w:noProof/>
                <w:color w:val="000000" w:themeColor="text1"/>
              </w:rPr>
            </w:pPr>
            <w:r>
              <w:rPr>
                <w:noProof/>
              </w:rPr>
              <w:t>Mindestens 42 641 Landwirte und Fischer haben Projekte zur Modernisierung ihrer Infrastruktur und Ausrüstung abgeschlossen, um ihre Widerstandsfähigkeit gegenüber künftigen Krisen zu erhöhen, nachhaltige Produktionsmuster zu verbessern, Lief</w:t>
            </w:r>
            <w:r>
              <w:rPr>
                <w:noProof/>
              </w:rPr>
              <w:t>erketten zu verkürzen und Technologien für die Landwirtschaft 4.0 zu unterstützen.</w:t>
            </w:r>
          </w:p>
          <w:p w14:paraId="529A3AA6" w14:textId="77777777" w:rsidR="00EB245A" w:rsidRDefault="00EB245A">
            <w:pPr>
              <w:pStyle w:val="Normal0"/>
              <w:spacing w:after="0" w:line="240" w:lineRule="auto"/>
              <w:rPr>
                <w:rFonts w:ascii="Times New Roman" w:eastAsia="Times New Roman" w:hAnsi="Times New Roman" w:cs="Times New Roman"/>
                <w:noProof/>
                <w:color w:val="000000" w:themeColor="text1"/>
                <w:sz w:val="18"/>
              </w:rPr>
            </w:pPr>
          </w:p>
          <w:p w14:paraId="477EE044" w14:textId="042D747A" w:rsidR="00EB245A" w:rsidRDefault="006021EE">
            <w:pPr>
              <w:pStyle w:val="P68B1DB1-Normal012"/>
              <w:spacing w:after="0" w:line="240" w:lineRule="auto"/>
              <w:rPr>
                <w:rFonts w:eastAsia="Times New Roman" w:cs="Times New Roman"/>
                <w:noProof/>
                <w:color w:val="000000" w:themeColor="text1"/>
              </w:rPr>
            </w:pPr>
            <w:r>
              <w:rPr>
                <w:noProof/>
              </w:rPr>
              <w:t>Die Investitionen umfassen:</w:t>
            </w:r>
          </w:p>
          <w:p w14:paraId="14F81351" w14:textId="662FD9E1" w:rsidR="00EB245A" w:rsidRDefault="006021EE">
            <w:pPr>
              <w:pStyle w:val="P68B1DB1-Normal13"/>
              <w:spacing w:after="0" w:line="240" w:lineRule="auto"/>
              <w:rPr>
                <w:rFonts w:eastAsia="Times New Roman" w:cs="Times New Roman"/>
                <w:noProof/>
              </w:rPr>
            </w:pPr>
            <w:r>
              <w:rPr>
                <w:noProof/>
              </w:rPr>
              <w:t xml:space="preserve">1. Bau und Modernisierung von Gebäuden und Infrastrukturen für die Verarbeitung und Lagerung von Agrar-, Fischerei- und Aquakulturerzeugnissen </w:t>
            </w:r>
            <w:r>
              <w:rPr>
                <w:noProof/>
              </w:rPr>
              <w:t>sowie von Lebensmitteln durch Landwirte. Die Unterstützung umfasst auch den Ersatz umwelt- und gesundheitsschädlicher Materialien in Gebäuden, die für die landwirtschaftliche Erzeugung genutzt werden, oder auf Flächen, die für die landwirtschaftliche Erzeu</w:t>
            </w:r>
            <w:r>
              <w:rPr>
                <w:noProof/>
              </w:rPr>
              <w:t>gung genutzt werden;</w:t>
            </w:r>
          </w:p>
          <w:p w14:paraId="1EB9AF64" w14:textId="6FD18A9F" w:rsidR="00EB245A" w:rsidRDefault="006021EE">
            <w:pPr>
              <w:pStyle w:val="P68B1DB1-Normal13"/>
              <w:spacing w:after="0" w:line="240" w:lineRule="auto"/>
              <w:rPr>
                <w:rFonts w:eastAsia="Times New Roman" w:cs="Times New Roman"/>
                <w:noProof/>
              </w:rPr>
            </w:pPr>
            <w:r>
              <w:rPr>
                <w:noProof/>
              </w:rPr>
              <w:t>2. Bau von Wärmerückgewinnungsanlagen, Biomasseöfen und Kältemitteln mit geringeren oder neutralen Auswirkungen auf die Umwelt. Die Förderung umfasst auch die thermische Modernisierung von Gebäuden, den Bau von Abfalllager- und Abfallb</w:t>
            </w:r>
            <w:r>
              <w:rPr>
                <w:noProof/>
              </w:rPr>
              <w:t>ewirtschaftungsanlagen, Kläranlagen und Biogasanlagen sowie den Erwerb von Photovoltaik- und Solarpaneelen.</w:t>
            </w:r>
          </w:p>
          <w:p w14:paraId="18C012CF" w14:textId="0F3A9EF5" w:rsidR="00EB245A" w:rsidRDefault="006021EE">
            <w:pPr>
              <w:pStyle w:val="P68B1DB1-Normal13"/>
              <w:spacing w:after="0" w:line="240" w:lineRule="auto"/>
              <w:rPr>
                <w:rFonts w:eastAsia="Times New Roman" w:cs="Times New Roman"/>
                <w:noProof/>
              </w:rPr>
            </w:pPr>
            <w:r>
              <w:rPr>
                <w:noProof/>
              </w:rPr>
              <w:t xml:space="preserve">Kauf und Installation von Maschinen und Ausrüstungen für die Erzeugung, Verarbeitung und Lagerung von Agrar-, Fischerei- und Aquakulturerzeugnissen </w:t>
            </w:r>
            <w:r>
              <w:rPr>
                <w:noProof/>
              </w:rPr>
              <w:t>durch Landwirte.</w:t>
            </w:r>
          </w:p>
          <w:p w14:paraId="0C6DC652" w14:textId="4885D9B3" w:rsidR="00EB245A" w:rsidRDefault="006021EE">
            <w:pPr>
              <w:pStyle w:val="P68B1DB1-Normal13"/>
              <w:spacing w:after="0" w:line="240" w:lineRule="auto"/>
              <w:rPr>
                <w:rFonts w:eastAsia="Times New Roman" w:cs="Times New Roman"/>
                <w:noProof/>
              </w:rPr>
            </w:pPr>
            <w:r>
              <w:rPr>
                <w:noProof/>
              </w:rPr>
              <w:t xml:space="preserve">4) Bau oder Modernisierung von Ortsstätten für den Direktverkauf von Lebensmitteln. Dies schließt die Entwicklung, die Anpassung und den Bau von Räumlichkeiten für den Direktverkauf sowie den Erwerb der entsprechenden Ausrüstung wie Kühl- </w:t>
            </w:r>
            <w:r>
              <w:rPr>
                <w:noProof/>
              </w:rPr>
              <w:t xml:space="preserve">und Gefrierschränke sowie Verarbeitungsmaschinen und -geräte ein.  </w:t>
            </w:r>
          </w:p>
          <w:p w14:paraId="0A8F7556" w14:textId="454475EE" w:rsidR="00EB245A" w:rsidRDefault="006021EE">
            <w:pPr>
              <w:pStyle w:val="P68B1DB1-Normal13"/>
              <w:spacing w:after="0" w:line="240" w:lineRule="auto"/>
              <w:rPr>
                <w:rFonts w:eastAsia="Times New Roman" w:cs="Times New Roman"/>
                <w:noProof/>
              </w:rPr>
            </w:pPr>
            <w:r>
              <w:rPr>
                <w:noProof/>
              </w:rPr>
              <w:t>Erwerb und Installation von IT-Systemen und digitalen Lösungen im Zusammenhang mit der Landwirtschaft 4.0 zur Unterstützung von Produktions-, Lagerungs- und Verkaufsverfahren für Agrar- un</w:t>
            </w:r>
            <w:r>
              <w:rPr>
                <w:noProof/>
              </w:rPr>
              <w:t xml:space="preserve">d Lebensmittelerzeugnisse. Dies schließt den Erwerb von Maschinen, Ausrüstungen und Software für diese Zwecke ein, einschließlich Sensoren, IT-Ausrüstung und Softwareanwendungen.  </w:t>
            </w:r>
          </w:p>
          <w:p w14:paraId="4E0BA348" w14:textId="6925EA4D" w:rsidR="00EB245A" w:rsidRDefault="006021EE">
            <w:pPr>
              <w:pStyle w:val="P68B1DB1-Normal13"/>
              <w:spacing w:after="0" w:line="240" w:lineRule="auto"/>
              <w:rPr>
                <w:rFonts w:eastAsia="Times New Roman" w:cs="Times New Roman"/>
                <w:noProof/>
              </w:rPr>
            </w:pPr>
            <w:r>
              <w:rPr>
                <w:noProof/>
              </w:rPr>
              <w:t>6) Kauf emissionsfreier/emissionsarmer Spezialfahrzeuge, wie Kühlwagen, Tan</w:t>
            </w:r>
            <w:r>
              <w:rPr>
                <w:noProof/>
              </w:rPr>
              <w:t xml:space="preserve">kwagen und isotherm Lkw, um den Haus-zu-Haus-Verkauf oder die Beförderung von Agrar- und Lebensmittelerzeugnissen zu unterstützen. </w:t>
            </w:r>
          </w:p>
          <w:p w14:paraId="390C0E99" w14:textId="6181DD17" w:rsidR="00EB245A" w:rsidRDefault="006021EE">
            <w:pPr>
              <w:pStyle w:val="P68B1DB1-Normal13"/>
              <w:spacing w:after="0" w:line="240" w:lineRule="auto"/>
              <w:rPr>
                <w:rFonts w:eastAsia="Times New Roman" w:cs="Times New Roman"/>
                <w:noProof/>
              </w:rPr>
            </w:pPr>
            <w:r>
              <w:rPr>
                <w:noProof/>
              </w:rPr>
              <w:t>7) Entwicklung von Online-Tools für den Verkauf von Agrar-, Fischerei-, Aquakultur- und Lebensmittelerzeugnissen sowie Unter</w:t>
            </w:r>
            <w:r>
              <w:rPr>
                <w:noProof/>
              </w:rPr>
              <w:t>stützung bei der Organisation von Lieferungen.</w:t>
            </w:r>
          </w:p>
          <w:p w14:paraId="0DB5B6C9" w14:textId="2972BB76" w:rsidR="00EB245A" w:rsidRDefault="006021EE">
            <w:pPr>
              <w:pStyle w:val="P68B1DB1-Normal13"/>
              <w:spacing w:after="0" w:line="240" w:lineRule="auto"/>
              <w:rPr>
                <w:rFonts w:eastAsia="Times New Roman" w:cs="Times New Roman"/>
                <w:noProof/>
              </w:rPr>
            </w:pPr>
            <w:r>
              <w:rPr>
                <w:noProof/>
              </w:rPr>
              <w:t>8) Vorabgebühren für Patente und Lizenzen.</w:t>
            </w:r>
          </w:p>
          <w:p w14:paraId="6F4B2E79" w14:textId="17305174" w:rsidR="00EB245A" w:rsidRDefault="006021EE">
            <w:pPr>
              <w:pStyle w:val="P68B1DB1-Normal012"/>
              <w:spacing w:after="0" w:line="240" w:lineRule="auto"/>
              <w:rPr>
                <w:rFonts w:eastAsia="Times New Roman" w:cs="Times New Roman"/>
                <w:noProof/>
                <w:color w:val="000000" w:themeColor="text1"/>
              </w:rPr>
            </w:pPr>
            <w:r>
              <w:rPr>
                <w:noProof/>
              </w:rPr>
              <w:t>Die Investition muss eine ausgewogene Durchführung aller in der Zielvorgabe beschriebenen Arten von Projekten gewährleisten, wobei sowohl die besonderen Bedürfnisse d</w:t>
            </w:r>
            <w:r>
              <w:rPr>
                <w:noProof/>
              </w:rPr>
              <w:t xml:space="preserve">er Begünstigten als auch die Ziele der Verordnung über die Aufbau- und Resilienzfazilität zu berücksichtigen sind.   </w:t>
            </w:r>
          </w:p>
          <w:p w14:paraId="60045654" w14:textId="312B0C84" w:rsidR="00EB245A" w:rsidRDefault="00EB245A">
            <w:pPr>
              <w:pStyle w:val="Normal0"/>
              <w:spacing w:after="0" w:line="240" w:lineRule="auto"/>
              <w:rPr>
                <w:rFonts w:ascii="Times New Roman" w:eastAsia="Times New Roman" w:hAnsi="Times New Roman" w:cs="Times New Roman"/>
                <w:noProof/>
                <w:color w:val="000000" w:themeColor="text1"/>
                <w:sz w:val="18"/>
              </w:rPr>
            </w:pPr>
          </w:p>
          <w:p w14:paraId="1FAE0A6A" w14:textId="733A5517" w:rsidR="00EB245A" w:rsidRDefault="006021EE">
            <w:pPr>
              <w:pStyle w:val="P68B1DB1-Normal012"/>
              <w:spacing w:after="0" w:line="240" w:lineRule="auto"/>
              <w:rPr>
                <w:rFonts w:eastAsia="Times New Roman" w:cs="Times New Roman"/>
                <w:noProof/>
                <w:color w:val="000000" w:themeColor="text1"/>
              </w:rPr>
            </w:pPr>
            <w:r>
              <w:rPr>
                <w:noProof/>
              </w:rPr>
              <w:t>Die Investition muss in voller Übereinstimmung mit den technischen Leitlinien für die Vermeidung erheblicher Beeinträchtigungen (2021/C 5</w:t>
            </w:r>
            <w:r>
              <w:rPr>
                <w:noProof/>
              </w:rPr>
              <w:t>8/01) durchgeführt werden, insbesondere in Bezug auf Anforderungen in Bezug auf Energieeffizienz, erneuerbare Energien, Abfallbewirtschaftung und Transportausrüstung.</w:t>
            </w:r>
          </w:p>
        </w:tc>
      </w:tr>
      <w:tr w:rsidR="00EB245A" w14:paraId="77B3E0D6" w14:textId="77777777" w:rsidTr="00593BFE">
        <w:trPr>
          <w:trHeight w:val="313"/>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0BDB7A7" w14:textId="721BB664" w:rsidR="00EB245A" w:rsidRDefault="006021EE">
            <w:pPr>
              <w:pStyle w:val="P68B1DB1-Normal012"/>
              <w:spacing w:line="240" w:lineRule="auto"/>
              <w:jc w:val="center"/>
              <w:rPr>
                <w:noProof/>
                <w:color w:val="000000" w:themeColor="text1"/>
              </w:rPr>
            </w:pPr>
            <w:r>
              <w:rPr>
                <w:noProof/>
              </w:rPr>
              <w:t>A26aG</w:t>
            </w:r>
          </w:p>
          <w:p w14:paraId="6F77F14C" w14:textId="347680B7" w:rsidR="00EB245A" w:rsidRDefault="00EB245A">
            <w:pPr>
              <w:pStyle w:val="Normal0"/>
              <w:spacing w:line="240" w:lineRule="auto"/>
              <w:rPr>
                <w:rFonts w:ascii="Times New Roman" w:hAnsi="Times New Roman"/>
                <w:noProof/>
                <w:color w:val="000000" w:themeColor="text1"/>
                <w:sz w:val="18"/>
              </w:rPr>
            </w:pP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DE99EBD" w14:textId="487B6333"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A1.4.1 Investitionen zur Diversifizierung und Verkürzung der Lieferkette von </w:t>
            </w:r>
            <w:r>
              <w:rPr>
                <w:noProof/>
              </w:rPr>
              <w:t>Agrar- und Lebensmittelerzeugnissen und zur Stärkung der Widerstandsfähigkeit der Unternehmen in der Lieferkette</w:t>
            </w:r>
          </w:p>
          <w:p w14:paraId="0F3E21F6" w14:textId="1F791614" w:rsidR="00EB245A" w:rsidRDefault="00EB245A">
            <w:pPr>
              <w:pStyle w:val="Normal0"/>
              <w:spacing w:line="240" w:lineRule="auto"/>
              <w:rPr>
                <w:rFonts w:ascii="Times New Roman" w:hAnsi="Times New Roman"/>
                <w:noProof/>
                <w:color w:val="000000" w:themeColor="text1"/>
                <w:sz w:val="18"/>
              </w:rPr>
            </w:pP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05F518" w14:textId="5487E9A7" w:rsidR="00EB245A" w:rsidRDefault="006021EE">
            <w:pPr>
              <w:pStyle w:val="P68B1DB1-Normal012"/>
              <w:spacing w:line="240" w:lineRule="auto"/>
              <w:rPr>
                <w:noProof/>
                <w:color w:val="000000" w:themeColor="text1"/>
              </w:rPr>
            </w:pPr>
            <w:r>
              <w:rPr>
                <w:noProof/>
              </w:rPr>
              <w:t>Ziel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8BB2B6" w14:textId="15D47B10" w:rsidR="00EB245A" w:rsidRDefault="006021EE">
            <w:pPr>
              <w:pStyle w:val="P68B1DB1-Normal012"/>
              <w:spacing w:line="240" w:lineRule="auto"/>
              <w:rPr>
                <w:noProof/>
              </w:rPr>
            </w:pPr>
            <w:r>
              <w:rPr>
                <w:noProof/>
              </w:rPr>
              <w:t>Durchführung von Projekten zur Modernisierung der Lehr- und Demonstrationsbasis für die Bildung in der Landwirtschaft 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7EC539" w14:textId="4134BB15" w:rsidR="00EB245A" w:rsidRDefault="00EB245A">
            <w:pPr>
              <w:pStyle w:val="Normal0"/>
              <w:spacing w:line="240" w:lineRule="auto"/>
              <w:rPr>
                <w:rFonts w:ascii="Times New Roman" w:hAnsi="Times New Roman"/>
                <w:noProof/>
                <w:color w:val="000000" w:themeColor="text1"/>
                <w:sz w:val="18"/>
              </w:rPr>
            </w:pP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D6153C1" w14:textId="46B024DE" w:rsidR="00EB245A" w:rsidRDefault="006021EE">
            <w:pPr>
              <w:pStyle w:val="P68B1DB1-Normal012"/>
              <w:spacing w:line="240" w:lineRule="auto"/>
              <w:rPr>
                <w:noProof/>
                <w:color w:val="000000" w:themeColor="text1"/>
              </w:rPr>
            </w:pPr>
            <w:r>
              <w:rPr>
                <w:noProof/>
              </w:rPr>
              <w:t>Anzahl</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A7C516E" w14:textId="70CFEEEE" w:rsidR="00EB245A" w:rsidRDefault="006021EE">
            <w:pPr>
              <w:pStyle w:val="P68B1DB1-Normal012"/>
              <w:spacing w:line="240" w:lineRule="auto"/>
              <w:jc w:val="right"/>
              <w:rPr>
                <w:noProof/>
                <w:color w:val="000000" w:themeColor="text1"/>
              </w:rPr>
            </w:pPr>
            <w:r>
              <w:rPr>
                <w:noProof/>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B39FD4" w14:textId="51E60DC9" w:rsidR="00EB245A" w:rsidRDefault="006021EE">
            <w:pPr>
              <w:pStyle w:val="P68B1DB1-Normal012"/>
              <w:spacing w:line="240" w:lineRule="auto"/>
              <w:jc w:val="right"/>
              <w:rPr>
                <w:noProof/>
                <w:color w:val="000000" w:themeColor="text1"/>
              </w:rPr>
            </w:pPr>
            <w:r>
              <w:rPr>
                <w:noProof/>
              </w:rPr>
              <w:t>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EDBE8B9" w14:textId="3C0FAF9D" w:rsidR="00EB245A" w:rsidRDefault="006021EE">
            <w:pPr>
              <w:pStyle w:val="P68B1DB1-Normal012"/>
              <w:spacing w:line="240" w:lineRule="auto"/>
              <w:jc w:val="center"/>
              <w:rPr>
                <w:noProof/>
                <w:color w:val="000000" w:themeColor="text1"/>
              </w:rPr>
            </w:pPr>
            <w:r>
              <w:rPr>
                <w:noProof/>
              </w:rPr>
              <w:t>Q2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038AD9" w14:textId="2CA1FC8B" w:rsidR="00EB245A" w:rsidRDefault="006021EE">
            <w:pPr>
              <w:pStyle w:val="P68B1DB1-Normal012"/>
              <w:spacing w:line="240" w:lineRule="auto"/>
              <w:jc w:val="center"/>
              <w:rPr>
                <w:noProof/>
                <w:color w:val="000000" w:themeColor="text1"/>
              </w:rPr>
            </w:pPr>
            <w:r>
              <w:rPr>
                <w:noProof/>
              </w:rPr>
              <w:t>2026</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0CD9E6" w14:textId="3B97C9EE" w:rsidR="00EB245A" w:rsidRDefault="006021EE">
            <w:pPr>
              <w:pStyle w:val="P68B1DB1-Normal012"/>
              <w:spacing w:line="240" w:lineRule="auto"/>
              <w:jc w:val="both"/>
              <w:rPr>
                <w:noProof/>
                <w:color w:val="000000" w:themeColor="text1"/>
              </w:rPr>
            </w:pPr>
            <w:r>
              <w:rPr>
                <w:noProof/>
              </w:rPr>
              <w:t xml:space="preserve">Mindestens 50 Projekte zur Modernisierung der Lehr- und Demonstrationsbasis für die Landwirtschaft 4.0 werden von landwirtschaftlichen Beratungseinheiten und landwirtschaftlichen Schulen durchgeführt. </w:t>
            </w:r>
          </w:p>
          <w:p w14:paraId="78377DAF" w14:textId="5B86F356" w:rsidR="00EB245A" w:rsidRDefault="006021EE">
            <w:pPr>
              <w:pStyle w:val="P68B1DB1-Normal012"/>
              <w:spacing w:line="240" w:lineRule="auto"/>
              <w:jc w:val="both"/>
              <w:rPr>
                <w:noProof/>
                <w:color w:val="000000" w:themeColor="text1"/>
              </w:rPr>
            </w:pPr>
            <w:r>
              <w:rPr>
                <w:noProof/>
              </w:rPr>
              <w:t>Die Projekte umfassen den Erwerb, die Montage un</w:t>
            </w:r>
            <w:r>
              <w:rPr>
                <w:noProof/>
              </w:rPr>
              <w:t>d die Inbetriebnahme von Ausrüstung, Informationssystemen und digitalen Lösungen im Bereich Landwirtschaft 4.0.</w:t>
            </w:r>
          </w:p>
        </w:tc>
      </w:tr>
    </w:tbl>
    <w:p w14:paraId="78BA2B7F" w14:textId="27866489" w:rsidR="00EB245A" w:rsidRDefault="006021EE">
      <w:pPr>
        <w:rPr>
          <w:rFonts w:ascii="Times New Roman" w:eastAsia="Times New Roman" w:hAnsi="Times New Roman" w:cs="Times New Roman"/>
          <w:b/>
          <w:noProof/>
          <w:color w:val="000000"/>
          <w:sz w:val="24"/>
          <w:u w:val="single"/>
        </w:rPr>
      </w:pPr>
      <w:r>
        <w:rPr>
          <w:noProof/>
        </w:rPr>
        <w:br w:type="page"/>
      </w:r>
      <w:r>
        <w:rPr>
          <w:rFonts w:ascii="Times New Roman" w:hAnsi="Times New Roman"/>
          <w:b/>
          <w:noProof/>
          <w:color w:val="000000"/>
          <w:sz w:val="24"/>
          <w:u w:val="single"/>
        </w:rPr>
        <w:t>A2 – INNOVATION</w:t>
      </w:r>
    </w:p>
    <w:tbl>
      <w:tblPr>
        <w:tblW w:w="15309"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875"/>
        <w:gridCol w:w="1984"/>
        <w:gridCol w:w="1276"/>
        <w:gridCol w:w="2126"/>
        <w:gridCol w:w="1961"/>
        <w:gridCol w:w="1134"/>
        <w:gridCol w:w="1417"/>
        <w:gridCol w:w="709"/>
        <w:gridCol w:w="851"/>
        <w:gridCol w:w="708"/>
        <w:gridCol w:w="2268"/>
      </w:tblGrid>
      <w:tr w:rsidR="00EB245A" w14:paraId="2D5D2D84" w14:textId="77777777" w:rsidTr="00AC1C0A">
        <w:trPr>
          <w:trHeight w:val="605"/>
          <w:tblHeader/>
        </w:trPr>
        <w:tc>
          <w:tcPr>
            <w:tcW w:w="875" w:type="dxa"/>
            <w:vMerge w:val="restart"/>
            <w:tcBorders>
              <w:top w:val="single" w:sz="4" w:space="0" w:color="000000" w:themeColor="text1"/>
            </w:tcBorders>
            <w:shd w:val="clear" w:color="auto" w:fill="BDD7EE"/>
            <w:vAlign w:val="center"/>
          </w:tcPr>
          <w:p w14:paraId="70CABCB9" w14:textId="71B5F736"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Lfd. Nr. Nr.</w:t>
            </w:r>
          </w:p>
        </w:tc>
        <w:tc>
          <w:tcPr>
            <w:tcW w:w="1984" w:type="dxa"/>
            <w:vMerge w:val="restart"/>
            <w:tcBorders>
              <w:top w:val="single" w:sz="4" w:space="0" w:color="000000" w:themeColor="text1"/>
            </w:tcBorders>
            <w:shd w:val="clear" w:color="auto" w:fill="BDD7EE"/>
            <w:vAlign w:val="center"/>
          </w:tcPr>
          <w:p w14:paraId="24263789"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Verbundene Maßnahme (Reform oder Investition)</w:t>
            </w:r>
          </w:p>
        </w:tc>
        <w:tc>
          <w:tcPr>
            <w:tcW w:w="1276" w:type="dxa"/>
            <w:vMerge w:val="restart"/>
            <w:tcBorders>
              <w:top w:val="single" w:sz="4" w:space="0" w:color="000000" w:themeColor="text1"/>
            </w:tcBorders>
            <w:shd w:val="clear" w:color="auto" w:fill="BDD7EE"/>
            <w:vAlign w:val="center"/>
          </w:tcPr>
          <w:p w14:paraId="39827929"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Etappenziel/Zielwert</w:t>
            </w:r>
          </w:p>
        </w:tc>
        <w:tc>
          <w:tcPr>
            <w:tcW w:w="2126" w:type="dxa"/>
            <w:vMerge w:val="restart"/>
            <w:tcBorders>
              <w:top w:val="single" w:sz="4" w:space="0" w:color="000000" w:themeColor="text1"/>
            </w:tcBorders>
            <w:shd w:val="clear" w:color="auto" w:fill="BDD7EE"/>
            <w:vAlign w:val="center"/>
          </w:tcPr>
          <w:p w14:paraId="76CAFD79"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Namen</w:t>
            </w:r>
          </w:p>
        </w:tc>
        <w:tc>
          <w:tcPr>
            <w:tcW w:w="1961" w:type="dxa"/>
            <w:vMerge w:val="restart"/>
            <w:tcBorders>
              <w:top w:val="single" w:sz="4" w:space="0" w:color="000000" w:themeColor="text1"/>
            </w:tcBorders>
            <w:shd w:val="clear" w:color="auto" w:fill="BDD7EE"/>
            <w:vAlign w:val="center"/>
          </w:tcPr>
          <w:p w14:paraId="036B8B9C" w14:textId="77777777" w:rsidR="00EB245A" w:rsidRDefault="006021EE">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rPr>
            </w:pPr>
            <w:r>
              <w:rPr>
                <w:rFonts w:ascii="Times New Roman" w:hAnsi="Times New Roman"/>
                <w:b/>
                <w:noProof/>
                <w:color w:val="000000"/>
                <w:sz w:val="18"/>
              </w:rPr>
              <w:t>Etappenziel/Zielwert</w:t>
            </w:r>
            <w:r>
              <w:rPr>
                <w:noProof/>
              </w:rPr>
              <w:t xml:space="preserve">  </w:t>
            </w:r>
            <w:r>
              <w:rPr>
                <w:noProof/>
              </w:rPr>
              <w:br/>
            </w:r>
            <w:r>
              <w:rPr>
                <w:rFonts w:ascii="Times New Roman" w:hAnsi="Times New Roman"/>
                <w:b/>
                <w:noProof/>
                <w:color w:val="000000"/>
                <w:sz w:val="18"/>
              </w:rPr>
              <w:t xml:space="preserve">(für </w:t>
            </w:r>
            <w:r>
              <w:rPr>
                <w:rFonts w:ascii="Times New Roman" w:hAnsi="Times New Roman"/>
                <w:b/>
                <w:noProof/>
                <w:color w:val="000000"/>
                <w:sz w:val="18"/>
              </w:rPr>
              <w:t>Etappenziele)</w:t>
            </w:r>
          </w:p>
        </w:tc>
        <w:tc>
          <w:tcPr>
            <w:tcW w:w="3260" w:type="dxa"/>
            <w:gridSpan w:val="3"/>
            <w:tcBorders>
              <w:top w:val="single" w:sz="4" w:space="0" w:color="000000" w:themeColor="text1"/>
            </w:tcBorders>
            <w:shd w:val="clear" w:color="auto" w:fill="BDD7EE"/>
            <w:vAlign w:val="center"/>
          </w:tcPr>
          <w:p w14:paraId="02DBBA83" w14:textId="77777777" w:rsidR="00EB245A" w:rsidRDefault="006021EE">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rPr>
            </w:pPr>
            <w:r>
              <w:rPr>
                <w:rFonts w:ascii="Times New Roman" w:hAnsi="Times New Roman"/>
                <w:b/>
                <w:noProof/>
                <w:color w:val="000000"/>
                <w:sz w:val="18"/>
              </w:rPr>
              <w:t>Qualitative Indikatoren (für Etappenziele)</w:t>
            </w:r>
            <w:r>
              <w:rPr>
                <w:noProof/>
              </w:rPr>
              <w:t xml:space="preserve">  </w:t>
            </w:r>
            <w:r>
              <w:rPr>
                <w:noProof/>
              </w:rPr>
              <w:br/>
            </w:r>
            <w:r>
              <w:rPr>
                <w:rFonts w:ascii="Times New Roman" w:hAnsi="Times New Roman"/>
                <w:b/>
                <w:noProof/>
                <w:color w:val="000000"/>
                <w:sz w:val="18"/>
              </w:rPr>
              <w:t>(für Ziele)</w:t>
            </w:r>
          </w:p>
        </w:tc>
        <w:tc>
          <w:tcPr>
            <w:tcW w:w="1559" w:type="dxa"/>
            <w:gridSpan w:val="2"/>
            <w:tcBorders>
              <w:top w:val="single" w:sz="4" w:space="0" w:color="000000" w:themeColor="text1"/>
            </w:tcBorders>
            <w:shd w:val="clear" w:color="auto" w:fill="BDD7EE"/>
            <w:vAlign w:val="center"/>
          </w:tcPr>
          <w:p w14:paraId="2DA45C49"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 xml:space="preserve">Vorläufiger Zeitplan für die Fertigstellung </w:t>
            </w:r>
          </w:p>
        </w:tc>
        <w:tc>
          <w:tcPr>
            <w:tcW w:w="2268" w:type="dxa"/>
            <w:vMerge w:val="restart"/>
            <w:tcBorders>
              <w:top w:val="single" w:sz="4" w:space="0" w:color="000000" w:themeColor="text1"/>
            </w:tcBorders>
            <w:shd w:val="clear" w:color="auto" w:fill="BDD7EE"/>
            <w:vAlign w:val="center"/>
          </w:tcPr>
          <w:p w14:paraId="038D6592"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Beschreibung der einzelnen Etappenziele und Zielvorgaben</w:t>
            </w:r>
          </w:p>
        </w:tc>
      </w:tr>
      <w:tr w:rsidR="00EB245A" w14:paraId="4BF4EC33" w14:textId="77777777" w:rsidTr="00AC1C0A">
        <w:trPr>
          <w:trHeight w:val="405"/>
        </w:trPr>
        <w:tc>
          <w:tcPr>
            <w:tcW w:w="875" w:type="dxa"/>
            <w:vMerge/>
            <w:vAlign w:val="center"/>
          </w:tcPr>
          <w:p w14:paraId="36FEB5B0"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984" w:type="dxa"/>
            <w:vMerge/>
            <w:vAlign w:val="center"/>
          </w:tcPr>
          <w:p w14:paraId="30D7AA69"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276" w:type="dxa"/>
            <w:vMerge/>
            <w:vAlign w:val="center"/>
          </w:tcPr>
          <w:p w14:paraId="7196D064"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2126" w:type="dxa"/>
            <w:vMerge/>
            <w:vAlign w:val="center"/>
          </w:tcPr>
          <w:p w14:paraId="34FF1C98"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961" w:type="dxa"/>
            <w:vMerge/>
            <w:vAlign w:val="center"/>
          </w:tcPr>
          <w:p w14:paraId="6D072C0D"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134" w:type="dxa"/>
            <w:shd w:val="clear" w:color="auto" w:fill="BDD7EE"/>
            <w:vAlign w:val="center"/>
          </w:tcPr>
          <w:p w14:paraId="1FBADBD8"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Maßeinheit</w:t>
            </w:r>
          </w:p>
        </w:tc>
        <w:tc>
          <w:tcPr>
            <w:tcW w:w="1417" w:type="dxa"/>
            <w:shd w:val="clear" w:color="auto" w:fill="BDD7EE"/>
            <w:vAlign w:val="center"/>
          </w:tcPr>
          <w:p w14:paraId="1CA9A361"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 xml:space="preserve">Ausgangslage </w:t>
            </w:r>
          </w:p>
        </w:tc>
        <w:tc>
          <w:tcPr>
            <w:tcW w:w="709" w:type="dxa"/>
            <w:shd w:val="clear" w:color="auto" w:fill="BDD7EE"/>
            <w:vAlign w:val="center"/>
          </w:tcPr>
          <w:p w14:paraId="09320768"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Ziel</w:t>
            </w:r>
          </w:p>
        </w:tc>
        <w:tc>
          <w:tcPr>
            <w:tcW w:w="851" w:type="dxa"/>
            <w:shd w:val="clear" w:color="auto" w:fill="BDD7EE"/>
            <w:vAlign w:val="center"/>
          </w:tcPr>
          <w:p w14:paraId="717741CA"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Viertel</w:t>
            </w:r>
          </w:p>
        </w:tc>
        <w:tc>
          <w:tcPr>
            <w:tcW w:w="708" w:type="dxa"/>
            <w:shd w:val="clear" w:color="auto" w:fill="BDD7EE"/>
            <w:vAlign w:val="center"/>
          </w:tcPr>
          <w:p w14:paraId="1D6DE76D"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Jahre</w:t>
            </w:r>
          </w:p>
        </w:tc>
        <w:tc>
          <w:tcPr>
            <w:tcW w:w="2268" w:type="dxa"/>
            <w:vMerge/>
            <w:vAlign w:val="center"/>
          </w:tcPr>
          <w:p w14:paraId="48A21919"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r>
      <w:tr w:rsidR="00EB245A" w14:paraId="1E3B2FF4" w14:textId="77777777" w:rsidTr="00AC1C0A">
        <w:trPr>
          <w:trHeight w:val="313"/>
        </w:trPr>
        <w:tc>
          <w:tcPr>
            <w:tcW w:w="875" w:type="dxa"/>
            <w:shd w:val="clear" w:color="auto" w:fill="C6EFCE"/>
          </w:tcPr>
          <w:p w14:paraId="2C8B330C" w14:textId="7BE3EC22"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A27G</w:t>
            </w:r>
          </w:p>
        </w:tc>
        <w:tc>
          <w:tcPr>
            <w:tcW w:w="1984" w:type="dxa"/>
            <w:shd w:val="clear" w:color="auto" w:fill="C6EFCE"/>
          </w:tcPr>
          <w:p w14:paraId="519BAFE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A2.1 Beschleunigung von Robotisierungs- und Digitalisierungs- und Innovationsprozessen </w:t>
            </w:r>
          </w:p>
        </w:tc>
        <w:tc>
          <w:tcPr>
            <w:tcW w:w="1276" w:type="dxa"/>
            <w:shd w:val="clear" w:color="auto" w:fill="C6EFCE"/>
          </w:tcPr>
          <w:p w14:paraId="31426889"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Meilenstein</w:t>
            </w:r>
          </w:p>
        </w:tc>
        <w:tc>
          <w:tcPr>
            <w:tcW w:w="2126" w:type="dxa"/>
            <w:shd w:val="clear" w:color="auto" w:fill="C6EFCE"/>
          </w:tcPr>
          <w:p w14:paraId="7D72156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Inkrafttreten eines neuen Gesetzes zur Unterstützung der Automatisierung, Digitalisierung und Innovation von Unternehmen durch die Einführung einer Steuerer</w:t>
            </w:r>
            <w:r>
              <w:rPr>
                <w:noProof/>
              </w:rPr>
              <w:t xml:space="preserve">leichterung für Robotisierung </w:t>
            </w:r>
          </w:p>
        </w:tc>
        <w:tc>
          <w:tcPr>
            <w:tcW w:w="1961" w:type="dxa"/>
            <w:shd w:val="clear" w:color="auto" w:fill="C6EFCE"/>
          </w:tcPr>
          <w:p w14:paraId="4466E308" w14:textId="0284868D"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Bestimmung des neuen Gesetzes zur Unterstützung der Automatisierung, Digitalisierung und Innovation von Unternehmen unter Angabe des Inkrafttretens  </w:t>
            </w:r>
          </w:p>
        </w:tc>
        <w:tc>
          <w:tcPr>
            <w:tcW w:w="1134" w:type="dxa"/>
            <w:shd w:val="clear" w:color="auto" w:fill="C6EFCE"/>
          </w:tcPr>
          <w:p w14:paraId="12673AC1"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417" w:type="dxa"/>
            <w:shd w:val="clear" w:color="auto" w:fill="C6EFCE"/>
          </w:tcPr>
          <w:p w14:paraId="2C6BD880"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709" w:type="dxa"/>
            <w:shd w:val="clear" w:color="auto" w:fill="C6EFCE"/>
          </w:tcPr>
          <w:p w14:paraId="5561E1DE"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851" w:type="dxa"/>
            <w:shd w:val="clear" w:color="auto" w:fill="C6EFCE"/>
          </w:tcPr>
          <w:p w14:paraId="3A4E1A08"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Q2</w:t>
            </w:r>
          </w:p>
        </w:tc>
        <w:tc>
          <w:tcPr>
            <w:tcW w:w="708" w:type="dxa"/>
            <w:shd w:val="clear" w:color="auto" w:fill="C6EFCE"/>
          </w:tcPr>
          <w:p w14:paraId="053A94A5"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2022</w:t>
            </w:r>
          </w:p>
        </w:tc>
        <w:tc>
          <w:tcPr>
            <w:tcW w:w="2268" w:type="dxa"/>
            <w:shd w:val="clear" w:color="auto" w:fill="C6EFCE"/>
          </w:tcPr>
          <w:p w14:paraId="106CAFB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Mit einem neuen Gesetz wird eine Steuerermäßigung eingeführt,</w:t>
            </w:r>
            <w:r>
              <w:rPr>
                <w:noProof/>
              </w:rPr>
              <w:t xml:space="preserve"> so dass ein Unternehmer am Ende des Steuerjahres Anspruch auf eine zusätzliche Abschreibung eines Teils der Robotisierungskosten von der Steuerbemessungsgrundlage hat. Die Steuerermäßigung steht allen Unternehmern unabhängig von ihrer Größe und ihrem Gesc</w:t>
            </w:r>
            <w:r>
              <w:rPr>
                <w:noProof/>
              </w:rPr>
              <w:t xml:space="preserve">häftssitz offen. Als förderfähig gelten folgende Kosten: </w:t>
            </w:r>
          </w:p>
          <w:p w14:paraId="099AA2E1" w14:textId="51FD8D41"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 Kosten für den Kauf neuer Roboter, </w:t>
            </w:r>
          </w:p>
          <w:p w14:paraId="2762F2E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 Maschinen und periphere Geräte für mit ihnen funktional verbundene Roboter </w:t>
            </w:r>
          </w:p>
          <w:p w14:paraId="61D3EE31"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Maschinen, Geräte und andere funktional mit Robotern zusammenhängende Gegenständ</w:t>
            </w:r>
            <w:r>
              <w:rPr>
                <w:noProof/>
              </w:rPr>
              <w:t xml:space="preserve">e zur Gewährleistung von Ergonomie und Arbeitssicherheit </w:t>
            </w:r>
          </w:p>
          <w:p w14:paraId="6F57302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 Maschinen, Geräte oder Systeme zur Fernsteuerung, Diagnose, Überwachung oder Wartung von Robotern </w:t>
            </w:r>
          </w:p>
          <w:p w14:paraId="61BD9646" w14:textId="0720DFAB"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 Geräte zur Interaktion zwischen Mensch und Maschine für Coboter oder hochempfindliche Roboter </w:t>
            </w:r>
          </w:p>
          <w:p w14:paraId="3B6A9597" w14:textId="13314990"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 Kosten immaterieller Vermögenswerte im Zusammenhang mit den oben genannten Sachanlagen </w:t>
            </w:r>
          </w:p>
          <w:p w14:paraId="0FC00A06" w14:textId="64DFD3C1"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 Kosten für Schulungen in Bezug auf Roboter </w:t>
            </w:r>
          </w:p>
          <w:p w14:paraId="34F9BF86" w14:textId="79CB8706"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Gebühren, die sich auf den oben gena</w:t>
            </w:r>
            <w:r>
              <w:rPr>
                <w:noProof/>
              </w:rPr>
              <w:t xml:space="preserve">nnten Leasingvertrag beziehen, wenn das Eigentum an dem Anlagevermögen nach Ablauf der Grundlaufzeit des Leasingvertrags auf den Steuerpflichtigen übergeht. </w:t>
            </w:r>
          </w:p>
          <w:p w14:paraId="6BD18F9B"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p>
          <w:p w14:paraId="238601FE" w14:textId="16BBAF33"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Es ist davon auszugehen, dass diese Maßnahme die Umweltziele im Sinne des Artikels 17 der </w:t>
            </w:r>
            <w:r>
              <w:rPr>
                <w:noProof/>
              </w:rPr>
              <w:t>Verordnung (EU) 2020/852 nicht erheblich beeinträchtigt, wobei die Beschreibung der Maßnahme und die im Aufbau- und Resilienzplan im Einklang mit den Technischen Leitlinien für die Vermeidung erheblicher Beeinträchtigungen im Zusammenhang mit der Vermeidun</w:t>
            </w:r>
            <w:r>
              <w:rPr>
                <w:noProof/>
              </w:rPr>
              <w:t xml:space="preserve">g erheblicher Beeinträchtigungen (2021/C 58/01) dargelegten Abhilfemaßnahmen zu berücksichtigen sind. Mit der Reform werden insbesondere Investitionen mit geringen Auswirkungen unterstützt, die auf der Ebene ihrer Anwendung technologieneutral sind.   </w:t>
            </w:r>
          </w:p>
        </w:tc>
      </w:tr>
      <w:tr w:rsidR="00EB245A" w14:paraId="08D1385E" w14:textId="77777777" w:rsidTr="00AC1C0A">
        <w:trPr>
          <w:trHeight w:val="313"/>
        </w:trPr>
        <w:tc>
          <w:tcPr>
            <w:tcW w:w="875" w:type="dxa"/>
            <w:shd w:val="clear" w:color="auto" w:fill="C6EFCE"/>
          </w:tcPr>
          <w:p w14:paraId="434292C4" w14:textId="71E6C172"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A28G</w:t>
            </w:r>
          </w:p>
        </w:tc>
        <w:tc>
          <w:tcPr>
            <w:tcW w:w="1984" w:type="dxa"/>
            <w:shd w:val="clear" w:color="auto" w:fill="C6EFCE"/>
          </w:tcPr>
          <w:p w14:paraId="73A3BEB9" w14:textId="032BF0CB"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A2.1.1 Investitionen zur Unterstützung der Robotisierung und Digitalisierung in Unternehmen   </w:t>
            </w:r>
          </w:p>
        </w:tc>
        <w:tc>
          <w:tcPr>
            <w:tcW w:w="1276" w:type="dxa"/>
            <w:shd w:val="clear" w:color="auto" w:fill="C6EFCE"/>
          </w:tcPr>
          <w:p w14:paraId="4E99B13E"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2126" w:type="dxa"/>
            <w:shd w:val="clear" w:color="auto" w:fill="C6EFCE"/>
          </w:tcPr>
          <w:p w14:paraId="48CB533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T1 – Durchführung von Projekten im Zusammenhang mit Robotisierung, künstlicher Intelligenz oder Digitalisierung von Prozessen, Technologien, Produkten </w:t>
            </w:r>
            <w:r>
              <w:rPr>
                <w:noProof/>
              </w:rPr>
              <w:t>oder Dienstleistungen</w:t>
            </w:r>
          </w:p>
        </w:tc>
        <w:tc>
          <w:tcPr>
            <w:tcW w:w="1961" w:type="dxa"/>
            <w:shd w:val="clear" w:color="auto" w:fill="C6EFCE"/>
          </w:tcPr>
          <w:p w14:paraId="48D3F40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134" w:type="dxa"/>
            <w:shd w:val="clear" w:color="auto" w:fill="C6EFCE"/>
          </w:tcPr>
          <w:p w14:paraId="099A72F1"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w:t>
            </w:r>
          </w:p>
        </w:tc>
        <w:tc>
          <w:tcPr>
            <w:tcW w:w="1417" w:type="dxa"/>
            <w:shd w:val="clear" w:color="auto" w:fill="C6EFCE"/>
          </w:tcPr>
          <w:p w14:paraId="370D6AA5"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0</w:t>
            </w:r>
          </w:p>
        </w:tc>
        <w:tc>
          <w:tcPr>
            <w:tcW w:w="709" w:type="dxa"/>
            <w:shd w:val="clear" w:color="auto" w:fill="C6EFCE"/>
          </w:tcPr>
          <w:p w14:paraId="1B87E3DE"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6</w:t>
            </w:r>
          </w:p>
        </w:tc>
        <w:tc>
          <w:tcPr>
            <w:tcW w:w="851" w:type="dxa"/>
            <w:shd w:val="clear" w:color="auto" w:fill="C6EFCE"/>
          </w:tcPr>
          <w:p w14:paraId="601530BD"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Q4</w:t>
            </w:r>
          </w:p>
        </w:tc>
        <w:tc>
          <w:tcPr>
            <w:tcW w:w="708" w:type="dxa"/>
            <w:shd w:val="clear" w:color="auto" w:fill="C6EFCE"/>
          </w:tcPr>
          <w:p w14:paraId="560B5D26"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2024</w:t>
            </w:r>
          </w:p>
        </w:tc>
        <w:tc>
          <w:tcPr>
            <w:tcW w:w="2268" w:type="dxa"/>
            <w:shd w:val="clear" w:color="auto" w:fill="C6EFCE"/>
          </w:tcPr>
          <w:p w14:paraId="6530D050" w14:textId="729AC1A8"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r>
              <w:rPr>
                <w:rFonts w:ascii="Times New Roman" w:hAnsi="Times New Roman"/>
                <w:noProof/>
                <w:color w:val="000000" w:themeColor="text1"/>
                <w:sz w:val="18"/>
              </w:rPr>
              <w:t xml:space="preserve">Zahl der vollständig umgesetzten Projekte im Zusammenhang mit Robotisierung, künstlicher Intelligenz oder Digitalisierung von Prozessen, Technologien, Produkten oder Dienstleistungen. Die Projekte müssen </w:t>
            </w:r>
            <w:r>
              <w:rPr>
                <w:rFonts w:ascii="Times New Roman" w:hAnsi="Times New Roman"/>
                <w:noProof/>
                <w:color w:val="000000" w:themeColor="text1"/>
                <w:sz w:val="18"/>
              </w:rPr>
              <w:t xml:space="preserve">insbesondere mindestens eines der aufgeführten Themen abdecken: </w:t>
            </w:r>
            <w:r>
              <w:rPr>
                <w:noProof/>
              </w:rPr>
              <w:t xml:space="preserve">  </w:t>
            </w:r>
            <w:r>
              <w:rPr>
                <w:noProof/>
              </w:rPr>
              <w:br/>
            </w:r>
            <w:r>
              <w:rPr>
                <w:rFonts w:ascii="Times New Roman" w:hAnsi="Times New Roman"/>
                <w:noProof/>
                <w:color w:val="000000" w:themeColor="text1"/>
                <w:sz w:val="18"/>
              </w:rPr>
              <w:t xml:space="preserve">— die vollständige Umsetzung innovativer digitaler Lösungen, einschließlich der Digitalisierung von Geschäftsabläufen, </w:t>
            </w:r>
            <w:r>
              <w:rPr>
                <w:noProof/>
              </w:rPr>
              <w:t xml:space="preserve"> </w:t>
            </w:r>
            <w:r>
              <w:rPr>
                <w:noProof/>
              </w:rPr>
              <w:br/>
              <w:t xml:space="preserve"> </w:t>
            </w:r>
            <w:r>
              <w:rPr>
                <w:rFonts w:ascii="Times New Roman" w:hAnsi="Times New Roman"/>
                <w:noProof/>
                <w:color w:val="000000" w:themeColor="text1"/>
                <w:sz w:val="18"/>
              </w:rPr>
              <w:t>— Unterstützung des Übergangs zur Industrie 4.0 mit besonderem Schw</w:t>
            </w:r>
            <w:r>
              <w:rPr>
                <w:rFonts w:ascii="Times New Roman" w:hAnsi="Times New Roman"/>
                <w:noProof/>
                <w:color w:val="000000" w:themeColor="text1"/>
                <w:sz w:val="18"/>
              </w:rPr>
              <w:t xml:space="preserve">erpunkt auf Robotisierung und Betriebstechnologien, </w:t>
            </w:r>
            <w:r>
              <w:rPr>
                <w:noProof/>
              </w:rPr>
              <w:t xml:space="preserve"> </w:t>
            </w:r>
            <w:r>
              <w:rPr>
                <w:noProof/>
              </w:rPr>
              <w:br/>
              <w:t xml:space="preserve"> </w:t>
            </w:r>
            <w:r>
              <w:rPr>
                <w:rFonts w:ascii="Times New Roman" w:hAnsi="Times New Roman"/>
                <w:noProof/>
                <w:color w:val="000000" w:themeColor="text1"/>
                <w:sz w:val="18"/>
              </w:rPr>
              <w:t xml:space="preserve">— die Nutzung von Cloud-Technologien und künstlicher Intelligenz bei der Integration und Verwaltung von Produktions- und Geschäftsprozessen, </w:t>
            </w:r>
            <w:r>
              <w:rPr>
                <w:noProof/>
              </w:rPr>
              <w:t xml:space="preserve"> </w:t>
            </w:r>
            <w:r>
              <w:rPr>
                <w:noProof/>
              </w:rPr>
              <w:br/>
              <w:t xml:space="preserve"> </w:t>
            </w:r>
            <w:r>
              <w:rPr>
                <w:rFonts w:ascii="Times New Roman" w:hAnsi="Times New Roman"/>
                <w:noProof/>
                <w:color w:val="000000" w:themeColor="text1"/>
                <w:sz w:val="18"/>
              </w:rPr>
              <w:t>— die Integration bestimmter Elemente von Geschäftsabläuf</w:t>
            </w:r>
            <w:r>
              <w:rPr>
                <w:rFonts w:ascii="Times New Roman" w:hAnsi="Times New Roman"/>
                <w:noProof/>
                <w:color w:val="000000" w:themeColor="text1"/>
                <w:sz w:val="18"/>
              </w:rPr>
              <w:t xml:space="preserve">en, </w:t>
            </w:r>
            <w:r>
              <w:rPr>
                <w:noProof/>
              </w:rPr>
              <w:t xml:space="preserve"> </w:t>
            </w:r>
            <w:r>
              <w:rPr>
                <w:noProof/>
              </w:rPr>
              <w:br/>
              <w:t xml:space="preserve"> </w:t>
            </w:r>
            <w:r>
              <w:rPr>
                <w:rFonts w:ascii="Times New Roman" w:hAnsi="Times New Roman"/>
                <w:noProof/>
                <w:color w:val="000000" w:themeColor="text1"/>
                <w:sz w:val="18"/>
              </w:rPr>
              <w:t xml:space="preserve">— die vollständige Einführung der Kommunikationstechnologien „Maschine-Maschine-Maschine“ (M2M), Nutzung des industriellen Internets der Dinge (IoT) unter Anwendung fortgeschrittener Informationsverarbeitungsmethoden; </w:t>
            </w:r>
            <w:r>
              <w:rPr>
                <w:noProof/>
              </w:rPr>
              <w:t xml:space="preserve"> </w:t>
            </w:r>
            <w:r>
              <w:rPr>
                <w:noProof/>
              </w:rPr>
              <w:br/>
              <w:t xml:space="preserve"> </w:t>
            </w:r>
            <w:r>
              <w:rPr>
                <w:rFonts w:ascii="Times New Roman" w:hAnsi="Times New Roman"/>
                <w:noProof/>
                <w:color w:val="000000" w:themeColor="text1"/>
                <w:sz w:val="18"/>
              </w:rPr>
              <w:t>— die vollständige Einführun</w:t>
            </w:r>
            <w:r>
              <w:rPr>
                <w:rFonts w:ascii="Times New Roman" w:hAnsi="Times New Roman"/>
                <w:noProof/>
                <w:color w:val="000000" w:themeColor="text1"/>
                <w:sz w:val="18"/>
              </w:rPr>
              <w:t xml:space="preserve">g intelligenter Produktionslinien, den Bau intelligenter Fabriken (Intelligente Fabrik), </w:t>
            </w:r>
            <w:r>
              <w:rPr>
                <w:noProof/>
              </w:rPr>
              <w:t xml:space="preserve"> </w:t>
            </w:r>
            <w:r>
              <w:rPr>
                <w:noProof/>
              </w:rPr>
              <w:br/>
              <w:t xml:space="preserve"> </w:t>
            </w:r>
            <w:r>
              <w:rPr>
                <w:rFonts w:ascii="Times New Roman" w:hAnsi="Times New Roman"/>
                <w:noProof/>
                <w:color w:val="000000" w:themeColor="text1"/>
                <w:sz w:val="18"/>
              </w:rPr>
              <w:t xml:space="preserve">— die Schaffung digitaler Domänenplattformen und die Integration bestehender Domänensysteme, </w:t>
            </w:r>
            <w:r>
              <w:rPr>
                <w:noProof/>
              </w:rPr>
              <w:t xml:space="preserve"> </w:t>
            </w:r>
            <w:r>
              <w:rPr>
                <w:noProof/>
              </w:rPr>
              <w:br/>
              <w:t xml:space="preserve"> </w:t>
            </w:r>
            <w:r>
              <w:rPr>
                <w:rFonts w:ascii="Times New Roman" w:hAnsi="Times New Roman"/>
                <w:noProof/>
                <w:color w:val="000000" w:themeColor="text1"/>
                <w:sz w:val="18"/>
              </w:rPr>
              <w:t>— die vollständige Einführung spezieller Systeme, die Prozesse im Be</w:t>
            </w:r>
            <w:r>
              <w:rPr>
                <w:rFonts w:ascii="Times New Roman" w:hAnsi="Times New Roman"/>
                <w:noProof/>
                <w:color w:val="000000" w:themeColor="text1"/>
                <w:sz w:val="18"/>
              </w:rPr>
              <w:t xml:space="preserve">reich der digitalen Sicherheit mithilfe von Cloud-Technologien und künstlicher Intelligenz automatisieren, </w:t>
            </w:r>
            <w:r>
              <w:rPr>
                <w:noProof/>
              </w:rPr>
              <w:t xml:space="preserve"> </w:t>
            </w:r>
            <w:r>
              <w:rPr>
                <w:noProof/>
              </w:rPr>
              <w:br/>
              <w:t xml:space="preserve"> </w:t>
            </w:r>
            <w:r>
              <w:rPr>
                <w:rFonts w:ascii="Times New Roman" w:hAnsi="Times New Roman"/>
                <w:noProof/>
                <w:color w:val="000000" w:themeColor="text1"/>
                <w:sz w:val="18"/>
              </w:rPr>
              <w:t xml:space="preserve">— die vollständige Umsetzung moderner digitaler Arbeitsplätze. </w:t>
            </w:r>
            <w:r>
              <w:rPr>
                <w:noProof/>
              </w:rPr>
              <w:t xml:space="preserve"> </w:t>
            </w:r>
            <w:r>
              <w:rPr>
                <w:noProof/>
              </w:rPr>
              <w:br/>
            </w:r>
            <w:r>
              <w:rPr>
                <w:rFonts w:ascii="Times New Roman" w:hAnsi="Times New Roman"/>
                <w:noProof/>
                <w:color w:val="000000" w:themeColor="text1"/>
                <w:sz w:val="18"/>
              </w:rPr>
              <w:t xml:space="preserve">Die Projekte zielen hauptsächlich auf Großunternehmen und deren Mitarbeiter ab. </w:t>
            </w:r>
          </w:p>
        </w:tc>
      </w:tr>
      <w:tr w:rsidR="00EB245A" w14:paraId="7D5B7E28" w14:textId="77777777" w:rsidTr="00AC1C0A">
        <w:trPr>
          <w:trHeight w:val="313"/>
        </w:trPr>
        <w:tc>
          <w:tcPr>
            <w:tcW w:w="875" w:type="dxa"/>
            <w:shd w:val="clear" w:color="auto" w:fill="C6EFCE"/>
          </w:tcPr>
          <w:p w14:paraId="7CE58F48" w14:textId="3C981E3D"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A29G</w:t>
            </w:r>
          </w:p>
        </w:tc>
        <w:tc>
          <w:tcPr>
            <w:tcW w:w="1984" w:type="dxa"/>
            <w:shd w:val="clear" w:color="auto" w:fill="C6EFCE"/>
          </w:tcPr>
          <w:p w14:paraId="2FFBCB9C" w14:textId="47C15092"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A2.1.1 Investitionen zur Unterstützung der Robotisierung und Digitalisierung in Unternehmen   </w:t>
            </w:r>
          </w:p>
        </w:tc>
        <w:tc>
          <w:tcPr>
            <w:tcW w:w="1276" w:type="dxa"/>
            <w:shd w:val="clear" w:color="auto" w:fill="C6EFCE"/>
          </w:tcPr>
          <w:p w14:paraId="274B3D9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2126" w:type="dxa"/>
            <w:shd w:val="clear" w:color="auto" w:fill="C6EFCE"/>
          </w:tcPr>
          <w:p w14:paraId="319D24A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T2 – Durchführung von Projekten im Zusammenhang mit Robotisierung, künstlicher Intelligenz oder Digitalisierung von Prozessen, Technologien, Produkten oder Dienstleistungen</w:t>
            </w:r>
          </w:p>
        </w:tc>
        <w:tc>
          <w:tcPr>
            <w:tcW w:w="1961" w:type="dxa"/>
            <w:shd w:val="clear" w:color="auto" w:fill="C6EFCE"/>
          </w:tcPr>
          <w:p w14:paraId="222CCC41"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134" w:type="dxa"/>
            <w:shd w:val="clear" w:color="auto" w:fill="C6EFCE"/>
          </w:tcPr>
          <w:p w14:paraId="460C58E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w:t>
            </w:r>
          </w:p>
        </w:tc>
        <w:tc>
          <w:tcPr>
            <w:tcW w:w="1417" w:type="dxa"/>
            <w:shd w:val="clear" w:color="auto" w:fill="C6EFCE"/>
          </w:tcPr>
          <w:p w14:paraId="1946A7AE"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6</w:t>
            </w:r>
          </w:p>
        </w:tc>
        <w:tc>
          <w:tcPr>
            <w:tcW w:w="709" w:type="dxa"/>
            <w:shd w:val="clear" w:color="auto" w:fill="C6EFCE"/>
          </w:tcPr>
          <w:p w14:paraId="704A35C2"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40</w:t>
            </w:r>
          </w:p>
        </w:tc>
        <w:tc>
          <w:tcPr>
            <w:tcW w:w="851" w:type="dxa"/>
            <w:shd w:val="clear" w:color="auto" w:fill="C6EFCE"/>
          </w:tcPr>
          <w:p w14:paraId="7694BBC2"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Q2</w:t>
            </w:r>
          </w:p>
        </w:tc>
        <w:tc>
          <w:tcPr>
            <w:tcW w:w="708" w:type="dxa"/>
            <w:shd w:val="clear" w:color="auto" w:fill="C6EFCE"/>
          </w:tcPr>
          <w:p w14:paraId="627BB9B2"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2026</w:t>
            </w:r>
          </w:p>
        </w:tc>
        <w:tc>
          <w:tcPr>
            <w:tcW w:w="2268" w:type="dxa"/>
            <w:shd w:val="clear" w:color="auto" w:fill="C6EFCE"/>
          </w:tcPr>
          <w:p w14:paraId="39B7FA5F" w14:textId="32CCCC53"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Zusätzliche mindestens 34 vollständig umgesetzte Projekte im Zusammenhang mit Robotisierung, künstlicher Intelligenz oder Digitalisierung von Prozessen, Technologien, Produkten oder Dienstleistungen, die die für die Maßnahme A28G festgelegten Anforderungen</w:t>
            </w:r>
            <w:r>
              <w:rPr>
                <w:noProof/>
              </w:rPr>
              <w:t xml:space="preserve"> erfüllen. </w:t>
            </w:r>
          </w:p>
        </w:tc>
      </w:tr>
      <w:tr w:rsidR="00EB245A" w14:paraId="3A660D93" w14:textId="77777777" w:rsidTr="00AC1C0A">
        <w:trPr>
          <w:trHeight w:val="1644"/>
        </w:trPr>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848D7E0" w14:textId="75C74E89"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A30G</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AEBB280"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A2.2 Schaffung der Voraussetzungen für den Übergang zu einem Kreislaufwirtschaftsmodell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78BBE11"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Meilenstein</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3B1E4D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Inkrafttreten neuer Rechtsvorschriften zur Änderung des Rechtsrahmens, um den Handel mit Sekundärrohstoffen zu ermöglichen </w:t>
            </w:r>
          </w:p>
        </w:tc>
        <w:tc>
          <w:tcPr>
            <w:tcW w:w="1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A289DA6" w14:textId="5394716E"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Bestimmung in </w:t>
            </w:r>
            <w:r>
              <w:rPr>
                <w:noProof/>
              </w:rPr>
              <w:t>den neuen Rechtsvorschriften, aus denen hervorgeht, dass sie in Kraft treten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BFC34AB"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CA4ECA7"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57D6B25"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320D90"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EB8710"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B13FFFB" w14:textId="12C054BB"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Die neuen Rechtsvorschriften sollen den Handel mit ausgewählten Sekundärrohstoffen ermöglichen. Die Rechtsvorschriften ermöglichen eine erleichterte Bewirtschaftung </w:t>
            </w:r>
            <w:r>
              <w:rPr>
                <w:noProof/>
              </w:rPr>
              <w:t xml:space="preserve">dieser Materialien, die zu einer Verringerung der Nutzung natürlicher Ressourcen führen und natürliche Materialien und Produkte ersetzen, und die Lagerung von Abfällen auf den Halden verringern. </w:t>
            </w:r>
          </w:p>
        </w:tc>
      </w:tr>
      <w:tr w:rsidR="00EB245A" w14:paraId="4DFF9C52" w14:textId="77777777" w:rsidTr="00AC1C0A">
        <w:trPr>
          <w:trHeight w:val="313"/>
        </w:trPr>
        <w:tc>
          <w:tcPr>
            <w:tcW w:w="875" w:type="dxa"/>
            <w:shd w:val="clear" w:color="auto" w:fill="C6EFCE"/>
          </w:tcPr>
          <w:p w14:paraId="3D5C510C" w14:textId="7A1CDB6C"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A31G</w:t>
            </w:r>
          </w:p>
        </w:tc>
        <w:tc>
          <w:tcPr>
            <w:tcW w:w="1984" w:type="dxa"/>
            <w:shd w:val="clear" w:color="auto" w:fill="C6EFCE"/>
          </w:tcPr>
          <w:p w14:paraId="36EAF719"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A2.2.1 Investitionen in den Einsatz von </w:t>
            </w:r>
            <w:r>
              <w:rPr>
                <w:noProof/>
              </w:rPr>
              <w:t>Umwelttechnologien und -innovationen, einschließlich solcher im Zusammenhang mit der Kreislaufwirtschaft</w:t>
            </w:r>
          </w:p>
        </w:tc>
        <w:tc>
          <w:tcPr>
            <w:tcW w:w="1276" w:type="dxa"/>
            <w:shd w:val="clear" w:color="auto" w:fill="C6EFCE"/>
          </w:tcPr>
          <w:p w14:paraId="043B317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2126" w:type="dxa"/>
            <w:shd w:val="clear" w:color="auto" w:fill="C6EFCE"/>
          </w:tcPr>
          <w:p w14:paraId="7E8839C5" w14:textId="6FD44560"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Unterzeichnete Finanzhilfevereinbarungen für Projekte an KMU mit Lösungen zur Entwicklung und Förderung oder Anwendung grüner Technologien (im Zus</w:t>
            </w:r>
            <w:r>
              <w:rPr>
                <w:noProof/>
              </w:rPr>
              <w:t xml:space="preserve">ammenhang mit der Kreislaufwirtschaft) </w:t>
            </w:r>
          </w:p>
        </w:tc>
        <w:tc>
          <w:tcPr>
            <w:tcW w:w="1961" w:type="dxa"/>
            <w:shd w:val="clear" w:color="auto" w:fill="C6EFCE"/>
          </w:tcPr>
          <w:p w14:paraId="79E427E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134" w:type="dxa"/>
            <w:shd w:val="clear" w:color="auto" w:fill="C6EFCE"/>
          </w:tcPr>
          <w:p w14:paraId="42087AF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w:t>
            </w:r>
          </w:p>
        </w:tc>
        <w:tc>
          <w:tcPr>
            <w:tcW w:w="1417" w:type="dxa"/>
            <w:shd w:val="clear" w:color="auto" w:fill="C6EFCE"/>
          </w:tcPr>
          <w:p w14:paraId="05F7728E"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0</w:t>
            </w:r>
          </w:p>
        </w:tc>
        <w:tc>
          <w:tcPr>
            <w:tcW w:w="709" w:type="dxa"/>
            <w:shd w:val="clear" w:color="auto" w:fill="C6EFCE"/>
          </w:tcPr>
          <w:p w14:paraId="0CCF700D"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100</w:t>
            </w:r>
          </w:p>
        </w:tc>
        <w:tc>
          <w:tcPr>
            <w:tcW w:w="851" w:type="dxa"/>
            <w:shd w:val="clear" w:color="auto" w:fill="C6EFCE"/>
          </w:tcPr>
          <w:p w14:paraId="65DAC869" w14:textId="777F3A69"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Q1</w:t>
            </w:r>
          </w:p>
        </w:tc>
        <w:tc>
          <w:tcPr>
            <w:tcW w:w="708" w:type="dxa"/>
            <w:shd w:val="clear" w:color="auto" w:fill="C6EFCE"/>
          </w:tcPr>
          <w:p w14:paraId="04715A28" w14:textId="66F0BBFD"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2025</w:t>
            </w:r>
          </w:p>
        </w:tc>
        <w:tc>
          <w:tcPr>
            <w:tcW w:w="2268" w:type="dxa"/>
            <w:shd w:val="clear" w:color="auto" w:fill="C6EFCE"/>
          </w:tcPr>
          <w:p w14:paraId="216080AB" w14:textId="12603820"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r>
              <w:rPr>
                <w:rFonts w:ascii="Times New Roman" w:hAnsi="Times New Roman"/>
                <w:noProof/>
                <w:color w:val="000000" w:themeColor="text1"/>
                <w:sz w:val="18"/>
              </w:rPr>
              <w:t xml:space="preserve">Anzahl der unterzeichneten Finanzhilfevereinbarungen. Die Auswahl erfolgt nach festgelegten Auswahlkriterien nach den Grundsätzen der Nichtdiskriminierung und der Transparenz. Mit der </w:t>
            </w:r>
            <w:r>
              <w:rPr>
                <w:rFonts w:ascii="Times New Roman" w:hAnsi="Times New Roman"/>
                <w:noProof/>
                <w:color w:val="000000" w:themeColor="text1"/>
                <w:sz w:val="18"/>
              </w:rPr>
              <w:t>Finanzierung werden Projekte von KMU im Einklang mit den Technischen Leitlinien „Vermeidung erheblicher Beeinträchtigungen“ (2021/C 58/01) durch die Verwendung einer Ausschlussliste finanziert, die sich auf die Entwicklung und Umsetzung oder Anwendung grün</w:t>
            </w:r>
            <w:r>
              <w:rPr>
                <w:rFonts w:ascii="Times New Roman" w:hAnsi="Times New Roman"/>
                <w:noProof/>
                <w:color w:val="000000" w:themeColor="text1"/>
                <w:sz w:val="18"/>
              </w:rPr>
              <w:t>er Industrielösungen beziehen und auf der Grundlage des höchsten Beitrags zu den Zielen (durch messbare und zuverlässige Indikatoren) in einer der folgenden Kategorien ausgewählt werden:</w:t>
            </w:r>
            <w:r>
              <w:rPr>
                <w:noProof/>
              </w:rPr>
              <w:t xml:space="preserve"> </w:t>
            </w:r>
            <w:r>
              <w:rPr>
                <w:noProof/>
              </w:rPr>
              <w:br/>
            </w:r>
            <w:r>
              <w:rPr>
                <w:rFonts w:ascii="Times New Roman" w:hAnsi="Times New Roman"/>
                <w:noProof/>
                <w:color w:val="000000" w:themeColor="text1"/>
                <w:sz w:val="18"/>
              </w:rPr>
              <w:t xml:space="preserve">Verbesserung des Materialmanagements </w:t>
            </w:r>
            <w:r>
              <w:rPr>
                <w:noProof/>
              </w:rPr>
              <w:t xml:space="preserve"> </w:t>
            </w:r>
            <w:r>
              <w:rPr>
                <w:noProof/>
              </w:rPr>
              <w:br/>
              <w:t xml:space="preserve"> </w:t>
            </w:r>
            <w:r>
              <w:rPr>
                <w:rFonts w:ascii="Times New Roman" w:hAnsi="Times New Roman"/>
                <w:noProof/>
                <w:color w:val="000000" w:themeColor="text1"/>
                <w:sz w:val="18"/>
              </w:rPr>
              <w:t>Steigerung der Energieeffizi</w:t>
            </w:r>
            <w:r>
              <w:rPr>
                <w:rFonts w:ascii="Times New Roman" w:hAnsi="Times New Roman"/>
                <w:noProof/>
                <w:color w:val="000000" w:themeColor="text1"/>
                <w:sz w:val="18"/>
              </w:rPr>
              <w:t xml:space="preserve">enz in Produktions- und Betriebsprozessen </w:t>
            </w:r>
            <w:r>
              <w:rPr>
                <w:noProof/>
              </w:rPr>
              <w:t xml:space="preserve"> </w:t>
            </w:r>
            <w:r>
              <w:rPr>
                <w:noProof/>
              </w:rPr>
              <w:br/>
              <w:t xml:space="preserve"> </w:t>
            </w:r>
            <w:r>
              <w:rPr>
                <w:rFonts w:ascii="Times New Roman" w:hAnsi="Times New Roman"/>
                <w:noProof/>
                <w:color w:val="000000" w:themeColor="text1"/>
                <w:sz w:val="18"/>
              </w:rPr>
              <w:t>— Verringerung des Abfallaufkommens aus Produktions- und Betriebsprozessen</w:t>
            </w:r>
            <w:r>
              <w:rPr>
                <w:noProof/>
              </w:rPr>
              <w:t xml:space="preserve"> </w:t>
            </w:r>
            <w:r>
              <w:rPr>
                <w:noProof/>
              </w:rPr>
              <w:br/>
              <w:t xml:space="preserve"> </w:t>
            </w:r>
            <w:r>
              <w:rPr>
                <w:rFonts w:ascii="Times New Roman" w:hAnsi="Times New Roman"/>
                <w:noProof/>
                <w:color w:val="000000" w:themeColor="text1"/>
                <w:sz w:val="18"/>
              </w:rPr>
              <w:t xml:space="preserve">— Wiederverwendung oder Recycling von Abfällen </w:t>
            </w:r>
            <w:r>
              <w:rPr>
                <w:noProof/>
              </w:rPr>
              <w:t xml:space="preserve"> </w:t>
            </w:r>
            <w:r>
              <w:rPr>
                <w:noProof/>
              </w:rPr>
              <w:br/>
              <w:t xml:space="preserve"> </w:t>
            </w:r>
            <w:r>
              <w:rPr>
                <w:rFonts w:ascii="Times New Roman" w:hAnsi="Times New Roman"/>
                <w:noProof/>
                <w:color w:val="000000" w:themeColor="text1"/>
                <w:sz w:val="18"/>
              </w:rPr>
              <w:t xml:space="preserve">— Verringerung der THG-Emissionen aus Produktions- und Betriebsprozessen. </w:t>
            </w:r>
          </w:p>
        </w:tc>
      </w:tr>
      <w:tr w:rsidR="00EB245A" w14:paraId="35963116" w14:textId="77777777" w:rsidTr="00AC1C0A">
        <w:trPr>
          <w:trHeight w:val="313"/>
        </w:trPr>
        <w:tc>
          <w:tcPr>
            <w:tcW w:w="875" w:type="dxa"/>
            <w:shd w:val="clear" w:color="auto" w:fill="C6EFCE"/>
          </w:tcPr>
          <w:p w14:paraId="5AFB958C" w14:textId="401AAF9A"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A32G</w:t>
            </w:r>
          </w:p>
        </w:tc>
        <w:tc>
          <w:tcPr>
            <w:tcW w:w="1984" w:type="dxa"/>
            <w:shd w:val="clear" w:color="auto" w:fill="C6EFCE"/>
          </w:tcPr>
          <w:p w14:paraId="002B5FA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A2.2.1 Investitionen in den Einsatz von Umwelttechnologien und -innovationen, einschließlich solcher im Zusammenhang mit der Kreislaufwirtschaft</w:t>
            </w:r>
          </w:p>
        </w:tc>
        <w:tc>
          <w:tcPr>
            <w:tcW w:w="1276" w:type="dxa"/>
            <w:shd w:val="clear" w:color="auto" w:fill="C6EFCE"/>
          </w:tcPr>
          <w:p w14:paraId="03BE400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2126" w:type="dxa"/>
            <w:shd w:val="clear" w:color="auto" w:fill="C6EFCE"/>
          </w:tcPr>
          <w:p w14:paraId="3D923C19" w14:textId="117C1A7E"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Unterzeichnete Finanzhilfevereinbarungen für Projekte zur Unterstützung der Entwicklung von Technologien, </w:t>
            </w:r>
            <w:r>
              <w:rPr>
                <w:noProof/>
              </w:rPr>
              <w:t>die zur Schaffung eines Marktes für Sekundärrohstoffe beitragen</w:t>
            </w:r>
          </w:p>
        </w:tc>
        <w:tc>
          <w:tcPr>
            <w:tcW w:w="1961" w:type="dxa"/>
            <w:shd w:val="clear" w:color="auto" w:fill="C6EFCE"/>
          </w:tcPr>
          <w:p w14:paraId="566C1BCE"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134" w:type="dxa"/>
            <w:shd w:val="clear" w:color="auto" w:fill="C6EFCE"/>
          </w:tcPr>
          <w:p w14:paraId="62583AF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w:t>
            </w:r>
          </w:p>
        </w:tc>
        <w:tc>
          <w:tcPr>
            <w:tcW w:w="1417" w:type="dxa"/>
            <w:shd w:val="clear" w:color="auto" w:fill="C6EFCE"/>
          </w:tcPr>
          <w:p w14:paraId="3D22F59A"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0</w:t>
            </w:r>
          </w:p>
        </w:tc>
        <w:tc>
          <w:tcPr>
            <w:tcW w:w="709" w:type="dxa"/>
            <w:shd w:val="clear" w:color="auto" w:fill="C6EFCE"/>
          </w:tcPr>
          <w:p w14:paraId="44240AAE"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5</w:t>
            </w:r>
          </w:p>
        </w:tc>
        <w:tc>
          <w:tcPr>
            <w:tcW w:w="851" w:type="dxa"/>
            <w:shd w:val="clear" w:color="auto" w:fill="C6EFCE"/>
          </w:tcPr>
          <w:p w14:paraId="02862E1E" w14:textId="1947AE49"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Q3</w:t>
            </w:r>
          </w:p>
        </w:tc>
        <w:tc>
          <w:tcPr>
            <w:tcW w:w="708" w:type="dxa"/>
            <w:shd w:val="clear" w:color="auto" w:fill="C6EFCE"/>
          </w:tcPr>
          <w:p w14:paraId="5A7F8D70" w14:textId="6DF5DD71"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2025</w:t>
            </w:r>
          </w:p>
        </w:tc>
        <w:tc>
          <w:tcPr>
            <w:tcW w:w="2268" w:type="dxa"/>
            <w:shd w:val="clear" w:color="auto" w:fill="C6EFCE"/>
          </w:tcPr>
          <w:p w14:paraId="3114CBA2" w14:textId="44539EDE" w:rsidR="00EB245A" w:rsidRDefault="006021EE">
            <w:pPr>
              <w:pStyle w:val="P68B1DB1-Normal012"/>
              <w:spacing w:after="0" w:line="240" w:lineRule="auto"/>
              <w:rPr>
                <w:rFonts w:eastAsia="Times New Roman" w:cs="Times New Roman"/>
                <w:noProof/>
              </w:rPr>
            </w:pPr>
            <w:r>
              <w:rPr>
                <w:noProof/>
              </w:rPr>
              <w:t xml:space="preserve">Anzahl der unterzeichneten Finanzhilfevereinbarungen. Die Auswahl erfolgt nach festgelegten Auswahlkriterien nach den Grundsätzen der Nichtdiskriminierung und der </w:t>
            </w:r>
            <w:r>
              <w:rPr>
                <w:noProof/>
              </w:rPr>
              <w:t>Transparenz. Mit der Finanzierung werden Projekte finanziert, die im Einklang mit den Technischen Leitlinien „Vermeidung erheblicher Beeinträchtigungen“ (2021/C 58/01) stehen, und zwar mittels einer Ausschlussliste und im Zusammenhang mit der Verwendung vo</w:t>
            </w:r>
            <w:r>
              <w:rPr>
                <w:noProof/>
              </w:rPr>
              <w:t>n Sekundärrohstoffen, die auf der Grundlage des höchsten Beitrags zu den Zielen (durch messbare und zuverlässige Indikatoren) ausgewählt werden: a) Entwicklung von Abfallumwandlungstechnologien, b) Entwicklung und Umsetzung innovativer Technologien im Bere</w:t>
            </w:r>
            <w:r>
              <w:rPr>
                <w:noProof/>
              </w:rPr>
              <w:t xml:space="preserve">ich der Nutzung von Abfällen als Sekundärrohstoffe, c) Erhöhung der Menge an rezyklierbaren Materialien und Verringerung der Menge der in Produktionsprozessen verwendeten Primärmaterialien, d) Unterstützung wichtiger Gestaltungsprozesse für das Recycling, </w:t>
            </w:r>
            <w:r>
              <w:rPr>
                <w:noProof/>
              </w:rPr>
              <w:t>e) Verlängerung der Lebensdauer von Produkten, f) Verringerung der Menge der auf Deponien abgelagerten Abfälle.</w:t>
            </w:r>
          </w:p>
        </w:tc>
      </w:tr>
      <w:tr w:rsidR="00EB245A" w14:paraId="5D21A457" w14:textId="77777777" w:rsidTr="00AC1C0A">
        <w:trPr>
          <w:trHeight w:val="1485"/>
        </w:trPr>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CD124DB" w14:textId="5ACF7A0A"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A33G</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98F59C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A2.3 Schaffung einer institutionellen und rechtlichen Grundlage für die Entwicklung unbemannter Luftfahrzeuge (UAV)</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48CE1D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Meilenstein</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E1217E4" w14:textId="738482E4"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Inkrafttreten eines Gesetzes zur Änderung des Gesetzes über die polnische Agentur für Flugsicherungsdienste</w:t>
            </w:r>
          </w:p>
        </w:tc>
        <w:tc>
          <w:tcPr>
            <w:tcW w:w="1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6660B89" w14:textId="10A0598F"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Bestimmung im Gesetz zur Änderung des Gesetzes über die polnische Agentur für Flugsicherungsdienste über dessen Inkrafttreten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B36F4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8D17827"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D86C630"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B1CE8F1"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B701714"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E59059" w14:textId="083BEE82"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Mit dem Änderungsgesetz wird der polnischen Agentur für Flugsicherungsdienste (PANSA) das Recht eingeräumt, Beteiligungen an gewerblichen Unternehmen zu halten, und die PANSA oder ihre Tochtergesellschaften ermächtigen, Pilotprojekte zur Unterstützung der </w:t>
            </w:r>
            <w:r>
              <w:rPr>
                <w:noProof/>
              </w:rPr>
              <w:t xml:space="preserve">Umsetzung von Geschäftsmodellen und Diensten auf der Grundlage von UAV durchzuführen. </w:t>
            </w:r>
          </w:p>
        </w:tc>
      </w:tr>
      <w:tr w:rsidR="00EB245A" w14:paraId="20047938" w14:textId="77777777" w:rsidTr="00AC1C0A">
        <w:trPr>
          <w:trHeight w:val="313"/>
        </w:trPr>
        <w:tc>
          <w:tcPr>
            <w:tcW w:w="875" w:type="dxa"/>
            <w:shd w:val="clear" w:color="auto" w:fill="C6EFCE"/>
          </w:tcPr>
          <w:p w14:paraId="61A51A77" w14:textId="6489BC54"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A34G</w:t>
            </w:r>
          </w:p>
        </w:tc>
        <w:tc>
          <w:tcPr>
            <w:tcW w:w="1984" w:type="dxa"/>
            <w:shd w:val="clear" w:color="auto" w:fill="C6EFCE"/>
          </w:tcPr>
          <w:p w14:paraId="6CAE96BB" w14:textId="5D935EA9"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A2.3.1 Entwicklung und Ausrüstung von Kompetenzzentren (Fachausbildungszentren, Zentren zur Unterstützung der Umsetzung, Beobachtungsstellen) und der </w:t>
            </w:r>
            <w:r>
              <w:rPr>
                <w:noProof/>
              </w:rPr>
              <w:t>Managementinfrastruktur für unbemannte Fahrzeuge als Innovationsökosystem</w:t>
            </w:r>
          </w:p>
        </w:tc>
        <w:tc>
          <w:tcPr>
            <w:tcW w:w="1276" w:type="dxa"/>
            <w:shd w:val="clear" w:color="auto" w:fill="C6EFCE"/>
          </w:tcPr>
          <w:p w14:paraId="4C75A79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2126" w:type="dxa"/>
            <w:shd w:val="clear" w:color="auto" w:fill="C6EFCE"/>
          </w:tcPr>
          <w:p w14:paraId="2CFEEA71" w14:textId="5F5ACDD8"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T2 – Lokale Zentren und Infrastrukturen für unbemannte Fahrzeuge, die von lokalen Gebietskörperschaften oder benannten Stellen für den lokalen Betrieb fertiggestellt wurden </w:t>
            </w:r>
          </w:p>
        </w:tc>
        <w:tc>
          <w:tcPr>
            <w:tcW w:w="1961" w:type="dxa"/>
            <w:shd w:val="clear" w:color="auto" w:fill="C6EFCE"/>
          </w:tcPr>
          <w:p w14:paraId="5380F020"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134" w:type="dxa"/>
            <w:shd w:val="clear" w:color="auto" w:fill="C6EFCE"/>
          </w:tcPr>
          <w:p w14:paraId="5D78A289"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w:t>
            </w:r>
            <w:r>
              <w:rPr>
                <w:noProof/>
              </w:rPr>
              <w:t>nzahl</w:t>
            </w:r>
          </w:p>
        </w:tc>
        <w:tc>
          <w:tcPr>
            <w:tcW w:w="1417" w:type="dxa"/>
            <w:shd w:val="clear" w:color="auto" w:fill="C6EFCE"/>
          </w:tcPr>
          <w:p w14:paraId="56C62623" w14:textId="5F7979F4"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1</w:t>
            </w:r>
          </w:p>
        </w:tc>
        <w:tc>
          <w:tcPr>
            <w:tcW w:w="709" w:type="dxa"/>
            <w:shd w:val="clear" w:color="auto" w:fill="C6EFCE"/>
          </w:tcPr>
          <w:p w14:paraId="0B778152"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3</w:t>
            </w:r>
          </w:p>
        </w:tc>
        <w:tc>
          <w:tcPr>
            <w:tcW w:w="851" w:type="dxa"/>
            <w:shd w:val="clear" w:color="auto" w:fill="C6EFCE"/>
          </w:tcPr>
          <w:p w14:paraId="57866098" w14:textId="6639EE2B"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Q3</w:t>
            </w:r>
          </w:p>
        </w:tc>
        <w:tc>
          <w:tcPr>
            <w:tcW w:w="708" w:type="dxa"/>
            <w:shd w:val="clear" w:color="auto" w:fill="C6EFCE"/>
          </w:tcPr>
          <w:p w14:paraId="7DBE2DD7"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2025</w:t>
            </w:r>
          </w:p>
        </w:tc>
        <w:tc>
          <w:tcPr>
            <w:tcW w:w="2268" w:type="dxa"/>
            <w:shd w:val="clear" w:color="auto" w:fill="C6EFCE"/>
          </w:tcPr>
          <w:p w14:paraId="7795C8F3" w14:textId="4E1A2A77"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r>
              <w:rPr>
                <w:rFonts w:ascii="Times New Roman" w:hAnsi="Times New Roman"/>
                <w:noProof/>
                <w:color w:val="000000" w:themeColor="text1"/>
                <w:sz w:val="18"/>
              </w:rPr>
              <w:t xml:space="preserve">Lokale Zentren und/oder Infrastrukturen werden an zwei zusätzlichen Standorten eingerichtet (Einführung). </w:t>
            </w:r>
            <w:r>
              <w:rPr>
                <w:noProof/>
              </w:rPr>
              <w:t xml:space="preserve">  </w:t>
            </w:r>
            <w:r>
              <w:rPr>
                <w:noProof/>
              </w:rPr>
              <w:br/>
            </w:r>
            <w:r>
              <w:rPr>
                <w:rFonts w:ascii="Times New Roman" w:hAnsi="Times New Roman"/>
                <w:noProof/>
                <w:color w:val="000000" w:themeColor="text1"/>
                <w:sz w:val="18"/>
              </w:rPr>
              <w:t xml:space="preserve">Die landesweite Einführung der digitalen Infrastruktur für unbemannte Fahrzeuge muss die stabile, nachhaltige und sichere </w:t>
            </w:r>
            <w:r>
              <w:rPr>
                <w:rFonts w:ascii="Times New Roman" w:hAnsi="Times New Roman"/>
                <w:noProof/>
                <w:color w:val="000000" w:themeColor="text1"/>
                <w:sz w:val="18"/>
              </w:rPr>
              <w:t>Entwicklung von Anwendungen unbemannter Fahrzeuge in verschiedenen Landesteilen ermöglichen und zur Gewährleistung des territorialen Zusammenhalts und der nachhaltigen Entwicklung des Landes beitragen. Die wichtigsten Elemente der Infrastruktur sind terres</w:t>
            </w:r>
            <w:r>
              <w:rPr>
                <w:rFonts w:ascii="Times New Roman" w:hAnsi="Times New Roman"/>
                <w:noProof/>
                <w:color w:val="000000" w:themeColor="text1"/>
                <w:sz w:val="18"/>
              </w:rPr>
              <w:t>trische Infrastruktur, lokale Daten- und Verkehrsmanagementzentren sowie digitale Dienste und Verfahren.</w:t>
            </w:r>
          </w:p>
        </w:tc>
      </w:tr>
      <w:tr w:rsidR="00EB245A" w14:paraId="404BF790" w14:textId="77777777" w:rsidTr="00AC1C0A">
        <w:trPr>
          <w:trHeight w:val="645"/>
        </w:trPr>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E96C845" w14:textId="130AD589"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A35G</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DE1B8D" w14:textId="0D660C50"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A2.3.1 Entwicklung und Ausrüstung von Kompetenzzentren (Fachausbildungszentren, Zentren zur Unterstützung der Umsetzung, Beobachtungsstellen) und</w:t>
            </w:r>
            <w:r>
              <w:rPr>
                <w:noProof/>
              </w:rPr>
              <w:t xml:space="preserve"> der Managementinfrastruktur für unbemannte Fahrzeuge als Innovationsökosystem</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0E0706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76538D8" w14:textId="3C457CFF"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T3 – Lokale Zentren und Infrastrukturen für unbemannte Fahrzeuge, die von lokalen Gebietskörperschaften oder benannten Stellen für den lokalen Betrieb fertiggestellt wurden</w:t>
            </w:r>
            <w:r>
              <w:rPr>
                <w:noProof/>
              </w:rPr>
              <w:t xml:space="preserve"> </w:t>
            </w:r>
          </w:p>
        </w:tc>
        <w:tc>
          <w:tcPr>
            <w:tcW w:w="1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F8C8A50"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08A672B"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A036E3D"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46DE71A"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CF36DD5"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5B6C8C"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03D06D" w14:textId="335B5F3B"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Lokale Zentren und/oder Infrastrukturen werden an sieben zusätzlichen Standorten eingerichtet (Einführung). </w:t>
            </w:r>
          </w:p>
          <w:p w14:paraId="39105912" w14:textId="33D1950A"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Die landesweite Einführung der digitalen Infrastruktur für unbemannte Fahrzeuge muss die stabile, nachhaltige und sichere </w:t>
            </w:r>
            <w:r>
              <w:rPr>
                <w:noProof/>
              </w:rPr>
              <w:t>Entwicklung von Anwendungen unbemannter Fahrzeuge in verschiedenen Landesteilen ermöglichen und zur Gewährleistung des territorialen Zusammenhalts und der nachhaltigen Entwicklung des Landes beitragen. Die wichtigsten Elemente der Infrastruktur sind terres</w:t>
            </w:r>
            <w:r>
              <w:rPr>
                <w:noProof/>
              </w:rPr>
              <w:t>trische Infrastruktur, lokale Daten- und Verkehrsmanagementzentren sowie digitale Dienste und Verfahren.</w:t>
            </w:r>
          </w:p>
        </w:tc>
      </w:tr>
      <w:tr w:rsidR="00EB245A" w14:paraId="085CDD8D" w14:textId="77777777" w:rsidTr="00AC1C0A">
        <w:trPr>
          <w:trHeight w:val="313"/>
        </w:trPr>
        <w:tc>
          <w:tcPr>
            <w:tcW w:w="875" w:type="dxa"/>
            <w:shd w:val="clear" w:color="auto" w:fill="C6EFCE"/>
          </w:tcPr>
          <w:p w14:paraId="245D991A" w14:textId="21AE9547"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A36G</w:t>
            </w:r>
          </w:p>
        </w:tc>
        <w:tc>
          <w:tcPr>
            <w:tcW w:w="1984" w:type="dxa"/>
            <w:shd w:val="clear" w:color="auto" w:fill="C6EFCE"/>
          </w:tcPr>
          <w:p w14:paraId="37D4477A" w14:textId="6BB14720"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A2.3.1 Entwicklung und Ausrüstung von Kompetenzzentren (Fachausbildungszentren, Zentren zur Unterstützung der Umsetzung, Beobachtungsstellen) und</w:t>
            </w:r>
            <w:r>
              <w:rPr>
                <w:noProof/>
              </w:rPr>
              <w:t xml:space="preserve"> der Managementinfrastruktur für unbemannte Fahrzeuge als Innovationsökosystem</w:t>
            </w:r>
          </w:p>
        </w:tc>
        <w:tc>
          <w:tcPr>
            <w:tcW w:w="1276" w:type="dxa"/>
            <w:shd w:val="clear" w:color="auto" w:fill="C6EFCE"/>
          </w:tcPr>
          <w:p w14:paraId="259186C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2126" w:type="dxa"/>
            <w:shd w:val="clear" w:color="auto" w:fill="C6EFCE"/>
          </w:tcPr>
          <w:p w14:paraId="4119A258" w14:textId="7FF33F54"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T1 – Lokale Zentren und Infrastrukturen für unbemannte Fahrzeuge, die von lokalen Gebietskörperschaften oder benannten Stellen für den lokalen Betrieb fertiggestellt wurden</w:t>
            </w:r>
          </w:p>
        </w:tc>
        <w:tc>
          <w:tcPr>
            <w:tcW w:w="1961" w:type="dxa"/>
            <w:shd w:val="clear" w:color="auto" w:fill="C6EFCE"/>
          </w:tcPr>
          <w:p w14:paraId="3CEEED3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134" w:type="dxa"/>
            <w:shd w:val="clear" w:color="auto" w:fill="C6EFCE"/>
          </w:tcPr>
          <w:p w14:paraId="4EE654F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w:t>
            </w:r>
          </w:p>
        </w:tc>
        <w:tc>
          <w:tcPr>
            <w:tcW w:w="1417" w:type="dxa"/>
            <w:shd w:val="clear" w:color="auto" w:fill="C6EFCE"/>
          </w:tcPr>
          <w:p w14:paraId="7A06C686"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0</w:t>
            </w:r>
          </w:p>
        </w:tc>
        <w:tc>
          <w:tcPr>
            <w:tcW w:w="709" w:type="dxa"/>
            <w:shd w:val="clear" w:color="auto" w:fill="C6EFCE"/>
          </w:tcPr>
          <w:p w14:paraId="7144751B" w14:textId="6196B684"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1</w:t>
            </w:r>
          </w:p>
        </w:tc>
        <w:tc>
          <w:tcPr>
            <w:tcW w:w="851" w:type="dxa"/>
            <w:shd w:val="clear" w:color="auto" w:fill="C6EFCE"/>
          </w:tcPr>
          <w:p w14:paraId="0B0E13F4" w14:textId="2BB15311"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Q1</w:t>
            </w:r>
          </w:p>
        </w:tc>
        <w:tc>
          <w:tcPr>
            <w:tcW w:w="708" w:type="dxa"/>
            <w:shd w:val="clear" w:color="auto" w:fill="C6EFCE"/>
          </w:tcPr>
          <w:p w14:paraId="665BC6A2" w14:textId="162A6E18"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2025</w:t>
            </w:r>
          </w:p>
        </w:tc>
        <w:tc>
          <w:tcPr>
            <w:tcW w:w="2268" w:type="dxa"/>
            <w:shd w:val="clear" w:color="auto" w:fill="C6EFCE"/>
          </w:tcPr>
          <w:p w14:paraId="2219E0A3" w14:textId="1E50EFAB"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Lokale Zentren und/oder Infrastrukturen werden am ersten Standort (Einführung) eingerichtet.</w:t>
            </w:r>
          </w:p>
          <w:p w14:paraId="6EB555D6" w14:textId="420287EE"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Die landesweite Einführung der digitalen Infrastruktur für unbemannte Fahrzeuge muss die stabile, nachhaltige und sichere Entwicklung von </w:t>
            </w:r>
            <w:r>
              <w:rPr>
                <w:noProof/>
              </w:rPr>
              <w:t>Anwendungen unbemannter Fahrzeuge in verschiedenen Landesteilen ermöglichen und zur Gewährleistung des territorialen Zusammenhalts und der nachhaltigen Entwicklung des Landes beitragen. Die wichtigsten Elemente der Infrastruktur sind terrestrische Infrastr</w:t>
            </w:r>
            <w:r>
              <w:rPr>
                <w:noProof/>
              </w:rPr>
              <w:t>uktur, lokale Daten- und Verkehrsmanagementzentren sowie digitale Dienste und Verfahren.</w:t>
            </w:r>
          </w:p>
          <w:p w14:paraId="0FAA8801" w14:textId="4220EBBE" w:rsidR="00EB245A" w:rsidRDefault="006021EE">
            <w:pPr>
              <w:pStyle w:val="Normal0"/>
              <w:spacing w:after="0" w:line="240" w:lineRule="auto"/>
              <w:rPr>
                <w:rFonts w:ascii="Times New Roman" w:eastAsia="Times New Roman" w:hAnsi="Times New Roman" w:cs="Times New Roman"/>
                <w:noProof/>
                <w:color w:val="000000" w:themeColor="text1"/>
                <w:sz w:val="18"/>
              </w:rPr>
            </w:pPr>
            <w:r>
              <w:rPr>
                <w:rFonts w:ascii="Times New Roman" w:hAnsi="Times New Roman"/>
                <w:noProof/>
                <w:color w:val="000000" w:themeColor="text1"/>
                <w:sz w:val="18"/>
              </w:rPr>
              <w:t>Der Dienst muss folgende Leistungen erbringen:</w:t>
            </w:r>
            <w:r>
              <w:rPr>
                <w:noProof/>
              </w:rPr>
              <w:t xml:space="preserve">  </w:t>
            </w:r>
            <w:r>
              <w:rPr>
                <w:noProof/>
              </w:rPr>
              <w:br/>
            </w:r>
            <w:r>
              <w:rPr>
                <w:rFonts w:ascii="Times New Roman" w:hAnsi="Times New Roman"/>
                <w:noProof/>
                <w:color w:val="000000" w:themeColor="text1"/>
                <w:sz w:val="18"/>
              </w:rPr>
              <w:t>— autonome Verkehrskoordinierung (mit besonderem Schwerpunkt auf Häfen und Energieinfrastruktur)</w:t>
            </w:r>
            <w:r>
              <w:rPr>
                <w:noProof/>
              </w:rPr>
              <w:t xml:space="preserve"> </w:t>
            </w:r>
            <w:r>
              <w:rPr>
                <w:noProof/>
              </w:rPr>
              <w:br/>
              <w:t xml:space="preserve"> </w:t>
            </w:r>
            <w:r>
              <w:rPr>
                <w:rFonts w:ascii="Times New Roman" w:hAnsi="Times New Roman"/>
                <w:noProof/>
                <w:color w:val="000000" w:themeColor="text1"/>
                <w:sz w:val="18"/>
              </w:rPr>
              <w:t>öffentliche Ordnung</w:t>
            </w:r>
            <w:r>
              <w:rPr>
                <w:rFonts w:ascii="Times New Roman" w:hAnsi="Times New Roman"/>
                <w:noProof/>
                <w:color w:val="000000" w:themeColor="text1"/>
                <w:sz w:val="18"/>
              </w:rPr>
              <w:t xml:space="preserve"> (Sicherheit und Katastrophenschutz)</w:t>
            </w:r>
          </w:p>
          <w:p w14:paraId="42072274" w14:textId="217FBD6B"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p>
          <w:p w14:paraId="6A59A9EC" w14:textId="27AFD972"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Die Auswahl der Bereiche, die für die Erbringung der Dienstleistung in allen Kompetenzzentren vorgesehen sind, richtet sich nach dem Standort und den Besonderheiten des betreffenden Kompetenzzentrums.</w:t>
            </w:r>
          </w:p>
          <w:p w14:paraId="149F41FF" w14:textId="4FB24636"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p>
          <w:p w14:paraId="05A08066" w14:textId="77ED85D1"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Der eingeführte </w:t>
            </w:r>
            <w:r>
              <w:rPr>
                <w:noProof/>
              </w:rPr>
              <w:t>Dienst muss die Standardisierung der Technologie ermöglichen und gesellschaftliche Akzeptanz für die Nutzung unbemannter Fahrzeuge erlangen. Geprüfte und implementierte Dienste für unbemannte Fahrzeuge sind voll funktionsfähige Dienste auf der Grundlage vo</w:t>
            </w:r>
            <w:r>
              <w:rPr>
                <w:noProof/>
              </w:rPr>
              <w:t xml:space="preserve">n Hardware und Software, die den geschäftlichen Bedürfnissen des Empfängers (Nutzers) entsprechen. </w:t>
            </w:r>
          </w:p>
        </w:tc>
      </w:tr>
      <w:tr w:rsidR="00EB245A" w14:paraId="2C49DE4B" w14:textId="77777777" w:rsidTr="00AC1C0A">
        <w:trPr>
          <w:trHeight w:val="313"/>
        </w:trPr>
        <w:tc>
          <w:tcPr>
            <w:tcW w:w="875" w:type="dxa"/>
            <w:shd w:val="clear" w:color="auto" w:fill="C6EFCE"/>
          </w:tcPr>
          <w:p w14:paraId="55739EF0" w14:textId="71DB5DF8"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A38G</w:t>
            </w:r>
          </w:p>
        </w:tc>
        <w:tc>
          <w:tcPr>
            <w:tcW w:w="1984" w:type="dxa"/>
            <w:shd w:val="clear" w:color="auto" w:fill="C6EFCE"/>
          </w:tcPr>
          <w:p w14:paraId="4C3A5E4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A2.4 Stärkung der Mechanismen für die Zusammenarbeit zwischen Wissenschaft und Industrie </w:t>
            </w:r>
          </w:p>
        </w:tc>
        <w:tc>
          <w:tcPr>
            <w:tcW w:w="1276" w:type="dxa"/>
            <w:shd w:val="clear" w:color="auto" w:fill="C6EFCE"/>
          </w:tcPr>
          <w:p w14:paraId="361A6EAE"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Meilenstein</w:t>
            </w:r>
          </w:p>
        </w:tc>
        <w:tc>
          <w:tcPr>
            <w:tcW w:w="2126" w:type="dxa"/>
            <w:shd w:val="clear" w:color="auto" w:fill="C6EFCE"/>
          </w:tcPr>
          <w:p w14:paraId="6F9144B5" w14:textId="4EED4EEB"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Inkrafttreten eines Gesetzes zur Änderung des Gesetzes über Hochschulbildung und Wissenschaft im Hinblick auf den Katalog der Einrichtungen, die gemeinsam mit Hochschulen Zweckgesellschaften schaffen können</w:t>
            </w:r>
          </w:p>
        </w:tc>
        <w:tc>
          <w:tcPr>
            <w:tcW w:w="1961" w:type="dxa"/>
            <w:shd w:val="clear" w:color="auto" w:fill="C6EFCE"/>
          </w:tcPr>
          <w:p w14:paraId="73D6AC87" w14:textId="62CB3702"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Bestimmung im Gesetz zur Änderung des Gesetzes üb</w:t>
            </w:r>
            <w:r>
              <w:rPr>
                <w:noProof/>
              </w:rPr>
              <w:t>er Hochschulbildung und Wissenschaft über sein Inkrafttreten</w:t>
            </w:r>
          </w:p>
        </w:tc>
        <w:tc>
          <w:tcPr>
            <w:tcW w:w="1134" w:type="dxa"/>
            <w:shd w:val="clear" w:color="auto" w:fill="C6EFCE"/>
          </w:tcPr>
          <w:p w14:paraId="4D85598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417" w:type="dxa"/>
            <w:shd w:val="clear" w:color="auto" w:fill="C6EFCE"/>
          </w:tcPr>
          <w:p w14:paraId="6CE2FCB8"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709" w:type="dxa"/>
            <w:shd w:val="clear" w:color="auto" w:fill="C6EFCE"/>
          </w:tcPr>
          <w:p w14:paraId="6A84B78A"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851" w:type="dxa"/>
            <w:shd w:val="clear" w:color="auto" w:fill="C6EFCE"/>
          </w:tcPr>
          <w:p w14:paraId="67A71BBA"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Q1</w:t>
            </w:r>
          </w:p>
        </w:tc>
        <w:tc>
          <w:tcPr>
            <w:tcW w:w="708" w:type="dxa"/>
            <w:shd w:val="clear" w:color="auto" w:fill="C6EFCE"/>
          </w:tcPr>
          <w:p w14:paraId="66B410D7"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2022</w:t>
            </w:r>
          </w:p>
        </w:tc>
        <w:tc>
          <w:tcPr>
            <w:tcW w:w="2268" w:type="dxa"/>
            <w:shd w:val="clear" w:color="auto" w:fill="C6EFCE"/>
          </w:tcPr>
          <w:p w14:paraId="3261A8EE" w14:textId="7A9C7063"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Der Änderungsrechtsakt ermöglicht die Schaffung von Fahrzeugen mit besonderer Zweckbestimmung, die speziell für die Vermarktung von FuE-Ergebnissen ausgelegt sind. Dies dürfte einen interdisziplinären und flexibleren Technologietransfer ermöglichen. </w:t>
            </w:r>
          </w:p>
        </w:tc>
      </w:tr>
      <w:tr w:rsidR="00EB245A" w14:paraId="511DE5DE" w14:textId="77777777" w:rsidTr="00AC1C0A">
        <w:trPr>
          <w:trHeight w:val="20"/>
        </w:trPr>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4397A95" w14:textId="07B0F9E5"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A39G</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57080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A2.4 Stärkung der Mechanismen für die Zusammenarbeit zwischen Wissenschaft und Industrie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0A1709"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Meilenstein</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204E290" w14:textId="2FF31DD5" w:rsidR="00EB245A" w:rsidRDefault="006021EE">
            <w:pPr>
              <w:pStyle w:val="P68B1DB1-Normal012"/>
              <w:spacing w:after="0" w:line="240" w:lineRule="auto"/>
              <w:rPr>
                <w:rFonts w:eastAsia="Times New Roman" w:cs="Times New Roman"/>
                <w:noProof/>
                <w:color w:val="000000" w:themeColor="text1"/>
              </w:rPr>
            </w:pPr>
            <w:r>
              <w:rPr>
                <w:noProof/>
              </w:rPr>
              <w:t>Festlegung von Regeln für die Nutzung von Laboratorien und den Wissenstransfer von Instituten unter der Aufsicht des Ministers für Landwirtschaft und län</w:t>
            </w:r>
            <w:r>
              <w:rPr>
                <w:noProof/>
              </w:rPr>
              <w:t>dliche Entwicklung</w:t>
            </w:r>
          </w:p>
        </w:tc>
        <w:tc>
          <w:tcPr>
            <w:tcW w:w="1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0F72D2F" w14:textId="1CCC4215"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Dokument mit den geltenden Vorschriften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40803B"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ADD6AFE"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BAC30D4"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033E754" w14:textId="53E37FCD"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366D60" w14:textId="59AAC844"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610693A" w14:textId="0523C1DA"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Die Regeln für die Nutzung von Laboratorien und den Wissenstransfer legen die Verfahren für die Nutzung der Forschungsinfrastruktur im Rahmen der Zusammenarbeit zwischen </w:t>
            </w:r>
            <w:r>
              <w:rPr>
                <w:noProof/>
              </w:rPr>
              <w:t xml:space="preserve">Wissenschaft, Wissenschaft und Wirtschaft fest. Die Bestimmungen entsprechen den Grundsätzen der Nichtdiskriminierung und der Transparenz. </w:t>
            </w:r>
          </w:p>
          <w:p w14:paraId="233E0C49" w14:textId="23CB372C"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tc>
      </w:tr>
      <w:tr w:rsidR="00EB245A" w14:paraId="14CEA888" w14:textId="77777777" w:rsidTr="00AC1C0A">
        <w:trPr>
          <w:trHeight w:val="313"/>
        </w:trPr>
        <w:tc>
          <w:tcPr>
            <w:tcW w:w="875" w:type="dxa"/>
            <w:shd w:val="clear" w:color="auto" w:fill="C6EFCE"/>
          </w:tcPr>
          <w:p w14:paraId="28E52AA1" w14:textId="2B6F70FA"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A40G</w:t>
            </w:r>
          </w:p>
        </w:tc>
        <w:tc>
          <w:tcPr>
            <w:tcW w:w="1984" w:type="dxa"/>
            <w:shd w:val="clear" w:color="auto" w:fill="C6EFCE"/>
          </w:tcPr>
          <w:p w14:paraId="0BF6A7B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A2.4.1 Investitionen in die Entwicklung von Forschungskapazitäten </w:t>
            </w:r>
          </w:p>
        </w:tc>
        <w:tc>
          <w:tcPr>
            <w:tcW w:w="1276" w:type="dxa"/>
            <w:shd w:val="clear" w:color="auto" w:fill="C6EFCE"/>
          </w:tcPr>
          <w:p w14:paraId="23EA09AB"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2126" w:type="dxa"/>
            <w:shd w:val="clear" w:color="auto" w:fill="C6EFCE"/>
          </w:tcPr>
          <w:p w14:paraId="7B922D2C" w14:textId="36042CCA"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Laboratorien mit moderner Forschungs- und Analyseinfrastruktur in Einrichtungen, die dem Ministerium für Wissenschaft und Hochschulbildung und dem Ministerium für Landwirtschaft und ländliche Entwicklung unterstellt sind </w:t>
            </w:r>
          </w:p>
        </w:tc>
        <w:tc>
          <w:tcPr>
            <w:tcW w:w="1961" w:type="dxa"/>
            <w:shd w:val="clear" w:color="auto" w:fill="C6EFCE"/>
          </w:tcPr>
          <w:p w14:paraId="15B3EB6E"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134" w:type="dxa"/>
            <w:shd w:val="clear" w:color="auto" w:fill="C6EFCE"/>
          </w:tcPr>
          <w:p w14:paraId="4EEC6AC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w:t>
            </w:r>
          </w:p>
        </w:tc>
        <w:tc>
          <w:tcPr>
            <w:tcW w:w="1417" w:type="dxa"/>
            <w:shd w:val="clear" w:color="auto" w:fill="C6EFCE"/>
          </w:tcPr>
          <w:p w14:paraId="0CF44D54"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0</w:t>
            </w:r>
          </w:p>
        </w:tc>
        <w:tc>
          <w:tcPr>
            <w:tcW w:w="709" w:type="dxa"/>
            <w:shd w:val="clear" w:color="auto" w:fill="C6EFCE"/>
          </w:tcPr>
          <w:p w14:paraId="6DDB914C" w14:textId="59370471" w:rsidR="00EB245A" w:rsidRDefault="006021EE">
            <w:pPr>
              <w:pStyle w:val="P68B1DB1-Normal012"/>
              <w:spacing w:after="0" w:line="240" w:lineRule="auto"/>
              <w:jc w:val="right"/>
              <w:rPr>
                <w:rFonts w:eastAsia="Times New Roman" w:cs="Times New Roman"/>
                <w:noProof/>
              </w:rPr>
            </w:pPr>
            <w:r>
              <w:rPr>
                <w:noProof/>
              </w:rPr>
              <w:t>48</w:t>
            </w:r>
          </w:p>
        </w:tc>
        <w:tc>
          <w:tcPr>
            <w:tcW w:w="851" w:type="dxa"/>
            <w:shd w:val="clear" w:color="auto" w:fill="C6EFCE"/>
          </w:tcPr>
          <w:p w14:paraId="68967742" w14:textId="2EB252B2"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Q2</w:t>
            </w:r>
          </w:p>
        </w:tc>
        <w:tc>
          <w:tcPr>
            <w:tcW w:w="708" w:type="dxa"/>
            <w:shd w:val="clear" w:color="auto" w:fill="C6EFCE"/>
          </w:tcPr>
          <w:p w14:paraId="6D5FC6E2" w14:textId="0A1B42DF"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2026</w:t>
            </w:r>
          </w:p>
        </w:tc>
        <w:tc>
          <w:tcPr>
            <w:tcW w:w="2268" w:type="dxa"/>
            <w:shd w:val="clear" w:color="auto" w:fill="C6EFCE"/>
          </w:tcPr>
          <w:p w14:paraId="6C5CA147" w14:textId="47BEA788"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Bau und </w:t>
            </w:r>
            <w:r>
              <w:rPr>
                <w:noProof/>
              </w:rPr>
              <w:t>Modernisierung von Laboratorien und Erwerb mobiler Laboratorien durch Einrichtungen, die dem Ministerium für Wissenschaft und Hochschulbildung, dem Ministerium für Landwirtschaft und ländliche Entwicklung und der Hauptinspektion für Agrar- und Lebensmittel</w:t>
            </w:r>
            <w:r>
              <w:rPr>
                <w:noProof/>
              </w:rPr>
              <w:t xml:space="preserve">qualität unterstehen, im Zusammenhang mit den Zielen. </w:t>
            </w:r>
          </w:p>
        </w:tc>
      </w:tr>
    </w:tbl>
    <w:p w14:paraId="39B166E1" w14:textId="5D17CD36" w:rsidR="00EB245A" w:rsidRDefault="00EB245A">
      <w:pPr>
        <w:rPr>
          <w:noProof/>
        </w:rPr>
      </w:pPr>
    </w:p>
    <w:p w14:paraId="2B269B4E" w14:textId="77777777" w:rsidR="00EB245A" w:rsidRDefault="006021EE">
      <w:pPr>
        <w:rPr>
          <w:rFonts w:ascii="Times New Roman" w:eastAsia="Times New Roman" w:hAnsi="Times New Roman" w:cs="Times New Roman"/>
          <w:noProof/>
          <w:color w:val="000000"/>
          <w:sz w:val="24"/>
        </w:rPr>
        <w:sectPr w:rsidR="00EB245A" w:rsidSect="005E6922">
          <w:headerReference w:type="even" r:id="rId25"/>
          <w:headerReference w:type="default" r:id="rId26"/>
          <w:footerReference w:type="even" r:id="rId27"/>
          <w:footerReference w:type="default" r:id="rId28"/>
          <w:headerReference w:type="first" r:id="rId29"/>
          <w:footerReference w:type="first" r:id="rId30"/>
          <w:pgSz w:w="16839" w:h="11907" w:orient="landscape"/>
          <w:pgMar w:top="1134" w:right="1134" w:bottom="1134" w:left="1134" w:header="567" w:footer="567" w:gutter="0"/>
          <w:cols w:space="720"/>
          <w:docGrid w:linePitch="299"/>
        </w:sectPr>
      </w:pPr>
      <w:r>
        <w:rPr>
          <w:noProof/>
        </w:rPr>
        <w:br w:type="page"/>
      </w:r>
    </w:p>
    <w:p w14:paraId="0F3CABC7" w14:textId="07118664" w:rsidR="00EB245A" w:rsidRDefault="006021EE">
      <w:pPr>
        <w:pStyle w:val="P68B1DB1-Normal14"/>
        <w:rPr>
          <w:rFonts w:eastAsia="Times New Roman" w:cs="Times New Roman"/>
          <w:noProof/>
        </w:rPr>
      </w:pPr>
      <w:r>
        <w:rPr>
          <w:noProof/>
        </w:rPr>
        <w:t>A3 – BILDUNG</w:t>
      </w:r>
    </w:p>
    <w:tbl>
      <w:tblPr>
        <w:tblW w:w="15456" w:type="dxa"/>
        <w:tblInd w:w="-2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678"/>
        <w:gridCol w:w="1830"/>
        <w:gridCol w:w="1183"/>
        <w:gridCol w:w="1914"/>
        <w:gridCol w:w="1914"/>
        <w:gridCol w:w="1134"/>
        <w:gridCol w:w="1417"/>
        <w:gridCol w:w="709"/>
        <w:gridCol w:w="992"/>
        <w:gridCol w:w="992"/>
        <w:gridCol w:w="2693"/>
      </w:tblGrid>
      <w:tr w:rsidR="00EB245A" w14:paraId="5DB7E30A" w14:textId="77777777" w:rsidTr="008127B9">
        <w:trPr>
          <w:trHeight w:val="747"/>
          <w:tblHeader/>
        </w:trPr>
        <w:tc>
          <w:tcPr>
            <w:tcW w:w="6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3D95B83F" w14:textId="541FC578"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Lfd. Nr. Nr.</w:t>
            </w:r>
          </w:p>
        </w:tc>
        <w:tc>
          <w:tcPr>
            <w:tcW w:w="18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71CBA817"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Verbundene Maßnahme (Reform oder Investition)</w:t>
            </w:r>
          </w:p>
        </w:tc>
        <w:tc>
          <w:tcPr>
            <w:tcW w:w="11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099D9751"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Etappenziel/Zielwert</w:t>
            </w:r>
          </w:p>
        </w:tc>
        <w:tc>
          <w:tcPr>
            <w:tcW w:w="19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5D4478A0"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Namen</w:t>
            </w:r>
          </w:p>
        </w:tc>
        <w:tc>
          <w:tcPr>
            <w:tcW w:w="19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4D250AFF" w14:textId="77777777" w:rsidR="00EB245A" w:rsidRDefault="006021EE">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rPr>
            </w:pPr>
            <w:r>
              <w:rPr>
                <w:rFonts w:ascii="Times New Roman" w:hAnsi="Times New Roman"/>
                <w:b/>
                <w:noProof/>
                <w:color w:val="000000" w:themeColor="text1"/>
                <w:sz w:val="18"/>
              </w:rPr>
              <w:t>Etappenziel/Zielwert</w:t>
            </w:r>
            <w:r>
              <w:rPr>
                <w:noProof/>
              </w:rPr>
              <w:t xml:space="preserve">  </w:t>
            </w:r>
            <w:r>
              <w:rPr>
                <w:noProof/>
              </w:rPr>
              <w:br/>
            </w:r>
            <w:r>
              <w:rPr>
                <w:rFonts w:ascii="Times New Roman" w:hAnsi="Times New Roman"/>
                <w:b/>
                <w:noProof/>
                <w:color w:val="000000" w:themeColor="text1"/>
                <w:sz w:val="18"/>
              </w:rPr>
              <w:t xml:space="preserve">(für </w:t>
            </w:r>
            <w:r>
              <w:rPr>
                <w:rFonts w:ascii="Times New Roman" w:hAnsi="Times New Roman"/>
                <w:b/>
                <w:noProof/>
                <w:color w:val="000000" w:themeColor="text1"/>
                <w:sz w:val="18"/>
              </w:rPr>
              <w:t>Etappenziele)</w:t>
            </w:r>
          </w:p>
        </w:tc>
        <w:tc>
          <w:tcPr>
            <w:tcW w:w="3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5DABBEB4" w14:textId="77777777" w:rsidR="00EB245A" w:rsidRDefault="006021EE">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rPr>
            </w:pPr>
            <w:r>
              <w:rPr>
                <w:rFonts w:ascii="Times New Roman" w:hAnsi="Times New Roman"/>
                <w:b/>
                <w:noProof/>
                <w:color w:val="000000" w:themeColor="text1"/>
                <w:sz w:val="18"/>
              </w:rPr>
              <w:t>Qualitative Indikatoren (für Etappenziele)</w:t>
            </w:r>
            <w:r>
              <w:rPr>
                <w:noProof/>
              </w:rPr>
              <w:t xml:space="preserve">  </w:t>
            </w:r>
            <w:r>
              <w:rPr>
                <w:noProof/>
              </w:rPr>
              <w:br/>
            </w:r>
            <w:r>
              <w:rPr>
                <w:rFonts w:ascii="Times New Roman" w:hAnsi="Times New Roman"/>
                <w:b/>
                <w:noProof/>
                <w:color w:val="000000" w:themeColor="text1"/>
                <w:sz w:val="18"/>
              </w:rPr>
              <w:t>(für Ziele)</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48F741BE"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 xml:space="preserve">Vorläufiger Zeitplan für die Fertigstellung </w:t>
            </w:r>
          </w:p>
        </w:tc>
        <w:tc>
          <w:tcPr>
            <w:tcW w:w="26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7DF1CA4F"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Beschreibung der einzelnen Etappenziele und Zielvorgaben</w:t>
            </w:r>
          </w:p>
        </w:tc>
      </w:tr>
      <w:tr w:rsidR="00EB245A" w14:paraId="518D90CE" w14:textId="77777777" w:rsidTr="008127B9">
        <w:trPr>
          <w:trHeight w:val="647"/>
        </w:trPr>
        <w:tc>
          <w:tcPr>
            <w:tcW w:w="678" w:type="dxa"/>
            <w:vMerge/>
            <w:vAlign w:val="center"/>
          </w:tcPr>
          <w:p w14:paraId="5B08B5D1"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830" w:type="dxa"/>
            <w:vMerge/>
            <w:vAlign w:val="center"/>
          </w:tcPr>
          <w:p w14:paraId="16DEB4AB"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183" w:type="dxa"/>
            <w:vMerge/>
            <w:vAlign w:val="center"/>
          </w:tcPr>
          <w:p w14:paraId="0AD9C6F4"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914" w:type="dxa"/>
            <w:vMerge/>
            <w:vAlign w:val="center"/>
          </w:tcPr>
          <w:p w14:paraId="4B1F511A"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914" w:type="dxa"/>
            <w:vMerge/>
            <w:vAlign w:val="center"/>
          </w:tcPr>
          <w:p w14:paraId="65F9C3DC"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134" w:type="dxa"/>
            <w:tcBorders>
              <w:bottom w:val="single" w:sz="4" w:space="0" w:color="auto"/>
            </w:tcBorders>
            <w:shd w:val="clear" w:color="auto" w:fill="BDD7EE"/>
            <w:vAlign w:val="center"/>
          </w:tcPr>
          <w:p w14:paraId="09FB281A"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Maßeinheit</w:t>
            </w:r>
          </w:p>
        </w:tc>
        <w:tc>
          <w:tcPr>
            <w:tcW w:w="1417" w:type="dxa"/>
            <w:tcBorders>
              <w:bottom w:val="single" w:sz="4" w:space="0" w:color="auto"/>
            </w:tcBorders>
            <w:shd w:val="clear" w:color="auto" w:fill="BDD7EE"/>
            <w:vAlign w:val="center"/>
          </w:tcPr>
          <w:p w14:paraId="2D96705B"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 xml:space="preserve">Ausgangslage </w:t>
            </w:r>
          </w:p>
        </w:tc>
        <w:tc>
          <w:tcPr>
            <w:tcW w:w="709" w:type="dxa"/>
            <w:tcBorders>
              <w:bottom w:val="single" w:sz="4" w:space="0" w:color="auto"/>
            </w:tcBorders>
            <w:shd w:val="clear" w:color="auto" w:fill="BDD7EE"/>
            <w:vAlign w:val="center"/>
          </w:tcPr>
          <w:p w14:paraId="642BD0C5"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Ziel</w:t>
            </w:r>
          </w:p>
        </w:tc>
        <w:tc>
          <w:tcPr>
            <w:tcW w:w="992" w:type="dxa"/>
            <w:tcBorders>
              <w:bottom w:val="single" w:sz="4" w:space="0" w:color="auto"/>
            </w:tcBorders>
            <w:shd w:val="clear" w:color="auto" w:fill="BDD7EE"/>
            <w:vAlign w:val="center"/>
          </w:tcPr>
          <w:p w14:paraId="4B1A6FAE"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Viertel</w:t>
            </w:r>
          </w:p>
        </w:tc>
        <w:tc>
          <w:tcPr>
            <w:tcW w:w="992" w:type="dxa"/>
            <w:tcBorders>
              <w:bottom w:val="single" w:sz="4" w:space="0" w:color="auto"/>
            </w:tcBorders>
            <w:shd w:val="clear" w:color="auto" w:fill="BDD7EE"/>
            <w:vAlign w:val="center"/>
          </w:tcPr>
          <w:p w14:paraId="3C34323D"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Jahre</w:t>
            </w:r>
          </w:p>
        </w:tc>
        <w:tc>
          <w:tcPr>
            <w:tcW w:w="2693" w:type="dxa"/>
            <w:vMerge/>
            <w:vAlign w:val="center"/>
          </w:tcPr>
          <w:p w14:paraId="5023141B"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r>
      <w:tr w:rsidR="00EB245A" w14:paraId="44378DEC" w14:textId="77777777" w:rsidTr="008127B9">
        <w:trPr>
          <w:trHeight w:val="313"/>
        </w:trPr>
        <w:tc>
          <w:tcPr>
            <w:tcW w:w="678" w:type="dxa"/>
            <w:tcBorders>
              <w:top w:val="single" w:sz="4" w:space="0" w:color="auto"/>
              <w:left w:val="single" w:sz="4" w:space="0" w:color="auto"/>
              <w:bottom w:val="single" w:sz="4" w:space="0" w:color="auto"/>
              <w:right w:val="single" w:sz="4" w:space="0" w:color="auto"/>
            </w:tcBorders>
            <w:shd w:val="clear" w:color="auto" w:fill="C6EFCE"/>
          </w:tcPr>
          <w:p w14:paraId="6089FD39" w14:textId="2E13450F" w:rsidR="00EB245A" w:rsidRDefault="006021EE">
            <w:pPr>
              <w:pStyle w:val="P68B1DB1-Normal011"/>
              <w:pBdr>
                <w:top w:val="nil"/>
                <w:left w:val="nil"/>
                <w:bottom w:val="nil"/>
                <w:right w:val="nil"/>
                <w:between w:val="nil"/>
              </w:pBdr>
              <w:spacing w:after="0" w:line="240" w:lineRule="auto"/>
              <w:jc w:val="center"/>
              <w:rPr>
                <w:rFonts w:eastAsia="Times New Roman" w:cs="Times New Roman"/>
                <w:b/>
                <w:noProof/>
                <w:color w:val="000000"/>
              </w:rPr>
            </w:pPr>
            <w:r>
              <w:rPr>
                <w:noProof/>
              </w:rPr>
              <w:t>A41G</w:t>
            </w:r>
          </w:p>
        </w:tc>
        <w:tc>
          <w:tcPr>
            <w:tcW w:w="1830" w:type="dxa"/>
            <w:tcBorders>
              <w:top w:val="single" w:sz="4" w:space="0" w:color="auto"/>
              <w:left w:val="single" w:sz="4" w:space="0" w:color="auto"/>
              <w:bottom w:val="single" w:sz="4" w:space="0" w:color="auto"/>
              <w:right w:val="single" w:sz="4" w:space="0" w:color="auto"/>
            </w:tcBorders>
            <w:shd w:val="clear" w:color="auto" w:fill="C6EFCE"/>
          </w:tcPr>
          <w:p w14:paraId="327635E3" w14:textId="445BB4B2"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A3.1 Arbeitskräfte für die</w:t>
            </w:r>
            <w:r>
              <w:rPr>
                <w:noProof/>
              </w:rPr>
              <w:t xml:space="preserve"> moderne Wirtschaft: Verbesserung der Abstimmung von Kompetenzen und Qualifikationen auf die Anforderungen des Arbeitsmarkts aufgrund der Einführung neuer Technologien in der Wirtschaft und des ökologischen und digitalen Wandels</w:t>
            </w:r>
          </w:p>
        </w:tc>
        <w:tc>
          <w:tcPr>
            <w:tcW w:w="1183" w:type="dxa"/>
            <w:tcBorders>
              <w:top w:val="single" w:sz="4" w:space="0" w:color="auto"/>
              <w:left w:val="single" w:sz="4" w:space="0" w:color="auto"/>
              <w:bottom w:val="single" w:sz="4" w:space="0" w:color="auto"/>
              <w:right w:val="single" w:sz="4" w:space="0" w:color="auto"/>
            </w:tcBorders>
            <w:shd w:val="clear" w:color="auto" w:fill="C6EFCE"/>
          </w:tcPr>
          <w:p w14:paraId="6A2DFA3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Meilenstein</w:t>
            </w:r>
          </w:p>
        </w:tc>
        <w:tc>
          <w:tcPr>
            <w:tcW w:w="1914" w:type="dxa"/>
            <w:tcBorders>
              <w:top w:val="single" w:sz="4" w:space="0" w:color="auto"/>
              <w:left w:val="single" w:sz="4" w:space="0" w:color="auto"/>
              <w:bottom w:val="single" w:sz="4" w:space="0" w:color="auto"/>
              <w:right w:val="single" w:sz="4" w:space="0" w:color="auto"/>
            </w:tcBorders>
            <w:shd w:val="clear" w:color="auto" w:fill="C6EFCE"/>
          </w:tcPr>
          <w:p w14:paraId="581A0D69" w14:textId="77777777" w:rsidR="00EB245A" w:rsidRDefault="006021EE">
            <w:pPr>
              <w:pStyle w:val="P68B1DB1-Normal012"/>
              <w:pBdr>
                <w:top w:val="nil"/>
                <w:left w:val="nil"/>
                <w:bottom w:val="nil"/>
                <w:right w:val="nil"/>
                <w:between w:val="nil"/>
              </w:pBdr>
              <w:spacing w:after="0" w:line="240" w:lineRule="auto"/>
              <w:rPr>
                <w:noProof/>
                <w:color w:val="000000" w:themeColor="text1"/>
              </w:rPr>
            </w:pPr>
            <w:r>
              <w:rPr>
                <w:noProof/>
              </w:rPr>
              <w:t>Inkrafttreten d</w:t>
            </w:r>
            <w:r>
              <w:rPr>
                <w:noProof/>
              </w:rPr>
              <w:t>es Gesetzes zur Änderung des Bildungsgesetzes, mit dem der Rechtsrahmen für das Netz sektoraler Kompetenzzentren geschaffen und gezielte Weiterbildungs- und Umschulungsmaßnahmen bereitgestellt werden, die für den Arbeitsmarktbedarf von großer Bedeutung sin</w:t>
            </w:r>
            <w:r>
              <w:rPr>
                <w:noProof/>
              </w:rPr>
              <w:t>d</w:t>
            </w:r>
          </w:p>
          <w:p w14:paraId="50214FCD" w14:textId="77777777" w:rsidR="00EB245A" w:rsidRDefault="00EB245A">
            <w:pPr>
              <w:rPr>
                <w:noProof/>
              </w:rPr>
            </w:pPr>
          </w:p>
          <w:p w14:paraId="6554D13F" w14:textId="77777777" w:rsidR="00EB245A" w:rsidRDefault="00EB245A">
            <w:pPr>
              <w:rPr>
                <w:noProof/>
              </w:rPr>
            </w:pPr>
          </w:p>
          <w:p w14:paraId="63A32CDF" w14:textId="77777777" w:rsidR="00EB245A" w:rsidRDefault="00EB245A">
            <w:pPr>
              <w:rPr>
                <w:noProof/>
              </w:rPr>
            </w:pPr>
          </w:p>
          <w:p w14:paraId="61B33C97" w14:textId="77777777" w:rsidR="00EB245A" w:rsidRDefault="00EB245A">
            <w:pPr>
              <w:rPr>
                <w:noProof/>
              </w:rPr>
            </w:pPr>
          </w:p>
          <w:p w14:paraId="0A9130CB" w14:textId="77777777" w:rsidR="00EB245A" w:rsidRDefault="00EB245A">
            <w:pPr>
              <w:rPr>
                <w:noProof/>
              </w:rPr>
            </w:pPr>
          </w:p>
          <w:p w14:paraId="2D666844" w14:textId="77777777" w:rsidR="00EB245A" w:rsidRDefault="00EB245A">
            <w:pPr>
              <w:rPr>
                <w:noProof/>
              </w:rPr>
            </w:pPr>
          </w:p>
          <w:p w14:paraId="36A4AABD" w14:textId="77777777" w:rsidR="00EB245A" w:rsidRDefault="00EB245A">
            <w:pPr>
              <w:rPr>
                <w:noProof/>
              </w:rPr>
            </w:pPr>
          </w:p>
          <w:p w14:paraId="616618D4" w14:textId="77777777" w:rsidR="00EB245A" w:rsidRDefault="00EB245A">
            <w:pPr>
              <w:rPr>
                <w:noProof/>
              </w:rPr>
            </w:pPr>
          </w:p>
          <w:p w14:paraId="5F2FEDC2" w14:textId="77777777" w:rsidR="00EB245A" w:rsidRDefault="00EB245A">
            <w:pPr>
              <w:rPr>
                <w:rFonts w:ascii="Times New Roman" w:hAnsi="Times New Roman"/>
                <w:noProof/>
                <w:color w:val="000000" w:themeColor="text1"/>
                <w:sz w:val="18"/>
              </w:rPr>
            </w:pPr>
          </w:p>
          <w:p w14:paraId="254EB695" w14:textId="77777777" w:rsidR="00EB245A" w:rsidRDefault="00EB245A">
            <w:pPr>
              <w:ind w:firstLine="720"/>
              <w:rPr>
                <w:noProof/>
              </w:rPr>
            </w:pPr>
          </w:p>
          <w:p w14:paraId="6D46D02A" w14:textId="29BB306E" w:rsidR="00EB245A" w:rsidRDefault="00EB245A">
            <w:pPr>
              <w:rPr>
                <w:noProof/>
              </w:rPr>
            </w:pPr>
          </w:p>
        </w:tc>
        <w:tc>
          <w:tcPr>
            <w:tcW w:w="1914" w:type="dxa"/>
            <w:tcBorders>
              <w:top w:val="single" w:sz="4" w:space="0" w:color="auto"/>
              <w:left w:val="single" w:sz="4" w:space="0" w:color="auto"/>
              <w:bottom w:val="single" w:sz="4" w:space="0" w:color="auto"/>
              <w:right w:val="single" w:sz="4" w:space="0" w:color="auto"/>
            </w:tcBorders>
            <w:shd w:val="clear" w:color="auto" w:fill="C6EFCE"/>
          </w:tcPr>
          <w:p w14:paraId="1EF1FA09" w14:textId="36E1A423"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Bestimmung im Gesetz zur Änderung des Bildungsgesetzes, aus der dessen Inkrafttreten hervorgeht </w:t>
            </w:r>
          </w:p>
        </w:tc>
        <w:tc>
          <w:tcPr>
            <w:tcW w:w="1134" w:type="dxa"/>
            <w:tcBorders>
              <w:top w:val="single" w:sz="4" w:space="0" w:color="auto"/>
              <w:left w:val="single" w:sz="4" w:space="0" w:color="auto"/>
              <w:bottom w:val="single" w:sz="4" w:space="0" w:color="auto"/>
              <w:right w:val="single" w:sz="4" w:space="0" w:color="auto"/>
            </w:tcBorders>
            <w:shd w:val="clear" w:color="auto" w:fill="C6EFCE"/>
          </w:tcPr>
          <w:p w14:paraId="42CAE14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C6EFCE"/>
          </w:tcPr>
          <w:p w14:paraId="1AF05E09"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C6EFCE"/>
          </w:tcPr>
          <w:p w14:paraId="6BF368CB"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C6EFCE"/>
          </w:tcPr>
          <w:p w14:paraId="7A8F9DAC"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Q3</w:t>
            </w:r>
          </w:p>
        </w:tc>
        <w:tc>
          <w:tcPr>
            <w:tcW w:w="992" w:type="dxa"/>
            <w:tcBorders>
              <w:top w:val="single" w:sz="4" w:space="0" w:color="auto"/>
              <w:left w:val="single" w:sz="4" w:space="0" w:color="auto"/>
              <w:bottom w:val="single" w:sz="4" w:space="0" w:color="auto"/>
              <w:right w:val="single" w:sz="4" w:space="0" w:color="auto"/>
            </w:tcBorders>
            <w:shd w:val="clear" w:color="auto" w:fill="C6EFCE"/>
          </w:tcPr>
          <w:p w14:paraId="229ACA2A"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2023</w:t>
            </w:r>
          </w:p>
        </w:tc>
        <w:tc>
          <w:tcPr>
            <w:tcW w:w="2693" w:type="dxa"/>
            <w:tcBorders>
              <w:top w:val="single" w:sz="4" w:space="0" w:color="auto"/>
              <w:left w:val="single" w:sz="4" w:space="0" w:color="auto"/>
              <w:bottom w:val="single" w:sz="4" w:space="0" w:color="auto"/>
              <w:right w:val="single" w:sz="4" w:space="0" w:color="auto"/>
            </w:tcBorders>
            <w:shd w:val="clear" w:color="auto" w:fill="C6EFCE"/>
          </w:tcPr>
          <w:p w14:paraId="08824C8E" w14:textId="28E423E5"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Mit der Reform des Bildungsgesetzes wird nach Durchführbarkeitsstudien und einem Überprüfungsprozess in enger Zusammenarbeit mit den</w:t>
            </w:r>
            <w:r>
              <w:rPr>
                <w:noProof/>
              </w:rPr>
              <w:t xml:space="preserve"> Sozialpartnern, regionalen Behörden, Sektoren und anderen Interessenträgern der Rechtsrahmen für das Netz sektoraler Kompetenzzentren geschaffen, mit dem gezielte Weiterqualifizierungs- und Umschulungsmaßnahmen, die für die Bedürfnisse des Arbeitsmarkts v</w:t>
            </w:r>
            <w:r>
              <w:rPr>
                <w:noProof/>
              </w:rPr>
              <w:t xml:space="preserve">on großer Bedeutung sind, bereitgestellt werden, um das System der beruflichen Aus- und Weiterbildung durch gezieltere sektorale Bildungszentren zu verbessern und die Bildung besser mit dem Bedarf des Arbeitsmarktes zu verknüpfen. </w:t>
            </w:r>
          </w:p>
          <w:p w14:paraId="5341CC27" w14:textId="77777777" w:rsidR="00EB245A" w:rsidRDefault="00EB245A">
            <w:pPr>
              <w:pStyle w:val="Normal0"/>
              <w:pBdr>
                <w:top w:val="nil"/>
                <w:left w:val="nil"/>
                <w:bottom w:val="nil"/>
                <w:right w:val="nil"/>
                <w:between w:val="nil"/>
              </w:pBdr>
              <w:spacing w:after="0" w:line="240" w:lineRule="auto"/>
              <w:rPr>
                <w:noProof/>
              </w:rPr>
            </w:pPr>
          </w:p>
          <w:p w14:paraId="3B588C88" w14:textId="16B9D0B0"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r w:rsidRPr="008127B9">
              <w:rPr>
                <w:rFonts w:ascii="Times New Roman" w:hAnsi="Times New Roman" w:cs="Times New Roman"/>
                <w:noProof/>
                <w:sz w:val="18"/>
                <w:szCs w:val="18"/>
              </w:rPr>
              <w:t>Das Bildungsgesetz in d</w:t>
            </w:r>
            <w:r w:rsidRPr="008127B9">
              <w:rPr>
                <w:rFonts w:ascii="Times New Roman" w:hAnsi="Times New Roman" w:cs="Times New Roman"/>
                <w:noProof/>
                <w:sz w:val="18"/>
                <w:szCs w:val="18"/>
              </w:rPr>
              <w:t>er durch das Änderungsgesetz geänderten Fassung</w:t>
            </w:r>
            <w:r>
              <w:rPr>
                <w:rFonts w:ascii="Times New Roman" w:hAnsi="Times New Roman"/>
                <w:noProof/>
                <w:color w:val="000000" w:themeColor="text1"/>
                <w:sz w:val="18"/>
              </w:rPr>
              <w:t xml:space="preserve"> </w:t>
            </w:r>
            <w:r>
              <w:rPr>
                <w:noProof/>
              </w:rPr>
              <w:t xml:space="preserve">  </w:t>
            </w:r>
            <w:r>
              <w:rPr>
                <w:noProof/>
              </w:rPr>
              <w:br/>
            </w:r>
            <w:r>
              <w:rPr>
                <w:rFonts w:ascii="Times New Roman" w:hAnsi="Times New Roman"/>
                <w:noProof/>
                <w:color w:val="000000" w:themeColor="text1"/>
                <w:sz w:val="18"/>
              </w:rPr>
              <w:t xml:space="preserve">— Einen Entwicklungsplan für das Netz der Kompetenzzentren vorsehen; </w:t>
            </w:r>
            <w:r>
              <w:rPr>
                <w:noProof/>
              </w:rPr>
              <w:t xml:space="preserve"> </w:t>
            </w:r>
            <w:r>
              <w:rPr>
                <w:noProof/>
              </w:rPr>
              <w:br/>
            </w:r>
            <w:r>
              <w:rPr>
                <w:rFonts w:ascii="Times New Roman" w:hAnsi="Times New Roman"/>
                <w:noProof/>
                <w:color w:val="000000" w:themeColor="text1"/>
                <w:sz w:val="18"/>
              </w:rPr>
              <w:t xml:space="preserve">— Festlegung des Platzes und der Rolle der Kompetenzzentren im System der allgemeinen und beruflichen Bildung; </w:t>
            </w:r>
            <w:r>
              <w:rPr>
                <w:noProof/>
              </w:rPr>
              <w:t xml:space="preserve"> </w:t>
            </w:r>
            <w:r>
              <w:rPr>
                <w:noProof/>
              </w:rPr>
              <w:br/>
            </w:r>
            <w:r>
              <w:rPr>
                <w:rFonts w:ascii="Times New Roman" w:hAnsi="Times New Roman"/>
                <w:noProof/>
                <w:color w:val="000000" w:themeColor="text1"/>
                <w:sz w:val="18"/>
              </w:rPr>
              <w:t>— Festlegung der Bedi</w:t>
            </w:r>
            <w:r>
              <w:rPr>
                <w:rFonts w:ascii="Times New Roman" w:hAnsi="Times New Roman"/>
                <w:noProof/>
                <w:color w:val="000000" w:themeColor="text1"/>
                <w:sz w:val="18"/>
              </w:rPr>
              <w:t xml:space="preserve">ngungen für die Beschäftigung von Personal in den Kompetenzzentren; </w:t>
            </w:r>
            <w:r>
              <w:rPr>
                <w:noProof/>
              </w:rPr>
              <w:t xml:space="preserve"> </w:t>
            </w:r>
            <w:r>
              <w:rPr>
                <w:noProof/>
              </w:rPr>
              <w:br/>
            </w:r>
            <w:r>
              <w:rPr>
                <w:rFonts w:ascii="Times New Roman" w:hAnsi="Times New Roman"/>
                <w:noProof/>
                <w:color w:val="000000" w:themeColor="text1"/>
                <w:sz w:val="18"/>
              </w:rPr>
              <w:t xml:space="preserve">— Festlegung von Bestimmungen für zyklische Überprüfungen, um die Aufsicht über ihr Management und die Nachhaltigkeit nach 2026 zu gewährleisten; </w:t>
            </w:r>
            <w:r>
              <w:rPr>
                <w:noProof/>
              </w:rPr>
              <w:t xml:space="preserve"> </w:t>
            </w:r>
            <w:r>
              <w:rPr>
                <w:noProof/>
              </w:rPr>
              <w:br/>
            </w:r>
            <w:r>
              <w:rPr>
                <w:rFonts w:ascii="Times New Roman" w:hAnsi="Times New Roman"/>
                <w:noProof/>
                <w:color w:val="000000" w:themeColor="text1"/>
                <w:sz w:val="18"/>
              </w:rPr>
              <w:t>— Anpassung eines bestehenden Governan</w:t>
            </w:r>
            <w:r>
              <w:rPr>
                <w:rFonts w:ascii="Times New Roman" w:hAnsi="Times New Roman"/>
                <w:noProof/>
                <w:color w:val="000000" w:themeColor="text1"/>
                <w:sz w:val="18"/>
              </w:rPr>
              <w:t>ce-Systems mit maßgeschneiderten Bestimmungen über die Leitung von Kompetenzzentren, einschließlich Arbeitgebern (einschließlich Vertretern von KMU), Sozialpartnern und anderen einschlägigen Interessenträgern, einschließlich regionaler und lokaler Behörden</w:t>
            </w:r>
            <w:r>
              <w:rPr>
                <w:rFonts w:ascii="Times New Roman" w:hAnsi="Times New Roman"/>
                <w:noProof/>
                <w:color w:val="000000" w:themeColor="text1"/>
                <w:sz w:val="18"/>
              </w:rPr>
              <w:t xml:space="preserve">; </w:t>
            </w:r>
          </w:p>
          <w:p w14:paraId="25F174E5" w14:textId="60C710F5"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r>
              <w:rPr>
                <w:rFonts w:ascii="Times New Roman" w:hAnsi="Times New Roman"/>
                <w:noProof/>
                <w:color w:val="000000" w:themeColor="text1"/>
                <w:sz w:val="18"/>
              </w:rPr>
              <w:t xml:space="preserve">— Festlegung von Finanzierungsmechanismen (auch nach Einstellung der EU-Unterstützung), Ausbildungsbedingungen, Bestimmungen für Berufsberatung und Lehrpläne; und </w:t>
            </w:r>
            <w:r>
              <w:rPr>
                <w:noProof/>
              </w:rPr>
              <w:t xml:space="preserve">  </w:t>
            </w:r>
            <w:r>
              <w:rPr>
                <w:noProof/>
              </w:rPr>
              <w:br/>
            </w:r>
            <w:r>
              <w:rPr>
                <w:rFonts w:ascii="Times New Roman" w:hAnsi="Times New Roman"/>
                <w:noProof/>
                <w:color w:val="000000" w:themeColor="text1"/>
                <w:sz w:val="18"/>
              </w:rPr>
              <w:t>— Ermittlung der Arten der angebotenen Ausbildung, der Zielgruppen, der Arten von Quali</w:t>
            </w:r>
            <w:r>
              <w:rPr>
                <w:rFonts w:ascii="Times New Roman" w:hAnsi="Times New Roman"/>
                <w:noProof/>
                <w:color w:val="000000" w:themeColor="text1"/>
                <w:sz w:val="18"/>
              </w:rPr>
              <w:t>fikationen und Standards, Qualitätssicherungs- und Überprüfungsmechanismen und der Art und Weise, wie die Sektoren mit den Kompetenzzentren verknüpft werden sollen.</w:t>
            </w:r>
          </w:p>
        </w:tc>
      </w:tr>
      <w:tr w:rsidR="00EB245A" w14:paraId="55A46812" w14:textId="77777777" w:rsidTr="008127B9">
        <w:trPr>
          <w:trHeight w:val="313"/>
        </w:trPr>
        <w:tc>
          <w:tcPr>
            <w:tcW w:w="678" w:type="dxa"/>
            <w:tcBorders>
              <w:top w:val="single" w:sz="4" w:space="0" w:color="auto"/>
            </w:tcBorders>
            <w:shd w:val="clear" w:color="auto" w:fill="C6EFCE"/>
          </w:tcPr>
          <w:p w14:paraId="54368C02" w14:textId="344D183C"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A42G</w:t>
            </w:r>
          </w:p>
        </w:tc>
        <w:tc>
          <w:tcPr>
            <w:tcW w:w="1830" w:type="dxa"/>
            <w:tcBorders>
              <w:top w:val="single" w:sz="4" w:space="0" w:color="auto"/>
            </w:tcBorders>
            <w:shd w:val="clear" w:color="auto" w:fill="C6EFCE"/>
          </w:tcPr>
          <w:p w14:paraId="127A4402" w14:textId="676B4C22"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A3.1 Arbeitskräfte für die moderne Wirtschaft: Verbesserung der Abstimmung von Kompetenzen und Qualifikationen auf die Anforderungen des Arbeitsmarkts aufgrund der Einführung neuer Technologien in der Wirtschaft und des ökologischen und digitalen Wandels</w:t>
            </w:r>
          </w:p>
        </w:tc>
        <w:tc>
          <w:tcPr>
            <w:tcW w:w="1183" w:type="dxa"/>
            <w:tcBorders>
              <w:top w:val="single" w:sz="4" w:space="0" w:color="auto"/>
            </w:tcBorders>
            <w:shd w:val="clear" w:color="auto" w:fill="C6EFCE"/>
          </w:tcPr>
          <w:p w14:paraId="21C1FA4B"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w:t>
            </w:r>
            <w:r>
              <w:rPr>
                <w:noProof/>
              </w:rPr>
              <w:t>eilenstein</w:t>
            </w:r>
          </w:p>
        </w:tc>
        <w:tc>
          <w:tcPr>
            <w:tcW w:w="1914" w:type="dxa"/>
            <w:tcBorders>
              <w:top w:val="single" w:sz="4" w:space="0" w:color="auto"/>
            </w:tcBorders>
            <w:shd w:val="clear" w:color="auto" w:fill="C6EFCE"/>
          </w:tcPr>
          <w:p w14:paraId="65AFEF6D" w14:textId="111E151C"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Inkrafttreten des Gesetzes zur Änderung des Lehrergesetzes, das die Umsetzung der Weiterbildung von Lehrkräften in den sektoralen Kompetenzzentren ermöglicht</w:t>
            </w:r>
          </w:p>
        </w:tc>
        <w:tc>
          <w:tcPr>
            <w:tcW w:w="1914" w:type="dxa"/>
            <w:tcBorders>
              <w:top w:val="single" w:sz="4" w:space="0" w:color="auto"/>
            </w:tcBorders>
            <w:shd w:val="clear" w:color="auto" w:fill="C6EFCE"/>
          </w:tcPr>
          <w:p w14:paraId="7732FBFA" w14:textId="2DDF952F"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Bestimmung des Gesetzes zur Änderung des Lehrergesetzes über dessen Inkrafttreten </w:t>
            </w:r>
          </w:p>
        </w:tc>
        <w:tc>
          <w:tcPr>
            <w:tcW w:w="1134" w:type="dxa"/>
            <w:tcBorders>
              <w:top w:val="single" w:sz="4" w:space="0" w:color="auto"/>
            </w:tcBorders>
            <w:shd w:val="clear" w:color="auto" w:fill="C6EFCE"/>
          </w:tcPr>
          <w:p w14:paraId="7EE978C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417" w:type="dxa"/>
            <w:tcBorders>
              <w:top w:val="single" w:sz="4" w:space="0" w:color="auto"/>
            </w:tcBorders>
            <w:shd w:val="clear" w:color="auto" w:fill="C6EFCE"/>
          </w:tcPr>
          <w:p w14:paraId="4B9B179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709" w:type="dxa"/>
            <w:tcBorders>
              <w:top w:val="single" w:sz="4" w:space="0" w:color="auto"/>
            </w:tcBorders>
            <w:shd w:val="clear" w:color="auto" w:fill="C6EFCE"/>
          </w:tcPr>
          <w:p w14:paraId="38BC71D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992" w:type="dxa"/>
            <w:tcBorders>
              <w:top w:val="single" w:sz="4" w:space="0" w:color="auto"/>
            </w:tcBorders>
            <w:shd w:val="clear" w:color="auto" w:fill="C6EFCE"/>
          </w:tcPr>
          <w:p w14:paraId="34E9DC57"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Q3</w:t>
            </w:r>
          </w:p>
        </w:tc>
        <w:tc>
          <w:tcPr>
            <w:tcW w:w="992" w:type="dxa"/>
            <w:tcBorders>
              <w:top w:val="single" w:sz="4" w:space="0" w:color="auto"/>
            </w:tcBorders>
            <w:shd w:val="clear" w:color="auto" w:fill="C6EFCE"/>
          </w:tcPr>
          <w:p w14:paraId="21D5FB87"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2023</w:t>
            </w:r>
          </w:p>
        </w:tc>
        <w:tc>
          <w:tcPr>
            <w:tcW w:w="2693" w:type="dxa"/>
            <w:tcBorders>
              <w:top w:val="single" w:sz="4" w:space="0" w:color="auto"/>
            </w:tcBorders>
            <w:shd w:val="clear" w:color="auto" w:fill="C6EFCE"/>
          </w:tcPr>
          <w:p w14:paraId="36ECBE39" w14:textId="41739E45"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Die Reform des Lehrergesetzes soll es den sektoralen Kompetenzzentren ermöglichen, Weiterbildungsmaßnahmen für Lehrkräfte anzubieten.</w:t>
            </w:r>
          </w:p>
          <w:p w14:paraId="5BC8F912" w14:textId="1C26E933"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r>
              <w:rPr>
                <w:noProof/>
              </w:rPr>
              <w:t xml:space="preserve"> </w:t>
            </w:r>
            <w:r>
              <w:rPr>
                <w:noProof/>
              </w:rPr>
              <w:br/>
            </w:r>
            <w:r>
              <w:rPr>
                <w:rFonts w:ascii="Times New Roman" w:hAnsi="Times New Roman"/>
                <w:noProof/>
                <w:sz w:val="18"/>
              </w:rPr>
              <w:t>Das Lehrergesetz in der durch das Änderungsgesetz geänderten Fassung</w:t>
            </w:r>
            <w:r>
              <w:rPr>
                <w:rFonts w:ascii="Times New Roman" w:hAnsi="Times New Roman"/>
                <w:noProof/>
                <w:color w:val="000000" w:themeColor="text1"/>
                <w:sz w:val="18"/>
              </w:rPr>
              <w:t xml:space="preserve">  </w:t>
            </w:r>
          </w:p>
          <w:p w14:paraId="740A495B"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 Festlegung des Rahmens für die Ausbildung von Lehrkräften in den Kompetenzzentren; </w:t>
            </w:r>
          </w:p>
          <w:p w14:paraId="148F1373" w14:textId="42312FF9"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Aufnahme von Bestimmungen über die Ausbildung von Lehrkräften für den Einsatz neuer Technologien. </w:t>
            </w:r>
          </w:p>
        </w:tc>
      </w:tr>
      <w:tr w:rsidR="00EB245A" w14:paraId="327304C6" w14:textId="77777777" w:rsidTr="008127B9">
        <w:trPr>
          <w:trHeight w:val="313"/>
        </w:trPr>
        <w:tc>
          <w:tcPr>
            <w:tcW w:w="678" w:type="dxa"/>
            <w:shd w:val="clear" w:color="auto" w:fill="C6EFCE"/>
          </w:tcPr>
          <w:p w14:paraId="42E43797" w14:textId="0CA780BB" w:rsidR="00EB245A" w:rsidRDefault="006021EE">
            <w:pPr>
              <w:pStyle w:val="P68B1DB1-Normal011"/>
              <w:pBdr>
                <w:top w:val="nil"/>
                <w:left w:val="nil"/>
                <w:bottom w:val="nil"/>
                <w:right w:val="nil"/>
                <w:between w:val="nil"/>
              </w:pBdr>
              <w:spacing w:after="0" w:line="240" w:lineRule="auto"/>
              <w:jc w:val="center"/>
              <w:rPr>
                <w:rFonts w:cs="Times New Roman"/>
                <w:noProof/>
              </w:rPr>
            </w:pPr>
            <w:r>
              <w:rPr>
                <w:noProof/>
              </w:rPr>
              <w:t>A43G</w:t>
            </w:r>
          </w:p>
        </w:tc>
        <w:tc>
          <w:tcPr>
            <w:tcW w:w="1830" w:type="dxa"/>
            <w:shd w:val="clear" w:color="auto" w:fill="C6EFCE"/>
          </w:tcPr>
          <w:p w14:paraId="4835819C" w14:textId="575DD579"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A3.1 Arbeitskräfte für die moderne Wirtschaft: Verbesserung der</w:t>
            </w:r>
            <w:r>
              <w:rPr>
                <w:noProof/>
              </w:rPr>
              <w:t xml:space="preserve"> Abstimmung von Kompetenzen und Qualifikationen auf die Anforderungen des Arbeitsmarkts aufgrund der Einführung neuer Technologien in der Wirtschaft und des ökologischen und digitalen Wandels</w:t>
            </w:r>
          </w:p>
        </w:tc>
        <w:tc>
          <w:tcPr>
            <w:tcW w:w="1183" w:type="dxa"/>
            <w:shd w:val="clear" w:color="auto" w:fill="C6EFCE"/>
          </w:tcPr>
          <w:p w14:paraId="47BA21C7" w14:textId="45D36EB4"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Meilenstein</w:t>
            </w:r>
          </w:p>
        </w:tc>
        <w:tc>
          <w:tcPr>
            <w:tcW w:w="1914" w:type="dxa"/>
            <w:shd w:val="clear" w:color="auto" w:fill="C6EFCE"/>
          </w:tcPr>
          <w:p w14:paraId="4AAE9C8B" w14:textId="2392AD6B"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Inkrafttreten der Gesetze zur Änderung des Gesetzes </w:t>
            </w:r>
            <w:r>
              <w:rPr>
                <w:noProof/>
              </w:rPr>
              <w:t>über die regionale Selbstverwaltung, des Gesetzes über Arbeitsmarkteinrichtungen, des Gesetzes über die Selbstverwaltung der Provinzen und anderer einschlägiger Gesetze zur Koordinierung der beruflichen Aus- und Weiterbildung und des lebenslangen Lernens i</w:t>
            </w:r>
            <w:r>
              <w:rPr>
                <w:noProof/>
              </w:rPr>
              <w:t xml:space="preserve">n den Regionen </w:t>
            </w:r>
          </w:p>
        </w:tc>
        <w:tc>
          <w:tcPr>
            <w:tcW w:w="1914" w:type="dxa"/>
            <w:shd w:val="clear" w:color="auto" w:fill="C6EFCE"/>
          </w:tcPr>
          <w:p w14:paraId="27B864C1" w14:textId="4D13A36F"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Bestimmungen in den Gesetzen zur Änderung des Gesetzes über die regionale Selbstverwaltung, des Gesetzes über Arbeitsmarktinstitutionen, des Gesetzes über die Selbstverwaltung der Provinzen und anderer einschlägiger Gesetze, aus denen ihr j</w:t>
            </w:r>
            <w:r>
              <w:rPr>
                <w:noProof/>
              </w:rPr>
              <w:t>eweiliges Inkrafttreten hervorgeht</w:t>
            </w:r>
          </w:p>
        </w:tc>
        <w:tc>
          <w:tcPr>
            <w:tcW w:w="1134" w:type="dxa"/>
            <w:shd w:val="clear" w:color="auto" w:fill="C6EFCE"/>
          </w:tcPr>
          <w:p w14:paraId="67FDF4F0" w14:textId="74304C0B"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417" w:type="dxa"/>
            <w:shd w:val="clear" w:color="auto" w:fill="C6EFCE"/>
          </w:tcPr>
          <w:p w14:paraId="14AA7734" w14:textId="7BE2366E"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709" w:type="dxa"/>
            <w:shd w:val="clear" w:color="auto" w:fill="C6EFCE"/>
          </w:tcPr>
          <w:p w14:paraId="6AABBB76" w14:textId="304F24A8"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992" w:type="dxa"/>
            <w:shd w:val="clear" w:color="auto" w:fill="C6EFCE"/>
          </w:tcPr>
          <w:p w14:paraId="59439933" w14:textId="673DFCE6"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Q1</w:t>
            </w:r>
          </w:p>
        </w:tc>
        <w:tc>
          <w:tcPr>
            <w:tcW w:w="992" w:type="dxa"/>
            <w:shd w:val="clear" w:color="auto" w:fill="C6EFCE"/>
          </w:tcPr>
          <w:p w14:paraId="1159129F" w14:textId="501BE26A"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2025</w:t>
            </w:r>
          </w:p>
        </w:tc>
        <w:tc>
          <w:tcPr>
            <w:tcW w:w="2693" w:type="dxa"/>
            <w:shd w:val="clear" w:color="auto" w:fill="C6EFCE"/>
          </w:tcPr>
          <w:p w14:paraId="212C101E" w14:textId="7FF066E3"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r>
              <w:rPr>
                <w:rFonts w:ascii="Times New Roman" w:hAnsi="Times New Roman"/>
                <w:noProof/>
                <w:color w:val="000000" w:themeColor="text1"/>
                <w:sz w:val="18"/>
              </w:rPr>
              <w:t xml:space="preserve">In den geänderten Gesetzgebungsakten (einschließlich des Gesetzes über die regionale Selbstverwaltung, des Gesetzes über Arbeitsmarkteinrichtungen, des Gesetzes über die Selbstverwaltung der Provinzen und </w:t>
            </w:r>
            <w:r>
              <w:rPr>
                <w:rFonts w:ascii="Times New Roman" w:hAnsi="Times New Roman"/>
                <w:noProof/>
                <w:color w:val="000000" w:themeColor="text1"/>
                <w:sz w:val="18"/>
              </w:rPr>
              <w:t>anderer einschlägiger Gesetze) werden nach einer Überprüfung und in enger Zusammenarbeit mit den lokalen und regionalen Gebietskörperschaften die Rechte und Zuständigkeiten der Regionen bei der Koordinierung der Kompetenzpolitik ermittelt und die Weiterbil</w:t>
            </w:r>
            <w:r>
              <w:rPr>
                <w:rFonts w:ascii="Times New Roman" w:hAnsi="Times New Roman"/>
                <w:noProof/>
                <w:color w:val="000000" w:themeColor="text1"/>
                <w:sz w:val="18"/>
              </w:rPr>
              <w:t>dungsangebote von Einrichtungen des lebenslangen Lernens auf der Grundlage operationeller Durchführungsprogramme für die polnische nationale integrierte Kompetenzstrategie 2030 auf regionaler Ebene beeinflusst.</w:t>
            </w:r>
            <w:r>
              <w:rPr>
                <w:noProof/>
              </w:rPr>
              <w:t xml:space="preserve">  </w:t>
            </w:r>
            <w:r>
              <w:rPr>
                <w:noProof/>
              </w:rPr>
              <w:br/>
              <w:t xml:space="preserve">  </w:t>
            </w:r>
            <w:r>
              <w:rPr>
                <w:noProof/>
              </w:rPr>
              <w:br/>
            </w:r>
            <w:r>
              <w:rPr>
                <w:rFonts w:ascii="Times New Roman" w:hAnsi="Times New Roman"/>
                <w:noProof/>
                <w:color w:val="000000" w:themeColor="text1"/>
                <w:sz w:val="18"/>
              </w:rPr>
              <w:t>Die Änderungen umfassen:</w:t>
            </w:r>
            <w:r>
              <w:rPr>
                <w:noProof/>
              </w:rPr>
              <w:t xml:space="preserve">  </w:t>
            </w:r>
            <w:r>
              <w:rPr>
                <w:noProof/>
              </w:rPr>
              <w:br/>
            </w:r>
            <w:r>
              <w:rPr>
                <w:rFonts w:ascii="Times New Roman" w:hAnsi="Times New Roman"/>
                <w:noProof/>
                <w:color w:val="000000" w:themeColor="text1"/>
                <w:sz w:val="18"/>
              </w:rPr>
              <w:t>a) rechtliche</w:t>
            </w:r>
            <w:r>
              <w:rPr>
                <w:rFonts w:ascii="Times New Roman" w:hAnsi="Times New Roman"/>
                <w:noProof/>
                <w:color w:val="000000" w:themeColor="text1"/>
                <w:sz w:val="18"/>
              </w:rPr>
              <w:t xml:space="preserve"> Struktur und Aufgaben regionaler Koordinierungsteams für ein nachhaltiges Funktionieren der regionalen Koordinierung der Politik in den Bereichen berufliche Aus- und Weiterbildung, Hochschulbildung und lebenslanges Lernen; </w:t>
            </w:r>
            <w:r>
              <w:rPr>
                <w:noProof/>
              </w:rPr>
              <w:t xml:space="preserve"> </w:t>
            </w:r>
            <w:r>
              <w:rPr>
                <w:noProof/>
              </w:rPr>
              <w:br/>
            </w:r>
            <w:r>
              <w:rPr>
                <w:rFonts w:ascii="Times New Roman" w:hAnsi="Times New Roman"/>
                <w:noProof/>
                <w:color w:val="000000" w:themeColor="text1"/>
                <w:sz w:val="18"/>
              </w:rPr>
              <w:t>die Governance-Struktur für di</w:t>
            </w:r>
            <w:r>
              <w:rPr>
                <w:rFonts w:ascii="Times New Roman" w:hAnsi="Times New Roman"/>
                <w:noProof/>
                <w:color w:val="000000" w:themeColor="text1"/>
                <w:sz w:val="18"/>
              </w:rPr>
              <w:t xml:space="preserve">e regionale Kompetenzpolitik, einschließlich der Zuständigkeiten der Regionen und Sozialpartner; </w:t>
            </w:r>
            <w:r>
              <w:rPr>
                <w:noProof/>
              </w:rPr>
              <w:t xml:space="preserve"> </w:t>
            </w:r>
            <w:r>
              <w:rPr>
                <w:noProof/>
              </w:rPr>
              <w:br/>
            </w:r>
            <w:r>
              <w:rPr>
                <w:rFonts w:ascii="Times New Roman" w:hAnsi="Times New Roman"/>
                <w:noProof/>
                <w:color w:val="000000" w:themeColor="text1"/>
                <w:sz w:val="18"/>
              </w:rPr>
              <w:t>Verpflichtung zur Annahme von operationellen Durchführungsprogrammen für die nationale integrierte Kompetenzstrategie 2030 auf regionaler Ebene, einschließli</w:t>
            </w:r>
            <w:r>
              <w:rPr>
                <w:rFonts w:ascii="Times New Roman" w:hAnsi="Times New Roman"/>
                <w:noProof/>
                <w:color w:val="000000" w:themeColor="text1"/>
                <w:sz w:val="18"/>
              </w:rPr>
              <w:t>ch i) der Verpflichtung, ein Durchführungsprogramm alle fünf Jahre zu aktualisieren; und ii) die Verpflichtung, dafür zu sorgen, dass das Lernangebot in der beruflichen Aus- und Weiterbildung und anderen Berufsbildungsanbietern an den festgestellten Qualif</w:t>
            </w:r>
            <w:r>
              <w:rPr>
                <w:rFonts w:ascii="Times New Roman" w:hAnsi="Times New Roman"/>
                <w:noProof/>
                <w:color w:val="000000" w:themeColor="text1"/>
                <w:sz w:val="18"/>
              </w:rPr>
              <w:t xml:space="preserve">ikationsbedarf angepasst wird; </w:t>
            </w:r>
            <w:r>
              <w:rPr>
                <w:noProof/>
              </w:rPr>
              <w:t xml:space="preserve"> </w:t>
            </w:r>
            <w:r>
              <w:rPr>
                <w:noProof/>
              </w:rPr>
              <w:br/>
            </w:r>
            <w:r>
              <w:rPr>
                <w:rFonts w:ascii="Times New Roman" w:hAnsi="Times New Roman"/>
                <w:noProof/>
                <w:color w:val="000000" w:themeColor="text1"/>
                <w:sz w:val="18"/>
              </w:rPr>
              <w:t xml:space="preserve">d) Bestimmungen für die Arbeitsweise des Koordinierungsbüros (Bereitstellung von Diensten für die regionalen Koordinierungsteams); und </w:t>
            </w:r>
            <w:r>
              <w:rPr>
                <w:noProof/>
              </w:rPr>
              <w:t xml:space="preserve"> </w:t>
            </w:r>
            <w:r>
              <w:rPr>
                <w:noProof/>
              </w:rPr>
              <w:br/>
              <w:t xml:space="preserve"> </w:t>
            </w:r>
            <w:r>
              <w:rPr>
                <w:rFonts w:ascii="Times New Roman" w:hAnsi="Times New Roman"/>
                <w:noProof/>
                <w:color w:val="000000" w:themeColor="text1"/>
                <w:sz w:val="18"/>
              </w:rPr>
              <w:t xml:space="preserve">Bestimmungen zur Festlegung von Überwachungs- und Bewertungspflichten. </w:t>
            </w:r>
            <w:r>
              <w:rPr>
                <w:noProof/>
              </w:rPr>
              <w:t xml:space="preserve"> </w:t>
            </w:r>
            <w:r>
              <w:rPr>
                <w:noProof/>
              </w:rPr>
              <w:br/>
            </w:r>
            <w:r>
              <w:rPr>
                <w:rFonts w:ascii="Times New Roman" w:hAnsi="Times New Roman"/>
                <w:noProof/>
                <w:color w:val="000000" w:themeColor="text1"/>
                <w:sz w:val="18"/>
              </w:rPr>
              <w:t>Die operatio</w:t>
            </w:r>
            <w:r>
              <w:rPr>
                <w:rFonts w:ascii="Times New Roman" w:hAnsi="Times New Roman"/>
                <w:noProof/>
                <w:color w:val="000000" w:themeColor="text1"/>
                <w:sz w:val="18"/>
              </w:rPr>
              <w:t>nellen Durchführungsprogramme für die nationale integrierte Kompetenzstrategie 2030 auf regionaler Ebene dürfen die institutionelle Autonomie der Hochschuleinrichtungen nicht beeinträchtigen.</w:t>
            </w:r>
          </w:p>
        </w:tc>
      </w:tr>
      <w:tr w:rsidR="00EB245A" w14:paraId="74BDFAAC" w14:textId="77777777" w:rsidTr="008127B9">
        <w:trPr>
          <w:trHeight w:val="313"/>
        </w:trPr>
        <w:tc>
          <w:tcPr>
            <w:tcW w:w="678" w:type="dxa"/>
            <w:shd w:val="clear" w:color="auto" w:fill="C6EFCE"/>
          </w:tcPr>
          <w:p w14:paraId="00B008B9" w14:textId="11022BA0" w:rsidR="00EB245A" w:rsidRDefault="006021EE">
            <w:pPr>
              <w:pStyle w:val="P68B1DB1-Normal011"/>
              <w:pBdr>
                <w:top w:val="nil"/>
                <w:left w:val="nil"/>
                <w:bottom w:val="nil"/>
                <w:right w:val="nil"/>
                <w:between w:val="nil"/>
              </w:pBdr>
              <w:spacing w:after="0" w:line="240" w:lineRule="auto"/>
              <w:jc w:val="center"/>
              <w:rPr>
                <w:rFonts w:cs="Times New Roman"/>
                <w:noProof/>
              </w:rPr>
            </w:pPr>
            <w:r>
              <w:rPr>
                <w:noProof/>
              </w:rPr>
              <w:t>A44G</w:t>
            </w:r>
          </w:p>
        </w:tc>
        <w:tc>
          <w:tcPr>
            <w:tcW w:w="1830" w:type="dxa"/>
            <w:shd w:val="clear" w:color="auto" w:fill="C6EFCE"/>
          </w:tcPr>
          <w:p w14:paraId="714C4D0E" w14:textId="02A02663"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A3.1.1 Investitionen in moderne Berufsbildung, </w:t>
            </w:r>
            <w:r>
              <w:rPr>
                <w:noProof/>
              </w:rPr>
              <w:t>Hochschulbildung und lebenslanges Lernen</w:t>
            </w:r>
          </w:p>
        </w:tc>
        <w:tc>
          <w:tcPr>
            <w:tcW w:w="1183" w:type="dxa"/>
            <w:shd w:val="clear" w:color="auto" w:fill="C6EFCE"/>
          </w:tcPr>
          <w:p w14:paraId="7371837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1914" w:type="dxa"/>
            <w:shd w:val="clear" w:color="auto" w:fill="C6EFCE"/>
          </w:tcPr>
          <w:p w14:paraId="1F61D080"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T1 – Einrichtung eines Netzes funktionierender branchenspezifischer Kompetenzzentren für gezielte Weiterqualifizierung und Umschulung, die für den Arbeitsmarktbedarf von großer Bedeutung sind </w:t>
            </w:r>
          </w:p>
        </w:tc>
        <w:tc>
          <w:tcPr>
            <w:tcW w:w="1914" w:type="dxa"/>
            <w:shd w:val="clear" w:color="auto" w:fill="C6EFCE"/>
          </w:tcPr>
          <w:p w14:paraId="4CD2E59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134" w:type="dxa"/>
            <w:shd w:val="clear" w:color="auto" w:fill="C6EFCE"/>
          </w:tcPr>
          <w:p w14:paraId="1B2052BD" w14:textId="77777777" w:rsidR="00EB245A" w:rsidRDefault="006021EE">
            <w:pPr>
              <w:pStyle w:val="P68B1DB1-Normal012"/>
              <w:pBdr>
                <w:top w:val="nil"/>
                <w:left w:val="nil"/>
                <w:bottom w:val="nil"/>
                <w:right w:val="nil"/>
                <w:between w:val="nil"/>
              </w:pBdr>
              <w:spacing w:after="0" w:line="240" w:lineRule="auto"/>
              <w:jc w:val="both"/>
              <w:rPr>
                <w:rFonts w:eastAsia="Times New Roman" w:cs="Times New Roman"/>
                <w:noProof/>
                <w:color w:val="000000" w:themeColor="text1"/>
              </w:rPr>
            </w:pPr>
            <w:r>
              <w:rPr>
                <w:noProof/>
              </w:rPr>
              <w:t>Anzahl</w:t>
            </w:r>
          </w:p>
        </w:tc>
        <w:tc>
          <w:tcPr>
            <w:tcW w:w="1417" w:type="dxa"/>
            <w:shd w:val="clear" w:color="auto" w:fill="C6EFCE"/>
          </w:tcPr>
          <w:p w14:paraId="165DCE8A" w14:textId="77777777" w:rsidR="00EB245A" w:rsidRDefault="006021EE">
            <w:pPr>
              <w:pStyle w:val="P68B1DB1-Normal012"/>
              <w:pBdr>
                <w:top w:val="nil"/>
                <w:left w:val="nil"/>
                <w:bottom w:val="nil"/>
                <w:right w:val="nil"/>
                <w:between w:val="nil"/>
              </w:pBdr>
              <w:spacing w:after="0" w:line="240" w:lineRule="auto"/>
              <w:jc w:val="both"/>
              <w:rPr>
                <w:rFonts w:eastAsia="Times New Roman" w:cs="Times New Roman"/>
                <w:noProof/>
                <w:color w:val="000000" w:themeColor="text1"/>
              </w:rPr>
            </w:pPr>
            <w:r>
              <w:rPr>
                <w:noProof/>
              </w:rPr>
              <w:t>0</w:t>
            </w:r>
          </w:p>
        </w:tc>
        <w:tc>
          <w:tcPr>
            <w:tcW w:w="709" w:type="dxa"/>
            <w:shd w:val="clear" w:color="auto" w:fill="C6EFCE"/>
          </w:tcPr>
          <w:p w14:paraId="72A4FFC0" w14:textId="1AFC5163" w:rsidR="00EB245A" w:rsidRDefault="006021EE">
            <w:pPr>
              <w:pStyle w:val="P68B1DB1-Normal012"/>
              <w:pBdr>
                <w:top w:val="nil"/>
                <w:left w:val="nil"/>
                <w:bottom w:val="nil"/>
                <w:right w:val="nil"/>
                <w:between w:val="nil"/>
              </w:pBdr>
              <w:spacing w:after="0" w:line="240" w:lineRule="auto"/>
              <w:jc w:val="both"/>
              <w:rPr>
                <w:rFonts w:eastAsia="Times New Roman" w:cs="Times New Roman"/>
                <w:noProof/>
                <w:color w:val="000000" w:themeColor="text1"/>
              </w:rPr>
            </w:pPr>
            <w:r>
              <w:rPr>
                <w:noProof/>
              </w:rPr>
              <w:t>10</w:t>
            </w:r>
          </w:p>
        </w:tc>
        <w:tc>
          <w:tcPr>
            <w:tcW w:w="992" w:type="dxa"/>
            <w:shd w:val="clear" w:color="auto" w:fill="C6EFCE"/>
          </w:tcPr>
          <w:p w14:paraId="7ABBDE32" w14:textId="77777777" w:rsidR="00EB245A" w:rsidRDefault="006021EE">
            <w:pPr>
              <w:pStyle w:val="P68B1DB1-Normal012"/>
              <w:pBdr>
                <w:top w:val="nil"/>
                <w:left w:val="nil"/>
                <w:bottom w:val="nil"/>
                <w:right w:val="nil"/>
                <w:between w:val="nil"/>
              </w:pBdr>
              <w:spacing w:after="0" w:line="240" w:lineRule="auto"/>
              <w:jc w:val="both"/>
              <w:rPr>
                <w:rFonts w:eastAsia="Times New Roman" w:cs="Times New Roman"/>
                <w:noProof/>
                <w:color w:val="000000" w:themeColor="text1"/>
              </w:rPr>
            </w:pPr>
            <w:r>
              <w:rPr>
                <w:noProof/>
              </w:rPr>
              <w:t>Q1</w:t>
            </w:r>
          </w:p>
        </w:tc>
        <w:tc>
          <w:tcPr>
            <w:tcW w:w="992" w:type="dxa"/>
            <w:shd w:val="clear" w:color="auto" w:fill="C6EFCE"/>
          </w:tcPr>
          <w:p w14:paraId="3A98CC6F" w14:textId="77777777" w:rsidR="00EB245A" w:rsidRDefault="006021EE">
            <w:pPr>
              <w:pStyle w:val="P68B1DB1-Normal012"/>
              <w:pBdr>
                <w:top w:val="nil"/>
                <w:left w:val="nil"/>
                <w:bottom w:val="nil"/>
                <w:right w:val="nil"/>
                <w:between w:val="nil"/>
              </w:pBdr>
              <w:spacing w:after="0" w:line="240" w:lineRule="auto"/>
              <w:jc w:val="both"/>
              <w:rPr>
                <w:rFonts w:eastAsia="Times New Roman" w:cs="Times New Roman"/>
                <w:noProof/>
                <w:color w:val="000000" w:themeColor="text1"/>
              </w:rPr>
            </w:pPr>
            <w:r>
              <w:rPr>
                <w:noProof/>
              </w:rPr>
              <w:t>2024</w:t>
            </w:r>
          </w:p>
        </w:tc>
        <w:tc>
          <w:tcPr>
            <w:tcW w:w="2693" w:type="dxa"/>
            <w:shd w:val="clear" w:color="auto" w:fill="C6EFCE"/>
          </w:tcPr>
          <w:p w14:paraId="7E66CE4B" w14:textId="3D65BA40"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r>
              <w:rPr>
                <w:rFonts w:ascii="Times New Roman" w:hAnsi="Times New Roman"/>
                <w:noProof/>
                <w:color w:val="000000" w:themeColor="text1"/>
                <w:sz w:val="18"/>
              </w:rPr>
              <w:t>Volle Funktionsfähigkeit von zehn sektoralen Kompetenzzentren und Bereitstellung von Berufsbildungskursen und Lehrplänen, auch für Erwachsene, Studierende, junge Menschen, Lehrkräfte in der beruflichen Aus- und Weiterbildung und Arbeitnehmer. Die Info</w:t>
            </w:r>
            <w:r>
              <w:rPr>
                <w:rFonts w:ascii="Times New Roman" w:hAnsi="Times New Roman"/>
                <w:noProof/>
                <w:color w:val="000000" w:themeColor="text1"/>
                <w:sz w:val="18"/>
              </w:rPr>
              <w:t xml:space="preserve">rmationen umfassen: </w:t>
            </w:r>
            <w:r>
              <w:rPr>
                <w:noProof/>
              </w:rPr>
              <w:t xml:space="preserve">  </w:t>
            </w:r>
            <w:r>
              <w:rPr>
                <w:noProof/>
              </w:rPr>
              <w:br/>
            </w:r>
            <w:r>
              <w:rPr>
                <w:rFonts w:ascii="Times New Roman" w:hAnsi="Times New Roman"/>
                <w:noProof/>
                <w:color w:val="000000" w:themeColor="text1"/>
                <w:sz w:val="18"/>
              </w:rPr>
              <w:t>— Aufbau von Kompetenzzentren;</w:t>
            </w:r>
            <w:r>
              <w:rPr>
                <w:noProof/>
              </w:rPr>
              <w:t xml:space="preserve">  </w:t>
            </w:r>
            <w:r>
              <w:rPr>
                <w:noProof/>
              </w:rPr>
              <w:br/>
            </w:r>
            <w:r>
              <w:rPr>
                <w:rFonts w:ascii="Times New Roman" w:hAnsi="Times New Roman"/>
                <w:noProof/>
                <w:color w:val="000000" w:themeColor="text1"/>
                <w:sz w:val="18"/>
              </w:rPr>
              <w:t xml:space="preserve">— Erwerb von Ausrüstung (soweit dies für den Betrieb der Zentren relevant ist); </w:t>
            </w:r>
            <w:r>
              <w:rPr>
                <w:noProof/>
              </w:rPr>
              <w:t xml:space="preserve"> </w:t>
            </w:r>
            <w:r>
              <w:rPr>
                <w:noProof/>
              </w:rPr>
              <w:br/>
            </w:r>
            <w:r>
              <w:rPr>
                <w:rFonts w:ascii="Times New Roman" w:hAnsi="Times New Roman"/>
                <w:noProof/>
                <w:color w:val="000000" w:themeColor="text1"/>
                <w:sz w:val="18"/>
              </w:rPr>
              <w:t>— institutioneller Aufbau der Zentren, einschließlich der Einbeziehung von 90 sektoralen Organisationen;</w:t>
            </w:r>
          </w:p>
          <w:p w14:paraId="5C37074C" w14:textId="140EAAC5"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r>
              <w:rPr>
                <w:rFonts w:ascii="Times New Roman" w:hAnsi="Times New Roman"/>
                <w:noProof/>
                <w:color w:val="000000" w:themeColor="text1"/>
                <w:sz w:val="18"/>
              </w:rPr>
              <w:t>Einstellung v</w:t>
            </w:r>
            <w:r>
              <w:rPr>
                <w:rFonts w:ascii="Times New Roman" w:hAnsi="Times New Roman"/>
                <w:noProof/>
                <w:color w:val="000000" w:themeColor="text1"/>
                <w:sz w:val="18"/>
              </w:rPr>
              <w:t>on Personal; und</w:t>
            </w:r>
            <w:r>
              <w:rPr>
                <w:noProof/>
              </w:rPr>
              <w:t xml:space="preserve">  </w:t>
            </w:r>
            <w:r>
              <w:rPr>
                <w:noProof/>
              </w:rPr>
              <w:br/>
            </w:r>
            <w:r>
              <w:rPr>
                <w:rFonts w:ascii="Times New Roman" w:hAnsi="Times New Roman"/>
                <w:noProof/>
                <w:color w:val="000000" w:themeColor="text1"/>
                <w:sz w:val="18"/>
              </w:rPr>
              <w:t xml:space="preserve">— Voll funktionsfähige Kompetenzzentren. </w:t>
            </w:r>
          </w:p>
          <w:p w14:paraId="7BB5652A" w14:textId="140EAAC5" w:rsidR="00EB245A" w:rsidRDefault="00EB245A">
            <w:pPr>
              <w:pStyle w:val="Normal0"/>
              <w:pBdr>
                <w:top w:val="nil"/>
                <w:left w:val="nil"/>
                <w:bottom w:val="nil"/>
                <w:right w:val="nil"/>
                <w:between w:val="nil"/>
              </w:pBdr>
              <w:spacing w:after="0" w:line="240" w:lineRule="auto"/>
              <w:jc w:val="both"/>
              <w:rPr>
                <w:rFonts w:ascii="Times New Roman" w:eastAsia="Times New Roman" w:hAnsi="Times New Roman" w:cs="Times New Roman"/>
                <w:noProof/>
                <w:color w:val="000000" w:themeColor="text1"/>
                <w:sz w:val="18"/>
              </w:rPr>
            </w:pPr>
          </w:p>
          <w:p w14:paraId="40C67536" w14:textId="77777777" w:rsidR="00EB245A" w:rsidRDefault="006021EE">
            <w:pPr>
              <w:pStyle w:val="P68B1DB1-Normal012"/>
              <w:pBdr>
                <w:top w:val="nil"/>
                <w:left w:val="nil"/>
                <w:bottom w:val="nil"/>
                <w:right w:val="nil"/>
                <w:between w:val="nil"/>
              </w:pBdr>
              <w:spacing w:after="0" w:line="240" w:lineRule="auto"/>
              <w:jc w:val="both"/>
              <w:rPr>
                <w:rFonts w:eastAsia="Times New Roman" w:cs="Times New Roman"/>
                <w:noProof/>
                <w:color w:val="000000" w:themeColor="text1"/>
              </w:rPr>
            </w:pPr>
            <w:r>
              <w:rPr>
                <w:noProof/>
              </w:rPr>
              <w:t>Die Investition muss in voller Übereinstimmung mit den technischen Leitlinien für die Vermeidung erheblicher Beeinträchtigungen (2021/C 58/01) durchgeführt werden. Insbesondere muss der Bau neue</w:t>
            </w:r>
            <w:r>
              <w:rPr>
                <w:noProof/>
              </w:rPr>
              <w:t>r Gebäude im Einklang mit der Norm für Niedrigstenergiegebäude gemäß der Richtlinie über die Gesamtenergieeffizienz von Gebäuden erfolgen.</w:t>
            </w:r>
          </w:p>
        </w:tc>
      </w:tr>
      <w:tr w:rsidR="00EB245A" w14:paraId="05399862" w14:textId="77777777" w:rsidTr="008127B9">
        <w:trPr>
          <w:trHeight w:val="313"/>
        </w:trPr>
        <w:tc>
          <w:tcPr>
            <w:tcW w:w="678" w:type="dxa"/>
            <w:shd w:val="clear" w:color="auto" w:fill="C6EFCE"/>
          </w:tcPr>
          <w:p w14:paraId="3F6FB1E0" w14:textId="1B505A9D" w:rsidR="00EB245A" w:rsidRDefault="006021EE">
            <w:pPr>
              <w:pStyle w:val="P68B1DB1-Normal011"/>
              <w:pBdr>
                <w:top w:val="nil"/>
                <w:left w:val="nil"/>
                <w:bottom w:val="nil"/>
                <w:right w:val="nil"/>
                <w:between w:val="nil"/>
              </w:pBdr>
              <w:spacing w:after="0" w:line="240" w:lineRule="auto"/>
              <w:jc w:val="center"/>
              <w:rPr>
                <w:rFonts w:cs="Times New Roman"/>
                <w:noProof/>
              </w:rPr>
            </w:pPr>
            <w:r>
              <w:rPr>
                <w:noProof/>
              </w:rPr>
              <w:t>A45G</w:t>
            </w:r>
          </w:p>
        </w:tc>
        <w:tc>
          <w:tcPr>
            <w:tcW w:w="1830" w:type="dxa"/>
            <w:shd w:val="clear" w:color="auto" w:fill="C6EFCE"/>
          </w:tcPr>
          <w:p w14:paraId="50FB0DC0" w14:textId="6821853F"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A3.1.1 Investitionen in moderne Berufsbildung, Hochschulbildung und lebenslanges Lernen</w:t>
            </w:r>
          </w:p>
        </w:tc>
        <w:tc>
          <w:tcPr>
            <w:tcW w:w="1183" w:type="dxa"/>
            <w:shd w:val="clear" w:color="auto" w:fill="C6EFCE"/>
          </w:tcPr>
          <w:p w14:paraId="6E661BB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1914" w:type="dxa"/>
            <w:shd w:val="clear" w:color="auto" w:fill="C6EFCE"/>
          </w:tcPr>
          <w:p w14:paraId="799D3E5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T2 – Einrichtung eines Netzes funktionierender branchenspezifischer Kompetenzzentren für gezielte Weiterqualifizierung und Umschulung, die für den Arbeitsmarktbedarf von großer Bedeutung sind </w:t>
            </w:r>
          </w:p>
        </w:tc>
        <w:tc>
          <w:tcPr>
            <w:tcW w:w="1914" w:type="dxa"/>
            <w:shd w:val="clear" w:color="auto" w:fill="C6EFCE"/>
          </w:tcPr>
          <w:p w14:paraId="5F11E8D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134" w:type="dxa"/>
            <w:shd w:val="clear" w:color="auto" w:fill="C6EFCE"/>
          </w:tcPr>
          <w:p w14:paraId="61AB7739"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w:t>
            </w:r>
          </w:p>
        </w:tc>
        <w:tc>
          <w:tcPr>
            <w:tcW w:w="1417" w:type="dxa"/>
            <w:shd w:val="clear" w:color="auto" w:fill="C6EFCE"/>
          </w:tcPr>
          <w:p w14:paraId="6A6A9027" w14:textId="3008CBD5"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10</w:t>
            </w:r>
          </w:p>
        </w:tc>
        <w:tc>
          <w:tcPr>
            <w:tcW w:w="709" w:type="dxa"/>
            <w:shd w:val="clear" w:color="auto" w:fill="C6EFCE"/>
          </w:tcPr>
          <w:p w14:paraId="6CC8039C"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120</w:t>
            </w:r>
          </w:p>
        </w:tc>
        <w:tc>
          <w:tcPr>
            <w:tcW w:w="992" w:type="dxa"/>
            <w:shd w:val="clear" w:color="auto" w:fill="C6EFCE"/>
          </w:tcPr>
          <w:p w14:paraId="484860D8"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Q3</w:t>
            </w:r>
          </w:p>
        </w:tc>
        <w:tc>
          <w:tcPr>
            <w:tcW w:w="992" w:type="dxa"/>
            <w:shd w:val="clear" w:color="auto" w:fill="C6EFCE"/>
          </w:tcPr>
          <w:p w14:paraId="31EAD39A"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2025</w:t>
            </w:r>
          </w:p>
        </w:tc>
        <w:tc>
          <w:tcPr>
            <w:tcW w:w="2693" w:type="dxa"/>
            <w:shd w:val="clear" w:color="auto" w:fill="C6EFCE"/>
          </w:tcPr>
          <w:p w14:paraId="1400CE35" w14:textId="0431B0DB"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r>
              <w:rPr>
                <w:rFonts w:ascii="Times New Roman" w:hAnsi="Times New Roman"/>
                <w:noProof/>
                <w:color w:val="000000" w:themeColor="text1"/>
                <w:sz w:val="18"/>
              </w:rPr>
              <w:t xml:space="preserve">Uneingeschränkter Betrieb von 120 </w:t>
            </w:r>
            <w:r>
              <w:rPr>
                <w:rFonts w:ascii="Times New Roman" w:hAnsi="Times New Roman"/>
                <w:noProof/>
                <w:color w:val="000000" w:themeColor="text1"/>
                <w:sz w:val="18"/>
              </w:rPr>
              <w:t xml:space="preserve">branchenspezifischen Kompetenzzentren und Bereitstellung von Berufsbildungskursen und Lehrplänen, unter anderem für Erwachsene, Studierende, junge Menschen, Lehrkräfte in der beruflichen Aus- und Weiterbildung und Arbeitnehmer. Die Informationen umfassen: </w:t>
            </w:r>
            <w:r>
              <w:rPr>
                <w:noProof/>
              </w:rPr>
              <w:t xml:space="preserve">  </w:t>
            </w:r>
            <w:r>
              <w:rPr>
                <w:noProof/>
              </w:rPr>
              <w:br/>
            </w:r>
            <w:r>
              <w:rPr>
                <w:rFonts w:ascii="Times New Roman" w:hAnsi="Times New Roman"/>
                <w:noProof/>
                <w:color w:val="000000" w:themeColor="text1"/>
                <w:sz w:val="18"/>
              </w:rPr>
              <w:t>— Aufbau von Kompetenzzentren;</w:t>
            </w:r>
            <w:r>
              <w:rPr>
                <w:noProof/>
              </w:rPr>
              <w:t xml:space="preserve">  </w:t>
            </w:r>
            <w:r>
              <w:rPr>
                <w:noProof/>
              </w:rPr>
              <w:br/>
            </w:r>
            <w:r>
              <w:rPr>
                <w:rFonts w:ascii="Times New Roman" w:hAnsi="Times New Roman"/>
                <w:noProof/>
                <w:color w:val="000000" w:themeColor="text1"/>
                <w:sz w:val="18"/>
              </w:rPr>
              <w:t xml:space="preserve">— Erwerb von Ausrüstung (soweit dies für den Betrieb der Zentren relevant ist); </w:t>
            </w:r>
            <w:r>
              <w:rPr>
                <w:noProof/>
              </w:rPr>
              <w:t xml:space="preserve"> </w:t>
            </w:r>
            <w:r>
              <w:rPr>
                <w:noProof/>
              </w:rPr>
              <w:br/>
            </w:r>
            <w:r>
              <w:rPr>
                <w:rFonts w:ascii="Times New Roman" w:hAnsi="Times New Roman"/>
                <w:noProof/>
                <w:color w:val="000000" w:themeColor="text1"/>
                <w:sz w:val="18"/>
              </w:rPr>
              <w:t>— institutioneller Aufbau von 120 Zentren, einschließlich der Einbeziehung von 90 sektoralen Organisationen;</w:t>
            </w:r>
          </w:p>
          <w:p w14:paraId="02CC1AFD" w14:textId="0AE0DDC6"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r>
              <w:rPr>
                <w:rFonts w:ascii="Times New Roman" w:hAnsi="Times New Roman"/>
                <w:noProof/>
                <w:color w:val="000000" w:themeColor="text1"/>
                <w:sz w:val="18"/>
              </w:rPr>
              <w:t>Einstellung von Personal; und</w:t>
            </w:r>
            <w:r>
              <w:rPr>
                <w:noProof/>
              </w:rPr>
              <w:t xml:space="preserve">  </w:t>
            </w:r>
            <w:r>
              <w:rPr>
                <w:noProof/>
              </w:rPr>
              <w:br/>
            </w:r>
            <w:r>
              <w:rPr>
                <w:rFonts w:ascii="Times New Roman" w:hAnsi="Times New Roman"/>
                <w:noProof/>
                <w:color w:val="000000" w:themeColor="text1"/>
                <w:sz w:val="18"/>
              </w:rPr>
              <w:t xml:space="preserve">— Voll funktionsfähige 120 Kompetenzzentren. </w:t>
            </w:r>
          </w:p>
          <w:p w14:paraId="339F7ED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Die Investition muss in voller Übereinstimmung mit den technischen Leitlinien für die Vermeidung erheblicher Beeinträchtigungen (2021/C 58/01) durchgeführt werden</w:t>
            </w:r>
            <w:r>
              <w:rPr>
                <w:noProof/>
              </w:rPr>
              <w:t xml:space="preserve">. Insbesondere muss der Bau neuer Gebäude im Einklang mit der Norm für Niedrigstenergiegebäude gemäß der Richtlinie über die Gesamtenergieeffizienz von Gebäuden erfolgen. </w:t>
            </w:r>
          </w:p>
        </w:tc>
      </w:tr>
      <w:tr w:rsidR="00EB245A" w14:paraId="4C240646" w14:textId="77777777" w:rsidTr="008127B9">
        <w:trPr>
          <w:trHeight w:val="313"/>
        </w:trPr>
        <w:tc>
          <w:tcPr>
            <w:tcW w:w="678" w:type="dxa"/>
            <w:shd w:val="clear" w:color="auto" w:fill="C6EFCE"/>
          </w:tcPr>
          <w:p w14:paraId="0868EBB2" w14:textId="74B1096E" w:rsidR="00EB245A" w:rsidRDefault="006021EE">
            <w:pPr>
              <w:pStyle w:val="P68B1DB1-Normal011"/>
              <w:pBdr>
                <w:top w:val="nil"/>
                <w:left w:val="nil"/>
                <w:bottom w:val="nil"/>
                <w:right w:val="nil"/>
                <w:between w:val="nil"/>
              </w:pBdr>
              <w:spacing w:after="0" w:line="240" w:lineRule="auto"/>
              <w:jc w:val="center"/>
              <w:rPr>
                <w:rFonts w:cs="Times New Roman"/>
                <w:noProof/>
              </w:rPr>
            </w:pPr>
            <w:r>
              <w:rPr>
                <w:noProof/>
              </w:rPr>
              <w:t>A46G</w:t>
            </w:r>
          </w:p>
        </w:tc>
        <w:tc>
          <w:tcPr>
            <w:tcW w:w="1830" w:type="dxa"/>
            <w:shd w:val="clear" w:color="auto" w:fill="C6EFCE"/>
          </w:tcPr>
          <w:p w14:paraId="114EA541" w14:textId="5711162B"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A3.1.1 Investitionen in moderne Berufsbildung, Hochschulbildung und </w:t>
            </w:r>
            <w:r>
              <w:rPr>
                <w:noProof/>
              </w:rPr>
              <w:t>lebenslanges Lernen</w:t>
            </w:r>
          </w:p>
        </w:tc>
        <w:tc>
          <w:tcPr>
            <w:tcW w:w="1183" w:type="dxa"/>
            <w:shd w:val="clear" w:color="auto" w:fill="C6EFCE"/>
          </w:tcPr>
          <w:p w14:paraId="3494F6A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1914" w:type="dxa"/>
            <w:shd w:val="clear" w:color="auto" w:fill="C6EFCE"/>
          </w:tcPr>
          <w:p w14:paraId="359E20F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T1 – Vermittlung von Kompetenzen für Lernende in den sektoralen Kompetenzzentren, einschließlich Zertifizierung von Lernergebnissen (Fähigkeiten), ausgestellt und vom Sektor anerkannt</w:t>
            </w:r>
          </w:p>
        </w:tc>
        <w:tc>
          <w:tcPr>
            <w:tcW w:w="1914" w:type="dxa"/>
            <w:shd w:val="clear" w:color="auto" w:fill="C6EFCE"/>
          </w:tcPr>
          <w:p w14:paraId="693C477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134" w:type="dxa"/>
            <w:shd w:val="clear" w:color="auto" w:fill="C6EFCE"/>
          </w:tcPr>
          <w:p w14:paraId="3E7FF3B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w:t>
            </w:r>
          </w:p>
        </w:tc>
        <w:tc>
          <w:tcPr>
            <w:tcW w:w="1417" w:type="dxa"/>
            <w:shd w:val="clear" w:color="auto" w:fill="C6EFCE"/>
          </w:tcPr>
          <w:p w14:paraId="7BD0726E"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0</w:t>
            </w:r>
          </w:p>
        </w:tc>
        <w:tc>
          <w:tcPr>
            <w:tcW w:w="709" w:type="dxa"/>
            <w:shd w:val="clear" w:color="auto" w:fill="C6EFCE"/>
          </w:tcPr>
          <w:p w14:paraId="7FA2A991" w14:textId="001848A8"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2000</w:t>
            </w:r>
          </w:p>
        </w:tc>
        <w:tc>
          <w:tcPr>
            <w:tcW w:w="992" w:type="dxa"/>
            <w:shd w:val="clear" w:color="auto" w:fill="C6EFCE"/>
          </w:tcPr>
          <w:p w14:paraId="02A756F6"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Q3</w:t>
            </w:r>
          </w:p>
        </w:tc>
        <w:tc>
          <w:tcPr>
            <w:tcW w:w="992" w:type="dxa"/>
            <w:shd w:val="clear" w:color="auto" w:fill="C6EFCE"/>
          </w:tcPr>
          <w:p w14:paraId="378F7546"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2024</w:t>
            </w:r>
          </w:p>
        </w:tc>
        <w:tc>
          <w:tcPr>
            <w:tcW w:w="2693" w:type="dxa"/>
            <w:shd w:val="clear" w:color="auto" w:fill="C6EFCE"/>
          </w:tcPr>
          <w:p w14:paraId="6248ECC4" w14:textId="1C61EFF7" w:rsidR="00EB245A" w:rsidRDefault="006021EE">
            <w:pPr>
              <w:pStyle w:val="P68B1DB1-Normal012"/>
              <w:pBdr>
                <w:top w:val="nil"/>
                <w:left w:val="nil"/>
                <w:bottom w:val="nil"/>
                <w:right w:val="nil"/>
                <w:between w:val="nil"/>
              </w:pBdr>
              <w:spacing w:after="0" w:line="240" w:lineRule="auto"/>
              <w:rPr>
                <w:rFonts w:cs="Times New Roman"/>
                <w:noProof/>
              </w:rPr>
            </w:pPr>
            <w:r>
              <w:rPr>
                <w:noProof/>
              </w:rPr>
              <w:t>2000 Personen müssen in</w:t>
            </w:r>
            <w:r>
              <w:rPr>
                <w:noProof/>
              </w:rPr>
              <w:t xml:space="preserve"> den sektoralen Kompetenzzentren geschult worden sein. Jeder geschulte Lernende muss eine von der sektoralen Organisation ausgestellte Bestätigung der vom Sektor anerkannten Lernergebnisse (Fähigkeiten und Qualifikationen) erhalten haben. </w:t>
            </w:r>
          </w:p>
        </w:tc>
      </w:tr>
      <w:tr w:rsidR="00EB245A" w14:paraId="2F9B7CB0" w14:textId="77777777" w:rsidTr="008127B9">
        <w:trPr>
          <w:trHeight w:val="313"/>
        </w:trPr>
        <w:tc>
          <w:tcPr>
            <w:tcW w:w="678" w:type="dxa"/>
            <w:shd w:val="clear" w:color="auto" w:fill="C6EFCE"/>
          </w:tcPr>
          <w:p w14:paraId="5FE3165D" w14:textId="46C3BD58" w:rsidR="00EB245A" w:rsidRDefault="006021EE">
            <w:pPr>
              <w:pStyle w:val="P68B1DB1-Normal011"/>
              <w:pBdr>
                <w:top w:val="nil"/>
                <w:left w:val="nil"/>
                <w:bottom w:val="nil"/>
                <w:right w:val="nil"/>
                <w:between w:val="nil"/>
              </w:pBdr>
              <w:spacing w:after="0" w:line="240" w:lineRule="auto"/>
              <w:jc w:val="center"/>
              <w:rPr>
                <w:rFonts w:cs="Times New Roman"/>
                <w:noProof/>
              </w:rPr>
            </w:pPr>
            <w:r>
              <w:rPr>
                <w:noProof/>
              </w:rPr>
              <w:t>A47G</w:t>
            </w:r>
          </w:p>
        </w:tc>
        <w:tc>
          <w:tcPr>
            <w:tcW w:w="1830" w:type="dxa"/>
            <w:shd w:val="clear" w:color="auto" w:fill="C6EFCE"/>
          </w:tcPr>
          <w:p w14:paraId="3EC21356" w14:textId="6BF681C9"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A3.1.1 </w:t>
            </w:r>
            <w:r>
              <w:rPr>
                <w:noProof/>
              </w:rPr>
              <w:t>Investitionen in moderne Berufsbildung, Hochschulbildung und lebenslanges Lernen</w:t>
            </w:r>
          </w:p>
        </w:tc>
        <w:tc>
          <w:tcPr>
            <w:tcW w:w="1183" w:type="dxa"/>
            <w:shd w:val="clear" w:color="auto" w:fill="C6EFCE"/>
          </w:tcPr>
          <w:p w14:paraId="5FD0F17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1914" w:type="dxa"/>
            <w:shd w:val="clear" w:color="auto" w:fill="C6EFCE"/>
          </w:tcPr>
          <w:p w14:paraId="05754E8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T2 – Vermittlung von Kompetenzen für Lernende in den sektoralen Kompetenzzentren, einschließlich Zertifizierung von Lernergebnissen (Fähigkeiten), ausgestellt und vom Sek</w:t>
            </w:r>
            <w:r>
              <w:rPr>
                <w:noProof/>
              </w:rPr>
              <w:t>tor anerkannt</w:t>
            </w:r>
          </w:p>
        </w:tc>
        <w:tc>
          <w:tcPr>
            <w:tcW w:w="1914" w:type="dxa"/>
            <w:shd w:val="clear" w:color="auto" w:fill="C6EFCE"/>
          </w:tcPr>
          <w:p w14:paraId="2181972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134" w:type="dxa"/>
            <w:shd w:val="clear" w:color="auto" w:fill="C6EFCE"/>
          </w:tcPr>
          <w:p w14:paraId="1CB940D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w:t>
            </w:r>
          </w:p>
        </w:tc>
        <w:tc>
          <w:tcPr>
            <w:tcW w:w="1417" w:type="dxa"/>
            <w:shd w:val="clear" w:color="auto" w:fill="C6EFCE"/>
          </w:tcPr>
          <w:p w14:paraId="4D18D5A1" w14:textId="1216756D"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2000</w:t>
            </w:r>
          </w:p>
        </w:tc>
        <w:tc>
          <w:tcPr>
            <w:tcW w:w="709" w:type="dxa"/>
            <w:shd w:val="clear" w:color="auto" w:fill="C6EFCE"/>
          </w:tcPr>
          <w:p w14:paraId="7C31E1EB" w14:textId="71EE4001"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16000</w:t>
            </w:r>
          </w:p>
        </w:tc>
        <w:tc>
          <w:tcPr>
            <w:tcW w:w="992" w:type="dxa"/>
            <w:shd w:val="clear" w:color="auto" w:fill="C6EFCE"/>
          </w:tcPr>
          <w:p w14:paraId="35DAEC7D"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Q3</w:t>
            </w:r>
          </w:p>
        </w:tc>
        <w:tc>
          <w:tcPr>
            <w:tcW w:w="992" w:type="dxa"/>
            <w:shd w:val="clear" w:color="auto" w:fill="C6EFCE"/>
          </w:tcPr>
          <w:p w14:paraId="61E52119"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2025</w:t>
            </w:r>
          </w:p>
        </w:tc>
        <w:tc>
          <w:tcPr>
            <w:tcW w:w="2693" w:type="dxa"/>
            <w:shd w:val="clear" w:color="auto" w:fill="C6EFCE"/>
          </w:tcPr>
          <w:p w14:paraId="5739FEC8" w14:textId="794E37E8"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16000 Personen müssen in den sektoralen Kompetenzzentren geschult worden sein. Jeder geschulte Lernende muss eine von der sektoralen Organisation ausgestellte Bestätigung der vom Sektor anerkannten Lernergebnisse </w:t>
            </w:r>
            <w:r>
              <w:rPr>
                <w:noProof/>
              </w:rPr>
              <w:t>(Fähigkeiten und Qualifikationen) erhalten haben.</w:t>
            </w:r>
          </w:p>
        </w:tc>
      </w:tr>
      <w:tr w:rsidR="00EB245A" w14:paraId="7FCF61A8" w14:textId="77777777" w:rsidTr="008127B9">
        <w:trPr>
          <w:trHeight w:val="313"/>
        </w:trPr>
        <w:tc>
          <w:tcPr>
            <w:tcW w:w="678" w:type="dxa"/>
            <w:shd w:val="clear" w:color="auto" w:fill="C6EFCE"/>
          </w:tcPr>
          <w:p w14:paraId="6F8A58DE" w14:textId="5E43A086" w:rsidR="00EB245A" w:rsidRDefault="006021EE">
            <w:pPr>
              <w:pStyle w:val="P68B1DB1-Normal011"/>
              <w:pBdr>
                <w:top w:val="nil"/>
                <w:left w:val="nil"/>
                <w:bottom w:val="nil"/>
                <w:right w:val="nil"/>
                <w:between w:val="nil"/>
              </w:pBdr>
              <w:spacing w:after="0" w:line="240" w:lineRule="auto"/>
              <w:jc w:val="center"/>
              <w:rPr>
                <w:rFonts w:cs="Times New Roman"/>
                <w:noProof/>
              </w:rPr>
            </w:pPr>
            <w:r>
              <w:rPr>
                <w:noProof/>
              </w:rPr>
              <w:t>A48G</w:t>
            </w:r>
          </w:p>
        </w:tc>
        <w:tc>
          <w:tcPr>
            <w:tcW w:w="1830" w:type="dxa"/>
            <w:shd w:val="clear" w:color="auto" w:fill="C6EFCE"/>
          </w:tcPr>
          <w:p w14:paraId="0509A814" w14:textId="41234415"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A3.1.1 Investitionen in moderne Berufsbildung, Hochschulbildung und lebenslanges Lernen</w:t>
            </w:r>
          </w:p>
        </w:tc>
        <w:tc>
          <w:tcPr>
            <w:tcW w:w="1183" w:type="dxa"/>
            <w:shd w:val="clear" w:color="auto" w:fill="C6EFCE"/>
          </w:tcPr>
          <w:p w14:paraId="35004FA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1914" w:type="dxa"/>
            <w:shd w:val="clear" w:color="auto" w:fill="C6EFCE"/>
          </w:tcPr>
          <w:p w14:paraId="052ED5D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T3 – Vermittlung von Kompetenzen für Lernende in den sektoralen Kompetenzzentren, einschließlich </w:t>
            </w:r>
            <w:r>
              <w:rPr>
                <w:noProof/>
              </w:rPr>
              <w:t>Zertifizierung von Lernergebnissen (Fähigkeiten), ausgestellt und vom Sektor anerkannt</w:t>
            </w:r>
          </w:p>
        </w:tc>
        <w:tc>
          <w:tcPr>
            <w:tcW w:w="1914" w:type="dxa"/>
            <w:shd w:val="clear" w:color="auto" w:fill="C6EFCE"/>
          </w:tcPr>
          <w:p w14:paraId="51756CA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134" w:type="dxa"/>
            <w:shd w:val="clear" w:color="auto" w:fill="C6EFCE"/>
          </w:tcPr>
          <w:p w14:paraId="3B29AAD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w:t>
            </w:r>
          </w:p>
        </w:tc>
        <w:tc>
          <w:tcPr>
            <w:tcW w:w="1417" w:type="dxa"/>
            <w:shd w:val="clear" w:color="auto" w:fill="C6EFCE"/>
          </w:tcPr>
          <w:p w14:paraId="2C2921B4" w14:textId="16A4803F"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16000</w:t>
            </w:r>
          </w:p>
        </w:tc>
        <w:tc>
          <w:tcPr>
            <w:tcW w:w="709" w:type="dxa"/>
            <w:shd w:val="clear" w:color="auto" w:fill="C6EFCE"/>
          </w:tcPr>
          <w:p w14:paraId="1CC88494" w14:textId="74C779B9"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24000</w:t>
            </w:r>
          </w:p>
        </w:tc>
        <w:tc>
          <w:tcPr>
            <w:tcW w:w="992" w:type="dxa"/>
            <w:shd w:val="clear" w:color="auto" w:fill="C6EFCE"/>
          </w:tcPr>
          <w:p w14:paraId="3F4224B7"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Q2</w:t>
            </w:r>
          </w:p>
        </w:tc>
        <w:tc>
          <w:tcPr>
            <w:tcW w:w="992" w:type="dxa"/>
            <w:shd w:val="clear" w:color="auto" w:fill="C6EFCE"/>
          </w:tcPr>
          <w:p w14:paraId="75D37C4C" w14:textId="3DA1C2BA" w:rsidR="00EB245A" w:rsidRDefault="00EB245A">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rPr>
            </w:pPr>
          </w:p>
        </w:tc>
        <w:tc>
          <w:tcPr>
            <w:tcW w:w="2693" w:type="dxa"/>
            <w:shd w:val="clear" w:color="auto" w:fill="C6EFCE"/>
          </w:tcPr>
          <w:p w14:paraId="14BDE0AB" w14:textId="23959C81"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24000 Personen müssen in den sektoralen Kompetenzzentren geschult worden sein. Jeder geschulte Lernende muss eine von der sektoralen </w:t>
            </w:r>
            <w:r>
              <w:rPr>
                <w:noProof/>
              </w:rPr>
              <w:t>Organisation ausgestellte Bestätigung der vom Sektor anerkannten Lernergebnisse (Fähigkeiten und Qualifikationen) erhalten haben.</w:t>
            </w:r>
          </w:p>
        </w:tc>
      </w:tr>
      <w:tr w:rsidR="00EB245A" w14:paraId="5A0C4E3B" w14:textId="77777777" w:rsidTr="008127B9">
        <w:trPr>
          <w:trHeight w:val="1871"/>
        </w:trPr>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74B1212" w14:textId="6372206D" w:rsidR="00EB245A" w:rsidRDefault="006021EE">
            <w:pPr>
              <w:pStyle w:val="P68B1DB1-Normal011"/>
              <w:pBdr>
                <w:top w:val="nil"/>
                <w:left w:val="nil"/>
                <w:bottom w:val="nil"/>
                <w:right w:val="nil"/>
                <w:between w:val="nil"/>
              </w:pBdr>
              <w:spacing w:after="0" w:line="240" w:lineRule="auto"/>
              <w:jc w:val="center"/>
              <w:rPr>
                <w:rFonts w:cs="Times New Roman"/>
                <w:noProof/>
              </w:rPr>
            </w:pPr>
            <w:r>
              <w:rPr>
                <w:noProof/>
              </w:rPr>
              <w:t>A49G</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B626F53" w14:textId="7F40344A"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A3.1.1 Investitionen in moderne Berufsbildung, Hochschulbildung und lebenslanges Lernen</w:t>
            </w: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631ED7B"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4134BF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Einrichtung funktionierender regionaler Koordinierungsteams zur Koordinierung der Politik in den Bereichen berufliche Aus- und Weiterbildung und lebenslanges Lernen </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690AF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79806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7F30171"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953182"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14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D8BA8C9"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6F3685A"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BB175E7" w14:textId="25747970"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Es werden mindestens 14 regionale Koordinierungsteams mit dem </w:t>
            </w:r>
            <w:r>
              <w:rPr>
                <w:noProof/>
              </w:rPr>
              <w:t>Gesamtziel von 16 regionalen Koordinierungsteams (eines für jede „Woiwodschaft“) eingerichtet. Die regionalen Koordinierungsteams, die sich aus wichtigen Interessenträgern zusammensetzen, koordinieren die Politik in den Bereichen berufliche Aus- und Weiter</w:t>
            </w:r>
            <w:r>
              <w:rPr>
                <w:noProof/>
              </w:rPr>
              <w:t xml:space="preserve">bildung und lebenslanges Lernen und arbeiten gegebenenfalls mit der Hochschulbildung zusammen, sofern dies mit den betreffenden Hochschuleinrichtungen vereinbart wird. </w:t>
            </w:r>
          </w:p>
        </w:tc>
      </w:tr>
      <w:tr w:rsidR="00EB245A" w14:paraId="4BF6C21B" w14:textId="77777777" w:rsidTr="008127B9">
        <w:trPr>
          <w:trHeight w:val="313"/>
        </w:trPr>
        <w:tc>
          <w:tcPr>
            <w:tcW w:w="678" w:type="dxa"/>
            <w:shd w:val="clear" w:color="auto" w:fill="C6EFCE"/>
          </w:tcPr>
          <w:p w14:paraId="5A3C3AB2" w14:textId="2C52D715" w:rsidR="00EB245A" w:rsidRDefault="006021EE">
            <w:pPr>
              <w:pStyle w:val="P68B1DB1-Normal011"/>
              <w:pBdr>
                <w:top w:val="nil"/>
                <w:left w:val="nil"/>
                <w:bottom w:val="nil"/>
                <w:right w:val="nil"/>
                <w:between w:val="nil"/>
              </w:pBdr>
              <w:spacing w:after="0" w:line="240" w:lineRule="auto"/>
              <w:jc w:val="center"/>
              <w:rPr>
                <w:rFonts w:cs="Times New Roman"/>
                <w:noProof/>
              </w:rPr>
            </w:pPr>
            <w:r>
              <w:rPr>
                <w:noProof/>
              </w:rPr>
              <w:t>A50G</w:t>
            </w:r>
          </w:p>
        </w:tc>
        <w:tc>
          <w:tcPr>
            <w:tcW w:w="1830" w:type="dxa"/>
            <w:shd w:val="clear" w:color="auto" w:fill="C6EFCE"/>
          </w:tcPr>
          <w:p w14:paraId="729A86DD" w14:textId="3D9F5074"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A3.1.1 Investitionen in moderne Berufsbildung, Hochschulbildung und lebenslanges </w:t>
            </w:r>
            <w:r>
              <w:rPr>
                <w:noProof/>
              </w:rPr>
              <w:t>Lernen</w:t>
            </w:r>
          </w:p>
        </w:tc>
        <w:tc>
          <w:tcPr>
            <w:tcW w:w="1183" w:type="dxa"/>
            <w:shd w:val="clear" w:color="auto" w:fill="C6EFCE"/>
          </w:tcPr>
          <w:p w14:paraId="6D1D645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1914" w:type="dxa"/>
            <w:shd w:val="clear" w:color="auto" w:fill="C6EFCE"/>
          </w:tcPr>
          <w:p w14:paraId="3D0044C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Entwicklung operationeller Durchführungsprogramme für die integrierte Kompetenzstrategie auf regionaler Ebene durch die eingerichteten regionalen Koordinierungsgruppen für berufliche Aus- und Weiterbildung und lebenslanges Lernen</w:t>
            </w:r>
          </w:p>
        </w:tc>
        <w:tc>
          <w:tcPr>
            <w:tcW w:w="1914" w:type="dxa"/>
            <w:shd w:val="clear" w:color="auto" w:fill="C6EFCE"/>
          </w:tcPr>
          <w:p w14:paraId="5D2FFEE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134" w:type="dxa"/>
            <w:shd w:val="clear" w:color="auto" w:fill="C6EFCE"/>
          </w:tcPr>
          <w:p w14:paraId="1137F6FE"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w:t>
            </w:r>
          </w:p>
        </w:tc>
        <w:tc>
          <w:tcPr>
            <w:tcW w:w="1417" w:type="dxa"/>
            <w:shd w:val="clear" w:color="auto" w:fill="C6EFCE"/>
          </w:tcPr>
          <w:p w14:paraId="132FFD68"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0</w:t>
            </w:r>
          </w:p>
        </w:tc>
        <w:tc>
          <w:tcPr>
            <w:tcW w:w="709" w:type="dxa"/>
            <w:shd w:val="clear" w:color="auto" w:fill="C6EFCE"/>
          </w:tcPr>
          <w:p w14:paraId="052CBC2D"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14</w:t>
            </w:r>
          </w:p>
        </w:tc>
        <w:tc>
          <w:tcPr>
            <w:tcW w:w="992" w:type="dxa"/>
            <w:shd w:val="clear" w:color="auto" w:fill="C6EFCE"/>
          </w:tcPr>
          <w:p w14:paraId="62FEC388"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Q3</w:t>
            </w:r>
          </w:p>
        </w:tc>
        <w:tc>
          <w:tcPr>
            <w:tcW w:w="992" w:type="dxa"/>
            <w:shd w:val="clear" w:color="auto" w:fill="C6EFCE"/>
          </w:tcPr>
          <w:p w14:paraId="4FF3EC85"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2023</w:t>
            </w:r>
          </w:p>
        </w:tc>
        <w:tc>
          <w:tcPr>
            <w:tcW w:w="2693" w:type="dxa"/>
            <w:shd w:val="clear" w:color="auto" w:fill="C6EFCE"/>
          </w:tcPr>
          <w:p w14:paraId="434C4915" w14:textId="015A695A"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r>
              <w:rPr>
                <w:rFonts w:ascii="Times New Roman" w:hAnsi="Times New Roman"/>
                <w:noProof/>
                <w:color w:val="000000" w:themeColor="text1"/>
                <w:sz w:val="18"/>
              </w:rPr>
              <w:t>Es werden mindestens 14 operationelle regionale Durchführungsprogramme mit einem Gesamtziel von 16 regionalen operationellen Durchführungsprogrammen (eines für jede „Woiwodschaft“) entwickelt.</w:t>
            </w:r>
            <w:r>
              <w:rPr>
                <w:noProof/>
              </w:rPr>
              <w:t xml:space="preserve">  </w:t>
            </w:r>
            <w:r>
              <w:rPr>
                <w:noProof/>
              </w:rPr>
              <w:br/>
            </w:r>
            <w:r>
              <w:rPr>
                <w:rFonts w:ascii="Times New Roman" w:hAnsi="Times New Roman"/>
                <w:noProof/>
                <w:color w:val="000000" w:themeColor="text1"/>
                <w:sz w:val="18"/>
              </w:rPr>
              <w:t>Die operationellen Durchführungsprogramme für die nat</w:t>
            </w:r>
            <w:r>
              <w:rPr>
                <w:rFonts w:ascii="Times New Roman" w:hAnsi="Times New Roman"/>
                <w:noProof/>
                <w:color w:val="000000" w:themeColor="text1"/>
                <w:sz w:val="18"/>
              </w:rPr>
              <w:t xml:space="preserve">ionale integrierte Kompetenzstrategie 2030 erstrecken sich auf alle Formen des Lernens, einschließlich der Koordinierung der beruflichen Aus- und Weiterbildung und des lebenslangen Lernens. </w:t>
            </w:r>
            <w:r>
              <w:rPr>
                <w:noProof/>
              </w:rPr>
              <w:t xml:space="preserve"> </w:t>
            </w:r>
            <w:r>
              <w:rPr>
                <w:noProof/>
              </w:rPr>
              <w:br/>
            </w:r>
            <w:r>
              <w:rPr>
                <w:rFonts w:ascii="Times New Roman" w:hAnsi="Times New Roman"/>
                <w:noProof/>
                <w:color w:val="000000" w:themeColor="text1"/>
                <w:sz w:val="18"/>
              </w:rPr>
              <w:t>Sie enthalten Fahrpläne für die Entwicklung der beruflichen Bild</w:t>
            </w:r>
            <w:r>
              <w:rPr>
                <w:rFonts w:ascii="Times New Roman" w:hAnsi="Times New Roman"/>
                <w:noProof/>
                <w:color w:val="000000" w:themeColor="text1"/>
                <w:sz w:val="18"/>
              </w:rPr>
              <w:t xml:space="preserve">ung in den Regionen unter Berücksichtigung des digitalen und des ökologischen Wandels und der Förderung von Innovation. </w:t>
            </w:r>
            <w:r>
              <w:rPr>
                <w:noProof/>
              </w:rPr>
              <w:t xml:space="preserve"> </w:t>
            </w:r>
            <w:r>
              <w:rPr>
                <w:noProof/>
              </w:rPr>
              <w:br/>
            </w:r>
            <w:r>
              <w:rPr>
                <w:rFonts w:ascii="Times New Roman" w:hAnsi="Times New Roman"/>
                <w:noProof/>
                <w:color w:val="000000" w:themeColor="text1"/>
                <w:sz w:val="18"/>
              </w:rPr>
              <w:t>Sie umfassen Überwachungs- und Evaluierungsmechanismen. Die operationellen Durchführungsprogramme berühren nicht die institutionelle A</w:t>
            </w:r>
            <w:r>
              <w:rPr>
                <w:rFonts w:ascii="Times New Roman" w:hAnsi="Times New Roman"/>
                <w:noProof/>
                <w:color w:val="000000" w:themeColor="text1"/>
                <w:sz w:val="18"/>
              </w:rPr>
              <w:t>utonomie der Hochschuleinrichtungen.</w:t>
            </w:r>
          </w:p>
        </w:tc>
      </w:tr>
    </w:tbl>
    <w:p w14:paraId="1DA5B4A6" w14:textId="77777777" w:rsidR="00EB245A" w:rsidRDefault="00EB245A">
      <w:pPr>
        <w:rPr>
          <w:noProof/>
        </w:rPr>
        <w:sectPr w:rsidR="00EB245A" w:rsidSect="005E6922">
          <w:headerReference w:type="even" r:id="rId31"/>
          <w:headerReference w:type="default" r:id="rId32"/>
          <w:footerReference w:type="even" r:id="rId33"/>
          <w:footerReference w:type="default" r:id="rId34"/>
          <w:headerReference w:type="first" r:id="rId35"/>
          <w:footerReference w:type="first" r:id="rId36"/>
          <w:pgSz w:w="16839" w:h="11907" w:orient="landscape"/>
          <w:pgMar w:top="1134" w:right="1134" w:bottom="1134" w:left="1134" w:header="567" w:footer="567" w:gutter="0"/>
          <w:cols w:space="720"/>
          <w:docGrid w:linePitch="299"/>
        </w:sectPr>
      </w:pPr>
    </w:p>
    <w:p w14:paraId="20DD2944" w14:textId="1BE8EB3A" w:rsidR="00EB245A" w:rsidRDefault="006021EE">
      <w:pPr>
        <w:pStyle w:val="P68B1DB1-Normal14"/>
        <w:rPr>
          <w:noProof/>
        </w:rPr>
      </w:pPr>
      <w:r>
        <w:rPr>
          <w:noProof/>
        </w:rPr>
        <w:t>A4 – ARBEITSMARKT</w:t>
      </w:r>
    </w:p>
    <w:tbl>
      <w:tblPr>
        <w:tblW w:w="15731" w:type="dxa"/>
        <w:tblInd w:w="-2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802"/>
        <w:gridCol w:w="1865"/>
        <w:gridCol w:w="1166"/>
        <w:gridCol w:w="1721"/>
        <w:gridCol w:w="1965"/>
        <w:gridCol w:w="1134"/>
        <w:gridCol w:w="1417"/>
        <w:gridCol w:w="709"/>
        <w:gridCol w:w="992"/>
        <w:gridCol w:w="992"/>
        <w:gridCol w:w="2968"/>
      </w:tblGrid>
      <w:tr w:rsidR="00EB245A" w14:paraId="78B44944" w14:textId="77777777" w:rsidTr="00A76CD4">
        <w:trPr>
          <w:trHeight w:val="939"/>
          <w:tblHeader/>
        </w:trPr>
        <w:tc>
          <w:tcPr>
            <w:tcW w:w="8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0DD7E592" w14:textId="172A0F8B"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Lfd. Nr. Nr.</w:t>
            </w:r>
          </w:p>
        </w:tc>
        <w:tc>
          <w:tcPr>
            <w:tcW w:w="186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7E5B18C9"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Verbundene Maßnahme (Reform oder Investition)</w:t>
            </w:r>
          </w:p>
        </w:tc>
        <w:tc>
          <w:tcPr>
            <w:tcW w:w="11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1C39CEE4"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Etappenziel/Zielwert</w:t>
            </w:r>
          </w:p>
        </w:tc>
        <w:tc>
          <w:tcPr>
            <w:tcW w:w="17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44BD188F"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Namen</w:t>
            </w:r>
          </w:p>
        </w:tc>
        <w:tc>
          <w:tcPr>
            <w:tcW w:w="196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3A5EB72F" w14:textId="77777777" w:rsidR="00EB245A" w:rsidRDefault="006021EE">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rPr>
            </w:pPr>
            <w:r>
              <w:rPr>
                <w:rFonts w:ascii="Times New Roman" w:hAnsi="Times New Roman"/>
                <w:b/>
                <w:noProof/>
                <w:color w:val="000000" w:themeColor="text1"/>
                <w:sz w:val="18"/>
              </w:rPr>
              <w:t>Etappenziel/Zielwert</w:t>
            </w:r>
            <w:r>
              <w:rPr>
                <w:noProof/>
              </w:rPr>
              <w:t xml:space="preserve">  </w:t>
            </w:r>
            <w:r>
              <w:rPr>
                <w:noProof/>
              </w:rPr>
              <w:br/>
            </w:r>
            <w:r>
              <w:rPr>
                <w:rFonts w:ascii="Times New Roman" w:hAnsi="Times New Roman"/>
                <w:b/>
                <w:noProof/>
                <w:color w:val="000000" w:themeColor="text1"/>
                <w:sz w:val="18"/>
              </w:rPr>
              <w:t>(für Etappenziele)</w:t>
            </w:r>
          </w:p>
        </w:tc>
        <w:tc>
          <w:tcPr>
            <w:tcW w:w="3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3DFE4CE0" w14:textId="77777777" w:rsidR="00EB245A" w:rsidRDefault="006021EE">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rPr>
            </w:pPr>
            <w:r>
              <w:rPr>
                <w:rFonts w:ascii="Times New Roman" w:hAnsi="Times New Roman"/>
                <w:b/>
                <w:noProof/>
                <w:color w:val="000000" w:themeColor="text1"/>
                <w:sz w:val="18"/>
              </w:rPr>
              <w:t>Qualitative</w:t>
            </w:r>
            <w:r>
              <w:rPr>
                <w:rFonts w:ascii="Times New Roman" w:hAnsi="Times New Roman"/>
                <w:b/>
                <w:noProof/>
                <w:color w:val="000000" w:themeColor="text1"/>
                <w:sz w:val="18"/>
              </w:rPr>
              <w:t xml:space="preserve"> Indikatoren (für Etappenziele)</w:t>
            </w:r>
            <w:r>
              <w:rPr>
                <w:noProof/>
              </w:rPr>
              <w:t xml:space="preserve">  </w:t>
            </w:r>
            <w:r>
              <w:rPr>
                <w:noProof/>
              </w:rPr>
              <w:br/>
            </w:r>
            <w:r>
              <w:rPr>
                <w:rFonts w:ascii="Times New Roman" w:hAnsi="Times New Roman"/>
                <w:b/>
                <w:noProof/>
                <w:color w:val="000000" w:themeColor="text1"/>
                <w:sz w:val="18"/>
              </w:rPr>
              <w:t>(für Ziele)</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07C9F690"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 xml:space="preserve">Vorläufiger Zeitplan für die Fertigstellung </w:t>
            </w:r>
          </w:p>
        </w:tc>
        <w:tc>
          <w:tcPr>
            <w:tcW w:w="29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376C7589"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Beschreibung der einzelnen Etappenziele und Zielvorgaben</w:t>
            </w:r>
          </w:p>
        </w:tc>
      </w:tr>
      <w:tr w:rsidR="00EB245A" w14:paraId="3D73BA9B" w14:textId="77777777" w:rsidTr="00A76CD4">
        <w:trPr>
          <w:trHeight w:val="689"/>
        </w:trPr>
        <w:tc>
          <w:tcPr>
            <w:tcW w:w="802" w:type="dxa"/>
            <w:vMerge/>
            <w:vAlign w:val="center"/>
          </w:tcPr>
          <w:p w14:paraId="562C75D1"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865" w:type="dxa"/>
            <w:vMerge/>
            <w:vAlign w:val="center"/>
          </w:tcPr>
          <w:p w14:paraId="664355AD"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166" w:type="dxa"/>
            <w:vMerge/>
            <w:vAlign w:val="center"/>
          </w:tcPr>
          <w:p w14:paraId="1A965116"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721" w:type="dxa"/>
            <w:vMerge/>
            <w:vAlign w:val="center"/>
          </w:tcPr>
          <w:p w14:paraId="7DF4E37C"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965" w:type="dxa"/>
            <w:vMerge/>
            <w:vAlign w:val="center"/>
          </w:tcPr>
          <w:p w14:paraId="44FB30F8"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04D9C059"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Maßeinheit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46D61D3B"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 xml:space="preserve">Ausgangslage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44FCF72C"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Ziel</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16B0A478"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Viertel</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07C5301E"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Jahre</w:t>
            </w:r>
          </w:p>
        </w:tc>
        <w:tc>
          <w:tcPr>
            <w:tcW w:w="2968" w:type="dxa"/>
            <w:vMerge/>
            <w:vAlign w:val="center"/>
          </w:tcPr>
          <w:p w14:paraId="1DA6542E"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r>
      <w:tr w:rsidR="00EB245A" w14:paraId="18EE5016" w14:textId="77777777" w:rsidTr="00A76CD4">
        <w:trPr>
          <w:trHeight w:val="313"/>
        </w:trPr>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4C1D538" w14:textId="7EF42468" w:rsidR="00EB245A" w:rsidRDefault="006021EE">
            <w:pPr>
              <w:pStyle w:val="P68B1DB1-Normal011"/>
              <w:spacing w:after="0" w:line="240" w:lineRule="auto"/>
              <w:jc w:val="center"/>
              <w:rPr>
                <w:rFonts w:eastAsia="Times New Roman" w:cs="Times New Roman"/>
                <w:noProof/>
                <w:color w:val="000000"/>
              </w:rPr>
            </w:pPr>
            <w:r>
              <w:rPr>
                <w:noProof/>
              </w:rPr>
              <w:t>A51G</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A7E250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A4.1 Wirksame Arbeitsmarktinstitutionen</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C4669F9"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Meilenstein</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C5B0465" w14:textId="7C2634BA"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r>
              <w:rPr>
                <w:rFonts w:ascii="Times New Roman" w:hAnsi="Times New Roman"/>
                <w:noProof/>
                <w:color w:val="000000" w:themeColor="text1"/>
                <w:sz w:val="18"/>
              </w:rPr>
              <w:t>Inkrafttreten neuer Gesetze über die öffentlichen Arbeitsverwaltungen, die Beschäftigung von Drittstaatsangehörigen und den elektronischen Abschluss bestimmter Arbeitsverträge:</w:t>
            </w:r>
            <w:r>
              <w:rPr>
                <w:noProof/>
              </w:rPr>
              <w:t xml:space="preserve">  </w:t>
            </w:r>
            <w:r>
              <w:rPr>
                <w:noProof/>
              </w:rPr>
              <w:br/>
            </w:r>
            <w:r>
              <w:rPr>
                <w:rFonts w:ascii="Times New Roman" w:hAnsi="Times New Roman"/>
                <w:noProof/>
                <w:color w:val="000000" w:themeColor="text1"/>
                <w:sz w:val="18"/>
              </w:rPr>
              <w:t xml:space="preserve">— Änderung der öffentlichen Arbeitsverwaltungen und aktiver </w:t>
            </w:r>
            <w:r>
              <w:rPr>
                <w:rFonts w:ascii="Times New Roman" w:hAnsi="Times New Roman"/>
                <w:noProof/>
                <w:sz w:val="18"/>
              </w:rPr>
              <w:t>arbeitsmarktpoli</w:t>
            </w:r>
            <w:r>
              <w:rPr>
                <w:rFonts w:ascii="Times New Roman" w:hAnsi="Times New Roman"/>
                <w:noProof/>
                <w:sz w:val="18"/>
              </w:rPr>
              <w:t>tischer Maßnahmen</w:t>
            </w:r>
            <w:r>
              <w:rPr>
                <w:rFonts w:ascii="Times New Roman" w:hAnsi="Times New Roman"/>
                <w:noProof/>
                <w:color w:val="000000" w:themeColor="text1"/>
                <w:sz w:val="18"/>
              </w:rPr>
              <w:t xml:space="preserve"> zur Erhöhung der Erwerbsbeteiligung</w:t>
            </w:r>
            <w:r>
              <w:rPr>
                <w:noProof/>
              </w:rPr>
              <w:t xml:space="preserve"> </w:t>
            </w:r>
            <w:r>
              <w:rPr>
                <w:noProof/>
              </w:rPr>
              <w:br/>
              <w:t xml:space="preserve"> </w:t>
            </w:r>
            <w:r>
              <w:rPr>
                <w:rFonts w:ascii="Times New Roman" w:hAnsi="Times New Roman"/>
                <w:noProof/>
                <w:color w:val="000000" w:themeColor="text1"/>
                <w:sz w:val="18"/>
              </w:rPr>
              <w:t>— Abbau der administrativen Hindernisse für die Beschäftigung von Ausländern</w:t>
            </w:r>
            <w:r>
              <w:rPr>
                <w:noProof/>
              </w:rPr>
              <w:t xml:space="preserve"> </w:t>
            </w:r>
            <w:r>
              <w:rPr>
                <w:noProof/>
              </w:rPr>
              <w:br/>
              <w:t xml:space="preserve"> </w:t>
            </w:r>
            <w:r>
              <w:rPr>
                <w:rFonts w:ascii="Times New Roman" w:hAnsi="Times New Roman"/>
                <w:noProof/>
                <w:color w:val="000000" w:themeColor="text1"/>
                <w:sz w:val="18"/>
              </w:rPr>
              <w:t>— Vereinfachung des Verfahrens zum Abschluss bestimmter Verträge</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035EDD3" w14:textId="60C1B6CF"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Bestimmungen in den Gesetzen über die öffentlichen </w:t>
            </w:r>
            <w:r>
              <w:rPr>
                <w:noProof/>
              </w:rPr>
              <w:t>Arbeitsverwaltungen, die Beschäftigung von Drittstaatsangehörigen und den elektronischen Abschluss bestimmter Arbeitsverträge mit Angabe des Inkrafttretens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1CCBD15" w14:textId="77777777" w:rsidR="00EB245A" w:rsidRDefault="006021EE">
            <w:pPr>
              <w:pStyle w:val="P68B1DB1-Normal012"/>
              <w:pBdr>
                <w:top w:val="nil"/>
                <w:left w:val="nil"/>
                <w:bottom w:val="nil"/>
                <w:right w:val="nil"/>
                <w:between w:val="nil"/>
              </w:pBdr>
              <w:spacing w:after="0" w:line="240" w:lineRule="auto"/>
              <w:rPr>
                <w:noProof/>
              </w:rPr>
            </w:pPr>
            <w:r>
              <w:rPr>
                <w:noProof/>
              </w:rPr>
              <w:t xml:space="preserve"> </w:t>
            </w:r>
          </w:p>
          <w:p w14:paraId="379B4C87" w14:textId="77777777" w:rsidR="00EB245A" w:rsidRDefault="00EB245A">
            <w:pPr>
              <w:rPr>
                <w:noProof/>
              </w:rPr>
            </w:pPr>
          </w:p>
          <w:p w14:paraId="6412F5D0" w14:textId="77777777" w:rsidR="00EB245A" w:rsidRDefault="00EB245A">
            <w:pPr>
              <w:rPr>
                <w:noProof/>
              </w:rPr>
            </w:pPr>
          </w:p>
          <w:p w14:paraId="63BA5FA0" w14:textId="77777777" w:rsidR="00EB245A" w:rsidRDefault="00EB245A">
            <w:pPr>
              <w:rPr>
                <w:noProof/>
              </w:rPr>
            </w:pPr>
          </w:p>
          <w:p w14:paraId="389ACE07" w14:textId="77777777" w:rsidR="00EB245A" w:rsidRDefault="00EB245A">
            <w:pPr>
              <w:rPr>
                <w:noProof/>
              </w:rPr>
            </w:pPr>
          </w:p>
          <w:p w14:paraId="6C9D50E4" w14:textId="77777777" w:rsidR="00EB245A" w:rsidRDefault="00EB245A">
            <w:pPr>
              <w:rPr>
                <w:noProof/>
              </w:rPr>
            </w:pPr>
          </w:p>
          <w:p w14:paraId="1720B3EA" w14:textId="77777777" w:rsidR="00EB245A" w:rsidRDefault="00EB245A">
            <w:pPr>
              <w:rPr>
                <w:noProof/>
              </w:rPr>
            </w:pPr>
          </w:p>
          <w:p w14:paraId="6E9B6C3D" w14:textId="77777777" w:rsidR="00EB245A" w:rsidRDefault="00EB245A">
            <w:pPr>
              <w:rPr>
                <w:noProof/>
              </w:rPr>
            </w:pPr>
          </w:p>
          <w:p w14:paraId="6541CD1D" w14:textId="77777777" w:rsidR="00EB245A" w:rsidRDefault="00EB245A">
            <w:pPr>
              <w:rPr>
                <w:noProof/>
              </w:rPr>
            </w:pPr>
          </w:p>
          <w:p w14:paraId="0B07B728" w14:textId="77777777" w:rsidR="00EB245A" w:rsidRDefault="00EB245A">
            <w:pPr>
              <w:rPr>
                <w:noProof/>
              </w:rPr>
            </w:pPr>
          </w:p>
          <w:p w14:paraId="1A67E32B" w14:textId="77777777" w:rsidR="00EB245A" w:rsidRDefault="00EB245A">
            <w:pPr>
              <w:rPr>
                <w:noProof/>
              </w:rPr>
            </w:pPr>
          </w:p>
          <w:p w14:paraId="180F2A31" w14:textId="77777777" w:rsidR="00EB245A" w:rsidRDefault="00EB245A">
            <w:pPr>
              <w:rPr>
                <w:noProof/>
              </w:rPr>
            </w:pPr>
          </w:p>
          <w:p w14:paraId="56D74F5E" w14:textId="77777777" w:rsidR="00EB245A" w:rsidRDefault="00EB245A">
            <w:pPr>
              <w:rPr>
                <w:noProof/>
              </w:rPr>
            </w:pPr>
          </w:p>
          <w:p w14:paraId="0D170492" w14:textId="77777777" w:rsidR="00EB245A" w:rsidRDefault="00EB245A">
            <w:pPr>
              <w:rPr>
                <w:noProof/>
              </w:rPr>
            </w:pPr>
          </w:p>
          <w:p w14:paraId="142A0355" w14:textId="77777777" w:rsidR="00EB245A" w:rsidRDefault="00EB245A">
            <w:pPr>
              <w:rPr>
                <w:noProof/>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069FD48"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A58E2B"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68D4F30" w14:textId="782DF899" w:rsidR="00EB245A" w:rsidRDefault="006021EE">
            <w:pPr>
              <w:pStyle w:val="P68B1DB1-Normal012"/>
              <w:spacing w:after="0" w:line="240" w:lineRule="auto"/>
              <w:jc w:val="center"/>
              <w:rPr>
                <w:noProof/>
              </w:rPr>
            </w:pPr>
            <w:r>
              <w:rPr>
                <w:noProof/>
              </w:rPr>
              <w:t>Q2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54DE2D5" w14:textId="16A710E0" w:rsidR="00EB245A" w:rsidRDefault="006021EE">
            <w:pPr>
              <w:pStyle w:val="P68B1DB1-Normal012"/>
              <w:spacing w:after="0" w:line="240" w:lineRule="auto"/>
              <w:jc w:val="center"/>
              <w:rPr>
                <w:rFonts w:eastAsia="Times New Roman" w:cs="Times New Roman"/>
                <w:noProof/>
              </w:rPr>
            </w:pPr>
            <w:r>
              <w:rPr>
                <w:noProof/>
              </w:rPr>
              <w:t>2024</w:t>
            </w:r>
          </w:p>
        </w:tc>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0E9CF99" w14:textId="2224E75F"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Inkrafttreten von drei neuen Gesetzen, mit denen neue Bestimmungen </w:t>
            </w:r>
            <w:r>
              <w:rPr>
                <w:noProof/>
              </w:rPr>
              <w:t>eingeführt werden:</w:t>
            </w:r>
          </w:p>
          <w:p w14:paraId="51B90689" w14:textId="223F2EA1" w:rsidR="00EB245A" w:rsidRDefault="006021EE">
            <w:pPr>
              <w:pStyle w:val="Normal0"/>
              <w:spacing w:after="0" w:line="240" w:lineRule="auto"/>
              <w:rPr>
                <w:rFonts w:ascii="Times New Roman" w:eastAsia="Times New Roman" w:hAnsi="Times New Roman" w:cs="Times New Roman"/>
                <w:noProof/>
                <w:color w:val="000000" w:themeColor="text1"/>
                <w:sz w:val="18"/>
              </w:rPr>
            </w:pPr>
            <w:r>
              <w:rPr>
                <w:noProof/>
              </w:rPr>
              <w:t xml:space="preserve">  </w:t>
            </w:r>
            <w:r>
              <w:rPr>
                <w:noProof/>
              </w:rPr>
              <w:br/>
            </w:r>
            <w:r>
              <w:rPr>
                <w:rFonts w:ascii="Times New Roman" w:hAnsi="Times New Roman"/>
                <w:noProof/>
                <w:color w:val="000000" w:themeColor="text1"/>
                <w:sz w:val="18"/>
              </w:rPr>
              <w:t xml:space="preserve">1. Öffentliche Arbeitsverwaltungen und aktive Arbeitsmarktpolitik, um die Erwerbsbeteiligung durch folgende Maßnahmen zu erhöhen: I) Ausweitung der Gruppe der Kunden von Arbeitsämtern auf nicht erwerbstätige Personen; II) Ermittlung </w:t>
            </w:r>
            <w:r>
              <w:rPr>
                <w:rFonts w:ascii="Times New Roman" w:hAnsi="Times New Roman"/>
                <w:noProof/>
                <w:color w:val="000000" w:themeColor="text1"/>
                <w:sz w:val="18"/>
              </w:rPr>
              <w:t>und Kontaktaufnahme mit Nichterwerbspersonen, die potenziell in der Lage sind, einer beruflichen Tätigkeit nachzugehen, iii) Einführung einer Verpflichtung für Arbeitgeber aus dem öffentlichen und privaten Sektor (für Unternehmer, die öffentliche Mittel ve</w:t>
            </w:r>
            <w:r>
              <w:rPr>
                <w:rFonts w:ascii="Times New Roman" w:hAnsi="Times New Roman"/>
                <w:noProof/>
                <w:color w:val="000000" w:themeColor="text1"/>
                <w:sz w:val="18"/>
              </w:rPr>
              <w:t>rwenden, z. B. durch Teilnahme an Ausschreibungen), Stellenangebote bei der zentralen Datenbank für Stellenangebote einzureichen; IV) Verbesserung des Zugangs zum lebenslangen Lernen für Arbeitsuchende durch Finanzierung von Ausbildungskosten aus dem Arbei</w:t>
            </w:r>
            <w:r>
              <w:rPr>
                <w:rFonts w:ascii="Times New Roman" w:hAnsi="Times New Roman"/>
                <w:noProof/>
                <w:color w:val="000000" w:themeColor="text1"/>
                <w:sz w:val="18"/>
              </w:rPr>
              <w:t>tsfonds und Bescheinigung des Erwerbs von Kenntnissen und Fähigkeiten, einschließlich beruflicher Qualifikationen; V) Einführung einer neuen Form der Unterstützung (ein Gutschein für die Weiterbildung) sowohl für Erwerbstätige als auch für Arbeitslose.</w:t>
            </w:r>
          </w:p>
          <w:p w14:paraId="423D42B3" w14:textId="19EF811D"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r>
              <w:rPr>
                <w:noProof/>
              </w:rPr>
              <w:t xml:space="preserve">  </w:t>
            </w:r>
            <w:r>
              <w:rPr>
                <w:noProof/>
              </w:rPr>
              <w:br/>
            </w:r>
            <w:r>
              <w:rPr>
                <w:rFonts w:ascii="Times New Roman" w:hAnsi="Times New Roman"/>
                <w:noProof/>
                <w:color w:val="000000" w:themeColor="text1"/>
                <w:sz w:val="18"/>
              </w:rPr>
              <w:t>2. Abbau administrativer Hindernisse und Straffung der Verfahren für die Beschäftigung von Ausländern: I) Es ist möglich, dass die öffentlichen Arbeitsverwaltungen innerhalb der öffentlichen Arbeitsverwaltungen spezialisierte Dienste (keine separaten Büros</w:t>
            </w:r>
            <w:r>
              <w:rPr>
                <w:rFonts w:ascii="Times New Roman" w:hAnsi="Times New Roman"/>
                <w:noProof/>
                <w:color w:val="000000" w:themeColor="text1"/>
                <w:sz w:val="18"/>
              </w:rPr>
              <w:t>) einrichten, um Ausländer auf dem Arbeitsmarkt sowohl für Arbeitnehmer als auch für Arbeitslose zu unterstützen; II) die Rolle der öffentlichen Arbeitsverwaltungen bei der Erteilung von Arbeitserlaubnissen für Ausländer gestärkt wird, wodurch dies effizie</w:t>
            </w:r>
            <w:r>
              <w:rPr>
                <w:rFonts w:ascii="Times New Roman" w:hAnsi="Times New Roman"/>
                <w:noProof/>
                <w:color w:val="000000" w:themeColor="text1"/>
                <w:sz w:val="18"/>
              </w:rPr>
              <w:t>nter wird; III) Bestimmungen zur Schaffung eines Rahmens für die vollständige Digitalisierung der Verfahren zur Erlangung einer Arbeitserlaubnis für Ausländer treten in Kraft; IV) Bestimmungen über die Integration und Bestimmungen zur Stärkung der Kontroll</w:t>
            </w:r>
            <w:r>
              <w:rPr>
                <w:rFonts w:ascii="Times New Roman" w:hAnsi="Times New Roman"/>
                <w:noProof/>
                <w:color w:val="000000" w:themeColor="text1"/>
                <w:sz w:val="18"/>
              </w:rPr>
              <w:t xml:space="preserve">dienste zur Überwachung der Rechtmäßigkeit der Beschäftigung treten in Kraft. </w:t>
            </w:r>
          </w:p>
          <w:p w14:paraId="52B62F77" w14:textId="5F552982"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r>
              <w:rPr>
                <w:noProof/>
              </w:rPr>
              <w:t xml:space="preserve">  </w:t>
            </w:r>
            <w:r>
              <w:rPr>
                <w:noProof/>
              </w:rPr>
              <w:br/>
            </w:r>
            <w:r>
              <w:rPr>
                <w:rFonts w:ascii="Times New Roman" w:hAnsi="Times New Roman"/>
                <w:noProof/>
                <w:color w:val="000000" w:themeColor="text1"/>
                <w:sz w:val="18"/>
              </w:rPr>
              <w:t>3. Über den elektronischen Abschluss bestimmter Verträge, um das Einstellungsverfahren zu vereinfachen. Durch Rechtsvorschriften wird die Möglichkeit eingeführt, bestimmte Ar</w:t>
            </w:r>
            <w:r>
              <w:rPr>
                <w:rFonts w:ascii="Times New Roman" w:hAnsi="Times New Roman"/>
                <w:noProof/>
                <w:color w:val="000000" w:themeColor="text1"/>
                <w:sz w:val="18"/>
              </w:rPr>
              <w:t>beitsverträge elektronisch abzuschließen und abzuschließen, die in die Sozialversicherungs- und Steuersysteme integriert sind. Dies erleichtert den Eintritt in ein Arbeitsverhältnis.</w:t>
            </w:r>
          </w:p>
        </w:tc>
      </w:tr>
      <w:tr w:rsidR="00EB245A" w14:paraId="4D9D8288" w14:textId="77777777" w:rsidTr="00A76CD4">
        <w:trPr>
          <w:trHeight w:val="313"/>
        </w:trPr>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028211" w14:textId="7725A808"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A52G</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23BB20B"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A4.1 Wirksame Arbeitsmarktinstitutionen</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598856B"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Meilenstein</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BB2B7D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Neue Standards </w:t>
            </w:r>
            <w:r>
              <w:rPr>
                <w:noProof/>
              </w:rPr>
              <w:t>und Leistungsrahmen für die Arbeitsweise und Koordinierung der öffentlichen Arbeitsverwaltungen</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058A95" w14:textId="54D0721C" w:rsidR="00EB245A" w:rsidRDefault="006021EE">
            <w:pPr>
              <w:pStyle w:val="P68B1DB1-Normal012"/>
              <w:spacing w:after="0" w:line="240" w:lineRule="auto"/>
              <w:rPr>
                <w:rFonts w:eastAsia="Times New Roman" w:cs="Times New Roman"/>
                <w:noProof/>
              </w:rPr>
            </w:pPr>
            <w:r>
              <w:rPr>
                <w:noProof/>
              </w:rPr>
              <w:t>Annahme durch das Ministerium für Familie, Arbeit und Sozialpolitik (MRiPS)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05B441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7B578C6"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FA429CE"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D0FD3D3" w14:textId="44D3DFAD" w:rsidR="00EB245A" w:rsidRDefault="006021EE">
            <w:pPr>
              <w:pStyle w:val="P68B1DB1-Normal012"/>
              <w:spacing w:after="0" w:line="240" w:lineRule="auto"/>
              <w:jc w:val="center"/>
              <w:rPr>
                <w:rFonts w:eastAsia="Times New Roman" w:cs="Times New Roman"/>
                <w:noProof/>
              </w:rPr>
            </w:pPr>
            <w:r>
              <w:rPr>
                <w:noProof/>
              </w:rPr>
              <w:t>Q4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ED0F85E" w14:textId="6CEC9460" w:rsidR="00EB245A" w:rsidRDefault="006021EE">
            <w:pPr>
              <w:pStyle w:val="P68B1DB1-Normal012"/>
              <w:spacing w:after="0" w:line="240" w:lineRule="auto"/>
              <w:jc w:val="center"/>
              <w:rPr>
                <w:rFonts w:eastAsia="Times New Roman" w:cs="Times New Roman"/>
                <w:noProof/>
              </w:rPr>
            </w:pPr>
            <w:r>
              <w:rPr>
                <w:noProof/>
              </w:rPr>
              <w:t>2024</w:t>
            </w:r>
          </w:p>
        </w:tc>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48DC5FE" w14:textId="14CD55FC"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r>
              <w:rPr>
                <w:rFonts w:ascii="Times New Roman" w:hAnsi="Times New Roman"/>
                <w:noProof/>
                <w:color w:val="000000" w:themeColor="text1"/>
                <w:sz w:val="18"/>
              </w:rPr>
              <w:t xml:space="preserve">Neue Leistungsstandards und Leistungsrahmen für das Management, </w:t>
            </w:r>
            <w:r>
              <w:rPr>
                <w:rFonts w:ascii="Times New Roman" w:hAnsi="Times New Roman"/>
                <w:noProof/>
                <w:color w:val="000000" w:themeColor="text1"/>
                <w:sz w:val="18"/>
              </w:rPr>
              <w:t>einschließlich:</w:t>
            </w:r>
            <w:r>
              <w:rPr>
                <w:noProof/>
              </w:rPr>
              <w:t xml:space="preserve">  </w:t>
            </w:r>
            <w:r>
              <w:rPr>
                <w:noProof/>
              </w:rPr>
              <w:br/>
            </w:r>
            <w:r>
              <w:rPr>
                <w:rFonts w:ascii="Times New Roman" w:hAnsi="Times New Roman"/>
                <w:noProof/>
                <w:color w:val="000000" w:themeColor="text1"/>
                <w:sz w:val="18"/>
              </w:rPr>
              <w:t>— Anpassungen der neuen Gesetze über die öffentlichen Arbeitsverwaltungen, über die Beschäftigung von Drittstaatsangehörigen und über den elektronischen Abschluss bestimmter Arbeitsverträge,</w:t>
            </w:r>
            <w:r>
              <w:rPr>
                <w:noProof/>
              </w:rPr>
              <w:t xml:space="preserve"> </w:t>
            </w:r>
            <w:r>
              <w:rPr>
                <w:noProof/>
              </w:rPr>
              <w:br/>
              <w:t xml:space="preserve"> </w:t>
            </w:r>
            <w:r>
              <w:rPr>
                <w:rFonts w:ascii="Times New Roman" w:hAnsi="Times New Roman"/>
                <w:noProof/>
                <w:color w:val="000000" w:themeColor="text1"/>
                <w:sz w:val="18"/>
              </w:rPr>
              <w:t>— Einrichtung eines Leistungsmanagementsystem</w:t>
            </w:r>
            <w:r>
              <w:rPr>
                <w:rFonts w:ascii="Times New Roman" w:hAnsi="Times New Roman"/>
                <w:noProof/>
                <w:color w:val="000000" w:themeColor="text1"/>
                <w:sz w:val="18"/>
              </w:rPr>
              <w:t>s für dezentrale öffentliche Arbeitsverwaltungen,</w:t>
            </w:r>
            <w:r>
              <w:rPr>
                <w:noProof/>
              </w:rPr>
              <w:t xml:space="preserve"> </w:t>
            </w:r>
            <w:r>
              <w:rPr>
                <w:noProof/>
              </w:rPr>
              <w:br/>
              <w:t xml:space="preserve"> </w:t>
            </w:r>
            <w:r>
              <w:rPr>
                <w:rFonts w:ascii="Times New Roman" w:hAnsi="Times New Roman"/>
                <w:noProof/>
                <w:color w:val="000000" w:themeColor="text1"/>
                <w:sz w:val="18"/>
              </w:rPr>
              <w:t>— Entwicklung neuer Arbeitsmethoden und Standards für das Funktionieren und die Koordinierung der öffentlichen Arbeitsverwaltungen auf der Grundlage der verabschiedeten neuen Verordnungen (um diese zu ope</w:t>
            </w:r>
            <w:r>
              <w:rPr>
                <w:rFonts w:ascii="Times New Roman" w:hAnsi="Times New Roman"/>
                <w:noProof/>
                <w:color w:val="000000" w:themeColor="text1"/>
                <w:sz w:val="18"/>
              </w:rPr>
              <w:t>rationalisieren und zu optimieren; die Entwicklung neuer Kundendienststandards erfolgt mit Kofinanzierung aus dem ESF+).</w:t>
            </w:r>
          </w:p>
        </w:tc>
      </w:tr>
      <w:tr w:rsidR="00EB245A" w14:paraId="78EA2D86" w14:textId="77777777" w:rsidTr="00A76CD4">
        <w:trPr>
          <w:trHeight w:val="313"/>
        </w:trPr>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440C04" w14:textId="7AAC3DA7"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A53G</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53C7DB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A4.1 Wirksame Arbeitsmarktinstitutionen</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7E671A0"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Meilenstein</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DAFA44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Durchführung eines Konsultationsprozesses der Sozialpartner zum Potenzial von</w:t>
            </w:r>
            <w:r>
              <w:rPr>
                <w:noProof/>
              </w:rPr>
              <w:t xml:space="preserve"> Tarifverträgen und Durchführung einer umfassenden Studie über die potenzielle Rolle eines einzigen Arbeitsvertrags bei der Schaffung neuer Flexibilität und Sicherheit auf dem polnischen Arbeitsmarkt</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39491C" w14:textId="44704ECE"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Veröffentlichung eines Berichts über die Konsultation de</w:t>
            </w:r>
            <w:r>
              <w:rPr>
                <w:noProof/>
              </w:rPr>
              <w:t>r Sozialpartner durch das Ministerium für Familie und Sozialpolitik (MRiPS)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E64FEAB"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5B8C8A"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48DBDE2"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0263436"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57ED589"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2022</w:t>
            </w:r>
          </w:p>
        </w:tc>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A58D10"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Ziel der Konsultation der Sozialpartner ist es, die Rolle und das Potenzial von Tarifverträgen auf dem polnischen Arbeitsmarkt zu ermitteln, um neue Flexibilitätsmöglichkeiten im Einklang mit neuen und sich rasch verändernden Gegebenheiten zu schaffen. Es </w:t>
            </w:r>
            <w:r>
              <w:rPr>
                <w:noProof/>
              </w:rPr>
              <w:t>ist eine Studie durchzuführen, um das Potenzial eines möglichen einzigen Arbeitsvertrags zu untersuchen, analytische und rechtliche Grundlagen zu liefern und vergleichende Analysen zu verwenden. Sie kann mit Unterstützung internationaler Organisationen und</w:t>
            </w:r>
            <w:r>
              <w:rPr>
                <w:noProof/>
              </w:rPr>
              <w:t xml:space="preserve">/oder mit spezieller technischer Hilfe entwickelt werden. </w:t>
            </w:r>
          </w:p>
        </w:tc>
      </w:tr>
      <w:tr w:rsidR="00EB245A" w14:paraId="635CFE29" w14:textId="77777777" w:rsidTr="00A76CD4">
        <w:trPr>
          <w:trHeight w:val="313"/>
        </w:trPr>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6DE38F6" w14:textId="3CC62E86"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A54G</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BD55F7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A4.1 Wirksame Arbeitsmarktinstitutionen</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174ED5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Meilenstein</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5834AEB"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Inkrafttreten einer Änderung der einschlägigen Gesetze zur Umsetzung der Reformprioritäten, die in der Konsultation zu Tarifverträgen und </w:t>
            </w:r>
            <w:r>
              <w:rPr>
                <w:noProof/>
              </w:rPr>
              <w:t>in der Studie über einen einzigen Arbeitsvertrag in Polen ermittelt wurden</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D1ABA93" w14:textId="5C747596"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Bestimmung in der Änderung einschlägiger Gesetze, aus denen hervorgeht, dass sie in Kraft treten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52D7DC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835728"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6FD6BF3"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1C7C0D8"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5689B90"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2024</w:t>
            </w:r>
          </w:p>
        </w:tc>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7ADEBCE" w14:textId="238C1F16"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Inkrafttreten einer Änderung der einschlägigen Gesetze zur Umsetzung </w:t>
            </w:r>
            <w:r>
              <w:rPr>
                <w:noProof/>
              </w:rPr>
              <w:t>der Reformprioritäten, die in der Studie über die potenzielle Rolle des Einzelarbeitsvertrags und gemäß der Konsultation zu Tarifverträgen ermittelt wurden.</w:t>
            </w:r>
          </w:p>
        </w:tc>
      </w:tr>
      <w:tr w:rsidR="00EB245A" w14:paraId="5346AC47" w14:textId="77777777" w:rsidTr="00A76CD4">
        <w:trPr>
          <w:trHeight w:val="313"/>
        </w:trPr>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A19E73" w14:textId="19F39217"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A55G</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6B9384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A4.1.1 Investitionen zur Unterstützung der Reform der Arbeitsmarktinstitutionen</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05E76AE"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0810EE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Öffentliche Arbeitsverwaltung (ÖAV), in der modernisierte IT-Systeme eingeführt werden sollen</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EEEC1A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9F3FE7E"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(Prozent)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6BB521"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2B72823"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3288100"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764896" w14:textId="4B05286D" w:rsidR="00EB245A" w:rsidRDefault="006021EE">
            <w:pPr>
              <w:pStyle w:val="P68B1DB1-Normal012"/>
              <w:spacing w:after="0" w:line="240" w:lineRule="auto"/>
              <w:jc w:val="center"/>
              <w:rPr>
                <w:rFonts w:eastAsia="Times New Roman" w:cs="Times New Roman"/>
                <w:noProof/>
              </w:rPr>
            </w:pPr>
            <w:r>
              <w:rPr>
                <w:noProof/>
              </w:rPr>
              <w:t>2026</w:t>
            </w:r>
          </w:p>
        </w:tc>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532881" w14:textId="24686B5B"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r>
              <w:rPr>
                <w:rFonts w:ascii="Times New Roman" w:hAnsi="Times New Roman"/>
                <w:noProof/>
                <w:color w:val="000000" w:themeColor="text1"/>
                <w:sz w:val="18"/>
              </w:rPr>
              <w:t>Anteil der öffentlichen Arbeitsverwaltung (Büros), in denen die IT-Systeme eingesetzt werden. Die Umsetzung umfasst:</w:t>
            </w:r>
            <w:r>
              <w:rPr>
                <w:noProof/>
              </w:rPr>
              <w:t xml:space="preserve">  </w:t>
            </w:r>
            <w:r>
              <w:rPr>
                <w:noProof/>
              </w:rPr>
              <w:br/>
            </w:r>
            <w:r>
              <w:rPr>
                <w:rFonts w:ascii="Times New Roman" w:hAnsi="Times New Roman"/>
                <w:noProof/>
                <w:color w:val="000000" w:themeColor="text1"/>
                <w:sz w:val="18"/>
              </w:rPr>
              <w:t xml:space="preserve">Modernisierung </w:t>
            </w:r>
            <w:r>
              <w:rPr>
                <w:rFonts w:ascii="Times New Roman" w:hAnsi="Times New Roman"/>
                <w:noProof/>
                <w:color w:val="000000" w:themeColor="text1"/>
                <w:sz w:val="18"/>
              </w:rPr>
              <w:t>des IT-Systems (Umsetzung neuer Funktionen des derzeitigen IT-Systems, Anpassung an die neuen Aufgaben gemäß dem neuen Gesetz, z. B. neue Aufgaben von Dienstleistungen für Ausländer), um die Verfahren der aktiven Arbeitsmarktpolitik (ALMP) und der öffentli</w:t>
            </w:r>
            <w:r>
              <w:rPr>
                <w:rFonts w:ascii="Times New Roman" w:hAnsi="Times New Roman"/>
                <w:noProof/>
                <w:color w:val="000000" w:themeColor="text1"/>
                <w:sz w:val="18"/>
              </w:rPr>
              <w:t xml:space="preserve">chen Arbeitsverwaltungen (ÖAV) und die digitalen Instrumente für aktive arbeitsmarktpolitische Maßnahmen in den öffentlichen Arbeitsverwaltungen wirksam zu verwalten und in relevanten Bereichen mit Daten aus anderen ergänzenden IT-Systemen (einschließlich </w:t>
            </w:r>
            <w:r>
              <w:rPr>
                <w:rFonts w:ascii="Times New Roman" w:hAnsi="Times New Roman"/>
                <w:noProof/>
                <w:color w:val="000000" w:themeColor="text1"/>
                <w:sz w:val="18"/>
              </w:rPr>
              <w:t>Sozialversicherungs- und Steuerregistern) zu integrieren;</w:t>
            </w:r>
            <w:r>
              <w:rPr>
                <w:noProof/>
              </w:rPr>
              <w:t xml:space="preserve">  </w:t>
            </w:r>
            <w:r>
              <w:rPr>
                <w:noProof/>
              </w:rPr>
              <w:br/>
            </w:r>
            <w:r>
              <w:rPr>
                <w:rFonts w:ascii="Times New Roman" w:hAnsi="Times New Roman"/>
                <w:noProof/>
                <w:color w:val="000000" w:themeColor="text1"/>
                <w:sz w:val="18"/>
              </w:rPr>
              <w:t>— Digitalisierung der von den öffentlichen Arbeitsverwaltungen verwendeten Prozesse und Instrumente;</w:t>
            </w:r>
            <w:r>
              <w:rPr>
                <w:noProof/>
              </w:rPr>
              <w:t xml:space="preserve">  </w:t>
            </w:r>
            <w:r>
              <w:rPr>
                <w:noProof/>
              </w:rPr>
              <w:br/>
            </w:r>
            <w:r>
              <w:rPr>
                <w:rFonts w:ascii="Times New Roman" w:hAnsi="Times New Roman"/>
                <w:noProof/>
                <w:color w:val="000000" w:themeColor="text1"/>
                <w:sz w:val="18"/>
              </w:rPr>
              <w:t>— Modernisierung bestehender oder Einführung neuer IT-Lösungen, die von den öffentlichen Arbe</w:t>
            </w:r>
            <w:r>
              <w:rPr>
                <w:rFonts w:ascii="Times New Roman" w:hAnsi="Times New Roman"/>
                <w:noProof/>
                <w:color w:val="000000" w:themeColor="text1"/>
                <w:sz w:val="18"/>
              </w:rPr>
              <w:t>itsverwaltungen genutzt werden, und zur Unterstützung von ÖAV-Kunden;</w:t>
            </w:r>
            <w:r>
              <w:rPr>
                <w:noProof/>
              </w:rPr>
              <w:t xml:space="preserve">  </w:t>
            </w:r>
            <w:r>
              <w:rPr>
                <w:noProof/>
              </w:rPr>
              <w:br/>
            </w:r>
            <w:r>
              <w:rPr>
                <w:rFonts w:ascii="Times New Roman" w:hAnsi="Times New Roman"/>
                <w:noProof/>
                <w:color w:val="000000" w:themeColor="text1"/>
                <w:sz w:val="18"/>
              </w:rPr>
              <w:t>— Ausbau der IKT-Infrastruktur der ÖAV;</w:t>
            </w:r>
            <w:r>
              <w:rPr>
                <w:noProof/>
              </w:rPr>
              <w:t xml:space="preserve">  </w:t>
            </w:r>
            <w:r>
              <w:rPr>
                <w:noProof/>
              </w:rPr>
              <w:br/>
            </w:r>
            <w:r>
              <w:rPr>
                <w:rFonts w:ascii="Times New Roman" w:hAnsi="Times New Roman"/>
                <w:noProof/>
                <w:color w:val="000000" w:themeColor="text1"/>
                <w:sz w:val="18"/>
              </w:rPr>
              <w:t>— Einführung neuer Kommunikationsinstrumente (einschließlich IT) mit den Kunden.</w:t>
            </w:r>
          </w:p>
        </w:tc>
      </w:tr>
      <w:tr w:rsidR="00EB245A" w14:paraId="18D62F36" w14:textId="77777777" w:rsidTr="00A76CD4">
        <w:trPr>
          <w:trHeight w:val="313"/>
        </w:trPr>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CB76B51" w14:textId="303833CE"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A56G</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1175B9B"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A4.1.1 Investitionen zur Unterstützung der Reform der </w:t>
            </w:r>
            <w:r>
              <w:rPr>
                <w:noProof/>
              </w:rPr>
              <w:t>Arbeitsmarktinstitutionen</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531FA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8FA922" w14:textId="622ECF60"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Mitarbeiter der öffentlichen Arbeitsverwaltung (ÖAV) geschult in der Anwendung neuer Verfahren und der Nutzung von IT-Tools, die infolge der neuen Gesetze über öffentliche Arbeitsverwaltungen, über die Beschäftigung von Dritt</w:t>
            </w:r>
            <w:r>
              <w:rPr>
                <w:noProof/>
              </w:rPr>
              <w:t>staatsangehörigen und über den elektronischen Abschluss bestimmter Arbeitsverträge eingeführt wurden</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C7E31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44A87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(Prozent)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AF8648"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EC8893D"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97E03F" w14:textId="1FECB9B0" w:rsidR="00EB245A" w:rsidRDefault="006021EE">
            <w:pPr>
              <w:pStyle w:val="P68B1DB1-Normal012"/>
              <w:spacing w:after="0" w:line="240" w:lineRule="auto"/>
              <w:jc w:val="center"/>
              <w:rPr>
                <w:rFonts w:eastAsia="Times New Roman" w:cs="Times New Roman"/>
                <w:noProof/>
              </w:rPr>
            </w:pPr>
            <w:r>
              <w:rPr>
                <w:noProof/>
              </w:rPr>
              <w:t>Q2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78E455" w14:textId="579C517A" w:rsidR="00EB245A" w:rsidRDefault="006021EE">
            <w:pPr>
              <w:pStyle w:val="P68B1DB1-Normal012"/>
              <w:spacing w:after="0" w:line="240" w:lineRule="auto"/>
              <w:jc w:val="center"/>
              <w:rPr>
                <w:rFonts w:eastAsia="Times New Roman" w:cs="Times New Roman"/>
                <w:noProof/>
              </w:rPr>
            </w:pPr>
            <w:r>
              <w:rPr>
                <w:noProof/>
              </w:rPr>
              <w:t>2026</w:t>
            </w:r>
          </w:p>
        </w:tc>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829B1A5" w14:textId="16C7A2CD"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Die Beschäftigten der öffentlichen Arbeitsverwaltung (ÖAV) müssen eine Schulung zu den neuen Verfahren und Standards </w:t>
            </w:r>
            <w:r>
              <w:rPr>
                <w:noProof/>
              </w:rPr>
              <w:t>absolvieren, die in den neuen Gesetzen über die öffentlichen Arbeitsverwaltungen, die Beschäftigung von Drittstaatsangehörigen und über den elektronischen Abschluss bestimmter Arbeitsverträge sowie über IT-Tools und IT-Systeme, mit denen diese neuen Instru</w:t>
            </w:r>
            <w:r>
              <w:rPr>
                <w:noProof/>
              </w:rPr>
              <w:t>mente und Verfahren eingesetzt werden, festgelegt sind. Das Ziel bezieht sich auf einen Prozentsatz des gesamten Personals der öffentlichen Arbeitsverwaltungen, das geschult wurde.</w:t>
            </w:r>
          </w:p>
        </w:tc>
      </w:tr>
      <w:tr w:rsidR="00EB245A" w14:paraId="42779281" w14:textId="77777777" w:rsidTr="00A76CD4">
        <w:trPr>
          <w:trHeight w:val="313"/>
        </w:trPr>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24139B5" w14:textId="36D2C90C" w:rsidR="00EB245A" w:rsidRDefault="006021EE">
            <w:pPr>
              <w:pStyle w:val="P68B1DB1-Normal011"/>
              <w:spacing w:after="0" w:line="240" w:lineRule="auto"/>
              <w:jc w:val="center"/>
              <w:rPr>
                <w:rFonts w:eastAsia="Times New Roman" w:cs="Times New Roman"/>
                <w:noProof/>
                <w:color w:val="000000"/>
              </w:rPr>
            </w:pPr>
            <w:r>
              <w:rPr>
                <w:noProof/>
              </w:rPr>
              <w:t>A57G</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843DFEC" w14:textId="19E7A9DA"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A4.2 Reform zur Verbesserung der Arbeitsmarktsituation von Eltern </w:t>
            </w:r>
            <w:r>
              <w:rPr>
                <w:noProof/>
              </w:rPr>
              <w:t>durch Verbesserung des Zugangs zu hochwertiger Kinderbetreuung für Kinder bis zum Alter von drei Jahren</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98DFDA0"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Meilenstein</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490950" w14:textId="395DB6DF" w:rsidR="00EB245A" w:rsidRDefault="006021EE">
            <w:pPr>
              <w:pStyle w:val="P68B1DB1-Normal012"/>
              <w:pBdr>
                <w:left w:val="nil"/>
                <w:bottom w:val="nil"/>
                <w:right w:val="nil"/>
                <w:between w:val="nil"/>
              </w:pBdr>
              <w:spacing w:after="0" w:line="240" w:lineRule="auto"/>
              <w:rPr>
                <w:rFonts w:eastAsia="Times New Roman" w:cs="Times New Roman"/>
                <w:noProof/>
              </w:rPr>
            </w:pPr>
            <w:r>
              <w:rPr>
                <w:noProof/>
              </w:rPr>
              <w:t>Annahme von Qualitätsstandards für Kinderbetreuung, einschließlich pädagogischer Leitlinien und Standards für Betreuungsdienste für Kinder u</w:t>
            </w:r>
            <w:r>
              <w:rPr>
                <w:noProof/>
              </w:rPr>
              <w:t>nter drei Jahren</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C0EFF0B" w14:textId="6327E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Bestimmung in den einschlägigen Gesetzen über das Inkrafttreten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85448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0342F75"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E6A004A"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BCF9AA" w14:textId="5787C9DC" w:rsidR="00EB245A" w:rsidRDefault="006021EE">
            <w:pPr>
              <w:pStyle w:val="P68B1DB1-Normal012"/>
              <w:spacing w:after="0" w:line="240" w:lineRule="auto"/>
              <w:jc w:val="center"/>
              <w:rPr>
                <w:rFonts w:eastAsia="Times New Roman" w:cs="Times New Roman"/>
                <w:noProof/>
              </w:rPr>
            </w:pPr>
            <w:r>
              <w:rPr>
                <w:noProof/>
              </w:rPr>
              <w:t>Q2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94D2E42" w14:textId="5B3D5E34" w:rsidR="00EB245A" w:rsidRDefault="006021EE">
            <w:pPr>
              <w:pStyle w:val="P68B1DB1-Normal012"/>
              <w:spacing w:after="0" w:line="240" w:lineRule="auto"/>
              <w:jc w:val="center"/>
              <w:rPr>
                <w:rFonts w:eastAsia="Times New Roman" w:cs="Times New Roman"/>
                <w:noProof/>
              </w:rPr>
            </w:pPr>
            <w:r>
              <w:rPr>
                <w:noProof/>
              </w:rPr>
              <w:t>2024</w:t>
            </w:r>
          </w:p>
        </w:tc>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F4E5A3" w14:textId="2DF8967F" w:rsidR="00EB245A" w:rsidRDefault="006021EE">
            <w:pPr>
              <w:pStyle w:val="P68B1DB1-Normal012"/>
              <w:spacing w:after="0" w:line="240" w:lineRule="auto"/>
              <w:rPr>
                <w:rFonts w:eastAsia="Times New Roman" w:cs="Times New Roman"/>
                <w:noProof/>
              </w:rPr>
            </w:pPr>
            <w:r>
              <w:rPr>
                <w:noProof/>
              </w:rPr>
              <w:t xml:space="preserve">Unabhängige Analyse der </w:t>
            </w:r>
            <w:r>
              <w:rPr>
                <w:noProof/>
              </w:rPr>
              <w:t xml:space="preserve">bestehenden Standards für Betreuung und Bildung für Kinder bis zu drei Jahren und Zugang zu hochwertigen und erschwinglichen Systemen der frühkindlichen Betreuung, Bildung und Erziehung. Die Analyse wird unter Berücksichtigung der Empfehlung des Rates vom </w:t>
            </w:r>
            <w:r>
              <w:rPr>
                <w:noProof/>
              </w:rPr>
              <w:t>22. Mai 2019 zu hochwertiger frühkindlicher Betreuung, Bildung und Erziehung (2019/C 189/02) durchgeführt und in einem Bericht vorgelegt, der vom Ministerium für Familie, Arbeit und Sozialpolitik veröffentlicht wird.</w:t>
            </w:r>
          </w:p>
          <w:p w14:paraId="42719EAC" w14:textId="20E88632" w:rsidR="00EB245A" w:rsidRDefault="00EB245A">
            <w:pPr>
              <w:pStyle w:val="Normal0"/>
              <w:spacing w:after="0" w:line="240" w:lineRule="auto"/>
              <w:rPr>
                <w:rFonts w:ascii="Times New Roman" w:eastAsia="Times New Roman" w:hAnsi="Times New Roman" w:cs="Times New Roman"/>
                <w:noProof/>
                <w:color w:val="000000" w:themeColor="text1"/>
                <w:sz w:val="18"/>
              </w:rPr>
            </w:pPr>
          </w:p>
          <w:p w14:paraId="1092F24F" w14:textId="639F151B" w:rsidR="00EB245A" w:rsidRDefault="006021EE">
            <w:pPr>
              <w:pStyle w:val="P68B1DB1-Normal012"/>
              <w:spacing w:after="0" w:line="240" w:lineRule="auto"/>
              <w:rPr>
                <w:noProof/>
                <w:color w:val="000000" w:themeColor="text1"/>
              </w:rPr>
            </w:pPr>
            <w:r>
              <w:rPr>
                <w:noProof/>
              </w:rPr>
              <w:t>Auf der Grundlage der Analyse werden Q</w:t>
            </w:r>
            <w:r>
              <w:rPr>
                <w:noProof/>
              </w:rPr>
              <w:t xml:space="preserve">ualitätsstandards für die Kinderbetreuung, einschließlich pädagogischer Leitlinien und Standards für Betreuungsdienste für Kinder unter drei Jahren, vom Ministerium für Familie, Arbeit und Sozialpolitik mit den Interessenträgern öffentlich konsultiert und </w:t>
            </w:r>
            <w:r>
              <w:rPr>
                <w:noProof/>
              </w:rPr>
              <w:t>vereinbart, und sie treten in Kraft.</w:t>
            </w:r>
          </w:p>
          <w:p w14:paraId="79B31204" w14:textId="68F9A059" w:rsidR="00EB245A" w:rsidRDefault="00EB245A">
            <w:pPr>
              <w:pStyle w:val="Normal0"/>
              <w:spacing w:after="0" w:line="240" w:lineRule="auto"/>
              <w:rPr>
                <w:rFonts w:ascii="Times New Roman" w:hAnsi="Times New Roman"/>
                <w:noProof/>
                <w:color w:val="000000" w:themeColor="text1"/>
                <w:sz w:val="18"/>
              </w:rPr>
            </w:pPr>
          </w:p>
          <w:p w14:paraId="15BC5B7A" w14:textId="57027520" w:rsidR="00EB245A" w:rsidRDefault="006021EE">
            <w:pPr>
              <w:pStyle w:val="P68B1DB1-Normal012"/>
              <w:spacing w:after="0" w:line="240" w:lineRule="auto"/>
              <w:rPr>
                <w:noProof/>
                <w:color w:val="000000" w:themeColor="text1"/>
              </w:rPr>
            </w:pPr>
            <w:r>
              <w:rPr>
                <w:noProof/>
              </w:rPr>
              <w:t>Mit Inkrafttreten einer Änderung des Gesetzes vom 4. Februar 2011 über die Betreuung von Kindern bis zu drei Jahren werden die Mindeststandards für Kinderbetreuungseinrichtungen verbindlich vorgeschrieben. Das Gesetz b</w:t>
            </w:r>
            <w:r>
              <w:rPr>
                <w:noProof/>
              </w:rPr>
              <w:t xml:space="preserve">ildet die Grundlage, auf der das Ministerium für Familie, Arbeit und Sozialpolitik die Leitlinien für die Gemeinden für die Durchführung der Qualitätskontrolle ausarbeiten kann. </w:t>
            </w:r>
          </w:p>
          <w:p w14:paraId="3120967C" w14:textId="293620FD" w:rsidR="00EB245A" w:rsidRDefault="00EB245A">
            <w:pPr>
              <w:pStyle w:val="Normal0"/>
              <w:spacing w:after="0" w:line="240" w:lineRule="auto"/>
              <w:rPr>
                <w:rFonts w:ascii="Times New Roman" w:hAnsi="Times New Roman"/>
                <w:noProof/>
                <w:color w:val="000000"/>
                <w:sz w:val="18"/>
              </w:rPr>
            </w:pPr>
          </w:p>
        </w:tc>
      </w:tr>
      <w:tr w:rsidR="00EB245A" w14:paraId="1ACA9C49" w14:textId="77777777" w:rsidTr="00A76CD4">
        <w:trPr>
          <w:trHeight w:val="313"/>
        </w:trPr>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06154E7" w14:textId="0B3D738B" w:rsidR="00EB245A" w:rsidRDefault="006021EE">
            <w:pPr>
              <w:pStyle w:val="P68B1DB1-Normal011"/>
              <w:pBdr>
                <w:top w:val="nil"/>
                <w:left w:val="nil"/>
                <w:bottom w:val="nil"/>
                <w:right w:val="nil"/>
                <w:between w:val="nil"/>
              </w:pBdr>
              <w:spacing w:after="0" w:line="240" w:lineRule="auto"/>
              <w:jc w:val="center"/>
              <w:rPr>
                <w:rFonts w:cs="Times New Roman"/>
                <w:noProof/>
              </w:rPr>
            </w:pPr>
            <w:r>
              <w:rPr>
                <w:noProof/>
              </w:rPr>
              <w:t>A58G</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102ED4C" w14:textId="5320D2D8"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A4.2 Reform zur Verbesserung der Arbeitsmarktsituation von Eltern </w:t>
            </w:r>
            <w:r>
              <w:rPr>
                <w:noProof/>
              </w:rPr>
              <w:t>durch Verbesserung des Zugangs zu hochwertiger Kinderbetreuung für Kinder bis zum Alter von drei Jahren</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8564C1D" w14:textId="2D45896D"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Meilenstein</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1B29D4B" w14:textId="4EDD4370" w:rsidR="00EB245A" w:rsidRDefault="006021EE">
            <w:pPr>
              <w:pStyle w:val="P68B1DB1-Normal012"/>
              <w:pBdr>
                <w:left w:val="nil"/>
                <w:bottom w:val="nil"/>
                <w:right w:val="nil"/>
                <w:between w:val="nil"/>
              </w:pBdr>
              <w:spacing w:after="0" w:line="240" w:lineRule="auto"/>
              <w:rPr>
                <w:rFonts w:eastAsia="Times New Roman" w:cs="Times New Roman"/>
                <w:noProof/>
                <w:color w:val="000000" w:themeColor="text1"/>
              </w:rPr>
            </w:pPr>
            <w:r>
              <w:rPr>
                <w:noProof/>
              </w:rPr>
              <w:t>Inkrafttreten eines Gesetzes zur Änderung des Gesetzes über die Betreuung von Kindern bis zu drei Jahren zur Gewährleistung einer stabilen l</w:t>
            </w:r>
            <w:r>
              <w:rPr>
                <w:noProof/>
              </w:rPr>
              <w:t>angfristigen Finanzierung der Kinderbetreuungsdienste für Kinder bis zum Alter von drei Jahren</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C493F41" w14:textId="1494FFCD"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Bestimmung des Gesetzes zur Änderung des Gesetzes vom 4. Februar 2011 über die Betreuung von Kindern bis zu drei Jahren unter Angabe seines Inkrafttretens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10C87F0" w14:textId="5AC54268"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8C7EE9B" w14:textId="5C91663F"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919AA24" w14:textId="510C7041"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8A10E41" w14:textId="653B40A2"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0000" w:themeColor="text1"/>
              </w:rPr>
            </w:pPr>
            <w:r>
              <w:rPr>
                <w:noProof/>
              </w:rPr>
              <w:t>Q2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ACB205" w14:textId="2D2B6A95"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2024</w:t>
            </w:r>
          </w:p>
        </w:tc>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D3664ED" w14:textId="0A536D83"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Inkrafttreten eines Gesetzes zur Änderung des Gesetzes vom 4. Februar 2011 über die Betreuung von Kindern bis zu drei Jahren, das eine stabile langfristige Finanzierung aus nationalen Mitteln für die Einrichtung und den Betrieb von Kinderbetreuungs</w:t>
            </w:r>
            <w:r>
              <w:rPr>
                <w:noProof/>
              </w:rPr>
              <w:t>einrichtungen für Kinder bis zu drei Jahren gewährleistet.</w:t>
            </w:r>
          </w:p>
        </w:tc>
      </w:tr>
      <w:tr w:rsidR="00EB245A" w14:paraId="57337D71" w14:textId="77777777" w:rsidTr="00A76CD4">
        <w:trPr>
          <w:trHeight w:val="313"/>
        </w:trPr>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4CBA15" w14:textId="44002DA8"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A59G</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14DB2A5"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A4.2 Reform zur Verbesserung der Arbeitsmarktsituation von Eltern durch Verbesserung des Zugangs zu Kinderbetreuung für Kinder bis zum Alter von drei Jahren</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7AA63C1"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Meilenstein  </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FA64DBC" w14:textId="3A526935"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Inkrafttreten eines </w:t>
            </w:r>
            <w:r>
              <w:rPr>
                <w:noProof/>
              </w:rPr>
              <w:t>Gesetzes zur Änderung des Gesetzes über die Betreuung von Kindern bis zu drei Jahren zur Änderung der Organisation des Systems zur Finanzierung der Betreuung von Kindern bis zum Alter von drei Jahren im Hinblick auf die Einführung eines einheitlichen, kohä</w:t>
            </w:r>
            <w:r>
              <w:rPr>
                <w:noProof/>
              </w:rPr>
              <w:t>renten Finanzmanagementsystems für die Schaffung und den Betrieb von Kinderbetreuungseinrichtungen für Kinder bis zu drei Jahren</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6AC6948" w14:textId="3B892764"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Bestimmung im Gesetz zur Änderung des Gesetzes vom 4. Februar 2011 über die Betreuung von Kindern bis zu drei Jahren, aus der d</w:t>
            </w:r>
            <w:r>
              <w:rPr>
                <w:noProof/>
              </w:rPr>
              <w:t>essen Inkrafttreten hervorgeht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A6EE3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E610BE"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4DE1EE"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ACD4F7"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3B3A032"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2022</w:t>
            </w:r>
          </w:p>
        </w:tc>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A3C4715" w14:textId="167C5B63"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r>
              <w:rPr>
                <w:rFonts w:ascii="Times New Roman" w:hAnsi="Times New Roman"/>
                <w:noProof/>
                <w:color w:val="000000" w:themeColor="text1"/>
                <w:sz w:val="18"/>
              </w:rPr>
              <w:t xml:space="preserve">Mit Inkrafttreten eines Gesetzes zur Änderung des Gesetzes vom 4. Februar 2011 über die Betreuung von Kindern bis zu drei Jahren wird die Verwaltung der Finanzierung der Einrichtung und des Betriebs von Kinderbetreuungseinrichtungen gestrafft, indem </w:t>
            </w:r>
            <w:r>
              <w:rPr>
                <w:noProof/>
              </w:rPr>
              <w:t xml:space="preserve">  </w:t>
            </w:r>
            <w:r>
              <w:rPr>
                <w:noProof/>
              </w:rPr>
              <w:br/>
            </w:r>
            <w:r>
              <w:rPr>
                <w:rFonts w:ascii="Times New Roman" w:hAnsi="Times New Roman"/>
                <w:noProof/>
                <w:color w:val="000000" w:themeColor="text1"/>
                <w:sz w:val="18"/>
              </w:rPr>
              <w:t>— E</w:t>
            </w:r>
            <w:r>
              <w:rPr>
                <w:rFonts w:ascii="Times New Roman" w:hAnsi="Times New Roman"/>
                <w:noProof/>
                <w:color w:val="000000" w:themeColor="text1"/>
                <w:sz w:val="18"/>
              </w:rPr>
              <w:t xml:space="preserve">inführung eines einheitlichen, kohärenten Finanzmanagementsystems für die Einrichtung und den Betrieb von Kinderbetreuungseinrichtungen für Kinder bis zum Alter von drei Jahren; </w:t>
            </w:r>
            <w:r>
              <w:rPr>
                <w:noProof/>
              </w:rPr>
              <w:t xml:space="preserve"> </w:t>
            </w:r>
            <w:r>
              <w:rPr>
                <w:noProof/>
              </w:rPr>
              <w:br/>
            </w:r>
            <w:r>
              <w:rPr>
                <w:rFonts w:ascii="Times New Roman" w:hAnsi="Times New Roman"/>
                <w:noProof/>
                <w:color w:val="000000" w:themeColor="text1"/>
                <w:sz w:val="18"/>
              </w:rPr>
              <w:t>— Einbeziehung der Verwaltung der Mittel aus verschiedenen Finanzierungsquel</w:t>
            </w:r>
            <w:r>
              <w:rPr>
                <w:rFonts w:ascii="Times New Roman" w:hAnsi="Times New Roman"/>
                <w:noProof/>
                <w:color w:val="000000" w:themeColor="text1"/>
                <w:sz w:val="18"/>
              </w:rPr>
              <w:t>len im Rahmen des Programms Maluch+.</w:t>
            </w:r>
          </w:p>
        </w:tc>
      </w:tr>
      <w:tr w:rsidR="00EB245A" w14:paraId="5C753F01" w14:textId="77777777" w:rsidTr="00A76CD4">
        <w:trPr>
          <w:trHeight w:val="313"/>
        </w:trPr>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8B94B75" w14:textId="55E464E4"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A60G</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1AC3730"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A4.2.1 Unterstützung für Kinderbetreuungseinrichtungen für Kinder bis zu drei Jahren (Kinderkrippen, Kinderclubs) unter Maluch+</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92256D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Meilenstein</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AAA21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Schaffung eines IT-Systems zur Verwaltung der Finanzierung und Schaffung </w:t>
            </w:r>
            <w:r>
              <w:rPr>
                <w:noProof/>
              </w:rPr>
              <w:t>von Kinderbetreuungseinrichtungen für Kinder bis zu drei Jahren, in dem verschiedene Finanzierungsquellen für die Kinderbetreuung kombiniert werden</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FEE6A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Voll funktionsfähiges IT-System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C6D796"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1831B3" w14:textId="77777777"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E11D2A" w14:textId="77777777"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F6EBCF"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041507C"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2022</w:t>
            </w:r>
          </w:p>
        </w:tc>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00CFDDD" w14:textId="0EA031CE"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Einrichtung und Einführung eines operativen IT-Systems (oder </w:t>
            </w:r>
            <w:r>
              <w:rPr>
                <w:noProof/>
              </w:rPr>
              <w:t>Erweiterung eines der bestehenden Systeme), das dazu dient, Projekte der Endempfänger der finanziellen Unterstützung, d. h. Einrichtungen, die Kinderbetreuungseinrichtungen einrichten und betreiben, in jeder Phase ihrer Umsetzung zu unterstützen. Das Syste</w:t>
            </w:r>
            <w:r>
              <w:rPr>
                <w:noProof/>
              </w:rPr>
              <w:t>m wird auch von den Einrichtungen genutzt, die die Reform überwachen und durchführen.</w:t>
            </w:r>
          </w:p>
        </w:tc>
      </w:tr>
      <w:tr w:rsidR="00EB245A" w14:paraId="56737D5F" w14:textId="77777777" w:rsidTr="00A76CD4">
        <w:trPr>
          <w:trHeight w:val="313"/>
        </w:trPr>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69B972E" w14:textId="35FF5705"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A61G</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9CF8C49"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A4.2.1 Unterstützung für Kinderbetreuungseinrichtungen für Kinder bis zu drei Jahren (Kinderkrippen, Kinderclubs) unter Maluch+</w:t>
            </w:r>
          </w:p>
          <w:p w14:paraId="31126E5D"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C40A595"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B8F10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Schaffung neuer Plätze in </w:t>
            </w:r>
            <w:r>
              <w:rPr>
                <w:noProof/>
              </w:rPr>
              <w:t>Kinderbetreuungseinrichtungen (Kinderkrippen, Kinderclubs) für Kinder bis zu drei Jahren</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D9D494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D4AEED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0C630B7" w14:textId="2F9AF243"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A5541A" w14:textId="26C673E2"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47500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DC41FC3"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CFB499"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2026</w:t>
            </w:r>
          </w:p>
        </w:tc>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95BC9CD" w14:textId="29A0B108"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r>
              <w:rPr>
                <w:rFonts w:ascii="Times New Roman" w:hAnsi="Times New Roman"/>
                <w:noProof/>
                <w:color w:val="000000" w:themeColor="text1"/>
                <w:sz w:val="18"/>
              </w:rPr>
              <w:t>Die Schaffung und Entwicklung von Infrastrukturen im Bereich der Kinderbetreuung bis zu drei Jahren umfasst:</w:t>
            </w:r>
            <w:r>
              <w:rPr>
                <w:noProof/>
              </w:rPr>
              <w:t xml:space="preserve">  </w:t>
            </w:r>
            <w:r>
              <w:rPr>
                <w:noProof/>
              </w:rPr>
              <w:br/>
            </w:r>
            <w:r>
              <w:rPr>
                <w:rFonts w:ascii="Times New Roman" w:hAnsi="Times New Roman"/>
                <w:noProof/>
                <w:color w:val="000000" w:themeColor="text1"/>
                <w:sz w:val="18"/>
              </w:rPr>
              <w:t xml:space="preserve">— Bau oder Renovierung von </w:t>
            </w:r>
            <w:r>
              <w:rPr>
                <w:rFonts w:ascii="Times New Roman" w:hAnsi="Times New Roman"/>
                <w:noProof/>
                <w:color w:val="000000" w:themeColor="text1"/>
                <w:sz w:val="18"/>
              </w:rPr>
              <w:t>Kinderkrippen und Kinderclubs (nach den Grundsätzen des universellen Designs);</w:t>
            </w:r>
            <w:r>
              <w:rPr>
                <w:noProof/>
              </w:rPr>
              <w:t xml:space="preserve">  </w:t>
            </w:r>
            <w:r>
              <w:rPr>
                <w:noProof/>
              </w:rPr>
              <w:br/>
            </w:r>
            <w:r>
              <w:rPr>
                <w:rFonts w:ascii="Times New Roman" w:hAnsi="Times New Roman"/>
                <w:noProof/>
                <w:color w:val="000000" w:themeColor="text1"/>
                <w:sz w:val="18"/>
              </w:rPr>
              <w:t>— Erwerb von Immobilien und Infrastruktur (Erwerb von Grundstücken oder Räumlichkeiten).</w:t>
            </w:r>
            <w:r>
              <w:rPr>
                <w:noProof/>
              </w:rPr>
              <w:t xml:space="preserve">  </w:t>
            </w:r>
            <w:r>
              <w:rPr>
                <w:noProof/>
              </w:rPr>
              <w:br/>
            </w:r>
            <w:r>
              <w:rPr>
                <w:rFonts w:ascii="Times New Roman" w:hAnsi="Times New Roman"/>
                <w:noProof/>
                <w:color w:val="000000" w:themeColor="text1"/>
                <w:sz w:val="18"/>
              </w:rPr>
              <w:t>Das Ziel gilt für Kinderkrippen und Kinderclubs. Das Ziel gilt für den Bau neuer Ein</w:t>
            </w:r>
            <w:r>
              <w:rPr>
                <w:rFonts w:ascii="Times New Roman" w:hAnsi="Times New Roman"/>
                <w:noProof/>
                <w:color w:val="000000" w:themeColor="text1"/>
                <w:sz w:val="18"/>
              </w:rPr>
              <w:t xml:space="preserve">richtungen sowie für Renovierungen und Anpassungen bestehender Einrichtungen für insgesamt mindestens 47500 neue Kinderbetreuungsplätze. </w:t>
            </w:r>
          </w:p>
        </w:tc>
      </w:tr>
      <w:tr w:rsidR="00EB245A" w14:paraId="2C480E26" w14:textId="77777777" w:rsidTr="00A76CD4">
        <w:trPr>
          <w:trHeight w:val="313"/>
        </w:trPr>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947656" w14:textId="1FBA2CA4"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A62G</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B42D35"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A4.3 Umsetzung des Rechtsrahmens für sozialwirtschaftliche Einrichtungen</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3E7754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Meilenstein</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BEC670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Inkrafttreten eines </w:t>
            </w:r>
            <w:r>
              <w:rPr>
                <w:noProof/>
              </w:rPr>
              <w:t>Gesetzes über die Sozialwirtschaft</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8F97C8" w14:textId="41C8AF0D"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Bestimmung des Gesetzes über die Sozialwirtschaft über sein Inkrafttreten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493A24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8840F38"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04F736F"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3B7D198"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177A41D"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2022</w:t>
            </w:r>
          </w:p>
        </w:tc>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AE784BC" w14:textId="123FEA63"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Inkrafttreten eines Gesetzes über die Sozialwirtschaft, in dem die grundlegenden Fragen im Zusammenhang mit diesem Sektor geregelt </w:t>
            </w:r>
            <w:r>
              <w:rPr>
                <w:noProof/>
              </w:rPr>
              <w:t>werden, insbesondere: die Definition eines Sozialunternehmens, die Grundsätze der Funktionsweise und Unterstützung eines sozialwirtschaftlichen Unternehmens, neue Modelle der Zusammenarbeit zwischen sozialwirtschaftlichen Unternehmen und lokalen Gebietskör</w:t>
            </w:r>
            <w:r>
              <w:rPr>
                <w:noProof/>
              </w:rPr>
              <w:t xml:space="preserve">perschaften bei der Umsetzung sozialer Dienstleistungen sowie die Grundsätze der Koordinierung der Politik im Bereich der Entwicklung der Sozialwirtschaft.  </w:t>
            </w:r>
          </w:p>
        </w:tc>
      </w:tr>
      <w:tr w:rsidR="00EB245A" w14:paraId="4E0A7361" w14:textId="77777777" w:rsidTr="00A76CD4">
        <w:trPr>
          <w:trHeight w:val="313"/>
        </w:trPr>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8A771A2" w14:textId="444F508B"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A63G</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6AA1D8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A4.3.1 Investitionsförderungsprogramme, die insbesondere die Entwicklung von Aktivitäten ermöglichen, die Beteiligung an der Umsetzung sozialer Dienstleistungen erhöhen und die Qualität der Integration in sozialwirtschaftliche Einrichtungen verbessern</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6A4B4B"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2F287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Zahl der Einrichtungen, die den Status eines Sozialunternehmens erhalten haben</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C1EE185"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1E7BC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A6AE620"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523CDA8" w14:textId="609FA2B6"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1400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72F91B2"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FF1C3E2"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2025</w:t>
            </w:r>
          </w:p>
        </w:tc>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6DB7F23" w14:textId="101017D4"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Gewährung des Status als Sozialunternehmen an 1400 Einrichtungen. </w:t>
            </w:r>
          </w:p>
        </w:tc>
      </w:tr>
      <w:tr w:rsidR="00EB245A" w14:paraId="0E9E8C5C" w14:textId="77777777" w:rsidTr="00A76CD4">
        <w:trPr>
          <w:trHeight w:val="313"/>
        </w:trPr>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DC3A13" w14:textId="31D1AA7B"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A64G</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85646C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A4.3.1 Investitionsförderungsprogramme, die insbesondere die Entwicklung von </w:t>
            </w:r>
            <w:r>
              <w:rPr>
                <w:noProof/>
              </w:rPr>
              <w:t>Aktivitäten ermöglichen, die Beteiligung an der Umsetzung sozialer Dienstleistungen erhöhen und die Qualität der Integration in sozialwirtschaftliche Einrichtungen verbessern</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51D015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9B499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Zahl der sozialwirtschaftlichen Einrichtungen, einschließlich Sozialunterneh</w:t>
            </w:r>
            <w:r>
              <w:rPr>
                <w:noProof/>
              </w:rPr>
              <w:t>men, die finanzielle Unterstützung erhalten</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A24AB7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7A0EC95"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D56E414"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EE938CE" w14:textId="056E453D"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2E4500"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402C41F"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2025</w:t>
            </w:r>
          </w:p>
        </w:tc>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36A10DF" w14:textId="55B4BBB5"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Gewährung von Zuschüssen für mindestens 1000 sozialwirtschaftliche Einrichtungen, einschließlich Sozialunternehmen, die zur Erhaltung von Arbeitsplätzen, zur Erhöhung des Finanzumsatzes </w:t>
            </w:r>
            <w:r>
              <w:rPr>
                <w:noProof/>
              </w:rPr>
              <w:t>oder zur Einführung einer Änderung der Wirtschaftstätigkeit (Ausweitung des Umfangs, der Form der Tätigkeit oder des Branchenwechsels) führen. Die Beschäftigung in Einrichtungen, die Finanzhilfen erhalten, muss mindestens 12 Monate nach dem Tag der Gewähru</w:t>
            </w:r>
            <w:r>
              <w:rPr>
                <w:noProof/>
              </w:rPr>
              <w:t xml:space="preserve">ng der Finanzhilfe aufrechterhalten werden. </w:t>
            </w:r>
          </w:p>
          <w:p w14:paraId="3828323B" w14:textId="50C7C743"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Die Auswahl der Begünstigten erfolgt nach festgelegten Auswahlkriterien nach den Grundsätzen der Nichtdiskriminierung und der Transparenz.</w:t>
            </w:r>
          </w:p>
        </w:tc>
      </w:tr>
      <w:tr w:rsidR="00EB245A" w14:paraId="53D338D8" w14:textId="77777777" w:rsidTr="00A76CD4">
        <w:trPr>
          <w:trHeight w:val="313"/>
        </w:trPr>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3DB4977" w14:textId="5385FD2F"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A65G</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5201081"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A4.4 Flexibilisierung der Beschäftigungsformen und Einführung von </w:t>
            </w:r>
            <w:r>
              <w:rPr>
                <w:noProof/>
              </w:rPr>
              <w:t>Telearbeit</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DE46B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Meilenstein</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450152D" w14:textId="6412BAC8"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Inkrafttreten des Gesetzes zur Änderung des Arbeitsgesetzbuchs, mit dem die ständige Einrichtung der Telearbeit in die Bestimmungen des Arbeitsgesetzbuchs und flexible Formen der Arbeitszeitgestaltung eingeführt wird</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68554EA" w14:textId="08193D4B"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Bestimmung des G</w:t>
            </w:r>
            <w:r>
              <w:rPr>
                <w:noProof/>
              </w:rPr>
              <w:t>esetzes zur Änderung des Arbeitsgesetzbuchs über dessen Inkrafttreten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6B0BD7B"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CB54525"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0BA9E3"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729CC7"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F5363C" w14:textId="1922FD71"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2022</w:t>
            </w:r>
          </w:p>
        </w:tc>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8512794" w14:textId="0C298E19"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r>
              <w:rPr>
                <w:rFonts w:ascii="Times New Roman" w:hAnsi="Times New Roman"/>
                <w:noProof/>
                <w:color w:val="000000" w:themeColor="text1"/>
                <w:sz w:val="18"/>
              </w:rPr>
              <w:t xml:space="preserve">Inkrafttreten des Gesetzes zur Änderung des Arbeitsgesetzbuchs, das dazu beitragen soll, berufliche und private Verantwortlichkeiten besser miteinander in Einklang zu </w:t>
            </w:r>
            <w:r>
              <w:rPr>
                <w:rFonts w:ascii="Times New Roman" w:hAnsi="Times New Roman"/>
                <w:noProof/>
                <w:color w:val="000000" w:themeColor="text1"/>
                <w:sz w:val="18"/>
              </w:rPr>
              <w:t xml:space="preserve">bringen, auf die Krise zu reagieren und Nichterwerbstätigen mit geringerer Wirtschaftstätigkeit dabei zu helfen, eine dauerhafte Beschäftigung zu finden. Die Reform besteht aus: </w:t>
            </w:r>
            <w:r>
              <w:rPr>
                <w:noProof/>
              </w:rPr>
              <w:t xml:space="preserve">  </w:t>
            </w:r>
            <w:r>
              <w:rPr>
                <w:noProof/>
              </w:rPr>
              <w:br/>
            </w:r>
            <w:r>
              <w:rPr>
                <w:rFonts w:ascii="Times New Roman" w:hAnsi="Times New Roman"/>
                <w:noProof/>
                <w:color w:val="000000" w:themeColor="text1"/>
                <w:sz w:val="18"/>
              </w:rPr>
              <w:t>— Einführung der Möglichkeit der Telearbeit (ganz oder teilweise) außerhalb</w:t>
            </w:r>
            <w:r>
              <w:rPr>
                <w:rFonts w:ascii="Times New Roman" w:hAnsi="Times New Roman"/>
                <w:noProof/>
                <w:color w:val="000000" w:themeColor="text1"/>
                <w:sz w:val="18"/>
              </w:rPr>
              <w:t xml:space="preserve"> des Arbeitsplatzes auf der Grundlage von Vereinbarungen zwischen dem Arbeitnehmer und dem Arbeitgeber, die bei Abschluss des Arbeitsvertrags oder während der Beschäftigung getroffen wurden;</w:t>
            </w:r>
            <w:r>
              <w:rPr>
                <w:noProof/>
              </w:rPr>
              <w:t xml:space="preserve">  </w:t>
            </w:r>
            <w:r>
              <w:rPr>
                <w:noProof/>
              </w:rPr>
              <w:br/>
            </w:r>
            <w:r>
              <w:rPr>
                <w:rFonts w:ascii="Times New Roman" w:hAnsi="Times New Roman"/>
                <w:noProof/>
                <w:color w:val="000000" w:themeColor="text1"/>
                <w:sz w:val="18"/>
              </w:rPr>
              <w:t xml:space="preserve"> Festlegung von Regelungen für Telearbeit im Einvernehmen zwisc</w:t>
            </w:r>
            <w:r>
              <w:rPr>
                <w:rFonts w:ascii="Times New Roman" w:hAnsi="Times New Roman"/>
                <w:noProof/>
                <w:color w:val="000000" w:themeColor="text1"/>
                <w:sz w:val="18"/>
              </w:rPr>
              <w:t>hen dem Arbeitgeber und den Arbeitnehmervertretern;</w:t>
            </w:r>
            <w:r>
              <w:rPr>
                <w:noProof/>
              </w:rPr>
              <w:t xml:space="preserve">  </w:t>
            </w:r>
            <w:r>
              <w:rPr>
                <w:noProof/>
              </w:rPr>
              <w:br/>
            </w:r>
            <w:r>
              <w:rPr>
                <w:rFonts w:ascii="Times New Roman" w:hAnsi="Times New Roman"/>
                <w:noProof/>
                <w:color w:val="000000" w:themeColor="text1"/>
                <w:sz w:val="18"/>
              </w:rPr>
              <w:t xml:space="preserve"> einschließlich spezifischer Fälle, in denen Telearbeit auf Wunsch des Arbeitgebers geleistet werden könnte (z. B. unter außergewöhnlichen Umständen);</w:t>
            </w:r>
            <w:r>
              <w:rPr>
                <w:noProof/>
              </w:rPr>
              <w:t xml:space="preserve">  </w:t>
            </w:r>
            <w:r>
              <w:rPr>
                <w:noProof/>
              </w:rPr>
              <w:br/>
            </w:r>
            <w:r>
              <w:rPr>
                <w:rFonts w:ascii="Times New Roman" w:hAnsi="Times New Roman"/>
                <w:noProof/>
                <w:color w:val="000000" w:themeColor="text1"/>
                <w:sz w:val="18"/>
              </w:rPr>
              <w:t xml:space="preserve"> die Verpflichtung des Arbeitgebers, Materialien </w:t>
            </w:r>
            <w:r>
              <w:rPr>
                <w:rFonts w:ascii="Times New Roman" w:hAnsi="Times New Roman"/>
                <w:noProof/>
                <w:color w:val="000000" w:themeColor="text1"/>
                <w:sz w:val="18"/>
              </w:rPr>
              <w:t>und Werkzeuge zur Verfügung zu stellen, die für die Durchführung von Fernarbeit und/oder die Nutzung der privaten Ausrüstung der Arbeitnehmer erforderlich sind;</w:t>
            </w:r>
            <w:r>
              <w:rPr>
                <w:noProof/>
              </w:rPr>
              <w:t xml:space="preserve">  </w:t>
            </w:r>
            <w:r>
              <w:rPr>
                <w:noProof/>
              </w:rPr>
              <w:br/>
            </w:r>
            <w:r>
              <w:rPr>
                <w:rFonts w:ascii="Times New Roman" w:hAnsi="Times New Roman"/>
                <w:noProof/>
                <w:color w:val="000000" w:themeColor="text1"/>
                <w:sz w:val="18"/>
              </w:rPr>
              <w:t xml:space="preserve"> Einführung flexibler Arbeitszeitregelungen.</w:t>
            </w:r>
          </w:p>
        </w:tc>
      </w:tr>
      <w:tr w:rsidR="00EB245A" w14:paraId="20B76696" w14:textId="77777777" w:rsidTr="00A76CD4">
        <w:trPr>
          <w:trHeight w:val="313"/>
        </w:trPr>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F02807" w14:textId="7449AE92"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A67G</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9FEDA0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A4.5 Verlängerung der beruflichen Laufbahn</w:t>
            </w:r>
            <w:r>
              <w:rPr>
                <w:noProof/>
              </w:rPr>
              <w:t xml:space="preserve"> und Förderung der Arbeit über das gesetzliche Renteneintrittsalter hinaus</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EC506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Meilenstein</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DEC5E58" w14:textId="0EB5706F"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Inkrafttreten des Gesetzes zur Änderung des Einkommensteuergesetzes zur Einführung einer Einkommensteuerermäßigung für Personen, die das Rentenalter erreicht haben, aber</w:t>
            </w:r>
            <w:r>
              <w:rPr>
                <w:noProof/>
              </w:rPr>
              <w:t xml:space="preserve"> weiterhin erwerbstätig sind, ab 2023</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C62E3B6" w14:textId="47F3509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Bestimmung im Gesetz zur Änderung des Einkommensteuergesetzes, aus der hervorgeht, dass es in Kraft tritt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008BDD0"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6BE7177"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61DDFAB"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213C6B"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B19E796"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2022</w:t>
            </w:r>
          </w:p>
        </w:tc>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1ECD53F" w14:textId="1AF78D33" w:rsidR="00EB245A" w:rsidRDefault="006021EE">
            <w:pPr>
              <w:pStyle w:val="P68B1DB1-Normal011"/>
              <w:pBdr>
                <w:top w:val="nil"/>
                <w:left w:val="nil"/>
                <w:bottom w:val="nil"/>
                <w:right w:val="nil"/>
                <w:between w:val="nil"/>
              </w:pBdr>
              <w:spacing w:after="0" w:line="240" w:lineRule="auto"/>
              <w:rPr>
                <w:rFonts w:eastAsia="Times New Roman" w:cs="Times New Roman"/>
                <w:noProof/>
                <w:color w:val="000000"/>
              </w:rPr>
            </w:pPr>
            <w:r>
              <w:rPr>
                <w:noProof/>
                <w:color w:val="000000" w:themeColor="text1"/>
              </w:rPr>
              <w:t xml:space="preserve">Inkrafttreten des Gesetzes zur Änderung des Einkommensteuergesetzes, mit dem folgende Änderungen </w:t>
            </w:r>
            <w:r>
              <w:rPr>
                <w:noProof/>
                <w:color w:val="000000" w:themeColor="text1"/>
              </w:rPr>
              <w:t>vorgenommen werden: die Einkommensteuerermäßigung gilt für Steuerpflichtige, die das gesetzliche Renteneintrittsalter erreichen und nicht beschließen, in den Ruhestand zu gehen, sondern weiter erwerbstätig sind. Diese Arbeitnehmer sind bis zu einer bestimm</w:t>
            </w:r>
            <w:r>
              <w:rPr>
                <w:noProof/>
                <w:color w:val="000000" w:themeColor="text1"/>
              </w:rPr>
              <w:t xml:space="preserve">ten Einkommensgrenze von der Einkommensteuer befreit (höchstens die erste Einkommenssteuerstufe von 85 528 PLN im Jahr 2021 und höchstens den durchschnittlichen Bruttolohn in </w:t>
            </w:r>
            <w:r>
              <w:rPr>
                <w:noProof/>
              </w:rPr>
              <w:t>der polnischen</w:t>
            </w:r>
            <w:r>
              <w:rPr>
                <w:noProof/>
                <w:color w:val="000000" w:themeColor="text1"/>
              </w:rPr>
              <w:t xml:space="preserve"> Volkswirtschaft). Der Einkommensteuersatz für Personen oberhalb de</w:t>
            </w:r>
            <w:r>
              <w:rPr>
                <w:noProof/>
                <w:color w:val="000000" w:themeColor="text1"/>
              </w:rPr>
              <w:t>r ersten Stufe wird gesenkt. Dank dieser Steueranreize müssen die Steuerpflichtigen zusätzliche Beträge in Höhe der nicht entrichteten Einkommensteuer erwirtschaften, die ihnen Anreize für die Verlängerung ihrer beruflichen Laufbahn bieten sollen.</w:t>
            </w:r>
          </w:p>
        </w:tc>
      </w:tr>
      <w:tr w:rsidR="00EB245A" w14:paraId="6B978138" w14:textId="77777777" w:rsidTr="00A76CD4">
        <w:trPr>
          <w:trHeight w:val="313"/>
        </w:trPr>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8EA849" w14:textId="49BB0363"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A68G</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C7BAFE"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A4.5 Verlängerung der beruflichen Laufbahn und Förderung der Arbeit über das gesetzliche Renteneintrittsalter hinaus</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7456D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Meilenstein</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71A95B"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Bericht zur Bewertung der Auswirkungen der Maßnahmen zur Anhebung des tatsächlichen Renteneintrittsalters</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F028C0"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Veröffentlichung des </w:t>
            </w:r>
            <w:r>
              <w:rPr>
                <w:noProof/>
              </w:rPr>
              <w:t>Evaluierungsberichts durch das Ministerium für Familie und Sozialpolitik (MRiPS)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9F269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1C8A419"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46FE776"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757B762"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54BFC85"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2024</w:t>
            </w:r>
          </w:p>
        </w:tc>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C4132E"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 dieses Berichts ist es, die Auswirkungen der Änderungen</w:t>
            </w:r>
            <w:r>
              <w:rPr>
                <w:noProof/>
              </w:rPr>
              <w:t xml:space="preserve"> der Einkommensteuer auf das tatsächliche Renteneintrittsalter innerhalb von zwei Jahren nach ihrer Einführung zu bewerten. Dabei werden die Auswirkungen auf die Erwerbsbeteiligung, die Tragfähigkeit des Rentensystems, die öffentlichen Finanzen und die Gle</w:t>
            </w:r>
            <w:r>
              <w:rPr>
                <w:noProof/>
              </w:rPr>
              <w:t>ichstellung der Geschlechter analysiert.</w:t>
            </w:r>
          </w:p>
        </w:tc>
      </w:tr>
      <w:tr w:rsidR="00EB245A" w14:paraId="75DB26AD" w14:textId="77777777" w:rsidTr="00A76CD4">
        <w:trPr>
          <w:trHeight w:val="313"/>
        </w:trPr>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44BFB1" w14:textId="267DB99E"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A69G</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1D7550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A4.6 Steigerung der Erwerbsbeteiligung bestimmter Gruppen durch den Ausbau der Langzeitpflege</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D4A5B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Meilenstein</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E3E20F1"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Strategische Überprüfung der Langzeitpflege in Polen im Hinblick auf die Ermittlung von </w:t>
            </w:r>
            <w:r>
              <w:rPr>
                <w:noProof/>
              </w:rPr>
              <w:t>Reformprioritäten</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0B24439" w14:textId="1C87EFF1"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Veröffentlichung des Berichts über die strategische Analyse durch das Ministerium für Familie, Arbeit und Sozialpolitik (MRiPS) und das Gesundheitsministerium</w:t>
            </w:r>
          </w:p>
          <w:p w14:paraId="2DE403A5"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696C0E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5B5DE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8B5DA1"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CAE184B"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063B540"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2023</w:t>
            </w:r>
          </w:p>
        </w:tc>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C676B7D" w14:textId="700F8A2E"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r>
              <w:rPr>
                <w:rFonts w:ascii="Times New Roman" w:hAnsi="Times New Roman"/>
                <w:noProof/>
                <w:color w:val="000000" w:themeColor="text1"/>
                <w:sz w:val="18"/>
              </w:rPr>
              <w:t xml:space="preserve">Abschluss einer Analyse des Langzeitpflegesystems in Polen im </w:t>
            </w:r>
            <w:r>
              <w:rPr>
                <w:rFonts w:ascii="Times New Roman" w:hAnsi="Times New Roman"/>
                <w:noProof/>
                <w:color w:val="000000" w:themeColor="text1"/>
                <w:sz w:val="18"/>
              </w:rPr>
              <w:t>Hinblick auf dessen künftige Reform und Veröffentlichung eines entsprechenden Berichts auf der Biuletyn Informacji Publicznej-Website des Ministeriums für Familie, Arbeit und Sozialpolitik und auf der Biuletyn Informacji Publicznej-Website des Gesundheitsm</w:t>
            </w:r>
            <w:r>
              <w:rPr>
                <w:rFonts w:ascii="Times New Roman" w:hAnsi="Times New Roman"/>
                <w:noProof/>
                <w:color w:val="000000" w:themeColor="text1"/>
                <w:sz w:val="18"/>
              </w:rPr>
              <w:t>inisteriums. Im Rahmen der Analyse wird insbesondere untersucht, wie</w:t>
            </w:r>
            <w:r>
              <w:rPr>
                <w:noProof/>
              </w:rPr>
              <w:t xml:space="preserve">  </w:t>
            </w:r>
            <w:r>
              <w:rPr>
                <w:noProof/>
              </w:rPr>
              <w:br/>
            </w:r>
            <w:r>
              <w:rPr>
                <w:rFonts w:ascii="Times New Roman" w:hAnsi="Times New Roman"/>
                <w:noProof/>
                <w:color w:val="000000" w:themeColor="text1"/>
                <w:sz w:val="18"/>
              </w:rPr>
              <w:t xml:space="preserve">— Integration der sozialen und gesundheitlichen Langzeitpflege, </w:t>
            </w:r>
            <w:r>
              <w:rPr>
                <w:noProof/>
              </w:rPr>
              <w:t xml:space="preserve"> </w:t>
            </w:r>
            <w:r>
              <w:rPr>
                <w:noProof/>
              </w:rPr>
              <w:br/>
              <w:t xml:space="preserve"> </w:t>
            </w:r>
            <w:r>
              <w:rPr>
                <w:rFonts w:ascii="Times New Roman" w:hAnsi="Times New Roman"/>
                <w:noProof/>
                <w:color w:val="000000" w:themeColor="text1"/>
                <w:sz w:val="18"/>
              </w:rPr>
              <w:t xml:space="preserve">— die Deinstitutionalisierung dieser Dienste zu beschleunigen, </w:t>
            </w:r>
            <w:r>
              <w:rPr>
                <w:noProof/>
              </w:rPr>
              <w:t xml:space="preserve"> </w:t>
            </w:r>
            <w:r>
              <w:rPr>
                <w:noProof/>
              </w:rPr>
              <w:br/>
              <w:t xml:space="preserve"> </w:t>
            </w:r>
            <w:r>
              <w:rPr>
                <w:rFonts w:ascii="Times New Roman" w:hAnsi="Times New Roman"/>
                <w:noProof/>
                <w:color w:val="000000" w:themeColor="text1"/>
                <w:sz w:val="18"/>
              </w:rPr>
              <w:t>— sie einer einzigen Behörde zu unterstellen,</w:t>
            </w:r>
            <w:r>
              <w:rPr>
                <w:noProof/>
              </w:rPr>
              <w:t xml:space="preserve"> </w:t>
            </w:r>
            <w:r>
              <w:rPr>
                <w:noProof/>
              </w:rPr>
              <w:br/>
              <w:t xml:space="preserve"> </w:t>
            </w:r>
            <w:r>
              <w:rPr>
                <w:rFonts w:ascii="Times New Roman" w:hAnsi="Times New Roman"/>
                <w:noProof/>
                <w:color w:val="000000" w:themeColor="text1"/>
                <w:sz w:val="18"/>
              </w:rPr>
              <w:t>— di</w:t>
            </w:r>
            <w:r>
              <w:rPr>
                <w:rFonts w:ascii="Times New Roman" w:hAnsi="Times New Roman"/>
                <w:noProof/>
                <w:color w:val="000000" w:themeColor="text1"/>
                <w:sz w:val="18"/>
              </w:rPr>
              <w:t>e Zersplitterung der Versorgung zu verringern,</w:t>
            </w:r>
          </w:p>
          <w:p w14:paraId="6AAAF9ED" w14:textId="5468A030"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r>
              <w:rPr>
                <w:rFonts w:ascii="Times New Roman" w:hAnsi="Times New Roman"/>
                <w:noProof/>
                <w:color w:val="000000" w:themeColor="text1"/>
                <w:sz w:val="18"/>
              </w:rPr>
              <w:t>— die Pflegeleistungen zu überarbeiten, um eine Beschäftigung zu ermöglichen,</w:t>
            </w:r>
            <w:r>
              <w:rPr>
                <w:noProof/>
              </w:rPr>
              <w:t xml:space="preserve">  </w:t>
            </w:r>
            <w:r>
              <w:rPr>
                <w:noProof/>
              </w:rPr>
              <w:br/>
            </w:r>
            <w:r>
              <w:rPr>
                <w:rFonts w:ascii="Times New Roman" w:hAnsi="Times New Roman"/>
                <w:noProof/>
                <w:color w:val="000000" w:themeColor="text1"/>
                <w:sz w:val="18"/>
              </w:rPr>
              <w:t xml:space="preserve">— ein stabiles System für eine angemessene Finanzierung der Langzeitpflegedienste, insbesondere der gemeindenahen und häuslichen </w:t>
            </w:r>
            <w:r>
              <w:rPr>
                <w:rFonts w:ascii="Times New Roman" w:hAnsi="Times New Roman"/>
                <w:noProof/>
                <w:color w:val="000000" w:themeColor="text1"/>
                <w:sz w:val="18"/>
              </w:rPr>
              <w:t>Pflege, zu schaffen;</w:t>
            </w:r>
            <w:r>
              <w:rPr>
                <w:noProof/>
              </w:rPr>
              <w:t xml:space="preserve"> </w:t>
            </w:r>
            <w:r>
              <w:rPr>
                <w:noProof/>
              </w:rPr>
              <w:br/>
              <w:t xml:space="preserve"> </w:t>
            </w:r>
            <w:r>
              <w:rPr>
                <w:rFonts w:ascii="Times New Roman" w:hAnsi="Times New Roman"/>
                <w:noProof/>
                <w:color w:val="000000" w:themeColor="text1"/>
                <w:sz w:val="18"/>
              </w:rPr>
              <w:t>— Einführung eines Qualitätsrahmens für Langzeitpflegedienste (Anforderungen an Personal, Ausrüstung, Marktzulassung von Langzeitpflegeanbietern).</w:t>
            </w:r>
            <w:r>
              <w:rPr>
                <w:noProof/>
              </w:rPr>
              <w:t xml:space="preserve">  </w:t>
            </w:r>
            <w:r>
              <w:rPr>
                <w:noProof/>
              </w:rPr>
              <w:br/>
            </w:r>
            <w:r>
              <w:rPr>
                <w:rFonts w:ascii="Times New Roman" w:hAnsi="Times New Roman"/>
                <w:noProof/>
                <w:color w:val="000000" w:themeColor="text1"/>
                <w:sz w:val="18"/>
              </w:rPr>
              <w:t>Die Analyse erfolgt in Absprache mit den einschlägigen Interessenträgern, einschließ</w:t>
            </w:r>
            <w:r>
              <w:rPr>
                <w:rFonts w:ascii="Times New Roman" w:hAnsi="Times New Roman"/>
                <w:noProof/>
                <w:color w:val="000000" w:themeColor="text1"/>
                <w:sz w:val="18"/>
              </w:rPr>
              <w:t>lich Sozialpartnern, die sich mit Langzeitpflege befassen, informellen Pflegekräften, Pflegepersonen, Pflegebedürftigen, Personen, die keine Pflege erhalten, aber diese erhalten sollten, und lokalen Behörden.</w:t>
            </w:r>
          </w:p>
        </w:tc>
      </w:tr>
      <w:tr w:rsidR="00EB245A" w14:paraId="08DA6E8C" w14:textId="77777777" w:rsidTr="00A76CD4">
        <w:trPr>
          <w:trHeight w:val="313"/>
        </w:trPr>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D83C2D" w14:textId="4046B545" w:rsidR="00EB245A" w:rsidRDefault="006021EE">
            <w:pPr>
              <w:pStyle w:val="P68B1DB1-Normal011"/>
              <w:spacing w:after="0" w:line="240" w:lineRule="auto"/>
              <w:jc w:val="center"/>
              <w:rPr>
                <w:rFonts w:eastAsia="Times New Roman" w:cs="Times New Roman"/>
                <w:noProof/>
                <w:color w:val="000000"/>
              </w:rPr>
            </w:pPr>
            <w:r>
              <w:rPr>
                <w:noProof/>
              </w:rPr>
              <w:t>A70G</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A927F4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A4.6 Steigerung der Erwerbsbeteiligung </w:t>
            </w:r>
            <w:r>
              <w:rPr>
                <w:noProof/>
              </w:rPr>
              <w:t>bestimmter Gruppen durch den Ausbau der Langzeitpflege</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422C70"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Meilenstein</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BD3D04" w14:textId="56241E35" w:rsidR="00EB245A" w:rsidRDefault="006021EE">
            <w:pPr>
              <w:pStyle w:val="P68B1DB1-Normal012"/>
              <w:spacing w:after="0" w:line="240" w:lineRule="auto"/>
              <w:rPr>
                <w:rFonts w:eastAsia="Times New Roman" w:cs="Times New Roman"/>
                <w:noProof/>
              </w:rPr>
            </w:pPr>
            <w:r>
              <w:rPr>
                <w:noProof/>
              </w:rPr>
              <w:t xml:space="preserve">Umsetzung der Reformprioritäten, die bei der strategischen Überprüfung der Langzeitpflege in Polen ermittelt wurden (auf der Grundlage der Schlussfolgerungen der Umsetzung des Etappenziels </w:t>
            </w:r>
            <w:r>
              <w:rPr>
                <w:noProof/>
              </w:rPr>
              <w:t>A69G)</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A6B480E" w14:textId="3583FFED" w:rsidR="00EB245A" w:rsidRDefault="006021EE">
            <w:pPr>
              <w:pStyle w:val="Normal0"/>
              <w:spacing w:after="0" w:line="240" w:lineRule="auto"/>
              <w:rPr>
                <w:rFonts w:ascii="Times New Roman" w:eastAsia="Times New Roman" w:hAnsi="Times New Roman" w:cs="Times New Roman"/>
                <w:noProof/>
                <w:color w:val="000000"/>
                <w:sz w:val="18"/>
              </w:rPr>
            </w:pPr>
            <w:r>
              <w:rPr>
                <w:rFonts w:ascii="Times New Roman" w:hAnsi="Times New Roman"/>
                <w:noProof/>
                <w:color w:val="000000" w:themeColor="text1"/>
                <w:sz w:val="18"/>
              </w:rPr>
              <w:t>Bestimmungen in den Gesetzen zur Änderung einschlägiger Gesetze über das Inkrafttreten</w:t>
            </w:r>
            <w:r>
              <w:rPr>
                <w:noProof/>
              </w:rPr>
              <w:t xml:space="preserve"> </w:t>
            </w:r>
            <w:r>
              <w:rPr>
                <w:rFonts w:ascii="Times New Roman" w:hAnsi="Times New Roman"/>
                <w:noProof/>
                <w:color w:val="000000" w:themeColor="text1"/>
                <w:sz w:val="18"/>
              </w:rPr>
              <w:t>und die Veröffentlichung von Dokumenten im Zusammenhang mit der Überprüfung der öffentlichen Ausgaben und dem Qualitätsrahmen für die Langzeitpflege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E747F8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8DF40D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361D8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9EDD68F"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81EB26B" w14:textId="23FE03F0" w:rsidR="00EB245A" w:rsidRDefault="006021EE">
            <w:pPr>
              <w:pStyle w:val="P68B1DB1-Normal012"/>
              <w:spacing w:after="0" w:line="240" w:lineRule="auto"/>
              <w:jc w:val="center"/>
              <w:rPr>
                <w:rFonts w:eastAsia="Times New Roman" w:cs="Times New Roman"/>
                <w:noProof/>
              </w:rPr>
            </w:pPr>
            <w:r>
              <w:rPr>
                <w:noProof/>
              </w:rPr>
              <w:t>2025</w:t>
            </w:r>
          </w:p>
        </w:tc>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0073C50" w14:textId="37B7C5D8" w:rsidR="00EB245A" w:rsidRDefault="006021EE">
            <w:pPr>
              <w:pStyle w:val="P68B1DB1-Normal012"/>
              <w:spacing w:after="0" w:line="240" w:lineRule="auto"/>
              <w:rPr>
                <w:noProof/>
                <w:color w:val="000000" w:themeColor="text1"/>
              </w:rPr>
            </w:pPr>
            <w:r>
              <w:rPr>
                <w:noProof/>
              </w:rPr>
              <w:t xml:space="preserve">Inkrafttreten von Gesetzen (Gesetzes- und Rechtsakten) zur Änderung einschlägiger Gesetze, mit denen die Reformprioritäten umgesetzt werden sollen, die bei der strategischen Überprüfung der Langzeitpflege in Polen ermittelt wurden. Insbesondere: </w:t>
            </w:r>
          </w:p>
          <w:p w14:paraId="54B6F25C" w14:textId="67BA3FD6" w:rsidR="00EB245A" w:rsidRDefault="006021EE">
            <w:pPr>
              <w:pStyle w:val="P68B1DB1-Normal012"/>
              <w:numPr>
                <w:ilvl w:val="0"/>
                <w:numId w:val="105"/>
              </w:numPr>
              <w:spacing w:after="0" w:line="240" w:lineRule="auto"/>
              <w:rPr>
                <w:rFonts w:eastAsia="Times New Roman" w:cs="Times New Roman"/>
                <w:noProof/>
              </w:rPr>
            </w:pPr>
            <w:r>
              <w:rPr>
                <w:noProof/>
              </w:rPr>
              <w:t>Definitio</w:t>
            </w:r>
            <w:r>
              <w:rPr>
                <w:noProof/>
              </w:rPr>
              <w:t>n des Begriffs „Langzeitpflege“ in einer Weise, die im gesamten Pflegesystem des Landes kohärent ist (d. h. sowohl Gesundheits- als auch Sozialhilfe);</w:t>
            </w:r>
          </w:p>
          <w:p w14:paraId="674CF323" w14:textId="4C77E79C" w:rsidR="00EB245A" w:rsidRDefault="006021EE">
            <w:pPr>
              <w:pStyle w:val="P68B1DB1-Normal012"/>
              <w:numPr>
                <w:ilvl w:val="0"/>
                <w:numId w:val="105"/>
              </w:numPr>
              <w:spacing w:after="0" w:line="240" w:lineRule="auto"/>
              <w:rPr>
                <w:rFonts w:eastAsia="Times New Roman" w:cs="Times New Roman"/>
                <w:noProof/>
              </w:rPr>
            </w:pPr>
            <w:r>
              <w:rPr>
                <w:noProof/>
              </w:rPr>
              <w:t>Definition der Begriffe „informelle Pflegekräfte“ und „informelle Pflege“;</w:t>
            </w:r>
          </w:p>
          <w:p w14:paraId="6DAB43DC" w14:textId="0C87F0BB" w:rsidR="00EB245A" w:rsidRDefault="006021EE">
            <w:pPr>
              <w:pStyle w:val="P68B1DB1-Normal012"/>
              <w:numPr>
                <w:ilvl w:val="0"/>
                <w:numId w:val="105"/>
              </w:numPr>
              <w:spacing w:after="0" w:line="240" w:lineRule="auto"/>
              <w:rPr>
                <w:rFonts w:eastAsia="Times New Roman" w:cs="Times New Roman"/>
                <w:noProof/>
              </w:rPr>
            </w:pPr>
            <w:r>
              <w:rPr>
                <w:noProof/>
              </w:rPr>
              <w:t>die Finanzierung des Langzeitp</w:t>
            </w:r>
            <w:r>
              <w:rPr>
                <w:noProof/>
              </w:rPr>
              <w:t xml:space="preserve">flegesystems durch Einführung des „Senior-Gutscheins“ zu erhöhen; </w:t>
            </w:r>
          </w:p>
          <w:p w14:paraId="566F1E78" w14:textId="67A00A21" w:rsidR="00EB245A" w:rsidRDefault="006021EE">
            <w:pPr>
              <w:pStyle w:val="P68B1DB1-Normal012"/>
              <w:numPr>
                <w:ilvl w:val="0"/>
                <w:numId w:val="105"/>
              </w:numPr>
              <w:spacing w:after="0" w:line="240" w:lineRule="auto"/>
              <w:rPr>
                <w:rFonts w:eastAsia="Times New Roman" w:cs="Times New Roman"/>
                <w:noProof/>
              </w:rPr>
            </w:pPr>
            <w:r>
              <w:rPr>
                <w:noProof/>
              </w:rPr>
              <w:t xml:space="preserve">die Rechtsvorschriften entsprechend den Ergebnissen der durchgeführten Analyse zu ändern oder neue Bestimmungen über Qualitätsstandards für die Langzeitpflege im System der Sozialhilfe und </w:t>
            </w:r>
            <w:r>
              <w:rPr>
                <w:noProof/>
              </w:rPr>
              <w:t>des Gesundheitswesens zu erlassen;</w:t>
            </w:r>
          </w:p>
          <w:p w14:paraId="0AB882BF" w14:textId="0171A25A" w:rsidR="00EB245A" w:rsidRDefault="006021EE">
            <w:pPr>
              <w:pStyle w:val="P68B1DB1-Normal012"/>
              <w:numPr>
                <w:ilvl w:val="0"/>
                <w:numId w:val="105"/>
              </w:numPr>
              <w:spacing w:after="0" w:line="240" w:lineRule="auto"/>
              <w:rPr>
                <w:rFonts w:eastAsia="Times New Roman" w:cs="Times New Roman"/>
                <w:noProof/>
              </w:rPr>
            </w:pPr>
            <w:r>
              <w:rPr>
                <w:noProof/>
              </w:rPr>
              <w:t xml:space="preserve">Festlegung der Stellen, die für die Koordinierung des Langzeitpflegesystems, die Gesamtüberwachung und -bewertung der Qualitäts- und Informationstätigkeiten zuständig sind. </w:t>
            </w:r>
          </w:p>
          <w:p w14:paraId="3133A10F" w14:textId="3FB3F4AC" w:rsidR="00EB245A" w:rsidRDefault="00EB245A">
            <w:pPr>
              <w:pStyle w:val="Normal0"/>
              <w:spacing w:after="0" w:line="240" w:lineRule="auto"/>
              <w:rPr>
                <w:rFonts w:ascii="Times New Roman" w:eastAsia="Times New Roman" w:hAnsi="Times New Roman" w:cs="Times New Roman"/>
                <w:noProof/>
                <w:color w:val="000000"/>
                <w:sz w:val="18"/>
              </w:rPr>
            </w:pPr>
          </w:p>
          <w:p w14:paraId="642819E0" w14:textId="09526BB0" w:rsidR="00EB245A" w:rsidRDefault="006021EE">
            <w:pPr>
              <w:pStyle w:val="P68B1DB1-Normal012"/>
              <w:spacing w:after="0" w:line="240" w:lineRule="auto"/>
              <w:rPr>
                <w:rFonts w:eastAsia="Times New Roman" w:cs="Times New Roman"/>
                <w:noProof/>
              </w:rPr>
            </w:pPr>
            <w:r>
              <w:rPr>
                <w:noProof/>
              </w:rPr>
              <w:t>Zusätzlich zu den Änderungen des Rechtsrahmens</w:t>
            </w:r>
            <w:r>
              <w:rPr>
                <w:noProof/>
              </w:rPr>
              <w:t xml:space="preserve"> ergreift Polen folgende Maßnahmen: </w:t>
            </w:r>
          </w:p>
          <w:p w14:paraId="61173471" w14:textId="3D0504F0" w:rsidR="00EB245A" w:rsidRDefault="006021EE">
            <w:pPr>
              <w:pStyle w:val="P68B1DB1-Normal012"/>
              <w:numPr>
                <w:ilvl w:val="0"/>
                <w:numId w:val="105"/>
              </w:numPr>
              <w:spacing w:after="0" w:line="240" w:lineRule="auto"/>
              <w:rPr>
                <w:rFonts w:eastAsia="Times New Roman" w:cs="Times New Roman"/>
                <w:noProof/>
              </w:rPr>
            </w:pPr>
            <w:r>
              <w:rPr>
                <w:noProof/>
              </w:rPr>
              <w:t>die Überprüfung der öffentlichen Ausgaben anzunehmen, um die Wirksamkeit der öffentlichen Finanzen für die Langzeitpflege zu bewerten und Haushaltslösungen vorzuschlagen, um die Tragfähigkeit der öffentlichen Finanzen d</w:t>
            </w:r>
            <w:r>
              <w:rPr>
                <w:noProof/>
              </w:rPr>
              <w:t>es Systems zu gewährleisten;</w:t>
            </w:r>
          </w:p>
          <w:p w14:paraId="5243B129" w14:textId="54354965" w:rsidR="00EB245A" w:rsidRDefault="006021EE">
            <w:pPr>
              <w:pStyle w:val="P68B1DB1-Normal012"/>
              <w:numPr>
                <w:ilvl w:val="0"/>
                <w:numId w:val="105"/>
              </w:numPr>
              <w:spacing w:after="0" w:line="240" w:lineRule="auto"/>
              <w:rPr>
                <w:rFonts w:eastAsia="Times New Roman" w:cs="Times New Roman"/>
                <w:noProof/>
              </w:rPr>
            </w:pPr>
            <w:r>
              <w:rPr>
                <w:noProof/>
              </w:rPr>
              <w:t>Annahme eines Dokuments, in dem eine harmonisierte Definition der Qualität der Langzeitpflege in den Sozial- und Gesundheitssystemen und ein integriertes System für die Überwachung und Bewertung der Qualität, die Erhebung und N</w:t>
            </w:r>
            <w:r>
              <w:rPr>
                <w:noProof/>
              </w:rPr>
              <w:t xml:space="preserve">utzung von Daten vorgeschlagen werden. </w:t>
            </w:r>
          </w:p>
          <w:p w14:paraId="753C9B70" w14:textId="4BE1250D" w:rsidR="00EB245A" w:rsidRDefault="00EB245A">
            <w:pPr>
              <w:pStyle w:val="Normal0"/>
              <w:spacing w:after="0" w:line="240" w:lineRule="auto"/>
              <w:rPr>
                <w:rFonts w:ascii="Times New Roman" w:eastAsia="Times New Roman" w:hAnsi="Times New Roman" w:cs="Times New Roman"/>
                <w:noProof/>
                <w:color w:val="000000"/>
                <w:sz w:val="18"/>
              </w:rPr>
            </w:pPr>
          </w:p>
        </w:tc>
      </w:tr>
      <w:tr w:rsidR="00EB245A" w14:paraId="33C0F5D5" w14:textId="77777777" w:rsidTr="00A76CD4">
        <w:trPr>
          <w:trHeight w:val="313"/>
        </w:trPr>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02436C1" w14:textId="1945E9F0" w:rsidR="00EB245A" w:rsidRDefault="006021EE">
            <w:pPr>
              <w:pStyle w:val="P68B1DB1-Normal011"/>
              <w:pBdr>
                <w:top w:val="nil"/>
                <w:left w:val="nil"/>
                <w:bottom w:val="nil"/>
                <w:right w:val="nil"/>
                <w:between w:val="nil"/>
              </w:pBdr>
              <w:spacing w:after="0" w:line="240" w:lineRule="auto"/>
              <w:jc w:val="center"/>
              <w:rPr>
                <w:rFonts w:eastAsia="Times New Roman" w:cs="Times New Roman"/>
                <w:b/>
                <w:noProof/>
                <w:color w:val="000000"/>
              </w:rPr>
            </w:pPr>
            <w:r>
              <w:rPr>
                <w:noProof/>
              </w:rPr>
              <w:t>A71G</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A7916EB"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A4.7 Begrenzung der Arbeitsmarktsegmentierung</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82A11AE"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Meilenstein</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C63E167" w14:textId="3E3B809C"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Inkrafttreten eines Gesetzes zur Änderung des Gesetzes über das Sozialversicherungssystem, mit dem die Segmentierung des Arbeitsmarktes eingeschränkt </w:t>
            </w:r>
            <w:r>
              <w:rPr>
                <w:noProof/>
              </w:rPr>
              <w:t>und der soziale Schutz aller Personen verbessert wird, die auf der Grundlage zivilrechtlicher Verträge arbeiten, indem diese Verträge sozialversicherungspflichtig gemacht werden</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B8E2429" w14:textId="0D503DF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Bestimmung des Gesetzes zur Änderung des Sozialversicherungsgesetzes über dess</w:t>
            </w:r>
            <w:r>
              <w:rPr>
                <w:noProof/>
              </w:rPr>
              <w:t>en Inkrafttreten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05E0D1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49BAF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8077A0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C67FEF7" w14:textId="367CCD4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F5307AE"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2023</w:t>
            </w:r>
          </w:p>
        </w:tc>
        <w:tc>
          <w:tcPr>
            <w:tcW w:w="2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8FFAB7A" w14:textId="645CBAF1"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Inkrafttreten eines Gesetzes zur Änderung des Gesetzes über das Sozialversicherungssystem, das I) dafür zu sorgen, dass alle zivilrechtlichen Verträge unabhängig vom erzielten Einkommen sozialversicherungspflichtig sind </w:t>
            </w:r>
            <w:r>
              <w:rPr>
                <w:noProof/>
              </w:rPr>
              <w:t>(Renten-, Invaliditäts-, Unfall- und Berufskrankheiten sowie – mit Ausnahme von Verträgen für besondere Aufgaben, für die sie freiwillig sind – Leistungen bei Krankheit), mit Ausnahme von Verträgen mit Studierenden unter 26 Jahren; II) Abschaffung der Rege</w:t>
            </w:r>
            <w:r>
              <w:rPr>
                <w:noProof/>
              </w:rPr>
              <w:t>l, dass die Sozialversicherungsbeiträge auf der Grundlage des Mindestlohns für zivilrechtliche Verträge gezahlt werden.</w:t>
            </w:r>
          </w:p>
        </w:tc>
      </w:tr>
    </w:tbl>
    <w:p w14:paraId="3B6DEF6B" w14:textId="7E5CCC2C" w:rsidR="00EB245A" w:rsidRDefault="00EB245A">
      <w:pPr>
        <w:rPr>
          <w:noProof/>
        </w:rPr>
      </w:pPr>
    </w:p>
    <w:p w14:paraId="62431CDC"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rPr>
      </w:pPr>
    </w:p>
    <w:p w14:paraId="49E398E2" w14:textId="77777777" w:rsidR="00EB245A" w:rsidRDefault="00EB245A">
      <w:pPr>
        <w:rPr>
          <w:rFonts w:ascii="Times New Roman" w:hAnsi="Times New Roman" w:cs="Times New Roman"/>
          <w:noProof/>
        </w:rPr>
      </w:pPr>
    </w:p>
    <w:p w14:paraId="16287F21"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rPr>
        <w:sectPr w:rsidR="00EB245A" w:rsidSect="005E6922">
          <w:headerReference w:type="even" r:id="rId37"/>
          <w:headerReference w:type="default" r:id="rId38"/>
          <w:footerReference w:type="even" r:id="rId39"/>
          <w:footerReference w:type="default" r:id="rId40"/>
          <w:headerReference w:type="first" r:id="rId41"/>
          <w:footerReference w:type="first" r:id="rId42"/>
          <w:pgSz w:w="16839" w:h="11907" w:orient="landscape"/>
          <w:pgMar w:top="1134" w:right="1134" w:bottom="1134" w:left="1134" w:header="567" w:footer="567" w:gutter="0"/>
          <w:cols w:space="720"/>
          <w:docGrid w:linePitch="299"/>
        </w:sectPr>
      </w:pPr>
    </w:p>
    <w:p w14:paraId="371556A5" w14:textId="77777777" w:rsidR="00EB245A" w:rsidRDefault="006021E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rPr>
      </w:pPr>
      <w:r>
        <w:rPr>
          <w:rFonts w:ascii="Times New Roman" w:hAnsi="Times New Roman"/>
          <w:b/>
          <w:noProof/>
          <w:color w:val="000000" w:themeColor="text1"/>
          <w:sz w:val="24"/>
        </w:rPr>
        <w:t xml:space="preserve">A.3. </w:t>
      </w:r>
      <w:r>
        <w:rPr>
          <w:noProof/>
        </w:rPr>
        <w:t xml:space="preserve"> </w:t>
      </w:r>
      <w:r>
        <w:rPr>
          <w:rFonts w:ascii="Times New Roman" w:hAnsi="Times New Roman"/>
          <w:b/>
          <w:noProof/>
          <w:color w:val="000000" w:themeColor="text1"/>
          <w:sz w:val="24"/>
        </w:rPr>
        <w:t xml:space="preserve">Beschreibung der Reformen und Investitionen (Darlehen) </w:t>
      </w:r>
    </w:p>
    <w:p w14:paraId="5BE93A62"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i/>
          <w:noProof/>
          <w:color w:val="000000"/>
          <w:sz w:val="24"/>
        </w:rPr>
      </w:pPr>
    </w:p>
    <w:p w14:paraId="2407045E" w14:textId="684AB8A4" w:rsidR="00EB245A" w:rsidRDefault="006021EE">
      <w:pPr>
        <w:pStyle w:val="P68B1DB1-Normal015"/>
        <w:spacing w:before="120" w:after="120" w:line="240" w:lineRule="auto"/>
        <w:jc w:val="both"/>
        <w:rPr>
          <w:rFonts w:eastAsia="Times New Roman" w:cs="Times New Roman"/>
          <w:noProof/>
        </w:rPr>
      </w:pPr>
      <w:r>
        <w:rPr>
          <w:noProof/>
        </w:rPr>
        <w:t>A2.5 Stärkung des Potenzials des Kultursektors und der Kulturwirtschaft für die wirtschaftliche Entwicklung</w:t>
      </w:r>
    </w:p>
    <w:p w14:paraId="2D4B7562" w14:textId="4AD066EE" w:rsidR="00EB245A" w:rsidRDefault="006021EE">
      <w:pPr>
        <w:pStyle w:val="P68B1DB1-Normal06"/>
        <w:spacing w:before="120" w:after="120" w:line="240" w:lineRule="auto"/>
        <w:jc w:val="both"/>
        <w:rPr>
          <w:rFonts w:eastAsia="Times New Roman" w:cs="Times New Roman"/>
          <w:noProof/>
        </w:rPr>
      </w:pPr>
      <w:r>
        <w:rPr>
          <w:noProof/>
        </w:rPr>
        <w:t>Das übergeordnete Ziel dieser Reform besteht darin, einen Rahmen zur Unterstützung der Kultur- und Kreativwirtschaft nach der COVID-19-Pandemie zu k</w:t>
      </w:r>
      <w:r>
        <w:rPr>
          <w:noProof/>
        </w:rPr>
        <w:t xml:space="preserve">onzipieren und zu schaffen. Die Reform besteht in der Annahme eines Strategiepapiers, in dem folgende Fragen behandelt werden: I) die wichtigsten mittel- bis langfristigen Herausforderungen im Rahmen der CSS zu ermitteln; II) Gewährleistung der Einhaltung </w:t>
      </w:r>
      <w:r>
        <w:rPr>
          <w:noProof/>
        </w:rPr>
        <w:t>der horizontalen Grundsätze der EU, einschließlich der Gleichstellung der Geschlechter und der Nichtdiskriminierung; III) Ermittlung des Potenzials grüner und digitaler Instrumente und Plattformen zur Bewältigung dieser Herausforderungen; IV) Entwicklung v</w:t>
      </w:r>
      <w:r>
        <w:rPr>
          <w:noProof/>
        </w:rPr>
        <w:t>on Konzepten für die Zusammenarbeit und den Transfer von Wissen und Kompetenzen zwischen der Kultur- und Kreativwirtschaft und mit den Bereichen Wissenschaft, Bildung, Technologie und Wirtschaft mit Schwerpunkt auf den allgemeinen Grundsätzen der EU, einsc</w:t>
      </w:r>
      <w:r>
        <w:rPr>
          <w:noProof/>
        </w:rPr>
        <w:t>hließlich der Gleichstellung der Geschlechter und der Nichtdiskriminierung, v) Ermittlung der bevorzugten Optionen für die öffentliche Unterstützung von Maßnahmen in der Kultur- und Kreativwirtschaft.</w:t>
      </w:r>
    </w:p>
    <w:p w14:paraId="326A145B" w14:textId="77777777" w:rsidR="00EB245A" w:rsidRDefault="006021EE">
      <w:pPr>
        <w:pStyle w:val="P68B1DB1-Normal16"/>
        <w:spacing w:before="120" w:after="120" w:line="240" w:lineRule="auto"/>
        <w:jc w:val="both"/>
        <w:rPr>
          <w:rFonts w:eastAsia="Times New Roman" w:cs="Times New Roman"/>
          <w:noProof/>
        </w:rPr>
      </w:pPr>
      <w:r>
        <w:rPr>
          <w:noProof/>
        </w:rPr>
        <w:t>Die Umsetzung der Reform soll bis 31. Dezember 2022 abg</w:t>
      </w:r>
      <w:r>
        <w:rPr>
          <w:noProof/>
        </w:rPr>
        <w:t>eschlossen sein.</w:t>
      </w:r>
    </w:p>
    <w:p w14:paraId="384BA73E" w14:textId="77777777" w:rsidR="00EB245A" w:rsidRDefault="00EB245A">
      <w:pPr>
        <w:pStyle w:val="Normal0"/>
        <w:spacing w:before="120" w:after="120" w:line="240" w:lineRule="auto"/>
        <w:jc w:val="both"/>
        <w:rPr>
          <w:rFonts w:ascii="Times New Roman" w:eastAsia="Times New Roman" w:hAnsi="Times New Roman" w:cs="Times New Roman"/>
          <w:noProof/>
          <w:color w:val="000000" w:themeColor="text1"/>
          <w:sz w:val="24"/>
        </w:rPr>
      </w:pPr>
    </w:p>
    <w:p w14:paraId="7F608D7F" w14:textId="6A7B1CE2" w:rsidR="00EB245A" w:rsidRDefault="006021EE">
      <w:pPr>
        <w:pStyle w:val="P68B1DB1-Normal017"/>
        <w:spacing w:before="120" w:after="120" w:line="240" w:lineRule="auto"/>
        <w:jc w:val="both"/>
        <w:rPr>
          <w:rFonts w:eastAsia="Times New Roman" w:cs="Times New Roman"/>
          <w:b/>
          <w:noProof/>
        </w:rPr>
      </w:pPr>
      <w:r>
        <w:rPr>
          <w:b/>
          <w:noProof/>
        </w:rPr>
        <w:t>A2.5.1 Ein Programm zur Unterstützung der Aktivitäten von Einrichtungen der Kultur- und Kreativwirtschaft zur</w:t>
      </w:r>
      <w:r>
        <w:rPr>
          <w:noProof/>
        </w:rPr>
        <w:t xml:space="preserve"> </w:t>
      </w:r>
      <w:r>
        <w:rPr>
          <w:b/>
          <w:noProof/>
        </w:rPr>
        <w:t>Stimulierung ihrer Entwicklung</w:t>
      </w:r>
    </w:p>
    <w:p w14:paraId="15E6868C" w14:textId="1B4D8774" w:rsidR="00EB245A" w:rsidRDefault="006021EE">
      <w:pPr>
        <w:pStyle w:val="P68B1DB1-Normal06"/>
        <w:spacing w:before="120" w:after="120" w:line="240" w:lineRule="auto"/>
        <w:jc w:val="both"/>
        <w:rPr>
          <w:rFonts w:eastAsia="Times New Roman" w:cs="Times New Roman"/>
          <w:noProof/>
        </w:rPr>
      </w:pPr>
      <w:r>
        <w:rPr>
          <w:noProof/>
        </w:rPr>
        <w:t>Ziel dieser Investition ist es, die langfristigen negativen Auswirkungen der COVID-19-Pandemie zu verhindern und den ökologischen und digitalen Wandel in der Kultur- und Kreativbranche zu fördern. Zu diesem Zweck werden im Rahmen der Investition kulturelle</w:t>
      </w:r>
      <w:r>
        <w:rPr>
          <w:noProof/>
        </w:rPr>
        <w:t xml:space="preserve"> Einrichtungen, NRO, Künstler, Kleinstunternehmen und KMU in der Kultur- und Kreativwirtschaft finanziell und technisch unterstützt.</w:t>
      </w:r>
    </w:p>
    <w:p w14:paraId="19408C34" w14:textId="6A280FE2" w:rsidR="00EB245A" w:rsidRDefault="006021EE">
      <w:pPr>
        <w:pStyle w:val="P68B1DB1-Normal06"/>
        <w:spacing w:before="120" w:after="120" w:line="240" w:lineRule="auto"/>
        <w:jc w:val="both"/>
        <w:rPr>
          <w:rFonts w:eastAsia="Times New Roman" w:cs="Times New Roman"/>
          <w:noProof/>
        </w:rPr>
      </w:pPr>
      <w:r>
        <w:rPr>
          <w:noProof/>
        </w:rPr>
        <w:t>Die Investition besteht aus zwei Hauptelementen. Erstens wird mit der Investition ein Zuschussprogramm für Kultureinrichtun</w:t>
      </w:r>
      <w:r>
        <w:rPr>
          <w:noProof/>
        </w:rPr>
        <w:t xml:space="preserve">gen, NRO, KMU und Kleinstunternehmen in der Kultur- und Kreativbranche eingerichtet, um die Durchführung von Projekten zu unterstützen, die Folgendes betreffen: I) Verbesserung der digitalen und grünen Kompetenzen in der Kultur- und Kreativwirtschaft; II) </w:t>
      </w:r>
      <w:r>
        <w:rPr>
          <w:noProof/>
        </w:rPr>
        <w:t>Entwicklung kultureller/kreativer Aktivitäten wie Konzerte, Darbietungen und Ausstellungen, auch in virtuellen Formaten; III) Schaffung von Bildungsprogrammen und Workshops zu Architektur, Design und kreativer Kunst, um Künstlern und Designern bei der Entw</w:t>
      </w:r>
      <w:r>
        <w:rPr>
          <w:noProof/>
        </w:rPr>
        <w:t>icklung ihrer grünen und digitalen Kompetenzen zu helfen; IV) Aufbau von Workshops zur Unterstützung der Zusammenarbeit und des Wissens- und Kompetenzaustauschs zwischen der Kultur- und Kreativbranche und mit den Bereichen Wissenschaft, Technologie und Wir</w:t>
      </w:r>
      <w:r>
        <w:rPr>
          <w:noProof/>
        </w:rPr>
        <w:t>tschaft; V) Entwicklung neuer Produkte und Dienste, die disruptive Technologien wie künstliche Intelligenz, Blockchain und das Internet der Dinge in der CCS nutzen. Bei allen Projekten sind die allgemeinen Grundsätze der EU, einschließlich der Gleichstellu</w:t>
      </w:r>
      <w:r>
        <w:rPr>
          <w:noProof/>
        </w:rPr>
        <w:t>ng der Geschlechter und der Nichtdiskriminierung, zu berücksichtigen.</w:t>
      </w:r>
    </w:p>
    <w:p w14:paraId="440D9AD8" w14:textId="19834385" w:rsidR="00EB245A" w:rsidRDefault="006021EE">
      <w:pPr>
        <w:pStyle w:val="P68B1DB1-Normal06"/>
        <w:spacing w:before="120" w:after="120" w:line="240" w:lineRule="auto"/>
        <w:jc w:val="both"/>
        <w:rPr>
          <w:rFonts w:eastAsia="Times New Roman" w:cs="Times New Roman"/>
          <w:noProof/>
        </w:rPr>
      </w:pPr>
      <w:r>
        <w:rPr>
          <w:noProof/>
        </w:rPr>
        <w:t>Zweitens soll mit der Investition ein Stipendienprogramm zur Unterstützung von Kulturschaffenden, Künstlern, Animatoren, Pädagogen und Forschern in der Kultur- und Kreativbranche geschaf</w:t>
      </w:r>
      <w:r>
        <w:rPr>
          <w:noProof/>
        </w:rPr>
        <w:t>fen werden. Im Rahmen des Stipendiumsprogramms wird insbesondere Folgendes finanziell unterstützt: I) Bereitstellung von Kursen für Künstler, um ihre künstlerischen, digitalen oder grünen Kompetenzen zu entwickeln; II) Bereitstellung einer individualisiert</w:t>
      </w:r>
      <w:r>
        <w:rPr>
          <w:noProof/>
        </w:rPr>
        <w:t xml:space="preserve">en Berufsausbildung für Künstler; III) Schaffung von Möglichkeiten für Künstler, durch Workshops und Diskussionsreihen in virtuellen oder physischen Formaten mit lokalen, nationalen und internationalen Kunstschaffenden zusammenzutreffen; IV) Schaffung von </w:t>
      </w:r>
      <w:r>
        <w:rPr>
          <w:noProof/>
        </w:rPr>
        <w:t>Möglichkeiten für Künstler, in virtuellen oder physischen Formaten mit Fachleuten anderer Branchen, einschließlich Wissenschaft, Technologie und Wirtschaft, zusammenzuarbeiten. Die Stipendien werden im Einklang mit den allgemeinen Grundsätzen der EU, einsc</w:t>
      </w:r>
      <w:r>
        <w:rPr>
          <w:noProof/>
        </w:rPr>
        <w:t>hließlich der Gleichstellung der Geschlechter und der Nichtdiskriminierung, gewährt. Die Kriterien für die Auswahl der Anträge auf Stipendien für Künstler im CSS, die einem der von Eurostat definierten NACE-Sektoren entsprechen, umfassen: a) ein überzeugen</w:t>
      </w:r>
      <w:r>
        <w:rPr>
          <w:noProof/>
        </w:rPr>
        <w:t>des künstlerisches Portfolio in den letzten 24 Monaten; B) einen überzeugenden künstlerischen Plan für die nächsten 24 Monate.</w:t>
      </w:r>
    </w:p>
    <w:p w14:paraId="531A07C6" w14:textId="085225DD" w:rsidR="00EB245A" w:rsidRDefault="006021EE">
      <w:pPr>
        <w:pStyle w:val="P68B1DB1-Normal16"/>
        <w:spacing w:before="120" w:after="120" w:line="240" w:lineRule="auto"/>
        <w:jc w:val="both"/>
        <w:rPr>
          <w:rFonts w:eastAsia="Times New Roman" w:cs="Times New Roman"/>
          <w:noProof/>
        </w:rPr>
      </w:pPr>
      <w:r>
        <w:rPr>
          <w:noProof/>
        </w:rPr>
        <w:t>Die Durchführung der Investition muss bis zum 31. Dezember 2025 abgeschlossen sein.</w:t>
      </w:r>
    </w:p>
    <w:p w14:paraId="7D34F5C7" w14:textId="2490CA9B" w:rsidR="00EB245A" w:rsidRDefault="006021EE">
      <w:pPr>
        <w:rPr>
          <w:rFonts w:ascii="Times New Roman" w:eastAsia="Times New Roman" w:hAnsi="Times New Roman" w:cs="Times New Roman"/>
          <w:noProof/>
          <w:color w:val="000000"/>
          <w:sz w:val="24"/>
        </w:rPr>
      </w:pPr>
      <w:r>
        <w:rPr>
          <w:noProof/>
        </w:rPr>
        <w:br w:type="page"/>
      </w:r>
    </w:p>
    <w:p w14:paraId="61B952EE" w14:textId="77777777" w:rsidR="00EB245A" w:rsidRDefault="00EB245A">
      <w:pPr>
        <w:pStyle w:val="Normal0"/>
        <w:spacing w:before="120" w:after="120" w:line="240" w:lineRule="auto"/>
        <w:jc w:val="both"/>
        <w:rPr>
          <w:rFonts w:ascii="Times New Roman" w:eastAsia="Times New Roman" w:hAnsi="Times New Roman" w:cs="Times New Roman"/>
          <w:noProof/>
          <w:color w:val="000000"/>
          <w:sz w:val="24"/>
        </w:rPr>
      </w:pPr>
    </w:p>
    <w:p w14:paraId="3011107A" w14:textId="1308B4E4" w:rsidR="00EB245A" w:rsidRDefault="006021EE">
      <w:pPr>
        <w:pStyle w:val="P68B1DB1-Normal015"/>
        <w:pBdr>
          <w:top w:val="nil"/>
          <w:left w:val="nil"/>
          <w:bottom w:val="nil"/>
          <w:right w:val="nil"/>
          <w:between w:val="nil"/>
        </w:pBdr>
        <w:spacing w:before="120" w:after="120" w:line="240" w:lineRule="auto"/>
        <w:jc w:val="both"/>
        <w:rPr>
          <w:rFonts w:eastAsia="Times New Roman" w:cs="Times New Roman"/>
          <w:noProof/>
          <w:color w:val="000000"/>
        </w:rPr>
      </w:pPr>
      <w:r>
        <w:rPr>
          <w:noProof/>
        </w:rPr>
        <w:t xml:space="preserve">A2.6 Reform – Entwicklung des nationalen </w:t>
      </w:r>
      <w:r>
        <w:rPr>
          <w:noProof/>
        </w:rPr>
        <w:t>Systems der Überwachungsdienste, -produkte, -analyseinstrumente, -dienste und begleitender Infrastruktur unter Verwendung von Satellitendaten</w:t>
      </w:r>
    </w:p>
    <w:p w14:paraId="3DF47A9B" w14:textId="77777777"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Ziel der Reform ist die verstärkte Nutzung von Satellitendaten durch öffentliche und private Einrichtungen. Ein ne</w:t>
      </w:r>
      <w:r>
        <w:rPr>
          <w:noProof/>
        </w:rPr>
        <w:t xml:space="preserve">ues Gesetz über Weltraumtätigkeiten soll die Nutzung von Satellitendaten durch die öffentliche Verwaltung erleichtern. </w:t>
      </w:r>
    </w:p>
    <w:p w14:paraId="4FD975EA" w14:textId="2A2C6DF0"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Mit dem Gesetz wird ein nationaler Verwalter von Satellitendaten eingerichtet. Sie ist ferner verpflichtet, die Nutzung von Satellitenda</w:t>
      </w:r>
      <w:r>
        <w:rPr>
          <w:noProof/>
        </w:rPr>
        <w:t>ten durch private Unternehmen zu fördern, unter anderem durch die Organisation von Schulungen für alle interessierten Stellen. Das Gesetz legt ferner die Regeln und Bedingungen für die Durchführung von Weltraumtätigkeiten und deren Überwachung, die Haftung</w:t>
      </w:r>
      <w:r>
        <w:rPr>
          <w:noProof/>
        </w:rPr>
        <w:t xml:space="preserve"> für Schäden, die durch einen Weltraumgegenstand verursacht werden, sowie die Vorschriften für den Betrieb des nationalen Weltraumobjektregisters fest.</w:t>
      </w:r>
    </w:p>
    <w:p w14:paraId="4A09802E" w14:textId="77777777"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 xml:space="preserve">Die Umsetzung der Reform muss bis zum 30. September 2024 abgeschlossen sein. </w:t>
      </w:r>
    </w:p>
    <w:p w14:paraId="29D6B04F" w14:textId="77777777"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 xml:space="preserve"> </w:t>
      </w:r>
    </w:p>
    <w:p w14:paraId="4203A76C" w14:textId="06F301BB" w:rsidR="00EB245A" w:rsidRDefault="006021EE">
      <w:pPr>
        <w:pStyle w:val="P68B1DB1-Normal015"/>
        <w:pBdr>
          <w:top w:val="nil"/>
          <w:left w:val="nil"/>
          <w:bottom w:val="nil"/>
          <w:right w:val="nil"/>
          <w:between w:val="nil"/>
        </w:pBdr>
        <w:spacing w:before="120" w:after="120" w:line="240" w:lineRule="auto"/>
        <w:jc w:val="both"/>
        <w:rPr>
          <w:rFonts w:eastAsia="Times New Roman" w:cs="Times New Roman"/>
          <w:noProof/>
          <w:color w:val="000000"/>
        </w:rPr>
      </w:pPr>
      <w:r>
        <w:rPr>
          <w:noProof/>
        </w:rPr>
        <w:t>A2.6.1 Investitionen – Entwicklung des nationalen Systems der Überwachungsdienste, -produkte, -analyseinstrumente, -dienste und begleitender Infrastruktur unter Verwendung von Satellitendaten</w:t>
      </w:r>
    </w:p>
    <w:p w14:paraId="6851D837" w14:textId="4F6B19B4" w:rsidR="00EB245A" w:rsidRDefault="006021EE">
      <w:pPr>
        <w:pStyle w:val="P68B1DB1-Normal018"/>
        <w:pBdr>
          <w:top w:val="nil"/>
          <w:left w:val="nil"/>
          <w:bottom w:val="nil"/>
          <w:right w:val="nil"/>
          <w:between w:val="nil"/>
        </w:pBdr>
        <w:spacing w:before="120" w:after="120" w:line="240" w:lineRule="auto"/>
        <w:jc w:val="both"/>
        <w:rPr>
          <w:rFonts w:eastAsia="Times New Roman" w:cs="Times New Roman"/>
          <w:noProof/>
          <w:color w:val="000000"/>
        </w:rPr>
      </w:pPr>
      <w:r>
        <w:rPr>
          <w:noProof/>
          <w:color w:val="000000" w:themeColor="text1"/>
        </w:rPr>
        <w:t>Die Investitionen zielen darauf ab, die Effizienz der Nutzung de</w:t>
      </w:r>
      <w:r>
        <w:rPr>
          <w:noProof/>
          <w:color w:val="000000" w:themeColor="text1"/>
        </w:rPr>
        <w:t>r satellitengestützten Erdbeobachtung in Polen erheblich zu steigern und die effiziente und kontinuierliche Produktion und Bereitstellung verarbeiteter Erdbeobachtungsinformationen zu gewährleisten, die auf die Bedürfnisse der Nutzer zugeschnitten sind. Zi</w:t>
      </w:r>
      <w:r>
        <w:rPr>
          <w:noProof/>
          <w:color w:val="000000" w:themeColor="text1"/>
        </w:rPr>
        <w:t>el ist es, die Governance des Landes zu verbessern (Entscheidungen auf der Grundlage spezifischerer und aktuellerer Informationen), einen erheblichen digitalen Wandel der Verwaltung herbeizuführen und die Nachfrage nach Erdbeobachtungsprodukten zu schaffen</w:t>
      </w:r>
      <w:r>
        <w:rPr>
          <w:noProof/>
          <w:color w:val="000000" w:themeColor="text1"/>
        </w:rPr>
        <w:t xml:space="preserve">, einschließlich einer zusätzlichen privaten und öffentlichen Nachfrage nach </w:t>
      </w:r>
      <w:r>
        <w:rPr>
          <w:noProof/>
        </w:rPr>
        <w:t>dem bereits</w:t>
      </w:r>
      <w:r>
        <w:rPr>
          <w:noProof/>
          <w:color w:val="000000" w:themeColor="text1"/>
        </w:rPr>
        <w:t xml:space="preserve"> bestehenden Copernicus-System der EU.</w:t>
      </w:r>
    </w:p>
    <w:p w14:paraId="502860F4" w14:textId="100E560E" w:rsidR="00EB245A" w:rsidRDefault="006021EE">
      <w:pPr>
        <w:pStyle w:val="P68B1DB1-Normal018"/>
        <w:pBdr>
          <w:top w:val="nil"/>
          <w:left w:val="nil"/>
          <w:bottom w:val="nil"/>
          <w:right w:val="nil"/>
          <w:between w:val="nil"/>
        </w:pBdr>
        <w:spacing w:before="120" w:after="120" w:line="240" w:lineRule="auto"/>
        <w:jc w:val="both"/>
        <w:rPr>
          <w:rFonts w:eastAsia="Times New Roman" w:cs="Times New Roman"/>
          <w:noProof/>
          <w:color w:val="000000"/>
        </w:rPr>
      </w:pPr>
      <w:r>
        <w:rPr>
          <w:noProof/>
          <w:color w:val="000000" w:themeColor="text1"/>
        </w:rPr>
        <w:t xml:space="preserve">Die Investition besteht aus zwei Investitionen. Die erste Investition umfasst die Einrichtung des </w:t>
      </w:r>
      <w:r>
        <w:rPr>
          <w:noProof/>
        </w:rPr>
        <w:t>nationalen Satelliteninformatio</w:t>
      </w:r>
      <w:r>
        <w:rPr>
          <w:noProof/>
        </w:rPr>
        <w:t>nssystems (NSIS)</w:t>
      </w:r>
      <w:r>
        <w:rPr>
          <w:noProof/>
          <w:color w:val="000000" w:themeColor="text1"/>
        </w:rPr>
        <w:t xml:space="preserve">, das Überwachungsdienste unter Verwendung von Satelliten-Erdbeobachtungsdaten erbringt. Die ersten Dienste müssen den Endnutzern bis zum 30. Juni 2025 zur Verfügung stehen. </w:t>
      </w:r>
    </w:p>
    <w:p w14:paraId="25C0E0F3" w14:textId="403A0372"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rPr>
        <w:sectPr w:rsidR="00EB245A" w:rsidSect="005E6922">
          <w:headerReference w:type="even" r:id="rId43"/>
          <w:headerReference w:type="default" r:id="rId44"/>
          <w:footerReference w:type="even" r:id="rId45"/>
          <w:footerReference w:type="default" r:id="rId46"/>
          <w:headerReference w:type="first" r:id="rId47"/>
          <w:footerReference w:type="first" r:id="rId48"/>
          <w:pgSz w:w="11907" w:h="16839"/>
          <w:pgMar w:top="1134" w:right="1134" w:bottom="1134" w:left="1134" w:header="567" w:footer="567" w:gutter="0"/>
          <w:cols w:space="720"/>
          <w:docGrid w:linePitch="299"/>
        </w:sectPr>
      </w:pPr>
      <w:r>
        <w:rPr>
          <w:noProof/>
        </w:rPr>
        <w:t>Die zweite Investition umfasst den Start von vier Satelliten. Die Vorbereitungsarbeiten, die im Einklang mit den Normen der Europäischen Zusammenarbeit für die Weltraumstandardisierung (ECSS Phase 0/A/B/C) durchgeführt werden, sind bis zum 30. September 20</w:t>
      </w:r>
      <w:r>
        <w:rPr>
          <w:noProof/>
        </w:rPr>
        <w:t>24 abzuschließen. Die Durchführung der Investition muss bis zum 30. Juni 2026 abgeschlossen sein.</w:t>
      </w:r>
    </w:p>
    <w:p w14:paraId="1170E367" w14:textId="299FB42B" w:rsidR="00EB245A" w:rsidRDefault="006021EE">
      <w:pPr>
        <w:pStyle w:val="P68B1DB1-Normal09"/>
        <w:pBdr>
          <w:top w:val="nil"/>
          <w:left w:val="nil"/>
          <w:bottom w:val="nil"/>
          <w:right w:val="nil"/>
          <w:between w:val="nil"/>
        </w:pBdr>
        <w:spacing w:before="120" w:after="120" w:line="240" w:lineRule="auto"/>
        <w:jc w:val="both"/>
        <w:rPr>
          <w:rFonts w:eastAsia="Times New Roman" w:cs="Times New Roman"/>
          <w:noProof/>
        </w:rPr>
      </w:pPr>
      <w:r>
        <w:rPr>
          <w:noProof/>
        </w:rPr>
        <w:t>A.4. Etappenziele, Zielwerte, Indikatoren und Zeitplan für die Überwachung und Durchführung (Darlehen)</w:t>
      </w:r>
    </w:p>
    <w:p w14:paraId="0B4020A7" w14:textId="32D0A369" w:rsidR="00EB245A" w:rsidRDefault="006021EE">
      <w:pPr>
        <w:pStyle w:val="P68B1DB1-Normal09"/>
        <w:pBdr>
          <w:top w:val="nil"/>
          <w:left w:val="nil"/>
          <w:bottom w:val="nil"/>
          <w:right w:val="nil"/>
          <w:between w:val="nil"/>
        </w:pBdr>
        <w:spacing w:before="120" w:after="120" w:line="240" w:lineRule="auto"/>
        <w:jc w:val="both"/>
        <w:rPr>
          <w:rFonts w:eastAsia="Times New Roman" w:cs="Times New Roman"/>
          <w:noProof/>
        </w:rPr>
      </w:pPr>
      <w:r>
        <w:rPr>
          <w:noProof/>
        </w:rPr>
        <w:t>A2 – INNOVATION</w:t>
      </w:r>
    </w:p>
    <w:tbl>
      <w:tblPr>
        <w:tblW w:w="15876"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701"/>
        <w:gridCol w:w="2093"/>
        <w:gridCol w:w="1258"/>
        <w:gridCol w:w="2233"/>
        <w:gridCol w:w="1937"/>
        <w:gridCol w:w="1134"/>
        <w:gridCol w:w="1417"/>
        <w:gridCol w:w="709"/>
        <w:gridCol w:w="851"/>
        <w:gridCol w:w="708"/>
        <w:gridCol w:w="2835"/>
      </w:tblGrid>
      <w:tr w:rsidR="00EB245A" w14:paraId="26ED3A65" w14:textId="77777777" w:rsidTr="0028767D">
        <w:trPr>
          <w:trHeight w:val="752"/>
          <w:tblHeader/>
        </w:trPr>
        <w:tc>
          <w:tcPr>
            <w:tcW w:w="701" w:type="dxa"/>
            <w:vMerge w:val="restart"/>
            <w:tcBorders>
              <w:top w:val="single" w:sz="4" w:space="0" w:color="000000" w:themeColor="text1"/>
            </w:tcBorders>
            <w:shd w:val="clear" w:color="auto" w:fill="BDD7EE"/>
            <w:vAlign w:val="center"/>
          </w:tcPr>
          <w:p w14:paraId="0560DCE9" w14:textId="531FED95"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Lfd. Nr. Nr.</w:t>
            </w:r>
          </w:p>
        </w:tc>
        <w:tc>
          <w:tcPr>
            <w:tcW w:w="2093" w:type="dxa"/>
            <w:vMerge w:val="restart"/>
            <w:tcBorders>
              <w:top w:val="single" w:sz="4" w:space="0" w:color="000000" w:themeColor="text1"/>
            </w:tcBorders>
            <w:shd w:val="clear" w:color="auto" w:fill="BDD7EE"/>
            <w:vAlign w:val="center"/>
          </w:tcPr>
          <w:p w14:paraId="12EFB8ED"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Verbundene Maßnahme (Refor</w:t>
            </w:r>
            <w:r>
              <w:rPr>
                <w:noProof/>
              </w:rPr>
              <w:t>m oder Investition)</w:t>
            </w:r>
          </w:p>
        </w:tc>
        <w:tc>
          <w:tcPr>
            <w:tcW w:w="1258" w:type="dxa"/>
            <w:vMerge w:val="restart"/>
            <w:tcBorders>
              <w:top w:val="single" w:sz="4" w:space="0" w:color="000000" w:themeColor="text1"/>
            </w:tcBorders>
            <w:shd w:val="clear" w:color="auto" w:fill="BDD7EE"/>
            <w:vAlign w:val="center"/>
          </w:tcPr>
          <w:p w14:paraId="69514B1F"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Etappenziel/Zielwert</w:t>
            </w:r>
          </w:p>
        </w:tc>
        <w:tc>
          <w:tcPr>
            <w:tcW w:w="2233" w:type="dxa"/>
            <w:vMerge w:val="restart"/>
            <w:tcBorders>
              <w:top w:val="single" w:sz="4" w:space="0" w:color="000000" w:themeColor="text1"/>
            </w:tcBorders>
            <w:shd w:val="clear" w:color="auto" w:fill="BDD7EE"/>
            <w:vAlign w:val="center"/>
          </w:tcPr>
          <w:p w14:paraId="178F8722"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Namen</w:t>
            </w:r>
          </w:p>
        </w:tc>
        <w:tc>
          <w:tcPr>
            <w:tcW w:w="1937" w:type="dxa"/>
            <w:vMerge w:val="restart"/>
            <w:tcBorders>
              <w:top w:val="single" w:sz="4" w:space="0" w:color="000000" w:themeColor="text1"/>
            </w:tcBorders>
            <w:shd w:val="clear" w:color="auto" w:fill="BDD7EE"/>
            <w:vAlign w:val="center"/>
          </w:tcPr>
          <w:p w14:paraId="77CACFE9" w14:textId="77777777" w:rsidR="00EB245A" w:rsidRDefault="006021EE">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rPr>
            </w:pPr>
            <w:r>
              <w:rPr>
                <w:rFonts w:ascii="Times New Roman" w:hAnsi="Times New Roman"/>
                <w:b/>
                <w:noProof/>
                <w:color w:val="000000"/>
                <w:sz w:val="18"/>
              </w:rPr>
              <w:t>Etappenziel/Zielwert</w:t>
            </w:r>
            <w:r>
              <w:rPr>
                <w:noProof/>
              </w:rPr>
              <w:t xml:space="preserve">  </w:t>
            </w:r>
            <w:r>
              <w:rPr>
                <w:noProof/>
              </w:rPr>
              <w:br/>
            </w:r>
            <w:r>
              <w:rPr>
                <w:rFonts w:ascii="Times New Roman" w:hAnsi="Times New Roman"/>
                <w:b/>
                <w:noProof/>
                <w:color w:val="000000"/>
                <w:sz w:val="18"/>
              </w:rPr>
              <w:t>(für Etappenziele)</w:t>
            </w:r>
          </w:p>
        </w:tc>
        <w:tc>
          <w:tcPr>
            <w:tcW w:w="3260" w:type="dxa"/>
            <w:gridSpan w:val="3"/>
            <w:tcBorders>
              <w:top w:val="single" w:sz="4" w:space="0" w:color="000000" w:themeColor="text1"/>
            </w:tcBorders>
            <w:shd w:val="clear" w:color="auto" w:fill="BDD7EE"/>
            <w:vAlign w:val="center"/>
          </w:tcPr>
          <w:p w14:paraId="761BC86E" w14:textId="77777777" w:rsidR="00EB245A" w:rsidRDefault="006021EE">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rPr>
            </w:pPr>
            <w:r>
              <w:rPr>
                <w:rFonts w:ascii="Times New Roman" w:hAnsi="Times New Roman"/>
                <w:b/>
                <w:noProof/>
                <w:color w:val="000000"/>
                <w:sz w:val="18"/>
              </w:rPr>
              <w:t>Qualitative Indikatoren (für Etappenziele)</w:t>
            </w:r>
            <w:r>
              <w:rPr>
                <w:noProof/>
              </w:rPr>
              <w:t xml:space="preserve">  </w:t>
            </w:r>
            <w:r>
              <w:rPr>
                <w:noProof/>
              </w:rPr>
              <w:br/>
            </w:r>
            <w:r>
              <w:rPr>
                <w:rFonts w:ascii="Times New Roman" w:hAnsi="Times New Roman"/>
                <w:b/>
                <w:noProof/>
                <w:color w:val="000000"/>
                <w:sz w:val="18"/>
              </w:rPr>
              <w:t>(für Ziele)</w:t>
            </w:r>
          </w:p>
        </w:tc>
        <w:tc>
          <w:tcPr>
            <w:tcW w:w="1559" w:type="dxa"/>
            <w:gridSpan w:val="2"/>
            <w:tcBorders>
              <w:top w:val="single" w:sz="4" w:space="0" w:color="000000" w:themeColor="text1"/>
            </w:tcBorders>
            <w:shd w:val="clear" w:color="auto" w:fill="BDD7EE"/>
            <w:vAlign w:val="center"/>
          </w:tcPr>
          <w:p w14:paraId="0A1D18ED"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 xml:space="preserve">Vorläufiger Zeitplan für die Fertigstellung </w:t>
            </w:r>
          </w:p>
        </w:tc>
        <w:tc>
          <w:tcPr>
            <w:tcW w:w="2835" w:type="dxa"/>
            <w:vMerge w:val="restart"/>
            <w:tcBorders>
              <w:top w:val="single" w:sz="4" w:space="0" w:color="000000" w:themeColor="text1"/>
            </w:tcBorders>
            <w:shd w:val="clear" w:color="auto" w:fill="BDD7EE"/>
            <w:vAlign w:val="center"/>
          </w:tcPr>
          <w:p w14:paraId="7C1CC161"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Beschreibung der einzelnen Etappenziele und Zielvorgaben</w:t>
            </w:r>
          </w:p>
        </w:tc>
      </w:tr>
      <w:tr w:rsidR="00EB245A" w14:paraId="094E959E" w14:textId="77777777" w:rsidTr="0028767D">
        <w:trPr>
          <w:trHeight w:val="563"/>
        </w:trPr>
        <w:tc>
          <w:tcPr>
            <w:tcW w:w="701" w:type="dxa"/>
            <w:vMerge/>
            <w:vAlign w:val="center"/>
          </w:tcPr>
          <w:p w14:paraId="1D7B270A"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2093" w:type="dxa"/>
            <w:vMerge/>
            <w:vAlign w:val="center"/>
          </w:tcPr>
          <w:p w14:paraId="4F904CB7"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258" w:type="dxa"/>
            <w:vMerge/>
            <w:vAlign w:val="center"/>
          </w:tcPr>
          <w:p w14:paraId="06971CD3"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2233" w:type="dxa"/>
            <w:vMerge/>
            <w:vAlign w:val="center"/>
          </w:tcPr>
          <w:p w14:paraId="2A1F701D"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937" w:type="dxa"/>
            <w:vMerge/>
            <w:vAlign w:val="center"/>
          </w:tcPr>
          <w:p w14:paraId="03EFCA41"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134" w:type="dxa"/>
            <w:shd w:val="clear" w:color="auto" w:fill="BDD7EE"/>
            <w:vAlign w:val="center"/>
          </w:tcPr>
          <w:p w14:paraId="2BB0D5B6"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Maßeinheit</w:t>
            </w:r>
          </w:p>
        </w:tc>
        <w:tc>
          <w:tcPr>
            <w:tcW w:w="1417" w:type="dxa"/>
            <w:shd w:val="clear" w:color="auto" w:fill="BDD7EE"/>
            <w:vAlign w:val="center"/>
          </w:tcPr>
          <w:p w14:paraId="1D1C991E"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 xml:space="preserve">Ausgangslage </w:t>
            </w:r>
          </w:p>
        </w:tc>
        <w:tc>
          <w:tcPr>
            <w:tcW w:w="709" w:type="dxa"/>
            <w:shd w:val="clear" w:color="auto" w:fill="BDD7EE"/>
            <w:vAlign w:val="center"/>
          </w:tcPr>
          <w:p w14:paraId="04C27F3C"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Ziel</w:t>
            </w:r>
          </w:p>
        </w:tc>
        <w:tc>
          <w:tcPr>
            <w:tcW w:w="851" w:type="dxa"/>
            <w:shd w:val="clear" w:color="auto" w:fill="BDD7EE"/>
            <w:vAlign w:val="center"/>
          </w:tcPr>
          <w:p w14:paraId="40A90909"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Viertel</w:t>
            </w:r>
          </w:p>
        </w:tc>
        <w:tc>
          <w:tcPr>
            <w:tcW w:w="708" w:type="dxa"/>
            <w:shd w:val="clear" w:color="auto" w:fill="BDD7EE"/>
            <w:vAlign w:val="center"/>
          </w:tcPr>
          <w:p w14:paraId="72C88E70"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Jahre</w:t>
            </w:r>
          </w:p>
        </w:tc>
        <w:tc>
          <w:tcPr>
            <w:tcW w:w="2835" w:type="dxa"/>
            <w:vMerge/>
            <w:vAlign w:val="center"/>
          </w:tcPr>
          <w:p w14:paraId="5F96A722"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r>
      <w:tr w:rsidR="00EB245A" w14:paraId="5A170BCE" w14:textId="77777777" w:rsidTr="0028767D">
        <w:trPr>
          <w:trHeight w:val="1361"/>
        </w:trPr>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BF0BF2" w14:textId="12A29F90" w:rsidR="00EB245A" w:rsidRDefault="006021EE">
            <w:pPr>
              <w:pStyle w:val="P68B1DB1-Normal011"/>
              <w:pBdr>
                <w:top w:val="nil"/>
                <w:left w:val="nil"/>
                <w:bottom w:val="nil"/>
                <w:right w:val="nil"/>
                <w:between w:val="nil"/>
              </w:pBdr>
              <w:spacing w:after="0" w:line="240" w:lineRule="auto"/>
              <w:jc w:val="center"/>
              <w:rPr>
                <w:rFonts w:eastAsia="Times New Roman" w:cs="Times New Roman"/>
                <w:b/>
                <w:noProof/>
                <w:color w:val="000000"/>
              </w:rPr>
            </w:pPr>
            <w:r>
              <w:rPr>
                <w:noProof/>
              </w:rPr>
              <w:t>A1L</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495B2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A2.5 Stärkung des Potenzials des Kultursektors und der Kulturwirtschaft für die wirtschaftliche Entwicklung</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7E5442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Meilenstein</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829331E" w14:textId="1DCD9F3D"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Annahme eines Strategiepapiers zur Unterstützung grüner und digitaler Maßnahmen in der</w:t>
            </w:r>
            <w:r>
              <w:rPr>
                <w:noProof/>
              </w:rPr>
              <w:t xml:space="preserve"> Kultur- und Kreativbranche</w:t>
            </w:r>
          </w:p>
        </w:tc>
        <w:tc>
          <w:tcPr>
            <w:tcW w:w="19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49733DE" w14:textId="261A70CD"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Veröffentlichung eines Strategiepapiers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B95CD12"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20BBB2" w14:textId="77777777"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CB595B" w14:textId="77777777"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655411C" w14:textId="5F661E92"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62C3D42"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423BABC" w14:textId="7C712E44" w:rsidR="00EB245A" w:rsidRDefault="006021EE">
            <w:pPr>
              <w:pStyle w:val="P68B1DB1-Normal012"/>
              <w:pBdr>
                <w:top w:val="nil"/>
                <w:left w:val="nil"/>
                <w:bottom w:val="nil"/>
                <w:right w:val="nil"/>
                <w:between w:val="nil"/>
              </w:pBdr>
              <w:spacing w:line="240" w:lineRule="auto"/>
              <w:rPr>
                <w:rFonts w:eastAsia="Times New Roman" w:cs="Times New Roman"/>
                <w:noProof/>
              </w:rPr>
            </w:pPr>
            <w:r>
              <w:rPr>
                <w:noProof/>
              </w:rPr>
              <w:t>Annahme eines Strategiepapiers zur Unterstützung des Kultur- und Kreativsektors durch den für Kulturfragen zuständigen Minister im Anschluss an eine öffentliche Konsultation. In</w:t>
            </w:r>
            <w:r>
              <w:rPr>
                <w:noProof/>
              </w:rPr>
              <w:t xml:space="preserve"> dem Dokument werden insbesondere folgende Aspekte behandelt:</w:t>
            </w:r>
          </w:p>
          <w:p w14:paraId="1F5FDADC" w14:textId="627DCB4F" w:rsidR="00EB245A" w:rsidRDefault="006021EE">
            <w:pPr>
              <w:pStyle w:val="P68B1DB1-Normal13"/>
              <w:numPr>
                <w:ilvl w:val="0"/>
                <w:numId w:val="14"/>
              </w:numPr>
              <w:pBdr>
                <w:top w:val="nil"/>
                <w:left w:val="nil"/>
                <w:bottom w:val="nil"/>
                <w:right w:val="nil"/>
                <w:between w:val="nil"/>
              </w:pBdr>
              <w:spacing w:after="0" w:line="240" w:lineRule="auto"/>
              <w:rPr>
                <w:rFonts w:eastAsia="Times New Roman" w:cs="Times New Roman"/>
                <w:noProof/>
                <w:color w:val="000000"/>
              </w:rPr>
            </w:pPr>
            <w:r>
              <w:rPr>
                <w:noProof/>
              </w:rPr>
              <w:t>Ermittlung der wichtigsten mittel- bis langfristigen Herausforderungen in der Kultur- und Kreativwirtschaft, einschließlich der Lehren aus der COVID-19-Krise;</w:t>
            </w:r>
          </w:p>
          <w:p w14:paraId="3FF76746" w14:textId="627DCB4F" w:rsidR="00EB245A" w:rsidRDefault="006021EE">
            <w:pPr>
              <w:pStyle w:val="P68B1DB1-Normal13"/>
              <w:numPr>
                <w:ilvl w:val="0"/>
                <w:numId w:val="14"/>
              </w:numPr>
              <w:spacing w:after="0" w:line="240" w:lineRule="auto"/>
              <w:ind w:right="600"/>
              <w:rPr>
                <w:rFonts w:eastAsia="Times New Roman" w:cs="Times New Roman"/>
                <w:noProof/>
                <w:color w:val="000000"/>
              </w:rPr>
            </w:pPr>
            <w:r>
              <w:rPr>
                <w:noProof/>
              </w:rPr>
              <w:t xml:space="preserve">Gewährleistung der Einhaltung der </w:t>
            </w:r>
            <w:r>
              <w:rPr>
                <w:noProof/>
              </w:rPr>
              <w:t>allgemeinen Grundsätze der EU, einschließlich der Gleichstellung der Geschlechter und der Nichtdiskriminierung, in den zu unterstützenden Projekten;</w:t>
            </w:r>
          </w:p>
          <w:p w14:paraId="38F5FEC6" w14:textId="627DCB4F" w:rsidR="00EB245A" w:rsidRDefault="006021EE">
            <w:pPr>
              <w:pStyle w:val="P68B1DB1-Normal13"/>
              <w:numPr>
                <w:ilvl w:val="0"/>
                <w:numId w:val="14"/>
              </w:numPr>
              <w:pBdr>
                <w:top w:val="nil"/>
                <w:left w:val="nil"/>
                <w:bottom w:val="nil"/>
                <w:right w:val="nil"/>
                <w:between w:val="nil"/>
              </w:pBdr>
              <w:spacing w:after="0" w:line="240" w:lineRule="auto"/>
              <w:rPr>
                <w:rFonts w:eastAsia="Times New Roman" w:cs="Times New Roman"/>
                <w:noProof/>
                <w:color w:val="000000"/>
              </w:rPr>
            </w:pPr>
            <w:r>
              <w:rPr>
                <w:noProof/>
              </w:rPr>
              <w:t>Ermittlung des Potenzials grüner und digitaler Instrumente und Plattformen zur Bewältigung dieser Herausfor</w:t>
            </w:r>
            <w:r>
              <w:rPr>
                <w:noProof/>
              </w:rPr>
              <w:t>derungen;</w:t>
            </w:r>
          </w:p>
          <w:p w14:paraId="312B7151" w14:textId="627DCB4F" w:rsidR="00EB245A" w:rsidRDefault="006021EE">
            <w:pPr>
              <w:pStyle w:val="P68B1DB1-Normal13"/>
              <w:numPr>
                <w:ilvl w:val="0"/>
                <w:numId w:val="14"/>
              </w:numPr>
              <w:pBdr>
                <w:top w:val="nil"/>
                <w:left w:val="nil"/>
                <w:bottom w:val="nil"/>
                <w:right w:val="nil"/>
                <w:between w:val="nil"/>
              </w:pBdr>
              <w:spacing w:after="0" w:line="240" w:lineRule="auto"/>
              <w:rPr>
                <w:rFonts w:eastAsia="Times New Roman" w:cs="Times New Roman"/>
                <w:noProof/>
                <w:color w:val="000000"/>
              </w:rPr>
            </w:pPr>
            <w:r>
              <w:rPr>
                <w:noProof/>
              </w:rPr>
              <w:t>Entwicklung von Konzepten für die Zusammenarbeit und den Transfer von Wissen und Kompetenzen zwischen der Kultur- und Kreativwirtschaft und mit den Bereichen Wissenschaft, Bildung, Technologie und Wirtschaft mit Schwerpunkt auf den allgemeinen Gr</w:t>
            </w:r>
            <w:r>
              <w:rPr>
                <w:noProof/>
              </w:rPr>
              <w:t>undsätzen der EU, einschließlich Gleichstellung der Geschlechter und Nichtdiskriminierung, Umwelt und Digitales.</w:t>
            </w:r>
          </w:p>
          <w:p w14:paraId="6D9C8D39"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p w14:paraId="655C637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Ermittlung der bevorzugten Optionen zur öffentlichen Unterstützung von Maßnahmen in der Kultur- und Kreativwirtschaft.</w:t>
            </w:r>
          </w:p>
        </w:tc>
      </w:tr>
      <w:tr w:rsidR="00EB245A" w14:paraId="4C762B98" w14:textId="77777777" w:rsidTr="0028767D">
        <w:trPr>
          <w:trHeight w:val="850"/>
        </w:trPr>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0B585D4" w14:textId="03D02398" w:rsidR="00EB245A" w:rsidRDefault="006021EE">
            <w:pPr>
              <w:pStyle w:val="P68B1DB1-Normal011"/>
              <w:pBdr>
                <w:top w:val="nil"/>
                <w:left w:val="nil"/>
                <w:bottom w:val="nil"/>
                <w:right w:val="nil"/>
                <w:between w:val="nil"/>
              </w:pBdr>
              <w:spacing w:after="0" w:line="240" w:lineRule="auto"/>
              <w:jc w:val="center"/>
              <w:rPr>
                <w:rFonts w:eastAsia="Times New Roman" w:cs="Times New Roman"/>
                <w:b/>
                <w:noProof/>
                <w:color w:val="000000"/>
              </w:rPr>
            </w:pPr>
            <w:r>
              <w:rPr>
                <w:noProof/>
              </w:rPr>
              <w:t>A2L</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C6A9B6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A2.5.1 Ein Programm zur Unterstützung der Aktivitäten von Einrichtungen der Kultur- und Kreativwirtschaft zur Stimulierung ihrer Entwicklung</w:t>
            </w:r>
          </w:p>
          <w:p w14:paraId="675E05EE"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477031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Meilenstein</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D9C6E5" w14:textId="033C2141"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Auswahlkriterien für die Unterstützung von Projekten im Kultur- und Kreativsektor (CCS)</w:t>
            </w:r>
          </w:p>
        </w:tc>
        <w:tc>
          <w:tcPr>
            <w:tcW w:w="19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E24E48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Veröffentlichu</w:t>
            </w:r>
            <w:r>
              <w:rPr>
                <w:noProof/>
              </w:rPr>
              <w:t>ng der Auswahlkriterien und Einsetzung des unabhängigen Auswahlausschusses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C17F8B"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A4F7224" w14:textId="77777777"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AE48A43" w14:textId="77777777"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85A9C2"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BF8A49"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47C2EFB" w14:textId="4991256B"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Das Ministerium für Kultur und nationales Erbe nimmt die Auswahlkriterien an und veröffentlicht diese, um KMU, Kultureinrichtungen und NRO bei der Ausarbeitung von Projekten im Kultur- und Kreativsektor zu unterstützen. </w:t>
            </w:r>
          </w:p>
          <w:p w14:paraId="50F40DEB"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p w14:paraId="7053B00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Darüber hinaus wird ein </w:t>
            </w:r>
            <w:r>
              <w:rPr>
                <w:noProof/>
              </w:rPr>
              <w:t>unabhängiger Auswahlausschuss mit Sachverständigen verschiedener Disziplinen eingesetzt, der auch Vertreter unabhängiger CCS-Organisationen und -Einrichtungen umfasst. Der Auswahlausschuss entscheidet über die Gewährung von Finanzhilfen und Stipendien.</w:t>
            </w:r>
          </w:p>
          <w:p w14:paraId="77A52294"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p w14:paraId="18E4BC7E" w14:textId="1F809D42"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Di</w:t>
            </w:r>
            <w:r>
              <w:rPr>
                <w:noProof/>
              </w:rPr>
              <w:t>e Kriterien für die Auswahl der Anträge auf Projektzuschüsse von Kultureinrichtungen, NRO, KMU und Kleinstunternehmen in der Kultur- und Kreativbranche, die einem der von Eurostat definierten NACE-Sektoren entsprechen, müssen</w:t>
            </w:r>
          </w:p>
          <w:p w14:paraId="21A66136" w14:textId="627DCB4F"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 Projekten den Vorzug geben,</w:t>
            </w:r>
            <w:r>
              <w:rPr>
                <w:noProof/>
              </w:rPr>
              <w:t xml:space="preserve"> die voraussichtlich dauerhafte Auswirkungen auf den digitalen und ökologischen Wandel in der Kultur- und Kreativwirtschaft haben werden;</w:t>
            </w:r>
          </w:p>
          <w:p w14:paraId="29F169F3" w14:textId="627DCB4F" w:rsidR="00EB245A" w:rsidRDefault="006021EE">
            <w:pPr>
              <w:pStyle w:val="P68B1DB1-Normal011"/>
              <w:pBdr>
                <w:top w:val="nil"/>
                <w:left w:val="nil"/>
                <w:bottom w:val="nil"/>
                <w:right w:val="nil"/>
                <w:between w:val="nil"/>
              </w:pBdr>
              <w:spacing w:after="0" w:line="240" w:lineRule="auto"/>
              <w:rPr>
                <w:rFonts w:eastAsia="Times New Roman" w:cs="Times New Roman"/>
                <w:noProof/>
                <w:color w:val="000000"/>
              </w:rPr>
            </w:pPr>
            <w:r>
              <w:rPr>
                <w:noProof/>
                <w:color w:val="000000" w:themeColor="text1"/>
              </w:rPr>
              <w:t>B)</w:t>
            </w:r>
            <w:r>
              <w:rPr>
                <w:noProof/>
              </w:rPr>
              <w:t xml:space="preserve"> </w:t>
            </w:r>
            <w:r>
              <w:rPr>
                <w:noProof/>
                <w:color w:val="000000" w:themeColor="text1"/>
              </w:rPr>
              <w:t>denjenigen Begünstigten den Vorzug geben, die über einen Geschäftsplan verfügen, in dem dargelegt wird, wie die Zus</w:t>
            </w:r>
            <w:r>
              <w:rPr>
                <w:noProof/>
                <w:color w:val="000000" w:themeColor="text1"/>
              </w:rPr>
              <w:t>chüsse zur Finanzierung der Projektkosten verwendet werden sollen;</w:t>
            </w:r>
          </w:p>
          <w:p w14:paraId="75708DC6" w14:textId="59B99671"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geben Sie den Begünstigten den Vorzug, die in den letzten 24 Monaten im Zusammenhang mit dem Projektvorschlag bereits Tätigkeiten oder Projekte durchgeführt haben. </w:t>
            </w:r>
          </w:p>
          <w:p w14:paraId="007DCDA8"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p w14:paraId="6FE8CDEB" w14:textId="7882DA40"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Bei allen Projekten </w:t>
            </w:r>
            <w:r>
              <w:rPr>
                <w:noProof/>
              </w:rPr>
              <w:t>sind die allgemeinen Grundsätze der EU, einschließlich der Gleichstellung der Geschlechter und der Nichtdiskriminierung, zu berücksichtigen.</w:t>
            </w:r>
          </w:p>
        </w:tc>
      </w:tr>
      <w:tr w:rsidR="00EB245A" w14:paraId="19D2E55D" w14:textId="77777777" w:rsidTr="0028767D">
        <w:trPr>
          <w:trHeight w:val="1417"/>
        </w:trPr>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0336A3" w14:textId="62F22E3F" w:rsidR="00EB245A" w:rsidRDefault="006021EE">
            <w:pPr>
              <w:pStyle w:val="P68B1DB1-Normal011"/>
              <w:pBdr>
                <w:top w:val="nil"/>
                <w:left w:val="nil"/>
                <w:bottom w:val="nil"/>
                <w:right w:val="nil"/>
                <w:between w:val="nil"/>
              </w:pBdr>
              <w:spacing w:after="0" w:line="240" w:lineRule="auto"/>
              <w:jc w:val="center"/>
              <w:rPr>
                <w:rFonts w:eastAsia="Times New Roman" w:cs="Times New Roman"/>
                <w:b/>
                <w:noProof/>
                <w:color w:val="000000"/>
              </w:rPr>
            </w:pPr>
            <w:r>
              <w:rPr>
                <w:noProof/>
              </w:rPr>
              <w:t>A3L</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B46D6E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A2.5.1 Ein Programm zur Unterstützung der Aktivitäten von Einrichtungen der Kultur- und Kreativwirtschaft zur </w:t>
            </w:r>
            <w:r>
              <w:rPr>
                <w:noProof/>
              </w:rPr>
              <w:t>Stimulierung ihrer Entwicklung</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21384E"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9FFF35A" w14:textId="5B9040E5"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Zahl der unterzeichneten Verträge für Projekte von Kultureinrichtungen, NRO, KMU und Kleinstunternehmen, die in der Kultur- und Kreativbranche tätig sind </w:t>
            </w:r>
          </w:p>
        </w:tc>
        <w:tc>
          <w:tcPr>
            <w:tcW w:w="19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50EA2D7"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DC705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4452D0A"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8728E67" w14:textId="14E14FD9" w:rsidR="00EB245A" w:rsidRDefault="006021EE">
            <w:pPr>
              <w:pStyle w:val="P68B1DB1-Normal012"/>
              <w:spacing w:after="0" w:line="240" w:lineRule="auto"/>
              <w:rPr>
                <w:noProof/>
              </w:rPr>
            </w:pPr>
            <w:r>
              <w:rPr>
                <w:noProof/>
              </w:rPr>
              <w:t>2755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17816B"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04DE12B" w14:textId="4C23BCD9"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0E864D1" w14:textId="6E4F5654"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Ziel dieser Maßnahme ist es, die Kultur- </w:t>
            </w:r>
            <w:r>
              <w:rPr>
                <w:noProof/>
              </w:rPr>
              <w:t>und Kreativwirtschaft zu stärken, indem die Durchführung von Projekten zur Verbreitung kultureller Errungenschaften unterstützt und die Präsenz der Kultur im gesellschaftlichen Leben durch Online-Tools und -Ressourcen erhöht wird. Die Projekte werden im We</w:t>
            </w:r>
            <w:r>
              <w:rPr>
                <w:noProof/>
              </w:rPr>
              <w:t>ge offener Aufforderungen zur Einreichung von Vorschlägen ausgewählt.</w:t>
            </w:r>
          </w:p>
          <w:p w14:paraId="0A6959E7" w14:textId="40EBFD7F"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p w14:paraId="678EE3E1"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Der Umfang der Projekte umfasst Umschulung und Weiterbildung sowie die Förderung digitaler Kompetenzen bei Kulturakteuren (sowohl privaten als auch Beschäftigten von Kultureinrichtungen). </w:t>
            </w:r>
          </w:p>
          <w:p w14:paraId="3DD355C9"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p w14:paraId="7BB9B307" w14:textId="1387C347" w:rsidR="00EB245A" w:rsidRDefault="006021EE">
            <w:pPr>
              <w:pStyle w:val="P68B1DB1-Normal012"/>
              <w:spacing w:after="0" w:line="240" w:lineRule="auto"/>
              <w:rPr>
                <w:rFonts w:eastAsia="Times New Roman" w:cs="Times New Roman"/>
                <w:noProof/>
              </w:rPr>
            </w:pPr>
            <w:r>
              <w:rPr>
                <w:noProof/>
              </w:rPr>
              <w:t>Die Durchführung von 2755 Projekten in der CCS wird unterstützt un</w:t>
            </w:r>
            <w:r>
              <w:rPr>
                <w:noProof/>
              </w:rPr>
              <w:t>d auf der Grundlage der im Rahmen des Etappenziels A2L veröffentlichten Kriterien ausgewählt.</w:t>
            </w:r>
          </w:p>
        </w:tc>
      </w:tr>
      <w:tr w:rsidR="00EB245A" w14:paraId="1B56D5DE" w14:textId="77777777" w:rsidTr="002876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5"/>
        </w:trPr>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2EB26C" w14:textId="19F3F3EB" w:rsidR="00EB245A" w:rsidRDefault="006021EE">
            <w:pPr>
              <w:pStyle w:val="P68B1DB1-Normal011"/>
              <w:pBdr>
                <w:top w:val="nil"/>
                <w:left w:val="nil"/>
                <w:bottom w:val="nil"/>
                <w:right w:val="nil"/>
                <w:between w:val="nil"/>
              </w:pBdr>
              <w:spacing w:after="0" w:line="240" w:lineRule="auto"/>
              <w:jc w:val="center"/>
              <w:rPr>
                <w:rFonts w:eastAsia="Times New Roman" w:cs="Times New Roman"/>
                <w:b/>
                <w:noProof/>
                <w:color w:val="000000"/>
              </w:rPr>
            </w:pPr>
            <w:r>
              <w:rPr>
                <w:noProof/>
              </w:rPr>
              <w:t>A4L</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FB415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A2.5.1 Ein Programm zur Unterstützung der Aktivitäten von Einrichtungen der Kultur- und Kreativwirtschaft zur Stimulierung ihrer Entwicklung</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731A01"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4E0A28" w14:textId="522A6B96"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Zahl der </w:t>
            </w:r>
            <w:r>
              <w:rPr>
                <w:noProof/>
              </w:rPr>
              <w:t>Stipendien in der Kultur- und Kreativbranche (CCS)</w:t>
            </w:r>
          </w:p>
        </w:tc>
        <w:tc>
          <w:tcPr>
            <w:tcW w:w="19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17AAFBA"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BE55C0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A355B75"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B3BF05E" w14:textId="5A5B3CE1" w:rsidR="00EB245A" w:rsidRDefault="006021EE">
            <w:pPr>
              <w:pStyle w:val="P68B1DB1-Normal012"/>
              <w:spacing w:after="0" w:line="240" w:lineRule="auto"/>
              <w:jc w:val="right"/>
              <w:rPr>
                <w:rFonts w:eastAsia="Times New Roman" w:cs="Times New Roman"/>
                <w:noProof/>
              </w:rPr>
            </w:pPr>
            <w:r>
              <w:rPr>
                <w:noProof/>
              </w:rPr>
              <w:t>1390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AC464C5"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D19AC4" w14:textId="1C508AF0"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0A6CF2" w14:textId="5C8AC91A"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Mit dieser Investition soll ein Stipendienprogramm zur Unterstützung von Kulturschaffenden, Künstlern, Animatoren und Erziehern sowie Forschern geschaffen werden, die neue Wege </w:t>
            </w:r>
            <w:r>
              <w:rPr>
                <w:noProof/>
              </w:rPr>
              <w:t>finden wollen, Kulturgüter live und über das Internet vorzustellen.</w:t>
            </w:r>
          </w:p>
          <w:p w14:paraId="51952A32" w14:textId="793B6584" w:rsidR="00EB245A" w:rsidRDefault="006021EE">
            <w:pPr>
              <w:pStyle w:val="P68B1DB1-Normal012"/>
              <w:spacing w:after="0" w:line="240" w:lineRule="auto"/>
              <w:rPr>
                <w:rFonts w:eastAsia="Times New Roman" w:cs="Times New Roman"/>
                <w:noProof/>
              </w:rPr>
            </w:pPr>
            <w:r>
              <w:rPr>
                <w:noProof/>
              </w:rPr>
              <w:t xml:space="preserve">1390 Stipendien werden Künstlern für die Entwicklung ihrer Tätigkeiten gewährt. Das Stipendienprogramm zielt darauf ab, Künstler zu unterstützen, um kreative Aktivitäten im Zusammenhang </w:t>
            </w:r>
            <w:r>
              <w:rPr>
                <w:noProof/>
              </w:rPr>
              <w:t>mit der Erholung nach der COVID-19-Krise anzuregen. Im Rahmen des Stipendiumsprogramms wird insbesondere Folgendes finanziell unterstützt:</w:t>
            </w:r>
          </w:p>
          <w:p w14:paraId="654E7F9B" w14:textId="627DCB4F" w:rsidR="00EB245A" w:rsidRDefault="006021EE">
            <w:pPr>
              <w:pStyle w:val="P68B1DB1-Normal13"/>
              <w:numPr>
                <w:ilvl w:val="0"/>
                <w:numId w:val="16"/>
              </w:numPr>
              <w:spacing w:after="0" w:line="240" w:lineRule="auto"/>
              <w:ind w:right="600"/>
              <w:rPr>
                <w:rFonts w:eastAsia="Times New Roman" w:cs="Times New Roman"/>
                <w:noProof/>
                <w:color w:val="000000"/>
              </w:rPr>
            </w:pPr>
            <w:r>
              <w:rPr>
                <w:noProof/>
              </w:rPr>
              <w:t>Bereitstellung von Kursen für Künstler, um ihre künstlerischen, digitalen oder grünen Kompetenzen zu entwickeln;</w:t>
            </w:r>
          </w:p>
          <w:p w14:paraId="1E0D471F" w14:textId="627DCB4F" w:rsidR="00EB245A" w:rsidRDefault="006021EE">
            <w:pPr>
              <w:pStyle w:val="P68B1DB1-Normal13"/>
              <w:numPr>
                <w:ilvl w:val="0"/>
                <w:numId w:val="16"/>
              </w:numPr>
              <w:pBdr>
                <w:top w:val="nil"/>
                <w:left w:val="nil"/>
                <w:bottom w:val="nil"/>
                <w:right w:val="nil"/>
                <w:between w:val="nil"/>
              </w:pBdr>
              <w:spacing w:after="0" w:line="240" w:lineRule="auto"/>
              <w:rPr>
                <w:rFonts w:eastAsia="Times New Roman" w:cs="Times New Roman"/>
                <w:noProof/>
                <w:color w:val="000000"/>
              </w:rPr>
            </w:pPr>
            <w:r>
              <w:rPr>
                <w:noProof/>
              </w:rPr>
              <w:t>Indi</w:t>
            </w:r>
            <w:r>
              <w:rPr>
                <w:noProof/>
              </w:rPr>
              <w:t>viduelle Berufsausbildung für Künstler;</w:t>
            </w:r>
          </w:p>
          <w:p w14:paraId="16D4EDFD" w14:textId="627DCB4F" w:rsidR="00EB245A" w:rsidRDefault="006021EE">
            <w:pPr>
              <w:pStyle w:val="P68B1DB1-Normal13"/>
              <w:numPr>
                <w:ilvl w:val="0"/>
                <w:numId w:val="16"/>
              </w:numPr>
              <w:pBdr>
                <w:top w:val="nil"/>
                <w:left w:val="nil"/>
                <w:bottom w:val="nil"/>
                <w:right w:val="nil"/>
                <w:between w:val="nil"/>
              </w:pBdr>
              <w:spacing w:after="0" w:line="240" w:lineRule="auto"/>
              <w:rPr>
                <w:rFonts w:eastAsia="Times New Roman" w:cs="Times New Roman"/>
                <w:noProof/>
                <w:color w:val="000000"/>
              </w:rPr>
            </w:pPr>
            <w:r>
              <w:rPr>
                <w:noProof/>
              </w:rPr>
              <w:t>Schaffung von Möglichkeiten für Künstler, durch Workshops und Diskussionsreihen in virtuellen oder physischen Formaten mit lokalen, nationalen und internationalen Kunstschaffenden zusammenzutreffen;</w:t>
            </w:r>
          </w:p>
          <w:p w14:paraId="72BA8817" w14:textId="77777777" w:rsidR="00EB245A" w:rsidRDefault="006021EE">
            <w:pPr>
              <w:pStyle w:val="P68B1DB1-Normal13"/>
              <w:numPr>
                <w:ilvl w:val="0"/>
                <w:numId w:val="16"/>
              </w:numPr>
              <w:pBdr>
                <w:top w:val="nil"/>
                <w:left w:val="nil"/>
                <w:bottom w:val="nil"/>
                <w:right w:val="nil"/>
                <w:between w:val="nil"/>
              </w:pBdr>
              <w:spacing w:line="240" w:lineRule="auto"/>
              <w:rPr>
                <w:rFonts w:eastAsia="Times New Roman" w:cs="Times New Roman"/>
                <w:noProof/>
                <w:color w:val="000000"/>
              </w:rPr>
            </w:pPr>
            <w:r>
              <w:rPr>
                <w:noProof/>
              </w:rPr>
              <w:t>Schaffung von Mög</w:t>
            </w:r>
            <w:r>
              <w:rPr>
                <w:noProof/>
              </w:rPr>
              <w:t>lichkeiten für Künstler, in virtuellen oder physischen Formaten mit Fachleuten aus anderen Branchen, einschließlich Wissenschaft, Technologie und Wirtschaft, zusammenzuarbeiten.</w:t>
            </w:r>
          </w:p>
          <w:p w14:paraId="59C75016" w14:textId="10BDAC2D"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Die Stipendien werden im Einklang mit den allgemeinen Grundsätzen der EU, </w:t>
            </w:r>
            <w:r>
              <w:rPr>
                <w:noProof/>
              </w:rPr>
              <w:t>einschließlich der Gleichstellung der Geschlechter und der Nichtdiskriminierung, gewährt. Die Kriterien für die Auswahl der Anträge auf Stipendien für Künstler im CSS, die einem der von Eurostat definierten NACE-Sektoren entsprechen, umfassen:</w:t>
            </w:r>
          </w:p>
          <w:p w14:paraId="1D38C1D7" w14:textId="627DCB4F" w:rsidR="00EB245A" w:rsidRDefault="006021EE">
            <w:pPr>
              <w:pStyle w:val="P68B1DB1-Normal012"/>
              <w:numPr>
                <w:ilvl w:val="0"/>
                <w:numId w:val="18"/>
              </w:numPr>
              <w:pBdr>
                <w:top w:val="nil"/>
                <w:left w:val="nil"/>
                <w:bottom w:val="nil"/>
                <w:right w:val="nil"/>
                <w:between w:val="nil"/>
              </w:pBdr>
              <w:spacing w:after="0" w:line="240" w:lineRule="auto"/>
              <w:rPr>
                <w:rFonts w:eastAsia="Times New Roman" w:cs="Times New Roman"/>
                <w:noProof/>
              </w:rPr>
            </w:pPr>
            <w:r>
              <w:rPr>
                <w:noProof/>
              </w:rPr>
              <w:t>ein überzeug</w:t>
            </w:r>
            <w:r>
              <w:rPr>
                <w:noProof/>
              </w:rPr>
              <w:t>endes künstlerisches Portfolio in den letzten 24 Monaten;</w:t>
            </w:r>
          </w:p>
          <w:p w14:paraId="22A2E48D" w14:textId="77777777" w:rsidR="00EB245A" w:rsidRDefault="006021EE">
            <w:pPr>
              <w:pStyle w:val="P68B1DB1-Normal012"/>
              <w:numPr>
                <w:ilvl w:val="0"/>
                <w:numId w:val="18"/>
              </w:numPr>
              <w:pBdr>
                <w:top w:val="nil"/>
                <w:left w:val="nil"/>
                <w:bottom w:val="nil"/>
                <w:right w:val="nil"/>
                <w:between w:val="nil"/>
              </w:pBdr>
              <w:spacing w:after="0" w:line="240" w:lineRule="auto"/>
              <w:rPr>
                <w:rFonts w:eastAsia="Times New Roman" w:cs="Times New Roman"/>
                <w:noProof/>
              </w:rPr>
            </w:pPr>
            <w:r>
              <w:rPr>
                <w:noProof/>
              </w:rPr>
              <w:t>ein überzeugender künstlerischer Plan für die nächsten 24 Monate.</w:t>
            </w:r>
          </w:p>
          <w:p w14:paraId="7072C1C8" w14:textId="3EE12D94"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Der in Meilenstein A2L genannte Auswahlausschuss entscheidet über die Auswahl der Stipendiaten. </w:t>
            </w:r>
          </w:p>
        </w:tc>
      </w:tr>
      <w:tr w:rsidR="00EB245A" w14:paraId="4DEA8A78" w14:textId="77777777" w:rsidTr="0028767D">
        <w:trPr>
          <w:trHeight w:val="1417"/>
        </w:trPr>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D5D5EE9" w14:textId="170C5BD4" w:rsidR="00EB245A" w:rsidRDefault="006021EE">
            <w:pPr>
              <w:pStyle w:val="P68B1DB1-Normal011"/>
              <w:pBdr>
                <w:top w:val="nil"/>
                <w:left w:val="nil"/>
                <w:bottom w:val="nil"/>
                <w:right w:val="nil"/>
                <w:between w:val="nil"/>
              </w:pBdr>
              <w:spacing w:after="0" w:line="240" w:lineRule="auto"/>
              <w:jc w:val="center"/>
              <w:rPr>
                <w:rFonts w:cs="Times New Roman"/>
                <w:noProof/>
              </w:rPr>
            </w:pPr>
            <w:r>
              <w:rPr>
                <w:noProof/>
              </w:rPr>
              <w:t>A7L</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C2D5AA" w14:textId="438F6EB2"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A2.6 Reform – Entwicklung des nationalen Systems der Überwachungsdienste, -produkte, -analyseinstrumente, -dienste und begleitender Infrastruktur unter Verwendung von Satellitendaten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1262B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Meilenstein</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27B41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Inkrafttreten eines vom Parlament zu verabschiedenden Gesetz</w:t>
            </w:r>
            <w:r>
              <w:rPr>
                <w:noProof/>
              </w:rPr>
              <w:t>es über Weltraumtätigkeiten</w:t>
            </w:r>
          </w:p>
        </w:tc>
        <w:tc>
          <w:tcPr>
            <w:tcW w:w="19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45871C5" w14:textId="3362999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Bestimmung des Gesetzes, aus der hervorgeht, dass es in Kraft tritt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32A5A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E45AE9E"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A150FD0"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9A1D4A"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170BBC9"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F8C8ECE" w14:textId="70967861"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Ein neues Gesetz soll unter anderem die Nutzung von Satellitendaten durch die öffentliche Verwaltung erleichtern. Mit dem Gesetz wird ein </w:t>
            </w:r>
            <w:r>
              <w:rPr>
                <w:noProof/>
              </w:rPr>
              <w:t>nationaler Verwalter von Satellitendaten eingerichtet. Das Gesetz verpflichtet den nationalen Verwalter, die Nutzung von Satellitendaten durch private Unternehmen zu fördern, unter anderem durch die Organisation von Schulungen für alle interessierten Stell</w:t>
            </w:r>
            <w:r>
              <w:rPr>
                <w:noProof/>
              </w:rPr>
              <w:t>en.</w:t>
            </w:r>
          </w:p>
        </w:tc>
      </w:tr>
      <w:tr w:rsidR="00EB245A" w14:paraId="1E7CE908" w14:textId="77777777" w:rsidTr="0028767D">
        <w:trPr>
          <w:trHeight w:val="1775"/>
        </w:trPr>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F64BF76" w14:textId="502B913B" w:rsidR="00EB245A" w:rsidRDefault="006021EE">
            <w:pPr>
              <w:pStyle w:val="P68B1DB1-Normal011"/>
              <w:pBdr>
                <w:top w:val="nil"/>
                <w:left w:val="nil"/>
                <w:bottom w:val="nil"/>
                <w:right w:val="nil"/>
                <w:between w:val="nil"/>
              </w:pBdr>
              <w:spacing w:after="0" w:line="240" w:lineRule="auto"/>
              <w:jc w:val="center"/>
              <w:rPr>
                <w:rFonts w:cs="Times New Roman"/>
                <w:noProof/>
              </w:rPr>
            </w:pPr>
            <w:r>
              <w:rPr>
                <w:noProof/>
              </w:rPr>
              <w:t>A8L</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25816AC" w14:textId="6C4CC2C0" w:rsidR="00EB245A" w:rsidRDefault="006021EE">
            <w:pPr>
              <w:pStyle w:val="P68B1DB1-Normal012"/>
              <w:spacing w:after="0" w:line="240" w:lineRule="auto"/>
              <w:rPr>
                <w:rFonts w:eastAsia="Times New Roman" w:cs="Times New Roman"/>
                <w:noProof/>
              </w:rPr>
            </w:pPr>
            <w:r>
              <w:rPr>
                <w:noProof/>
              </w:rPr>
              <w:t>A2.6.1 Investitionen – Entwicklung des nationalen Systems der Überwachungsdienste, -produkte, -analyseinstrumente, -dienste und begleitender Infrastruktur unter Verwendung von Satellitendaten</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774D86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Ziel </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34D3C93" w14:textId="7E23184E"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Entwicklung der erforderlichen Infrastruktur: das</w:t>
            </w:r>
            <w:r>
              <w:rPr>
                <w:noProof/>
              </w:rPr>
              <w:t xml:space="preserve"> nationale Satelliteninformationssystem (NSIS), das Überwachungsdienste unter Verwendung von Daten aus der satellitengestützten Erdbeobachtung (EO) erbringt</w:t>
            </w:r>
          </w:p>
        </w:tc>
        <w:tc>
          <w:tcPr>
            <w:tcW w:w="19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0D3A2D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A0548F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146225B"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6B20A0C"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81F61AE" w14:textId="4D7CB5ED"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00E632F" w14:textId="7FB7F30F"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720677D" w14:textId="23687654"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Das nationale Satelliteninformationssystem (NSIS) wird in Betrieb genommen. </w:t>
            </w:r>
            <w:r>
              <w:rPr>
                <w:noProof/>
              </w:rPr>
              <w:t>Einführung erster Dienste in Zusammenarbeit mit Nutzern in zwei Bereichen der elektronischen Datenerfassung (EDC), die für die Wirtschaft und Sicherheit Polens von großer Bedeutung sind und aus folgenden Bereichen ausgewählt werden: Raumordnung, Krisenmana</w:t>
            </w:r>
            <w:r>
              <w:rPr>
                <w:noProof/>
              </w:rPr>
              <w:t>gement, Land- und Forstwirtschaft, Wasserwirtschaft, Überwachung der baltischen Umwelt.</w:t>
            </w:r>
          </w:p>
        </w:tc>
      </w:tr>
      <w:tr w:rsidR="00EB245A" w14:paraId="4CB57EE2" w14:textId="77777777" w:rsidTr="0028767D">
        <w:trPr>
          <w:trHeight w:val="1775"/>
        </w:trPr>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103C4DE" w14:textId="326F6DA2" w:rsidR="00EB245A" w:rsidRDefault="006021EE">
            <w:pPr>
              <w:pStyle w:val="P68B1DB1-Normal011"/>
              <w:pBdr>
                <w:top w:val="nil"/>
                <w:left w:val="nil"/>
                <w:bottom w:val="nil"/>
                <w:right w:val="nil"/>
                <w:between w:val="nil"/>
              </w:pBdr>
              <w:spacing w:after="0" w:line="240" w:lineRule="auto"/>
              <w:jc w:val="center"/>
              <w:rPr>
                <w:rFonts w:cs="Times New Roman"/>
                <w:noProof/>
              </w:rPr>
            </w:pPr>
            <w:r>
              <w:rPr>
                <w:noProof/>
              </w:rPr>
              <w:t>A9L</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32E6709" w14:textId="4E6A457A"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A2.6.1 Investitionen – Entwicklung des nationalen Systems der Überwachungsdienste, -produkte, -analyseinstrumente, -dienste und begleitender Infrastruktur unter Verwendung von Satellitendaten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06E9CF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Meilenstein</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B7229B"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Vorbereitungsarbeiten für den Start des ersten poln</w:t>
            </w:r>
            <w:r>
              <w:rPr>
                <w:noProof/>
              </w:rPr>
              <w:t>ischen Satelliten: ECS Phase 0/A/B/C (Missionsanalyse/Bedarfsermittlung, Durchführbarkeit und Definition)</w:t>
            </w:r>
          </w:p>
        </w:tc>
        <w:tc>
          <w:tcPr>
            <w:tcW w:w="19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6412721"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Veröffentlichung der Berichte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7357532"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7F023C8" w14:textId="77777777"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DB5498" w14:textId="77777777"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D4BE697" w14:textId="511DEDBB"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B50C5A4" w14:textId="3CBDE43F"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E586353" w14:textId="0D41511E"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Der Indikator bezieht sich auf drei veröffentlichte Berichte (Überprüfung der Missionsdefinition, Überprüfung</w:t>
            </w:r>
            <w:r>
              <w:rPr>
                <w:noProof/>
              </w:rPr>
              <w:t xml:space="preserve"> der vorläufigen Anforderungen, Überprüfung kritischer Entwurf). Das Weltraumsegment umfasst Satellitenplattformen von Mikro- und Sensoren, die den Erwerb optoelektronischer Daten ermöglichen, die unter anderem mit einem Kompressionsmodul ausgestattet sind</w:t>
            </w:r>
            <w:r>
              <w:rPr>
                <w:noProof/>
              </w:rPr>
              <w:t>, sowie verschlüsselte Uplink-/Downlink-Funkverbindungen. Die vorbereitenden Arbeiten werden im Einklang mit den Normen der Europäischen Zusammenarbeit für die Normung im Weltraum (ECSS) durchgeführt.</w:t>
            </w:r>
          </w:p>
        </w:tc>
      </w:tr>
      <w:tr w:rsidR="00EB245A" w14:paraId="31009C2C" w14:textId="77777777" w:rsidTr="0028767D">
        <w:trPr>
          <w:trHeight w:val="397"/>
        </w:trPr>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945A828" w14:textId="77CDBA96" w:rsidR="00EB245A" w:rsidRDefault="006021EE">
            <w:pPr>
              <w:pStyle w:val="P68B1DB1-Normal011"/>
              <w:pBdr>
                <w:top w:val="nil"/>
                <w:left w:val="nil"/>
                <w:bottom w:val="nil"/>
                <w:right w:val="nil"/>
                <w:between w:val="nil"/>
              </w:pBdr>
              <w:spacing w:after="0" w:line="240" w:lineRule="auto"/>
              <w:jc w:val="center"/>
              <w:rPr>
                <w:rFonts w:cs="Times New Roman"/>
                <w:noProof/>
              </w:rPr>
            </w:pPr>
            <w:r>
              <w:rPr>
                <w:noProof/>
              </w:rPr>
              <w:t>A10L</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490E542" w14:textId="750BE6A6"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A2.6.1 Investitionen – Entwicklung des nationalen</w:t>
            </w:r>
            <w:r>
              <w:rPr>
                <w:noProof/>
              </w:rPr>
              <w:t xml:space="preserve"> Systems der Überwachungsdienste, -produkte, -analyseinstrumente, -dienste und begleitender Infrastruktur unter Verwendung von Satellitendaten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43A13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6775C75" w14:textId="41B26FC5"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T1 – Start des ersten polnischen Satelliten</w:t>
            </w:r>
          </w:p>
        </w:tc>
        <w:tc>
          <w:tcPr>
            <w:tcW w:w="19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06F80DB"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92A1C5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07ADCD"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49FAAB8"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E1FBC29"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59B3AFD"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766126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Zahl der gestarteten Satelliten, die aus </w:t>
            </w:r>
            <w:r>
              <w:rPr>
                <w:noProof/>
              </w:rPr>
              <w:t>der vollständigen Fertigung, Montage und Erprobung von Flughardware/Software, einschließlich zugehöriger Bodenunterstützung, bestehen und den ersten Satelliten in die Umlaufbahn bringen.</w:t>
            </w:r>
          </w:p>
        </w:tc>
      </w:tr>
      <w:tr w:rsidR="00EB245A" w14:paraId="4C949B18" w14:textId="77777777" w:rsidTr="0028767D">
        <w:trPr>
          <w:trHeight w:val="1417"/>
        </w:trPr>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D2CA41D" w14:textId="2A7C0B6C" w:rsidR="00EB245A" w:rsidRDefault="006021EE">
            <w:pPr>
              <w:pStyle w:val="P68B1DB1-Normal011"/>
              <w:pBdr>
                <w:top w:val="nil"/>
                <w:left w:val="nil"/>
                <w:bottom w:val="nil"/>
                <w:right w:val="nil"/>
                <w:between w:val="nil"/>
              </w:pBdr>
              <w:spacing w:after="0" w:line="240" w:lineRule="auto"/>
              <w:jc w:val="center"/>
              <w:rPr>
                <w:rFonts w:cs="Times New Roman"/>
                <w:noProof/>
              </w:rPr>
            </w:pPr>
            <w:r>
              <w:rPr>
                <w:noProof/>
              </w:rPr>
              <w:t>A11L</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2BD4B8" w14:textId="50EFFE7C"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A2.6.1 Investitionen – Entwicklung des nationalen Systems der Überwachungsdienste, -produkte, -analyseinstrumente, -dienste und begleitender Infrastruktur unter Verwendung von Satellitendaten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C23922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DFDE3EF" w14:textId="43A5C91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T2 – Start der nächsten drei polnischen Satelliten</w:t>
            </w:r>
          </w:p>
        </w:tc>
        <w:tc>
          <w:tcPr>
            <w:tcW w:w="19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82EA13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A49C9E"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w:t>
            </w:r>
            <w:r>
              <w:rPr>
                <w:noProof/>
              </w:rPr>
              <w:t>l</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F14E3C"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C964D78"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F56111"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A3A52D"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2026</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94D68D" w14:textId="73CEFCAE"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Das Ziel bezieht sich auf die Zahl der gestarteten Satelliten (gemäß den Anforderungen für die Maßnahme A10L). Vollständige Herstellung, Montage und Erprobung von Flughardware/Software, einschließlich zugehöriger Bodenunterstützung, was zum </w:t>
            </w:r>
            <w:r>
              <w:rPr>
                <w:noProof/>
              </w:rPr>
              <w:t>Start der nächsten drei Satelliten in die Umlaufbahn führt.</w:t>
            </w:r>
          </w:p>
        </w:tc>
      </w:tr>
    </w:tbl>
    <w:p w14:paraId="2916C19D"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rPr>
        <w:sectPr w:rsidR="00EB245A" w:rsidSect="005E6922">
          <w:headerReference w:type="even" r:id="rId49"/>
          <w:headerReference w:type="default" r:id="rId50"/>
          <w:footerReference w:type="even" r:id="rId51"/>
          <w:footerReference w:type="default" r:id="rId52"/>
          <w:headerReference w:type="first" r:id="rId53"/>
          <w:footerReference w:type="first" r:id="rId54"/>
          <w:pgSz w:w="16839" w:h="11907" w:orient="landscape"/>
          <w:pgMar w:top="1134" w:right="1134" w:bottom="1134" w:left="1134" w:header="567" w:footer="567" w:gutter="0"/>
          <w:cols w:space="720"/>
          <w:docGrid w:linePitch="299"/>
        </w:sectPr>
      </w:pPr>
    </w:p>
    <w:p w14:paraId="67DB6013" w14:textId="77777777" w:rsidR="00EB245A" w:rsidRDefault="006021EE">
      <w:pPr>
        <w:pStyle w:val="P68B1DB1-Normal019"/>
        <w:keepNext/>
        <w:pBdr>
          <w:top w:val="nil"/>
          <w:left w:val="nil"/>
          <w:bottom w:val="nil"/>
          <w:right w:val="nil"/>
          <w:between w:val="nil"/>
        </w:pBdr>
        <w:tabs>
          <w:tab w:val="left" w:pos="850"/>
        </w:tabs>
        <w:spacing w:before="360" w:after="120" w:line="240" w:lineRule="auto"/>
        <w:ind w:left="850" w:hanging="850"/>
        <w:jc w:val="both"/>
        <w:rPr>
          <w:rFonts w:eastAsia="Times New Roman" w:cs="Times New Roman"/>
          <w:noProof/>
        </w:rPr>
      </w:pPr>
      <w:r>
        <w:rPr>
          <w:noProof/>
        </w:rPr>
        <w:t xml:space="preserve">B. KOMPONENTE B: „GRÜNE ENERGIE UND VERRINGERUNG DER ENERGIEINTENSITÄT“ </w:t>
      </w:r>
    </w:p>
    <w:p w14:paraId="6ED381A2" w14:textId="14543B99" w:rsidR="00EB245A" w:rsidRDefault="006021EE">
      <w:pPr>
        <w:pStyle w:val="P68B1DB1-Normal06"/>
        <w:pBdr>
          <w:top w:val="nil"/>
          <w:left w:val="nil"/>
          <w:bottom w:val="nil"/>
          <w:right w:val="nil"/>
          <w:between w:val="nil"/>
        </w:pBdr>
        <w:spacing w:before="120" w:after="120" w:line="257" w:lineRule="auto"/>
        <w:jc w:val="both"/>
        <w:rPr>
          <w:rFonts w:eastAsia="Times New Roman" w:cs="Times New Roman"/>
          <w:noProof/>
          <w:color w:val="000000"/>
        </w:rPr>
      </w:pPr>
      <w:r>
        <w:rPr>
          <w:noProof/>
        </w:rPr>
        <w:t xml:space="preserve">Die Komponente des polnischen Aufbau- und Resilienzplans zielt darauf ab, mehrere Herausforderungen anzugehen, mit denen der polnische Energiesektor derzeit in Bezug auf Dekarbonisierung und Luftverschmutzung konfrontiert ist. Erstens ist Polen immer noch </w:t>
      </w:r>
      <w:r>
        <w:rPr>
          <w:noProof/>
        </w:rPr>
        <w:t>viel stärker von Kohle abhängig als in anderen Mitgliedstaaten, was die Energiewende hin zur CO2-Neutralität erschwert. Zweitens erfüllen rund 70 % der Einfamilienhäuser und vieler Mehrfamilienhäuser und öffentlicher Gebäude nicht die Energieeffizienzstand</w:t>
      </w:r>
      <w:r>
        <w:rPr>
          <w:noProof/>
        </w:rPr>
        <w:t>ards. Dies führt in Verbindung mit einer noch weit verbreiteten Nutzung minderwertiger Kohle in individuellen Heizungsanlagen zu einer schlechten Luftqualität. Drittens sind niedrige Rückhaltewerte und Wasserknappheit (einschließlich Trinkwasser) in ländli</w:t>
      </w:r>
      <w:r>
        <w:rPr>
          <w:noProof/>
        </w:rPr>
        <w:t xml:space="preserve">chen Gebieten ein großes Problem.  </w:t>
      </w:r>
    </w:p>
    <w:p w14:paraId="7197CB5D" w14:textId="5400DFF2" w:rsidR="00EB245A" w:rsidRDefault="006021EE">
      <w:pPr>
        <w:pStyle w:val="P68B1DB1-Normal06"/>
        <w:pBdr>
          <w:top w:val="nil"/>
          <w:left w:val="nil"/>
          <w:bottom w:val="nil"/>
          <w:right w:val="nil"/>
          <w:between w:val="nil"/>
        </w:pBdr>
        <w:spacing w:before="120" w:after="120" w:line="257" w:lineRule="auto"/>
        <w:jc w:val="both"/>
        <w:rPr>
          <w:rFonts w:eastAsia="Times New Roman" w:cs="Times New Roman"/>
          <w:noProof/>
          <w:color w:val="000000"/>
        </w:rPr>
      </w:pPr>
      <w:r>
        <w:rPr>
          <w:noProof/>
        </w:rPr>
        <w:t>Das Hauptziel der Komponente besteht darin, den Energiemix auf CO2-arme Technologien umzustellen, indem der Einsatz erneuerbarer Energien erleichtert und die Nutzung alternativer Energiequellen wie Wasserstoff und Biogas</w:t>
      </w:r>
      <w:r>
        <w:rPr>
          <w:noProof/>
        </w:rPr>
        <w:t xml:space="preserve"> gesteigert wird. Die Komponente zielt auch darauf ab, den Energieverbrauch zu senken, indem eine umfassende Renovierung von Gebäuden, einschließlich der thermischen Modernisierung, vorangetrieben wird; und durch Verringerung der Energieintensität von Indu</w:t>
      </w:r>
      <w:r>
        <w:rPr>
          <w:noProof/>
        </w:rPr>
        <w:t>strie, Dienstleistungen und Haushalten. Schließlich zielt die Komponente auch darauf ab, die Auswirkungen des Menschen auf die Umwelt zu verringern, insbesondere durch Investitionen in die Neutralisierung von Bedrohungen und die Sanierung großflächiger ges</w:t>
      </w:r>
      <w:r>
        <w:rPr>
          <w:noProof/>
        </w:rPr>
        <w:t>chädigter Gebiete und der Ostsee.</w:t>
      </w:r>
    </w:p>
    <w:p w14:paraId="4FBC8519" w14:textId="432DB278" w:rsidR="00EB245A" w:rsidRDefault="006021EE">
      <w:pPr>
        <w:pStyle w:val="P68B1DB1-Normal06"/>
        <w:pBdr>
          <w:top w:val="nil"/>
          <w:left w:val="nil"/>
          <w:bottom w:val="nil"/>
          <w:right w:val="nil"/>
          <w:between w:val="nil"/>
        </w:pBdr>
        <w:spacing w:before="120" w:after="120" w:line="257" w:lineRule="auto"/>
        <w:jc w:val="both"/>
        <w:rPr>
          <w:rFonts w:eastAsia="Times New Roman" w:cs="Times New Roman"/>
          <w:noProof/>
          <w:color w:val="000000"/>
        </w:rPr>
      </w:pPr>
      <w:r>
        <w:rPr>
          <w:noProof/>
        </w:rPr>
        <w:t>Die Komponente unterstützt die Umsetzung der länderspezifischen Empfehlungen zur Konzentration der investitionsbezogenen Wirtschaftspolitik auf Innovation, Verkehr, insbesondere auf Nachhaltigkeit, digitale Infrastruktur u</w:t>
      </w:r>
      <w:r>
        <w:rPr>
          <w:noProof/>
        </w:rPr>
        <w:t xml:space="preserve">nd Energieinfrastruktur, Gesundheitsversorgung und sauberere Energie unter Berücksichtigung regionaler Unterschiede (länderspezifische Empfehlung 3 2019) und Investitionen auf den ökologischen und den digitalen Wandel, insbesondere digitale Infrastruktur, </w:t>
      </w:r>
      <w:r>
        <w:rPr>
          <w:noProof/>
        </w:rPr>
        <w:t>saubere und effiziente Energieerzeugung und -nutzung sowie nachhaltigen Verkehr, zu konzentrieren und so zur schrittweisen Dekarbonisierung der Wirtschaft, auch in Kohleregionen, beizutragen (länderspezifische Empfehlung 3 2020).</w:t>
      </w:r>
    </w:p>
    <w:p w14:paraId="146126AB" w14:textId="291EF9F2" w:rsidR="00EB245A" w:rsidRDefault="006021EE">
      <w:pPr>
        <w:pStyle w:val="P68B1DB1-Normal06"/>
        <w:pBdr>
          <w:top w:val="nil"/>
          <w:left w:val="nil"/>
          <w:bottom w:val="nil"/>
          <w:right w:val="nil"/>
          <w:between w:val="nil"/>
        </w:pBdr>
        <w:spacing w:before="120" w:after="120" w:line="257" w:lineRule="auto"/>
        <w:jc w:val="both"/>
        <w:rPr>
          <w:rFonts w:eastAsia="Times New Roman" w:cs="Times New Roman"/>
          <w:noProof/>
          <w:color w:val="000000"/>
        </w:rPr>
      </w:pPr>
      <w:r>
        <w:rPr>
          <w:noProof/>
        </w:rPr>
        <w:t xml:space="preserve">Es ist davon auszugehen, </w:t>
      </w:r>
      <w:r>
        <w:rPr>
          <w:noProof/>
        </w:rPr>
        <w:t xml:space="preserve">dass keine Maßnahme in dieser Komponente die Umweltziele im Sinne des Artikels 17 der Verordnung (EU) 2020/852 erheblich beeinträchtigt, wobei die Beschreibung der im Aufbau- und Resilienzplan dargelegten Maßnahmen und Abhilfemaßnahmen im Einklang mit den </w:t>
      </w:r>
      <w:r>
        <w:rPr>
          <w:noProof/>
        </w:rPr>
        <w:t>Technischen Leitlinien für die Vermeidung erheblicher Beeinträchtigungen im Zusammenhang mit der Vermeidung erheblicher Beeinträchtigungen (2021/C 58/01) zu berücksichtigen ist. Bei allen Maßnahmen im Rahmen dieser Komponente, die den Ausbau der Infrastruk</w:t>
      </w:r>
      <w:r>
        <w:rPr>
          <w:noProof/>
        </w:rPr>
        <w:t>tur betreffen, ist die Einhaltung der EU-Rechtsvorschriften erforderlich, um Beeinträchtigungen des Ziels der biologischen Vielfalt zu vermeiden. Dies bedeutet insbesondere die UVP-Richtlinie (2011/92/EU) und für Gebiete/Vorhaben in oder in der Nähe von bi</w:t>
      </w:r>
      <w:r>
        <w:rPr>
          <w:noProof/>
        </w:rPr>
        <w:t xml:space="preserve">odiversitätssensiblen Gebieten Artikel 6 Absatz 3 und Artikel 12 der Habitat-Richtlinie (92/43/EWG) sowie Artikel 5 der Vogelschutzrichtlinie (2009/147/EG). </w:t>
      </w:r>
    </w:p>
    <w:p w14:paraId="74869460" w14:textId="77777777" w:rsidR="00EB245A" w:rsidRDefault="00EB245A">
      <w:pPr>
        <w:pStyle w:val="Normal0"/>
        <w:pBdr>
          <w:top w:val="nil"/>
          <w:left w:val="nil"/>
          <w:bottom w:val="nil"/>
          <w:right w:val="nil"/>
          <w:between w:val="nil"/>
        </w:pBdr>
        <w:spacing w:before="120" w:after="120" w:line="240" w:lineRule="auto"/>
        <w:ind w:left="850"/>
        <w:jc w:val="both"/>
        <w:rPr>
          <w:rFonts w:ascii="Times New Roman" w:eastAsia="Times New Roman" w:hAnsi="Times New Roman" w:cs="Times New Roman"/>
          <w:noProof/>
          <w:color w:val="000000"/>
          <w:sz w:val="24"/>
        </w:rPr>
      </w:pPr>
    </w:p>
    <w:p w14:paraId="75BBD2A7" w14:textId="0F5316D7" w:rsidR="00EB245A" w:rsidRDefault="006021E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themeColor="text1"/>
          <w:sz w:val="24"/>
        </w:rPr>
      </w:pPr>
      <w:r>
        <w:rPr>
          <w:rFonts w:ascii="Times New Roman" w:hAnsi="Times New Roman"/>
          <w:b/>
          <w:noProof/>
          <w:color w:val="000000" w:themeColor="text1"/>
          <w:sz w:val="24"/>
        </w:rPr>
        <w:t xml:space="preserve">B.1. </w:t>
      </w:r>
      <w:r>
        <w:rPr>
          <w:noProof/>
        </w:rPr>
        <w:t xml:space="preserve"> </w:t>
      </w:r>
      <w:r>
        <w:rPr>
          <w:rFonts w:ascii="Times New Roman" w:hAnsi="Times New Roman"/>
          <w:b/>
          <w:noProof/>
          <w:color w:val="000000" w:themeColor="text1"/>
          <w:sz w:val="24"/>
        </w:rPr>
        <w:t>Beschreibung der Reformen und Investitionen für nicht rückzahlbare</w:t>
      </w:r>
      <w:r>
        <w:rPr>
          <w:rFonts w:ascii="Times New Roman" w:hAnsi="Times New Roman"/>
          <w:b/>
          <w:noProof/>
          <w:color w:val="000000" w:themeColor="text1"/>
          <w:sz w:val="24"/>
        </w:rPr>
        <w:t xml:space="preserve"> finanzielle Unterstützung</w:t>
      </w:r>
    </w:p>
    <w:p w14:paraId="37FBD4D0" w14:textId="77777777" w:rsidR="00EB245A" w:rsidRDefault="006021EE">
      <w:pPr>
        <w:pStyle w:val="P68B1DB1-Normal015"/>
        <w:pBdr>
          <w:top w:val="nil"/>
          <w:left w:val="nil"/>
          <w:bottom w:val="nil"/>
          <w:right w:val="nil"/>
          <w:between w:val="nil"/>
        </w:pBdr>
        <w:spacing w:before="120" w:after="120" w:line="240" w:lineRule="auto"/>
        <w:jc w:val="both"/>
        <w:rPr>
          <w:rFonts w:eastAsia="Times New Roman" w:cs="Times New Roman"/>
          <w:noProof/>
          <w:color w:val="000000"/>
        </w:rPr>
      </w:pPr>
      <w:r>
        <w:rPr>
          <w:noProof/>
        </w:rPr>
        <w:t>B1.1 Saubere Luft und Energieeffizienz</w:t>
      </w:r>
    </w:p>
    <w:p w14:paraId="1125BE6B" w14:textId="37201908"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 xml:space="preserve">Ziel der Reform ist die Verringerung der Treibhausgasemissionen und die Steigerung der Energieeffizienz ausgewählter Wirtschaftszweige. Außerdem soll die Luftqualität verbessert werden, </w:t>
      </w:r>
      <w:r>
        <w:rPr>
          <w:noProof/>
        </w:rPr>
        <w:t xml:space="preserve">indem der Prozess des Austauschs umweltschädlicher Wärme- und Stromerzeugungsquellen beschleunigt wird. </w:t>
      </w:r>
    </w:p>
    <w:p w14:paraId="321723D8" w14:textId="1DD193FD" w:rsidR="00EB245A" w:rsidRDefault="006021EE">
      <w:pPr>
        <w:pStyle w:val="P68B1DB1-Normal018"/>
        <w:pBdr>
          <w:top w:val="nil"/>
          <w:left w:val="nil"/>
          <w:bottom w:val="nil"/>
          <w:right w:val="nil"/>
          <w:between w:val="nil"/>
        </w:pBdr>
        <w:spacing w:before="120" w:after="120" w:line="240" w:lineRule="auto"/>
        <w:jc w:val="both"/>
        <w:rPr>
          <w:rFonts w:eastAsia="Times New Roman" w:cs="Times New Roman"/>
          <w:noProof/>
        </w:rPr>
      </w:pPr>
      <w:r>
        <w:rPr>
          <w:noProof/>
          <w:color w:val="000000" w:themeColor="text1"/>
        </w:rPr>
        <w:t xml:space="preserve">Diese Ziele sollen erstens durch eine Reihe von Maßnahmen zur Optimierung der Investitionsförderung in die Energieeffizienz erreicht werden, vor allem </w:t>
      </w:r>
      <w:r>
        <w:rPr>
          <w:noProof/>
          <w:color w:val="000000" w:themeColor="text1"/>
        </w:rPr>
        <w:t>im Rahmen des Energieeffizienzverpflichtungssystems. Sie umfassen die Erleichterung der Verwendung von Energieleistungsverträgen im öffentlichen Sektor, die Möglichkeit für Einrichtungen, die unter das Energieeffizienzverpflichtungssystem fallen, ihre Ener</w:t>
      </w:r>
      <w:r>
        <w:rPr>
          <w:noProof/>
          <w:color w:val="000000" w:themeColor="text1"/>
        </w:rPr>
        <w:t xml:space="preserve">gieeinsparverpflichtungen im Rahmen sogenannter Subventionsprogramme zu erfüllen, und die Möglichkeit der Beteiligung von Energiedienstleistungsunternehmen am Energieeffizienzverpflichtungssystem. Dies soll durch eine Änderung des Energieeffizienzgesetzes </w:t>
      </w:r>
      <w:r>
        <w:rPr>
          <w:noProof/>
          <w:color w:val="000000" w:themeColor="text1"/>
        </w:rPr>
        <w:t xml:space="preserve">in Verbindung mit Änderungen des Gesetzes zur Förderung der Thermomodernisierung und Renovierung sowie über das zentrale Emissionsregister von Gebäuden erreicht werden; das Gesetz über die finanzielle Unterstützung für die Schaffung von Mietwohnungen; das </w:t>
      </w:r>
      <w:r>
        <w:rPr>
          <w:noProof/>
          <w:color w:val="000000" w:themeColor="text1"/>
        </w:rPr>
        <w:t xml:space="preserve">Gesetz über einige Formen der </w:t>
      </w:r>
      <w:r>
        <w:rPr>
          <w:noProof/>
        </w:rPr>
        <w:t>Wohnungsbauförderung; und das Gesetz über erneuerbare Energiequellen. Diese Rechtsakte sollten bis zum 31. März 2022 in Kraft treten.</w:t>
      </w:r>
    </w:p>
    <w:p w14:paraId="54738AF4" w14:textId="381B227D" w:rsidR="00EB245A" w:rsidRDefault="006021EE">
      <w:pPr>
        <w:pStyle w:val="P68B1DB1-Normal018"/>
        <w:pBdr>
          <w:top w:val="nil"/>
          <w:left w:val="nil"/>
          <w:bottom w:val="nil"/>
          <w:right w:val="nil"/>
          <w:between w:val="nil"/>
        </w:pBdr>
        <w:spacing w:before="120" w:after="120" w:line="240" w:lineRule="auto"/>
        <w:jc w:val="both"/>
        <w:rPr>
          <w:rFonts w:eastAsia="Times New Roman" w:cs="Times New Roman"/>
          <w:noProof/>
        </w:rPr>
      </w:pPr>
      <w:r>
        <w:rPr>
          <w:noProof/>
        </w:rPr>
        <w:t>Zweitens sollen die Ziele der Reform „Saubere Luft und Energieeffizienz“ durch die Entwicklu</w:t>
      </w:r>
      <w:r>
        <w:rPr>
          <w:noProof/>
        </w:rPr>
        <w:t>ng des Programms „Saubere Luft“ im Einklang mit der langfristigen Renovierungsstrategie im Rahmen der Richtlinie über die Gesamtenergieeffizienz von Gebäuden (2010/31/EU) erreicht werden, die das wichtigste Instrument für Energieeffizienzmaßnahmen in Gebäu</w:t>
      </w:r>
      <w:r>
        <w:rPr>
          <w:noProof/>
        </w:rPr>
        <w:t>den ist. Die Effizienz der Durchführung des derzeitigen Programms „Saubere Luft“ wird daher durch eine Straffung der Antragsverfahren erhöht. Sie entwickelt eine spezifische Unterstützung, die auf Haushalte mit niedrigem Einkommen, einkommensschwache Haush</w:t>
      </w:r>
      <w:r>
        <w:rPr>
          <w:noProof/>
        </w:rPr>
        <w:t>alte und im Falle von Haushalten mit höherem Einkommen ausgerichtet ist, insbesondere unter Beteiligung des Bankensektors, der Darlehen in Kombination mit Zuschüssen bereitstellt. Diese Änderungen sollen die Grundlage für den Einsatz der Unterstützung im R</w:t>
      </w:r>
      <w:r>
        <w:rPr>
          <w:noProof/>
        </w:rPr>
        <w:t>ahmen der Investition B1.1.2</w:t>
      </w:r>
      <w:r>
        <w:rPr>
          <w:i/>
          <w:noProof/>
        </w:rPr>
        <w:t xml:space="preserve"> „Ersatz von Wärmequellen und Verbesserung der Energieeffizienz in Einfamilienwohnungen“ und der Investition B1.1.5 „Verbesserung der Energieeffizienz in Wohngebäudenmit mehreren Wohnungen“ schaffen, um die Quote der Gebäudereno</w:t>
      </w:r>
      <w:r>
        <w:rPr>
          <w:i/>
          <w:noProof/>
        </w:rPr>
        <w:t xml:space="preserve">vierungen und des Ersatzes von Heizgeräten, die im Rahmen dieses Programms gefördert werden, erheblich </w:t>
      </w:r>
      <w:r>
        <w:rPr>
          <w:noProof/>
        </w:rPr>
        <w:t xml:space="preserve">zu erhöhen. Die Aktualisierungen des vorrangigen Programms „Saubere Luft“ werden bis zum 31. März 2023 angenommen. </w:t>
      </w:r>
    </w:p>
    <w:p w14:paraId="77FBA49A" w14:textId="0CE023B3" w:rsidR="00EB245A" w:rsidRDefault="006021EE">
      <w:pPr>
        <w:pStyle w:val="P68B1DB1-Normal018"/>
        <w:pBdr>
          <w:top w:val="nil"/>
          <w:left w:val="nil"/>
          <w:bottom w:val="nil"/>
          <w:right w:val="nil"/>
          <w:between w:val="nil"/>
        </w:pBdr>
        <w:spacing w:before="120" w:after="120" w:line="240" w:lineRule="auto"/>
        <w:jc w:val="both"/>
        <w:rPr>
          <w:rFonts w:eastAsia="Times New Roman" w:cs="Times New Roman"/>
          <w:noProof/>
        </w:rPr>
      </w:pPr>
      <w:r>
        <w:rPr>
          <w:noProof/>
        </w:rPr>
        <w:t>Das dritte Element, das dieser Reform</w:t>
      </w:r>
      <w:r>
        <w:rPr>
          <w:noProof/>
        </w:rPr>
        <w:t xml:space="preserve"> zugrunde liegt, ist die Aktualisierung des nationalen Luftschutzprogramms. In dem Programm wird ein umfassendes, langfristiges Bündel von Anforderungen und grundlegenden Voraussetzungen für die regionalen und lokalen Gebietskörperschaften festgelegt, um e</w:t>
      </w:r>
      <w:r>
        <w:rPr>
          <w:noProof/>
        </w:rPr>
        <w:t>ine Verbesserung der Luftqualität zu gewährleisten. Diese Behörden werden beauftragt, spezifische Maßnahmen zu ergreifen, um den Wert der Luftschadstoffe, die bei der Heizung und dem Transport von Haushalten freigesetzt werden, zu senken, wenn ein bestimmt</w:t>
      </w:r>
      <w:r>
        <w:rPr>
          <w:noProof/>
        </w:rPr>
        <w:t>er Grenzwert für Luftschadstoffe überschritten wird. Den lokalen und regionalen Gebietskörperschaften wird auch ein spezifisches Budget für die Durchsetzung der Vorschriften zum Schutz der Luft zugewiesen, insbesondere als Teil der sogenannten „Anti-Smog-R</w:t>
      </w:r>
      <w:r>
        <w:rPr>
          <w:noProof/>
        </w:rPr>
        <w:t>esolutionen“. Im aktualisierten nationalen Luftschutzprogramm wird das Ende jeder öffentlichen Förderung für Investitionen in neue Kohleheizgeräte bis zum 31. Dezember 2021 vorgeschrieben.</w:t>
      </w:r>
    </w:p>
    <w:p w14:paraId="6E81314A" w14:textId="25269A87" w:rsidR="00EB245A" w:rsidRDefault="006021EE">
      <w:pPr>
        <w:pStyle w:val="P68B1DB1-Normal018"/>
        <w:pBdr>
          <w:top w:val="nil"/>
          <w:left w:val="nil"/>
          <w:bottom w:val="nil"/>
          <w:right w:val="nil"/>
          <w:between w:val="nil"/>
        </w:pBdr>
        <w:spacing w:after="0" w:line="240" w:lineRule="auto"/>
        <w:jc w:val="both"/>
        <w:rPr>
          <w:rFonts w:eastAsia="Times New Roman" w:cs="Times New Roman"/>
          <w:noProof/>
        </w:rPr>
      </w:pPr>
      <w:r>
        <w:rPr>
          <w:noProof/>
        </w:rPr>
        <w:t xml:space="preserve">Das vierte Element der Reform ist eine geänderte Verordnung des </w:t>
      </w:r>
      <w:r>
        <w:rPr>
          <w:noProof/>
        </w:rPr>
        <w:t>Ministers für Klima und Umwelt, in der Standards für feste Brennstoffe festgelegt werden. Neben dem 2018 verabschiedeten Verbot minderwertiger Kohle für die Heizung in Privathaushalten soll mit dieser Änderung auch Mindeststandards für feste Brennstoffe fe</w:t>
      </w:r>
      <w:r>
        <w:rPr>
          <w:noProof/>
        </w:rPr>
        <w:t xml:space="preserve">stgelegt und die Verwendung irreführender Marken für Hersteller verboten werden. </w:t>
      </w:r>
    </w:p>
    <w:p w14:paraId="06BBA33E"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sz w:val="24"/>
        </w:rPr>
      </w:pPr>
    </w:p>
    <w:p w14:paraId="1B677B3C" w14:textId="4E55E489" w:rsidR="00EB245A" w:rsidRDefault="006021EE">
      <w:pPr>
        <w:pStyle w:val="P68B1DB1-Normal020"/>
        <w:pBdr>
          <w:top w:val="nil"/>
          <w:left w:val="nil"/>
          <w:bottom w:val="nil"/>
          <w:right w:val="nil"/>
          <w:between w:val="nil"/>
        </w:pBdr>
        <w:spacing w:before="120" w:after="120" w:line="240" w:lineRule="auto"/>
        <w:jc w:val="both"/>
        <w:rPr>
          <w:rFonts w:eastAsia="Times New Roman" w:cs="Times New Roman"/>
          <w:noProof/>
        </w:rPr>
      </w:pPr>
      <w:r>
        <w:rPr>
          <w:noProof/>
        </w:rPr>
        <w:t>B1.1.1 Investitionen in Wärmequellen in Fernwärmeanlagen</w:t>
      </w:r>
    </w:p>
    <w:p w14:paraId="0189DED1" w14:textId="30DEC1A8" w:rsidR="00EB245A" w:rsidRDefault="006021EE">
      <w:pPr>
        <w:pStyle w:val="P68B1DB1-Normal018"/>
        <w:pBdr>
          <w:top w:val="nil"/>
          <w:left w:val="nil"/>
          <w:bottom w:val="nil"/>
          <w:right w:val="nil"/>
          <w:between w:val="nil"/>
        </w:pBdr>
        <w:spacing w:before="120" w:after="120" w:line="240" w:lineRule="auto"/>
        <w:jc w:val="both"/>
        <w:rPr>
          <w:rFonts w:eastAsia="Times New Roman" w:cs="Times New Roman"/>
          <w:noProof/>
          <w:color w:val="000000"/>
        </w:rPr>
      </w:pPr>
      <w:r>
        <w:rPr>
          <w:noProof/>
        </w:rPr>
        <w:t>Ziel dieser Investition ist es, die Fernwärme zu modernisieren und ihre Treibhausgasemissionen zu senken. Ein erhebl</w:t>
      </w:r>
      <w:r>
        <w:rPr>
          <w:noProof/>
        </w:rPr>
        <w:t xml:space="preserve">icher Teil der Fernwärmebetreiber in Polen muss modernisiert werden, indem Quellen in schlechtem technischen Zustand ersetzt werden, die nicht der Definition eines effizienten Fernwärmesystems entsprechen. Die Notwendigkeit des Austauschs von Wärmequellen </w:t>
      </w:r>
      <w:r>
        <w:rPr>
          <w:noProof/>
        </w:rPr>
        <w:t>hängt auch mit einem geringen Anteil erneuerbarer Energien am Heizsystem zusammen, der derzeit bei rund 9,5 % liegt. Ziel ist somit die Verringerung der Energieintensität und der Emissionen bei der Wärmeerzeugung. Im Rahmen dieser Maßnahme werden nur Inves</w:t>
      </w:r>
      <w:r>
        <w:rPr>
          <w:noProof/>
        </w:rPr>
        <w:t>titionen in CO2-arme Anlagen und erneuerbare Energien getätigt. Gefördert werden Anlagen, die Wärme nutzen: Energie aus erneuerbaren Quellen; gasförmige Brennstoffe in Kraft-Wärme-Kopplung (ohne Kohle); Wärmepumpen und geothermische Quellen, Abwärme, CO2-a</w:t>
      </w:r>
      <w:r>
        <w:rPr>
          <w:noProof/>
        </w:rPr>
        <w:t>rme Gasbrennstoffe, Mischgase, synthetisches Gas sowie CO2-armer und erneuerbarer Wasserstoff als Ersatz für Kohle in der Systemheizung. Die Verwendung von aus Abfällen gewonnenem Brennstoff ist nicht zulässig. Der Schwellenwert von 250 g CO2</w:t>
      </w:r>
      <w:r>
        <w:rPr>
          <w:noProof/>
          <w:color w:val="000000" w:themeColor="text1"/>
        </w:rPr>
        <w:t>/kwh erzeugter</w:t>
      </w:r>
      <w:r>
        <w:rPr>
          <w:noProof/>
          <w:color w:val="000000" w:themeColor="text1"/>
        </w:rPr>
        <w:t xml:space="preserve"> Energie darf bei mit Erdgas betriebenen Anlagen nicht überschritten werden. Zu den Begünstigten zählen Einrichtungen, deren Ziel die Erzeugung von Wärme für kommunale und Wohnzwecke ist. Die Projekte werden auf der Grundlage eines offenen Auswahlverfahren</w:t>
      </w:r>
      <w:r>
        <w:rPr>
          <w:noProof/>
          <w:color w:val="000000" w:themeColor="text1"/>
        </w:rPr>
        <w:t>s unter Berücksichtigung folgender Kriterien ausgewählt: I) Bereitschaft und Ausgereiftheit des Projekts für die Durchführung; II) Grad der Verringerung der CO2- und/oder PM2,5- und PM10-Emissionen infolge des Projekts; III) Nutzung erneuerbarer Energieque</w:t>
      </w:r>
      <w:r>
        <w:rPr>
          <w:noProof/>
          <w:color w:val="000000" w:themeColor="text1"/>
        </w:rPr>
        <w:t>llen; IV) Lage in Gebieten mit den höchsten jährlichen PM2,5- und PM10-Emissionen.</w:t>
      </w:r>
    </w:p>
    <w:p w14:paraId="20F6D375" w14:textId="77777777"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Die Durchführung der Investition muss bis zum 30. Juni 2026 abgeschlossen sein.</w:t>
      </w:r>
    </w:p>
    <w:p w14:paraId="0F4FDF66" w14:textId="667CFB22" w:rsidR="00EB245A" w:rsidRDefault="006021EE">
      <w:pPr>
        <w:pStyle w:val="P68B1DB1-Normal015"/>
        <w:pBdr>
          <w:top w:val="nil"/>
          <w:left w:val="nil"/>
          <w:bottom w:val="nil"/>
          <w:right w:val="nil"/>
          <w:between w:val="nil"/>
        </w:pBdr>
        <w:spacing w:before="120" w:after="120" w:line="240" w:lineRule="auto"/>
        <w:jc w:val="both"/>
        <w:rPr>
          <w:rFonts w:eastAsia="Times New Roman" w:cs="Times New Roman"/>
          <w:noProof/>
          <w:color w:val="000000"/>
        </w:rPr>
      </w:pPr>
      <w:r>
        <w:rPr>
          <w:noProof/>
        </w:rPr>
        <w:t>B1.1.2 Austausch von Wärmequellen und Verbesserung der Energieeffizienz in Einfamilienhäusern</w:t>
      </w:r>
    </w:p>
    <w:p w14:paraId="5A7CE041" w14:textId="7BC5B9D9" w:rsidR="00EB245A" w:rsidRDefault="006021EE">
      <w:pPr>
        <w:pStyle w:val="P68B1DB1-Normal018"/>
        <w:spacing w:before="120" w:after="120" w:line="240" w:lineRule="auto"/>
        <w:jc w:val="both"/>
        <w:rPr>
          <w:noProof/>
        </w:rPr>
      </w:pPr>
      <w:r>
        <w:rPr>
          <w:noProof/>
          <w:color w:val="000000" w:themeColor="text1"/>
        </w:rPr>
        <w:t xml:space="preserve">Diese Investition zielt darauf ab, die Luftqualität zu verbessern, einschließlich der Verringerung der Feinstaubemissionen durch den Ersatz emissionsintensiver Wärmequellen und die Verbesserung der Energieeffizienz von Einfamilienhäusern. Die Investition </w:t>
      </w:r>
      <w:r>
        <w:rPr>
          <w:noProof/>
          <w:color w:val="000000" w:themeColor="text1"/>
        </w:rPr>
        <w:t>wird über das vorrangige Programm „Saubere Luft“ kanalisiert</w:t>
      </w:r>
      <w:r>
        <w:rPr>
          <w:noProof/>
        </w:rPr>
        <w:t>, dessen Modernisierung im Einklang mit der langfristigen Renovierungsstrategie im Rahmen der Richtlinie über die Gesamtenergieeffizienz von Gebäuden eine der wichtigsten Maßnahmen im Rahmen der R</w:t>
      </w:r>
      <w:r>
        <w:rPr>
          <w:noProof/>
        </w:rPr>
        <w:t>eform B1.1 ist, wie oben beschrieben. Die Investitionen umfassen i) den Austausch ineffizienter Quellen für die Raum- und Warmwasserbereitung, und/oder ii) thermische Modernisierung von Wohngebäuden; und/oder iii) Anlagen für erneuerbare Energien (hauptsäc</w:t>
      </w:r>
      <w:r>
        <w:rPr>
          <w:noProof/>
        </w:rPr>
        <w:t xml:space="preserve">hlich Photovoltaikpaneele, Solarkollektoren). Die Höhe der Unterstützung wird an die Kaufkraft der Endempfänger angepasst. </w:t>
      </w:r>
    </w:p>
    <w:p w14:paraId="01552555" w14:textId="476F0981" w:rsidR="00EB245A" w:rsidRDefault="006021EE">
      <w:pPr>
        <w:pStyle w:val="P68B1DB1-Normal018"/>
        <w:pBdr>
          <w:top w:val="nil"/>
          <w:left w:val="nil"/>
          <w:bottom w:val="nil"/>
          <w:right w:val="nil"/>
          <w:between w:val="nil"/>
        </w:pBdr>
        <w:spacing w:before="120" w:after="120" w:line="240" w:lineRule="auto"/>
        <w:jc w:val="both"/>
        <w:rPr>
          <w:noProof/>
        </w:rPr>
      </w:pPr>
      <w:r>
        <w:rPr>
          <w:noProof/>
        </w:rPr>
        <w:t>Die Maßnahmen im Rahmen dieser Investitionen müssen im Durchschnitt zu Primärenergieeinsparungen von mindestens 30 % führen. Im Fall</w:t>
      </w:r>
      <w:r>
        <w:rPr>
          <w:noProof/>
        </w:rPr>
        <w:t>e der Förderung gasbetriebener Heizkessel werden diese im Einklang mit Anhang III der Technischen Leitlinien der Kommission zur Vermeidung erheblicher Beeinträchtigungen (2021/C58/021) eingesetzt und müssen zu einer erheblichen Verringerung der Treibhausga</w:t>
      </w:r>
      <w:r>
        <w:rPr>
          <w:noProof/>
        </w:rPr>
        <w:t>semissionen führen, um die Umwelt und die öffentliche Gesundheit, insbesondere aufgrund der Verringerung der Umweltverschmutzung, erheblich zu verbessern, insbesondere in Gebieten, in denen die in der Richtlinie 2008/50/EU festgelegten EU-Luftqualitätsnorm</w:t>
      </w:r>
      <w:r>
        <w:rPr>
          <w:noProof/>
        </w:rPr>
        <w:t>en überschritten werden oder überschritten werden könnten. Darüber hinaus ist sicherzustellen, dass gasbefeuerte Heizkessel nicht mehr als 40 % der Gesamtzahl der Wärmequellenaustausche im Rahmen dieser Maßnahme ausmachen.</w:t>
      </w:r>
    </w:p>
    <w:p w14:paraId="6E4E4417" w14:textId="6E099405" w:rsidR="00EB245A" w:rsidRDefault="006021EE">
      <w:pPr>
        <w:pStyle w:val="P68B1DB1-Normal018"/>
        <w:pBdr>
          <w:top w:val="nil"/>
          <w:left w:val="nil"/>
          <w:bottom w:val="nil"/>
          <w:right w:val="nil"/>
          <w:between w:val="nil"/>
        </w:pBdr>
        <w:spacing w:before="120" w:after="120" w:line="240" w:lineRule="auto"/>
        <w:jc w:val="both"/>
        <w:rPr>
          <w:noProof/>
        </w:rPr>
      </w:pPr>
      <w:r>
        <w:rPr>
          <w:noProof/>
        </w:rPr>
        <w:t>Maßnahmen zur Renovierung von Geb</w:t>
      </w:r>
      <w:r>
        <w:rPr>
          <w:noProof/>
        </w:rPr>
        <w:t>äuden, die zu einer Verbesserung der Gesamtenergieeffizienz im Rahmen dieser Investition führen, verpflichten die Wirtschaftsteilnehmer, sicherzustellen, dass mindestens 70 % (nach Gewicht) der Bauabfälle (ausgenommen natürlich vorkommende Materialien, die</w:t>
      </w:r>
      <w:r>
        <w:rPr>
          <w:noProof/>
        </w:rPr>
        <w:t xml:space="preserve"> in Kategorie 170504 des mit der Entscheidung 2000/532/EG der Kommission aufgestellten Europäischen Abfallverzeichnisses definiert sind) im Einklang mit der Abfallhierarchie und dem EU-Protokoll über die Bewirtschaftung von Bau- und Abbruchabfällen zur Wie</w:t>
      </w:r>
      <w:r>
        <w:rPr>
          <w:noProof/>
        </w:rPr>
        <w:t>derverwendung, zum Recycling und zur sonstigen stofflichen Verwertung vorbereitet werden, einschließlich Verfüllungsverfahren, bei denen Abfälle als Ersatz für andere Materialien verwendet werden.</w:t>
      </w:r>
    </w:p>
    <w:p w14:paraId="08E0D1DD" w14:textId="3B7E8F88" w:rsidR="00EB245A" w:rsidRDefault="006021EE">
      <w:pPr>
        <w:pStyle w:val="P68B1DB1-Normal06"/>
        <w:pBdr>
          <w:top w:val="nil"/>
          <w:left w:val="nil"/>
          <w:bottom w:val="nil"/>
          <w:right w:val="nil"/>
          <w:between w:val="nil"/>
        </w:pBdr>
        <w:spacing w:before="120" w:after="120" w:line="240" w:lineRule="auto"/>
        <w:jc w:val="both"/>
        <w:rPr>
          <w:noProof/>
        </w:rPr>
      </w:pPr>
      <w:r>
        <w:rPr>
          <w:noProof/>
        </w:rPr>
        <w:t>Die Durchführung der Investition muss bis zum 30. Juni 2026</w:t>
      </w:r>
      <w:r>
        <w:rPr>
          <w:noProof/>
        </w:rPr>
        <w:t xml:space="preserve"> abgeschlossen sein. </w:t>
      </w:r>
    </w:p>
    <w:p w14:paraId="5C8C6B09"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u w:val="single"/>
        </w:rPr>
      </w:pPr>
    </w:p>
    <w:p w14:paraId="1F1AD0AF" w14:textId="77777777" w:rsidR="00EB245A" w:rsidRDefault="006021EE">
      <w:pPr>
        <w:pStyle w:val="P68B1DB1-Normal015"/>
        <w:pBdr>
          <w:top w:val="nil"/>
          <w:left w:val="nil"/>
          <w:bottom w:val="nil"/>
          <w:right w:val="nil"/>
          <w:between w:val="nil"/>
        </w:pBdr>
        <w:spacing w:before="120" w:after="120" w:line="240" w:lineRule="auto"/>
        <w:jc w:val="both"/>
        <w:rPr>
          <w:rFonts w:eastAsia="Times New Roman" w:cs="Times New Roman"/>
          <w:noProof/>
          <w:color w:val="000000"/>
        </w:rPr>
      </w:pPr>
      <w:r>
        <w:rPr>
          <w:noProof/>
        </w:rPr>
        <w:t>B1.1.3 Thermalmodernisierung von Schulen</w:t>
      </w:r>
    </w:p>
    <w:p w14:paraId="4FBBBD08" w14:textId="550305E9" w:rsidR="00EB245A" w:rsidRDefault="006021EE">
      <w:pPr>
        <w:pStyle w:val="P68B1DB1-Normal06"/>
        <w:spacing w:before="120" w:after="120" w:line="240" w:lineRule="auto"/>
        <w:jc w:val="both"/>
        <w:rPr>
          <w:rFonts w:eastAsia="Times New Roman" w:cs="Times New Roman"/>
          <w:noProof/>
        </w:rPr>
      </w:pPr>
      <w:r>
        <w:rPr>
          <w:noProof/>
        </w:rPr>
        <w:t xml:space="preserve">Diese Investition zielt darauf ab, die Energieeffizienz von Bildungseinrichtungen zu verbessern und emissionsintensive Wärmequellen durch sauberere Alternativen zu ersetzen. Die Maßnahmen im </w:t>
      </w:r>
      <w:r>
        <w:rPr>
          <w:noProof/>
        </w:rPr>
        <w:t>Rahmen dieser Investition können</w:t>
      </w:r>
      <w:r>
        <w:rPr>
          <w:i/>
          <w:noProof/>
        </w:rPr>
        <w:t xml:space="preserve"> unter anderem</w:t>
      </w:r>
      <w:r>
        <w:rPr>
          <w:noProof/>
        </w:rPr>
        <w:t xml:space="preserve"> erneuerbare Energiequellen und die Anpassung der Funktionen, Anlagen und gebäudetechnischen Systeme an die geltenden Rechtsvorschriften umfassen; umfassende Renovierungen; Modernisierung der Raum- und Warmwass</w:t>
      </w:r>
      <w:r>
        <w:rPr>
          <w:noProof/>
        </w:rPr>
        <w:t>erbereitungsanlagen; Installation einer effizienten Beleuchtung. Investitionen, die im Rahmen der Aufbau- und Resilienzfazilität unterstützt werden, müssen im Durchschnitt zu Primärenergieeinsparungen von mindestens 30 % führen. Die Projekte werden auf der</w:t>
      </w:r>
      <w:r>
        <w:rPr>
          <w:noProof/>
        </w:rPr>
        <w:t xml:space="preserve"> Grundlage eines offenen Auswahlverfahrens unter Berücksichtigung folgender Kriterien ausgewählt: I) Bereitschaft – Ausgereiftheit des Projekts für die Durchführung; II) Grad der Verringerung der CO2- und/oder PM2,5- und/oder PM10-Emissionen; III) Grad der</w:t>
      </w:r>
      <w:r>
        <w:rPr>
          <w:noProof/>
        </w:rPr>
        <w:t xml:space="preserve"> Verringerung des Primärenergieverbrauchs; IV) Nutzung erneuerbarer Energieträger.</w:t>
      </w:r>
    </w:p>
    <w:p w14:paraId="7AD77D6E" w14:textId="5CB2E5E0"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rPr>
      </w:pPr>
      <w:r>
        <w:rPr>
          <w:noProof/>
        </w:rPr>
        <w:t>Ergänzende Maßnahmen können auch Bildungsmaßnahmen umfassen, mit denen Lehrkräfte, Studierende und lokale Gemeinschaften für die Luftverschmutzung, den Klimaschutz und die N</w:t>
      </w:r>
      <w:r>
        <w:rPr>
          <w:noProof/>
        </w:rPr>
        <w:t xml:space="preserve">utzung erneuerbarer Energien sensibilisiert werden. </w:t>
      </w:r>
    </w:p>
    <w:p w14:paraId="5E653E8F" w14:textId="6D4B3FB2" w:rsidR="00EB245A" w:rsidRDefault="006021EE">
      <w:pPr>
        <w:pStyle w:val="P68B1DB1-Normal06"/>
        <w:pBdr>
          <w:top w:val="nil"/>
          <w:left w:val="nil"/>
          <w:bottom w:val="nil"/>
          <w:right w:val="nil"/>
          <w:between w:val="nil"/>
        </w:pBdr>
        <w:spacing w:before="120" w:after="120" w:line="240" w:lineRule="auto"/>
        <w:jc w:val="both"/>
        <w:rPr>
          <w:noProof/>
        </w:rPr>
      </w:pPr>
      <w:r>
        <w:rPr>
          <w:noProof/>
        </w:rPr>
        <w:t>Die Durchführung der Investition muss bis zum 30. Juni 2026 abgeschlossen sein.</w:t>
      </w:r>
    </w:p>
    <w:p w14:paraId="408B25C0"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rPr>
      </w:pPr>
    </w:p>
    <w:p w14:paraId="183ACC09" w14:textId="502D4112" w:rsidR="00EB245A" w:rsidRDefault="006021EE">
      <w:pPr>
        <w:pStyle w:val="P68B1DB1-Normal015"/>
        <w:pBdr>
          <w:top w:val="nil"/>
          <w:left w:val="nil"/>
          <w:bottom w:val="nil"/>
          <w:right w:val="nil"/>
          <w:between w:val="nil"/>
        </w:pBdr>
        <w:spacing w:before="120" w:after="120" w:line="240" w:lineRule="auto"/>
        <w:jc w:val="both"/>
        <w:rPr>
          <w:rFonts w:eastAsia="Times New Roman" w:cs="Times New Roman"/>
          <w:noProof/>
          <w:color w:val="000000"/>
        </w:rPr>
      </w:pPr>
      <w:r>
        <w:rPr>
          <w:noProof/>
        </w:rPr>
        <w:t xml:space="preserve">B1.1.4 Verbesserung der Energieeffizienz lokaler Einrichtungen für soziale Aktivitäten </w:t>
      </w:r>
    </w:p>
    <w:p w14:paraId="676A96B1" w14:textId="22DF6857"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 xml:space="preserve">Ziel dieser Investition ist es, </w:t>
      </w:r>
      <w:r>
        <w:rPr>
          <w:noProof/>
        </w:rPr>
        <w:t>die Energieeffizienz lokaler Sozialanlagen zu verbessern und emissionsintensive Wärmequellen durch sauberere Alternativen zu ersetzen. Die Maßnahmen im Rahmen dieser Investition können</w:t>
      </w:r>
      <w:r>
        <w:rPr>
          <w:i/>
          <w:noProof/>
        </w:rPr>
        <w:t xml:space="preserve"> unter anderem</w:t>
      </w:r>
      <w:r>
        <w:rPr>
          <w:noProof/>
        </w:rPr>
        <w:t xml:space="preserve"> erneuerbare Energiequellen und die Anpassung der Funktion</w:t>
      </w:r>
      <w:r>
        <w:rPr>
          <w:noProof/>
        </w:rPr>
        <w:t>en, Anlagen und gebäudetechnischen Systeme an die geltenden Rechtsvorschriften umfassen; umfassende Renovierungen; Modernisierung der Raum- und Warmwasserbereitungsanlagen; Installation einer effizienten Beleuchtung. Die Investitionen müssen im Durchschnit</w:t>
      </w:r>
      <w:r>
        <w:rPr>
          <w:noProof/>
        </w:rPr>
        <w:t>t zu Primärenergieeinsparungen von mindestens 30 % in den Zielgebäuden führen. Die Projekte werden auf der Grundlage eines offenen Auswahlverfahrens unter Berücksichtigung folgender Kriterien ausgewählt: I) Bereitschaft – Ausgereiftheit des Projekts für di</w:t>
      </w:r>
      <w:r>
        <w:rPr>
          <w:noProof/>
        </w:rPr>
        <w:t>e Durchführung; II) Grad der Verringerung der CO2- und/oder PM2,5- und/oder PM10-Emissionen; III) Grad der Verringerung des Primärenergieverbrauchs; IV) Nutzung erneuerbarer Energiequellen.</w:t>
      </w:r>
    </w:p>
    <w:p w14:paraId="07BE4ACA" w14:textId="77777777"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Die Durchführung der Investition muss bis zum 30. Juni 2026 abgesc</w:t>
      </w:r>
      <w:r>
        <w:rPr>
          <w:noProof/>
        </w:rPr>
        <w:t>hlossen sein.</w:t>
      </w:r>
    </w:p>
    <w:p w14:paraId="52C6AD01" w14:textId="77777777" w:rsidR="00EB245A" w:rsidRDefault="00EB245A">
      <w:pPr>
        <w:pStyle w:val="Normal0"/>
        <w:pBdr>
          <w:top w:val="nil"/>
          <w:left w:val="nil"/>
          <w:bottom w:val="nil"/>
          <w:right w:val="nil"/>
          <w:between w:val="nil"/>
        </w:pBdr>
        <w:spacing w:before="120" w:after="120" w:line="240" w:lineRule="auto"/>
        <w:jc w:val="both"/>
        <w:rPr>
          <w:rFonts w:ascii="Times New Roman" w:hAnsi="Times New Roman"/>
          <w:noProof/>
          <w:color w:val="000000"/>
          <w:sz w:val="24"/>
        </w:rPr>
      </w:pPr>
    </w:p>
    <w:p w14:paraId="17FC00A9" w14:textId="77777777" w:rsidR="00EB245A" w:rsidRDefault="006021EE">
      <w:pPr>
        <w:pStyle w:val="P68B1DB1-Normal015"/>
        <w:pBdr>
          <w:top w:val="nil"/>
          <w:left w:val="nil"/>
          <w:bottom w:val="nil"/>
          <w:right w:val="nil"/>
          <w:between w:val="nil"/>
        </w:pBdr>
        <w:spacing w:before="120" w:after="120" w:line="240" w:lineRule="auto"/>
        <w:jc w:val="both"/>
        <w:rPr>
          <w:rFonts w:eastAsia="Times New Roman" w:cs="Times New Roman"/>
          <w:noProof/>
          <w:color w:val="000000"/>
        </w:rPr>
      </w:pPr>
      <w:r>
        <w:rPr>
          <w:noProof/>
        </w:rPr>
        <w:t>B1.1.5 Verbesserung der Energieeffizienz in Wohngebäuden mit mehreren Wohnungen</w:t>
      </w:r>
    </w:p>
    <w:p w14:paraId="39B2199A" w14:textId="445CCE6C" w:rsidR="00EB245A" w:rsidRDefault="006021EE">
      <w:pPr>
        <w:pStyle w:val="P68B1DB1-Normal018"/>
        <w:spacing w:before="120" w:after="120" w:line="240" w:lineRule="auto"/>
        <w:jc w:val="both"/>
        <w:rPr>
          <w:noProof/>
        </w:rPr>
      </w:pPr>
      <w:r>
        <w:rPr>
          <w:noProof/>
          <w:color w:val="000000" w:themeColor="text1"/>
        </w:rPr>
        <w:t xml:space="preserve">Diese Investition zielt darauf ab, die Energieeffizienz von Gebäuden mit mehreren Wohnungen zu verbessern. Die Investition wird über die </w:t>
      </w:r>
      <w:r>
        <w:rPr>
          <w:noProof/>
        </w:rPr>
        <w:t xml:space="preserve">TERMO-Zuschüsse </w:t>
      </w:r>
      <w:r>
        <w:rPr>
          <w:noProof/>
        </w:rPr>
        <w:t xml:space="preserve">kanalisiert und besteht in i) der thermischen Modernisierung von Wohngebäuden mit mehreren Wohnungen, und/oder ii) die Installation erneuerbarer Energiequellen in solchen Gebäuden, einschließlich Wärme- und Stromquellen. </w:t>
      </w:r>
    </w:p>
    <w:p w14:paraId="008D0A5B" w14:textId="25D779BC" w:rsidR="00EB245A" w:rsidRDefault="006021EE">
      <w:pPr>
        <w:pStyle w:val="P68B1DB1-Normal018"/>
        <w:pBdr>
          <w:top w:val="nil"/>
          <w:left w:val="nil"/>
          <w:bottom w:val="nil"/>
          <w:right w:val="nil"/>
          <w:between w:val="nil"/>
        </w:pBdr>
        <w:spacing w:before="120" w:after="120" w:line="240" w:lineRule="auto"/>
        <w:jc w:val="both"/>
        <w:rPr>
          <w:noProof/>
          <w:highlight w:val="magenta"/>
        </w:rPr>
      </w:pPr>
      <w:r>
        <w:rPr>
          <w:noProof/>
        </w:rPr>
        <w:t>Maßnahmen zur Renovierung von Gebä</w:t>
      </w:r>
      <w:r>
        <w:rPr>
          <w:noProof/>
        </w:rPr>
        <w:t xml:space="preserve">uden, die zu einer Verbesserung ihrer Gesamtenergieeffizienz im Rahmen dieser Investition führen, verpflichten die Wirtschaftsteilnehmer, sicherzustellen, dass mindestens 70 % (nach Gewicht) der Bauabfälle (mit Ausnahme natürlich vorkommender Materialien, </w:t>
      </w:r>
      <w:r>
        <w:rPr>
          <w:noProof/>
        </w:rPr>
        <w:t xml:space="preserve">die in Kategorie 170504 des mit der Entscheidung 2000/532/EG der Kommission aufgestellten Europäischen Abfallverzeichnisses definiert sind) im Einklang mit der Abfallhierarchie und dem EU-Protokoll über die Bewirtschaftung von Bau- und Abbruchabfällen zur </w:t>
      </w:r>
      <w:r>
        <w:rPr>
          <w:noProof/>
        </w:rPr>
        <w:t>Wiederverwendung, zum Recycling und zur sonstigen stofflichen Verwertung vorbereitet werden, einschließlich Verfüllungsverfahren, bei denen Abfälle als Ersatz für andere Materialien verwendet werden.</w:t>
      </w:r>
    </w:p>
    <w:p w14:paraId="497DF444" w14:textId="22CA9FE9"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 xml:space="preserve">Die Durchführung der Investition muss bis zum 30. Juni 2026 abgeschlossen sein. </w:t>
      </w:r>
    </w:p>
    <w:p w14:paraId="5C71F136"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sz w:val="24"/>
          <w:u w:val="single"/>
        </w:rPr>
      </w:pPr>
    </w:p>
    <w:p w14:paraId="4EBF4C09" w14:textId="77777777" w:rsidR="00EB245A" w:rsidRDefault="006021EE">
      <w:pPr>
        <w:pStyle w:val="P68B1DB1-Normal015"/>
        <w:pBdr>
          <w:top w:val="nil"/>
          <w:left w:val="nil"/>
          <w:bottom w:val="nil"/>
          <w:right w:val="nil"/>
          <w:between w:val="nil"/>
        </w:pBdr>
        <w:spacing w:before="120" w:after="120" w:line="240" w:lineRule="auto"/>
        <w:jc w:val="both"/>
        <w:rPr>
          <w:rFonts w:eastAsia="Times New Roman" w:cs="Times New Roman"/>
          <w:noProof/>
          <w:color w:val="000000"/>
        </w:rPr>
      </w:pPr>
      <w:r>
        <w:rPr>
          <w:noProof/>
        </w:rPr>
        <w:t>B2.1 Verbesserung der Bedingungen für die Entwicklung von Wasserstofftechnologien und anderen dekarbonisierten Gasen</w:t>
      </w:r>
    </w:p>
    <w:p w14:paraId="37404AA0" w14:textId="77777777"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Ziel der Reform ist die Entwicklung eines Marktes für ern</w:t>
      </w:r>
      <w:r>
        <w:rPr>
          <w:noProof/>
        </w:rPr>
        <w:t>euerbaren und CO2-armen Wasserstoff und andere alternative Kraftstoffe.</w:t>
      </w:r>
    </w:p>
    <w:p w14:paraId="48D21A91" w14:textId="64748174"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Die Maßnahme besteht aus zwei Aktionen. Die erste zielt darauf ab, einen Rechtsrahmen für den Betrieb von Wasserstoff als alternativen Kraftstoff für den Verkehr zu schaffen, indem Bes</w:t>
      </w:r>
      <w:r>
        <w:rPr>
          <w:noProof/>
        </w:rPr>
        <w:t>timmungen für den Bau, den sicheren Betrieb und die Modernisierung von Wasserstoffstationen sowie die Behörden, die für die Genehmigung der Nutzung von Wasserstoffstationen und deren erforderliche technische Inspektion zuständig sind, eingeführt werden. Fe</w:t>
      </w:r>
      <w:r>
        <w:rPr>
          <w:noProof/>
        </w:rPr>
        <w:t>rner wird ein System zur Überwachung und Kontrolle der Qualität der für den Antrieb von Fahrzeugen verwendeten Wasserstoffkraftstoffe festgelegt. Die Durchführung der Maßnahme sollte bis zum 30. Dezember 2021 abgeschlossen sein.</w:t>
      </w:r>
    </w:p>
    <w:p w14:paraId="7A8551D9" w14:textId="058D0623"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Die zweite Maßnahme zielt d</w:t>
      </w:r>
      <w:r>
        <w:rPr>
          <w:noProof/>
        </w:rPr>
        <w:t>arauf ab, Wasserstoffinfrastruktur und -märkte zu schaffen, um die Marktakzeptanz von erneuerbarem und CO2-armem Wasserstoff, die Integration der Wasserstofferzeugung in andere Energiemärkte sowie eine bestehende und spezielle Infrastruktur zu unterstützen</w:t>
      </w:r>
      <w:r>
        <w:rPr>
          <w:noProof/>
        </w:rPr>
        <w:t>, die darauf abzielt, regulatorische Vorhersehbarkeit für Investoren zu schaffen und die Einführung von erneuerbarem und CO2-armem Wasserstoff zu unterstützen. Die Reformen müssen den Technischen Leitlinien „Vermeidung erheblicher Beeinträchtigungen“ (2021</w:t>
      </w:r>
      <w:r>
        <w:rPr>
          <w:noProof/>
        </w:rPr>
        <w:t>/C 58/01) entsprechen, mit denen sichergestellt wird, dass durch die Reform die Nutzung und Vermarktung von erneuerbarem Wasserstoff nicht erschwert wird als andere Wasserstoffquellen. Ziel der Reform ist die Entwicklung von erneuerbarem Wasserstoff oder W</w:t>
      </w:r>
      <w:r>
        <w:rPr>
          <w:noProof/>
        </w:rPr>
        <w:t>asserstoff, der aus Elektrolyseuren hergestellt wird, und zielt darauf ab, CO2-armen Wasserstoff zu fördern, der mit der Wasserstoffstrategie der EU im Einklang steht.</w:t>
      </w:r>
    </w:p>
    <w:p w14:paraId="5765CF63" w14:textId="01F99C3F" w:rsidR="00EB245A" w:rsidRDefault="006021EE">
      <w:pPr>
        <w:pStyle w:val="P68B1DB1-Normal06"/>
        <w:spacing w:before="120" w:after="120" w:line="240" w:lineRule="auto"/>
        <w:jc w:val="both"/>
        <w:rPr>
          <w:noProof/>
        </w:rPr>
      </w:pPr>
      <w:r>
        <w:rPr>
          <w:noProof/>
        </w:rPr>
        <w:t>Die Durchführung dieser Maßnahme muss bis zum 31. Dezember 2023 abgeschlossen sein.</w:t>
      </w:r>
    </w:p>
    <w:p w14:paraId="6B39CC7D" w14:textId="77777777" w:rsidR="00EB245A" w:rsidRDefault="00EB245A">
      <w:pPr>
        <w:pStyle w:val="Normal0"/>
        <w:spacing w:before="120" w:after="120" w:line="240" w:lineRule="auto"/>
        <w:jc w:val="both"/>
        <w:rPr>
          <w:rFonts w:ascii="Times New Roman" w:eastAsia="Times New Roman" w:hAnsi="Times New Roman" w:cs="Times New Roman"/>
          <w:noProof/>
          <w:color w:val="000000" w:themeColor="text1"/>
          <w:sz w:val="24"/>
        </w:rPr>
      </w:pPr>
    </w:p>
    <w:p w14:paraId="62199465" w14:textId="5F47EC14" w:rsidR="00EB245A" w:rsidRDefault="006021EE">
      <w:pPr>
        <w:rPr>
          <w:rFonts w:ascii="Times New Roman" w:eastAsia="Times New Roman" w:hAnsi="Times New Roman" w:cs="Times New Roman"/>
          <w:noProof/>
          <w:color w:val="000000"/>
          <w:sz w:val="24"/>
        </w:rPr>
      </w:pPr>
      <w:r>
        <w:rPr>
          <w:noProof/>
        </w:rPr>
        <w:br w:type="page"/>
      </w:r>
    </w:p>
    <w:p w14:paraId="3F464A0C" w14:textId="02F42831" w:rsidR="00EB245A" w:rsidRDefault="006021EE">
      <w:pPr>
        <w:pStyle w:val="P68B1DB1-Normal015"/>
        <w:pBdr>
          <w:top w:val="nil"/>
          <w:left w:val="nil"/>
          <w:bottom w:val="nil"/>
          <w:right w:val="nil"/>
          <w:between w:val="nil"/>
        </w:pBdr>
        <w:spacing w:before="120" w:after="120" w:line="240" w:lineRule="auto"/>
        <w:jc w:val="both"/>
        <w:rPr>
          <w:rFonts w:eastAsia="Times New Roman" w:cs="Times New Roman"/>
          <w:noProof/>
          <w:color w:val="000000"/>
        </w:rPr>
      </w:pPr>
      <w:r>
        <w:rPr>
          <w:noProof/>
        </w:rPr>
        <w:t>B2.1.1 Investitionen in Wasserstoff, Wasserstoffherstellung, -speicherung und -transport</w:t>
      </w:r>
    </w:p>
    <w:p w14:paraId="3100A003" w14:textId="32E0DAE9" w:rsidR="00EB245A" w:rsidRDefault="006021EE">
      <w:pPr>
        <w:pStyle w:val="P68B1DB1-Normal021"/>
        <w:pBdr>
          <w:top w:val="nil"/>
          <w:left w:val="nil"/>
          <w:bottom w:val="nil"/>
          <w:right w:val="nil"/>
          <w:between w:val="nil"/>
        </w:pBdr>
        <w:spacing w:before="120" w:after="120" w:line="240" w:lineRule="auto"/>
        <w:jc w:val="both"/>
        <w:rPr>
          <w:rFonts w:eastAsia="Times New Roman" w:cs="Times New Roman"/>
          <w:noProof/>
          <w:color w:val="000000" w:themeColor="text1"/>
          <w:sz w:val="24"/>
        </w:rPr>
      </w:pPr>
      <w:r>
        <w:rPr>
          <w:noProof/>
          <w:color w:val="000000" w:themeColor="text1"/>
          <w:sz w:val="24"/>
        </w:rPr>
        <w:t>Ziel der Investition ist die Schaffung einer Wasserstoffindustrie in Polen und die verstärkte Nutzung von erneuerbarem und CO2-armem Wasserstoff.</w:t>
      </w:r>
      <w:r>
        <w:rPr>
          <w:noProof/>
        </w:rPr>
        <w:t xml:space="preserve"> </w:t>
      </w:r>
      <w:r>
        <w:rPr>
          <w:noProof/>
          <w:color w:val="000000" w:themeColor="text1"/>
          <w:sz w:val="24"/>
        </w:rPr>
        <w:t xml:space="preserve">Die Projekte sind </w:t>
      </w:r>
      <w:r>
        <w:rPr>
          <w:noProof/>
          <w:color w:val="000000" w:themeColor="text1"/>
          <w:sz w:val="24"/>
        </w:rPr>
        <w:t>Teil eines integrierten politischen Ansatzes, bei dem erneuerbaren Wasserstoff Vorrang eingeräumt wird. Die Investition besteht aus mehreren Projekten.</w:t>
      </w:r>
    </w:p>
    <w:p w14:paraId="5B76D9DC" w14:textId="7FF1C141"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Das erste Projekt umfasst Investitionen in Wasserstofftankstellen, einschließlich des Bunkerns von Wasse</w:t>
      </w:r>
      <w:r>
        <w:rPr>
          <w:noProof/>
        </w:rPr>
        <w:t xml:space="preserve">rstoff. Die Bunkeranlagen müssen allen Wasserstoffquellen offen stehen, die Menge an gebunkertem grauem Wasserstoff muss jedoch im Laufe der Zeit zurückgehen. </w:t>
      </w:r>
    </w:p>
    <w:p w14:paraId="5F46DD70" w14:textId="0B3ECB3F"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Im zweiten Teil des Projekts wird mindestens die Entwicklung, der Bau und die Umsetzung innovati</w:t>
      </w:r>
      <w:r>
        <w:rPr>
          <w:noProof/>
        </w:rPr>
        <w:t>ver wasserstoffbetriebener Transporteinheiten unterstützt. Der Schwerpunkt der Investition liegt auf der Förderung, Erprobung und Demonstration verschiedener Arten von Wasserstoff-Brennstoffzellentransporteinheiten, um Polens Bemühungen um eine Dekarbonisi</w:t>
      </w:r>
      <w:r>
        <w:rPr>
          <w:noProof/>
        </w:rPr>
        <w:t>erung der Mobilität zu unterstützen. Innovative Arten von wasserstoffbetriebenen Transporteinheiten tragen zur Dekarbonisierung schwer zu verringernder Transporte bei. Sie umfasst sowohl den Bau neuer als auch die Nachrüstung bestehender Anlagen. Die Beför</w:t>
      </w:r>
      <w:r>
        <w:rPr>
          <w:noProof/>
        </w:rPr>
        <w:t>derungseinheiten sind nicht für den Transport fossiler Brennstoffe bestimmt.</w:t>
      </w:r>
    </w:p>
    <w:p w14:paraId="717F28E5" w14:textId="5665D812" w:rsidR="00EB245A" w:rsidRDefault="006021EE">
      <w:pPr>
        <w:pStyle w:val="paragraph"/>
        <w:spacing w:before="120" w:beforeAutospacing="0" w:after="120" w:afterAutospacing="0"/>
        <w:jc w:val="both"/>
        <w:textAlignment w:val="baseline"/>
        <w:rPr>
          <w:noProof/>
        </w:rPr>
      </w:pPr>
      <w:r>
        <w:rPr>
          <w:rStyle w:val="normaltextrun"/>
          <w:noProof/>
        </w:rPr>
        <w:t>Der</w:t>
      </w:r>
      <w:r>
        <w:rPr>
          <w:rStyle w:val="normaltextrun"/>
          <w:rFonts w:ascii="Times" w:hAnsi="Times"/>
          <w:noProof/>
        </w:rPr>
        <w:t>dritte Teil des Projekts besteht aus einer öffentlichen Investition in eine</w:t>
      </w:r>
      <w:r>
        <w:rPr>
          <w:noProof/>
        </w:rPr>
        <w:t xml:space="preserve"> Subventionsregelung, um Anreize für private Investitionen zu schaffen und den Zugang zu Finanzmittel</w:t>
      </w:r>
      <w:r>
        <w:rPr>
          <w:noProof/>
        </w:rPr>
        <w:t>n im polnischen Sektor der Erzeugung von erneuerbarem und CO2-armem Wasserstoff zu verbessern. Die zwischen der Fazilität und den Endbegünstigten geschlossenen Subventionsvereinbarungen zielen darauf ab, eine installierte Gesamtproduktionskapazität von min</w:t>
      </w:r>
      <w:r>
        <w:rPr>
          <w:noProof/>
        </w:rPr>
        <w:t>destens 315 MW an erneuerbarem und CO2-armem Wasserstoff zu erreichen. Im Rahmen der Regelung werden Subventionen direkt an den privaten Sektor gewährt. Auf der Grundlage der ARF-Investitionen zielt die Regelung zunächst darauf ab, Subventionen in Höhe von</w:t>
      </w:r>
      <w:r>
        <w:rPr>
          <w:noProof/>
        </w:rPr>
        <w:t xml:space="preserve"> mindestens 640 000 000 EUR bereitzustellen.</w:t>
      </w:r>
      <w:r w:rsidRPr="004E1987">
        <w:rPr>
          <w:rStyle w:val="FootnoteReference"/>
          <w:noProof/>
        </w:rPr>
        <w:footnoteReference w:id="12"/>
      </w:r>
    </w:p>
    <w:p w14:paraId="1514330D" w14:textId="31C750FD" w:rsidR="00EB245A" w:rsidRDefault="006021EE">
      <w:pPr>
        <w:pStyle w:val="paragraph"/>
        <w:spacing w:before="120" w:beforeAutospacing="0" w:after="120" w:afterAutospacing="0"/>
        <w:jc w:val="both"/>
        <w:textAlignment w:val="baseline"/>
        <w:rPr>
          <w:rStyle w:val="normaltextrun"/>
          <w:rFonts w:ascii="Times" w:eastAsia="Times" w:hAnsi="Times" w:cs="Times"/>
          <w:noProof/>
        </w:rPr>
      </w:pPr>
      <w:r>
        <w:rPr>
          <w:rStyle w:val="normaltextrun"/>
          <w:rFonts w:ascii="Times" w:hAnsi="Times"/>
          <w:noProof/>
        </w:rPr>
        <w:t xml:space="preserve">Die Regelung wird von der Bank Gospodarstwa Krajowego (BGK) als Durchführungspartner verwaltet. </w:t>
      </w:r>
    </w:p>
    <w:p w14:paraId="764EA793" w14:textId="2351F781" w:rsidR="00EB245A" w:rsidRDefault="006021EE">
      <w:pPr>
        <w:pStyle w:val="paragraph"/>
        <w:spacing w:before="120" w:beforeAutospacing="0" w:after="120" w:afterAutospacing="0"/>
        <w:jc w:val="both"/>
        <w:textAlignment w:val="baseline"/>
        <w:rPr>
          <w:rStyle w:val="normaltextrun"/>
          <w:rFonts w:ascii="Times" w:eastAsia="Times" w:hAnsi="Times" w:cs="Times"/>
          <w:noProof/>
        </w:rPr>
      </w:pPr>
      <w:r>
        <w:rPr>
          <w:rStyle w:val="normaltextrun"/>
          <w:rFonts w:ascii="Times" w:hAnsi="Times"/>
          <w:noProof/>
        </w:rPr>
        <w:t xml:space="preserve">Die Regelung umfasst die folgende Produktlinie: </w:t>
      </w:r>
    </w:p>
    <w:p w14:paraId="023F4616" w14:textId="41E37CC5" w:rsidR="00EB245A" w:rsidRDefault="006021EE">
      <w:pPr>
        <w:pStyle w:val="paragraph"/>
        <w:numPr>
          <w:ilvl w:val="0"/>
          <w:numId w:val="93"/>
        </w:numPr>
        <w:spacing w:before="120" w:beforeAutospacing="0" w:after="120" w:afterAutospacing="0"/>
        <w:jc w:val="both"/>
        <w:textAlignment w:val="baseline"/>
        <w:rPr>
          <w:rStyle w:val="normaltextrun"/>
          <w:rFonts w:ascii="Times" w:eastAsia="Times" w:hAnsi="Times" w:cs="Times"/>
          <w:noProof/>
        </w:rPr>
      </w:pPr>
      <w:r>
        <w:rPr>
          <w:rStyle w:val="normaltextrun"/>
          <w:rFonts w:ascii="Times" w:hAnsi="Times"/>
          <w:noProof/>
          <w:shd w:val="clear" w:color="auto" w:fill="FFFFFF" w:themeFill="background1"/>
        </w:rPr>
        <w:t>Direkte Subventionen für private oder öffentliche Stellen</w:t>
      </w:r>
      <w:r>
        <w:rPr>
          <w:noProof/>
          <w:shd w:val="clear" w:color="auto" w:fill="FFFFFF" w:themeFill="background1"/>
        </w:rPr>
        <w:t xml:space="preserve">, die </w:t>
      </w:r>
      <w:r>
        <w:rPr>
          <w:noProof/>
          <w:shd w:val="clear" w:color="auto" w:fill="FFFFFF" w:themeFill="background1"/>
        </w:rPr>
        <w:t>ähnliche Tätigkeiten ausüben</w:t>
      </w:r>
      <w:r>
        <w:rPr>
          <w:rStyle w:val="normaltextrun"/>
          <w:rFonts w:ascii="Times" w:hAnsi="Times"/>
          <w:noProof/>
          <w:shd w:val="clear" w:color="auto" w:fill="FFFFFF" w:themeFill="background1"/>
        </w:rPr>
        <w:t>, zur Finanzierung</w:t>
      </w:r>
      <w:r>
        <w:rPr>
          <w:rStyle w:val="normaltextrun"/>
          <w:rFonts w:ascii="Times" w:hAnsi="Times"/>
          <w:noProof/>
        </w:rPr>
        <w:t xml:space="preserve"> ihrer Investitionen in Kapazitäten zur Erzeugung von erneuerbarem und CO2-armem Wasserstoff, einschließlich Elektrolyseuren, und zugehörige Infrastruktur.  </w:t>
      </w:r>
    </w:p>
    <w:p w14:paraId="03EA99D1" w14:textId="34302220" w:rsidR="00EB245A" w:rsidRDefault="006021EE">
      <w:pPr>
        <w:pStyle w:val="paragraph"/>
        <w:spacing w:before="120" w:beforeAutospacing="0" w:after="120" w:afterAutospacing="0"/>
        <w:jc w:val="both"/>
        <w:textAlignment w:val="baseline"/>
        <w:rPr>
          <w:rStyle w:val="normaltextrun"/>
          <w:rFonts w:ascii="Times" w:eastAsia="Times" w:hAnsi="Times" w:cs="Times"/>
          <w:noProof/>
        </w:rPr>
      </w:pPr>
      <w:r>
        <w:rPr>
          <w:rStyle w:val="normaltextrun"/>
          <w:rFonts w:ascii="Times" w:hAnsi="Times"/>
          <w:noProof/>
        </w:rPr>
        <w:t>Zur Durchführung der Investition im Rahmen der Regel</w:t>
      </w:r>
      <w:r>
        <w:rPr>
          <w:rStyle w:val="normaltextrun"/>
          <w:rFonts w:ascii="Times" w:hAnsi="Times"/>
          <w:noProof/>
        </w:rPr>
        <w:t xml:space="preserve">ung unterzeichnen Polen und BGK ein Durchführungsabkommen mit folgendem Inhalt: </w:t>
      </w:r>
    </w:p>
    <w:p w14:paraId="425D4BCD" w14:textId="1C1EFBEA" w:rsidR="00EB245A" w:rsidRDefault="006021EE">
      <w:pPr>
        <w:pStyle w:val="paragraph"/>
        <w:numPr>
          <w:ilvl w:val="0"/>
          <w:numId w:val="42"/>
        </w:numPr>
        <w:spacing w:before="120" w:beforeAutospacing="0" w:after="120" w:afterAutospacing="0"/>
        <w:jc w:val="both"/>
        <w:textAlignment w:val="baseline"/>
        <w:rPr>
          <w:rFonts w:ascii="Times" w:eastAsia="Times" w:hAnsi="Times" w:cs="Times"/>
          <w:noProof/>
        </w:rPr>
      </w:pPr>
      <w:r>
        <w:rPr>
          <w:rStyle w:val="normaltextrun"/>
          <w:rFonts w:ascii="Times" w:hAnsi="Times"/>
          <w:noProof/>
        </w:rPr>
        <w:t>Beschreibung des Entscheidungsprozesses im Rahmen des Programms: Die endgültige Entscheidung über die Gewährung des Systems wird von einem Investitionsausschuss oder einem and</w:t>
      </w:r>
      <w:r>
        <w:rPr>
          <w:rStyle w:val="normaltextrun"/>
          <w:rFonts w:ascii="Times" w:hAnsi="Times"/>
          <w:noProof/>
        </w:rPr>
        <w:t>eren einschlägigen gleichwertigen Leitungsgremium getroffen und mit der Mehrheit der Stimmen von Mitgliedern, die von der Regierung unabhängig sind, gebilligt.</w:t>
      </w:r>
    </w:p>
    <w:p w14:paraId="45238222" w14:textId="0897A0FF" w:rsidR="00EB245A" w:rsidRDefault="006021EE">
      <w:pPr>
        <w:pStyle w:val="P68B1DB1-paragraph22"/>
        <w:numPr>
          <w:ilvl w:val="0"/>
          <w:numId w:val="42"/>
        </w:numPr>
        <w:spacing w:before="120" w:beforeAutospacing="0" w:after="120" w:afterAutospacing="0"/>
        <w:jc w:val="both"/>
        <w:textAlignment w:val="baseline"/>
        <w:rPr>
          <w:rFonts w:eastAsia="Times" w:cs="Times"/>
          <w:noProof/>
        </w:rPr>
      </w:pPr>
      <w:r>
        <w:rPr>
          <w:noProof/>
        </w:rPr>
        <w:t xml:space="preserve"> Kernanforderungen der damit verbundenen Subventionspolitik,</w:t>
      </w:r>
      <w:r>
        <w:rPr>
          <w:b/>
          <w:noProof/>
        </w:rPr>
        <w:t xml:space="preserve"> </w:t>
      </w:r>
      <w:r>
        <w:rPr>
          <w:noProof/>
        </w:rPr>
        <w:t>die Folgendes umfassen:</w:t>
      </w:r>
    </w:p>
    <w:p w14:paraId="6BD98B82" w14:textId="63807672" w:rsidR="00EB245A" w:rsidRDefault="006021EE">
      <w:pPr>
        <w:pStyle w:val="P68B1DB1-ListParagraph23"/>
        <w:numPr>
          <w:ilvl w:val="0"/>
          <w:numId w:val="43"/>
        </w:numPr>
        <w:spacing w:before="120" w:after="120" w:line="257" w:lineRule="auto"/>
        <w:ind w:hanging="360"/>
        <w:jc w:val="both"/>
        <w:textAlignment w:val="baseline"/>
        <w:rPr>
          <w:rFonts w:eastAsia="Times" w:cs="Times"/>
          <w:noProof/>
        </w:rPr>
      </w:pPr>
      <w:r>
        <w:rPr>
          <w:noProof/>
        </w:rPr>
        <w:t xml:space="preserve">Die </w:t>
      </w:r>
      <w:r>
        <w:rPr>
          <w:noProof/>
        </w:rPr>
        <w:t>Beschreibung der gewährten Subventionen und der förderfähigen Endbegünstigten unter Berücksichtigung des Ziels, dass die zwischen der Regelung und den Endbegünstigten geschlossenen Subventionsvereinbarungen zu einer installierten Produktionskapazität von m</w:t>
      </w:r>
      <w:r>
        <w:rPr>
          <w:noProof/>
        </w:rPr>
        <w:t>indestens 315 MW an erneuerbarem und CO2-armem Wasserstoff führen.</w:t>
      </w:r>
    </w:p>
    <w:p w14:paraId="10992257" w14:textId="4ADC8C4D" w:rsidR="00EB245A" w:rsidRDefault="006021EE">
      <w:pPr>
        <w:pStyle w:val="P68B1DB1-ListParagraph23"/>
        <w:numPr>
          <w:ilvl w:val="0"/>
          <w:numId w:val="43"/>
        </w:numPr>
        <w:spacing w:before="120" w:after="120" w:line="257" w:lineRule="auto"/>
        <w:ind w:hanging="360"/>
        <w:jc w:val="both"/>
        <w:textAlignment w:val="baseline"/>
        <w:rPr>
          <w:rFonts w:ascii="Times New Roman" w:eastAsia="Times New Roman" w:hAnsi="Times New Roman" w:cs="Times New Roman"/>
          <w:noProof/>
        </w:rPr>
      </w:pPr>
      <w:r>
        <w:rPr>
          <w:noProof/>
        </w:rPr>
        <w:t>Die Anforderung, dass alle geförderten Investitionen wirtschaftlich tragfähig sein müssen</w:t>
      </w:r>
      <w:r>
        <w:rPr>
          <w:b/>
          <w:noProof/>
        </w:rPr>
        <w:t>.</w:t>
      </w:r>
    </w:p>
    <w:p w14:paraId="7B031BBC" w14:textId="6A1D00B5" w:rsidR="00EB245A" w:rsidRDefault="006021EE">
      <w:pPr>
        <w:pStyle w:val="ListParagraph"/>
        <w:numPr>
          <w:ilvl w:val="0"/>
          <w:numId w:val="43"/>
        </w:numPr>
        <w:spacing w:before="120" w:after="120" w:line="240" w:lineRule="auto"/>
        <w:ind w:hanging="360"/>
        <w:jc w:val="both"/>
        <w:textAlignment w:val="baseline"/>
        <w:rPr>
          <w:rStyle w:val="normaltextrun"/>
          <w:rFonts w:ascii="Times New Roman" w:eastAsia="Times New Roman" w:hAnsi="Times New Roman" w:cs="Times New Roman"/>
          <w:noProof/>
          <w:sz w:val="24"/>
        </w:rPr>
      </w:pPr>
      <w:r>
        <w:rPr>
          <w:rStyle w:val="normaltextrun"/>
          <w:rFonts w:ascii="Times New Roman" w:hAnsi="Times New Roman"/>
          <w:noProof/>
          <w:sz w:val="24"/>
        </w:rPr>
        <w:t>Die Anforderung, den Grundsatz der „Vermeidung erheblicher Beeinträchtigungen“ (DNSH) einzuhalten,</w:t>
      </w:r>
      <w:r>
        <w:rPr>
          <w:rStyle w:val="normaltextrun"/>
          <w:rFonts w:ascii="Times New Roman" w:hAnsi="Times New Roman"/>
          <w:noProof/>
          <w:sz w:val="24"/>
        </w:rPr>
        <w:t xml:space="preserve"> wie in den technischen Leitlinien für die Vermeidung erheblicher Beeinträchtigungen (DNSH Technical Guidance,</w:t>
      </w:r>
      <w:r>
        <w:rPr>
          <w:rStyle w:val="normaltextrun"/>
          <w:rFonts w:ascii="Times New Roman" w:hAnsi="Times New Roman"/>
          <w:noProof/>
          <w:color w:val="000000" w:themeColor="text1"/>
          <w:sz w:val="24"/>
        </w:rPr>
        <w:t>(2023) 6454 final</w:t>
      </w:r>
      <w:r>
        <w:rPr>
          <w:rStyle w:val="normaltextrun"/>
          <w:rFonts w:ascii="Times New Roman" w:hAnsi="Times New Roman"/>
          <w:noProof/>
          <w:sz w:val="24"/>
        </w:rPr>
        <w:t>) dargelegt. Die Anlagepolitik schließt insbesondere folgende Liste von Tätigkeiten und Vermögenswerten von der Förderfähigkeit a</w:t>
      </w:r>
      <w:r>
        <w:rPr>
          <w:rStyle w:val="normaltextrun"/>
          <w:rFonts w:ascii="Times New Roman" w:hAnsi="Times New Roman"/>
          <w:noProof/>
          <w:sz w:val="24"/>
        </w:rPr>
        <w:t>us: I) Tätigkeiten und Vermögenswerte im Zusammenhang mit fossilen Brennstoffen, einschließlich der nachgelagerten Nutzung,</w:t>
      </w:r>
      <w:r w:rsidRPr="004E1987">
        <w:rPr>
          <w:rStyle w:val="FootnoteReference"/>
          <w:rFonts w:ascii="Times New Roman" w:hAnsi="Times New Roman"/>
          <w:noProof/>
          <w:sz w:val="24"/>
        </w:rPr>
        <w:footnoteReference w:id="13"/>
      </w:r>
      <w:r>
        <w:rPr>
          <w:rStyle w:val="normaltextrun"/>
          <w:rFonts w:ascii="Times New Roman" w:hAnsi="Times New Roman"/>
          <w:noProof/>
          <w:sz w:val="24"/>
        </w:rPr>
        <w:t xml:space="preserve">ii) Tätigkeiten und Vermögenswerte im Rahmen des EU-Emissionshandelssystems (EHS), mit denen prognostizierte Treibhausgasemissionen </w:t>
      </w:r>
      <w:r>
        <w:rPr>
          <w:rStyle w:val="normaltextrun"/>
          <w:rFonts w:ascii="Times New Roman" w:hAnsi="Times New Roman"/>
          <w:noProof/>
          <w:sz w:val="24"/>
        </w:rPr>
        <w:t>erreicht werden, die nicht unter den einschlägigen Benchmarks liegen,</w:t>
      </w:r>
      <w:r w:rsidRPr="004E1987">
        <w:rPr>
          <w:rStyle w:val="FootnoteReference"/>
          <w:rFonts w:ascii="Times New Roman" w:hAnsi="Times New Roman"/>
          <w:noProof/>
          <w:sz w:val="24"/>
        </w:rPr>
        <w:footnoteReference w:id="14"/>
      </w:r>
      <w:r>
        <w:rPr>
          <w:rStyle w:val="normaltextrun"/>
          <w:rFonts w:ascii="Times New Roman" w:hAnsi="Times New Roman"/>
          <w:noProof/>
          <w:sz w:val="24"/>
        </w:rPr>
        <w:t>iii) Tätigkeiten und Vermögenswerte im Zusammenhang mit Abfalldeponien, Verbrennungsanlagen</w:t>
      </w:r>
      <w:r w:rsidRPr="004E1987">
        <w:rPr>
          <w:rStyle w:val="FootnoteReference"/>
          <w:rFonts w:ascii="Times New Roman" w:hAnsi="Times New Roman"/>
          <w:noProof/>
          <w:sz w:val="24"/>
        </w:rPr>
        <w:footnoteReference w:id="15"/>
      </w:r>
      <w:r>
        <w:rPr>
          <w:rStyle w:val="normaltextrun"/>
          <w:rFonts w:ascii="Times New Roman" w:hAnsi="Times New Roman"/>
          <w:noProof/>
          <w:sz w:val="24"/>
        </w:rPr>
        <w:t xml:space="preserve"> und Anlagen zur mechanisch-biologischen Behandlung</w:t>
      </w:r>
      <w:r w:rsidRPr="004E1987">
        <w:rPr>
          <w:rStyle w:val="FootnoteReference"/>
          <w:rFonts w:ascii="Times New Roman" w:hAnsi="Times New Roman"/>
          <w:noProof/>
          <w:sz w:val="24"/>
        </w:rPr>
        <w:footnoteReference w:id="16"/>
      </w:r>
      <w:r>
        <w:rPr>
          <w:rStyle w:val="normaltextrun"/>
          <w:rFonts w:ascii="Times New Roman" w:hAnsi="Times New Roman"/>
          <w:noProof/>
          <w:sz w:val="24"/>
        </w:rPr>
        <w:t xml:space="preserve"> und iv) Tätigkeiten und Vermögenswerte im</w:t>
      </w:r>
      <w:r>
        <w:rPr>
          <w:rStyle w:val="normaltextrun"/>
          <w:rFonts w:ascii="Times New Roman" w:hAnsi="Times New Roman"/>
          <w:noProof/>
          <w:sz w:val="24"/>
        </w:rPr>
        <w:t xml:space="preserve"> Zusammenhang mit dem Bergbau. </w:t>
      </w:r>
    </w:p>
    <w:p w14:paraId="6AFD3F0A" w14:textId="170FC73C" w:rsidR="00EB245A" w:rsidRDefault="006021EE">
      <w:pPr>
        <w:pStyle w:val="P68B1DB1-ListParagraph23"/>
        <w:numPr>
          <w:ilvl w:val="0"/>
          <w:numId w:val="43"/>
        </w:numPr>
        <w:spacing w:before="120" w:after="120" w:line="257" w:lineRule="auto"/>
        <w:ind w:hanging="360"/>
        <w:jc w:val="both"/>
        <w:textAlignment w:val="baseline"/>
        <w:rPr>
          <w:rFonts w:ascii="Times New Roman" w:eastAsia="Times New Roman" w:hAnsi="Times New Roman" w:cs="Times New Roman"/>
          <w:noProof/>
        </w:rPr>
      </w:pPr>
      <w:r>
        <w:rPr>
          <w:noProof/>
        </w:rPr>
        <w:t>Die Anforderung, dass die Endbegünstigten des Programms keine Unterstützung aus anderen Unionsinstrumenten erhalten dürfen, um dieselben Kosten zu decken.</w:t>
      </w:r>
    </w:p>
    <w:p w14:paraId="7BEAD9C6" w14:textId="51367268" w:rsidR="00EB245A" w:rsidRDefault="006021EE">
      <w:pPr>
        <w:pStyle w:val="P68B1DB1-ListParagraph23"/>
        <w:numPr>
          <w:ilvl w:val="0"/>
          <w:numId w:val="42"/>
        </w:numPr>
        <w:spacing w:before="120" w:after="120" w:line="257" w:lineRule="auto"/>
        <w:contextualSpacing w:val="0"/>
        <w:jc w:val="both"/>
        <w:rPr>
          <w:rFonts w:eastAsia="Times" w:cs="Times"/>
          <w:noProof/>
        </w:rPr>
      </w:pPr>
      <w:r>
        <w:rPr>
          <w:noProof/>
        </w:rPr>
        <w:t>Den unter die Durchführungsvereinbarung fallenden Betrag, die Gebühre</w:t>
      </w:r>
      <w:r>
        <w:rPr>
          <w:noProof/>
        </w:rPr>
        <w:t>nstruktur für den Durchführungspartner und die Anforderung, nicht verwendete Erlöse aus der Regelung, auch nach 2026, für dieselben politischen Zwecke zu verwenden.</w:t>
      </w:r>
    </w:p>
    <w:p w14:paraId="7628C77B" w14:textId="51EBF78F" w:rsidR="00EB245A" w:rsidRDefault="006021EE">
      <w:pPr>
        <w:pStyle w:val="P68B1DB1-ListParagraph23"/>
        <w:numPr>
          <w:ilvl w:val="0"/>
          <w:numId w:val="42"/>
        </w:numPr>
        <w:spacing w:before="120" w:after="120" w:line="257" w:lineRule="auto"/>
        <w:contextualSpacing w:val="0"/>
        <w:jc w:val="both"/>
        <w:rPr>
          <w:rFonts w:eastAsia="Times" w:cs="Times"/>
          <w:noProof/>
        </w:rPr>
      </w:pPr>
      <w:r>
        <w:rPr>
          <w:noProof/>
        </w:rPr>
        <w:t>Überwachungs-, Audit- und Kontrollanforderungen, einschließlich:</w:t>
      </w:r>
    </w:p>
    <w:p w14:paraId="5BE2197D" w14:textId="40E4A35B" w:rsidR="00EB245A" w:rsidRDefault="006021EE">
      <w:pPr>
        <w:pStyle w:val="P68B1DB1-Normal24"/>
        <w:numPr>
          <w:ilvl w:val="1"/>
          <w:numId w:val="42"/>
        </w:numPr>
        <w:spacing w:before="120" w:after="120" w:line="240" w:lineRule="auto"/>
        <w:jc w:val="both"/>
        <w:rPr>
          <w:rFonts w:cs="Times New Roman"/>
          <w:noProof/>
        </w:rPr>
      </w:pPr>
      <w:r>
        <w:rPr>
          <w:noProof/>
        </w:rPr>
        <w:t>Die Beschreibung des Überw</w:t>
      </w:r>
      <w:r>
        <w:rPr>
          <w:noProof/>
        </w:rPr>
        <w:t>achungssystems des Durchführungspartners zur Berichterstattung über die mobilisierten Zuschüsse.</w:t>
      </w:r>
    </w:p>
    <w:p w14:paraId="7B0EA09E" w14:textId="637922AA" w:rsidR="00EB245A" w:rsidRDefault="006021EE">
      <w:pPr>
        <w:pStyle w:val="P68B1DB1-Normal24"/>
        <w:numPr>
          <w:ilvl w:val="1"/>
          <w:numId w:val="42"/>
        </w:numPr>
        <w:spacing w:before="120" w:after="120" w:line="256" w:lineRule="auto"/>
        <w:jc w:val="both"/>
        <w:rPr>
          <w:rFonts w:cs="Times New Roman"/>
          <w:noProof/>
        </w:rPr>
      </w:pPr>
      <w:r>
        <w:rPr>
          <w:noProof/>
        </w:rPr>
        <w:t xml:space="preserve">Die Beschreibung der Verfahren des Durchführungspartners, mit denen die Prävention, Aufdeckung und Behebung von Betrug, Korruption und Interessenkonflikten sichergestellt wird. </w:t>
      </w:r>
    </w:p>
    <w:p w14:paraId="068DDB3F" w14:textId="187251FD" w:rsidR="00EB245A" w:rsidRDefault="006021EE">
      <w:pPr>
        <w:pStyle w:val="P68B1DB1-Normal24"/>
        <w:numPr>
          <w:ilvl w:val="1"/>
          <w:numId w:val="42"/>
        </w:numPr>
        <w:spacing w:before="120" w:after="120" w:line="256" w:lineRule="auto"/>
        <w:jc w:val="both"/>
        <w:rPr>
          <w:rFonts w:cs="Times New Roman"/>
          <w:noProof/>
        </w:rPr>
      </w:pPr>
      <w:r>
        <w:rPr>
          <w:noProof/>
        </w:rPr>
        <w:t>Die Verpflichtung, die Förderfähigkeit jedes Vorhabens im Einklang mit den Anf</w:t>
      </w:r>
      <w:r>
        <w:rPr>
          <w:noProof/>
        </w:rPr>
        <w:t>orderungen des Durchführungsübereinkommens zu überprüfen, bevor ein Zuschuss für eine Maßnahme gewährt wird.</w:t>
      </w:r>
    </w:p>
    <w:p w14:paraId="44462EDA" w14:textId="5C05DAA0" w:rsidR="00EB245A" w:rsidRDefault="006021EE">
      <w:pPr>
        <w:pStyle w:val="P68B1DB1-Normal24"/>
        <w:numPr>
          <w:ilvl w:val="1"/>
          <w:numId w:val="42"/>
        </w:numPr>
        <w:spacing w:before="120" w:after="120" w:line="240" w:lineRule="auto"/>
        <w:jc w:val="both"/>
        <w:rPr>
          <w:rFonts w:cs="Times New Roman"/>
          <w:noProof/>
        </w:rPr>
      </w:pPr>
      <w:r>
        <w:rPr>
          <w:noProof/>
        </w:rPr>
        <w:t>Die Verpflichtung zur Durchführung risikobasierter Ex-post-Prüfungen gemäß einem Prüfplan der BGK. Bei diesen Prüfungen wird überprüft, i) ob die K</w:t>
      </w:r>
      <w:r>
        <w:rPr>
          <w:noProof/>
        </w:rPr>
        <w:t xml:space="preserve">ontrollsysteme wirksam sind, einschließlich der Aufdeckung von Betrug, Korruption und Interessenkonflikten; II) Einhaltung des DNSH-Grundsatzes und der Vorschriften über staatliche Beihilfen; und iii) die Anforderung, dass die Endbegünstigten der Regelung </w:t>
      </w:r>
      <w:r>
        <w:rPr>
          <w:noProof/>
        </w:rPr>
        <w:t>keine Unterstützung aus anderen Unionsinstrumenten erhalten haben, um dieselben Kosten zu decken, eingehalten wird. Bei den Prüfungen wird auch überprüft, ob die Transaktionen rechtmäßig sind und ob die Bedingungen des geltenden Durchführungsübereinkommens</w:t>
      </w:r>
      <w:r>
        <w:rPr>
          <w:noProof/>
        </w:rPr>
        <w:t xml:space="preserve"> und der Finanzhilfevereinbarungen eingehalten werden. </w:t>
      </w:r>
    </w:p>
    <w:p w14:paraId="45BEB7AE" w14:textId="1D27A8B6" w:rsidR="00EB245A" w:rsidRDefault="006021EE">
      <w:pPr>
        <w:pStyle w:val="P68B1DB1-Normal25"/>
        <w:spacing w:before="120" w:after="120"/>
        <w:jc w:val="both"/>
        <w:rPr>
          <w:rFonts w:eastAsia="Times" w:cs="Times"/>
          <w:noProof/>
        </w:rPr>
      </w:pPr>
      <w:r>
        <w:rPr>
          <w:noProof/>
        </w:rPr>
        <w:t>Die Umsetzung der Maßnahme wird bis 31. August 2026 abgeschlossen sein.</w:t>
      </w:r>
    </w:p>
    <w:p w14:paraId="4C4CEA3D" w14:textId="4B51C9B7" w:rsidR="00EB245A" w:rsidRDefault="006021EE">
      <w:pPr>
        <w:rPr>
          <w:rFonts w:ascii="Times" w:eastAsia="Times" w:hAnsi="Times" w:cs="Times"/>
          <w:noProof/>
          <w:sz w:val="24"/>
        </w:rPr>
      </w:pPr>
      <w:r>
        <w:rPr>
          <w:noProof/>
        </w:rPr>
        <w:br w:type="page"/>
      </w:r>
    </w:p>
    <w:p w14:paraId="651B4A62" w14:textId="5F7E04D4" w:rsidR="00EB245A" w:rsidRDefault="006021EE">
      <w:pPr>
        <w:pStyle w:val="P68B1DB1-Normal015"/>
        <w:pBdr>
          <w:top w:val="nil"/>
          <w:left w:val="nil"/>
          <w:bottom w:val="nil"/>
          <w:right w:val="nil"/>
          <w:between w:val="nil"/>
        </w:pBdr>
        <w:spacing w:before="120" w:after="120" w:line="240" w:lineRule="auto"/>
        <w:jc w:val="both"/>
        <w:rPr>
          <w:rFonts w:eastAsia="Times New Roman" w:cs="Times New Roman"/>
          <w:noProof/>
          <w:color w:val="000000"/>
        </w:rPr>
      </w:pPr>
      <w:r>
        <w:rPr>
          <w:noProof/>
        </w:rPr>
        <w:t>B2.2.3 Bau von Offshore-Terminal-Infrastrukturen</w:t>
      </w:r>
    </w:p>
    <w:p w14:paraId="5FA858D3" w14:textId="77777777"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 xml:space="preserve">Ziel dieser Investition ist es, das Risiko einer verspäteten Umsetzung von </w:t>
      </w:r>
      <w:r>
        <w:rPr>
          <w:noProof/>
        </w:rPr>
        <w:t>Offshore-Windparkprojekten zu mindern und den ordnungsgemäßen Betrieb und die Sicherheit von Offshore-Windparks zu gewährleisten.</w:t>
      </w:r>
    </w:p>
    <w:p w14:paraId="6F97E84C" w14:textId="6BB2FD86" w:rsidR="00EB245A" w:rsidRDefault="006021EE">
      <w:pPr>
        <w:pStyle w:val="P68B1DB1-Normal06"/>
        <w:spacing w:before="120" w:after="120" w:line="240" w:lineRule="auto"/>
        <w:jc w:val="both"/>
        <w:rPr>
          <w:rFonts w:eastAsia="Times New Roman" w:cs="Times New Roman"/>
          <w:noProof/>
          <w:color w:val="000000"/>
        </w:rPr>
      </w:pPr>
      <w:r>
        <w:rPr>
          <w:noProof/>
        </w:rPr>
        <w:t>Die Investition besteht aus zwei Projekten. Das erste Projekt umfasst den Bau eines neuen Tiefwasserterminals speziell für die</w:t>
      </w:r>
      <w:r>
        <w:rPr>
          <w:noProof/>
        </w:rPr>
        <w:t xml:space="preserve"> Installation von Offshore-Windenergie. Das Terminal muss über mindestens zwei Betriebsliegeplätze verfügen: ein Liegeplatz für Offshore-Windkraftanlagenschiffe (die mindestens zwei Offshore-Jack-up-Schiffe aufnehmen) und ein ankommender Liegeplatz für Lo-</w:t>
      </w:r>
      <w:r>
        <w:rPr>
          <w:noProof/>
        </w:rPr>
        <w:t>Lo- und Ro-Ro-Schiffe, die Offshore-Windenergiekomponenten liefern. Das zweite Projekt umfasst den Wiederaufbau von Häfen und den Zugang zu ihnen vom Meer aus (einschließlich der Modernisierung der Wellenbrecher). In den Häfen von Łeba, Ustka und Darłowo w</w:t>
      </w:r>
      <w:r>
        <w:rPr>
          <w:noProof/>
        </w:rPr>
        <w:t>erden drei Serviceterminals für Offshore-Windkraftanlagen, die eine wichtige Infrastruktur für die Instandhaltung von Offshore-Anlagen darstellen, ausgebaut und/oder ausgebaut.</w:t>
      </w:r>
    </w:p>
    <w:p w14:paraId="7775EF71" w14:textId="6521C459" w:rsidR="00EB245A" w:rsidRDefault="006021EE">
      <w:pPr>
        <w:pStyle w:val="P68B1DB1-Normal06"/>
        <w:spacing w:before="120" w:after="120" w:line="240" w:lineRule="auto"/>
        <w:jc w:val="both"/>
        <w:rPr>
          <w:rFonts w:eastAsia="Times New Roman" w:cs="Times New Roman"/>
          <w:noProof/>
          <w:color w:val="000000"/>
        </w:rPr>
      </w:pPr>
      <w:r>
        <w:rPr>
          <w:noProof/>
        </w:rPr>
        <w:t>Die Investition in Offshore-Serviceterminals in Łeba, Ustka und Darłowo muss bi</w:t>
      </w:r>
      <w:r>
        <w:rPr>
          <w:noProof/>
        </w:rPr>
        <w:t>s zum 30. Juni 2026 und das Offshore-Anlagenterminal bis zum 31. August 2026 abgeschlossen sein.</w:t>
      </w:r>
    </w:p>
    <w:p w14:paraId="38C1F859"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rPr>
      </w:pPr>
    </w:p>
    <w:p w14:paraId="5C36445B" w14:textId="77777777" w:rsidR="00EB245A" w:rsidRDefault="006021EE">
      <w:pPr>
        <w:pStyle w:val="P68B1DB1-Normal015"/>
        <w:pBdr>
          <w:top w:val="nil"/>
          <w:left w:val="nil"/>
          <w:bottom w:val="nil"/>
          <w:right w:val="nil"/>
          <w:between w:val="nil"/>
        </w:pBdr>
        <w:spacing w:before="120" w:after="120" w:line="240" w:lineRule="auto"/>
        <w:jc w:val="both"/>
        <w:rPr>
          <w:rFonts w:eastAsia="Times New Roman" w:cs="Times New Roman"/>
          <w:noProof/>
          <w:color w:val="000000"/>
        </w:rPr>
      </w:pPr>
      <w:r>
        <w:rPr>
          <w:noProof/>
        </w:rPr>
        <w:t>B3.1 Unterstützung einer nachhaltigen Wasser- und Abwasserbewirtschaftung in ländlichen Gebieten</w:t>
      </w:r>
    </w:p>
    <w:p w14:paraId="7DFF3EF4" w14:textId="7FE64ED6"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Ziel der Reform ist es, sicherzustellen, dass alternative Lösungen für die Wasser- und Abwasserbewirtschaftung, wie z. B. einzelne Kläranlagen oder Klärgruben, ordnungsgemäß überwacht, gewartet und kontrolliert werden, um eine Verschlechterung zu verhinder</w:t>
      </w:r>
      <w:r>
        <w:rPr>
          <w:noProof/>
        </w:rPr>
        <w:t xml:space="preserve">n. </w:t>
      </w:r>
    </w:p>
    <w:p w14:paraId="4439983E" w14:textId="3066C4AF"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Die Reform besteht darin, dass die Gemeinden verpflichtet werden, Instrumente einzusetzen, um unsachgemäße Abwasserentsorgung zu verhindern, und den Mechanismus der sogenannten Ersatzleistung einzuführen, d. h. die Entleerung von Klärgruben durch die G</w:t>
      </w:r>
      <w:r>
        <w:rPr>
          <w:noProof/>
        </w:rPr>
        <w:t>emeinde zu organisieren, die für Eigentümer gilt, die keine Verträge über die Entleerung von Klärgruben geschlossen haben. Ferner wird eine Verpflichtung zur Durchführung regelmäßiger Kontrollen und ein wirksamer Durchsetzungsmechanismus eingeführt.</w:t>
      </w:r>
    </w:p>
    <w:p w14:paraId="1606FD51" w14:textId="7BD77C84" w:rsidR="00EB245A" w:rsidRDefault="006021EE">
      <w:pPr>
        <w:pStyle w:val="P68B1DB1-Normal06"/>
        <w:pBdr>
          <w:top w:val="nil"/>
          <w:left w:val="nil"/>
          <w:bottom w:val="nil"/>
          <w:right w:val="nil"/>
          <w:between w:val="nil"/>
        </w:pBdr>
        <w:spacing w:line="240" w:lineRule="auto"/>
        <w:jc w:val="both"/>
        <w:rPr>
          <w:rFonts w:eastAsia="Times New Roman" w:cs="Times New Roman"/>
          <w:noProof/>
          <w:color w:val="000000"/>
        </w:rPr>
      </w:pPr>
      <w:r>
        <w:rPr>
          <w:noProof/>
        </w:rPr>
        <w:t xml:space="preserve">Die Durchführung dieser Maßnahme muss bis zum 30. Juni 2022 abgeschlossen sein. </w:t>
      </w:r>
    </w:p>
    <w:p w14:paraId="090EE4F2" w14:textId="77777777" w:rsidR="00EB245A" w:rsidRDefault="006021EE">
      <w:pPr>
        <w:pStyle w:val="P68B1DB1-Normal06"/>
        <w:pBdr>
          <w:top w:val="nil"/>
          <w:left w:val="nil"/>
          <w:bottom w:val="nil"/>
          <w:right w:val="nil"/>
          <w:between w:val="nil"/>
        </w:pBdr>
        <w:spacing w:line="240" w:lineRule="auto"/>
        <w:jc w:val="both"/>
        <w:rPr>
          <w:rFonts w:eastAsia="Times New Roman" w:cs="Times New Roman"/>
          <w:noProof/>
          <w:color w:val="000000"/>
        </w:rPr>
      </w:pPr>
      <w:r>
        <w:rPr>
          <w:noProof/>
        </w:rPr>
        <w:t>Mit der Reform werden auch territoriale Kriterien für die Auswahl der Begünstigten von Unterstützung für Wasserversorgungs- oder Abwasserinvestitionen in ländlichen Gebieten f</w:t>
      </w:r>
      <w:r>
        <w:rPr>
          <w:noProof/>
        </w:rPr>
        <w:t>estgelegt. Bei den Auswahlkriterien wird den Gemeinden Vorrang eingeräumt, die am wenigsten in der Lage sind, Investitionen aus eigenen Mitteln zu finanzieren, und Projekten, die das größte Potenzial zur Abmilderung bestehender negativer Umweltauswirkungen</w:t>
      </w:r>
      <w:r>
        <w:rPr>
          <w:noProof/>
        </w:rPr>
        <w:t xml:space="preserve"> aufweisen. </w:t>
      </w:r>
    </w:p>
    <w:p w14:paraId="56225A1A" w14:textId="7B07F3B5"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Die Durchführung dieser Maßnahme sollte bis zum 31. Dezember 2021 abgeschlossen sein.</w:t>
      </w:r>
    </w:p>
    <w:p w14:paraId="0C8FE7CE"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u w:val="single"/>
        </w:rPr>
      </w:pPr>
    </w:p>
    <w:p w14:paraId="339AD8CD" w14:textId="77777777" w:rsidR="00EB245A" w:rsidRDefault="006021EE">
      <w:pPr>
        <w:pStyle w:val="P68B1DB1-Normal015"/>
        <w:pBdr>
          <w:top w:val="nil"/>
          <w:left w:val="nil"/>
          <w:bottom w:val="nil"/>
          <w:right w:val="nil"/>
          <w:between w:val="nil"/>
        </w:pBdr>
        <w:spacing w:before="120" w:after="120" w:line="240" w:lineRule="auto"/>
        <w:jc w:val="both"/>
        <w:rPr>
          <w:rFonts w:eastAsia="Times New Roman" w:cs="Times New Roman"/>
          <w:noProof/>
          <w:color w:val="000000"/>
        </w:rPr>
      </w:pPr>
      <w:r>
        <w:rPr>
          <w:noProof/>
        </w:rPr>
        <w:t>B3.1.1 Investitionen in eine nachhaltige Wasser- und Abwasserbewirtschaftung in ländlichen Gebieten</w:t>
      </w:r>
    </w:p>
    <w:p w14:paraId="2D04966D" w14:textId="77777777"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 xml:space="preserve">Ziel dieser Investition ist es, die Verfügbarkeit von </w:t>
      </w:r>
      <w:r>
        <w:rPr>
          <w:noProof/>
        </w:rPr>
        <w:t>Wasser- und Abwasserinfrastruktur in ländlichen Gebieten mit den größten Defiziten zu erhöhen und die Lebensqualität in ländlichen Gebieten durch den Ausbau der Wasser- und Kanalisationsinfrastruktur zu verbessern. Die Investition zielt auch darauf ab, das</w:t>
      </w:r>
      <w:r>
        <w:rPr>
          <w:noProof/>
        </w:rPr>
        <w:t xml:space="preserve"> Investitionspotenzial ländlicher Gebiete zu erhöhen. </w:t>
      </w:r>
    </w:p>
    <w:p w14:paraId="0C56EA90" w14:textId="128BDF89"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rPr>
      </w:pPr>
      <w:r>
        <w:rPr>
          <w:noProof/>
        </w:rPr>
        <w:t xml:space="preserve">Die Investition besteht in der Unterstützung </w:t>
      </w:r>
      <w:r>
        <w:rPr>
          <w:noProof/>
          <w:u w:val="single"/>
        </w:rPr>
        <w:t xml:space="preserve"> </w:t>
      </w:r>
      <w:r>
        <w:rPr>
          <w:noProof/>
        </w:rPr>
        <w:t>des Baus, des Ausbaus oder der Modernisierung von Wasserversorgungs- oder Abwasserentsorgungssystemen in ländlichen Gebieten und führt zu einer Zunahme der</w:t>
      </w:r>
      <w:r>
        <w:rPr>
          <w:noProof/>
        </w:rPr>
        <w:t xml:space="preserve"> ländlichen Bevölkerung, die die Infrastruktur für die Wasserversorgung und Abwasserentsorgung nutzt. Gefördert werden auch Maßnahmen zur Förderung einer rationellen Wasser- und Abwasserbewirtschaftung. Im Rahmen der Investition muss es möglich sein, Infra</w:t>
      </w:r>
      <w:r>
        <w:rPr>
          <w:noProof/>
        </w:rPr>
        <w:t>struktur mithilfe digitaler Lösungen zu kofinanzieren, z. B. die Installation/den Austausch von Wasserzählern für Fernlesegeräte und die Schaffung elektronischer Systeme für die Wasser- und Kanalverwaltung. Alternative Lösungen für die Infrastruktur für di</w:t>
      </w:r>
      <w:r>
        <w:rPr>
          <w:noProof/>
        </w:rPr>
        <w:t xml:space="preserve">e Wasserversorgung und Abwasserbehandlung in ländlichen Gebieten (wie die Kombination von kollektivem System mit Klärgruben oder einzelnen Anlagen) sind in Betracht zu ziehen. </w:t>
      </w:r>
    </w:p>
    <w:p w14:paraId="5FAB60C8" w14:textId="552EEC4E"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Die Durchführung der Investition muss bis zum 31. Dezember 2025 abgeschlossen s</w:t>
      </w:r>
      <w:r>
        <w:rPr>
          <w:noProof/>
        </w:rPr>
        <w:t xml:space="preserve">ein. </w:t>
      </w:r>
    </w:p>
    <w:p w14:paraId="55D4CE2A"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rPr>
        <w:sectPr w:rsidR="00EB245A" w:rsidSect="005E6922">
          <w:headerReference w:type="even" r:id="rId55"/>
          <w:headerReference w:type="default" r:id="rId56"/>
          <w:footerReference w:type="even" r:id="rId57"/>
          <w:footerReference w:type="default" r:id="rId58"/>
          <w:headerReference w:type="first" r:id="rId59"/>
          <w:footerReference w:type="first" r:id="rId60"/>
          <w:pgSz w:w="11907" w:h="16839"/>
          <w:pgMar w:top="1134" w:right="1134" w:bottom="1134" w:left="1134" w:header="567" w:footer="567" w:gutter="0"/>
          <w:cols w:space="720"/>
          <w:docGrid w:linePitch="299"/>
        </w:sectPr>
      </w:pPr>
    </w:p>
    <w:p w14:paraId="41004F19" w14:textId="184E8F69" w:rsidR="00EB245A" w:rsidRDefault="006021E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rPr>
      </w:pPr>
      <w:r>
        <w:rPr>
          <w:rFonts w:ascii="Times New Roman" w:hAnsi="Times New Roman"/>
          <w:b/>
          <w:noProof/>
          <w:color w:val="000000"/>
          <w:sz w:val="24"/>
        </w:rPr>
        <w:t xml:space="preserve">B.2. </w:t>
      </w:r>
      <w:r>
        <w:rPr>
          <w:noProof/>
        </w:rPr>
        <w:t xml:space="preserve"> </w:t>
      </w:r>
      <w:r>
        <w:rPr>
          <w:rFonts w:ascii="Times New Roman" w:hAnsi="Times New Roman"/>
          <w:b/>
          <w:noProof/>
          <w:color w:val="000000"/>
          <w:sz w:val="24"/>
        </w:rPr>
        <w:t>Etappenziele, Zielwerte, Indikatoren und Zeitplan für die Überwachung und Durchführung der nicht rückzahlbaren finanziellen Unterstützung</w:t>
      </w:r>
    </w:p>
    <w:tbl>
      <w:tblPr>
        <w:tblW w:w="15027" w:type="dxa"/>
        <w:tblInd w:w="-4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830"/>
        <w:gridCol w:w="1763"/>
        <w:gridCol w:w="1235"/>
        <w:gridCol w:w="1753"/>
        <w:gridCol w:w="1933"/>
        <w:gridCol w:w="1134"/>
        <w:gridCol w:w="1417"/>
        <w:gridCol w:w="993"/>
        <w:gridCol w:w="850"/>
        <w:gridCol w:w="709"/>
        <w:gridCol w:w="2410"/>
      </w:tblGrid>
      <w:tr w:rsidR="00EB245A" w14:paraId="3F7835F8" w14:textId="77777777" w:rsidTr="0028767D">
        <w:trPr>
          <w:trHeight w:val="939"/>
          <w:tblHeader/>
        </w:trPr>
        <w:tc>
          <w:tcPr>
            <w:tcW w:w="830" w:type="dxa"/>
            <w:vMerge w:val="restart"/>
            <w:shd w:val="clear" w:color="auto" w:fill="BDD7EE"/>
            <w:vAlign w:val="center"/>
          </w:tcPr>
          <w:p w14:paraId="29A4853F" w14:textId="0AF968B9"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Lfd. Nr. Nr.</w:t>
            </w:r>
          </w:p>
        </w:tc>
        <w:tc>
          <w:tcPr>
            <w:tcW w:w="1763" w:type="dxa"/>
            <w:vMerge w:val="restart"/>
            <w:shd w:val="clear" w:color="auto" w:fill="BDD7EE"/>
            <w:vAlign w:val="center"/>
          </w:tcPr>
          <w:p w14:paraId="2B943291"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 xml:space="preserve">Verbundene Maßnahme (Reform oder </w:t>
            </w:r>
            <w:r>
              <w:rPr>
                <w:noProof/>
              </w:rPr>
              <w:t>Investition)</w:t>
            </w:r>
          </w:p>
        </w:tc>
        <w:tc>
          <w:tcPr>
            <w:tcW w:w="1235" w:type="dxa"/>
            <w:vMerge w:val="restart"/>
            <w:shd w:val="clear" w:color="auto" w:fill="BDD7EE"/>
            <w:vAlign w:val="center"/>
          </w:tcPr>
          <w:p w14:paraId="7CC8C155"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Etappenziel/Zielwert</w:t>
            </w:r>
          </w:p>
        </w:tc>
        <w:tc>
          <w:tcPr>
            <w:tcW w:w="1753" w:type="dxa"/>
            <w:vMerge w:val="restart"/>
            <w:shd w:val="clear" w:color="auto" w:fill="BDD7EE"/>
            <w:vAlign w:val="center"/>
          </w:tcPr>
          <w:p w14:paraId="69C41B3B"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Namen</w:t>
            </w:r>
          </w:p>
        </w:tc>
        <w:tc>
          <w:tcPr>
            <w:tcW w:w="1933" w:type="dxa"/>
            <w:vMerge w:val="restart"/>
            <w:shd w:val="clear" w:color="auto" w:fill="BDD7EE"/>
            <w:vAlign w:val="center"/>
          </w:tcPr>
          <w:p w14:paraId="455F9133" w14:textId="77777777" w:rsidR="00EB245A" w:rsidRDefault="006021EE">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rPr>
            </w:pPr>
            <w:r>
              <w:rPr>
                <w:rFonts w:ascii="Times New Roman" w:hAnsi="Times New Roman"/>
                <w:b/>
                <w:noProof/>
                <w:color w:val="000000"/>
                <w:sz w:val="18"/>
              </w:rPr>
              <w:t>Etappenziel/Zielwert</w:t>
            </w:r>
            <w:r>
              <w:rPr>
                <w:noProof/>
              </w:rPr>
              <w:t xml:space="preserve">  </w:t>
            </w:r>
            <w:r>
              <w:rPr>
                <w:noProof/>
              </w:rPr>
              <w:br/>
            </w:r>
            <w:r>
              <w:rPr>
                <w:rFonts w:ascii="Times New Roman" w:hAnsi="Times New Roman"/>
                <w:b/>
                <w:noProof/>
                <w:color w:val="000000"/>
                <w:sz w:val="18"/>
              </w:rPr>
              <w:t>(für Etappenziele)</w:t>
            </w:r>
          </w:p>
        </w:tc>
        <w:tc>
          <w:tcPr>
            <w:tcW w:w="3544" w:type="dxa"/>
            <w:gridSpan w:val="3"/>
            <w:shd w:val="clear" w:color="auto" w:fill="BDD7EE"/>
            <w:vAlign w:val="center"/>
          </w:tcPr>
          <w:p w14:paraId="781DE8B5" w14:textId="77777777" w:rsidR="00EB245A" w:rsidRDefault="006021EE">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rPr>
            </w:pPr>
            <w:r>
              <w:rPr>
                <w:rFonts w:ascii="Times New Roman" w:hAnsi="Times New Roman"/>
                <w:b/>
                <w:noProof/>
                <w:color w:val="000000"/>
                <w:sz w:val="18"/>
              </w:rPr>
              <w:t>Qualitative Indikatoren (für Etappenziele)</w:t>
            </w:r>
            <w:r>
              <w:rPr>
                <w:noProof/>
              </w:rPr>
              <w:t xml:space="preserve">  </w:t>
            </w:r>
            <w:r>
              <w:rPr>
                <w:noProof/>
              </w:rPr>
              <w:br/>
            </w:r>
            <w:r>
              <w:rPr>
                <w:rFonts w:ascii="Times New Roman" w:hAnsi="Times New Roman"/>
                <w:b/>
                <w:noProof/>
                <w:color w:val="000000"/>
                <w:sz w:val="18"/>
              </w:rPr>
              <w:t>(für Ziele)</w:t>
            </w:r>
          </w:p>
        </w:tc>
        <w:tc>
          <w:tcPr>
            <w:tcW w:w="1559" w:type="dxa"/>
            <w:gridSpan w:val="2"/>
            <w:shd w:val="clear" w:color="auto" w:fill="BDD7EE"/>
            <w:vAlign w:val="center"/>
          </w:tcPr>
          <w:p w14:paraId="6B203C72"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 xml:space="preserve">Vorläufiger Zeitplan für die Fertigstellung </w:t>
            </w:r>
          </w:p>
        </w:tc>
        <w:tc>
          <w:tcPr>
            <w:tcW w:w="2410" w:type="dxa"/>
            <w:vMerge w:val="restart"/>
            <w:shd w:val="clear" w:color="auto" w:fill="BDD7EE"/>
            <w:vAlign w:val="center"/>
          </w:tcPr>
          <w:p w14:paraId="5AC1046A"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Beschreibung der einzelnen Etappenziele und Zielvorgaben</w:t>
            </w:r>
          </w:p>
        </w:tc>
      </w:tr>
      <w:tr w:rsidR="00EB245A" w14:paraId="2D99E2F5" w14:textId="77777777" w:rsidTr="0028767D">
        <w:trPr>
          <w:trHeight w:val="489"/>
        </w:trPr>
        <w:tc>
          <w:tcPr>
            <w:tcW w:w="830" w:type="dxa"/>
            <w:vMerge/>
            <w:vAlign w:val="center"/>
          </w:tcPr>
          <w:p w14:paraId="67C0C651"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763" w:type="dxa"/>
            <w:vMerge/>
            <w:vAlign w:val="center"/>
          </w:tcPr>
          <w:p w14:paraId="308D56CC"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235" w:type="dxa"/>
            <w:vMerge/>
            <w:vAlign w:val="center"/>
          </w:tcPr>
          <w:p w14:paraId="797E50C6"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753" w:type="dxa"/>
            <w:vMerge/>
            <w:vAlign w:val="center"/>
          </w:tcPr>
          <w:p w14:paraId="7B04FA47"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933" w:type="dxa"/>
            <w:vMerge/>
            <w:vAlign w:val="center"/>
          </w:tcPr>
          <w:p w14:paraId="568C698B"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134" w:type="dxa"/>
            <w:shd w:val="clear" w:color="auto" w:fill="BDD7EE"/>
            <w:vAlign w:val="center"/>
          </w:tcPr>
          <w:p w14:paraId="067DD0AB"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Maßeinheit</w:t>
            </w:r>
          </w:p>
        </w:tc>
        <w:tc>
          <w:tcPr>
            <w:tcW w:w="1417" w:type="dxa"/>
            <w:shd w:val="clear" w:color="auto" w:fill="BDD7EE"/>
            <w:vAlign w:val="center"/>
          </w:tcPr>
          <w:p w14:paraId="43F43E50"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 xml:space="preserve">Ausgangslage </w:t>
            </w:r>
          </w:p>
        </w:tc>
        <w:tc>
          <w:tcPr>
            <w:tcW w:w="993" w:type="dxa"/>
            <w:shd w:val="clear" w:color="auto" w:fill="BDD7EE"/>
            <w:vAlign w:val="center"/>
          </w:tcPr>
          <w:p w14:paraId="21A36EB4"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Ziel</w:t>
            </w:r>
          </w:p>
        </w:tc>
        <w:tc>
          <w:tcPr>
            <w:tcW w:w="850" w:type="dxa"/>
            <w:shd w:val="clear" w:color="auto" w:fill="BDD7EE"/>
            <w:vAlign w:val="center"/>
          </w:tcPr>
          <w:p w14:paraId="4A95BF68"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Viertel</w:t>
            </w:r>
          </w:p>
        </w:tc>
        <w:tc>
          <w:tcPr>
            <w:tcW w:w="709" w:type="dxa"/>
            <w:shd w:val="clear" w:color="auto" w:fill="BDD7EE"/>
            <w:vAlign w:val="center"/>
          </w:tcPr>
          <w:p w14:paraId="2F79DAA1"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Jahre</w:t>
            </w:r>
          </w:p>
        </w:tc>
        <w:tc>
          <w:tcPr>
            <w:tcW w:w="2410" w:type="dxa"/>
            <w:vMerge/>
            <w:vAlign w:val="center"/>
          </w:tcPr>
          <w:p w14:paraId="1A939487"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r>
      <w:tr w:rsidR="0028767D" w14:paraId="29E0A413" w14:textId="77777777" w:rsidTr="0028767D">
        <w:trPr>
          <w:trHeight w:val="313"/>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1B2963F" w14:textId="39867EE7"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B1G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0A2816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B1.1 Saubere Luft und Energieeffizienz</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CFD43EE"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Meilenstein</w:t>
            </w:r>
          </w:p>
        </w:tc>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16F312" w14:textId="014FB39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Inkrafttreten eines Rechtsakts zur Änderung des Energieeffizienzgesetzes und der damit verbundenen Gesetzgebungsakte</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8F5D5ED" w14:textId="2DCDC97E"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Bestimmung des Gesetzes zur Änderung </w:t>
            </w:r>
            <w:r>
              <w:rPr>
                <w:noProof/>
              </w:rPr>
              <w:t>des Energieeffizienzgesetzes und der damit verbundenen Gesetzgebungsakte, aus der hervorgeht, dass es in Kraft tritt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CA9BCD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9F69F12"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5C72755"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0E8EBA0"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9A1ECBD"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4DE24E" w14:textId="27A497BE"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Inkrafttreten eines Gesetzes zur Änderung des Energieeffizienzgesetzes und der damit verbundenen Gesetzgebungsakte (Gesetz über die Unterstützung von Thermomodernisierung und Renovierungen sowie über das zentrale Emissionsregister von Gebäuden; das Gesetz </w:t>
            </w:r>
            <w:r>
              <w:rPr>
                <w:noProof/>
              </w:rPr>
              <w:t>über die finanzielle Unterstützung für die Schaffung von Mietwohnungen; das Gesetz über einige Formen der Wohnungsbauförderung; und das Gesetz über erneuerbare Energiequellen), das es den Einrichtungen, die unter das Energieeffizienzverpflichtungssystem fa</w:t>
            </w:r>
            <w:r>
              <w:rPr>
                <w:noProof/>
              </w:rPr>
              <w:t>llen, ermöglichen soll, Energieeinsparverpflichtungen im Rahmen sogenannter Subventionsprogramme zu erfüllen. Darin werden die Möglichkeiten der Nutzung von Energieleistungsverträgen im öffentlichen Sektor präzisiert. Sie ermöglicht es Energiedienstleistun</w:t>
            </w:r>
            <w:r>
              <w:rPr>
                <w:noProof/>
              </w:rPr>
              <w:t xml:space="preserve">gsunternehmen, sich an den Energieeffizienzverpflichtungssystemen zu beteiligen. </w:t>
            </w:r>
          </w:p>
        </w:tc>
      </w:tr>
      <w:tr w:rsidR="0028767D" w14:paraId="699BBC21" w14:textId="77777777" w:rsidTr="0028767D">
        <w:trPr>
          <w:trHeight w:val="313"/>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D2650BD" w14:textId="77BF494B"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B2G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DDEEB9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B1.1 Saubere Luft und Energieeffizienz</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A89A81"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Meilenstein</w:t>
            </w:r>
          </w:p>
        </w:tc>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FE2AE4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Aktualisierung des vorrangigen Programms „Saubere Luft“  </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F4E22B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Annahme von Änderungen des vorrangigen Programms „Saubere </w:t>
            </w:r>
            <w:r>
              <w:rPr>
                <w:noProof/>
              </w:rPr>
              <w:t>Luft“ durch den Nationalen Umweltschutzfonds, einschließlich Bestimmungen für die Unterstützung a) einkommensreicher Haushalte, insbesondere unter Beteiligung des Bankensektors, der Darlehen in Kombination mit Zuschüssen bereitstellt; B) einkommensschwache</w:t>
            </w:r>
            <w:r>
              <w:rPr>
                <w:noProof/>
              </w:rPr>
              <w:t xml:space="preserve"> Haushalte; C) Haushalte mit niedrigem Einkommen.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EC76D4" w14:textId="77777777" w:rsidR="00EB245A" w:rsidRDefault="006021EE">
            <w:pPr>
              <w:pStyle w:val="P68B1DB1-Normal012"/>
              <w:pBdr>
                <w:top w:val="nil"/>
                <w:left w:val="nil"/>
                <w:bottom w:val="nil"/>
                <w:right w:val="nil"/>
                <w:between w:val="nil"/>
              </w:pBdr>
              <w:spacing w:after="0" w:line="240" w:lineRule="auto"/>
              <w:rPr>
                <w:noProof/>
              </w:rPr>
            </w:pPr>
            <w:r>
              <w:rPr>
                <w:noProof/>
              </w:rPr>
              <w:t xml:space="preserve"> </w:t>
            </w:r>
          </w:p>
          <w:p w14:paraId="5286024D" w14:textId="77777777" w:rsidR="00EB245A" w:rsidRDefault="00EB245A">
            <w:pPr>
              <w:rPr>
                <w:noProof/>
              </w:rPr>
            </w:pPr>
          </w:p>
          <w:p w14:paraId="49323FCB" w14:textId="77777777" w:rsidR="00EB245A" w:rsidRDefault="00EB245A">
            <w:pPr>
              <w:rPr>
                <w:noProof/>
              </w:rPr>
            </w:pPr>
          </w:p>
          <w:p w14:paraId="7AE43392" w14:textId="77777777" w:rsidR="00EB245A" w:rsidRDefault="00EB245A">
            <w:pPr>
              <w:rPr>
                <w:noProof/>
              </w:rPr>
            </w:pPr>
          </w:p>
          <w:p w14:paraId="278229B4" w14:textId="77777777" w:rsidR="00EB245A" w:rsidRDefault="00EB245A">
            <w:pPr>
              <w:rPr>
                <w:noProof/>
              </w:rPr>
            </w:pPr>
          </w:p>
          <w:p w14:paraId="1481F630" w14:textId="77777777" w:rsidR="00EB245A" w:rsidRDefault="00EB245A">
            <w:pPr>
              <w:rPr>
                <w:rFonts w:ascii="Times New Roman" w:hAnsi="Times New Roman"/>
                <w:noProof/>
                <w:color w:val="000000"/>
                <w:sz w:val="18"/>
              </w:rPr>
            </w:pPr>
          </w:p>
          <w:p w14:paraId="7EC6DBB3" w14:textId="77777777" w:rsidR="00EB245A" w:rsidRDefault="00EB245A">
            <w:pPr>
              <w:rPr>
                <w:noProof/>
              </w:rPr>
            </w:pPr>
          </w:p>
          <w:p w14:paraId="0F4DF038" w14:textId="77777777" w:rsidR="00EB245A" w:rsidRDefault="00EB245A">
            <w:pPr>
              <w:rPr>
                <w:noProof/>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6B14421"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3694584"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DDE392A"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1A5C52D"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89F6FE9"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Der Nationale Umweltschutzfonds nimmt Änderungen des vorrangigen Programms „Saubere Luft“ im Einklang mit der langfristigen Renovierungsstrategie im Rahmen der Richtlinie über die </w:t>
            </w:r>
            <w:r>
              <w:rPr>
                <w:noProof/>
              </w:rPr>
              <w:t>Gesamtenergieeffizienz von Gebäuden an, einschließlich einer gezielten Unterstützung für a) Haushalte mit höherem Einkommen, insbesondere unter Beteiligung des Bankensektors, der Darlehen in Kombination mit Zuschüssen bereitstellt; B) einkommensschwache Ha</w:t>
            </w:r>
            <w:r>
              <w:rPr>
                <w:noProof/>
              </w:rPr>
              <w:t xml:space="preserve">ushalte; C) Haushalte mit dem niedrigsten Einkommen (im Einklang mit den geltenden Definitionen im vorrangigen Programm „Saubere Luft“. </w:t>
            </w:r>
          </w:p>
          <w:p w14:paraId="61C247E7" w14:textId="59AE902B"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Bis zum 31. März 2023 müssen die Bestimmungen zur gezielten Unterstützung der genannten Gruppen voll funktionsfähig sei</w:t>
            </w:r>
            <w:r>
              <w:rPr>
                <w:noProof/>
              </w:rPr>
              <w:t xml:space="preserve">n, und die Empfänger haben Zugang zu dieser Unterstützung. </w:t>
            </w:r>
          </w:p>
        </w:tc>
      </w:tr>
      <w:tr w:rsidR="0028767D" w14:paraId="62BDEBB8" w14:textId="77777777" w:rsidTr="0028767D">
        <w:trPr>
          <w:trHeight w:val="313"/>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894D1EF" w14:textId="006BB93D"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B3G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11F93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B1.1 Saubere Luft und Energieeffizienz</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F5E829"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Meilenstein</w:t>
            </w:r>
          </w:p>
        </w:tc>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30A7BB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Aktualisierung des nationalen Luftschutzprogramms </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C81A001"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Annahme des aktualisierten nationalen Luftschutzprogramms durch den Minister für Klima </w:t>
            </w:r>
            <w:r>
              <w:rPr>
                <w:noProof/>
              </w:rPr>
              <w:t>und Umwelt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7DFE56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D776A2"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62EDE1D"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67D6490"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73756FA"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B670D7" w14:textId="236E15D2" w:rsidR="00EB245A" w:rsidRDefault="006021EE">
            <w:pPr>
              <w:pStyle w:val="P68B1DB1-Normal011"/>
              <w:pBdr>
                <w:top w:val="nil"/>
                <w:left w:val="nil"/>
                <w:bottom w:val="nil"/>
                <w:right w:val="nil"/>
                <w:between w:val="nil"/>
              </w:pBdr>
              <w:spacing w:after="0" w:line="240" w:lineRule="auto"/>
              <w:rPr>
                <w:rFonts w:eastAsia="Times New Roman" w:cs="Times New Roman"/>
                <w:noProof/>
                <w:color w:val="000000"/>
              </w:rPr>
            </w:pPr>
            <w:r>
              <w:rPr>
                <w:noProof/>
                <w:color w:val="000000" w:themeColor="text1"/>
              </w:rPr>
              <w:t xml:space="preserve">Im nationalen Luftschutzprogramm werden neue Aufgaben festgelegt, die bis 2025, 2030 und 2040 auf nationaler, Provinz- und kommunaler Ebene durchzuführen sind: (1) Festlegung von Normen für Emissionsgebiete für Gemeinden, in denen die zulässigen NO2-Werte </w:t>
            </w:r>
            <w:r>
              <w:rPr>
                <w:noProof/>
                <w:color w:val="000000" w:themeColor="text1"/>
              </w:rPr>
              <w:t>überschritten wurden; (2) Verpflichtung der Woiwodschaften</w:t>
            </w:r>
            <w:r>
              <w:rPr>
                <w:noProof/>
              </w:rPr>
              <w:t>, in Städten</w:t>
            </w:r>
            <w:r>
              <w:rPr>
                <w:noProof/>
                <w:color w:val="000000" w:themeColor="text1"/>
              </w:rPr>
              <w:t>, in denen bestimmte Luftqualitätsnormen nicht eingehalten werden, Anti-Smog-Resolutionen zu verabschieden; (3) finanzielle Unterstützung der regionalen und lokalen Gebietskörperschaften</w:t>
            </w:r>
            <w:r>
              <w:rPr>
                <w:noProof/>
                <w:color w:val="000000" w:themeColor="text1"/>
              </w:rPr>
              <w:t xml:space="preserve"> zur Förderung der Durchführung der in den Anti-Smog-Resolutionen genannten Maßnahmen und zur Vorbereitung von Informationspunkten für Einwohner, die eine Finanzierung im Rahmen des Programms „Saubere Luft“ beantragen; (4) Einleitung der Aufgabe, die darin</w:t>
            </w:r>
            <w:r>
              <w:rPr>
                <w:noProof/>
                <w:color w:val="000000" w:themeColor="text1"/>
              </w:rPr>
              <w:t xml:space="preserve"> besteht, die Bestimmungen über das Kontrollsystem zur Durchsetzung der in Anti-Smog-Resolutionen festgelegten Aufgaben zu stärken; (5) Ausschluss neuer Kohleheizgeräte aus öffentlichen Förderprogrammen ab dem 1. Januar 2022. </w:t>
            </w:r>
          </w:p>
        </w:tc>
      </w:tr>
      <w:tr w:rsidR="0028767D" w14:paraId="0043C7D6" w14:textId="77777777" w:rsidTr="0028767D">
        <w:trPr>
          <w:trHeight w:val="1701"/>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7DDB69B" w14:textId="3FADF75B"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B4G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2F4EC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B1.1 Saubere Luft und </w:t>
            </w:r>
            <w:r>
              <w:rPr>
                <w:noProof/>
              </w:rPr>
              <w:t>Energieeffizienz</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B92EB44" w14:textId="424B2FA4"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Meilenstein</w:t>
            </w:r>
          </w:p>
        </w:tc>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024FDD0" w14:textId="3302460E"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Inkrafttreten einer Änderung der Verordnung des Ministers für Klima und Umwelt über Qualitätsnormen für feste Brennstoffe</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356496" w14:textId="4B032DEE"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Bestimmung in der Änderung der Verordnung über Qualitätsnormen für feste Brennstoffe über ihr Inkrafttret</w:t>
            </w:r>
            <w:r>
              <w:rPr>
                <w:noProof/>
              </w:rPr>
              <w:t>en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4968EE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CA9B4E8"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B1A4FAD"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C90E796"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9F1A918"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B0FA64" w14:textId="1C4896C3"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Die Änderung der Verordnung über feste Brennstoffe auf Kohlebasis tritt auf der Grundlage von Empfehlungen zu notwendigen oder empfohlenen Gesetzesänderungen, die von einem interministeriellen Team ausgearbeitet wurden, gefolgt von einer </w:t>
            </w:r>
            <w:r>
              <w:rPr>
                <w:noProof/>
              </w:rPr>
              <w:t>Konsultation der Vorschläge mit den Kammern der NRO und des Kohlesektors, in Kraft. Sie verbietet den Herstellern fester Kohlebrennstoffe die Verwendung irreführender Marken.</w:t>
            </w:r>
          </w:p>
        </w:tc>
      </w:tr>
      <w:tr w:rsidR="0028767D" w14:paraId="78514FBE" w14:textId="77777777" w:rsidTr="0028767D">
        <w:trPr>
          <w:trHeight w:val="964"/>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903278" w14:textId="33B6C52F" w:rsidR="00EB245A" w:rsidRDefault="006021EE">
            <w:pPr>
              <w:pStyle w:val="P68B1DB1-Normal011"/>
              <w:spacing w:line="240" w:lineRule="auto"/>
              <w:jc w:val="center"/>
              <w:rPr>
                <w:rFonts w:cs="Times New Roman"/>
                <w:noProof/>
              </w:rPr>
            </w:pPr>
            <w:r>
              <w:rPr>
                <w:noProof/>
              </w:rPr>
              <w:t>B5G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10B28CE" w14:textId="0C5F083D" w:rsidR="00EB245A" w:rsidRDefault="006021EE">
            <w:pPr>
              <w:pStyle w:val="P68B1DB1-Normal012"/>
              <w:spacing w:after="0" w:line="240" w:lineRule="auto"/>
              <w:rPr>
                <w:rFonts w:eastAsia="Times New Roman" w:cs="Times New Roman"/>
                <w:noProof/>
                <w:color w:val="000000" w:themeColor="text1"/>
              </w:rPr>
            </w:pPr>
            <w:r>
              <w:rPr>
                <w:noProof/>
              </w:rPr>
              <w:t>B1.1 Saubere Luft und Energieeffizienz</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2F50AF" w14:textId="19D1FD94" w:rsidR="00EB245A" w:rsidRDefault="006021EE">
            <w:pPr>
              <w:pStyle w:val="P68B1DB1-Normal012"/>
              <w:spacing w:line="240" w:lineRule="auto"/>
              <w:rPr>
                <w:rFonts w:eastAsia="Times New Roman" w:cs="Times New Roman"/>
                <w:noProof/>
                <w:color w:val="000000" w:themeColor="text1"/>
              </w:rPr>
            </w:pPr>
            <w:r>
              <w:rPr>
                <w:noProof/>
              </w:rPr>
              <w:t>Meilenstein</w:t>
            </w:r>
          </w:p>
        </w:tc>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19586E" w14:textId="7ECBEEEA" w:rsidR="00EB245A" w:rsidRDefault="006021EE">
            <w:pPr>
              <w:pStyle w:val="P68B1DB1-Normal012"/>
              <w:spacing w:after="0" w:line="240" w:lineRule="auto"/>
              <w:rPr>
                <w:rFonts w:eastAsia="Times New Roman" w:cs="Times New Roman"/>
                <w:noProof/>
                <w:color w:val="000000" w:themeColor="text1"/>
              </w:rPr>
            </w:pPr>
            <w:r>
              <w:rPr>
                <w:noProof/>
              </w:rPr>
              <w:t xml:space="preserve">Inkrafttreten der </w:t>
            </w:r>
            <w:r>
              <w:rPr>
                <w:noProof/>
              </w:rPr>
              <w:t>Verordnung zur Festlegung von Qualitätsnormen für feste Biomasse-Brennstoffe</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D89614" w14:textId="74A59A91" w:rsidR="00EB245A" w:rsidRDefault="006021EE">
            <w:pPr>
              <w:pStyle w:val="P68B1DB1-Normal012"/>
              <w:spacing w:after="0" w:line="240" w:lineRule="auto"/>
              <w:rPr>
                <w:rFonts w:eastAsia="Times New Roman" w:cs="Times New Roman"/>
                <w:noProof/>
                <w:color w:val="000000" w:themeColor="text1"/>
              </w:rPr>
            </w:pPr>
            <w:r>
              <w:rPr>
                <w:noProof/>
              </w:rPr>
              <w:t>Bestimmung in der Verordnung über Qualitätsnormen für feste Biomasse-Brennstoffe über ihr Inkrafttreten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BDAAB5" w14:textId="11E92EFD" w:rsidR="00EB245A" w:rsidRDefault="00EB245A">
            <w:pPr>
              <w:pStyle w:val="Normal0"/>
              <w:spacing w:line="240" w:lineRule="auto"/>
              <w:rPr>
                <w:rFonts w:ascii="Times New Roman" w:eastAsia="Times New Roman" w:hAnsi="Times New Roman" w:cs="Times New Roman"/>
                <w:noProof/>
                <w:color w:val="000000" w:themeColor="text1"/>
                <w:sz w:val="1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6D87707" w14:textId="1710D60C" w:rsidR="00EB245A" w:rsidRDefault="00EB245A">
            <w:pPr>
              <w:pStyle w:val="Normal0"/>
              <w:spacing w:line="240" w:lineRule="auto"/>
              <w:jc w:val="right"/>
              <w:rPr>
                <w:rFonts w:ascii="Times New Roman" w:eastAsia="Times New Roman" w:hAnsi="Times New Roman" w:cs="Times New Roman"/>
                <w:noProof/>
                <w:color w:val="000000" w:themeColor="text1"/>
                <w:sz w:val="1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AC6C3D" w14:textId="6376F1D5" w:rsidR="00EB245A" w:rsidRDefault="00EB245A">
            <w:pPr>
              <w:pStyle w:val="Normal0"/>
              <w:spacing w:line="240" w:lineRule="auto"/>
              <w:jc w:val="right"/>
              <w:rPr>
                <w:rFonts w:ascii="Times New Roman" w:eastAsia="Times New Roman" w:hAnsi="Times New Roman" w:cs="Times New Roman"/>
                <w:noProof/>
                <w:color w:val="000000" w:themeColor="text1"/>
                <w:sz w:val="1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7679676" w14:textId="78395894" w:rsidR="00EB245A" w:rsidRDefault="006021EE">
            <w:pPr>
              <w:pStyle w:val="P68B1DB1-Normal012"/>
              <w:spacing w:line="240" w:lineRule="auto"/>
              <w:jc w:val="center"/>
              <w:rPr>
                <w:rFonts w:eastAsia="Times New Roman" w:cs="Times New Roman"/>
                <w:noProof/>
                <w:color w:val="000000" w:themeColor="text1"/>
              </w:rPr>
            </w:pPr>
            <w:r>
              <w:rPr>
                <w:noProof/>
              </w:rPr>
              <w:t>Q3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5F59D66" w14:textId="1C76C695" w:rsidR="00EB245A" w:rsidRDefault="006021EE">
            <w:pPr>
              <w:pStyle w:val="Normal0"/>
              <w:spacing w:line="240" w:lineRule="auto"/>
              <w:jc w:val="center"/>
              <w:rPr>
                <w:rFonts w:ascii="Times New Roman" w:eastAsia="Times New Roman" w:hAnsi="Times New Roman" w:cs="Times New Roman"/>
                <w:noProof/>
                <w:color w:val="000000" w:themeColor="text1"/>
                <w:sz w:val="18"/>
              </w:rPr>
            </w:pPr>
            <w:r>
              <w:rPr>
                <w:rFonts w:ascii="Times New Roman" w:hAnsi="Times New Roman"/>
                <w:noProof/>
                <w:color w:val="000000" w:themeColor="text1"/>
                <w:sz w:val="18"/>
              </w:rPr>
              <w:t>2023</w:t>
            </w:r>
            <w:r>
              <w:rPr>
                <w:noProof/>
              </w:rPr>
              <w:tab/>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CA52289" w14:textId="18A1DC25" w:rsidR="00EB245A" w:rsidRDefault="006021EE">
            <w:pPr>
              <w:pStyle w:val="P68B1DB1-Normal012"/>
              <w:spacing w:line="240" w:lineRule="auto"/>
              <w:rPr>
                <w:rFonts w:eastAsia="Times New Roman" w:cs="Times New Roman"/>
                <w:noProof/>
                <w:color w:val="000000" w:themeColor="text1"/>
              </w:rPr>
            </w:pPr>
            <w:r>
              <w:rPr>
                <w:noProof/>
              </w:rPr>
              <w:t>In der Verordnung werden Qualitätsstandards für feste Biomasse-</w:t>
            </w:r>
            <w:r>
              <w:rPr>
                <w:noProof/>
              </w:rPr>
              <w:t xml:space="preserve">Brennstoffe, einschließlich Holzpellets, festgelegt. </w:t>
            </w:r>
          </w:p>
          <w:p w14:paraId="27E8B9C3" w14:textId="35D9FC77" w:rsidR="00EB245A" w:rsidRDefault="006021EE">
            <w:pPr>
              <w:pStyle w:val="P68B1DB1-Normal012"/>
              <w:spacing w:after="0" w:line="240" w:lineRule="auto"/>
              <w:rPr>
                <w:rFonts w:eastAsia="Times New Roman" w:cs="Times New Roman"/>
                <w:noProof/>
                <w:color w:val="000000" w:themeColor="text1"/>
              </w:rPr>
            </w:pPr>
            <w:r>
              <w:rPr>
                <w:noProof/>
              </w:rPr>
              <w:t>Die Verordnung verbietet den Herstellern fester Biomasse-Brennstoffe die Verwendung irreführender Marken.</w:t>
            </w:r>
          </w:p>
        </w:tc>
      </w:tr>
      <w:tr w:rsidR="0028767D" w14:paraId="28D094C4" w14:textId="77777777" w:rsidTr="0028767D">
        <w:trPr>
          <w:trHeight w:val="313"/>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CB3458" w14:textId="070FF250"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B6G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0EEC7B" w14:textId="4F43B6C4"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B1.1.1 Investitionen in Wärmequellen in Fernwärmeanlagen</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BF9F5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C9D0E8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T1 – Wärmequellen in </w:t>
            </w:r>
            <w:r>
              <w:rPr>
                <w:noProof/>
              </w:rPr>
              <w:t>Fernwärmesystemen </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07D18CE"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EE310A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D64A453"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AE91C80" w14:textId="77E236EC"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45 1.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4DB9FF"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90AA31F"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A596CB" w14:textId="69BB6839"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 der Wärmequellen, für die Verträge unterzeichnet wurden, die die DNSH-Anforderungen erfüllen. Die geförderten Technologien umfassen KWK-Blöcke, erneuerbare Energieträger (Solar, Geothermie, Bioenergie) und</w:t>
            </w:r>
            <w:r>
              <w:rPr>
                <w:noProof/>
              </w:rPr>
              <w:t xml:space="preserve"> Wärmepumpen. Der Schwellenwert von 250 g CO2/kWh erzeugte Energie darf bei keiner der geförderten Anlagen überschritten werden. Bei Anlagen, die Bioenergie nutzen, ist die Einhaltung der Richtlinie 2018/2001 aus erneuerbaren Quellen sicherzustellen. Ferne</w:t>
            </w:r>
            <w:r>
              <w:rPr>
                <w:noProof/>
              </w:rPr>
              <w:t>r ist sicherzustellen, dass das in der Pipeline betriebene Biogas/Biomethan die Kriterien der nachhaltigen Entwicklung und der Verringerung der Treibhausgasemissionen (gemäß der EE-Richtlinie) erfüllt.</w:t>
            </w:r>
          </w:p>
        </w:tc>
      </w:tr>
      <w:tr w:rsidR="0028767D" w14:paraId="1A8D8C09" w14:textId="77777777" w:rsidTr="0028767D">
        <w:trPr>
          <w:trHeight w:val="410"/>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EF93A77" w14:textId="09CFAD59"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B7G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4759C1A" w14:textId="73C7517F"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B1.1.1 Investitionen in Wärmequellen in </w:t>
            </w:r>
            <w:r>
              <w:rPr>
                <w:noProof/>
              </w:rPr>
              <w:t>Fernwärmeanlagen</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5AF96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C642D0"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T2 – Wärmequellen in Fernwärmesystemen </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5C4DA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BC66541"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14DE9C" w14:textId="3C61FD70" w:rsidR="00EB245A" w:rsidRDefault="006021EE">
            <w:pPr>
              <w:pStyle w:val="P68B1DB1-Normal012"/>
              <w:spacing w:after="0" w:line="240" w:lineRule="auto"/>
              <w:jc w:val="right"/>
              <w:rPr>
                <w:rFonts w:eastAsia="Times New Roman" w:cs="Times New Roman"/>
                <w:noProof/>
                <w:color w:val="000000" w:themeColor="text1"/>
              </w:rPr>
            </w:pPr>
            <w:r>
              <w:rPr>
                <w:noProof/>
              </w:rPr>
              <w:t>45 1.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AA05B6E"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90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61C868B"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8F8FD95"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6FEDA9A" w14:textId="4B87B330"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Das Ziel bezieht sich auf die Anzahl der Wärmequellen, für die Verträge unterzeichnet wurden, die die Anforderungen für Posten B6G erfüllen. </w:t>
            </w:r>
          </w:p>
        </w:tc>
      </w:tr>
      <w:tr w:rsidR="0028767D" w14:paraId="63207037" w14:textId="77777777" w:rsidTr="0028767D">
        <w:trPr>
          <w:trHeight w:val="313"/>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850DD93" w14:textId="2FF2290E"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B8G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246B436" w14:textId="05D9E2CC"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B1.1.2 Austausch von Wärmequellen und Verbesserung der Energieeffizienz in Einfamilienhäusern </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4818F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C50C5F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T1 – Austausch von Wärmequellen in Einfamiliengebäuden </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B970F6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AFFA88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081C80F"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9A76EAD" w14:textId="0AD81382"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250000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BB9A222"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C703BC" w14:textId="77777777" w:rsidR="00EB245A" w:rsidRDefault="006021EE">
            <w:pPr>
              <w:pStyle w:val="P68B1DB1-Normal012"/>
              <w:spacing w:after="0" w:line="240" w:lineRule="auto"/>
              <w:rPr>
                <w:rFonts w:eastAsia="Times New Roman" w:cs="Times New Roman"/>
                <w:noProof/>
                <w:color w:val="000000" w:themeColor="text1"/>
              </w:rPr>
            </w:pPr>
            <w:r>
              <w:rPr>
                <w:noProof/>
              </w:rPr>
              <w:t>2023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9D99B04" w14:textId="141C84B6" w:rsidR="00EB245A" w:rsidRDefault="006021EE">
            <w:pPr>
              <w:pStyle w:val="P68B1DB1-Normal011"/>
              <w:spacing w:after="0" w:line="240" w:lineRule="auto"/>
              <w:rPr>
                <w:rFonts w:eastAsia="Times New Roman" w:cs="Times New Roman"/>
                <w:noProof/>
                <w:color w:val="000000"/>
              </w:rPr>
            </w:pPr>
            <w:r>
              <w:rPr>
                <w:noProof/>
                <w:color w:val="000000" w:themeColor="text1"/>
              </w:rPr>
              <w:t xml:space="preserve">Anzahl der installierten Wärmequellen gemäß den DNSH-Anforderungen der </w:t>
            </w:r>
            <w:r>
              <w:rPr>
                <w:noProof/>
                <w:color w:val="000000" w:themeColor="text1"/>
              </w:rPr>
              <w:t>Beschreibung der Maßnahme (unter signierten Kontakten). Investitionen werden im Rahmen des Programms „Saubere Luft“ im Einklang mit der langfristigen Renovierungsstrategie im Rahmen der Richtlinie über die Gesamtenergieeffizienz von Gebäuden unterstützt. E</w:t>
            </w:r>
            <w:r>
              <w:rPr>
                <w:noProof/>
                <w:color w:val="000000" w:themeColor="text1"/>
              </w:rPr>
              <w:t>s wird sichergestellt, dass die Primärenergieeinsparungen auf Programmebene</w:t>
            </w:r>
            <w:r>
              <w:rPr>
                <w:noProof/>
              </w:rPr>
              <w:t xml:space="preserve"> mindestens 30 % betragen. </w:t>
            </w:r>
          </w:p>
        </w:tc>
      </w:tr>
      <w:tr w:rsidR="0028767D" w14:paraId="2C78934F" w14:textId="77777777" w:rsidTr="0028767D">
        <w:trPr>
          <w:trHeight w:val="313"/>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57E621" w14:textId="781DD826"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B9G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02DB91B" w14:textId="22AF1BA4"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B1.1.2 Austausch von Wärmequellen und Verbesserung der Energieeffizienz in Einfamilienhäusern </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896CB5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58695E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T2 – Austausch von Wärmequellen in </w:t>
            </w:r>
            <w:r>
              <w:rPr>
                <w:noProof/>
              </w:rPr>
              <w:t>Einfamiliengebäuden </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DA337E"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1F1B0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C7A89D" w14:textId="73772AC4"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250000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DCA0FE1" w14:textId="2D2DBC37" w:rsidR="00EB245A" w:rsidRDefault="006021EE">
            <w:pPr>
              <w:pStyle w:val="P68B1DB1-Normal011"/>
              <w:pBdr>
                <w:top w:val="nil"/>
                <w:left w:val="nil"/>
                <w:bottom w:val="nil"/>
                <w:right w:val="nil"/>
                <w:between w:val="nil"/>
              </w:pBdr>
              <w:spacing w:after="0" w:line="240" w:lineRule="auto"/>
              <w:jc w:val="right"/>
              <w:rPr>
                <w:rFonts w:eastAsia="Times New Roman" w:cs="Times New Roman"/>
                <w:noProof/>
              </w:rPr>
            </w:pPr>
            <w:r>
              <w:rPr>
                <w:noProof/>
              </w:rPr>
              <w:t xml:space="preserve">513000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302E4F"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1C6DDD"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C09843F" w14:textId="33534CB4" w:rsidR="00EB245A" w:rsidRDefault="006021EE">
            <w:pPr>
              <w:pStyle w:val="P68B1DB1-Normal012"/>
              <w:pBdr>
                <w:top w:val="nil"/>
                <w:left w:val="nil"/>
                <w:bottom w:val="nil"/>
                <w:right w:val="nil"/>
                <w:between w:val="nil"/>
              </w:pBdr>
              <w:spacing w:after="0" w:line="240" w:lineRule="auto"/>
              <w:rPr>
                <w:rFonts w:eastAsia="Times New Roman" w:cs="Times New Roman"/>
                <w:noProof/>
                <w:color w:val="008080"/>
                <w:u w:val="single"/>
              </w:rPr>
            </w:pPr>
            <w:r>
              <w:rPr>
                <w:noProof/>
              </w:rPr>
              <w:t xml:space="preserve">Anzahl der installierten Wärmequellen, die die Anforderungen der Position B8G erfüllen.  </w:t>
            </w:r>
          </w:p>
        </w:tc>
      </w:tr>
      <w:tr w:rsidR="0028767D" w14:paraId="799FF26E" w14:textId="77777777" w:rsidTr="0028767D">
        <w:trPr>
          <w:trHeight w:val="313"/>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E323BA" w14:textId="1DB26BB6"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B10G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6F18D58" w14:textId="3FA9AFA9"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B1.1.2 Austausch von Wärmequellen und Verbesserung der Energieeffizienz in Einfamilienhäusern </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73DD53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3D2F522" w14:textId="15C659ED"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T1 – Thermomodernisierung und Installation erneuerbarer Energiequellen in Einfamilienhäusern </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7B7D1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781025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09E21E"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B4C5019" w14:textId="0F203893"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190000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1F4B02"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C583B8"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A11418B" w14:textId="16CA4E08"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Anzahl der thermomodernisierten Einfamilienhäuser, die im Rahmen der geförderten Projekte Energieeffizienzstandards </w:t>
            </w:r>
            <w:r>
              <w:rPr>
                <w:noProof/>
              </w:rPr>
              <w:t>erfüllen. Investitionen werden im Rahmen des Programms „Saubere Luft“ unterstützt. Es wird sichergestellt, dass die Primärenergieeinsparungen auf Programmebene mindestens 30 % betragen. Es ist sicherzustellen, dass mindestens 70 % der im Rahmen des Program</w:t>
            </w:r>
            <w:r>
              <w:rPr>
                <w:noProof/>
              </w:rPr>
              <w:t xml:space="preserve">ms anfallenden Gebäudeabfälle wiederverwendet oder recycelt werden. </w:t>
            </w:r>
          </w:p>
        </w:tc>
      </w:tr>
      <w:tr w:rsidR="0028767D" w14:paraId="6D3810AA" w14:textId="77777777" w:rsidTr="0028767D">
        <w:trPr>
          <w:trHeight w:val="313"/>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205903" w14:textId="60DAE22F"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B11G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42670CC" w14:textId="26593924"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B1.1.2 Austausch von Wärmequellen und Verbesserung der Energieeffizienz in Einfamilienhäusern</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476F5A5"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BF6B17B" w14:textId="5052780A"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T2 – Thermomodernisierung und Installation erneuerbarer Energiequellen in </w:t>
            </w:r>
            <w:r>
              <w:rPr>
                <w:noProof/>
              </w:rPr>
              <w:t>Einfamilienhäusern</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A11B1C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4D3D20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411801B" w14:textId="11148784"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190000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26BEECA" w14:textId="5B9F8A79" w:rsidR="00EB245A" w:rsidRDefault="006021EE">
            <w:pPr>
              <w:pStyle w:val="P68B1DB1-Normal012"/>
              <w:spacing w:after="0" w:line="240" w:lineRule="auto"/>
              <w:jc w:val="right"/>
              <w:rPr>
                <w:rFonts w:eastAsia="Times New Roman" w:cs="Times New Roman"/>
                <w:noProof/>
              </w:rPr>
            </w:pPr>
            <w:r>
              <w:rPr>
                <w:noProof/>
              </w:rPr>
              <w:t>379000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9627014"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125D523"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602C8DA" w14:textId="62685E61" w:rsidR="00EB245A" w:rsidRDefault="006021EE">
            <w:pPr>
              <w:pStyle w:val="P68B1DB1-Normal012"/>
              <w:spacing w:after="0" w:line="240" w:lineRule="auto"/>
              <w:rPr>
                <w:rFonts w:eastAsia="Times New Roman" w:cs="Times New Roman"/>
                <w:noProof/>
              </w:rPr>
            </w:pPr>
            <w:r>
              <w:rPr>
                <w:noProof/>
              </w:rPr>
              <w:t xml:space="preserve">Anzahl der thermomodernisierten Einfamilienhäuser, die die Anforderungen der Position B10G erfüllen. </w:t>
            </w:r>
          </w:p>
        </w:tc>
      </w:tr>
      <w:tr w:rsidR="0028767D" w14:paraId="6ED6D2A5" w14:textId="77777777" w:rsidTr="0028767D">
        <w:trPr>
          <w:trHeight w:val="313"/>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2CABB4" w14:textId="7F1A5085"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B12G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59DC2D7" w14:textId="4CB4DC63"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B1.1.3 Thermalmodernisierung von Bildungseinrichtungen </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DF4105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F75F710" w14:textId="2F8FFA06"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Modernisierte oder ausgetauschte Wärmequellen, die DNSH-Anforderungen in Gebäuden von Bildungseinrichtungen erfüllen (im Rahmen unterzeichneter Verträge)</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1197D9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33A5A00"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D7B3BE"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ACEE42" w14:textId="19D13EC1"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70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AF26E6F"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5F6368"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C93D59" w14:textId="58F99DFB"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 der ersetzten oder modernisierten Wärmequellen in Gebäuden von Bildungseinrichtungen (im Rahmen unterzeichneter Verträge). Es wird sichergestellt, dass die Primärenergieeinsparungen auf Programmebene mindestens 30 % betragen. Die Unterstützung für g</w:t>
            </w:r>
            <w:r>
              <w:rPr>
                <w:noProof/>
              </w:rPr>
              <w:t>asbefeuerte Heizkessel wird im Einklang mit den Technischen Leitlinien der Kommission zur Vermeidung erheblicher Beeinträchtigungen (2021/C58/021) eingesetzt. Darüber hinaus ist sicherzustellen, dass gasbefeuerte Heizkessel nicht mehr als 20 % der Gesamtza</w:t>
            </w:r>
            <w:r>
              <w:rPr>
                <w:noProof/>
              </w:rPr>
              <w:t>hl der Wärmequellenaustausche im Rahmen dieser Maßnahme ausmachen.</w:t>
            </w:r>
          </w:p>
        </w:tc>
      </w:tr>
      <w:tr w:rsidR="0028767D" w14:paraId="7770B4D0" w14:textId="77777777" w:rsidTr="0028767D">
        <w:trPr>
          <w:trHeight w:val="397"/>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A9150B4" w14:textId="41778DD3"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B13G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FA8DBEC" w14:textId="5177B295"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B1.1.3 Thermalmodernisierung von Bildungseinrichtungen </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E829011"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B7250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Thermomodernisierte Gebäude von Bildungseinrichtungen (mit unterzeichneten Verträgen)</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95EB65"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6FD2E5"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E6EE343"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A9237AB" w14:textId="1063F105"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0000" w:themeColor="text1"/>
              </w:rPr>
            </w:pPr>
            <w:r>
              <w:rPr>
                <w:noProof/>
              </w:rPr>
              <w:t xml:space="preserve">250 </w:t>
            </w:r>
          </w:p>
          <w:p w14:paraId="70BD4DD7" w14:textId="6C532B6D"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92D728"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E5F677"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5A200D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Zahl der Gebäude von Bildungseinrichtungen, die für Investitionen in die energetische Modernisierung und/oder die Anwendung moderner Installationslösungen unterstützt werden, einschließlich: erneuerbare Energiequellen und Anpassung der Funktionen, Anlagen </w:t>
            </w:r>
            <w:r>
              <w:rPr>
                <w:noProof/>
              </w:rPr>
              <w:t>und technischen Systeme der Gebäude an die geltenden Anforderungen des anwendbaren Rechts. Die durchgeführten Investitionen müssen Energieeinsparungen auf der Ebene des gesamten Investitionsprogramms von mindestens 30 % ermöglichen.</w:t>
            </w:r>
          </w:p>
        </w:tc>
      </w:tr>
      <w:tr w:rsidR="0028767D" w14:paraId="1A60AA79" w14:textId="77777777" w:rsidTr="0028767D">
        <w:trPr>
          <w:trHeight w:val="836"/>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240B06" w14:textId="2288A2BC" w:rsidR="00EB245A" w:rsidRDefault="006021EE">
            <w:pPr>
              <w:pStyle w:val="P68B1DB1-Normal011"/>
              <w:pBdr>
                <w:top w:val="nil"/>
                <w:left w:val="nil"/>
                <w:bottom w:val="nil"/>
                <w:right w:val="nil"/>
                <w:between w:val="nil"/>
              </w:pBdr>
              <w:spacing w:after="0" w:line="240" w:lineRule="auto"/>
              <w:jc w:val="center"/>
              <w:rPr>
                <w:rFonts w:eastAsia="Times New Roman" w:cs="Times New Roman"/>
                <w:b/>
                <w:noProof/>
                <w:color w:val="000000"/>
              </w:rPr>
            </w:pPr>
            <w:r>
              <w:rPr>
                <w:noProof/>
              </w:rPr>
              <w:t>B14G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F4C37C2" w14:textId="3075679A"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B1.1.4 </w:t>
            </w:r>
            <w:r>
              <w:rPr>
                <w:noProof/>
              </w:rPr>
              <w:t>Verbesserung der Energieeffizienz lokaler Einrichtungen für soziale Aktivitäten</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6828A4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2741C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Einrichtungen für soziale Aktivitäten mit Ersatz ineffizienter Festbrennstoff-Wärmequellen in moderne Wärmequellen, die die DNSH-Anforderungen erfüllen</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AA258D8"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4AF7EF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EFDDCA"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C375A72"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21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BC2A4FB"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71F6154"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AABB907" w14:textId="4D2291D2"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Anzahl der Einrichtungen für soziale Aktivitäten, die ineffiziente Festbrennstoff-Wärmequellen durch moderne Wärmequellen ersetzt haben, die die DNSH-Anforderungen erfüllen (im Rahmen unterzeichneter Verträge). Die durchgeführten Investitionen müssen </w:t>
            </w:r>
            <w:r>
              <w:rPr>
                <w:noProof/>
              </w:rPr>
              <w:t>Energieeinsparungen auf der Ebene des gesamten Investitionsprogramms von mindestens 30 % gewährleisten.</w:t>
            </w:r>
          </w:p>
          <w:p w14:paraId="2BAB6ED8" w14:textId="6D96D9BF"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Darüber hinaus ist sicherzustellen, dass gasbefeuerte Heizkessel nicht mehr als 20 % der Gesamtzahl der Wärmequellenaustausche im Rahmen dieser Maßnahme</w:t>
            </w:r>
            <w:r>
              <w:rPr>
                <w:noProof/>
              </w:rPr>
              <w:t xml:space="preserve"> ausmachen.</w:t>
            </w:r>
          </w:p>
        </w:tc>
      </w:tr>
      <w:tr w:rsidR="0028767D" w14:paraId="1EF8C732" w14:textId="77777777" w:rsidTr="0028767D">
        <w:trPr>
          <w:trHeight w:val="2287"/>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C30BB71" w14:textId="6ED7B9EC" w:rsidR="00EB245A" w:rsidRDefault="006021EE">
            <w:pPr>
              <w:pStyle w:val="P68B1DB1-Normal011"/>
              <w:pBdr>
                <w:top w:val="nil"/>
                <w:left w:val="nil"/>
                <w:bottom w:val="nil"/>
                <w:right w:val="nil"/>
                <w:between w:val="nil"/>
              </w:pBdr>
              <w:spacing w:after="0" w:line="240" w:lineRule="auto"/>
              <w:jc w:val="center"/>
              <w:rPr>
                <w:rFonts w:eastAsia="Times New Roman" w:cs="Times New Roman"/>
                <w:b/>
                <w:noProof/>
                <w:color w:val="000000"/>
              </w:rPr>
            </w:pPr>
            <w:r>
              <w:rPr>
                <w:noProof/>
              </w:rPr>
              <w:t>B15G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A67035" w14:textId="5E798A5F"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B1.1.4 Verbesserung der Energieeffizienz lokaler Einrichtungen für soziale Aktivitäten</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FDFBC4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41CBB3D" w14:textId="545B6479"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Thermomodernisierte Einrichtungen sozialer Aktivität</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FBD3EC"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350C4A0"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Anzahl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4370D3"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3C344E"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85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081CEB9"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0641807"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46B7A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Anzahl der thermomodernisierten Gemeinschaftseinrichtungen </w:t>
            </w:r>
            <w:r>
              <w:rPr>
                <w:noProof/>
              </w:rPr>
              <w:t>(Bibliotheken und Gemeindezentren).</w:t>
            </w:r>
          </w:p>
          <w:p w14:paraId="7B888D8E" w14:textId="7708C802"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r>
              <w:rPr>
                <w:rFonts w:ascii="Times New Roman" w:hAnsi="Times New Roman"/>
                <w:noProof/>
                <w:color w:val="000000" w:themeColor="text1"/>
                <w:sz w:val="18"/>
              </w:rPr>
              <w:t>Die durchgeführten Investitionen müssen Energieeinsparungen auf der Ebene des gesamten Investitionsprogramms von mindestens 30 % gewährleisten.</w:t>
            </w:r>
            <w:r>
              <w:rPr>
                <w:noProof/>
              </w:rPr>
              <w:t xml:space="preserve">  </w:t>
            </w:r>
            <w:r>
              <w:rPr>
                <w:noProof/>
              </w:rPr>
              <w:br/>
            </w:r>
            <w:r>
              <w:rPr>
                <w:rFonts w:ascii="Times New Roman" w:hAnsi="Times New Roman"/>
                <w:noProof/>
                <w:color w:val="000000" w:themeColor="text1"/>
                <w:sz w:val="18"/>
              </w:rPr>
              <w:t xml:space="preserve">Die Unterstützung für gasbefeuerte Heizkessel wird im Einklang mit den </w:t>
            </w:r>
            <w:r>
              <w:rPr>
                <w:rFonts w:ascii="Times New Roman" w:hAnsi="Times New Roman"/>
                <w:noProof/>
                <w:color w:val="000000" w:themeColor="text1"/>
                <w:sz w:val="18"/>
              </w:rPr>
              <w:t>Technischen Leitlinien der Kommission zur Vermeidung erheblicher Beeinträchtigungen (2021/C58/021) eingesetzt. Darüber hinaus ist sicherzustellen, dass gasbefeuerte Heizkessel nicht mehr als 20 % der Gesamtzahl der Wärmequellenaustausche im Rahmen dieser M</w:t>
            </w:r>
            <w:r>
              <w:rPr>
                <w:rFonts w:ascii="Times New Roman" w:hAnsi="Times New Roman"/>
                <w:noProof/>
                <w:color w:val="000000" w:themeColor="text1"/>
                <w:sz w:val="18"/>
              </w:rPr>
              <w:t>aßnahme ausmachen.</w:t>
            </w:r>
          </w:p>
        </w:tc>
      </w:tr>
      <w:tr w:rsidR="0028767D" w14:paraId="7352B0F9" w14:textId="77777777" w:rsidTr="0028767D">
        <w:trPr>
          <w:trHeight w:val="313"/>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3E6FDD" w14:textId="65047257"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B16G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6D3EC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B2.1 Verbesserung der Bedingungen für die Entwicklung von Wasserstofftechnologien und anderen dekarbonisierten Gasen</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7A3352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Meilenstein  </w:t>
            </w:r>
          </w:p>
        </w:tc>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17C4B3" w14:textId="74D8E9A2"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Inkrafttreten von Rechtsakten zur Änderung der Gesetzgebungsakte für Wasserstoff als alternativen </w:t>
            </w:r>
            <w:r>
              <w:rPr>
                <w:noProof/>
              </w:rPr>
              <w:t>Kraftstoff im Verkehrssektor</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9FD2C13" w14:textId="6C71C75E"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Bestimmungen in den Änderungsrechtsakten, aus denen hervorgeht, dass sie in Kraft treten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C8DC4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826EBD"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8033C0"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86F1C1C"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A713548"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93ABA3" w14:textId="62BFD20E"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r>
              <w:rPr>
                <w:rFonts w:ascii="Times New Roman" w:hAnsi="Times New Roman"/>
                <w:noProof/>
                <w:color w:val="000000" w:themeColor="text1"/>
                <w:sz w:val="18"/>
              </w:rPr>
              <w:t xml:space="preserve">1. Änderung des Elektromobilitätsgesetzes (11. Januar 2018; Dz. U. z 2018 r. poz. 317) führt die Begriffsbestimmungen für </w:t>
            </w:r>
            <w:r>
              <w:rPr>
                <w:rFonts w:ascii="Times New Roman" w:hAnsi="Times New Roman"/>
                <w:noProof/>
                <w:color w:val="000000" w:themeColor="text1"/>
                <w:sz w:val="18"/>
              </w:rPr>
              <w:t>die Wasserstoffbetankungsinfrastruktur ein; Festlegung der allgemeinen Sicherheits- und technischen Anforderungen an Tankstellen (gemäß der Richtlinie über die Infrastruktur für alternative Kraftstoffe) und Festlegung der Verfahren und zuständigen Behörden</w:t>
            </w:r>
            <w:r>
              <w:rPr>
                <w:rFonts w:ascii="Times New Roman" w:hAnsi="Times New Roman"/>
                <w:noProof/>
                <w:color w:val="000000" w:themeColor="text1"/>
                <w:sz w:val="18"/>
              </w:rPr>
              <w:t>, die für die Inspektion dieser Infrastruktur relevant sind.</w:t>
            </w:r>
            <w:r>
              <w:rPr>
                <w:noProof/>
              </w:rPr>
              <w:t xml:space="preserve">  </w:t>
            </w:r>
            <w:r>
              <w:rPr>
                <w:noProof/>
              </w:rPr>
              <w:br/>
            </w:r>
            <w:r>
              <w:rPr>
                <w:rFonts w:ascii="Times New Roman" w:hAnsi="Times New Roman"/>
                <w:noProof/>
                <w:color w:val="000000" w:themeColor="text1"/>
                <w:sz w:val="18"/>
              </w:rPr>
              <w:t>2. Änderung des Gesetzes über das System zur Überwachung und Kontrolle der Kraftstoffqualität (August 2006; Dz.U. Nr. 169, poz. 1200) führt den Begriff „Wasserstoff“ gemäß dem KN-Code 2804 10 0</w:t>
            </w:r>
            <w:r>
              <w:rPr>
                <w:rFonts w:ascii="Times New Roman" w:hAnsi="Times New Roman"/>
                <w:noProof/>
                <w:color w:val="000000" w:themeColor="text1"/>
                <w:sz w:val="18"/>
              </w:rPr>
              <w:t>0 ein; Festlegung der Verfahren zur Überwachung und Kontrolle der Qualität von Wasserstoff; die zuständigen Behörden bestimmt. Der Begriff „Wasserstoff“ muss im Einklang mit den Technischen Leitlinien „Vermeidung erheblicher Beeinträchtigungen“ (2021/C 58/</w:t>
            </w:r>
            <w:r>
              <w:rPr>
                <w:rFonts w:ascii="Times New Roman" w:hAnsi="Times New Roman"/>
                <w:noProof/>
                <w:color w:val="000000" w:themeColor="text1"/>
                <w:sz w:val="18"/>
              </w:rPr>
              <w:t>01) stehen. Die Reform darf die Nutzung und Vermarktung von erneuerbarem Wasserstoff nicht erschweren als andere Wasserstoffquellen. Die Reform zielt in erster Linie auf die Entwicklung von erneuerbarem Wasserstoff oder Wasserstoff aus Elektrolyseuren ab.</w:t>
            </w:r>
          </w:p>
        </w:tc>
      </w:tr>
      <w:tr w:rsidR="0028767D" w14:paraId="72837F64" w14:textId="77777777" w:rsidTr="0028767D">
        <w:trPr>
          <w:trHeight w:val="313"/>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C1829E2" w14:textId="76A36B1D"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B17G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26BD5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B2.1 Verbesserung der Bedingungen für die Entwicklung von Wasserstofftechnologien und anderen dekarbonisierten Gasen</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EC2B411"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Meilenstein  </w:t>
            </w:r>
          </w:p>
        </w:tc>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80A6590" w14:textId="3084EAC3"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Inkrafttreten des Gesetzes zur Festlegung von Vorschriften für Wasserstoff</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D70A255" w14:textId="44C66FAC"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Bestimmung des Gesetzes, aus der hervorgeht,</w:t>
            </w:r>
            <w:r>
              <w:rPr>
                <w:noProof/>
              </w:rPr>
              <w:t xml:space="preserve"> dass es in Kraft tritt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049ADF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F6C42E"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C718034"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3956E26"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B4D3A0"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94CB1FE" w14:textId="76512CDF"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Inkrafttreten des Gesetzes zur Schaffung der Wasserstoffinfrastruktur und -marktgestaltung mit dem Ziel, die Marktakzeptanz von erneuerbarem und CO2-armem Wasserstoff, die Integration der Wasserstofferzeugung in </w:t>
            </w:r>
            <w:r>
              <w:rPr>
                <w:noProof/>
              </w:rPr>
              <w:t>andere Energiemärkte sowie die bestehende und spezielle Infrastruktur zur Schaffung regulatorischer Vorhersehbarkeit für Investoren und zur Unterstützung der Einführung von erneuerbarem und CO2-armem Wasserstoff zu unterstützen. Das Gesetz muss mit den Tec</w:t>
            </w:r>
            <w:r>
              <w:rPr>
                <w:noProof/>
              </w:rPr>
              <w:t>hnischen Leitlinien „Vermeidung erheblicher Beeinträchtigungen“ (2021/C 58/01) im Einklang stehen. Die Reform darf die Nutzung und Vermarktung von erneuerbarem Wasserstoff nicht erschweren als andere Wasserstoffquellen. Die Reform zielt in erster Linie auf</w:t>
            </w:r>
            <w:r>
              <w:rPr>
                <w:noProof/>
              </w:rPr>
              <w:t xml:space="preserve"> die Entwicklung von erneuerbarem Wasserstoff oder Wasserstoff aus Elektrolyseuren ab. Die Reform steht im Einklang mit der Wasserstoffstrategie der EU.</w:t>
            </w:r>
          </w:p>
        </w:tc>
      </w:tr>
      <w:tr w:rsidR="0028767D" w14:paraId="67F07B05" w14:textId="77777777" w:rsidTr="0028767D">
        <w:trPr>
          <w:trHeight w:val="313"/>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863B65F" w14:textId="2333523C"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B18G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6C82E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B2.1.1 Investitionen in Wasserstoff, Wasserstoffherstellung, -speicherung und -transport</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89AA2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4C6334E"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Umweltgenehmigungen für Wasserstofftankstellen</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C6670E"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165446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53C90A"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1830EAB"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F43CB5E"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02A2FE"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EFCE9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 der Umweltgenehmigungen für Wasserstofftankstellen.</w:t>
            </w:r>
          </w:p>
        </w:tc>
      </w:tr>
      <w:tr w:rsidR="0028767D" w14:paraId="181D4F93" w14:textId="77777777" w:rsidTr="0028767D">
        <w:trPr>
          <w:trHeight w:val="313"/>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66C624" w14:textId="02E69EF1"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rPr>
            </w:pPr>
            <w:r>
              <w:rPr>
                <w:noProof/>
              </w:rPr>
              <w:t>B19G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20DBDA" w14:textId="77777777" w:rsidR="00EB245A" w:rsidRDefault="006021EE">
            <w:pPr>
              <w:pStyle w:val="P68B1DB1-Normal011"/>
              <w:pBdr>
                <w:top w:val="nil"/>
                <w:left w:val="nil"/>
                <w:bottom w:val="nil"/>
                <w:right w:val="nil"/>
                <w:between w:val="nil"/>
              </w:pBdr>
              <w:spacing w:after="0" w:line="240" w:lineRule="auto"/>
              <w:rPr>
                <w:rFonts w:eastAsia="Times New Roman" w:cs="Times New Roman"/>
                <w:noProof/>
              </w:rPr>
            </w:pPr>
            <w:r>
              <w:rPr>
                <w:noProof/>
              </w:rPr>
              <w:t>B2.1.1 Investitionen in Wasserstoff, Wasserstoffherstellung, -speicherung und -transport</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C0D578" w14:textId="77777777" w:rsidR="00EB245A" w:rsidRDefault="006021EE">
            <w:pPr>
              <w:pStyle w:val="P68B1DB1-Normal011"/>
              <w:pBdr>
                <w:top w:val="nil"/>
                <w:left w:val="nil"/>
                <w:bottom w:val="nil"/>
                <w:right w:val="nil"/>
                <w:between w:val="nil"/>
              </w:pBdr>
              <w:spacing w:after="0" w:line="240" w:lineRule="auto"/>
              <w:rPr>
                <w:rFonts w:eastAsia="Times New Roman" w:cs="Times New Roman"/>
                <w:noProof/>
              </w:rPr>
            </w:pPr>
            <w:r>
              <w:rPr>
                <w:noProof/>
              </w:rPr>
              <w:t>Ziel</w:t>
            </w:r>
          </w:p>
        </w:tc>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276AAC" w14:textId="77777777" w:rsidR="00EB245A" w:rsidRDefault="006021EE">
            <w:pPr>
              <w:pStyle w:val="P68B1DB1-Normal011"/>
              <w:pBdr>
                <w:top w:val="nil"/>
                <w:left w:val="nil"/>
                <w:bottom w:val="nil"/>
                <w:right w:val="nil"/>
                <w:between w:val="nil"/>
              </w:pBdr>
              <w:spacing w:after="0" w:line="240" w:lineRule="auto"/>
              <w:rPr>
                <w:rFonts w:eastAsia="Times New Roman" w:cs="Times New Roman"/>
                <w:noProof/>
              </w:rPr>
            </w:pPr>
            <w:r>
              <w:rPr>
                <w:noProof/>
              </w:rPr>
              <w:t xml:space="preserve">Inbetriebnahme von </w:t>
            </w:r>
            <w:r>
              <w:rPr>
                <w:noProof/>
              </w:rPr>
              <w:t>Wasserstofftankstellen</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19D5755" w14:textId="77777777" w:rsidR="00EB245A" w:rsidRDefault="006021EE">
            <w:pPr>
              <w:pStyle w:val="P68B1DB1-Normal011"/>
              <w:pBdr>
                <w:top w:val="nil"/>
                <w:left w:val="nil"/>
                <w:bottom w:val="nil"/>
                <w:right w:val="nil"/>
                <w:between w:val="nil"/>
              </w:pBdr>
              <w:spacing w:after="0" w:line="240" w:lineRule="auto"/>
              <w:rPr>
                <w:rFonts w:eastAsia="Times New Roman" w:cs="Times New Roman"/>
                <w:noProof/>
              </w:rPr>
            </w:pPr>
            <w:r>
              <w:rPr>
                <w:noProof/>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07A6B66" w14:textId="77777777" w:rsidR="00EB245A" w:rsidRDefault="006021EE">
            <w:pPr>
              <w:pStyle w:val="P68B1DB1-Normal011"/>
              <w:pBdr>
                <w:top w:val="nil"/>
                <w:left w:val="nil"/>
                <w:bottom w:val="nil"/>
                <w:right w:val="nil"/>
                <w:between w:val="nil"/>
              </w:pBdr>
              <w:spacing w:after="0" w:line="240" w:lineRule="auto"/>
              <w:rPr>
                <w:rFonts w:eastAsia="Times New Roman" w:cs="Times New Roman"/>
                <w:noProof/>
              </w:rPr>
            </w:pPr>
            <w:r>
              <w:rPr>
                <w:noProof/>
              </w:rPr>
              <w:t>Anzahl</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1B12B4" w14:textId="77777777" w:rsidR="00EB245A" w:rsidRDefault="006021EE">
            <w:pPr>
              <w:pStyle w:val="P68B1DB1-Normal011"/>
              <w:pBdr>
                <w:top w:val="nil"/>
                <w:left w:val="nil"/>
                <w:bottom w:val="nil"/>
                <w:right w:val="nil"/>
                <w:between w:val="nil"/>
              </w:pBdr>
              <w:spacing w:after="0" w:line="240" w:lineRule="auto"/>
              <w:jc w:val="right"/>
              <w:rPr>
                <w:rFonts w:eastAsia="Times New Roman" w:cs="Times New Roman"/>
                <w:noProof/>
              </w:rPr>
            </w:pPr>
            <w:r>
              <w:rPr>
                <w:noProof/>
              </w:rPr>
              <w:t>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C203047" w14:textId="00A835C0" w:rsidR="00EB245A" w:rsidRDefault="006021EE">
            <w:pPr>
              <w:pStyle w:val="P68B1DB1-Normal011"/>
              <w:pBdr>
                <w:top w:val="nil"/>
                <w:left w:val="nil"/>
                <w:bottom w:val="nil"/>
                <w:right w:val="nil"/>
                <w:between w:val="nil"/>
              </w:pBdr>
              <w:spacing w:after="0" w:line="240" w:lineRule="auto"/>
              <w:jc w:val="right"/>
              <w:rPr>
                <w:rFonts w:eastAsia="Times New Roman" w:cs="Times New Roman"/>
                <w:noProof/>
              </w:rPr>
            </w:pPr>
            <w:r>
              <w:rPr>
                <w:noProof/>
              </w:rPr>
              <w:t>14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7B62A45" w14:textId="77777777"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rPr>
            </w:pPr>
            <w:r>
              <w:rPr>
                <w:noProof/>
              </w:rPr>
              <w:t>Q2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B84253B" w14:textId="77777777"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rPr>
            </w:pPr>
            <w:r>
              <w:rPr>
                <w:noProof/>
              </w:rPr>
              <w:t>2026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C7AA02B" w14:textId="7B2E91DA" w:rsidR="00EB245A" w:rsidRDefault="006021EE">
            <w:pPr>
              <w:pStyle w:val="P68B1DB1-Normal011"/>
              <w:pBdr>
                <w:top w:val="nil"/>
                <w:left w:val="nil"/>
                <w:bottom w:val="nil"/>
                <w:right w:val="nil"/>
                <w:between w:val="nil"/>
              </w:pBdr>
              <w:spacing w:after="0" w:line="240" w:lineRule="auto"/>
              <w:rPr>
                <w:rFonts w:eastAsia="Times New Roman" w:cs="Times New Roman"/>
                <w:noProof/>
              </w:rPr>
            </w:pPr>
            <w:r>
              <w:rPr>
                <w:noProof/>
              </w:rPr>
              <w:t xml:space="preserve">Anzahl der Wasserstofftankstellen, einschließlich des öffentlichen Bunkerns von Wasserstoff im Rahmen eines integrierten politischen Ansatzes, bei dem erneuerbaren Wasserstoff Vorrang eingeräumt wird. Die </w:t>
            </w:r>
            <w:r>
              <w:rPr>
                <w:noProof/>
              </w:rPr>
              <w:t>Bunkerung steht allen Wasserstoffquellen offen, die Menge an gebunkertem grauem Wasserstoff muss im Laufe der Zeit zurückgehen.</w:t>
            </w:r>
          </w:p>
        </w:tc>
      </w:tr>
      <w:tr w:rsidR="0028767D" w14:paraId="50268BDB" w14:textId="77777777" w:rsidTr="0028767D">
        <w:trPr>
          <w:trHeight w:val="313"/>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9F24933" w14:textId="646C408A"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B20G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19A7F1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B2.1.1 Investitionen in Wasserstoff, Wasserstoffherstellung, -speicherung und -transport</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C2BBA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898379E"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Forschungs- und Innovationsprojekte zu innovativen wasserstoffbetriebenen Transporteinheiten </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4EBECA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6DB42B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C6149D"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8D9363B"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A0931A9"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23C7FD"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CC20F27" w14:textId="080E4C4A"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r>
              <w:rPr>
                <w:rFonts w:ascii="Times New Roman" w:hAnsi="Times New Roman"/>
                <w:noProof/>
                <w:color w:val="000000" w:themeColor="text1"/>
                <w:sz w:val="18"/>
              </w:rPr>
              <w:t xml:space="preserve">Es werden drei innovative Projekte für wasserstoffbetriebene Transporteinheiten entwickelt. Die Projekte unterstützen zumindest die </w:t>
            </w:r>
            <w:r>
              <w:rPr>
                <w:rFonts w:ascii="Times New Roman" w:hAnsi="Times New Roman"/>
                <w:noProof/>
                <w:color w:val="000000" w:themeColor="text1"/>
                <w:sz w:val="18"/>
              </w:rPr>
              <w:t>Entwicklung, den Bau und die Umsetzung innovativer wasserstoffbetriebener Transporteinheiten (wie hauptsächlich Fahrzeuge/Schiffe/Züge und andere Einheiten, die Eisenbahnen/Busse/Flugzeuge nutzen).  Der Umfang der Investitionen umfasst ein breites Spektrum</w:t>
            </w:r>
            <w:r>
              <w:rPr>
                <w:rFonts w:ascii="Times New Roman" w:hAnsi="Times New Roman"/>
                <w:noProof/>
                <w:color w:val="000000" w:themeColor="text1"/>
                <w:sz w:val="18"/>
              </w:rPr>
              <w:t xml:space="preserve"> von Tätigkeiten zur Förderung, Erprobung und Demonstration verschiedener Arten von Wasserstoff-Brennstoffzellentransporteinheiten. Sie umfasst sowohl den Bau neuer als auch die Nachrüstung bestehender Anlagen.</w:t>
            </w:r>
            <w:r>
              <w:rPr>
                <w:noProof/>
              </w:rPr>
              <w:t xml:space="preserve">  </w:t>
            </w:r>
            <w:r>
              <w:rPr>
                <w:noProof/>
              </w:rPr>
              <w:br/>
            </w:r>
            <w:r>
              <w:rPr>
                <w:rFonts w:ascii="Times New Roman" w:hAnsi="Times New Roman"/>
                <w:noProof/>
                <w:color w:val="000000" w:themeColor="text1"/>
                <w:sz w:val="18"/>
              </w:rPr>
              <w:t>Beförderungseinheiten sind nicht für den Tr</w:t>
            </w:r>
            <w:r>
              <w:rPr>
                <w:rFonts w:ascii="Times New Roman" w:hAnsi="Times New Roman"/>
                <w:noProof/>
                <w:color w:val="000000" w:themeColor="text1"/>
                <w:sz w:val="18"/>
              </w:rPr>
              <w:t>ansport fossiler Brennstoffe bestimmt.</w:t>
            </w:r>
          </w:p>
        </w:tc>
      </w:tr>
      <w:tr w:rsidR="0028767D" w14:paraId="2FDC430E" w14:textId="77777777" w:rsidTr="0028767D">
        <w:trPr>
          <w:trHeight w:val="313"/>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98B0FB8" w14:textId="3E1BDDCF" w:rsidR="00EB245A" w:rsidRDefault="006021EE">
            <w:pPr>
              <w:pStyle w:val="P68B1DB1-Normal011"/>
              <w:pBdr>
                <w:top w:val="nil"/>
                <w:left w:val="nil"/>
                <w:bottom w:val="nil"/>
                <w:right w:val="nil"/>
                <w:between w:val="nil"/>
              </w:pBdr>
              <w:spacing w:after="0" w:line="240" w:lineRule="auto"/>
              <w:jc w:val="center"/>
              <w:rPr>
                <w:rFonts w:cs="Times New Roman"/>
                <w:noProof/>
              </w:rPr>
            </w:pPr>
            <w:r>
              <w:rPr>
                <w:noProof/>
              </w:rPr>
              <w:t>B21aG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E70E23" w14:textId="39BC0716"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B2.1.1 Investitionen in Wasserstoff, Wasserstoffherstellung, -speicherung und -transport</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163E24" w14:textId="6564ED0D"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Meilenstein  </w:t>
            </w:r>
          </w:p>
        </w:tc>
        <w:tc>
          <w:tcPr>
            <w:tcW w:w="1753" w:type="dxa"/>
            <w:tcBorders>
              <w:top w:val="single" w:sz="6" w:space="0" w:color="auto"/>
              <w:left w:val="single" w:sz="6" w:space="0" w:color="auto"/>
              <w:bottom w:val="single" w:sz="6" w:space="0" w:color="auto"/>
              <w:right w:val="single" w:sz="6" w:space="0" w:color="auto"/>
            </w:tcBorders>
            <w:shd w:val="clear" w:color="auto" w:fill="C6EFCE"/>
          </w:tcPr>
          <w:p w14:paraId="755AB45B" w14:textId="79DEF153"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r>
              <w:rPr>
                <w:rStyle w:val="normaltextrun"/>
                <w:rFonts w:ascii="Times New Roman" w:hAnsi="Times New Roman"/>
                <w:noProof/>
                <w:sz w:val="18"/>
              </w:rPr>
              <w:t xml:space="preserve">Durchführungsvereinbarung </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3C5F9A0" w14:textId="4539D8F6"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Inkrafttreten des Durchführungsübereinkommens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D063EA0"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9D4F41" w14:textId="77777777"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4F61CE5" w14:textId="77777777"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rPr>
            </w:pPr>
          </w:p>
        </w:tc>
        <w:tc>
          <w:tcPr>
            <w:tcW w:w="850" w:type="dxa"/>
            <w:tcBorders>
              <w:top w:val="single" w:sz="6" w:space="0" w:color="auto"/>
              <w:left w:val="single" w:sz="6" w:space="0" w:color="auto"/>
              <w:bottom w:val="single" w:sz="6" w:space="0" w:color="auto"/>
              <w:right w:val="single" w:sz="6" w:space="0" w:color="auto"/>
            </w:tcBorders>
            <w:shd w:val="clear" w:color="auto" w:fill="C6EFCE"/>
          </w:tcPr>
          <w:p w14:paraId="30BF6472" w14:textId="6AAF25F3" w:rsidR="00EB245A" w:rsidRDefault="006021EE">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rPr>
            </w:pPr>
            <w:r>
              <w:rPr>
                <w:rStyle w:val="normaltextrun"/>
                <w:rFonts w:ascii="Times New Roman" w:hAnsi="Times New Roman"/>
                <w:noProof/>
                <w:sz w:val="18"/>
              </w:rPr>
              <w:t xml:space="preserve">Q2 </w:t>
            </w:r>
          </w:p>
        </w:tc>
        <w:tc>
          <w:tcPr>
            <w:tcW w:w="709" w:type="dxa"/>
            <w:tcBorders>
              <w:top w:val="single" w:sz="6" w:space="0" w:color="auto"/>
              <w:left w:val="single" w:sz="6" w:space="0" w:color="auto"/>
              <w:bottom w:val="single" w:sz="6" w:space="0" w:color="auto"/>
              <w:right w:val="single" w:sz="6" w:space="0" w:color="auto"/>
            </w:tcBorders>
            <w:shd w:val="clear" w:color="auto" w:fill="C6EFCE"/>
          </w:tcPr>
          <w:p w14:paraId="397D286E" w14:textId="5C4FDB7A" w:rsidR="00EB245A" w:rsidRDefault="006021EE">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rPr>
            </w:pPr>
            <w:r>
              <w:rPr>
                <w:rStyle w:val="normaltextrun"/>
                <w:rFonts w:ascii="Times New Roman" w:hAnsi="Times New Roman"/>
                <w:noProof/>
                <w:sz w:val="18"/>
              </w:rPr>
              <w:t xml:space="preserve">2024 </w:t>
            </w:r>
          </w:p>
        </w:tc>
        <w:tc>
          <w:tcPr>
            <w:tcW w:w="2410" w:type="dxa"/>
            <w:tcBorders>
              <w:top w:val="single" w:sz="6" w:space="0" w:color="auto"/>
              <w:left w:val="single" w:sz="6" w:space="0" w:color="auto"/>
              <w:bottom w:val="single" w:sz="6" w:space="0" w:color="auto"/>
              <w:right w:val="single" w:sz="6" w:space="0" w:color="auto"/>
            </w:tcBorders>
            <w:shd w:val="clear" w:color="auto" w:fill="C6EFCE"/>
          </w:tcPr>
          <w:p w14:paraId="1184D496" w14:textId="7EA3CF5A"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r>
              <w:rPr>
                <w:rStyle w:val="normaltextrun"/>
                <w:rFonts w:ascii="Times New Roman" w:hAnsi="Times New Roman"/>
                <w:noProof/>
                <w:sz w:val="18"/>
              </w:rPr>
              <w:t xml:space="preserve">Inkrafttreten des Durchführungsübereinkommens. </w:t>
            </w:r>
          </w:p>
        </w:tc>
      </w:tr>
      <w:tr w:rsidR="0028767D" w14:paraId="39AC9F6C" w14:textId="77777777" w:rsidTr="0028767D">
        <w:trPr>
          <w:trHeight w:val="313"/>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FDDDAE" w14:textId="50CE40CC" w:rsidR="00EB245A" w:rsidRDefault="006021EE">
            <w:pPr>
              <w:pStyle w:val="P68B1DB1-Normal011"/>
              <w:pBdr>
                <w:top w:val="nil"/>
                <w:left w:val="nil"/>
                <w:bottom w:val="nil"/>
                <w:right w:val="nil"/>
                <w:between w:val="nil"/>
              </w:pBdr>
              <w:spacing w:after="0" w:line="240" w:lineRule="auto"/>
              <w:jc w:val="center"/>
              <w:rPr>
                <w:rFonts w:cs="Times New Roman"/>
                <w:noProof/>
              </w:rPr>
            </w:pPr>
            <w:r>
              <w:rPr>
                <w:noProof/>
              </w:rPr>
              <w:t>B21bG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2E3D8B" w14:textId="5B337B0A"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B2.1.1 Investitionen in Wasserstoff, Wasserstoffherstellung, -speicherung und -transport</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AFBD576" w14:textId="340F393F"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1753" w:type="dxa"/>
            <w:tcBorders>
              <w:top w:val="single" w:sz="6" w:space="0" w:color="auto"/>
              <w:left w:val="single" w:sz="6" w:space="0" w:color="auto"/>
              <w:bottom w:val="single" w:sz="6" w:space="0" w:color="auto"/>
              <w:right w:val="single" w:sz="6" w:space="0" w:color="auto"/>
            </w:tcBorders>
            <w:shd w:val="clear" w:color="auto" w:fill="C6EFCE"/>
          </w:tcPr>
          <w:p w14:paraId="3A38F326" w14:textId="78DCFD5A"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r>
              <w:rPr>
                <w:rStyle w:val="normaltextrun"/>
                <w:rFonts w:ascii="Times New Roman" w:hAnsi="Times New Roman"/>
                <w:noProof/>
                <w:sz w:val="18"/>
              </w:rPr>
              <w:t xml:space="preserve">Mit den Endbegünstigten unterzeichnete rechtliche Vereinbarungen </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5D4C622"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C1CB36" w14:textId="60428504"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Prozentuale</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9DADAF" w14:textId="77777777"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B1CEEF6" w14:textId="62175F02"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50 %</w:t>
            </w:r>
          </w:p>
        </w:tc>
        <w:tc>
          <w:tcPr>
            <w:tcW w:w="850" w:type="dxa"/>
            <w:tcBorders>
              <w:top w:val="single" w:sz="6" w:space="0" w:color="auto"/>
              <w:left w:val="single" w:sz="6" w:space="0" w:color="auto"/>
              <w:bottom w:val="single" w:sz="6" w:space="0" w:color="auto"/>
              <w:right w:val="single" w:sz="6" w:space="0" w:color="auto"/>
            </w:tcBorders>
            <w:shd w:val="clear" w:color="auto" w:fill="C6EFCE"/>
          </w:tcPr>
          <w:p w14:paraId="00082BC9" w14:textId="6D56AF72" w:rsidR="00EB245A" w:rsidRDefault="006021EE">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rPr>
            </w:pPr>
            <w:r>
              <w:rPr>
                <w:rStyle w:val="normaltextrun"/>
                <w:rFonts w:ascii="Times New Roman" w:hAnsi="Times New Roman"/>
                <w:noProof/>
                <w:sz w:val="18"/>
              </w:rPr>
              <w:t xml:space="preserve">Q2 </w:t>
            </w:r>
          </w:p>
        </w:tc>
        <w:tc>
          <w:tcPr>
            <w:tcW w:w="709" w:type="dxa"/>
            <w:tcBorders>
              <w:top w:val="single" w:sz="6" w:space="0" w:color="auto"/>
              <w:left w:val="single" w:sz="6" w:space="0" w:color="auto"/>
              <w:bottom w:val="single" w:sz="6" w:space="0" w:color="auto"/>
              <w:right w:val="single" w:sz="6" w:space="0" w:color="auto"/>
            </w:tcBorders>
            <w:shd w:val="clear" w:color="auto" w:fill="C6EFCE"/>
          </w:tcPr>
          <w:p w14:paraId="54847E62" w14:textId="31959D14" w:rsidR="00EB245A" w:rsidRDefault="006021EE">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rPr>
            </w:pPr>
            <w:r>
              <w:rPr>
                <w:rStyle w:val="normaltextrun"/>
                <w:rFonts w:ascii="Times New Roman" w:hAnsi="Times New Roman"/>
                <w:noProof/>
                <w:sz w:val="18"/>
              </w:rPr>
              <w:t xml:space="preserve">2025 </w:t>
            </w:r>
          </w:p>
        </w:tc>
        <w:tc>
          <w:tcPr>
            <w:tcW w:w="2410" w:type="dxa"/>
            <w:tcBorders>
              <w:top w:val="single" w:sz="6" w:space="0" w:color="auto"/>
              <w:left w:val="single" w:sz="6" w:space="0" w:color="auto"/>
              <w:bottom w:val="single" w:sz="6" w:space="0" w:color="auto"/>
              <w:right w:val="single" w:sz="6" w:space="0" w:color="auto"/>
            </w:tcBorders>
            <w:shd w:val="clear" w:color="auto" w:fill="C6EFCE"/>
          </w:tcPr>
          <w:p w14:paraId="3B2D7063" w14:textId="4E6D3AD7" w:rsidR="00EB245A" w:rsidRDefault="006021EE">
            <w:pPr>
              <w:pStyle w:val="Normal0"/>
              <w:pBdr>
                <w:top w:val="nil"/>
                <w:left w:val="nil"/>
                <w:bottom w:val="nil"/>
                <w:right w:val="nil"/>
                <w:between w:val="nil"/>
              </w:pBdr>
              <w:spacing w:after="0" w:line="240" w:lineRule="auto"/>
              <w:rPr>
                <w:rStyle w:val="normaltextrun"/>
                <w:rFonts w:ascii="Times New Roman" w:eastAsia="Times New Roman" w:hAnsi="Times New Roman" w:cs="Times New Roman"/>
                <w:noProof/>
                <w:sz w:val="18"/>
              </w:rPr>
            </w:pPr>
            <w:r>
              <w:rPr>
                <w:rStyle w:val="normaltextrun"/>
                <w:rFonts w:ascii="Times New Roman" w:hAnsi="Times New Roman"/>
                <w:noProof/>
                <w:sz w:val="18"/>
              </w:rPr>
              <w:t>BGK muss mit Endbegünstigten rechtliche Subventionsvereinbarungen über einen Betrag geschlossen haben, der erforderlich ist, um mindestens 50 % der ARF-Investitionen für das</w:t>
            </w:r>
            <w:r>
              <w:rPr>
                <w:rStyle w:val="normaltextrun"/>
                <w:rFonts w:ascii="Times New Roman" w:hAnsi="Times New Roman"/>
                <w:noProof/>
                <w:color w:val="881798"/>
                <w:sz w:val="18"/>
                <w:u w:val="single"/>
              </w:rPr>
              <w:t xml:space="preserve"> </w:t>
            </w:r>
            <w:r>
              <w:rPr>
                <w:rStyle w:val="normaltextrun"/>
                <w:rFonts w:ascii="Times New Roman" w:hAnsi="Times New Roman"/>
                <w:noProof/>
                <w:sz w:val="18"/>
              </w:rPr>
              <w:t>Programm zu verwenden</w:t>
            </w:r>
            <w:r>
              <w:rPr>
                <w:rStyle w:val="normaltextrun"/>
                <w:rFonts w:ascii="Times New Roman" w:hAnsi="Times New Roman"/>
                <w:noProof/>
                <w:color w:val="0078D4"/>
                <w:sz w:val="18"/>
                <w:u w:val="single"/>
              </w:rPr>
              <w:t xml:space="preserve"> </w:t>
            </w:r>
            <w:r>
              <w:rPr>
                <w:rStyle w:val="normaltextrun"/>
                <w:rFonts w:ascii="Times New Roman" w:hAnsi="Times New Roman"/>
                <w:noProof/>
                <w:sz w:val="18"/>
              </w:rPr>
              <w:t xml:space="preserve">(unter Berücksichtigung der Verwaltungsgebühren). </w:t>
            </w:r>
          </w:p>
          <w:p w14:paraId="79F15090"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p>
        </w:tc>
      </w:tr>
      <w:tr w:rsidR="0028767D" w14:paraId="28175694" w14:textId="77777777" w:rsidTr="0028767D">
        <w:trPr>
          <w:trHeight w:val="313"/>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E274E1" w14:textId="511924C1" w:rsidR="00EB245A" w:rsidRDefault="006021EE">
            <w:pPr>
              <w:pStyle w:val="P68B1DB1-Normal011"/>
              <w:pBdr>
                <w:top w:val="nil"/>
                <w:left w:val="nil"/>
                <w:bottom w:val="nil"/>
                <w:right w:val="nil"/>
                <w:between w:val="nil"/>
              </w:pBdr>
              <w:spacing w:after="0" w:line="240" w:lineRule="auto"/>
              <w:jc w:val="center"/>
              <w:rPr>
                <w:rFonts w:cs="Times New Roman"/>
                <w:noProof/>
              </w:rPr>
            </w:pPr>
            <w:r>
              <w:rPr>
                <w:noProof/>
              </w:rPr>
              <w:t xml:space="preserve">B21cG </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AAB607" w14:textId="4CA3E830" w:rsidR="00EB245A" w:rsidRDefault="006021EE">
            <w:pPr>
              <w:pStyle w:val="P68B1DB1-Normal011"/>
              <w:pBdr>
                <w:top w:val="nil"/>
                <w:left w:val="nil"/>
                <w:bottom w:val="nil"/>
                <w:right w:val="nil"/>
                <w:between w:val="nil"/>
              </w:pBdr>
              <w:spacing w:after="0" w:line="240" w:lineRule="auto"/>
              <w:rPr>
                <w:rFonts w:eastAsia="Times New Roman" w:cs="Times New Roman"/>
                <w:noProof/>
                <w:color w:val="000000"/>
              </w:rPr>
            </w:pPr>
            <w:r>
              <w:rPr>
                <w:noProof/>
              </w:rPr>
              <w:t xml:space="preserve">B2.1.1 Investitionen in Wasserstoff, Wasserstoffherstellung, -speicherung und -transport </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415FFAA" w14:textId="470F5EBE" w:rsidR="00EB245A" w:rsidRDefault="006021EE">
            <w:pPr>
              <w:pStyle w:val="P68B1DB1-Normal011"/>
              <w:pBdr>
                <w:top w:val="nil"/>
                <w:left w:val="nil"/>
                <w:bottom w:val="nil"/>
                <w:right w:val="nil"/>
                <w:between w:val="nil"/>
              </w:pBdr>
              <w:spacing w:after="0" w:line="240" w:lineRule="auto"/>
              <w:rPr>
                <w:rFonts w:eastAsia="Times New Roman" w:cs="Times New Roman"/>
                <w:noProof/>
                <w:color w:val="000000"/>
              </w:rPr>
            </w:pPr>
            <w:r>
              <w:rPr>
                <w:noProof/>
              </w:rPr>
              <w:t xml:space="preserve">Meilenstein   </w:t>
            </w:r>
          </w:p>
        </w:tc>
        <w:tc>
          <w:tcPr>
            <w:tcW w:w="1753" w:type="dxa"/>
            <w:tcBorders>
              <w:top w:val="single" w:sz="6" w:space="0" w:color="auto"/>
              <w:left w:val="single" w:sz="6" w:space="0" w:color="auto"/>
              <w:bottom w:val="single" w:sz="6" w:space="0" w:color="auto"/>
              <w:right w:val="single" w:sz="6" w:space="0" w:color="auto"/>
            </w:tcBorders>
            <w:shd w:val="clear" w:color="auto" w:fill="C6EFCE"/>
          </w:tcPr>
          <w:p w14:paraId="4AFDDD6C" w14:textId="33B268AE" w:rsidR="00EB245A" w:rsidRDefault="006021EE">
            <w:pPr>
              <w:pStyle w:val="P68B1DB1-Normal011"/>
              <w:pBdr>
                <w:top w:val="nil"/>
                <w:left w:val="nil"/>
                <w:bottom w:val="nil"/>
                <w:right w:val="nil"/>
                <w:between w:val="nil"/>
              </w:pBdr>
              <w:spacing w:after="0" w:line="240" w:lineRule="auto"/>
              <w:rPr>
                <w:rStyle w:val="normaltextrun"/>
                <w:rFonts w:cs="Times New Roman"/>
                <w:noProof/>
              </w:rPr>
            </w:pPr>
            <w:r>
              <w:rPr>
                <w:noProof/>
              </w:rPr>
              <w:t xml:space="preserve">Das Ministerium hat 50 % der Investitionen abgeschlossen.  </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82448B6" w14:textId="5E66A3E4" w:rsidR="00EB245A" w:rsidRDefault="006021EE">
            <w:pPr>
              <w:pStyle w:val="P68B1DB1-Normal011"/>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Übertragungsbescheinigung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30624BD"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DBC5075" w14:textId="77777777"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C6784A0" w14:textId="77777777"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themeColor="text1"/>
                <w:sz w:val="18"/>
              </w:rPr>
            </w:pPr>
          </w:p>
        </w:tc>
        <w:tc>
          <w:tcPr>
            <w:tcW w:w="850" w:type="dxa"/>
            <w:tcBorders>
              <w:top w:val="single" w:sz="6" w:space="0" w:color="auto"/>
              <w:left w:val="single" w:sz="6" w:space="0" w:color="auto"/>
              <w:bottom w:val="single" w:sz="6" w:space="0" w:color="auto"/>
              <w:right w:val="single" w:sz="6" w:space="0" w:color="auto"/>
            </w:tcBorders>
            <w:shd w:val="clear" w:color="auto" w:fill="C6EFCE"/>
          </w:tcPr>
          <w:p w14:paraId="3A57CC16" w14:textId="22AA4303" w:rsidR="00EB245A" w:rsidRDefault="006021EE">
            <w:pPr>
              <w:pStyle w:val="P68B1DB1-Normal011"/>
              <w:pBdr>
                <w:top w:val="nil"/>
                <w:left w:val="nil"/>
                <w:bottom w:val="nil"/>
                <w:right w:val="nil"/>
                <w:between w:val="nil"/>
              </w:pBdr>
              <w:spacing w:after="0" w:line="240" w:lineRule="auto"/>
              <w:jc w:val="center"/>
              <w:rPr>
                <w:rStyle w:val="normaltextrun"/>
                <w:rFonts w:eastAsia="Times New Roman" w:cs="Times New Roman"/>
                <w:noProof/>
              </w:rPr>
            </w:pPr>
            <w:r>
              <w:rPr>
                <w:noProof/>
              </w:rPr>
              <w:t xml:space="preserve">Q2  </w:t>
            </w:r>
          </w:p>
        </w:tc>
        <w:tc>
          <w:tcPr>
            <w:tcW w:w="709" w:type="dxa"/>
            <w:tcBorders>
              <w:top w:val="single" w:sz="6" w:space="0" w:color="auto"/>
              <w:left w:val="single" w:sz="6" w:space="0" w:color="auto"/>
              <w:bottom w:val="single" w:sz="6" w:space="0" w:color="auto"/>
              <w:right w:val="single" w:sz="6" w:space="0" w:color="auto"/>
            </w:tcBorders>
            <w:shd w:val="clear" w:color="auto" w:fill="C6EFCE"/>
          </w:tcPr>
          <w:p w14:paraId="553D394A" w14:textId="78D9941E" w:rsidR="00EB245A" w:rsidRDefault="006021EE">
            <w:pPr>
              <w:pStyle w:val="P68B1DB1-Normal011"/>
              <w:pBdr>
                <w:top w:val="nil"/>
                <w:left w:val="nil"/>
                <w:bottom w:val="nil"/>
                <w:right w:val="nil"/>
                <w:between w:val="nil"/>
              </w:pBdr>
              <w:spacing w:after="0" w:line="240" w:lineRule="auto"/>
              <w:jc w:val="center"/>
              <w:rPr>
                <w:rStyle w:val="normaltextrun"/>
                <w:rFonts w:eastAsia="Times New Roman" w:cs="Times New Roman"/>
                <w:noProof/>
              </w:rPr>
            </w:pPr>
            <w:r>
              <w:rPr>
                <w:noProof/>
              </w:rPr>
              <w:t xml:space="preserve">2025 </w:t>
            </w:r>
          </w:p>
        </w:tc>
        <w:tc>
          <w:tcPr>
            <w:tcW w:w="2410" w:type="dxa"/>
            <w:tcBorders>
              <w:top w:val="single" w:sz="6" w:space="0" w:color="auto"/>
              <w:left w:val="single" w:sz="6" w:space="0" w:color="auto"/>
              <w:bottom w:val="single" w:sz="6" w:space="0" w:color="auto"/>
              <w:right w:val="single" w:sz="6" w:space="0" w:color="auto"/>
            </w:tcBorders>
            <w:shd w:val="clear" w:color="auto" w:fill="C6EFCE"/>
          </w:tcPr>
          <w:p w14:paraId="28CBA8CC" w14:textId="4E142E6C" w:rsidR="00EB245A" w:rsidRDefault="006021EE">
            <w:pPr>
              <w:pStyle w:val="P68B1DB1-Normal011"/>
              <w:pBdr>
                <w:top w:val="nil"/>
                <w:left w:val="nil"/>
                <w:bottom w:val="nil"/>
                <w:right w:val="nil"/>
                <w:between w:val="nil"/>
              </w:pBdr>
              <w:spacing w:after="0" w:line="240" w:lineRule="auto"/>
              <w:rPr>
                <w:rStyle w:val="normaltextrun"/>
                <w:rFonts w:eastAsia="Times New Roman" w:cs="Times New Roman"/>
                <w:noProof/>
              </w:rPr>
            </w:pPr>
            <w:r>
              <w:rPr>
                <w:noProof/>
              </w:rPr>
              <w:t xml:space="preserve">Polen überträgt 320 Mio. EUR an BGK für die </w:t>
            </w:r>
            <w:r>
              <w:rPr>
                <w:noProof/>
              </w:rPr>
              <w:t>Regelung. </w:t>
            </w:r>
          </w:p>
        </w:tc>
      </w:tr>
      <w:tr w:rsidR="0028767D" w14:paraId="38F6A9B6" w14:textId="77777777" w:rsidTr="0028767D">
        <w:trPr>
          <w:trHeight w:val="1365"/>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7C58D73" w14:textId="14E6976B" w:rsidR="00EB245A" w:rsidRDefault="006021EE">
            <w:pPr>
              <w:pStyle w:val="P68B1DB1-Normal011"/>
              <w:pBdr>
                <w:top w:val="nil"/>
                <w:left w:val="nil"/>
                <w:bottom w:val="nil"/>
                <w:right w:val="nil"/>
                <w:between w:val="nil"/>
              </w:pBdr>
              <w:spacing w:after="0" w:line="240" w:lineRule="auto"/>
              <w:jc w:val="center"/>
              <w:rPr>
                <w:rFonts w:cs="Times New Roman"/>
                <w:noProof/>
              </w:rPr>
            </w:pPr>
            <w:r>
              <w:rPr>
                <w:noProof/>
              </w:rPr>
              <w:t>B21dG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0D05AC2" w14:textId="140EAB48"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B2.1.1 Investitionen in Wasserstoff, Wasserstoffherstellung, -speicherung und -transport</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436801E" w14:textId="27652606"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1753" w:type="dxa"/>
            <w:tcBorders>
              <w:top w:val="single" w:sz="6" w:space="0" w:color="auto"/>
              <w:left w:val="single" w:sz="6" w:space="0" w:color="auto"/>
              <w:bottom w:val="single" w:sz="6" w:space="0" w:color="auto"/>
              <w:right w:val="single" w:sz="6" w:space="0" w:color="auto"/>
            </w:tcBorders>
            <w:shd w:val="clear" w:color="auto" w:fill="C6EFCE"/>
          </w:tcPr>
          <w:p w14:paraId="69DDEF37" w14:textId="50F05DCE"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r>
              <w:rPr>
                <w:rStyle w:val="normaltextrun"/>
                <w:rFonts w:ascii="Times New Roman" w:hAnsi="Times New Roman"/>
                <w:noProof/>
                <w:sz w:val="18"/>
              </w:rPr>
              <w:t xml:space="preserve">Mit den Endbegünstigten unterzeichnete rechtliche Vereinbarungen </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22EF59D"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913956" w14:textId="2147B1E0"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Prozentuale</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4518605" w14:textId="20A5CE04"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50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68F15E7" w14:textId="1F8F8AA0"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100 %</w:t>
            </w:r>
          </w:p>
        </w:tc>
        <w:tc>
          <w:tcPr>
            <w:tcW w:w="850" w:type="dxa"/>
            <w:tcBorders>
              <w:top w:val="single" w:sz="6" w:space="0" w:color="auto"/>
              <w:left w:val="single" w:sz="6" w:space="0" w:color="auto"/>
              <w:bottom w:val="single" w:sz="6" w:space="0" w:color="auto"/>
              <w:right w:val="single" w:sz="6" w:space="0" w:color="auto"/>
            </w:tcBorders>
            <w:shd w:val="clear" w:color="auto" w:fill="C6EFCE"/>
          </w:tcPr>
          <w:p w14:paraId="7A481F92" w14:textId="4F5BC3A3" w:rsidR="00EB245A" w:rsidRDefault="006021EE">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rPr>
            </w:pPr>
            <w:r>
              <w:rPr>
                <w:rStyle w:val="normaltextrun"/>
                <w:rFonts w:ascii="Times New Roman" w:hAnsi="Times New Roman"/>
                <w:noProof/>
                <w:sz w:val="18"/>
              </w:rPr>
              <w:t xml:space="preserve">Q1 </w:t>
            </w:r>
          </w:p>
        </w:tc>
        <w:tc>
          <w:tcPr>
            <w:tcW w:w="709" w:type="dxa"/>
            <w:tcBorders>
              <w:top w:val="single" w:sz="6" w:space="0" w:color="auto"/>
              <w:left w:val="single" w:sz="6" w:space="0" w:color="auto"/>
              <w:bottom w:val="single" w:sz="6" w:space="0" w:color="auto"/>
              <w:right w:val="single" w:sz="6" w:space="0" w:color="auto"/>
            </w:tcBorders>
            <w:shd w:val="clear" w:color="auto" w:fill="C6EFCE"/>
          </w:tcPr>
          <w:p w14:paraId="3BF03061" w14:textId="0E6D215B" w:rsidR="00EB245A" w:rsidRDefault="006021EE">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rPr>
            </w:pPr>
            <w:r>
              <w:rPr>
                <w:rStyle w:val="normaltextrun"/>
                <w:rFonts w:ascii="Times New Roman" w:hAnsi="Times New Roman"/>
                <w:noProof/>
                <w:sz w:val="18"/>
              </w:rPr>
              <w:t xml:space="preserve">2026 </w:t>
            </w:r>
          </w:p>
        </w:tc>
        <w:tc>
          <w:tcPr>
            <w:tcW w:w="2410" w:type="dxa"/>
            <w:tcBorders>
              <w:top w:val="single" w:sz="6" w:space="0" w:color="auto"/>
              <w:left w:val="single" w:sz="6" w:space="0" w:color="auto"/>
              <w:bottom w:val="single" w:sz="6" w:space="0" w:color="auto"/>
              <w:right w:val="single" w:sz="6" w:space="0" w:color="auto"/>
            </w:tcBorders>
            <w:shd w:val="clear" w:color="auto" w:fill="C6EFCE"/>
          </w:tcPr>
          <w:p w14:paraId="087CDB53" w14:textId="6623337F"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r>
              <w:rPr>
                <w:rStyle w:val="normaltextrun"/>
                <w:rFonts w:ascii="Times New Roman" w:hAnsi="Times New Roman"/>
                <w:noProof/>
                <w:sz w:val="18"/>
              </w:rPr>
              <w:t xml:space="preserve">BGK muss mit Endbegünstigten rechtliche Subventionsvereinbarungen über einen Betrag geschlossen haben, der erforderlich ist, um 100 % der ARF-Investitionen für das Programm zu nutzen (unter Berücksichtigung der Verwaltungsgebühren). </w:t>
            </w:r>
          </w:p>
        </w:tc>
      </w:tr>
      <w:tr w:rsidR="0028767D" w14:paraId="0EA8CA53" w14:textId="77777777" w:rsidTr="0028767D">
        <w:trPr>
          <w:trHeight w:val="313"/>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6E13E1C" w14:textId="18DFC2C0" w:rsidR="00EB245A" w:rsidRDefault="006021EE">
            <w:pPr>
              <w:pStyle w:val="P68B1DB1-Normal011"/>
              <w:pBdr>
                <w:top w:val="nil"/>
                <w:left w:val="nil"/>
                <w:bottom w:val="nil"/>
                <w:right w:val="nil"/>
                <w:between w:val="nil"/>
              </w:pBdr>
              <w:spacing w:after="0" w:line="240" w:lineRule="auto"/>
              <w:jc w:val="center"/>
              <w:rPr>
                <w:rFonts w:cs="Times New Roman"/>
                <w:noProof/>
              </w:rPr>
            </w:pPr>
            <w:r>
              <w:rPr>
                <w:noProof/>
              </w:rPr>
              <w:t>B21eG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187218" w14:textId="6515BAE1"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B2.1.1 </w:t>
            </w:r>
            <w:r>
              <w:rPr>
                <w:noProof/>
              </w:rPr>
              <w:t>Investitionen in Wasserstoff, Wasserstoffherstellung, -speicherung und -transport</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6DDC5DC" w14:textId="7CE1D479"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Meilenstein  </w:t>
            </w:r>
          </w:p>
        </w:tc>
        <w:tc>
          <w:tcPr>
            <w:tcW w:w="1753" w:type="dxa"/>
            <w:tcBorders>
              <w:top w:val="single" w:sz="6" w:space="0" w:color="auto"/>
              <w:left w:val="single" w:sz="6" w:space="0" w:color="auto"/>
              <w:bottom w:val="single" w:sz="6" w:space="0" w:color="auto"/>
              <w:right w:val="single" w:sz="6" w:space="0" w:color="auto"/>
            </w:tcBorders>
            <w:shd w:val="clear" w:color="auto" w:fill="C6EFCE"/>
          </w:tcPr>
          <w:p w14:paraId="04FC32D0" w14:textId="304B8845"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r>
              <w:rPr>
                <w:rStyle w:val="normaltextrun"/>
                <w:rFonts w:ascii="Times New Roman" w:hAnsi="Times New Roman"/>
                <w:noProof/>
                <w:sz w:val="18"/>
              </w:rPr>
              <w:t xml:space="preserve">Das Ministerium hat die Investition abgeschlossen. </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A35F747" w14:textId="3E34D58A"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Übertragungsbescheinigung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35C54F4"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833FFA3" w14:textId="77777777"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DE2F8BE" w14:textId="77777777"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rPr>
            </w:pPr>
          </w:p>
        </w:tc>
        <w:tc>
          <w:tcPr>
            <w:tcW w:w="850" w:type="dxa"/>
            <w:tcBorders>
              <w:top w:val="single" w:sz="6" w:space="0" w:color="auto"/>
              <w:left w:val="single" w:sz="6" w:space="0" w:color="auto"/>
              <w:bottom w:val="single" w:sz="6" w:space="0" w:color="auto"/>
              <w:right w:val="single" w:sz="6" w:space="0" w:color="auto"/>
            </w:tcBorders>
            <w:shd w:val="clear" w:color="auto" w:fill="C6EFCE"/>
          </w:tcPr>
          <w:p w14:paraId="776D5368" w14:textId="18352C72" w:rsidR="00EB245A" w:rsidRDefault="006021EE">
            <w:pPr>
              <w:pStyle w:val="Normal0"/>
              <w:pBdr>
                <w:top w:val="nil"/>
                <w:left w:val="nil"/>
                <w:bottom w:val="nil"/>
                <w:right w:val="nil"/>
                <w:between w:val="nil"/>
              </w:pBdr>
              <w:spacing w:after="0" w:line="240" w:lineRule="auto"/>
              <w:jc w:val="center"/>
              <w:rPr>
                <w:rStyle w:val="eop"/>
                <w:rFonts w:ascii="Times New Roman" w:eastAsia="Times New Roman" w:hAnsi="Times New Roman" w:cs="Times New Roman"/>
                <w:noProof/>
                <w:sz w:val="18"/>
              </w:rPr>
            </w:pPr>
            <w:r>
              <w:rPr>
                <w:rStyle w:val="normaltextrun"/>
                <w:rFonts w:ascii="Times New Roman" w:hAnsi="Times New Roman"/>
                <w:noProof/>
                <w:sz w:val="18"/>
              </w:rPr>
              <w:t>Q2</w:t>
            </w:r>
          </w:p>
        </w:tc>
        <w:tc>
          <w:tcPr>
            <w:tcW w:w="709" w:type="dxa"/>
            <w:tcBorders>
              <w:top w:val="single" w:sz="6" w:space="0" w:color="auto"/>
              <w:left w:val="single" w:sz="6" w:space="0" w:color="auto"/>
              <w:bottom w:val="single" w:sz="6" w:space="0" w:color="auto"/>
              <w:right w:val="single" w:sz="6" w:space="0" w:color="auto"/>
            </w:tcBorders>
            <w:shd w:val="clear" w:color="auto" w:fill="C6EFCE"/>
          </w:tcPr>
          <w:p w14:paraId="3825BA70" w14:textId="5C718ACB" w:rsidR="00EB245A" w:rsidRDefault="006021EE">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rPr>
            </w:pPr>
            <w:r>
              <w:rPr>
                <w:rStyle w:val="normaltextrun"/>
                <w:rFonts w:ascii="Times New Roman" w:hAnsi="Times New Roman"/>
                <w:noProof/>
                <w:sz w:val="18"/>
              </w:rPr>
              <w:t xml:space="preserve">2026 </w:t>
            </w:r>
          </w:p>
        </w:tc>
        <w:tc>
          <w:tcPr>
            <w:tcW w:w="2410" w:type="dxa"/>
            <w:tcBorders>
              <w:top w:val="single" w:sz="6" w:space="0" w:color="auto"/>
              <w:left w:val="single" w:sz="6" w:space="0" w:color="auto"/>
              <w:bottom w:val="single" w:sz="6" w:space="0" w:color="auto"/>
              <w:right w:val="single" w:sz="6" w:space="0" w:color="auto"/>
            </w:tcBorders>
            <w:shd w:val="clear" w:color="auto" w:fill="C6EFCE"/>
          </w:tcPr>
          <w:p w14:paraId="1A6E25B1" w14:textId="54F64545" w:rsidR="00EB245A" w:rsidRDefault="006021EE">
            <w:pPr>
              <w:pStyle w:val="Normal0"/>
              <w:pBdr>
                <w:top w:val="nil"/>
                <w:left w:val="nil"/>
                <w:bottom w:val="nil"/>
                <w:right w:val="nil"/>
                <w:between w:val="nil"/>
              </w:pBdr>
              <w:spacing w:after="0" w:line="240" w:lineRule="auto"/>
              <w:rPr>
                <w:rStyle w:val="eop"/>
                <w:rFonts w:ascii="Times New Roman" w:eastAsia="Times New Roman" w:hAnsi="Times New Roman" w:cs="Times New Roman"/>
                <w:noProof/>
                <w:sz w:val="18"/>
              </w:rPr>
            </w:pPr>
            <w:r>
              <w:rPr>
                <w:rStyle w:val="normaltextrun"/>
                <w:rFonts w:ascii="Times New Roman" w:hAnsi="Times New Roman"/>
                <w:noProof/>
                <w:sz w:val="18"/>
              </w:rPr>
              <w:t xml:space="preserve">Polen überträgt 320 Mio. EUR an BGK für die Regelung, zusätzlich zu den 320 Mio. EUR, die bereits im Rahmen des Etappenziels B21cG übertragen wurden. </w:t>
            </w:r>
          </w:p>
        </w:tc>
      </w:tr>
      <w:tr w:rsidR="0028767D" w14:paraId="1CA1A385" w14:textId="77777777" w:rsidTr="0028767D">
        <w:trPr>
          <w:trHeight w:val="313"/>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9D24EC" w14:textId="4BBD489A"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B37G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4887D5" w14:textId="0A07C67A"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B2.2.3 Bau von Offshore-Terminal-Infrastrukturen</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3D37D40"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Meilenstein</w:t>
            </w:r>
          </w:p>
        </w:tc>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7A79C46" w14:textId="6E7E13A9"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Bau eines neuen Terminals für die Installation von Offshore-Windkraftanlagen </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C5D87ED" w14:textId="2999BA70"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Abschluss der Bauarbeiten und des vorläufigen Mietvertrags für das Terminal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504E88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C90C70"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C1387E"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BCC829" w14:textId="099225D8"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CCF64FE" w14:textId="54C8B6FA"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highlight w:val="green"/>
              </w:rPr>
            </w:pPr>
            <w:r>
              <w:rPr>
                <w:noProof/>
              </w:rPr>
              <w:t>2026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946C54A" w14:textId="2184CD93" w:rsidR="00EB245A" w:rsidRDefault="006021EE">
            <w:pPr>
              <w:pStyle w:val="P68B1DB1-Normal13"/>
              <w:spacing w:after="0" w:line="240" w:lineRule="auto"/>
              <w:jc w:val="both"/>
              <w:rPr>
                <w:noProof/>
              </w:rPr>
            </w:pPr>
            <w:r>
              <w:rPr>
                <w:noProof/>
              </w:rPr>
              <w:t xml:space="preserve">Die Bauarbeiten an einem neuen Terminal für die Installation von Offshore-Windenergie </w:t>
            </w:r>
            <w:r>
              <w:rPr>
                <w:noProof/>
              </w:rPr>
              <w:t>sind abzuschließen. Das Terminal muss über mindestens zwei Betriebsliegeplätze verfügen: ein Liegeplatz für Offshore-Windkraftanlagenschiffe (die mindestens zwei Offshore-Jack-up-Schiffe aufnehmen) und ein ankommender Liegeplatz für Lo-Lo- und Ro-Ro-Schiff</w:t>
            </w:r>
            <w:r>
              <w:rPr>
                <w:noProof/>
              </w:rPr>
              <w:t>e, die Offshore-Windenergiekomponenten liefern.</w:t>
            </w:r>
          </w:p>
          <w:p w14:paraId="449AD21D" w14:textId="77777777" w:rsidR="00EB245A" w:rsidRDefault="00EB245A">
            <w:pPr>
              <w:spacing w:after="0" w:line="240" w:lineRule="auto"/>
              <w:jc w:val="both"/>
              <w:rPr>
                <w:rFonts w:ascii="Times New Roman" w:hAnsi="Times New Roman"/>
                <w:noProof/>
                <w:color w:val="000000" w:themeColor="text1"/>
                <w:sz w:val="18"/>
              </w:rPr>
            </w:pPr>
          </w:p>
          <w:p w14:paraId="580161D2" w14:textId="5CA57457" w:rsidR="00EB245A" w:rsidRDefault="006021EE">
            <w:pPr>
              <w:pStyle w:val="P68B1DB1-Normal26"/>
              <w:spacing w:after="0" w:line="240" w:lineRule="auto"/>
              <w:jc w:val="both"/>
              <w:rPr>
                <w:rFonts w:eastAsia="Times New Roman" w:cs="Times New Roman"/>
                <w:noProof/>
                <w:color w:val="FF0000"/>
              </w:rPr>
            </w:pPr>
            <w:r>
              <w:rPr>
                <w:noProof/>
              </w:rPr>
              <w:t xml:space="preserve">Für die Hauptnutzung des Terminals für die Installation von bodenfesten und schwimmenden Offshore-Windkraftanlagen sind rechtsverbindliche vorläufige Pachtverträge für das neue Terminal zu unterzeichnen. </w:t>
            </w:r>
          </w:p>
        </w:tc>
      </w:tr>
      <w:tr w:rsidR="0028767D" w14:paraId="11DBEFF9" w14:textId="77777777" w:rsidTr="0028767D">
        <w:trPr>
          <w:trHeight w:val="313"/>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D8C1C99" w14:textId="44765986"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B38G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BC5D6DE"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B2.2.3 Bau von Offshore-Terminal-Infrastrukturen</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A7EE495"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5C5B22" w14:textId="6356D62C" w:rsidR="00EB245A" w:rsidRDefault="006021EE">
            <w:pPr>
              <w:pStyle w:val="P68B1DB1-Normal012"/>
              <w:spacing w:after="0" w:line="240" w:lineRule="auto"/>
              <w:rPr>
                <w:rFonts w:eastAsia="Times New Roman" w:cs="Times New Roman"/>
                <w:noProof/>
              </w:rPr>
            </w:pPr>
            <w:r>
              <w:rPr>
                <w:noProof/>
              </w:rPr>
              <w:t>Modernisierung/Erweiterung der Anlagen in den Häfen von Łeba, Ustka und Darłowo zur Wartung und Wartung von Offshore-Windanlagen</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95730C5"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55CF35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717F1A"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842F596" w14:textId="43FF749D" w:rsidR="00EB245A" w:rsidRDefault="006021EE">
            <w:pPr>
              <w:pStyle w:val="P68B1DB1-Normal012"/>
              <w:spacing w:after="0" w:line="240" w:lineRule="auto"/>
              <w:jc w:val="right"/>
              <w:rPr>
                <w:rFonts w:eastAsia="Times New Roman" w:cs="Times New Roman"/>
                <w:noProof/>
              </w:rPr>
            </w:pPr>
            <w:r>
              <w:rPr>
                <w:noProof/>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E55E20" w14:textId="3243BA8F"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C391F0A"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056A59A" w14:textId="5987FDF7" w:rsidR="00EB245A" w:rsidRDefault="006021EE">
            <w:pPr>
              <w:pStyle w:val="P68B1DB1-Normal26"/>
              <w:spacing w:after="160" w:line="240" w:lineRule="auto"/>
              <w:jc w:val="both"/>
              <w:rPr>
                <w:noProof/>
              </w:rPr>
            </w:pPr>
            <w:r>
              <w:rPr>
                <w:noProof/>
                <w:color w:val="000000" w:themeColor="text1"/>
              </w:rPr>
              <w:t xml:space="preserve">Die Modernisierung und/oder Erweiterung der </w:t>
            </w:r>
            <w:r>
              <w:rPr>
                <w:noProof/>
                <w:color w:val="000000" w:themeColor="text1"/>
              </w:rPr>
              <w:t>Anlagen in den Häfen von Łeba, Ustka und Darłowo zur Wartung und Wartung von Offshore-Windanlagen ist abzuschließen. Die</w:t>
            </w:r>
            <w:r>
              <w:rPr>
                <w:noProof/>
              </w:rPr>
              <w:t>Arbeiten in Ustka bestehen in der Modernisierung der Wellen des inneren Hafens und der Vertiefung der Wasserstraße. Die Arbeiten in Łeba</w:t>
            </w:r>
            <w:r>
              <w:rPr>
                <w:noProof/>
              </w:rPr>
              <w:t xml:space="preserve"> umfassen den Bau einer Anflugstraße mit einer Tiefe von mindestens 3,5 Metern. Die Investition in Darłowo besteht aus dem Wiederaufbau des Wellenbrechers, dem Bau einer Grube sowie dem Bau und der Restaurierung der Kais. </w:t>
            </w:r>
          </w:p>
          <w:p w14:paraId="7188D78C" w14:textId="0D0A0F14" w:rsidR="00EB245A" w:rsidRDefault="006021EE">
            <w:pPr>
              <w:pStyle w:val="P68B1DB1-Normal26"/>
              <w:spacing w:after="160" w:line="240" w:lineRule="auto"/>
              <w:jc w:val="both"/>
              <w:rPr>
                <w:rFonts w:eastAsia="Times New Roman" w:cs="Times New Roman"/>
                <w:noProof/>
                <w:color w:val="FF0000"/>
              </w:rPr>
            </w:pPr>
            <w:r>
              <w:rPr>
                <w:noProof/>
              </w:rPr>
              <w:t>Es sind rechtsverbindliche Konzes</w:t>
            </w:r>
            <w:r>
              <w:rPr>
                <w:noProof/>
              </w:rPr>
              <w:t>sionsverträge für die Nutzung von Hafenanlagen (z. B. Terminals oder Liegeplätzen) für die Wartung von Offshore-Windparks zu unterzeichnen.</w:t>
            </w:r>
          </w:p>
        </w:tc>
      </w:tr>
      <w:tr w:rsidR="0028767D" w14:paraId="44500E3B" w14:textId="77777777" w:rsidTr="0028767D">
        <w:trPr>
          <w:trHeight w:val="313"/>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714F9DC" w14:textId="7CC1F231"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B39G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F5411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B3.1 Unterstützung einer nachhaltigen Wasser- und Abwasserbewirtschaftung in ländlichen Gebieten </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E44F85"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Meilenstein</w:t>
            </w:r>
          </w:p>
        </w:tc>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A9CDD9"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Ausarbeitung von Vorschriften für die Territorialisierung der Unterstützung für Investitionen in die Wasserversorgung oder Abwasserentsorgung in ländlichen Gebieten </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A64C26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Annahme von Leitlinien durch den Minister für Landwirtschaft und ländliche Entwicklung.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FF380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663D94"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DFED68"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4CD473"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BFB259"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5B38641" w14:textId="33C59EE7"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r>
              <w:rPr>
                <w:rFonts w:ascii="Times New Roman" w:hAnsi="Times New Roman"/>
                <w:noProof/>
                <w:color w:val="000000" w:themeColor="text1"/>
                <w:sz w:val="18"/>
              </w:rPr>
              <w:t>Festlegung territorialer Kriterien für die Auswahl der Begünstigten.</w:t>
            </w:r>
            <w:r>
              <w:rPr>
                <w:noProof/>
              </w:rPr>
              <w:t xml:space="preserve">  </w:t>
            </w:r>
            <w:r>
              <w:rPr>
                <w:noProof/>
              </w:rPr>
              <w:br/>
            </w:r>
            <w:r>
              <w:rPr>
                <w:rFonts w:ascii="Times New Roman" w:hAnsi="Times New Roman"/>
                <w:noProof/>
                <w:color w:val="000000" w:themeColor="text1"/>
                <w:sz w:val="18"/>
              </w:rPr>
              <w:t>Bei den Auswahlkriterien wird den Gemeinden Vorrang eingeräumt, die am wenigsten in der Lage sind, Investitionen aus eigenen Mitteln zu finanzieren. Die Selbstverwaltung der</w:t>
            </w:r>
            <w:r>
              <w:rPr>
                <w:rFonts w:ascii="Times New Roman" w:hAnsi="Times New Roman"/>
                <w:noProof/>
                <w:color w:val="000000" w:themeColor="text1"/>
                <w:sz w:val="18"/>
              </w:rPr>
              <w:t xml:space="preserve"> Woiwodschaft wird an der Festlegung der Kriterien für die Auswahl der Begünstigten beteiligt.</w:t>
            </w:r>
          </w:p>
        </w:tc>
      </w:tr>
      <w:tr w:rsidR="0028767D" w14:paraId="0A9A0196" w14:textId="77777777" w:rsidTr="0028767D">
        <w:trPr>
          <w:trHeight w:val="313"/>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EC70749" w14:textId="6560FC60"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B40G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81001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B3.1 Unterstützung einer nachhaltigen Wasser- und Abwasserbewirtschaftung in ländlichen Gebieten </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B2936BE"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Meilenstein</w:t>
            </w:r>
          </w:p>
        </w:tc>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C3DFB8" w14:textId="5A31C34F"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Inkrafttreten eines Rechtsakts, mit dem eine </w:t>
            </w:r>
            <w:r>
              <w:rPr>
                <w:noProof/>
              </w:rPr>
              <w:t>Verpflichtung zur regelmäßigen Überwachung und Kontrolle geeigneter individueller Systeme eingeführt wird</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557950" w14:textId="70945A04"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Bestimmung des Rechtsakts, aus der hervorgeht, dass er in Kraft tritt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02408A0"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0786029"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F7B85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D331C6C"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69043E"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ECD1851" w14:textId="587E4FD9"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Inkrafttreten eines Rechtsakts, mit dem die Gemeinden verpflichtet</w:t>
            </w:r>
            <w:r>
              <w:rPr>
                <w:noProof/>
              </w:rPr>
              <w:t xml:space="preserve"> werden, die Entsorgung von Abwasser zu überwachen und zu kontrollieren und Instrumente zur Vermeidung einer unsachgemäßen Entsorgung zu verwenden, einschließlich des Mechanismus der sogenannten Ersatzleistung, d. h. die Organisation der Entleerung von Klä</w:t>
            </w:r>
            <w:r>
              <w:rPr>
                <w:noProof/>
              </w:rPr>
              <w:t>rgruben durch die Gemeinde für Eigentümer, die keine Verträge über die Entleerung von Klärgruben geschlossen haben.</w:t>
            </w:r>
          </w:p>
        </w:tc>
      </w:tr>
      <w:tr w:rsidR="0028767D" w14:paraId="2A3355ED" w14:textId="77777777" w:rsidTr="0028767D">
        <w:trPr>
          <w:trHeight w:val="313"/>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DEB7E5" w14:textId="7F4EF33F"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B41G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6D2308B"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B3.1.1 Investitionen in Abwasserbehandlungssysteme und Wasserversorgung in ländlichen Gebieten</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DBAA2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D4D5B3E" w14:textId="688F6A28" w:rsidR="00EB245A" w:rsidRDefault="006021EE">
            <w:pPr>
              <w:pStyle w:val="P68B1DB1-Normal011"/>
              <w:pBdr>
                <w:top w:val="nil"/>
                <w:left w:val="nil"/>
                <w:bottom w:val="nil"/>
                <w:right w:val="nil"/>
                <w:between w:val="nil"/>
              </w:pBdr>
              <w:spacing w:after="0" w:line="240" w:lineRule="auto"/>
              <w:rPr>
                <w:rFonts w:eastAsia="Times New Roman" w:cs="Times New Roman"/>
                <w:noProof/>
              </w:rPr>
            </w:pPr>
            <w:r>
              <w:rPr>
                <w:noProof/>
              </w:rPr>
              <w:t xml:space="preserve">Neue oder modernisierte Abwasser- und Wasserversorgungsinfrastruktur für die ländliche Bevölkerung  </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3EA6F2" w14:textId="77777777" w:rsidR="00EB245A" w:rsidRDefault="006021EE">
            <w:pPr>
              <w:pStyle w:val="P68B1DB1-Normal011"/>
              <w:pBdr>
                <w:top w:val="nil"/>
                <w:left w:val="nil"/>
                <w:bottom w:val="nil"/>
                <w:right w:val="nil"/>
                <w:between w:val="nil"/>
              </w:pBdr>
              <w:spacing w:after="0" w:line="240" w:lineRule="auto"/>
              <w:rPr>
                <w:rFonts w:eastAsia="Times New Roman" w:cs="Times New Roman"/>
                <w:noProof/>
              </w:rPr>
            </w:pPr>
            <w:r>
              <w:rPr>
                <w:noProof/>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D60139E" w14:textId="77777777" w:rsidR="00EB245A" w:rsidRDefault="006021EE">
            <w:pPr>
              <w:pStyle w:val="P68B1DB1-Normal011"/>
              <w:pBdr>
                <w:top w:val="nil"/>
                <w:left w:val="nil"/>
                <w:bottom w:val="nil"/>
                <w:right w:val="nil"/>
                <w:between w:val="nil"/>
              </w:pBdr>
              <w:spacing w:after="0" w:line="240" w:lineRule="auto"/>
              <w:rPr>
                <w:rFonts w:eastAsia="Times New Roman" w:cs="Times New Roman"/>
                <w:noProof/>
              </w:rPr>
            </w:pPr>
            <w:r>
              <w:rPr>
                <w:noProof/>
              </w:rPr>
              <w:t>Anzahl</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86DD9CC" w14:textId="77777777" w:rsidR="00EB245A" w:rsidRDefault="006021EE">
            <w:pPr>
              <w:pStyle w:val="P68B1DB1-Normal011"/>
              <w:pBdr>
                <w:top w:val="nil"/>
                <w:left w:val="nil"/>
                <w:bottom w:val="nil"/>
                <w:right w:val="nil"/>
                <w:between w:val="nil"/>
              </w:pBdr>
              <w:spacing w:after="0" w:line="240" w:lineRule="auto"/>
              <w:jc w:val="right"/>
              <w:rPr>
                <w:rFonts w:eastAsia="Times New Roman" w:cs="Times New Roman"/>
                <w:noProof/>
              </w:rPr>
            </w:pPr>
            <w:r>
              <w:rPr>
                <w:noProof/>
              </w:rPr>
              <w:t>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136AF33" w14:textId="691A4DC9" w:rsidR="00EB245A" w:rsidRDefault="006021EE">
            <w:pPr>
              <w:pStyle w:val="P68B1DB1-Normal011"/>
              <w:pBdr>
                <w:top w:val="nil"/>
                <w:left w:val="nil"/>
                <w:bottom w:val="nil"/>
                <w:right w:val="nil"/>
                <w:between w:val="nil"/>
              </w:pBdr>
              <w:spacing w:after="0" w:line="240" w:lineRule="auto"/>
              <w:jc w:val="right"/>
              <w:rPr>
                <w:rFonts w:eastAsia="Times New Roman" w:cs="Times New Roman"/>
                <w:noProof/>
              </w:rPr>
            </w:pPr>
            <w:r>
              <w:rPr>
                <w:noProof/>
              </w:rPr>
              <w:t>27522</w:t>
            </w:r>
          </w:p>
          <w:p w14:paraId="7C487665" w14:textId="187EFA9E"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sz w:val="1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6E2525C" w14:textId="77777777"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rPr>
            </w:pPr>
            <w:r>
              <w:rPr>
                <w:noProof/>
              </w:rPr>
              <w:t>Q4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0121D7F" w14:textId="77777777"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rPr>
            </w:pPr>
            <w:r>
              <w:rPr>
                <w:noProof/>
              </w:rPr>
              <w:t>2025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1FF0820" w14:textId="6A2E8F2C" w:rsidR="00EB245A" w:rsidRDefault="006021EE">
            <w:pPr>
              <w:pStyle w:val="Normal0"/>
              <w:spacing w:after="0" w:line="240" w:lineRule="auto"/>
              <w:rPr>
                <w:rFonts w:ascii="Times New Roman" w:eastAsia="Times New Roman" w:hAnsi="Times New Roman" w:cs="Times New Roman"/>
                <w:noProof/>
                <w:sz w:val="18"/>
              </w:rPr>
            </w:pPr>
            <w:r>
              <w:rPr>
                <w:rFonts w:ascii="Times New Roman" w:hAnsi="Times New Roman"/>
                <w:noProof/>
                <w:sz w:val="18"/>
              </w:rPr>
              <w:t xml:space="preserve">Neue und modernisierte Infrastruktur, die zusätzliche Anbindung der ländlichen Bevölkerung an die Infrastruktur für die </w:t>
            </w:r>
            <w:r>
              <w:rPr>
                <w:rFonts w:ascii="Times New Roman" w:hAnsi="Times New Roman"/>
                <w:noProof/>
                <w:sz w:val="18"/>
              </w:rPr>
              <w:t>Wasserversorgung und Abwasserbehandlung oder die Wiederherstellung oder Erweiterung bestehender Infrastrukturkapazitäten in Gemeinden ermöglicht, die den geänderten Vorschriften für die Abwasserentsorgung in vollem Umfang entsprechen. Die Unterstützung ric</w:t>
            </w:r>
            <w:r>
              <w:rPr>
                <w:rFonts w:ascii="Times New Roman" w:hAnsi="Times New Roman"/>
                <w:noProof/>
                <w:sz w:val="18"/>
              </w:rPr>
              <w:t>htet sich an Gebiete, deren Investitionskapazität infolge der COVID-19-Pandemie außerhalb von Ballungsräumen im Sinne von Artikel 86 des Wassergesetzes eingeschränkt wurde, sowie an Infrastrukturprojekte für die Abwasserbehandlung mit dem größten Potenzial</w:t>
            </w:r>
            <w:r>
              <w:rPr>
                <w:rFonts w:ascii="Times New Roman" w:hAnsi="Times New Roman"/>
                <w:noProof/>
                <w:sz w:val="18"/>
              </w:rPr>
              <w:t>, bestehende negative Umweltauswirkungen zu verringern. Die Begünstigten der Investition werden in einem offenen und transparenten Wettbewerb ausgewählt. Alternative Lösungen für die Infrastruktur für die Wasserversorgung und Abwasserbehandlung in ländlich</w:t>
            </w:r>
            <w:r>
              <w:rPr>
                <w:rFonts w:ascii="Times New Roman" w:hAnsi="Times New Roman"/>
                <w:noProof/>
                <w:sz w:val="18"/>
              </w:rPr>
              <w:t>en Gebieten (wie die Kombination kollektiver Systeme mit Klärgruben oder einzelnen Anlagen) sind in Betracht zu ziehen. Wasserentnahmen sind zu vermeiden, wenn sich die betreffenden Wasserkörper (Oberflächen- oder Grundwasser) in einem weniger als guten Zu</w:t>
            </w:r>
            <w:r>
              <w:rPr>
                <w:rFonts w:ascii="Times New Roman" w:hAnsi="Times New Roman"/>
                <w:noProof/>
                <w:sz w:val="18"/>
              </w:rPr>
              <w:t>stand oder Potenzial befinden oder (im Zusammenhang mit der Verschärfung des Klimawandels) projiziert werden.</w:t>
            </w:r>
          </w:p>
        </w:tc>
      </w:tr>
      <w:tr w:rsidR="0028767D" w14:paraId="2126B989" w14:textId="77777777" w:rsidTr="0028767D">
        <w:trPr>
          <w:trHeight w:val="300"/>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7F37562" w14:textId="260AD273" w:rsidR="00EB245A" w:rsidRDefault="006021EE">
            <w:pPr>
              <w:pStyle w:val="P68B1DB1-Normal011"/>
              <w:pBdr>
                <w:top w:val="nil"/>
                <w:left w:val="nil"/>
                <w:bottom w:val="nil"/>
                <w:right w:val="nil"/>
                <w:between w:val="nil"/>
              </w:pBdr>
              <w:spacing w:after="0" w:line="240" w:lineRule="auto"/>
              <w:jc w:val="center"/>
              <w:rPr>
                <w:noProof/>
              </w:rPr>
            </w:pPr>
            <w:r>
              <w:rPr>
                <w:noProof/>
              </w:rPr>
              <w:t>B42G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1EB1383" w14:textId="77777777" w:rsidR="00EB245A" w:rsidRDefault="006021EE">
            <w:pPr>
              <w:pStyle w:val="P68B1DB1-Normal012"/>
              <w:pBdr>
                <w:top w:val="nil"/>
                <w:left w:val="nil"/>
                <w:bottom w:val="nil"/>
                <w:right w:val="nil"/>
                <w:between w:val="nil"/>
              </w:pBdr>
              <w:spacing w:after="0" w:line="240" w:lineRule="auto"/>
              <w:rPr>
                <w:noProof/>
              </w:rPr>
            </w:pPr>
            <w:r>
              <w:rPr>
                <w:noProof/>
              </w:rPr>
              <w:t>B1.1.5 Verbesserung der Energieeffizienz in Wohngebäuden mit mehreren Wohnungen</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2583314" w14:textId="77777777" w:rsidR="00EB245A" w:rsidRDefault="006021EE">
            <w:pPr>
              <w:pStyle w:val="P68B1DB1-Normal012"/>
              <w:pBdr>
                <w:top w:val="nil"/>
                <w:left w:val="nil"/>
                <w:bottom w:val="nil"/>
                <w:right w:val="nil"/>
                <w:between w:val="nil"/>
              </w:pBdr>
              <w:spacing w:after="0" w:line="240" w:lineRule="auto"/>
              <w:rPr>
                <w:noProof/>
              </w:rPr>
            </w:pPr>
            <w:r>
              <w:rPr>
                <w:noProof/>
              </w:rPr>
              <w:t>Ziel</w:t>
            </w:r>
          </w:p>
        </w:tc>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CAC395F" w14:textId="77777777" w:rsidR="00EB245A" w:rsidRDefault="006021EE">
            <w:pPr>
              <w:pStyle w:val="P68B1DB1-Normal012"/>
              <w:pBdr>
                <w:top w:val="nil"/>
                <w:left w:val="nil"/>
                <w:bottom w:val="nil"/>
                <w:right w:val="nil"/>
                <w:between w:val="nil"/>
              </w:pBdr>
              <w:spacing w:after="0" w:line="240" w:lineRule="auto"/>
              <w:rPr>
                <w:noProof/>
                <w:color w:val="000000" w:themeColor="text1"/>
              </w:rPr>
            </w:pPr>
            <w:r>
              <w:rPr>
                <w:noProof/>
              </w:rPr>
              <w:t xml:space="preserve">T1 – Anlagen für erneuerbare Energien und </w:t>
            </w:r>
            <w:r>
              <w:rPr>
                <w:noProof/>
              </w:rPr>
              <w:t>Thermomodernisierungen in Gebäuden mit mehreren Wohnungen</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621A058"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112E99" w14:textId="77777777" w:rsidR="00EB245A" w:rsidRDefault="006021EE">
            <w:pPr>
              <w:pStyle w:val="P68B1DB1-Normal012"/>
              <w:pBdr>
                <w:top w:val="nil"/>
                <w:left w:val="nil"/>
                <w:bottom w:val="nil"/>
                <w:right w:val="nil"/>
                <w:between w:val="nil"/>
              </w:pBdr>
              <w:spacing w:after="0" w:line="240" w:lineRule="auto"/>
              <w:rPr>
                <w:noProof/>
              </w:rPr>
            </w:pPr>
            <w:r>
              <w:rPr>
                <w:noProof/>
              </w:rPr>
              <w:t>Anzahl</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5355796" w14:textId="77777777" w:rsidR="00EB245A" w:rsidRDefault="006021EE">
            <w:pPr>
              <w:pStyle w:val="P68B1DB1-Normal012"/>
              <w:pBdr>
                <w:top w:val="nil"/>
                <w:left w:val="nil"/>
                <w:bottom w:val="nil"/>
                <w:right w:val="nil"/>
                <w:between w:val="nil"/>
              </w:pBdr>
              <w:spacing w:after="0" w:line="240" w:lineRule="auto"/>
              <w:jc w:val="right"/>
              <w:rPr>
                <w:noProof/>
              </w:rPr>
            </w:pPr>
            <w:r>
              <w:rPr>
                <w:noProof/>
              </w:rPr>
              <w:t>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A6DCB37" w14:textId="42D0A047" w:rsidR="00EB245A" w:rsidRDefault="006021EE">
            <w:pPr>
              <w:pStyle w:val="P68B1DB1-Normal012"/>
              <w:pBdr>
                <w:top w:val="nil"/>
                <w:left w:val="nil"/>
                <w:bottom w:val="nil"/>
                <w:right w:val="nil"/>
                <w:between w:val="nil"/>
              </w:pBdr>
              <w:spacing w:after="0" w:line="240" w:lineRule="auto"/>
              <w:jc w:val="right"/>
              <w:rPr>
                <w:noProof/>
              </w:rPr>
            </w:pPr>
            <w:r>
              <w:rPr>
                <w:noProof/>
              </w:rPr>
              <w:t>40456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119DFE3" w14:textId="77777777" w:rsidR="00EB245A" w:rsidRDefault="006021EE">
            <w:pPr>
              <w:pStyle w:val="P68B1DB1-Normal012"/>
              <w:pBdr>
                <w:top w:val="nil"/>
                <w:left w:val="nil"/>
                <w:bottom w:val="nil"/>
                <w:right w:val="nil"/>
                <w:between w:val="nil"/>
              </w:pBdr>
              <w:spacing w:after="0" w:line="240" w:lineRule="auto"/>
              <w:jc w:val="center"/>
              <w:rPr>
                <w:noProof/>
              </w:rPr>
            </w:pPr>
            <w:r>
              <w:rPr>
                <w:noProof/>
              </w:rPr>
              <w:t>Q3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8AED84F" w14:textId="77777777" w:rsidR="00EB245A" w:rsidRDefault="006021EE">
            <w:pPr>
              <w:pStyle w:val="P68B1DB1-Normal012"/>
              <w:pBdr>
                <w:top w:val="nil"/>
                <w:left w:val="nil"/>
                <w:bottom w:val="nil"/>
                <w:right w:val="nil"/>
                <w:between w:val="nil"/>
              </w:pBdr>
              <w:spacing w:after="0" w:line="240" w:lineRule="auto"/>
              <w:jc w:val="center"/>
              <w:rPr>
                <w:noProof/>
              </w:rPr>
            </w:pPr>
            <w:r>
              <w:rPr>
                <w:noProof/>
              </w:rPr>
              <w:t>2023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AD4E86" w14:textId="01786352" w:rsidR="00EB245A" w:rsidRDefault="006021EE">
            <w:pPr>
              <w:pStyle w:val="P68B1DB1-Normal012"/>
              <w:spacing w:line="240" w:lineRule="auto"/>
              <w:rPr>
                <w:noProof/>
                <w:color w:val="000000" w:themeColor="text1"/>
              </w:rPr>
            </w:pPr>
            <w:r>
              <w:rPr>
                <w:noProof/>
              </w:rPr>
              <w:t>Anzahl der Wohnungen in Gebäuden mit mehreren Wohnungen, die thermomodernisiert oder mit Anlagen zur Nutzung erneuerbarer Energien ausgestattet sind.</w:t>
            </w:r>
          </w:p>
          <w:p w14:paraId="21AA6663" w14:textId="77777777" w:rsidR="00EB245A" w:rsidRDefault="006021EE">
            <w:pPr>
              <w:pStyle w:val="P68B1DB1-Normal012"/>
              <w:pBdr>
                <w:top w:val="nil"/>
                <w:left w:val="nil"/>
                <w:bottom w:val="nil"/>
                <w:right w:val="nil"/>
                <w:between w:val="nil"/>
              </w:pBdr>
              <w:spacing w:after="0" w:line="240" w:lineRule="auto"/>
              <w:rPr>
                <w:noProof/>
                <w:color w:val="000000" w:themeColor="text1"/>
              </w:rPr>
            </w:pPr>
            <w:r>
              <w:rPr>
                <w:noProof/>
              </w:rPr>
              <w:t xml:space="preserve">Investitionen werden im Rahmen des TERMO-Programms unterstützt. </w:t>
            </w:r>
          </w:p>
        </w:tc>
      </w:tr>
      <w:tr w:rsidR="0028767D" w14:paraId="2F97816C" w14:textId="77777777" w:rsidTr="0028767D">
        <w:trPr>
          <w:trHeight w:val="1362"/>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A880E1" w14:textId="20AF095B" w:rsidR="00EB245A" w:rsidRDefault="006021EE">
            <w:pPr>
              <w:pStyle w:val="P68B1DB1-Normal011"/>
              <w:pBdr>
                <w:top w:val="nil"/>
                <w:left w:val="nil"/>
                <w:bottom w:val="nil"/>
                <w:right w:val="nil"/>
                <w:between w:val="nil"/>
              </w:pBdr>
              <w:spacing w:after="0" w:line="240" w:lineRule="auto"/>
              <w:jc w:val="center"/>
              <w:rPr>
                <w:noProof/>
              </w:rPr>
            </w:pPr>
            <w:r>
              <w:rPr>
                <w:noProof/>
              </w:rPr>
              <w:t>B43G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C6515DA" w14:textId="77777777" w:rsidR="00EB245A" w:rsidRDefault="006021EE">
            <w:pPr>
              <w:pStyle w:val="P68B1DB1-Normal012"/>
              <w:pBdr>
                <w:top w:val="nil"/>
                <w:left w:val="nil"/>
                <w:bottom w:val="nil"/>
                <w:right w:val="nil"/>
                <w:between w:val="nil"/>
              </w:pBdr>
              <w:spacing w:after="0" w:line="240" w:lineRule="auto"/>
              <w:rPr>
                <w:noProof/>
              </w:rPr>
            </w:pPr>
            <w:r>
              <w:rPr>
                <w:noProof/>
              </w:rPr>
              <w:t>B1.1.5 Verbesserung der Energieeffizienz in Wohngebäuden mit mehreren Wohnungen</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040511" w14:textId="77777777" w:rsidR="00EB245A" w:rsidRDefault="006021EE">
            <w:pPr>
              <w:pStyle w:val="P68B1DB1-Normal012"/>
              <w:pBdr>
                <w:top w:val="nil"/>
                <w:left w:val="nil"/>
                <w:bottom w:val="nil"/>
                <w:right w:val="nil"/>
                <w:between w:val="nil"/>
              </w:pBdr>
              <w:spacing w:after="0" w:line="240" w:lineRule="auto"/>
              <w:rPr>
                <w:noProof/>
              </w:rPr>
            </w:pPr>
            <w:r>
              <w:rPr>
                <w:noProof/>
              </w:rPr>
              <w:t>Ziel</w:t>
            </w:r>
          </w:p>
        </w:tc>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4331D8" w14:textId="77777777" w:rsidR="00EB245A" w:rsidRDefault="006021EE">
            <w:pPr>
              <w:pStyle w:val="P68B1DB1-Normal012"/>
              <w:spacing w:line="240" w:lineRule="auto"/>
              <w:rPr>
                <w:noProof/>
                <w:color w:val="000000" w:themeColor="text1"/>
              </w:rPr>
            </w:pPr>
            <w:r>
              <w:rPr>
                <w:noProof/>
              </w:rPr>
              <w:t>T2 – Anlagen für erneuerbare Energien und Thermomodernisierungen in Gebäuden mit mehreren Wohnungen</w:t>
            </w:r>
          </w:p>
          <w:p w14:paraId="32DC0F0D" w14:textId="77777777" w:rsidR="00EB245A" w:rsidRDefault="00EB245A">
            <w:pPr>
              <w:pStyle w:val="Normal0"/>
              <w:pBdr>
                <w:top w:val="nil"/>
                <w:left w:val="nil"/>
                <w:bottom w:val="nil"/>
                <w:right w:val="nil"/>
                <w:between w:val="nil"/>
              </w:pBdr>
              <w:spacing w:after="0" w:line="240" w:lineRule="auto"/>
              <w:rPr>
                <w:rFonts w:ascii="Times New Roman" w:hAnsi="Times New Roman"/>
                <w:noProof/>
                <w:color w:val="000000" w:themeColor="text1"/>
                <w:sz w:val="18"/>
              </w:rPr>
            </w:pP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F3A288F"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532D0B0" w14:textId="77777777" w:rsidR="00EB245A" w:rsidRDefault="006021EE">
            <w:pPr>
              <w:pStyle w:val="P68B1DB1-Normal012"/>
              <w:pBdr>
                <w:top w:val="nil"/>
                <w:left w:val="nil"/>
                <w:bottom w:val="nil"/>
                <w:right w:val="nil"/>
                <w:between w:val="nil"/>
              </w:pBdr>
              <w:spacing w:after="0" w:line="240" w:lineRule="auto"/>
              <w:rPr>
                <w:noProof/>
              </w:rPr>
            </w:pPr>
            <w:r>
              <w:rPr>
                <w:noProof/>
              </w:rPr>
              <w:t>Anzahl</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97CC880" w14:textId="7F553261" w:rsidR="00EB245A" w:rsidRDefault="006021EE">
            <w:pPr>
              <w:pStyle w:val="P68B1DB1-Normal012"/>
              <w:pBdr>
                <w:top w:val="nil"/>
                <w:left w:val="nil"/>
                <w:bottom w:val="nil"/>
                <w:right w:val="nil"/>
                <w:between w:val="nil"/>
              </w:pBdr>
              <w:spacing w:after="0" w:line="240" w:lineRule="auto"/>
              <w:jc w:val="right"/>
              <w:rPr>
                <w:noProof/>
              </w:rPr>
            </w:pPr>
            <w:r>
              <w:rPr>
                <w:noProof/>
              </w:rPr>
              <w:t>40456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24CB2A" w14:textId="4A6B6A0F" w:rsidR="00EB245A" w:rsidRDefault="006021EE">
            <w:pPr>
              <w:pStyle w:val="P68B1DB1-Normal012"/>
              <w:pBdr>
                <w:top w:val="nil"/>
                <w:left w:val="nil"/>
                <w:bottom w:val="nil"/>
                <w:right w:val="nil"/>
                <w:between w:val="nil"/>
              </w:pBdr>
              <w:spacing w:after="0" w:line="240" w:lineRule="auto"/>
              <w:jc w:val="right"/>
              <w:rPr>
                <w:noProof/>
              </w:rPr>
            </w:pPr>
            <w:r>
              <w:rPr>
                <w:noProof/>
              </w:rPr>
              <w:t>788086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92DD0D" w14:textId="77777777" w:rsidR="00EB245A" w:rsidRDefault="006021EE">
            <w:pPr>
              <w:pStyle w:val="P68B1DB1-Normal012"/>
              <w:pBdr>
                <w:top w:val="nil"/>
                <w:left w:val="nil"/>
                <w:bottom w:val="nil"/>
                <w:right w:val="nil"/>
                <w:between w:val="nil"/>
              </w:pBdr>
              <w:spacing w:after="0" w:line="240" w:lineRule="auto"/>
              <w:jc w:val="center"/>
              <w:rPr>
                <w:noProof/>
              </w:rPr>
            </w:pPr>
            <w:r>
              <w:rPr>
                <w:noProof/>
              </w:rPr>
              <w:t>Q2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E3730EA" w14:textId="77777777" w:rsidR="00EB245A" w:rsidRDefault="006021EE">
            <w:pPr>
              <w:pStyle w:val="P68B1DB1-Normal012"/>
              <w:pBdr>
                <w:top w:val="nil"/>
                <w:left w:val="nil"/>
                <w:bottom w:val="nil"/>
                <w:right w:val="nil"/>
                <w:between w:val="nil"/>
              </w:pBdr>
              <w:spacing w:after="0" w:line="240" w:lineRule="auto"/>
              <w:jc w:val="center"/>
              <w:rPr>
                <w:noProof/>
              </w:rPr>
            </w:pPr>
            <w:r>
              <w:rPr>
                <w:noProof/>
              </w:rPr>
              <w:t>2026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AD4C507" w14:textId="2366BFB6" w:rsidR="00EB245A" w:rsidRDefault="006021EE">
            <w:pPr>
              <w:pStyle w:val="P68B1DB1-Normal012"/>
              <w:spacing w:after="0" w:line="240" w:lineRule="auto"/>
              <w:rPr>
                <w:rFonts w:eastAsia="Times New Roman" w:cs="Times New Roman"/>
                <w:noProof/>
                <w:color w:val="000000" w:themeColor="text1"/>
              </w:rPr>
            </w:pPr>
            <w:r>
              <w:rPr>
                <w:noProof/>
              </w:rPr>
              <w:t>Anzahl der Wohnungen in Gebäuden mit mehreren Wohnungen, die die für Posten B11aG festgelegten Anforderungen erfüllen.</w:t>
            </w:r>
          </w:p>
        </w:tc>
      </w:tr>
    </w:tbl>
    <w:p w14:paraId="7818863E"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rPr>
      </w:pPr>
    </w:p>
    <w:p w14:paraId="44F69B9A"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rPr>
        <w:sectPr w:rsidR="00EB245A" w:rsidSect="005E6922">
          <w:headerReference w:type="even" r:id="rId61"/>
          <w:headerReference w:type="default" r:id="rId62"/>
          <w:footerReference w:type="even" r:id="rId63"/>
          <w:footerReference w:type="default" r:id="rId64"/>
          <w:headerReference w:type="first" r:id="rId65"/>
          <w:footerReference w:type="first" r:id="rId66"/>
          <w:pgSz w:w="16839" w:h="11907" w:orient="landscape"/>
          <w:pgMar w:top="1134" w:right="1134" w:bottom="1134" w:left="1134" w:header="567" w:footer="567" w:gutter="0"/>
          <w:cols w:space="720"/>
          <w:docGrid w:linePitch="299"/>
        </w:sectPr>
      </w:pPr>
    </w:p>
    <w:p w14:paraId="6D55D467" w14:textId="6BAF6A1F" w:rsidR="00EB245A" w:rsidRDefault="006021E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u w:val="single"/>
        </w:rPr>
      </w:pPr>
      <w:r>
        <w:rPr>
          <w:rFonts w:ascii="Times New Roman" w:hAnsi="Times New Roman"/>
          <w:b/>
          <w:noProof/>
          <w:color w:val="000000" w:themeColor="text1"/>
          <w:sz w:val="24"/>
        </w:rPr>
        <w:t xml:space="preserve">B.3. </w:t>
      </w:r>
      <w:r>
        <w:rPr>
          <w:noProof/>
        </w:rPr>
        <w:t xml:space="preserve"> </w:t>
      </w:r>
      <w:r>
        <w:rPr>
          <w:rFonts w:ascii="Times New Roman" w:hAnsi="Times New Roman"/>
          <w:b/>
          <w:noProof/>
          <w:color w:val="000000" w:themeColor="text1"/>
          <w:sz w:val="24"/>
        </w:rPr>
        <w:t xml:space="preserve">Beschreibung der Reformen und </w:t>
      </w:r>
      <w:r>
        <w:rPr>
          <w:rFonts w:ascii="Times New Roman" w:hAnsi="Times New Roman"/>
          <w:b/>
          <w:noProof/>
          <w:color w:val="000000" w:themeColor="text1"/>
          <w:sz w:val="24"/>
        </w:rPr>
        <w:t>Investitionen (Darlehen)</w:t>
      </w:r>
    </w:p>
    <w:p w14:paraId="5F07D11E"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u w:val="single"/>
        </w:rPr>
      </w:pPr>
    </w:p>
    <w:p w14:paraId="5138E2E2" w14:textId="77777777" w:rsidR="00EB245A" w:rsidRDefault="006021EE">
      <w:pPr>
        <w:pStyle w:val="P68B1DB1-Normal015"/>
        <w:pBdr>
          <w:top w:val="nil"/>
          <w:left w:val="nil"/>
          <w:bottom w:val="nil"/>
          <w:right w:val="nil"/>
          <w:between w:val="nil"/>
        </w:pBdr>
        <w:spacing w:before="120" w:after="120" w:line="240" w:lineRule="auto"/>
        <w:jc w:val="both"/>
        <w:rPr>
          <w:rFonts w:eastAsia="Times New Roman" w:cs="Times New Roman"/>
          <w:noProof/>
          <w:color w:val="000000"/>
        </w:rPr>
      </w:pPr>
      <w:r>
        <w:rPr>
          <w:noProof/>
        </w:rPr>
        <w:t>B1.2 Erleichterung der Energieeinsparverpflichtung für Energieunternehmen</w:t>
      </w:r>
    </w:p>
    <w:p w14:paraId="7EBC1EC8" w14:textId="77777777" w:rsidR="00EB245A" w:rsidRDefault="006021EE">
      <w:pPr>
        <w:pStyle w:val="P68B1DB1-Normal06"/>
        <w:pBdr>
          <w:top w:val="nil"/>
          <w:left w:val="nil"/>
          <w:bottom w:val="nil"/>
          <w:right w:val="nil"/>
          <w:between w:val="nil"/>
        </w:pBdr>
        <w:spacing w:before="60" w:after="0" w:line="240" w:lineRule="auto"/>
        <w:jc w:val="both"/>
        <w:rPr>
          <w:rFonts w:eastAsia="Times New Roman" w:cs="Times New Roman"/>
          <w:noProof/>
          <w:color w:val="000000"/>
        </w:rPr>
      </w:pPr>
      <w:r>
        <w:rPr>
          <w:noProof/>
        </w:rPr>
        <w:t xml:space="preserve">Ziel der Reform ist es, das System der Energieeffizienzverpflichtung zu vereinfachen und zu erweitern. </w:t>
      </w:r>
    </w:p>
    <w:p w14:paraId="313933CF" w14:textId="77777777" w:rsidR="00EB245A" w:rsidRDefault="006021EE">
      <w:pPr>
        <w:pStyle w:val="P68B1DB1-Normal06"/>
        <w:pBdr>
          <w:top w:val="nil"/>
          <w:left w:val="nil"/>
          <w:bottom w:val="nil"/>
          <w:right w:val="nil"/>
          <w:between w:val="nil"/>
        </w:pBdr>
        <w:spacing w:before="60" w:after="120" w:line="240" w:lineRule="auto"/>
        <w:jc w:val="both"/>
        <w:rPr>
          <w:noProof/>
        </w:rPr>
      </w:pPr>
      <w:r>
        <w:rPr>
          <w:noProof/>
        </w:rPr>
        <w:t xml:space="preserve">Die Reform wird durch die Schaffung von </w:t>
      </w:r>
      <w:r>
        <w:rPr>
          <w:noProof/>
        </w:rPr>
        <w:t>Standard-Referenzwerten für verschiedene Arten von Energiesparmaßnahmen umgesetzt. Solche Maßnahmen müssen nicht mehr geprüft werden, was die Teilnahme kleinerer Unternehmen am System erleichtert. Ein weiteres Element der Reform ist die Einbeziehung von Kr</w:t>
      </w:r>
      <w:r>
        <w:rPr>
          <w:noProof/>
        </w:rPr>
        <w:t>aftstoffunternehmen, die flüssige Kraftstoffe für den Verkehr in Verkehr bringen, in das System der Energieeffizienzverpflichtung. Diese Unternehmen führen Projekte zur Verbesserung der Energieeffizienz durch, stornieren eine angemessene Anzahl weißer Zert</w:t>
      </w:r>
      <w:r>
        <w:rPr>
          <w:noProof/>
        </w:rPr>
        <w:t>ifikate oder entrichten unter bestimmten Bedingungen eine Ersatzgebühr.</w:t>
      </w:r>
    </w:p>
    <w:p w14:paraId="16974F20" w14:textId="1ECCC89F" w:rsidR="00EB245A" w:rsidRDefault="006021EE">
      <w:pPr>
        <w:pStyle w:val="P68B1DB1-Normal06"/>
        <w:pBdr>
          <w:top w:val="nil"/>
          <w:left w:val="nil"/>
          <w:bottom w:val="nil"/>
          <w:right w:val="nil"/>
          <w:between w:val="nil"/>
        </w:pBdr>
        <w:spacing w:before="60" w:after="120" w:line="240" w:lineRule="auto"/>
        <w:jc w:val="both"/>
        <w:rPr>
          <w:rFonts w:eastAsia="Times New Roman" w:cs="Times New Roman"/>
          <w:noProof/>
          <w:color w:val="000000"/>
        </w:rPr>
      </w:pPr>
      <w:r>
        <w:rPr>
          <w:noProof/>
        </w:rPr>
        <w:t>Die Umsetzung der Reform muss bis zum 30. Juni 2022 abgeschlossen sein.</w:t>
      </w:r>
    </w:p>
    <w:p w14:paraId="41508A3C" w14:textId="77777777" w:rsidR="00EB245A" w:rsidRDefault="00EB245A">
      <w:pPr>
        <w:pStyle w:val="Normal0"/>
        <w:pBdr>
          <w:top w:val="nil"/>
          <w:left w:val="nil"/>
          <w:bottom w:val="nil"/>
          <w:right w:val="nil"/>
          <w:between w:val="nil"/>
        </w:pBdr>
        <w:spacing w:before="120" w:after="120" w:line="240" w:lineRule="auto"/>
        <w:ind w:left="850"/>
        <w:jc w:val="both"/>
        <w:rPr>
          <w:rFonts w:ascii="Times New Roman" w:eastAsia="Times New Roman" w:hAnsi="Times New Roman" w:cs="Times New Roman"/>
          <w:noProof/>
          <w:color w:val="000000"/>
          <w:sz w:val="24"/>
          <w:u w:val="single"/>
        </w:rPr>
      </w:pPr>
    </w:p>
    <w:p w14:paraId="376E61A2" w14:textId="77777777" w:rsidR="00EB245A" w:rsidRDefault="006021EE">
      <w:pPr>
        <w:pStyle w:val="P68B1DB1-Normal015"/>
        <w:pBdr>
          <w:top w:val="nil"/>
          <w:left w:val="nil"/>
          <w:bottom w:val="nil"/>
          <w:right w:val="nil"/>
          <w:between w:val="nil"/>
        </w:pBdr>
        <w:spacing w:before="120" w:after="120" w:line="240" w:lineRule="auto"/>
        <w:jc w:val="both"/>
        <w:rPr>
          <w:rFonts w:eastAsia="Times New Roman" w:cs="Times New Roman"/>
          <w:noProof/>
          <w:color w:val="000000"/>
        </w:rPr>
      </w:pPr>
      <w:r>
        <w:rPr>
          <w:noProof/>
        </w:rPr>
        <w:t xml:space="preserve">B1.2.1 Energieeffizienz und erneuerbare Energien in Unternehmen – Investitionen mit dem höchsten Potenzial zur </w:t>
      </w:r>
      <w:r>
        <w:rPr>
          <w:noProof/>
        </w:rPr>
        <w:t>Verringerung der Treibhausgasemissionen</w:t>
      </w:r>
    </w:p>
    <w:p w14:paraId="2FB7BE45" w14:textId="0243E7F8" w:rsidR="00EB245A" w:rsidRDefault="006021EE">
      <w:pPr>
        <w:pStyle w:val="P68B1DB1-Normal06"/>
        <w:pBdr>
          <w:top w:val="nil"/>
          <w:left w:val="nil"/>
          <w:bottom w:val="nil"/>
          <w:right w:val="nil"/>
          <w:between w:val="nil"/>
        </w:pBdr>
        <w:spacing w:after="120" w:line="240" w:lineRule="auto"/>
        <w:jc w:val="both"/>
        <w:rPr>
          <w:rFonts w:eastAsia="Times New Roman" w:cs="Times New Roman"/>
          <w:noProof/>
          <w:color w:val="000000"/>
        </w:rPr>
      </w:pPr>
      <w:r>
        <w:rPr>
          <w:noProof/>
        </w:rPr>
        <w:t xml:space="preserve">Die Investition zielt darauf ab, den Endenergieverbrauch und die Treibhausgasemissionen von Unternehmen zu verringern. </w:t>
      </w:r>
    </w:p>
    <w:p w14:paraId="35D9448D" w14:textId="462591D8" w:rsidR="00EB245A" w:rsidRDefault="006021EE">
      <w:pPr>
        <w:pStyle w:val="P68B1DB1-Normal018"/>
        <w:pBdr>
          <w:top w:val="nil"/>
          <w:left w:val="nil"/>
          <w:bottom w:val="nil"/>
          <w:right w:val="nil"/>
          <w:between w:val="nil"/>
        </w:pBdr>
        <w:spacing w:after="120" w:line="240" w:lineRule="auto"/>
        <w:jc w:val="both"/>
        <w:rPr>
          <w:rFonts w:eastAsia="Times New Roman" w:cs="Times New Roman"/>
          <w:noProof/>
        </w:rPr>
      </w:pPr>
      <w:r>
        <w:rPr>
          <w:noProof/>
          <w:color w:val="000000" w:themeColor="text1"/>
        </w:rPr>
        <w:t>Die Umsetzung grüner Lösungen in Unternehmen zielt darauf ab, den Schwerpunkt auf die Verbesseru</w:t>
      </w:r>
      <w:r>
        <w:rPr>
          <w:noProof/>
          <w:color w:val="000000" w:themeColor="text1"/>
        </w:rPr>
        <w:t>ng der Industrie- und Energieprozesse zu legen, um die Energieeffizienz zu verbessern und die Energieintensität zu verringern, was zu einer Verringerung – und einer höheren Effizienz – des Energieverbrauchs sowie Investitionen in erneuerbare und CO2-arme E</w:t>
      </w:r>
      <w:r>
        <w:rPr>
          <w:noProof/>
          <w:color w:val="000000" w:themeColor="text1"/>
        </w:rPr>
        <w:t>nergiequellen in Unternehmen führt. Mit der Investition werden insbesondere i) der Bau, die Erweiterung oder die Modernisierung bestehender Industrie- und Produktionsanlagen, Industrieanlagen und Elektrizitätsanlagen zur Verbesserung ihrer Energieeffizienz</w:t>
      </w:r>
      <w:r>
        <w:rPr>
          <w:noProof/>
          <w:color w:val="000000" w:themeColor="text1"/>
        </w:rPr>
        <w:t xml:space="preserve"> unterstützt; II) Bau und Installation eigener erneuerbarer Energiequellen in Unternehmen, einschließlich Windkraftanlagen, Solarkollektoren, Photovoltaikpaneelen, Geothermiesystemen und Wärmepumpen; III) Bau von Energiespeicheranlagen in Unternehmen im Zu</w:t>
      </w:r>
      <w:r>
        <w:rPr>
          <w:noProof/>
          <w:color w:val="000000" w:themeColor="text1"/>
        </w:rPr>
        <w:t>sammenhang mit der Erzeugung von Energie aus erneuerbaren Quellen; IV) Aufbau/Aufrüstung eigener (interner) CO2-armer Energiequellen, einschließlich Kraft-Wärme-Kopplung; V) Erhöhung des Anteils emissionsarmer oder emissionsfreier Kraftstoffe in Herstellun</w:t>
      </w:r>
      <w:r>
        <w:rPr>
          <w:noProof/>
          <w:color w:val="000000" w:themeColor="text1"/>
        </w:rPr>
        <w:t>gsprozessen unter Einhaltung der höchsten Emissionsnormen; VI) Ersatz energetischer Wärmequellen durch Brennstoffe (feste, flüssige Brennstoffe, Gas) oder Elektrizität durch energieeffizientere Energiequellen; VII) Thermomodernisierung von Gebäuden und Anl</w:t>
      </w:r>
      <w:r>
        <w:rPr>
          <w:noProof/>
          <w:color w:val="000000" w:themeColor="text1"/>
        </w:rPr>
        <w:t>agen, die in industriellen Prozessen verwendet werden. Die Projekte werden auf der Grundlage</w:t>
      </w:r>
      <w:r>
        <w:rPr>
          <w:noProof/>
        </w:rPr>
        <w:t>eines offenen Auswahlverfahrens unter Berücksichtigung folgender Kriterien ausgewählt: I) Bereitschaft – Ausgereiftheit des Projekts für die Durchführung; II) Kohär</w:t>
      </w:r>
      <w:r>
        <w:rPr>
          <w:noProof/>
        </w:rPr>
        <w:t xml:space="preserve">enz mit bestehenden Plänen für Klimaneutralität; III) Grad der Verringerung der CO2- und PM2,5- und PM10-Emissionen; IV) Grad der Verringerung des Primärenergieverbrauchs. </w:t>
      </w:r>
    </w:p>
    <w:p w14:paraId="72F49B4D" w14:textId="2A58E935" w:rsidR="00EB245A" w:rsidRDefault="006021EE">
      <w:pPr>
        <w:pStyle w:val="Normal0"/>
        <w:pBdr>
          <w:top w:val="nil"/>
          <w:left w:val="nil"/>
          <w:bottom w:val="nil"/>
          <w:right w:val="nil"/>
          <w:between w:val="nil"/>
        </w:pBdr>
        <w:spacing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Um sicherzustellen, dass die Maßnahme den Technischen Leitlinien für die </w:t>
      </w:r>
      <w:r>
        <w:rPr>
          <w:rFonts w:ascii="Times New Roman" w:hAnsi="Times New Roman"/>
          <w:noProof/>
          <w:sz w:val="24"/>
        </w:rPr>
        <w:t>„Vermeidung erheblicher Beeinträchtigungen“ (2021/C 58/01) entspricht, werden die folgenden Tätigkeiten von den Förderkriterien für künftige Aufforderungen zur Einreichung von Projektvorschlägen ausgeschlossen: I) Tätigkeiten im Zusammenhang mit fossilen B</w:t>
      </w:r>
      <w:r>
        <w:rPr>
          <w:rFonts w:ascii="Times New Roman" w:hAnsi="Times New Roman"/>
          <w:noProof/>
          <w:sz w:val="24"/>
        </w:rPr>
        <w:t>rennstoffen, einschließlich nachgelagerter Verwendung</w:t>
      </w:r>
      <w:r w:rsidRPr="004E1987">
        <w:rPr>
          <w:rStyle w:val="FootnoteReference"/>
          <w:rFonts w:ascii="Times New Roman" w:eastAsia="Times New Roman" w:hAnsi="Times New Roman" w:cs="Times New Roman"/>
          <w:noProof/>
          <w:sz w:val="24"/>
        </w:rPr>
        <w:footnoteReference w:id="17"/>
      </w:r>
      <w:r>
        <w:rPr>
          <w:rFonts w:ascii="Times New Roman" w:hAnsi="Times New Roman"/>
          <w:noProof/>
          <w:sz w:val="24"/>
        </w:rPr>
        <w:t>; II) Tätigkeiten im Rahmen des EU-Emissionshandelssystems (EHS), bei denen projizierte Treibhausgasemissionen erreicht werden, die nicht unter den einschlägigen Benchmarks liegen</w:t>
      </w:r>
      <w:r w:rsidRPr="004E1987">
        <w:rPr>
          <w:rStyle w:val="FootnoteReference"/>
          <w:rFonts w:ascii="Times New Roman" w:eastAsia="Times New Roman" w:hAnsi="Times New Roman" w:cs="Times New Roman"/>
          <w:noProof/>
          <w:sz w:val="24"/>
        </w:rPr>
        <w:footnoteReference w:id="18"/>
      </w:r>
      <w:r>
        <w:rPr>
          <w:rFonts w:ascii="Times New Roman" w:hAnsi="Times New Roman"/>
          <w:noProof/>
          <w:sz w:val="24"/>
        </w:rPr>
        <w:t xml:space="preserve">; III) Tätigkeiten im </w:t>
      </w:r>
      <w:r>
        <w:rPr>
          <w:rFonts w:ascii="Times New Roman" w:hAnsi="Times New Roman"/>
          <w:noProof/>
          <w:sz w:val="24"/>
        </w:rPr>
        <w:t>Zusammenhang mit Abfalldeponien, Verbrennungsanlagen</w:t>
      </w:r>
      <w:r w:rsidRPr="004E1987">
        <w:rPr>
          <w:rStyle w:val="FootnoteReference"/>
          <w:rFonts w:ascii="Times New Roman" w:eastAsia="Times New Roman" w:hAnsi="Times New Roman" w:cs="Times New Roman"/>
          <w:noProof/>
          <w:sz w:val="24"/>
        </w:rPr>
        <w:footnoteReference w:id="19"/>
      </w:r>
      <w:r>
        <w:rPr>
          <w:rFonts w:ascii="Times New Roman" w:hAnsi="Times New Roman"/>
          <w:noProof/>
          <w:sz w:val="24"/>
        </w:rPr>
        <w:t xml:space="preserve"> und Anlagen zur mechanisch-biologischen Behandlung</w:t>
      </w:r>
      <w:r w:rsidRPr="004E1987">
        <w:rPr>
          <w:rStyle w:val="FootnoteReference"/>
          <w:rFonts w:ascii="Times New Roman" w:eastAsia="Times New Roman" w:hAnsi="Times New Roman" w:cs="Times New Roman"/>
          <w:noProof/>
          <w:sz w:val="24"/>
        </w:rPr>
        <w:footnoteReference w:id="20"/>
      </w:r>
      <w:r>
        <w:rPr>
          <w:rFonts w:ascii="Times New Roman" w:hAnsi="Times New Roman"/>
          <w:noProof/>
          <w:sz w:val="24"/>
        </w:rPr>
        <w:t>; und iv) Tätigkeiten, bei denen die langfristige Beseitigung von Abfällen der Umwelt schaden kann. In der Leistungsbeschreibung wird darüber hinaus vo</w:t>
      </w:r>
      <w:r>
        <w:rPr>
          <w:rFonts w:ascii="Times New Roman" w:hAnsi="Times New Roman"/>
          <w:noProof/>
          <w:sz w:val="24"/>
        </w:rPr>
        <w:t>rgeschrieben, dass nur Tätigkeiten ausgewählt werden dürfen, die mit den einschlägigen Umweltvorschriften der EU und der Mitgliedstaaten im Einklang stehen.</w:t>
      </w:r>
    </w:p>
    <w:p w14:paraId="2EE30DC5" w14:textId="3901014B" w:rsidR="00EB245A" w:rsidRDefault="006021EE">
      <w:pPr>
        <w:pStyle w:val="P68B1DB1-Normal16"/>
        <w:pBdr>
          <w:top w:val="nil"/>
          <w:left w:val="nil"/>
          <w:bottom w:val="nil"/>
          <w:right w:val="nil"/>
          <w:between w:val="nil"/>
        </w:pBdr>
        <w:spacing w:after="120" w:line="257" w:lineRule="auto"/>
        <w:jc w:val="both"/>
        <w:rPr>
          <w:rFonts w:eastAsia="Times New Roman" w:cs="Times New Roman"/>
          <w:noProof/>
          <w:color w:val="000000"/>
        </w:rPr>
      </w:pPr>
      <w:r>
        <w:rPr>
          <w:noProof/>
        </w:rPr>
        <w:t xml:space="preserve">Die Umsetzung der Investition wird bis 31. Dezember 2023 abgeschlossen sein. </w:t>
      </w:r>
    </w:p>
    <w:p w14:paraId="43D6B1D6"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sz w:val="24"/>
        </w:rPr>
      </w:pPr>
    </w:p>
    <w:p w14:paraId="1E600DCF" w14:textId="59BAECE4" w:rsidR="00EB245A" w:rsidRDefault="006021EE">
      <w:pPr>
        <w:pStyle w:val="P68B1DB1-Normal015"/>
        <w:pBdr>
          <w:top w:val="nil"/>
          <w:left w:val="nil"/>
          <w:bottom w:val="nil"/>
          <w:right w:val="nil"/>
          <w:between w:val="nil"/>
        </w:pBdr>
        <w:spacing w:before="120" w:after="120" w:line="240" w:lineRule="auto"/>
        <w:jc w:val="both"/>
        <w:rPr>
          <w:rFonts w:eastAsia="Times New Roman" w:cs="Times New Roman"/>
          <w:noProof/>
          <w:color w:val="000000"/>
        </w:rPr>
      </w:pPr>
      <w:r>
        <w:rPr>
          <w:noProof/>
        </w:rPr>
        <w:t xml:space="preserve">B2.3 Förderung von </w:t>
      </w:r>
      <w:r>
        <w:rPr>
          <w:noProof/>
        </w:rPr>
        <w:t>Investitionen in Offshore-Windparks</w:t>
      </w:r>
    </w:p>
    <w:p w14:paraId="438D33CA" w14:textId="77777777"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Ziel der Reform ist es, die wirksame Umsetzung und Weiterentwicklung der Offshore-Windenergie sicherzustellen.</w:t>
      </w:r>
    </w:p>
    <w:p w14:paraId="618D947F" w14:textId="558F1981" w:rsidR="00EB245A" w:rsidRDefault="006021EE">
      <w:pPr>
        <w:pStyle w:val="P68B1DB1-Normal06"/>
        <w:spacing w:before="120" w:after="120" w:line="240" w:lineRule="auto"/>
        <w:jc w:val="both"/>
        <w:rPr>
          <w:rFonts w:eastAsia="Times New Roman" w:cs="Times New Roman"/>
          <w:noProof/>
        </w:rPr>
      </w:pPr>
      <w:r>
        <w:rPr>
          <w:noProof/>
        </w:rPr>
        <w:t>Die Reform besteht in der Einführung detaillierter Anforderungen an Komponenten von Kraftwerken und an Offshore-Anlagenkomponenten sowie Bauanforderungen für Offshore-Anlagenkomponenten unter Berücksichtigung der Sicherheit und Zuverlässigkeit der Offshore</w:t>
      </w:r>
      <w:r>
        <w:rPr>
          <w:noProof/>
        </w:rPr>
        <w:t>-Leistungsleistung und der Kraftwerksmontage. Es tritt eine Verordnung in Kraft, in der der Höchstpreis pro 1 MWh (ausgedrückt in PLN) festgelegt wird, der in Geboten von Erzeugern im Rahmen einer Auktion angegeben werden kann. Die Umsetzung der Reform wir</w:t>
      </w:r>
      <w:r>
        <w:rPr>
          <w:noProof/>
        </w:rPr>
        <w:t>d bis zum 30. Juni 2024 abgeschlossen sein.</w:t>
      </w:r>
    </w:p>
    <w:p w14:paraId="0DC1472A" w14:textId="1B98ABE9"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Ziel der Reform ist es auch, die Auswirkungen der Zuteilungsbeschränkungen auf die Strommarktergebnisse zu verringern. Die Reform besteht in der Durchführung einer ausdrücklichen Beschaffung von Regelleistung (Re</w:t>
      </w:r>
      <w:r>
        <w:rPr>
          <w:noProof/>
        </w:rPr>
        <w:t>serven) durch den Übertragungsnetzbetreiber vor der einheitlichen Day-Ahead-Marktkopplung (Single Day-Ahead-Marktkopplung, SDAC) im Einklang mit der Empfehlung der ACER, die Höhe der angewandten Vergabebeschränkungen zu verringern. Die Durchführung der Ref</w:t>
      </w:r>
      <w:r>
        <w:rPr>
          <w:noProof/>
        </w:rPr>
        <w:t xml:space="preserve">orm muss bis zum 31. Dezember 2023 abgeschlossen sein. </w:t>
      </w:r>
    </w:p>
    <w:p w14:paraId="2D7DF40A" w14:textId="77777777"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Die Reform wird von Auktionen für die Stromerzeugung aus Offshore-Windparks begleitet. Die Versteigerungen werden bis zum 31. Dezember 2025 durchgeführt.</w:t>
      </w:r>
    </w:p>
    <w:p w14:paraId="17DBC151"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rPr>
      </w:pPr>
    </w:p>
    <w:p w14:paraId="54877A71" w14:textId="77777777" w:rsidR="00EB245A" w:rsidRDefault="006021EE">
      <w:pPr>
        <w:pStyle w:val="P68B1DB1-Normal015"/>
        <w:pBdr>
          <w:top w:val="nil"/>
          <w:left w:val="nil"/>
          <w:bottom w:val="nil"/>
          <w:right w:val="nil"/>
          <w:between w:val="nil"/>
        </w:pBdr>
        <w:spacing w:before="120" w:after="120" w:line="240" w:lineRule="auto"/>
        <w:jc w:val="both"/>
        <w:rPr>
          <w:rFonts w:eastAsia="Times New Roman" w:cs="Times New Roman"/>
          <w:noProof/>
          <w:color w:val="000000"/>
        </w:rPr>
      </w:pPr>
      <w:r>
        <w:rPr>
          <w:noProof/>
        </w:rPr>
        <w:t>B2.4 Rechtlicher Rahmen für die Entwicklung v</w:t>
      </w:r>
      <w:r>
        <w:rPr>
          <w:noProof/>
        </w:rPr>
        <w:t>on Energiespeicheranlagen</w:t>
      </w:r>
    </w:p>
    <w:p w14:paraId="7CEC3160" w14:textId="77777777"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 xml:space="preserve">Ziel der Reform ist es, bestehende rechtliche Hindernisse für die Entwicklung von Speichertechnologien zu beseitigen und ein stabiles rechtliches Umfeld für den Betrieb von Speicherunternehmen zu schaffen. </w:t>
      </w:r>
    </w:p>
    <w:p w14:paraId="7252320F" w14:textId="77777777"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Mit der Reform werden u</w:t>
      </w:r>
      <w:r>
        <w:rPr>
          <w:noProof/>
        </w:rPr>
        <w:t>nter anderem die Stromspeicherung von der Entgeltverpflichtung ausgenommen und die doppelte Erhebung von Netzentgelten beseitigt. Sie macht die Verpflichtung, eine Konzession/Eintragung in das Register zu erhalten, unabhängig von ihrer Kapazität von der ge</w:t>
      </w:r>
      <w:r>
        <w:rPr>
          <w:noProof/>
        </w:rPr>
        <w:t>samten installierten Stromspeicherkapazität abhängig. Der vorgeschlagene Rahmen für Speichertarife muss nichtdiskriminierend und kostenorientiert sein.</w:t>
      </w:r>
    </w:p>
    <w:p w14:paraId="0F9F6FCC" w14:textId="31515EC5" w:rsidR="00EB245A" w:rsidRDefault="006021EE">
      <w:pPr>
        <w:pStyle w:val="P68B1DB1-Normal06"/>
        <w:pBdr>
          <w:top w:val="nil"/>
          <w:left w:val="nil"/>
          <w:bottom w:val="nil"/>
          <w:right w:val="nil"/>
          <w:between w:val="nil"/>
        </w:pBdr>
        <w:spacing w:before="120" w:after="120" w:line="240" w:lineRule="auto"/>
        <w:jc w:val="both"/>
        <w:rPr>
          <w:noProof/>
        </w:rPr>
      </w:pPr>
      <w:r>
        <w:rPr>
          <w:noProof/>
        </w:rPr>
        <w:t>Die Umsetzung der Reform sollte bis zum 30. Juni 2021 abgeschlossen sein.</w:t>
      </w:r>
    </w:p>
    <w:p w14:paraId="614F269A"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rPr>
      </w:pPr>
    </w:p>
    <w:p w14:paraId="300D94BE" w14:textId="18D39161" w:rsidR="00EB245A" w:rsidRDefault="006021EE">
      <w:pPr>
        <w:pStyle w:val="P68B1DB1-Normal015"/>
        <w:pBdr>
          <w:top w:val="nil"/>
          <w:left w:val="nil"/>
          <w:bottom w:val="nil"/>
          <w:right w:val="nil"/>
          <w:between w:val="nil"/>
        </w:pBdr>
        <w:spacing w:before="120" w:after="120" w:line="240" w:lineRule="auto"/>
        <w:jc w:val="both"/>
        <w:rPr>
          <w:rFonts w:eastAsia="Times New Roman" w:cs="Times New Roman"/>
          <w:noProof/>
          <w:color w:val="000000"/>
        </w:rPr>
      </w:pPr>
      <w:r>
        <w:rPr>
          <w:noProof/>
        </w:rPr>
        <w:t xml:space="preserve">B3.2 Förderung der </w:t>
      </w:r>
      <w:r>
        <w:rPr>
          <w:noProof/>
        </w:rPr>
        <w:t>Wiederherstellung der Umwelt und des Schutzes vor gefährlichen Stoffen</w:t>
      </w:r>
    </w:p>
    <w:p w14:paraId="02249594" w14:textId="77777777"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Ziel der Reform ist es, die negativen Umweltauswirkungen großflächiger geschädigter Flächen zu verringern und eine koordinierte Neutralisierung von Bedrohungen in polnischen Meeresgebie</w:t>
      </w:r>
      <w:r>
        <w:rPr>
          <w:noProof/>
        </w:rPr>
        <w:t>ten zu ermöglichen.</w:t>
      </w:r>
    </w:p>
    <w:p w14:paraId="27FD176F" w14:textId="77777777"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Die Reform beinhaltet die Beseitigung organisatorischer und rechtlicher Hindernisse für die umfassende Beseitigung der negativen Umweltauswirkungen großer postindustrieller Gebiete. Der Schwerpunkt liegt auf vier unabhängigen Feldkompon</w:t>
      </w:r>
      <w:r>
        <w:rPr>
          <w:noProof/>
        </w:rPr>
        <w:t xml:space="preserve">enten (verschiedene Standorte und Umfange der Arbeiten): 1. ehemaliges „Tarnowskie Góry“ Chemical Plant in Tarnowskie Góry; 2) früher „Zachem“ Chemical Plant in Bydgoszcz; „Organika-Azot“ in Jaworzno; 4) ehemaliges „Boruta“ Dyes Industry Plant in Zgierz.  </w:t>
      </w:r>
    </w:p>
    <w:p w14:paraId="05E29859" w14:textId="0DC32930"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rPr>
      </w:pPr>
      <w:r>
        <w:rPr>
          <w:noProof/>
        </w:rPr>
        <w:t xml:space="preserve">Die Rechtsvorschriften zur Umsetzung dieser Änderungen treten am 31. Dezember 2022 in Kraft. </w:t>
      </w:r>
    </w:p>
    <w:p w14:paraId="01C879E5" w14:textId="19AD7EF7"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Der zweite Teil der Reform besteht in der Festlegung von Vorschriften für gefährliche Stoffe, die in der Ostsee versunken sind, um die Sicherheit für die menschl</w:t>
      </w:r>
      <w:r>
        <w:rPr>
          <w:noProof/>
        </w:rPr>
        <w:t>iche Gesundheit und den Zustand der Umwelt zu erhöhen. Darin werden die Zuständigkeiten der Behörden in den Rechtsvorschriften beschrieben; Ermittlung führender und kooperierender Stellen in Angelegenheiten im Zusammenhang mit der Ablagerung von Gefahrstof</w:t>
      </w:r>
      <w:r>
        <w:rPr>
          <w:noProof/>
        </w:rPr>
        <w:t>fen in Meeresgebieten; Ausarbeitung eines detaillierten Aktionsplans der öffentlichen Verwaltung und der überwachten und nachgeordneten Einheiten im Bereich der in Meeresgebieten abgelagerten Gefahrstoffe mit Angabe der Stellen, die für die Durchführung de</w:t>
      </w:r>
      <w:r>
        <w:rPr>
          <w:noProof/>
        </w:rPr>
        <w:t>r einzelnen Aufgaben zuständig sind; und rechtliche Änderungen vorzunehmen, um die Überwachung, Identifizierung und mögliche Gewinnung und Entsorgung gefährlicher Stoffe zu ermöglichen.</w:t>
      </w:r>
    </w:p>
    <w:p w14:paraId="400116A1" w14:textId="194F092A"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 xml:space="preserve">Die Rechtsvorschriften zur Umsetzung dieser Änderungen treten bis zum </w:t>
      </w:r>
      <w:r>
        <w:rPr>
          <w:noProof/>
        </w:rPr>
        <w:t>30. Juni 2025 in Kraft.</w:t>
      </w:r>
    </w:p>
    <w:p w14:paraId="687C6DE0"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rPr>
      </w:pPr>
    </w:p>
    <w:p w14:paraId="01440A02" w14:textId="77777777" w:rsidR="00EB245A" w:rsidRDefault="006021EE">
      <w:pPr>
        <w:pStyle w:val="P68B1DB1-Normal015"/>
        <w:pBdr>
          <w:top w:val="nil"/>
          <w:left w:val="nil"/>
          <w:bottom w:val="nil"/>
          <w:right w:val="nil"/>
          <w:between w:val="nil"/>
        </w:pBdr>
        <w:spacing w:before="120" w:after="120" w:line="240" w:lineRule="auto"/>
        <w:jc w:val="both"/>
        <w:rPr>
          <w:rFonts w:eastAsia="Times New Roman" w:cs="Times New Roman"/>
          <w:noProof/>
          <w:color w:val="000000"/>
        </w:rPr>
      </w:pPr>
      <w:r>
        <w:rPr>
          <w:noProof/>
        </w:rPr>
        <w:t>B3.2.1 Investitionen in die Risikoneutralisierung und die Sanierung großer Industriebrachen und der Ostsee</w:t>
      </w:r>
    </w:p>
    <w:p w14:paraId="66646483" w14:textId="36C6234F"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Ziel der Investition ist es, die von großen Industriebrachen ausgehende Bedrohung für die menschliche Gesundheit und das Leb</w:t>
      </w:r>
      <w:r>
        <w:rPr>
          <w:noProof/>
        </w:rPr>
        <w:t>en zu beseitigen, ihre negativen Auswirkungen auf die natürliche Umwelt so gering wie möglich zu halten und sie zur Wiederverwendung zurückzugewinnen, wobei das Verursacherprinzip und die Umwelthaftungsrichtlinie 2004/35/EG zu achten sind. Mit der Investit</w:t>
      </w:r>
      <w:r>
        <w:rPr>
          <w:noProof/>
        </w:rPr>
        <w:t>ion soll auch ein Beitrag zur Bewältigung der Risiken geleistet werden, die durch Verschmutzung und gefährliche Stoffe in polnischen Meeresgebieten entstehen.</w:t>
      </w:r>
    </w:p>
    <w:p w14:paraId="636A514B" w14:textId="77777777"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Die Investition besteht in der Entwicklung von Forschungsarbeiten und Studien, die zur Erstellung</w:t>
      </w:r>
      <w:r>
        <w:rPr>
          <w:noProof/>
        </w:rPr>
        <w:t xml:space="preserve"> einer vollständigen Investitionsdokumentation für vorab festgelegte Standorte führen, in denen erhebliche Probleme mit dem Vorhandensein von Schadstoffen oder gefährlichen Stoffen in einem großen Gebiet bestehen. Sie umfasst die Entwicklung von Feldforsch</w:t>
      </w:r>
      <w:r>
        <w:rPr>
          <w:noProof/>
        </w:rPr>
        <w:t>ung, Studien und Grundstücksinventaren als ersten, aber grundlegenden Schritt zur Vorbereitung einer vollständigen Investitionsdokumentation in den nächsten Schritten des Programms.</w:t>
      </w:r>
    </w:p>
    <w:p w14:paraId="779A13B6" w14:textId="77777777" w:rsidR="00EB245A" w:rsidRDefault="006021EE">
      <w:pPr>
        <w:pStyle w:val="P68B1DB1-Normal06"/>
        <w:spacing w:before="120" w:after="120" w:line="240" w:lineRule="auto"/>
        <w:jc w:val="both"/>
        <w:rPr>
          <w:rFonts w:eastAsia="Times New Roman" w:cs="Times New Roman"/>
          <w:noProof/>
        </w:rPr>
      </w:pPr>
      <w:r>
        <w:rPr>
          <w:noProof/>
        </w:rPr>
        <w:t xml:space="preserve">Die Durchführung der Investition muss bis zum 30. Juni 2026 abgeschlossen </w:t>
      </w:r>
      <w:r>
        <w:rPr>
          <w:noProof/>
        </w:rPr>
        <w:t>sein.</w:t>
      </w:r>
    </w:p>
    <w:p w14:paraId="257DAA1F" w14:textId="2FEC8394" w:rsidR="00EB245A" w:rsidRDefault="006021EE">
      <w:pPr>
        <w:pStyle w:val="P68B1DB1-Normal027"/>
        <w:spacing w:before="120" w:after="120" w:line="240" w:lineRule="auto"/>
        <w:jc w:val="both"/>
        <w:rPr>
          <w:rFonts w:eastAsia="Times New Roman" w:cs="Times New Roman"/>
          <w:noProof/>
          <w:sz w:val="24"/>
        </w:rPr>
      </w:pPr>
      <w:r>
        <w:rPr>
          <w:noProof/>
          <w:sz w:val="24"/>
        </w:rPr>
        <w:t>Mit</w:t>
      </w:r>
      <w:r>
        <w:rPr>
          <w:noProof/>
        </w:rPr>
        <w:t xml:space="preserve"> der </w:t>
      </w:r>
      <w:r>
        <w:rPr>
          <w:noProof/>
          <w:sz w:val="24"/>
        </w:rPr>
        <w:t>Investition sollen auch Aufklärungs- und Messkampagnen in der Ostsee sowie eine Analyse der gewonnenen Daten als notwendiger Schritt zur Erstellung einer vollständigen Dokumentation für die Neutralisierungspläne unterstützt werden.</w:t>
      </w:r>
    </w:p>
    <w:p w14:paraId="048D79BB" w14:textId="4C45CAAA" w:rsidR="00EB245A" w:rsidRDefault="006021EE">
      <w:pPr>
        <w:pStyle w:val="P68B1DB1-Normal06"/>
        <w:spacing w:before="120" w:after="120" w:line="240" w:lineRule="auto"/>
        <w:jc w:val="both"/>
        <w:rPr>
          <w:rFonts w:eastAsia="Times New Roman" w:cs="Times New Roman"/>
          <w:noProof/>
        </w:rPr>
      </w:pPr>
      <w:r>
        <w:rPr>
          <w:noProof/>
        </w:rPr>
        <w:t>Die Durchf</w:t>
      </w:r>
      <w:r>
        <w:rPr>
          <w:noProof/>
        </w:rPr>
        <w:t>ührung der Investition muss bis zum 31. Dezember 2025 abgeschlossen sein.</w:t>
      </w:r>
    </w:p>
    <w:p w14:paraId="5B2F9378"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rPr>
      </w:pPr>
    </w:p>
    <w:p w14:paraId="61D11A9B" w14:textId="77777777" w:rsidR="00EB245A" w:rsidRDefault="006021EE">
      <w:pPr>
        <w:pStyle w:val="P68B1DB1-Normal015"/>
        <w:pBdr>
          <w:top w:val="nil"/>
          <w:left w:val="nil"/>
          <w:bottom w:val="nil"/>
          <w:right w:val="nil"/>
          <w:between w:val="nil"/>
        </w:pBdr>
        <w:spacing w:before="120" w:after="120" w:line="240" w:lineRule="auto"/>
        <w:jc w:val="both"/>
        <w:rPr>
          <w:rFonts w:eastAsia="Times New Roman" w:cs="Times New Roman"/>
          <w:noProof/>
          <w:color w:val="000000"/>
        </w:rPr>
      </w:pPr>
      <w:r>
        <w:rPr>
          <w:noProof/>
        </w:rPr>
        <w:t>B3.3 Unterstützung der nachhaltigen Bewirtschaftung der Wasserressourcen in der Landwirtschaft und im ländlichen Raum</w:t>
      </w:r>
    </w:p>
    <w:p w14:paraId="1A32BC16" w14:textId="77777777"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Ziel der Reform ist es, die Bedingungen für Investitionen in di</w:t>
      </w:r>
      <w:r>
        <w:rPr>
          <w:noProof/>
        </w:rPr>
        <w:t>e Wasserbewirtschaftung und Ressourceneffizienz in ländlichen Gebieten zu verbessern. Die Reform trägt dazu bei, die Widerstandsfähigkeit der Landwirtschaft gegenüber Dürre- und Hochwasserprävention in landwirtschaftlichen Gebieten zu erhöhen; Verbesserung</w:t>
      </w:r>
      <w:r>
        <w:rPr>
          <w:noProof/>
        </w:rPr>
        <w:t xml:space="preserve"> der Wassereffizienz durch angemessene Regulierung der Wasserbeziehungen in landwirtschaftlichen Gebieten und Verringerung des Abflusses; und die Verbesserung der Wasserrückhaltung.</w:t>
      </w:r>
    </w:p>
    <w:p w14:paraId="67D341F6" w14:textId="77777777" w:rsidR="00EB245A" w:rsidRDefault="006021EE">
      <w:pPr>
        <w:pStyle w:val="P68B1DB1-Normal018"/>
        <w:pBdr>
          <w:top w:val="nil"/>
          <w:left w:val="nil"/>
          <w:bottom w:val="nil"/>
          <w:right w:val="nil"/>
          <w:between w:val="nil"/>
        </w:pBdr>
        <w:spacing w:before="120" w:after="120" w:line="240" w:lineRule="auto"/>
        <w:jc w:val="both"/>
        <w:rPr>
          <w:rFonts w:eastAsia="Times New Roman" w:cs="Times New Roman"/>
          <w:noProof/>
          <w:color w:val="000000" w:themeColor="text1"/>
        </w:rPr>
      </w:pPr>
      <w:r>
        <w:rPr>
          <w:noProof/>
          <w:color w:val="000000" w:themeColor="text1"/>
        </w:rPr>
        <w:t xml:space="preserve">Die Reform besteht aus Änderungen der nationalen Rechtsvorschriften, die </w:t>
      </w:r>
      <w:r>
        <w:rPr>
          <w:noProof/>
          <w:color w:val="000000" w:themeColor="text1"/>
        </w:rPr>
        <w:t>erforderlich sind, um die Bedingungen für eine widerstandsfähige Wasserbewirtschaftung in der Landwirtschaft und in ländlichen Gebieten zu verbessern</w:t>
      </w:r>
      <w:r>
        <w:rPr>
          <w:noProof/>
        </w:rPr>
        <w:t>. Die Änderungen erleichtern die Vorbereitung und Durchführung von Investitionen in die Wasserrückhaltung u</w:t>
      </w:r>
      <w:r>
        <w:rPr>
          <w:noProof/>
        </w:rPr>
        <w:t>nd die Einstellung der Abwässerung von landwirtschaftlichen Flächen, insbesondere Investitionen im Zusammenhang mit dem Wiederaufbau und dem Wiederaufbau von Entwässerungsvorrichtungen, damit diese die Funktion der Wasserrückhaltung erfüllen und somit land</w:t>
      </w:r>
      <w:r>
        <w:rPr>
          <w:noProof/>
        </w:rPr>
        <w:t xml:space="preserve">wirtschaftliche Flächen vor Dürre schützen und das Hochwasserrisiko begrenzen. </w:t>
      </w:r>
    </w:p>
    <w:p w14:paraId="56C567A9" w14:textId="4332E4C2" w:rsidR="00EB245A" w:rsidRDefault="006021EE">
      <w:pPr>
        <w:pStyle w:val="P68B1DB1-Normal018"/>
        <w:pBdr>
          <w:top w:val="nil"/>
          <w:left w:val="nil"/>
          <w:bottom w:val="nil"/>
          <w:right w:val="nil"/>
          <w:between w:val="nil"/>
        </w:pBdr>
        <w:spacing w:before="120" w:after="120" w:line="240" w:lineRule="auto"/>
        <w:jc w:val="both"/>
        <w:rPr>
          <w:rFonts w:eastAsia="Times New Roman" w:cs="Times New Roman"/>
          <w:noProof/>
          <w:color w:val="000000" w:themeColor="text1"/>
        </w:rPr>
      </w:pPr>
      <w:r>
        <w:rPr>
          <w:noProof/>
        </w:rPr>
        <w:t>Die Reform muss den Anforderungen der Technischen Leitlinien für die „Vermeidung erheblicher Beeinträchtigungen“ (2021/C 58/01) entsprechen, insbesondere die Einhaltung der EU-</w:t>
      </w:r>
      <w:r>
        <w:rPr>
          <w:noProof/>
        </w:rPr>
        <w:t>Umweltvorschriften, einschließlich der UVP-Richtlinie (2011/92/EU) und der Wasserrahmenrichtlinie (2000/60/EG).</w:t>
      </w:r>
    </w:p>
    <w:p w14:paraId="470C9946" w14:textId="5C774B52" w:rsidR="00EB245A" w:rsidRDefault="006021EE">
      <w:pPr>
        <w:pStyle w:val="P68B1DB1-Normal018"/>
        <w:pBdr>
          <w:top w:val="nil"/>
          <w:left w:val="nil"/>
          <w:bottom w:val="nil"/>
          <w:right w:val="nil"/>
          <w:between w:val="nil"/>
        </w:pBdr>
        <w:spacing w:before="120" w:after="120" w:line="240" w:lineRule="auto"/>
        <w:jc w:val="both"/>
        <w:rPr>
          <w:rFonts w:eastAsia="Times New Roman" w:cs="Times New Roman"/>
          <w:noProof/>
          <w:color w:val="000000"/>
        </w:rPr>
      </w:pPr>
      <w:r>
        <w:rPr>
          <w:noProof/>
        </w:rPr>
        <w:t>Die Änderungen dürfen nicht zu einer Verschlechterung</w:t>
      </w:r>
      <w:r>
        <w:rPr>
          <w:noProof/>
          <w:color w:val="000000" w:themeColor="text1"/>
        </w:rPr>
        <w:t xml:space="preserve"> des Niveaus der Einhaltung des EU-Umweltrechts führen, insbesondere in Bezug auf Investiti</w:t>
      </w:r>
      <w:r>
        <w:rPr>
          <w:noProof/>
          <w:color w:val="000000" w:themeColor="text1"/>
        </w:rPr>
        <w:t>onen, die gemäß der Verordnung des Ministerrats als erhebliche oder potenziell erhebliche Investitionen in Projekte gelten, die voraussichtlich erhebliche Auswirkungen auf die Umwelt haben werden, und Investitionen in Natura-2000-Gebieten oder Investitione</w:t>
      </w:r>
      <w:r>
        <w:rPr>
          <w:noProof/>
          <w:color w:val="000000" w:themeColor="text1"/>
        </w:rPr>
        <w:t xml:space="preserve">n in Natura-2000-Gebieten. Darüber hinaus dürfen die Änderungen nicht zu einer Änderung der derzeit verbindlichen Vorschriften über die Wasseraufnahme führen.  </w:t>
      </w:r>
    </w:p>
    <w:p w14:paraId="542D6C7C" w14:textId="77777777"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Die Umsetzung der Reform muss bis zum 30. Juni 2022 abgeschlossen sein.</w:t>
      </w:r>
    </w:p>
    <w:p w14:paraId="58E6DD4E"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rPr>
      </w:pPr>
    </w:p>
    <w:p w14:paraId="4512C12F" w14:textId="77777777" w:rsidR="00EB245A" w:rsidRDefault="006021EE">
      <w:pPr>
        <w:pStyle w:val="P68B1DB1-Normal015"/>
        <w:pBdr>
          <w:top w:val="nil"/>
          <w:left w:val="nil"/>
          <w:bottom w:val="nil"/>
          <w:right w:val="nil"/>
          <w:between w:val="nil"/>
        </w:pBdr>
        <w:spacing w:before="120" w:after="120" w:line="240" w:lineRule="auto"/>
        <w:jc w:val="both"/>
        <w:rPr>
          <w:rFonts w:eastAsia="Times New Roman" w:cs="Times New Roman"/>
          <w:noProof/>
          <w:color w:val="000000"/>
        </w:rPr>
      </w:pPr>
      <w:r>
        <w:rPr>
          <w:noProof/>
        </w:rPr>
        <w:t xml:space="preserve">B3.3.1 Investitionen </w:t>
      </w:r>
      <w:r>
        <w:rPr>
          <w:noProof/>
        </w:rPr>
        <w:t>zur Steigerung des Potenzials einer nachhaltigen Wasserbewirtschaftung in ländlichen Gebieten</w:t>
      </w:r>
    </w:p>
    <w:p w14:paraId="0B79D10B" w14:textId="77777777" w:rsidR="00EB245A" w:rsidRDefault="006021EE">
      <w:pPr>
        <w:pStyle w:val="P68B1DB1-Normal018"/>
        <w:pBdr>
          <w:top w:val="nil"/>
          <w:left w:val="nil"/>
          <w:bottom w:val="nil"/>
          <w:right w:val="nil"/>
          <w:between w:val="nil"/>
        </w:pBdr>
        <w:spacing w:before="120" w:after="120" w:line="240" w:lineRule="auto"/>
        <w:jc w:val="both"/>
        <w:rPr>
          <w:rFonts w:eastAsia="Times New Roman" w:cs="Times New Roman"/>
          <w:noProof/>
        </w:rPr>
      </w:pPr>
      <w:r>
        <w:rPr>
          <w:noProof/>
        </w:rPr>
        <w:t xml:space="preserve">Ziel der Investition ist die Förderung von Investitionen in ländlichen Gebieten in die Verbesserung der Wasserbewirtschaftung und der Ressourceneffizienz.  </w:t>
      </w:r>
    </w:p>
    <w:p w14:paraId="4426D676" w14:textId="3E32116D" w:rsidR="00EB245A" w:rsidRDefault="006021EE">
      <w:pPr>
        <w:pStyle w:val="P68B1DB1-Normal018"/>
        <w:pBdr>
          <w:top w:val="nil"/>
          <w:left w:val="nil"/>
          <w:bottom w:val="nil"/>
          <w:right w:val="nil"/>
          <w:between w:val="nil"/>
        </w:pBdr>
        <w:spacing w:before="120" w:after="120" w:line="240" w:lineRule="auto"/>
        <w:jc w:val="both"/>
        <w:rPr>
          <w:rFonts w:eastAsia="Times New Roman" w:cs="Times New Roman"/>
          <w:noProof/>
          <w:color w:val="000000" w:themeColor="text1"/>
        </w:rPr>
      </w:pPr>
      <w:r>
        <w:rPr>
          <w:noProof/>
          <w:color w:val="000000" w:themeColor="text1"/>
        </w:rPr>
        <w:t>Die I</w:t>
      </w:r>
      <w:r>
        <w:rPr>
          <w:noProof/>
          <w:color w:val="000000" w:themeColor="text1"/>
        </w:rPr>
        <w:t>nvestition trägt dazu bei, die Widerstandsfähigkeit der Landwirtschaft gegenüber Dürre- und Hochwasserprävention in landwirtschaftlichen Gebieten zu erhöhen; Verbesserung der Wassereffizienz durch angemessene Regulierung der Wasserbeziehungen in landwirtsc</w:t>
      </w:r>
      <w:r>
        <w:rPr>
          <w:noProof/>
          <w:color w:val="000000" w:themeColor="text1"/>
        </w:rPr>
        <w:t>haftlichen Gebieten und Verringerung des Abflusses; und die Verbesserung der Wasserrückhaltung, sofern ihr Bedarf und ihre Art angemessen gerechtfertigt sind. Vorrang haben klimaresiliente und naturbasierte Lösungen. Projekte im Rahmen dieser Maßnahme unte</w:t>
      </w:r>
      <w:r>
        <w:rPr>
          <w:noProof/>
          <w:color w:val="000000" w:themeColor="text1"/>
        </w:rPr>
        <w:t>rliegen einer Umweltverträglichkeitsprüfung (UVP) und müssen den Anforderungen des Technischen Leitfadens zur Vermeidung erheblicher Beeinträchtigungen (C(2023) 6454 final) entsprechen. Die Einhaltung der EU-Umweltvorschriften, einschließlich der UVP-Richt</w:t>
      </w:r>
      <w:r>
        <w:rPr>
          <w:noProof/>
          <w:color w:val="000000" w:themeColor="text1"/>
        </w:rPr>
        <w:t>linie (2011/92/EU) und der Wasserrahmenrichtlinie (</w:t>
      </w:r>
      <w:r>
        <w:rPr>
          <w:noProof/>
        </w:rPr>
        <w:t>2000/60/EG</w:t>
      </w:r>
      <w:r>
        <w:rPr>
          <w:noProof/>
          <w:color w:val="000000" w:themeColor="text1"/>
        </w:rPr>
        <w:t>), ist sicherzustellen. Alle im Rahmen dieser Komponente finanzierten Investitionsprojekte, für die eine UVP-Entscheidung erforderlich ist, müssen der Richtlinie 2011/92/EU in der durch die Richt</w:t>
      </w:r>
      <w:r>
        <w:rPr>
          <w:noProof/>
          <w:color w:val="000000" w:themeColor="text1"/>
        </w:rPr>
        <w:t>linie 2014/52/EU geänderten Fassung entsprechen. Insbesondere müssen alle neuen Projekte, die einer UVP bedürfen, nach dem Gesetz über die Bereitstellung von Informationen über die Umwelt und ihren Schutz, die Beteiligung der Öffentlichkeit am Umweltschutz</w:t>
      </w:r>
      <w:r>
        <w:rPr>
          <w:noProof/>
          <w:color w:val="000000" w:themeColor="text1"/>
        </w:rPr>
        <w:t xml:space="preserve"> und die Umweltverträglichkeitsprüfung in der durch das Gesetz vom 30. März 2021 zur Änderung dieses Gesetzes und bestimmter anderer Gesetze geänderten Fassung genehmigt werden. Die Bestimmungen der „Leitlinien für Abhilfemaßnahmen für Projekte, die aus EU</w:t>
      </w:r>
      <w:r>
        <w:rPr>
          <w:noProof/>
          <w:color w:val="000000" w:themeColor="text1"/>
        </w:rPr>
        <w:t>-Fonds kofinanziert werden und von dem Vertragsverletzungsverfahren 2016/2046 betroffen sind“, die Polen am 23. Februar 2021 übermittelt wurden (Az. Ares(2021)1423319), sind bei der Durchführung aller Investitionsvorhaben zu berücksichtigen, für die vor de</w:t>
      </w:r>
      <w:r>
        <w:rPr>
          <w:noProof/>
          <w:color w:val="000000" w:themeColor="text1"/>
        </w:rPr>
        <w:t>m Inkrafttreten des Gesetzes vom 30. März 2021 eine Umweltentscheidung oder eine Bau- oder Entwicklungsgenehmigung beantragt oder erteilt wurde. Gefördert werden nur Projekte, die nicht zu einer Verschlechterung des Zustands von Oberflächengewässern und Gr</w:t>
      </w:r>
      <w:r>
        <w:rPr>
          <w:noProof/>
          <w:color w:val="000000" w:themeColor="text1"/>
        </w:rPr>
        <w:t xml:space="preserve">undwasser führen und die Verbesserung des ökologischen Zustands oder des ökologischen Potenzials der betroffenen Wasserkörper nicht verhindern. </w:t>
      </w:r>
    </w:p>
    <w:p w14:paraId="032F414F" w14:textId="47D068CA"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Investitionen, die sich negativ auf die Natur auswirken, sind von der Förderung ausgeschlossen. Wird Wasser ent</w:t>
      </w:r>
      <w:r>
        <w:rPr>
          <w:noProof/>
        </w:rPr>
        <w:t>nommen, so muss von der zuständigen Behörde eine entsprechende Genehmigung erteilt werden, in der sichergestellt wird, dass sich die betroffenen Wasserkörper in einem guten ökologischen Zustand befinden, und in der Bedingungen festgelegt werden, um eine Ve</w:t>
      </w:r>
      <w:r>
        <w:rPr>
          <w:noProof/>
        </w:rPr>
        <w:t>rschlechterung des Zustands dieser Wasserkörper zu vermeiden, und zwar im Einklang mit den Anforderungen der Richtlinie 2000/60/EG und den technischen Leitlinien zur Vermeidung erheblicher Beeinträchtigungen, die durch die neuesten einschlägigen unterstütz</w:t>
      </w:r>
      <w:r>
        <w:rPr>
          <w:noProof/>
        </w:rPr>
        <w:t>enden Daten belegt sind. Wasserentnahmen sind zu vermeiden, wenn sich die betreffenden Wasserkörper (Oberflächen- oder Grundwasser) in einem weniger als guten Zustand oder Potenzial befinden oder (im Zusammenhang mit der Verschärfung des Klimawandels) proj</w:t>
      </w:r>
      <w:r>
        <w:rPr>
          <w:noProof/>
        </w:rPr>
        <w:t xml:space="preserve">iziert werden. Die Maßnahmen müssen auch den Bestimmungen der Richtlinie 2009/147/EG über die Erhaltung der wildlebenden Vogelarten (Vogelschutzrichtlinie) und der Richtlinie 92/43/EWG zur Erhaltung der natürlichen Lebensräume sowie der wildlebenden Tiere </w:t>
      </w:r>
      <w:r>
        <w:rPr>
          <w:noProof/>
        </w:rPr>
        <w:t>und Pflanzen (Habitat-Richtlinie) entsprechen.</w:t>
      </w:r>
    </w:p>
    <w:p w14:paraId="7D3BEE8F" w14:textId="058B839B"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Die Durchführung der Investition muss bis zum 31. Dezember 2025 abgeschlossen sein.</w:t>
      </w:r>
    </w:p>
    <w:p w14:paraId="26C629DF" w14:textId="77777777" w:rsidR="00EB245A" w:rsidRDefault="00EB245A">
      <w:pPr>
        <w:pStyle w:val="Normal0"/>
        <w:pBdr>
          <w:top w:val="nil"/>
          <w:left w:val="nil"/>
          <w:bottom w:val="nil"/>
          <w:right w:val="nil"/>
          <w:between w:val="nil"/>
        </w:pBdr>
        <w:spacing w:before="120" w:after="120" w:line="240" w:lineRule="auto"/>
        <w:rPr>
          <w:rFonts w:ascii="Times New Roman" w:eastAsia="Times New Roman" w:hAnsi="Times New Roman" w:cs="Times New Roman"/>
          <w:noProof/>
          <w:color w:val="000000"/>
          <w:sz w:val="24"/>
          <w:u w:val="single"/>
        </w:rPr>
      </w:pPr>
    </w:p>
    <w:p w14:paraId="5DFD0463" w14:textId="77777777" w:rsidR="00EB245A" w:rsidRDefault="00EB245A">
      <w:pPr>
        <w:pStyle w:val="Normal0"/>
        <w:pBdr>
          <w:top w:val="nil"/>
          <w:left w:val="nil"/>
          <w:bottom w:val="nil"/>
          <w:right w:val="nil"/>
          <w:between w:val="nil"/>
        </w:pBdr>
        <w:spacing w:before="120" w:after="120" w:line="240" w:lineRule="auto"/>
        <w:rPr>
          <w:rFonts w:ascii="Times New Roman" w:eastAsia="Times New Roman" w:hAnsi="Times New Roman" w:cs="Times New Roman"/>
          <w:noProof/>
          <w:color w:val="000000"/>
          <w:sz w:val="24"/>
          <w:u w:val="single"/>
        </w:rPr>
      </w:pPr>
    </w:p>
    <w:p w14:paraId="2896108C" w14:textId="77777777" w:rsidR="00EB245A" w:rsidRDefault="00EB245A">
      <w:pPr>
        <w:pStyle w:val="Normal0"/>
        <w:pBdr>
          <w:top w:val="nil"/>
          <w:left w:val="nil"/>
          <w:bottom w:val="nil"/>
          <w:right w:val="nil"/>
          <w:between w:val="nil"/>
        </w:pBdr>
        <w:spacing w:before="120" w:after="120" w:line="240" w:lineRule="auto"/>
        <w:rPr>
          <w:rFonts w:ascii="Times New Roman" w:eastAsia="Times New Roman" w:hAnsi="Times New Roman" w:cs="Times New Roman"/>
          <w:noProof/>
          <w:color w:val="000000"/>
          <w:sz w:val="24"/>
          <w:u w:val="single"/>
        </w:rPr>
      </w:pPr>
    </w:p>
    <w:p w14:paraId="41437320" w14:textId="77777777" w:rsidR="00EB245A" w:rsidRDefault="006021EE">
      <w:pPr>
        <w:pStyle w:val="P68B1DB1-Normal015"/>
        <w:pBdr>
          <w:top w:val="nil"/>
          <w:left w:val="nil"/>
          <w:bottom w:val="nil"/>
          <w:right w:val="nil"/>
          <w:between w:val="nil"/>
        </w:pBdr>
        <w:spacing w:before="120" w:after="120" w:line="240" w:lineRule="auto"/>
        <w:rPr>
          <w:rFonts w:eastAsia="Times New Roman" w:cs="Times New Roman"/>
          <w:noProof/>
          <w:color w:val="006100"/>
        </w:rPr>
      </w:pPr>
      <w:r>
        <w:rPr>
          <w:noProof/>
        </w:rPr>
        <w:t>B3.4 Schaffung eines Rahmens für Investitionen in den ökologischen Wandel in städtischen Gebieten</w:t>
      </w:r>
    </w:p>
    <w:p w14:paraId="4A8271D5" w14:textId="77777777"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 xml:space="preserve">Ziel der Reform ist es, die Kapazitäten der Städte bei der Priorisierung, Planung, Durchführung und Finanzierung von Investitionsprojekten zur Eindämmung des Klimawandels und zur Anpassung an den Klimawandel im Einklang mit dem europäischen Grünen Deal zu </w:t>
      </w:r>
      <w:r>
        <w:rPr>
          <w:noProof/>
        </w:rPr>
        <w:t xml:space="preserve">unterstützen. Die Reform und die damit verbundenen Investitionen zielen insbesondere darauf ab, den Anteil der Grünflächen in Städten zu erhöhen. </w:t>
      </w:r>
    </w:p>
    <w:p w14:paraId="51AD9850" w14:textId="3E2A6D37" w:rsidR="00EB245A" w:rsidRDefault="006021EE">
      <w:pPr>
        <w:pStyle w:val="P68B1DB1-Normal018"/>
        <w:pBdr>
          <w:top w:val="nil"/>
          <w:left w:val="nil"/>
          <w:bottom w:val="nil"/>
          <w:right w:val="nil"/>
          <w:between w:val="nil"/>
        </w:pBdr>
        <w:spacing w:before="120" w:after="120" w:line="240" w:lineRule="auto"/>
        <w:jc w:val="both"/>
        <w:rPr>
          <w:rFonts w:eastAsia="Times New Roman" w:cs="Times New Roman"/>
          <w:noProof/>
          <w:color w:val="000000"/>
        </w:rPr>
      </w:pPr>
      <w:r>
        <w:rPr>
          <w:noProof/>
        </w:rPr>
        <w:t>Durch eine Reihe</w:t>
      </w:r>
      <w:r>
        <w:rPr>
          <w:noProof/>
          <w:color w:val="000000" w:themeColor="text1"/>
        </w:rPr>
        <w:t xml:space="preserve"> von Gesetzesänderungen wird sichergestellt, dass Nachhaltigkeitsaspekte in die städtebaulichen Verfahren einbezogen werden und dass die Interessenträger im Rahmen dieser Verfahren konsultiert werden. Darüber hinaus wird sichergestellt, dass die lokalen Be</w:t>
      </w:r>
      <w:r>
        <w:rPr>
          <w:noProof/>
          <w:color w:val="000000" w:themeColor="text1"/>
        </w:rPr>
        <w:t>hörden angemessene Kapazitätenunterstützung erhalten, damit sie Projekte zur Eindämmung des Klimawandels und zur Anpassung an den Klimawandel priorisieren, planen und durchführen können. Diese Regulierungs- und Kapazitätsaufbauelemente werden durch die Ein</w:t>
      </w:r>
      <w:r>
        <w:rPr>
          <w:noProof/>
          <w:color w:val="000000" w:themeColor="text1"/>
        </w:rPr>
        <w:t xml:space="preserve">richtung eines speziellen Instruments ergänzt, mit dem Finanzmittel für Investitionen in den ökologischen Wandel in städtischen Gebieten bereitgestellt werden sollen. </w:t>
      </w:r>
    </w:p>
    <w:p w14:paraId="089EA5EC" w14:textId="29C41E53" w:rsidR="00EB245A" w:rsidRDefault="006021EE">
      <w:pPr>
        <w:pStyle w:val="Normal0"/>
        <w:spacing w:before="120" w:after="120" w:line="240" w:lineRule="auto"/>
        <w:jc w:val="both"/>
        <w:rPr>
          <w:rFonts w:ascii="Times New Roman" w:eastAsia="Times New Roman" w:hAnsi="Times New Roman" w:cs="Times New Roman"/>
          <w:noProof/>
          <w:color w:val="000000" w:themeColor="text1"/>
          <w:sz w:val="24"/>
        </w:rPr>
      </w:pPr>
      <w:r>
        <w:rPr>
          <w:rFonts w:ascii="Times New Roman" w:hAnsi="Times New Roman"/>
          <w:noProof/>
          <w:color w:val="000000" w:themeColor="text1"/>
          <w:sz w:val="24"/>
        </w:rPr>
        <w:t>Um sicherzustellen, dass die Maßnahme den Technischen Leitlinien für die „Vermeidung erh</w:t>
      </w:r>
      <w:r>
        <w:rPr>
          <w:rFonts w:ascii="Times New Roman" w:hAnsi="Times New Roman"/>
          <w:noProof/>
          <w:color w:val="000000" w:themeColor="text1"/>
          <w:sz w:val="24"/>
        </w:rPr>
        <w:t>eblicher Beeinträchtigungen“ (2021/C58/01) entspricht, wird die folgende Liste von Tätigkeiten von den Förderkriterien für Projekte ausgeschlossen: I) Tätigkeiten im Zusammenhang mit fossilen Brennstoffen, einschließlich nachgelagerter Verwendung</w:t>
      </w:r>
      <w:r w:rsidRPr="004E1987">
        <w:rPr>
          <w:rStyle w:val="FootnoteReference"/>
          <w:rFonts w:ascii="Times New Roman" w:eastAsia="Times New Roman" w:hAnsi="Times New Roman" w:cs="Times New Roman"/>
          <w:noProof/>
          <w:color w:val="000000" w:themeColor="text1"/>
          <w:sz w:val="24"/>
        </w:rPr>
        <w:footnoteReference w:id="21"/>
      </w:r>
      <w:r>
        <w:rPr>
          <w:rFonts w:ascii="Times New Roman" w:hAnsi="Times New Roman"/>
          <w:noProof/>
          <w:color w:val="000000" w:themeColor="text1"/>
          <w:sz w:val="24"/>
        </w:rPr>
        <w:t>; II) Tät</w:t>
      </w:r>
      <w:r>
        <w:rPr>
          <w:rFonts w:ascii="Times New Roman" w:hAnsi="Times New Roman"/>
          <w:noProof/>
          <w:color w:val="000000" w:themeColor="text1"/>
          <w:sz w:val="24"/>
        </w:rPr>
        <w:t>igkeiten im Rahmen des EU-Emissionshandelssystems (EHS), bei denen projizierte Treibhausgasemissionen erreicht werden, die nicht unter den einschlägigen Benchmarks liegen</w:t>
      </w:r>
      <w:r w:rsidRPr="004E1987">
        <w:rPr>
          <w:rStyle w:val="FootnoteReference"/>
          <w:rFonts w:ascii="Times New Roman" w:eastAsia="Times New Roman" w:hAnsi="Times New Roman" w:cs="Times New Roman"/>
          <w:noProof/>
          <w:color w:val="000000" w:themeColor="text1"/>
          <w:sz w:val="24"/>
        </w:rPr>
        <w:footnoteReference w:id="22"/>
      </w:r>
      <w:r>
        <w:rPr>
          <w:rFonts w:ascii="Times New Roman" w:hAnsi="Times New Roman"/>
          <w:noProof/>
          <w:color w:val="000000" w:themeColor="text1"/>
          <w:sz w:val="24"/>
        </w:rPr>
        <w:t>; III) Tätigkeiten im Zusammenhang mit Abfalldeponien, Verbrennungsanlagen</w:t>
      </w:r>
      <w:r w:rsidRPr="004E1987">
        <w:rPr>
          <w:rStyle w:val="FootnoteReference"/>
          <w:rFonts w:ascii="Times New Roman" w:eastAsia="Times New Roman" w:hAnsi="Times New Roman" w:cs="Times New Roman"/>
          <w:noProof/>
          <w:color w:val="000000" w:themeColor="text1"/>
          <w:sz w:val="24"/>
        </w:rPr>
        <w:footnoteReference w:id="23"/>
      </w:r>
      <w:r>
        <w:rPr>
          <w:rFonts w:ascii="Times New Roman" w:hAnsi="Times New Roman"/>
          <w:noProof/>
          <w:color w:val="000000" w:themeColor="text1"/>
          <w:sz w:val="24"/>
        </w:rPr>
        <w:t xml:space="preserve"> und Anlag</w:t>
      </w:r>
      <w:r>
        <w:rPr>
          <w:rFonts w:ascii="Times New Roman" w:hAnsi="Times New Roman"/>
          <w:noProof/>
          <w:color w:val="000000" w:themeColor="text1"/>
          <w:sz w:val="24"/>
        </w:rPr>
        <w:t>en zur mechanisch-biologischen Behandlung</w:t>
      </w:r>
      <w:r w:rsidRPr="004E1987">
        <w:rPr>
          <w:rStyle w:val="FootnoteReference"/>
          <w:rFonts w:ascii="Times New Roman" w:eastAsia="Times New Roman" w:hAnsi="Times New Roman" w:cs="Times New Roman"/>
          <w:noProof/>
          <w:color w:val="000000" w:themeColor="text1"/>
          <w:sz w:val="24"/>
        </w:rPr>
        <w:footnoteReference w:id="24"/>
      </w:r>
      <w:r>
        <w:rPr>
          <w:rFonts w:ascii="Times New Roman" w:hAnsi="Times New Roman"/>
          <w:noProof/>
          <w:color w:val="000000" w:themeColor="text1"/>
          <w:sz w:val="24"/>
        </w:rPr>
        <w:t>; und iv) Tätigkeiten, bei denen die langfristige Beseitigung von Abfällen der Umwelt schaden kann. In der Leistungsbeschreibung wird darüber hinaus vorgeschrieben, dass nur Tätigkeiten ausgewählt werden dürfen, di</w:t>
      </w:r>
      <w:r>
        <w:rPr>
          <w:rFonts w:ascii="Times New Roman" w:hAnsi="Times New Roman"/>
          <w:noProof/>
          <w:color w:val="000000" w:themeColor="text1"/>
          <w:sz w:val="24"/>
        </w:rPr>
        <w:t>e mit den einschlägigen Umweltvorschriften der EU und der Mitgliedstaaten im Einklang stehen.</w:t>
      </w:r>
    </w:p>
    <w:p w14:paraId="0224B4F0" w14:textId="1D2C7B2E" w:rsidR="00EB245A" w:rsidRDefault="006021EE">
      <w:pPr>
        <w:pStyle w:val="P68B1DB1-Normal06"/>
        <w:pBdr>
          <w:top w:val="nil"/>
          <w:left w:val="nil"/>
          <w:bottom w:val="nil"/>
          <w:right w:val="nil"/>
          <w:between w:val="nil"/>
        </w:pBdr>
        <w:spacing w:before="120" w:after="120" w:line="240" w:lineRule="auto"/>
        <w:rPr>
          <w:noProof/>
        </w:rPr>
      </w:pPr>
      <w:r>
        <w:rPr>
          <w:noProof/>
        </w:rPr>
        <w:t>Die Gesetzesänderungen, die auf die Förderung grüner städtischer Investitionen abzielen, treten bis zum 31. Dezember 2023 in Kraft. Der Fonds für den grünen städt</w:t>
      </w:r>
      <w:r>
        <w:rPr>
          <w:noProof/>
        </w:rPr>
        <w:t>ischen Wandel wird bis zum 30. Juni 2022 eingerichtet.</w:t>
      </w:r>
    </w:p>
    <w:p w14:paraId="3674187E" w14:textId="5E942C69" w:rsidR="00EB245A" w:rsidRDefault="00EB245A">
      <w:pPr>
        <w:pStyle w:val="Normal0"/>
        <w:pBdr>
          <w:top w:val="nil"/>
          <w:left w:val="nil"/>
          <w:bottom w:val="nil"/>
          <w:right w:val="nil"/>
          <w:between w:val="nil"/>
        </w:pBdr>
        <w:spacing w:before="120" w:after="120" w:line="240" w:lineRule="auto"/>
        <w:rPr>
          <w:rFonts w:ascii="Times New Roman" w:eastAsia="Times New Roman" w:hAnsi="Times New Roman" w:cs="Times New Roman"/>
          <w:noProof/>
          <w:color w:val="000000"/>
        </w:rPr>
      </w:pPr>
    </w:p>
    <w:p w14:paraId="17D90299" w14:textId="7D20BECC" w:rsidR="00EB245A" w:rsidRDefault="006021EE">
      <w:pPr>
        <w:pStyle w:val="P68B1DB1-Normal015"/>
        <w:pBdr>
          <w:top w:val="nil"/>
          <w:left w:val="nil"/>
          <w:bottom w:val="nil"/>
          <w:right w:val="nil"/>
          <w:between w:val="nil"/>
        </w:pBdr>
        <w:spacing w:before="120" w:after="120" w:line="240" w:lineRule="auto"/>
        <w:rPr>
          <w:rFonts w:eastAsia="Times New Roman" w:cs="Times New Roman"/>
          <w:noProof/>
          <w:color w:val="000000"/>
        </w:rPr>
      </w:pPr>
      <w:r>
        <w:rPr>
          <w:noProof/>
        </w:rPr>
        <w:t>B3.4.1 Investitionen in einen grünen Wandel der Städte</w:t>
      </w:r>
    </w:p>
    <w:p w14:paraId="4C99C74E" w14:textId="191B196E"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 xml:space="preserve">Ziel der Investition ist es, die Auswirkungen der Städte auf den Klimawandel und die Gesundheit ihrer Einwohner durch Senkung der Treibhausgas- </w:t>
      </w:r>
      <w:r>
        <w:rPr>
          <w:noProof/>
        </w:rPr>
        <w:t>und anderen Schadstoffemissionen abzumildern, die Energieresilienz der Städte zu erhöhen und Energiearmut zu bekämpfen. Ziel ist auch die Anpassung der Städte an die zunehmenden extremen Wetterbedingungen im Zusammenhang mit dem Klimawandel wie Dürre, Hitz</w:t>
      </w:r>
      <w:r>
        <w:rPr>
          <w:noProof/>
        </w:rPr>
        <w:t xml:space="preserve">ewellen und Überschwemmungen. </w:t>
      </w:r>
    </w:p>
    <w:p w14:paraId="4AE1EB5F" w14:textId="1E7A06EB" w:rsidR="00EB245A" w:rsidRDefault="006021EE">
      <w:pPr>
        <w:pStyle w:val="P68B1DB1-Norm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eastAsia="Times New Roman" w:cs="Times New Roman"/>
          <w:noProof/>
          <w:color w:val="000000"/>
        </w:rPr>
      </w:pPr>
      <w:r>
        <w:rPr>
          <w:noProof/>
        </w:rPr>
        <w:t>Es werden Investitionen getätigt, die darauf abzielen, die Nutzung erneuerbarer Energien als Energiequelle in der Stadt zu steigern, die Energieeffizienz, einschließlich der Renovierung von Gebäuden, die Entwicklung einer emi</w:t>
      </w:r>
      <w:r>
        <w:rPr>
          <w:noProof/>
        </w:rPr>
        <w:t>ssionsfreien Verkehrsinfrastruktur (Fußgänger, Radfahren), die in den kollektiven Verkehr integriert ist, die Bildung zu verbessern und die Bürgerinnen und Bürger dafür zu sensibilisieren, dass Städte bei der Anpassung an den Klimawandel klimaneutral werde</w:t>
      </w:r>
      <w:r>
        <w:rPr>
          <w:noProof/>
        </w:rPr>
        <w:t>n müssen. Die Maßnahme sieht auch Investitionen in Projekte vor, die darauf abzielen, biologisch aktive Flächen in städtischen und funktionalen Gebieten zu vergrößern und die Bodenversiegelung und naturbasierte städtische Investitionen mit entsprechenden V</w:t>
      </w:r>
      <w:r>
        <w:rPr>
          <w:noProof/>
        </w:rPr>
        <w:t xml:space="preserve">egetationslösungen zu verringern. </w:t>
      </w:r>
    </w:p>
    <w:p w14:paraId="1A72EF58" w14:textId="3B2DFCAB" w:rsidR="00EB245A" w:rsidRDefault="006021EE">
      <w:pPr>
        <w:pStyle w:val="Normal0"/>
        <w:spacing w:before="120" w:after="120" w:line="240" w:lineRule="auto"/>
        <w:jc w:val="both"/>
        <w:rPr>
          <w:rFonts w:ascii="Times New Roman" w:eastAsia="Times New Roman" w:hAnsi="Times New Roman" w:cs="Times New Roman"/>
          <w:noProof/>
          <w:color w:val="000000" w:themeColor="text1"/>
          <w:sz w:val="24"/>
        </w:rPr>
      </w:pPr>
      <w:r>
        <w:rPr>
          <w:rFonts w:ascii="Times New Roman" w:hAnsi="Times New Roman"/>
          <w:noProof/>
          <w:color w:val="000000" w:themeColor="text1"/>
          <w:sz w:val="24"/>
        </w:rPr>
        <w:t>Um sicherzustellen, dass die Maßnahme den Technischen Leitlinien für die „Vermeidung erheblicher Beeinträchtigungen“ (C(2023) 6454 final) entspricht, schließen die Förderkriterien für Projekte die folgende Liste von Tätig</w:t>
      </w:r>
      <w:r>
        <w:rPr>
          <w:rFonts w:ascii="Times New Roman" w:hAnsi="Times New Roman"/>
          <w:noProof/>
          <w:color w:val="000000" w:themeColor="text1"/>
          <w:sz w:val="24"/>
        </w:rPr>
        <w:t>keiten aus: I) Tätigkeiten im Zusammenhang mit fossilen Brennstoffen, einschließlich nachgelagerter Verwendung</w:t>
      </w:r>
      <w:r w:rsidRPr="004E1987">
        <w:rPr>
          <w:rStyle w:val="FootnoteReference"/>
          <w:rFonts w:ascii="Times New Roman" w:eastAsia="Times New Roman" w:hAnsi="Times New Roman" w:cs="Times New Roman"/>
          <w:noProof/>
          <w:color w:val="000000" w:themeColor="text1"/>
          <w:sz w:val="24"/>
        </w:rPr>
        <w:footnoteReference w:id="25"/>
      </w:r>
      <w:r>
        <w:rPr>
          <w:rFonts w:ascii="Times New Roman" w:hAnsi="Times New Roman"/>
          <w:noProof/>
          <w:color w:val="000000" w:themeColor="text1"/>
          <w:sz w:val="24"/>
        </w:rPr>
        <w:t>; II) Tätigkeiten im Rahmen des EU-Emissionshandelssystems (EHS), bei denen projizierte Treibhausgasemissionen erreicht werden, die nicht unter d</w:t>
      </w:r>
      <w:r>
        <w:rPr>
          <w:rFonts w:ascii="Times New Roman" w:hAnsi="Times New Roman"/>
          <w:noProof/>
          <w:color w:val="000000" w:themeColor="text1"/>
          <w:sz w:val="24"/>
        </w:rPr>
        <w:t>en einschlägigen Benchmarks liegen</w:t>
      </w:r>
      <w:r w:rsidRPr="004E1987">
        <w:rPr>
          <w:rStyle w:val="FootnoteReference"/>
          <w:rFonts w:ascii="Times New Roman" w:eastAsia="Times New Roman" w:hAnsi="Times New Roman" w:cs="Times New Roman"/>
          <w:noProof/>
          <w:color w:val="000000" w:themeColor="text1"/>
          <w:sz w:val="24"/>
        </w:rPr>
        <w:footnoteReference w:id="26"/>
      </w:r>
      <w:r>
        <w:rPr>
          <w:rFonts w:ascii="Times New Roman" w:hAnsi="Times New Roman"/>
          <w:noProof/>
          <w:color w:val="000000" w:themeColor="text1"/>
          <w:sz w:val="24"/>
        </w:rPr>
        <w:t>; III) Tätigkeiten im Zusammenhang mit Abfalldeponien, Verbrennungsanlagen</w:t>
      </w:r>
      <w:r w:rsidRPr="004E1987">
        <w:rPr>
          <w:rStyle w:val="FootnoteReference"/>
          <w:rFonts w:ascii="Times New Roman" w:eastAsia="Times New Roman" w:hAnsi="Times New Roman" w:cs="Times New Roman"/>
          <w:noProof/>
          <w:color w:val="000000" w:themeColor="text1"/>
          <w:sz w:val="24"/>
        </w:rPr>
        <w:footnoteReference w:id="27"/>
      </w:r>
      <w:r>
        <w:rPr>
          <w:rFonts w:ascii="Times New Roman" w:hAnsi="Times New Roman"/>
          <w:noProof/>
          <w:color w:val="000000" w:themeColor="text1"/>
          <w:sz w:val="24"/>
        </w:rPr>
        <w:t xml:space="preserve"> und Anlagen zur mechanisch-biologischen Behandlung</w:t>
      </w:r>
      <w:r w:rsidRPr="004E1987">
        <w:rPr>
          <w:rStyle w:val="FootnoteReference"/>
          <w:rFonts w:ascii="Times New Roman" w:eastAsia="Times New Roman" w:hAnsi="Times New Roman" w:cs="Times New Roman"/>
          <w:noProof/>
          <w:color w:val="000000" w:themeColor="text1"/>
          <w:sz w:val="24"/>
        </w:rPr>
        <w:footnoteReference w:id="28"/>
      </w:r>
      <w:r>
        <w:rPr>
          <w:rFonts w:ascii="Times New Roman" w:hAnsi="Times New Roman"/>
          <w:noProof/>
          <w:color w:val="000000" w:themeColor="text1"/>
          <w:sz w:val="24"/>
        </w:rPr>
        <w:t xml:space="preserve">; und iv) Tätigkeiten, bei denen die langfristige Beseitigung von Abfällen der Umwelt schaden </w:t>
      </w:r>
      <w:r>
        <w:rPr>
          <w:rFonts w:ascii="Times New Roman" w:hAnsi="Times New Roman"/>
          <w:noProof/>
          <w:color w:val="000000" w:themeColor="text1"/>
          <w:sz w:val="24"/>
        </w:rPr>
        <w:t>kann. In der Leistungsbeschreibung wird darüber hinaus vorgeschrieben, dass nur Tätigkeiten ausgewählt werden dürfen, die mit den einschlägigen Umweltvorschriften der EU und der Mitgliedstaaten im Einklang stehen.</w:t>
      </w:r>
    </w:p>
    <w:p w14:paraId="53C3FE08" w14:textId="1CDE4CBA" w:rsidR="00EB245A" w:rsidRDefault="006021EE">
      <w:pPr>
        <w:pStyle w:val="P68B1DB1-Normal06"/>
        <w:spacing w:before="120" w:after="120" w:line="240" w:lineRule="auto"/>
        <w:jc w:val="both"/>
        <w:rPr>
          <w:rFonts w:eastAsia="Times New Roman" w:cs="Times New Roman"/>
          <w:noProof/>
          <w:highlight w:val="yellow"/>
        </w:rPr>
      </w:pPr>
      <w:r>
        <w:rPr>
          <w:noProof/>
        </w:rPr>
        <w:t>Die Durchführung der Maßnahme muss bis zum</w:t>
      </w:r>
      <w:r>
        <w:rPr>
          <w:noProof/>
        </w:rPr>
        <w:t xml:space="preserve"> 31. August 2026 abgeschlossen sein.</w:t>
      </w:r>
    </w:p>
    <w:p w14:paraId="43CF214C" w14:textId="2855CFC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themeColor="text1"/>
          <w:sz w:val="24"/>
          <w:u w:val="single"/>
        </w:rPr>
      </w:pPr>
    </w:p>
    <w:p w14:paraId="6FAC569F" w14:textId="77777777" w:rsidR="00EB245A" w:rsidRDefault="006021EE">
      <w:pPr>
        <w:pStyle w:val="P68B1DB1-Normal015"/>
        <w:pBdr>
          <w:top w:val="nil"/>
          <w:left w:val="nil"/>
          <w:bottom w:val="nil"/>
          <w:right w:val="nil"/>
          <w:between w:val="nil"/>
        </w:pBdr>
        <w:spacing w:before="120" w:after="120" w:line="240" w:lineRule="auto"/>
        <w:jc w:val="both"/>
        <w:rPr>
          <w:rFonts w:eastAsia="Times New Roman" w:cs="Times New Roman"/>
          <w:noProof/>
        </w:rPr>
      </w:pPr>
      <w:r>
        <w:rPr>
          <w:noProof/>
        </w:rPr>
        <w:t>B3.5 Reform des Wohnungsbaus für Menschen mit niedrigem und durchschnittlichem Einkommen unter Berücksichtigung der höheren Energieeffizienz von Gebäuden</w:t>
      </w:r>
    </w:p>
    <w:p w14:paraId="48BCAD5B" w14:textId="77777777"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rPr>
      </w:pPr>
      <w:r>
        <w:rPr>
          <w:noProof/>
        </w:rPr>
        <w:t xml:space="preserve">Ziel der Reform ist es, das Angebot an energieeffizientem Wohnraum für einkommensschwache und einkommensschwache Haushalte zu erhöhen. </w:t>
      </w:r>
    </w:p>
    <w:p w14:paraId="52394D37" w14:textId="77777777"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rPr>
      </w:pPr>
      <w:r>
        <w:rPr>
          <w:noProof/>
        </w:rPr>
        <w:t>Dieses Ziel soll erreicht werden, indem der Anteil der öffentlichen Kofinanzierung von Gebäuden, die die Energieeffizien</w:t>
      </w:r>
      <w:r>
        <w:rPr>
          <w:noProof/>
        </w:rPr>
        <w:t>zstandards erfüllen, um 20 % ehrgeiziger ist als der in Polen geltende Mindeststandard für Energieeffizienz (Nearly-Zero Energy Buildings Standard, Niedrigstenergiegebäude).</w:t>
      </w:r>
    </w:p>
    <w:p w14:paraId="6D8788B3" w14:textId="77777777" w:rsidR="00EB245A" w:rsidRDefault="006021EE">
      <w:pPr>
        <w:pStyle w:val="Normal0"/>
        <w:pBdr>
          <w:top w:val="nil"/>
          <w:left w:val="nil"/>
          <w:bottom w:val="nil"/>
          <w:right w:val="nil"/>
          <w:between w:val="nil"/>
        </w:pBdr>
        <w:spacing w:before="120" w:after="120" w:line="240" w:lineRule="auto"/>
        <w:rPr>
          <w:rFonts w:ascii="Times New Roman" w:hAnsi="Times New Roman"/>
          <w:noProof/>
          <w:color w:val="000000" w:themeColor="text1"/>
          <w:sz w:val="24"/>
        </w:rPr>
      </w:pPr>
      <w:r>
        <w:rPr>
          <w:rFonts w:ascii="Times New Roman" w:hAnsi="Times New Roman"/>
          <w:noProof/>
          <w:color w:val="000000" w:themeColor="text1"/>
          <w:sz w:val="24"/>
        </w:rPr>
        <w:t xml:space="preserve">Die Reform wird bis zum 30. Juni 2022 abgeschlossen sein. </w:t>
      </w:r>
      <w:r>
        <w:rPr>
          <w:noProof/>
        </w:rPr>
        <w:t xml:space="preserve"> </w:t>
      </w:r>
      <w:r>
        <w:rPr>
          <w:noProof/>
        </w:rPr>
        <w:br/>
      </w:r>
    </w:p>
    <w:p w14:paraId="544D80EE" w14:textId="09752134" w:rsidR="00EB245A" w:rsidRDefault="006021EE">
      <w:pPr>
        <w:pStyle w:val="P68B1DB1-Normal015"/>
        <w:pBdr>
          <w:top w:val="nil"/>
          <w:left w:val="nil"/>
          <w:bottom w:val="nil"/>
          <w:right w:val="nil"/>
          <w:between w:val="nil"/>
        </w:pBdr>
        <w:spacing w:before="120" w:after="120" w:line="240" w:lineRule="auto"/>
        <w:jc w:val="both"/>
        <w:rPr>
          <w:rFonts w:eastAsia="Times New Roman" w:cs="Times New Roman"/>
          <w:noProof/>
          <w:color w:val="000000"/>
        </w:rPr>
      </w:pPr>
      <w:r>
        <w:rPr>
          <w:noProof/>
        </w:rPr>
        <w:t xml:space="preserve">B3.5.1 Investitionen in energieeffiziente Wohnungen für Haushalte mit niedrigem und mittlerem Einkommen </w:t>
      </w:r>
    </w:p>
    <w:p w14:paraId="0F46A54D" w14:textId="77777777"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Ziel der Investition ist es, das Angebot an energieeffizientem Wohnraum für einkommensschwache und einkommensschwache Haushalte zu erhöhen.</w:t>
      </w:r>
    </w:p>
    <w:p w14:paraId="671E5740" w14:textId="2F86E8E6"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Die Investi</w:t>
      </w:r>
      <w:r>
        <w:rPr>
          <w:noProof/>
        </w:rPr>
        <w:t>tionen dienen der Förderung der Schaffung von Wohnungen, die zum kommunalen Wohnungsbestand gehören, von geschützten Wohnungen, Unterkünften, Obdachlosenunterkünften, Heizungs- und Notunterkünften sowie der Beteiligung der Gemeinde oder eines interkommunal</w:t>
      </w:r>
      <w:r>
        <w:rPr>
          <w:noProof/>
        </w:rPr>
        <w:t xml:space="preserve">en Verbands an einem Projekt eines anderen Investors, das in der Schaffung von Mietwohnungen für einkommensschwache Personen besteht, die sich keine Unterkunft auf dem privaten Markt leisten können. </w:t>
      </w:r>
    </w:p>
    <w:p w14:paraId="60923F17" w14:textId="77777777"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Es werden Investitionen in den Bau emissionsarmer Mehrfa</w:t>
      </w:r>
      <w:r>
        <w:rPr>
          <w:noProof/>
        </w:rPr>
        <w:t>milienhäuser getätigt, bei denen EE-Anlagen (insbesondere Photovoltaikpaneele, Solarkollektoren) und andere „grüne“ Lösungen zur Steigerung der Energieeffizienz von Gebäuden genutzt werden. Der Energieverbrauch geförderter Gebäude muss 20 % unter dem Minde</w:t>
      </w:r>
      <w:r>
        <w:rPr>
          <w:noProof/>
        </w:rPr>
        <w:t xml:space="preserve">ststandard für die Gesamtenergieeffizienz (Niedrigstenergiegebäude) für neue Gebäude liegen. </w:t>
      </w:r>
    </w:p>
    <w:p w14:paraId="509ACA59" w14:textId="0CF9B218" w:rsidR="00EB245A" w:rsidRDefault="006021EE">
      <w:pPr>
        <w:pStyle w:val="P68B1DB1-Normal06"/>
        <w:pBdr>
          <w:top w:val="nil"/>
          <w:left w:val="nil"/>
          <w:bottom w:val="nil"/>
          <w:right w:val="nil"/>
          <w:between w:val="nil"/>
        </w:pBdr>
        <w:spacing w:line="240" w:lineRule="auto"/>
        <w:jc w:val="both"/>
        <w:rPr>
          <w:rFonts w:eastAsia="Times New Roman" w:cs="Times New Roman"/>
          <w:noProof/>
        </w:rPr>
      </w:pPr>
      <w:r>
        <w:rPr>
          <w:noProof/>
        </w:rPr>
        <w:t>Die Investition muss bis zum 30. Juni 2026 abgeschlossen sein.</w:t>
      </w:r>
    </w:p>
    <w:p w14:paraId="3E5BBEC0" w14:textId="2C6BDFCF" w:rsidR="00EB245A" w:rsidRDefault="006021EE">
      <w:pPr>
        <w:pStyle w:val="P68B1DB1-Normal14"/>
        <w:rPr>
          <w:rFonts w:eastAsia="Times New Roman" w:cs="Times New Roman"/>
          <w:noProof/>
          <w:color w:val="000000" w:themeColor="text1"/>
        </w:rPr>
      </w:pPr>
      <w:r>
        <w:rPr>
          <w:noProof/>
        </w:rPr>
        <w:t>B3.6 Verbesserung der Bedingungen für die Entwicklung erneuerbarer Energiequellen</w:t>
      </w:r>
    </w:p>
    <w:p w14:paraId="05211523" w14:textId="2C6BDFCF" w:rsidR="00EB245A" w:rsidRDefault="006021EE">
      <w:pPr>
        <w:pStyle w:val="P68B1DB1-Normal16"/>
        <w:spacing w:before="120" w:after="120" w:line="240" w:lineRule="auto"/>
        <w:jc w:val="both"/>
        <w:rPr>
          <w:rFonts w:eastAsia="Times New Roman" w:cs="Times New Roman"/>
          <w:noProof/>
        </w:rPr>
      </w:pPr>
      <w:r>
        <w:rPr>
          <w:noProof/>
        </w:rPr>
        <w:t xml:space="preserve">Ziel der Reform </w:t>
      </w:r>
      <w:r>
        <w:rPr>
          <w:noProof/>
        </w:rPr>
        <w:t>ist es, das Regelungsumfeld für verteilte Energie und Prosumenten zu verbessern, die Lieferkette für Offshore-Windenergie auszubauen, Energiemanagementsysteme einzuführen, die installierte Kapazität erneuerbarer Energiequellen zu erhöhen und den Anteil von</w:t>
      </w:r>
      <w:r>
        <w:rPr>
          <w:noProof/>
        </w:rPr>
        <w:t xml:space="preserve"> Energie aus erneuerbaren Energiequellen zu erhöhen.</w:t>
      </w:r>
    </w:p>
    <w:p w14:paraId="186F6D06" w14:textId="69C11BC6" w:rsidR="00EB245A" w:rsidRDefault="006021EE">
      <w:pPr>
        <w:pStyle w:val="P68B1DB1-Normal16"/>
        <w:spacing w:before="120" w:after="120" w:line="240" w:lineRule="auto"/>
        <w:jc w:val="both"/>
        <w:rPr>
          <w:rFonts w:eastAsia="Times New Roman" w:cs="Times New Roman"/>
          <w:noProof/>
        </w:rPr>
      </w:pPr>
      <w:r>
        <w:rPr>
          <w:noProof/>
        </w:rPr>
        <w:t>Die Reform besteht aus Änderungen des Erneuerbare-Energien-Gesetzes („RES-Gesetz“) wie der Schaffung besserer Bedingungen für den Betrieb von Energieclustern, der Umsetzung kollektiver Modelle von Energi</w:t>
      </w:r>
      <w:r>
        <w:rPr>
          <w:noProof/>
        </w:rPr>
        <w:t>eprosumenten, der Umsetzung von Bestimmungen über neue Erneuerbare-Energie-Gemeinschaften, der Einführung von Bestimmungen zur Festlegung der Grundsätze für den Betrieb eines Modells einer Erneuerbare-Energie-Gemeinschaft und der Annahme der Grundsätze für</w:t>
      </w:r>
      <w:r>
        <w:rPr>
          <w:noProof/>
        </w:rPr>
        <w:t xml:space="preserve"> die Führung eines Unternehmens für den Biomethansektor. </w:t>
      </w:r>
    </w:p>
    <w:p w14:paraId="008BEE50" w14:textId="2C6BDFCF" w:rsidR="00EB245A" w:rsidRDefault="006021EE">
      <w:pPr>
        <w:pStyle w:val="P68B1DB1-Normal16"/>
        <w:spacing w:before="120" w:after="120" w:line="240" w:lineRule="auto"/>
        <w:jc w:val="both"/>
        <w:rPr>
          <w:rFonts w:eastAsia="Times New Roman" w:cs="Times New Roman"/>
          <w:noProof/>
        </w:rPr>
      </w:pPr>
      <w:r>
        <w:rPr>
          <w:noProof/>
        </w:rPr>
        <w:t>Die Durchführung der Maßnahme muss bis zum 30. März 2023 abgeschlossen sein.</w:t>
      </w:r>
    </w:p>
    <w:p w14:paraId="5D30B634" w14:textId="2C6BDFCF" w:rsidR="00EB245A" w:rsidRDefault="006021EE">
      <w:pPr>
        <w:pStyle w:val="P68B1DB1-Normal16"/>
        <w:spacing w:before="120" w:after="120" w:line="240" w:lineRule="auto"/>
        <w:jc w:val="both"/>
        <w:rPr>
          <w:rFonts w:eastAsia="Times New Roman" w:cs="Times New Roman"/>
          <w:noProof/>
        </w:rPr>
      </w:pPr>
      <w:r>
        <w:rPr>
          <w:noProof/>
        </w:rPr>
        <w:t>Mit der Reform soll auch das Gesetz über Investitionen in die Onshore-Windenergie geändert werden, um die Möglichkeit von</w:t>
      </w:r>
      <w:r>
        <w:rPr>
          <w:noProof/>
        </w:rPr>
        <w:t xml:space="preserve"> Investitionen in Onshore-Windenergie in Gemeinden zu erleichtern, die solche Anlagen lokalisieren wollen, indem den kommunalen Behörden mehr Befugnisse eingeräumt wird, um den Standort der einzelnen Investitionen zu bestimmen und die Anlage näher an Wohng</w:t>
      </w:r>
      <w:r>
        <w:rPr>
          <w:noProof/>
        </w:rPr>
        <w:t>ebäuden zu platzieren, als die derzeitige Mindestentfernung, die zehnmal so hoch ist wie die Anlage.</w:t>
      </w:r>
    </w:p>
    <w:p w14:paraId="25C026D9" w14:textId="2C6BDFCF" w:rsidR="00EB245A" w:rsidRDefault="006021EE">
      <w:pPr>
        <w:pStyle w:val="P68B1DB1-Normal16"/>
        <w:spacing w:before="120" w:after="120" w:line="240" w:lineRule="auto"/>
        <w:jc w:val="both"/>
        <w:rPr>
          <w:rFonts w:eastAsia="Times New Roman" w:cs="Times New Roman"/>
          <w:noProof/>
        </w:rPr>
      </w:pPr>
      <w:r>
        <w:rPr>
          <w:noProof/>
        </w:rPr>
        <w:t>Die Durchführung der Maßnahme muss bis zum 30. Juni 2022 abgeschlossen sein.</w:t>
      </w:r>
    </w:p>
    <w:p w14:paraId="31008F13" w14:textId="2C6BDFCF" w:rsidR="00EB245A" w:rsidRDefault="006021EE">
      <w:pPr>
        <w:pStyle w:val="P68B1DB1-Normal16"/>
        <w:spacing w:before="120" w:after="120" w:line="240" w:lineRule="auto"/>
        <w:jc w:val="both"/>
        <w:rPr>
          <w:rFonts w:eastAsia="Times New Roman" w:cs="Times New Roman"/>
          <w:noProof/>
        </w:rPr>
      </w:pPr>
      <w:r>
        <w:rPr>
          <w:noProof/>
        </w:rPr>
        <w:t>Die oben genannte Reform wird mit dem Inkrafttreten einer Verordnung einhergeh</w:t>
      </w:r>
      <w:r>
        <w:rPr>
          <w:noProof/>
        </w:rPr>
        <w:t>en, die einen Plan für Auktionen für erneuerbare Energien pro Technologie (auch für neue Onshore-Windparks) vorsieht. In dem Plan werden ein Budget und eine Strommenge festgelegt, die für jede wettbewerbliche Auktion für den Zeitraum 2022-2027 zur Verfügun</w:t>
      </w:r>
      <w:r>
        <w:rPr>
          <w:noProof/>
        </w:rPr>
        <w:t xml:space="preserve">g stehen. Die Verordnung wird bis zum 30. September 2022 veröffentlicht. </w:t>
      </w:r>
    </w:p>
    <w:p w14:paraId="22587AD8" w14:textId="220F3F17" w:rsidR="00EB245A" w:rsidRDefault="006021EE">
      <w:pPr>
        <w:pStyle w:val="P68B1DB1-Normal16"/>
        <w:spacing w:before="120" w:after="120" w:line="240" w:lineRule="auto"/>
        <w:jc w:val="both"/>
        <w:rPr>
          <w:rFonts w:eastAsia="Times New Roman" w:cs="Times New Roman"/>
          <w:noProof/>
        </w:rPr>
      </w:pPr>
      <w:r>
        <w:rPr>
          <w:noProof/>
        </w:rPr>
        <w:t>Darüber hinaus erhöht Polen die installierte Kapazität von Onshore-Windparks und Photovoltaikanlagen schrittweise, um zum ökologischen Wandel beizutragen. Die installierte Onshore-Wi</w:t>
      </w:r>
      <w:r>
        <w:rPr>
          <w:noProof/>
        </w:rPr>
        <w:t>ndkraft- und Photovoltaikkapazität muss bis zum 30. September 202 323,5 GW erreichen.</w:t>
      </w:r>
    </w:p>
    <w:p w14:paraId="40EF849D" w14:textId="2C6BDFCF" w:rsidR="00EB245A" w:rsidRDefault="006021EE">
      <w:pPr>
        <w:pStyle w:val="P68B1DB1-Normal16"/>
        <w:spacing w:before="120" w:after="120" w:line="240" w:lineRule="auto"/>
        <w:jc w:val="both"/>
        <w:rPr>
          <w:rFonts w:eastAsia="Times New Roman" w:cs="Times New Roman"/>
          <w:noProof/>
        </w:rPr>
      </w:pPr>
      <w:r>
        <w:rPr>
          <w:noProof/>
        </w:rPr>
        <w:t>Im Hinblick auf die Entwicklung von Offshore-Windparks werden mit der Reform detaillierte Vorschriften für die Zahlung der Konzessionsgebühr an den Präsidenten der Energi</w:t>
      </w:r>
      <w:r>
        <w:rPr>
          <w:noProof/>
        </w:rPr>
        <w:t xml:space="preserve">eregulierungsbehörde eingeführt, die auf Einrichtungen ausgedehnt wird, die an der Stromerzeugung in Offshore-Windparks beteiligt sind. </w:t>
      </w:r>
    </w:p>
    <w:p w14:paraId="2D760B72" w14:textId="2C6BDFCF" w:rsidR="00EB245A" w:rsidRDefault="006021EE">
      <w:pPr>
        <w:pStyle w:val="P68B1DB1-Normal16"/>
        <w:spacing w:before="120" w:after="120" w:line="240" w:lineRule="auto"/>
        <w:jc w:val="both"/>
        <w:rPr>
          <w:rFonts w:eastAsia="Times New Roman" w:cs="Times New Roman"/>
          <w:noProof/>
        </w:rPr>
      </w:pPr>
      <w:r>
        <w:rPr>
          <w:noProof/>
        </w:rPr>
        <w:t>Die Durchführung dieser Maßnahme muss bis zum 30. Juni 2022 abgeschlossen sein.</w:t>
      </w:r>
    </w:p>
    <w:p w14:paraId="31A7AA90" w14:textId="2C6BDFCF" w:rsidR="00EB245A" w:rsidRDefault="006021EE">
      <w:pPr>
        <w:pStyle w:val="P68B1DB1-Normal16"/>
        <w:spacing w:before="120" w:after="120" w:line="240" w:lineRule="auto"/>
        <w:jc w:val="both"/>
        <w:rPr>
          <w:rFonts w:eastAsia="Times New Roman" w:cs="Times New Roman"/>
          <w:noProof/>
        </w:rPr>
      </w:pPr>
      <w:r>
        <w:rPr>
          <w:noProof/>
        </w:rPr>
        <w:t>Darüber hinaus regelt die Reform auch d</w:t>
      </w:r>
      <w:r>
        <w:rPr>
          <w:noProof/>
        </w:rPr>
        <w:t>ie Arten von Zahlungsströmen, die bei der Berechnung des angepassten Preises zu berücksichtigen sind, und die detaillierte Methode zur Berechnung des angepassten Preises.</w:t>
      </w:r>
    </w:p>
    <w:p w14:paraId="029F5691" w14:textId="2C6BDFCF" w:rsidR="00EB245A" w:rsidRDefault="006021EE">
      <w:pPr>
        <w:pStyle w:val="P68B1DB1-Normal16"/>
        <w:spacing w:before="120" w:after="120" w:line="240" w:lineRule="auto"/>
        <w:jc w:val="both"/>
        <w:rPr>
          <w:rFonts w:eastAsia="Times New Roman" w:cs="Times New Roman"/>
          <w:noProof/>
        </w:rPr>
      </w:pPr>
      <w:r>
        <w:rPr>
          <w:noProof/>
        </w:rPr>
        <w:t>Die Durchführung dieser Maßnahme muss bis zum 31. Dezember 2022 abgeschlossen sein.</w:t>
      </w:r>
    </w:p>
    <w:p w14:paraId="5CF974F5" w14:textId="2C6BDFCF" w:rsidR="00EB245A" w:rsidRDefault="00EB245A">
      <w:pPr>
        <w:pStyle w:val="Normal0"/>
        <w:pBdr>
          <w:top w:val="nil"/>
          <w:left w:val="nil"/>
          <w:bottom w:val="nil"/>
          <w:right w:val="nil"/>
          <w:between w:val="nil"/>
        </w:pBdr>
        <w:spacing w:line="240" w:lineRule="auto"/>
        <w:jc w:val="both"/>
        <w:rPr>
          <w:rFonts w:ascii="Times New Roman" w:eastAsia="Times New Roman" w:hAnsi="Times New Roman" w:cs="Times New Roman"/>
          <w:noProof/>
          <w:color w:val="000000" w:themeColor="text1"/>
          <w:sz w:val="24"/>
        </w:rPr>
        <w:sectPr w:rsidR="00EB245A" w:rsidSect="005E6922">
          <w:headerReference w:type="even" r:id="rId67"/>
          <w:headerReference w:type="default" r:id="rId68"/>
          <w:footerReference w:type="even" r:id="rId69"/>
          <w:footerReference w:type="default" r:id="rId70"/>
          <w:headerReference w:type="first" r:id="rId71"/>
          <w:footerReference w:type="first" r:id="rId72"/>
          <w:pgSz w:w="11907" w:h="16839"/>
          <w:pgMar w:top="1134" w:right="1134" w:bottom="1134" w:left="1134" w:header="567" w:footer="567" w:gutter="0"/>
          <w:cols w:space="720"/>
          <w:docGrid w:linePitch="299"/>
        </w:sectPr>
      </w:pPr>
    </w:p>
    <w:p w14:paraId="6DD44305" w14:textId="2E986EAF" w:rsidR="00EB245A" w:rsidRDefault="006021EE">
      <w:pPr>
        <w:pStyle w:val="Normal0"/>
        <w:pBdr>
          <w:top w:val="nil"/>
          <w:left w:val="nil"/>
          <w:bottom w:val="nil"/>
          <w:right w:val="nil"/>
          <w:between w:val="nil"/>
        </w:pBdr>
        <w:spacing w:line="240" w:lineRule="auto"/>
        <w:jc w:val="both"/>
        <w:rPr>
          <w:rFonts w:ascii="Times New Roman" w:eastAsia="Times New Roman" w:hAnsi="Times New Roman" w:cs="Times New Roman"/>
          <w:b/>
          <w:noProof/>
          <w:color w:val="000000"/>
          <w:sz w:val="24"/>
        </w:rPr>
      </w:pPr>
      <w:r>
        <w:rPr>
          <w:rFonts w:ascii="Times New Roman" w:hAnsi="Times New Roman"/>
          <w:b/>
          <w:noProof/>
          <w:color w:val="000000"/>
          <w:sz w:val="24"/>
        </w:rPr>
        <w:t xml:space="preserve">B.4. </w:t>
      </w:r>
      <w:r>
        <w:rPr>
          <w:noProof/>
        </w:rPr>
        <w:t xml:space="preserve"> </w:t>
      </w:r>
      <w:r>
        <w:rPr>
          <w:rFonts w:ascii="Times New Roman" w:hAnsi="Times New Roman"/>
          <w:b/>
          <w:noProof/>
          <w:color w:val="000000"/>
          <w:sz w:val="24"/>
        </w:rPr>
        <w:t>Etappenziele, Zielwerte, Indikatoren und Zeitplan für die Überwachung und Durchführung (Darlehen)</w:t>
      </w:r>
    </w:p>
    <w:tbl>
      <w:tblPr>
        <w:tblW w:w="15390"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812"/>
        <w:gridCol w:w="1720"/>
        <w:gridCol w:w="1296"/>
        <w:gridCol w:w="1560"/>
        <w:gridCol w:w="1842"/>
        <w:gridCol w:w="1134"/>
        <w:gridCol w:w="1417"/>
        <w:gridCol w:w="709"/>
        <w:gridCol w:w="992"/>
        <w:gridCol w:w="851"/>
        <w:gridCol w:w="3057"/>
      </w:tblGrid>
      <w:tr w:rsidR="00EB245A" w14:paraId="3B0D0D3A" w14:textId="77777777" w:rsidTr="00FF0416">
        <w:trPr>
          <w:trHeight w:val="939"/>
          <w:tblHeader/>
        </w:trPr>
        <w:tc>
          <w:tcPr>
            <w:tcW w:w="812" w:type="dxa"/>
            <w:vMerge w:val="restart"/>
            <w:shd w:val="clear" w:color="auto" w:fill="BDD7EE"/>
            <w:vAlign w:val="center"/>
          </w:tcPr>
          <w:p w14:paraId="2EECDF86"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Lfd. Nr. Nr.</w:t>
            </w:r>
          </w:p>
        </w:tc>
        <w:tc>
          <w:tcPr>
            <w:tcW w:w="1720" w:type="dxa"/>
            <w:vMerge w:val="restart"/>
            <w:shd w:val="clear" w:color="auto" w:fill="BDD7EE"/>
            <w:vAlign w:val="center"/>
          </w:tcPr>
          <w:p w14:paraId="5047F5DD"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Verbundene Maßnahme (Reform oder Investition)</w:t>
            </w:r>
          </w:p>
        </w:tc>
        <w:tc>
          <w:tcPr>
            <w:tcW w:w="1296" w:type="dxa"/>
            <w:vMerge w:val="restart"/>
            <w:shd w:val="clear" w:color="auto" w:fill="BDD7EE"/>
            <w:vAlign w:val="center"/>
          </w:tcPr>
          <w:p w14:paraId="73B0057C"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Etappenziel/Zielwert</w:t>
            </w:r>
          </w:p>
        </w:tc>
        <w:tc>
          <w:tcPr>
            <w:tcW w:w="1560" w:type="dxa"/>
            <w:vMerge w:val="restart"/>
            <w:shd w:val="clear" w:color="auto" w:fill="BDD7EE"/>
            <w:vAlign w:val="center"/>
          </w:tcPr>
          <w:p w14:paraId="42CF5CF5"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Namen</w:t>
            </w:r>
          </w:p>
        </w:tc>
        <w:tc>
          <w:tcPr>
            <w:tcW w:w="1842" w:type="dxa"/>
            <w:vMerge w:val="restart"/>
            <w:shd w:val="clear" w:color="auto" w:fill="BDD7EE"/>
            <w:vAlign w:val="center"/>
          </w:tcPr>
          <w:p w14:paraId="282E0709" w14:textId="77777777" w:rsidR="00EB245A" w:rsidRDefault="006021EE">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rPr>
            </w:pPr>
            <w:r>
              <w:rPr>
                <w:rFonts w:ascii="Times New Roman" w:hAnsi="Times New Roman"/>
                <w:b/>
                <w:noProof/>
                <w:color w:val="000000"/>
                <w:sz w:val="18"/>
              </w:rPr>
              <w:t>Etappenziel/Zielwert</w:t>
            </w:r>
            <w:r>
              <w:rPr>
                <w:noProof/>
              </w:rPr>
              <w:t xml:space="preserve">  </w:t>
            </w:r>
            <w:r>
              <w:rPr>
                <w:noProof/>
              </w:rPr>
              <w:br/>
            </w:r>
            <w:r>
              <w:rPr>
                <w:rFonts w:ascii="Times New Roman" w:hAnsi="Times New Roman"/>
                <w:b/>
                <w:noProof/>
                <w:color w:val="000000"/>
                <w:sz w:val="18"/>
              </w:rPr>
              <w:t>(für Etappenziele)</w:t>
            </w:r>
          </w:p>
        </w:tc>
        <w:tc>
          <w:tcPr>
            <w:tcW w:w="3260" w:type="dxa"/>
            <w:gridSpan w:val="3"/>
            <w:shd w:val="clear" w:color="auto" w:fill="BDD7EE"/>
            <w:vAlign w:val="center"/>
          </w:tcPr>
          <w:p w14:paraId="08D0AA8E" w14:textId="77777777" w:rsidR="00EB245A" w:rsidRDefault="006021EE">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rPr>
            </w:pPr>
            <w:r>
              <w:rPr>
                <w:rFonts w:ascii="Times New Roman" w:hAnsi="Times New Roman"/>
                <w:b/>
                <w:noProof/>
                <w:color w:val="000000"/>
                <w:sz w:val="18"/>
              </w:rPr>
              <w:t>Qualitative Indikatoren (für Etappenziele)</w:t>
            </w:r>
            <w:r>
              <w:rPr>
                <w:noProof/>
              </w:rPr>
              <w:t xml:space="preserve">  </w:t>
            </w:r>
            <w:r>
              <w:rPr>
                <w:noProof/>
              </w:rPr>
              <w:br/>
            </w:r>
            <w:r>
              <w:rPr>
                <w:rFonts w:ascii="Times New Roman" w:hAnsi="Times New Roman"/>
                <w:b/>
                <w:noProof/>
                <w:color w:val="000000"/>
                <w:sz w:val="18"/>
              </w:rPr>
              <w:t>(für Ziele)</w:t>
            </w:r>
          </w:p>
        </w:tc>
        <w:tc>
          <w:tcPr>
            <w:tcW w:w="1843" w:type="dxa"/>
            <w:gridSpan w:val="2"/>
            <w:shd w:val="clear" w:color="auto" w:fill="BDD7EE"/>
            <w:vAlign w:val="center"/>
          </w:tcPr>
          <w:p w14:paraId="482BCB99"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 xml:space="preserve">Vorläufiger Zeitplan für die Fertigstellung </w:t>
            </w:r>
          </w:p>
        </w:tc>
        <w:tc>
          <w:tcPr>
            <w:tcW w:w="3057" w:type="dxa"/>
            <w:vMerge w:val="restart"/>
            <w:shd w:val="clear" w:color="auto" w:fill="BDD7EE"/>
            <w:vAlign w:val="center"/>
          </w:tcPr>
          <w:p w14:paraId="532E8765"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Beschreibung der einzelnen Etappenziele und Zielvorgaben</w:t>
            </w:r>
          </w:p>
        </w:tc>
      </w:tr>
      <w:tr w:rsidR="00EB245A" w14:paraId="62D11204" w14:textId="77777777" w:rsidTr="00FF0416">
        <w:trPr>
          <w:trHeight w:val="699"/>
        </w:trPr>
        <w:tc>
          <w:tcPr>
            <w:tcW w:w="812" w:type="dxa"/>
            <w:vMerge/>
            <w:vAlign w:val="center"/>
          </w:tcPr>
          <w:p w14:paraId="7EC1343F"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6"/>
              </w:rPr>
            </w:pPr>
          </w:p>
        </w:tc>
        <w:tc>
          <w:tcPr>
            <w:tcW w:w="1720" w:type="dxa"/>
            <w:vMerge/>
            <w:vAlign w:val="center"/>
          </w:tcPr>
          <w:p w14:paraId="54FE4E58"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6"/>
              </w:rPr>
            </w:pPr>
          </w:p>
        </w:tc>
        <w:tc>
          <w:tcPr>
            <w:tcW w:w="1296" w:type="dxa"/>
            <w:vMerge/>
            <w:vAlign w:val="center"/>
          </w:tcPr>
          <w:p w14:paraId="3B1070BE"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6"/>
              </w:rPr>
            </w:pPr>
          </w:p>
        </w:tc>
        <w:tc>
          <w:tcPr>
            <w:tcW w:w="1560" w:type="dxa"/>
            <w:vMerge/>
            <w:vAlign w:val="center"/>
          </w:tcPr>
          <w:p w14:paraId="00C1FCA6"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6"/>
              </w:rPr>
            </w:pPr>
          </w:p>
        </w:tc>
        <w:tc>
          <w:tcPr>
            <w:tcW w:w="1842" w:type="dxa"/>
            <w:vMerge/>
            <w:vAlign w:val="center"/>
          </w:tcPr>
          <w:p w14:paraId="2D0614B1"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6"/>
              </w:rPr>
            </w:pPr>
          </w:p>
        </w:tc>
        <w:tc>
          <w:tcPr>
            <w:tcW w:w="1134" w:type="dxa"/>
            <w:shd w:val="clear" w:color="auto" w:fill="BDD7EE"/>
            <w:vAlign w:val="center"/>
          </w:tcPr>
          <w:p w14:paraId="5D54A078"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Maßeinheit</w:t>
            </w:r>
          </w:p>
        </w:tc>
        <w:tc>
          <w:tcPr>
            <w:tcW w:w="1417" w:type="dxa"/>
            <w:shd w:val="clear" w:color="auto" w:fill="BDD7EE"/>
            <w:vAlign w:val="center"/>
          </w:tcPr>
          <w:p w14:paraId="129CFC97"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 xml:space="preserve">Ausgangslage </w:t>
            </w:r>
          </w:p>
        </w:tc>
        <w:tc>
          <w:tcPr>
            <w:tcW w:w="709" w:type="dxa"/>
            <w:shd w:val="clear" w:color="auto" w:fill="BDD7EE"/>
            <w:vAlign w:val="center"/>
          </w:tcPr>
          <w:p w14:paraId="2B92F8AF"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Ziel</w:t>
            </w:r>
          </w:p>
        </w:tc>
        <w:tc>
          <w:tcPr>
            <w:tcW w:w="992" w:type="dxa"/>
            <w:shd w:val="clear" w:color="auto" w:fill="BDD7EE"/>
            <w:vAlign w:val="center"/>
          </w:tcPr>
          <w:p w14:paraId="405B2485"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Viertel</w:t>
            </w:r>
          </w:p>
        </w:tc>
        <w:tc>
          <w:tcPr>
            <w:tcW w:w="851" w:type="dxa"/>
            <w:shd w:val="clear" w:color="auto" w:fill="BDD7EE"/>
            <w:vAlign w:val="center"/>
          </w:tcPr>
          <w:p w14:paraId="0394DF15"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Jahre</w:t>
            </w:r>
          </w:p>
        </w:tc>
        <w:tc>
          <w:tcPr>
            <w:tcW w:w="3057" w:type="dxa"/>
            <w:vMerge/>
            <w:vAlign w:val="center"/>
          </w:tcPr>
          <w:p w14:paraId="013ED72A"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6"/>
              </w:rPr>
            </w:pPr>
          </w:p>
        </w:tc>
      </w:tr>
      <w:tr w:rsidR="00FF0416" w14:paraId="51A61DA2" w14:textId="77777777" w:rsidTr="00FF0416">
        <w:trPr>
          <w:trHeight w:val="1409"/>
        </w:trPr>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9AD004B" w14:textId="77777777"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B1L</w:t>
            </w:r>
          </w:p>
        </w:tc>
        <w:tc>
          <w:tcPr>
            <w:tcW w:w="1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CF0FE35"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B1.2 Erleichterung der Umsetzung der Energieeinsparverpflichtung für Energieunternehmen</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552399"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143977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Inkrafttreten der Durchführungsverordnung zum Energieeffizienzgesetz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915DBB5"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Bestimmung in der Durchführungsverordnung zum Energieeffizienzgesetz über dessen Inkr</w:t>
            </w:r>
            <w:r>
              <w:rPr>
                <w:noProof/>
              </w:rPr>
              <w:t>afttreten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69AB32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7D7B783"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 xml:space="preserve"> </w:t>
            </w:r>
          </w:p>
          <w:p w14:paraId="79A7D5FB" w14:textId="77777777" w:rsidR="00EB245A" w:rsidRDefault="00EB245A">
            <w:pPr>
              <w:rPr>
                <w:rFonts w:ascii="Times New Roman" w:hAnsi="Times New Roman" w:cs="Times New Roman"/>
                <w:noProof/>
                <w:sz w:val="18"/>
              </w:rPr>
            </w:pPr>
          </w:p>
          <w:p w14:paraId="36C903A2" w14:textId="77777777" w:rsidR="00EB245A" w:rsidRDefault="00EB245A">
            <w:pPr>
              <w:rPr>
                <w:rFonts w:ascii="Times New Roman" w:hAnsi="Times New Roman" w:cs="Times New Roman"/>
                <w:noProof/>
                <w:sz w:val="18"/>
              </w:rPr>
            </w:pPr>
          </w:p>
          <w:p w14:paraId="589D24A8" w14:textId="77777777" w:rsidR="00EB245A" w:rsidRDefault="00EB245A">
            <w:pPr>
              <w:rPr>
                <w:rFonts w:ascii="Times New Roman" w:hAnsi="Times New Roman" w:cs="Times New Roman"/>
                <w:noProof/>
                <w:sz w:val="1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F9433D3"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94E39F"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1ED068E"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2022</w:t>
            </w:r>
          </w:p>
        </w:tc>
        <w:tc>
          <w:tcPr>
            <w:tcW w:w="3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D214D7B"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Inkrafttreten der Durchführungsverordnung zum Energieeffizienzgesetz, mit der für Projekte zur Verbesserung der Energieeffizienz ein Referenzwert für Energieeinsparungen festgelegt wird; und eine Methode zur Berechnung der </w:t>
            </w:r>
            <w:r>
              <w:rPr>
                <w:noProof/>
              </w:rPr>
              <w:t>Energieeinsparungen für Vorhaben im Verkehrssektor festgelegt. </w:t>
            </w:r>
          </w:p>
        </w:tc>
      </w:tr>
      <w:tr w:rsidR="00FF0416" w14:paraId="52046386" w14:textId="77777777" w:rsidTr="00FF0416">
        <w:trPr>
          <w:trHeight w:val="855"/>
        </w:trPr>
        <w:tc>
          <w:tcPr>
            <w:tcW w:w="812" w:type="dxa"/>
            <w:shd w:val="clear" w:color="auto" w:fill="C6EFCE"/>
          </w:tcPr>
          <w:p w14:paraId="6CCBA14C" w14:textId="77777777" w:rsidR="00EB245A" w:rsidRDefault="006021EE">
            <w:pPr>
              <w:pStyle w:val="P68B1DB1-Normal011"/>
              <w:pBdr>
                <w:top w:val="nil"/>
                <w:left w:val="nil"/>
                <w:bottom w:val="nil"/>
                <w:right w:val="nil"/>
                <w:between w:val="nil"/>
              </w:pBdr>
              <w:spacing w:after="0" w:line="240" w:lineRule="auto"/>
              <w:jc w:val="center"/>
              <w:rPr>
                <w:rFonts w:eastAsia="Times New Roman" w:cs="Times New Roman"/>
                <w:b/>
                <w:noProof/>
                <w:color w:val="000000"/>
              </w:rPr>
            </w:pPr>
            <w:r>
              <w:rPr>
                <w:noProof/>
              </w:rPr>
              <w:t>B2L</w:t>
            </w:r>
          </w:p>
        </w:tc>
        <w:tc>
          <w:tcPr>
            <w:tcW w:w="1720" w:type="dxa"/>
            <w:shd w:val="clear" w:color="auto" w:fill="C6EFCE"/>
          </w:tcPr>
          <w:p w14:paraId="5AF7CB75"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B1.2.1 Energieeffizienz und erneuerbare Energien in Unternehmen – Investitionen mit dem höchsten Potenzial zur Verringerung der Treibhausgasemissionen</w:t>
            </w:r>
          </w:p>
        </w:tc>
        <w:tc>
          <w:tcPr>
            <w:tcW w:w="1296" w:type="dxa"/>
            <w:shd w:val="clear" w:color="auto" w:fill="C6EFCE"/>
          </w:tcPr>
          <w:p w14:paraId="6F45223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Meilenstein</w:t>
            </w:r>
          </w:p>
        </w:tc>
        <w:tc>
          <w:tcPr>
            <w:tcW w:w="1560" w:type="dxa"/>
            <w:shd w:val="clear" w:color="auto" w:fill="C6EFCE"/>
          </w:tcPr>
          <w:p w14:paraId="4A3F7D1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Finanzierungsanweisungen</w:t>
            </w:r>
            <w:r>
              <w:rPr>
                <w:noProof/>
              </w:rPr>
              <w:t xml:space="preserve"> (einschließlich Förder- und Auswahlkriterien) für die Förderregelung für Energieeffizienz und erneuerbare Energien in Unternehmen, einschließlich derjenigen, die unter das EU-Emissionshandelssystem fallen</w:t>
            </w:r>
          </w:p>
        </w:tc>
        <w:tc>
          <w:tcPr>
            <w:tcW w:w="1842" w:type="dxa"/>
            <w:shd w:val="clear" w:color="auto" w:fill="C6EFCE"/>
          </w:tcPr>
          <w:p w14:paraId="00AEA9C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Veröffentlichung der Förderregelung </w:t>
            </w:r>
          </w:p>
        </w:tc>
        <w:tc>
          <w:tcPr>
            <w:tcW w:w="1134" w:type="dxa"/>
            <w:shd w:val="clear" w:color="auto" w:fill="C6EFCE"/>
          </w:tcPr>
          <w:p w14:paraId="47B5247E"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tc>
        <w:tc>
          <w:tcPr>
            <w:tcW w:w="1417" w:type="dxa"/>
            <w:shd w:val="clear" w:color="auto" w:fill="C6EFCE"/>
          </w:tcPr>
          <w:p w14:paraId="0B45DBC1" w14:textId="77777777"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rPr>
            </w:pPr>
          </w:p>
        </w:tc>
        <w:tc>
          <w:tcPr>
            <w:tcW w:w="709" w:type="dxa"/>
            <w:shd w:val="clear" w:color="auto" w:fill="C6EFCE"/>
          </w:tcPr>
          <w:p w14:paraId="120C4239" w14:textId="77777777"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rPr>
            </w:pPr>
          </w:p>
        </w:tc>
        <w:tc>
          <w:tcPr>
            <w:tcW w:w="992" w:type="dxa"/>
            <w:shd w:val="clear" w:color="auto" w:fill="C6EFCE"/>
          </w:tcPr>
          <w:p w14:paraId="7B5546A4"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Q4</w:t>
            </w:r>
          </w:p>
        </w:tc>
        <w:tc>
          <w:tcPr>
            <w:tcW w:w="851" w:type="dxa"/>
            <w:shd w:val="clear" w:color="auto" w:fill="C6EFCE"/>
          </w:tcPr>
          <w:p w14:paraId="1183FBCA"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2022</w:t>
            </w:r>
          </w:p>
        </w:tc>
        <w:tc>
          <w:tcPr>
            <w:tcW w:w="3057" w:type="dxa"/>
            <w:shd w:val="clear" w:color="auto" w:fill="C6EFCE"/>
          </w:tcPr>
          <w:p w14:paraId="0F5F31C1" w14:textId="526D03EC"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Die Investitionspolitik der Regelung umfasst mindestens die folgenden Förder- und Projektauswahlkriterien: I) das Ziel des niedrigsten Preises pro Tonne des eingesparten Treibhausgases; II) Gewährleistung der Einhaltung der technischen Leitlinien für die V</w:t>
            </w:r>
            <w:r>
              <w:rPr>
                <w:noProof/>
              </w:rPr>
              <w:t>ermeidung erheblicher Beeinträchtigungen (2021/C58/01) durch Verwendung der Ausschlussliste und Einhaltung der EU- und nationalen Umweltvorschriften und iii) Festlegung von Dekarbonisierungszielen.</w:t>
            </w:r>
          </w:p>
        </w:tc>
      </w:tr>
      <w:tr w:rsidR="00FF0416" w14:paraId="3EDF8DE3" w14:textId="77777777" w:rsidTr="00FF0416">
        <w:trPr>
          <w:trHeight w:val="313"/>
        </w:trPr>
        <w:tc>
          <w:tcPr>
            <w:tcW w:w="812" w:type="dxa"/>
            <w:shd w:val="clear" w:color="auto" w:fill="C6EFCE"/>
          </w:tcPr>
          <w:p w14:paraId="0D6ADE2E" w14:textId="77777777"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B3L</w:t>
            </w:r>
          </w:p>
        </w:tc>
        <w:tc>
          <w:tcPr>
            <w:tcW w:w="1720" w:type="dxa"/>
            <w:shd w:val="clear" w:color="auto" w:fill="C6EFCE"/>
          </w:tcPr>
          <w:p w14:paraId="57DA3DA9"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B1.2.1 Energieeffizienz und erneuerbare Energien in </w:t>
            </w:r>
            <w:r>
              <w:rPr>
                <w:noProof/>
              </w:rPr>
              <w:t>Unternehmen – Investitionen mit dem höchsten Potenzial zur Verringerung der Treibhausgasemissionen</w:t>
            </w:r>
          </w:p>
        </w:tc>
        <w:tc>
          <w:tcPr>
            <w:tcW w:w="1296" w:type="dxa"/>
            <w:shd w:val="clear" w:color="auto" w:fill="C6EFCE"/>
          </w:tcPr>
          <w:p w14:paraId="6A7C6A0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Ziel</w:t>
            </w:r>
          </w:p>
        </w:tc>
        <w:tc>
          <w:tcPr>
            <w:tcW w:w="1560" w:type="dxa"/>
            <w:shd w:val="clear" w:color="auto" w:fill="C6EFCE"/>
          </w:tcPr>
          <w:p w14:paraId="41FBEB5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Vergabe aller Aufträge für die Umsetzung von Energieeffizienz und erneuerbaren Energieträgern in Unternehmen</w:t>
            </w:r>
          </w:p>
        </w:tc>
        <w:tc>
          <w:tcPr>
            <w:tcW w:w="1842" w:type="dxa"/>
            <w:shd w:val="clear" w:color="auto" w:fill="C6EFCE"/>
          </w:tcPr>
          <w:p w14:paraId="787FC11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134" w:type="dxa"/>
            <w:shd w:val="clear" w:color="auto" w:fill="C6EFCE"/>
          </w:tcPr>
          <w:p w14:paraId="5820804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Anzahl</w:t>
            </w:r>
          </w:p>
        </w:tc>
        <w:tc>
          <w:tcPr>
            <w:tcW w:w="1417" w:type="dxa"/>
            <w:shd w:val="clear" w:color="auto" w:fill="C6EFCE"/>
          </w:tcPr>
          <w:p w14:paraId="71E6F318"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0</w:t>
            </w:r>
          </w:p>
        </w:tc>
        <w:tc>
          <w:tcPr>
            <w:tcW w:w="709" w:type="dxa"/>
            <w:shd w:val="clear" w:color="auto" w:fill="C6EFCE"/>
          </w:tcPr>
          <w:p w14:paraId="4408D9DA"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43</w:t>
            </w:r>
          </w:p>
        </w:tc>
        <w:tc>
          <w:tcPr>
            <w:tcW w:w="992" w:type="dxa"/>
            <w:shd w:val="clear" w:color="auto" w:fill="C6EFCE"/>
          </w:tcPr>
          <w:p w14:paraId="229A5D09"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Q4</w:t>
            </w:r>
          </w:p>
        </w:tc>
        <w:tc>
          <w:tcPr>
            <w:tcW w:w="851" w:type="dxa"/>
            <w:shd w:val="clear" w:color="auto" w:fill="C6EFCE"/>
          </w:tcPr>
          <w:p w14:paraId="16EFD7C5"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2023</w:t>
            </w:r>
          </w:p>
        </w:tc>
        <w:tc>
          <w:tcPr>
            <w:tcW w:w="3057" w:type="dxa"/>
            <w:shd w:val="clear" w:color="auto" w:fill="C6EFCE"/>
          </w:tcPr>
          <w:p w14:paraId="0A356E9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Zahl der für Investitionsvorhaben vergebenen Aufträge im Zusammenhang mit der Verbesserung von Industrie- und Energieprozessen zur Verbesserung der Energieeffizienz und zur Verringerung der Energieintensität, was zu einer Verringerung und Rationalisierung </w:t>
            </w:r>
            <w:r>
              <w:rPr>
                <w:noProof/>
              </w:rPr>
              <w:t>des Energieverbrauchs durch Investitionen in erneuerbare und CO2-arme Energiequellen in Unternehmen führt. Das System wird im Einklang mit seinen Finanzierungsanweisungen, wie unter B2L beschrieben, umgesetzt. Die Regelung wird im Rahmen eines diskriminier</w:t>
            </w:r>
            <w:r>
              <w:rPr>
                <w:noProof/>
              </w:rPr>
              <w:t>ungsfreien, transparenten und offenen Verfahrens eingeführt, das allen Industriezweigen offen steht.</w:t>
            </w:r>
          </w:p>
        </w:tc>
      </w:tr>
      <w:tr w:rsidR="00FF0416" w14:paraId="1B7917D7" w14:textId="77777777" w:rsidTr="00FF0416">
        <w:trPr>
          <w:trHeight w:val="313"/>
        </w:trPr>
        <w:tc>
          <w:tcPr>
            <w:tcW w:w="812" w:type="dxa"/>
            <w:shd w:val="clear" w:color="auto" w:fill="C6EFCE"/>
          </w:tcPr>
          <w:p w14:paraId="215315CF" w14:textId="77777777"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B4L</w:t>
            </w:r>
          </w:p>
        </w:tc>
        <w:tc>
          <w:tcPr>
            <w:tcW w:w="1720" w:type="dxa"/>
            <w:shd w:val="clear" w:color="auto" w:fill="C6EFCE"/>
          </w:tcPr>
          <w:p w14:paraId="0B785F99"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B2.3 Förderung von Investitionen in Offshore-Windparks</w:t>
            </w:r>
          </w:p>
        </w:tc>
        <w:tc>
          <w:tcPr>
            <w:tcW w:w="1296" w:type="dxa"/>
            <w:shd w:val="clear" w:color="auto" w:fill="C6EFCE"/>
          </w:tcPr>
          <w:p w14:paraId="23F8294E"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560" w:type="dxa"/>
            <w:shd w:val="clear" w:color="auto" w:fill="C6EFCE"/>
          </w:tcPr>
          <w:p w14:paraId="02555C1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Inkrafttreten von Durchführungsverordnungen aufgrund des Gesetzes zur Förderung der Stromerzeugung in Offshore-Windparks </w:t>
            </w:r>
          </w:p>
        </w:tc>
        <w:tc>
          <w:tcPr>
            <w:tcW w:w="1842" w:type="dxa"/>
            <w:shd w:val="clear" w:color="auto" w:fill="C6EFCE"/>
          </w:tcPr>
          <w:p w14:paraId="1FB9E400"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Bestimmungen der Verordnungen, aus denen ihr Inkrafttreten hervorgeht</w:t>
            </w:r>
          </w:p>
        </w:tc>
        <w:tc>
          <w:tcPr>
            <w:tcW w:w="1134" w:type="dxa"/>
            <w:shd w:val="clear" w:color="auto" w:fill="C6EFCE"/>
          </w:tcPr>
          <w:p w14:paraId="396C961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417" w:type="dxa"/>
            <w:shd w:val="clear" w:color="auto" w:fill="C6EFCE"/>
          </w:tcPr>
          <w:p w14:paraId="15C6C2C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709" w:type="dxa"/>
            <w:shd w:val="clear" w:color="auto" w:fill="C6EFCE"/>
          </w:tcPr>
          <w:p w14:paraId="052B1EA5"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992" w:type="dxa"/>
            <w:shd w:val="clear" w:color="auto" w:fill="C6EFCE"/>
          </w:tcPr>
          <w:p w14:paraId="624344F4"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Q2</w:t>
            </w:r>
          </w:p>
        </w:tc>
        <w:tc>
          <w:tcPr>
            <w:tcW w:w="851" w:type="dxa"/>
            <w:shd w:val="clear" w:color="auto" w:fill="C6EFCE"/>
          </w:tcPr>
          <w:p w14:paraId="49B93A81"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2024</w:t>
            </w:r>
          </w:p>
        </w:tc>
        <w:tc>
          <w:tcPr>
            <w:tcW w:w="3057" w:type="dxa"/>
            <w:shd w:val="clear" w:color="auto" w:fill="C6EFCE"/>
          </w:tcPr>
          <w:p w14:paraId="620635F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Zwei Durchführungsverordnungen treten in Kraft: </w:t>
            </w:r>
          </w:p>
          <w:p w14:paraId="2351FD8F" w14:textId="77777777"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r>
              <w:rPr>
                <w:rFonts w:ascii="Times New Roman" w:hAnsi="Times New Roman"/>
                <w:noProof/>
                <w:color w:val="000000" w:themeColor="text1"/>
                <w:sz w:val="18"/>
              </w:rPr>
              <w:t>1. Verordnung des Ministers für Klima und Umwelt über die Anforderungen an die Elemente einer Reihe von Ausrüstungen für die Stromevakuierung und an die Elemente von Offshore-Umspannwerken – darüber hinaus muss die Verordnung die angemessene Qualität der I</w:t>
            </w:r>
            <w:r>
              <w:rPr>
                <w:rFonts w:ascii="Times New Roman" w:hAnsi="Times New Roman"/>
                <w:noProof/>
                <w:color w:val="000000" w:themeColor="text1"/>
                <w:sz w:val="18"/>
              </w:rPr>
              <w:t>nfrastruktur im Zusammenhang mit ihrer potenziellen Integration in das Stromnetz im Falle der Übertragung der Stromquellen von Offshore-Windparks gemäß Artikel 58-60 des Offshore-Windkraftgesetzes gewährleisten.</w:t>
            </w:r>
            <w:r>
              <w:rPr>
                <w:noProof/>
              </w:rPr>
              <w:t xml:space="preserve">  </w:t>
            </w:r>
            <w:r>
              <w:rPr>
                <w:noProof/>
              </w:rPr>
              <w:br/>
            </w:r>
            <w:r>
              <w:rPr>
                <w:rFonts w:ascii="Times New Roman" w:hAnsi="Times New Roman"/>
                <w:noProof/>
                <w:color w:val="000000" w:themeColor="text1"/>
                <w:sz w:val="18"/>
              </w:rPr>
              <w:t xml:space="preserve">2. Verordnung des Ministers für Klima und </w:t>
            </w:r>
            <w:r>
              <w:rPr>
                <w:rFonts w:ascii="Times New Roman" w:hAnsi="Times New Roman"/>
                <w:noProof/>
                <w:color w:val="000000" w:themeColor="text1"/>
                <w:sz w:val="18"/>
              </w:rPr>
              <w:t>Umwelt über den Höchstpreis in PLN pro 1 MWh, der in Geboten angegeben werden kann, die von den Erzeugern im Rahmen einer Auktion abgegeben werden.</w:t>
            </w:r>
          </w:p>
        </w:tc>
      </w:tr>
      <w:tr w:rsidR="00FF0416" w14:paraId="61BF8A97" w14:textId="77777777" w:rsidTr="00FF0416">
        <w:trPr>
          <w:trHeight w:val="313"/>
        </w:trPr>
        <w:tc>
          <w:tcPr>
            <w:tcW w:w="812" w:type="dxa"/>
            <w:shd w:val="clear" w:color="auto" w:fill="C6EFCE"/>
          </w:tcPr>
          <w:p w14:paraId="0F945220" w14:textId="77777777"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B5L</w:t>
            </w:r>
          </w:p>
        </w:tc>
        <w:tc>
          <w:tcPr>
            <w:tcW w:w="1720" w:type="dxa"/>
            <w:shd w:val="clear" w:color="auto" w:fill="C6EFCE"/>
          </w:tcPr>
          <w:p w14:paraId="481F3FE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B2.3 Förderung von Investitionen in Offshore-Windparks</w:t>
            </w:r>
          </w:p>
        </w:tc>
        <w:tc>
          <w:tcPr>
            <w:tcW w:w="1296" w:type="dxa"/>
            <w:shd w:val="clear" w:color="auto" w:fill="C6EFCE"/>
          </w:tcPr>
          <w:p w14:paraId="71E2AC0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560" w:type="dxa"/>
            <w:shd w:val="clear" w:color="auto" w:fill="C6EFCE"/>
          </w:tcPr>
          <w:p w14:paraId="1FEE43B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Organisation von Auktionen für Strom</w:t>
            </w:r>
            <w:r>
              <w:rPr>
                <w:noProof/>
              </w:rPr>
              <w:t xml:space="preserve"> aus Offshore-Windparks</w:t>
            </w:r>
          </w:p>
        </w:tc>
        <w:tc>
          <w:tcPr>
            <w:tcW w:w="1842" w:type="dxa"/>
            <w:shd w:val="clear" w:color="auto" w:fill="C6EFCE"/>
          </w:tcPr>
          <w:p w14:paraId="12A9705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Veröffentlichung der Auktionsergebnisse</w:t>
            </w:r>
          </w:p>
        </w:tc>
        <w:tc>
          <w:tcPr>
            <w:tcW w:w="1134" w:type="dxa"/>
            <w:shd w:val="clear" w:color="auto" w:fill="C6EFCE"/>
          </w:tcPr>
          <w:p w14:paraId="0946B84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417" w:type="dxa"/>
            <w:shd w:val="clear" w:color="auto" w:fill="C6EFCE"/>
          </w:tcPr>
          <w:p w14:paraId="7918685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709" w:type="dxa"/>
            <w:shd w:val="clear" w:color="auto" w:fill="C6EFCE"/>
          </w:tcPr>
          <w:p w14:paraId="38689931"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992" w:type="dxa"/>
            <w:shd w:val="clear" w:color="auto" w:fill="C6EFCE"/>
          </w:tcPr>
          <w:p w14:paraId="1FC9CBBD"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Q4</w:t>
            </w:r>
          </w:p>
        </w:tc>
        <w:tc>
          <w:tcPr>
            <w:tcW w:w="851" w:type="dxa"/>
            <w:shd w:val="clear" w:color="auto" w:fill="C6EFCE"/>
          </w:tcPr>
          <w:p w14:paraId="1B99CA75"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2025</w:t>
            </w:r>
          </w:p>
        </w:tc>
        <w:tc>
          <w:tcPr>
            <w:tcW w:w="3057" w:type="dxa"/>
            <w:shd w:val="clear" w:color="auto" w:fill="C6EFCE"/>
          </w:tcPr>
          <w:p w14:paraId="75F8B83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Mit dem Gesetz vom 17. Dezember 2020 zur Förderung der Stromerzeugung in Offshore-Windparks (Gesetzblatt 2021, Pos. 234) wurde mit Artikel 29 die Verpflichtung für den </w:t>
            </w:r>
            <w:r>
              <w:rPr>
                <w:noProof/>
              </w:rPr>
              <w:t>Präsidenten der Energieregulierungsbehörde eingeführt, 2025 eine Auktion durchzuführen. Die installierte elektrische Gesamtleistung von Offshore-Windparks, für die das Recht zur Deckung des negativen Saldos durch die Auktion im Jahr 2025 gewährt werden kan</w:t>
            </w:r>
            <w:r>
              <w:rPr>
                <w:noProof/>
              </w:rPr>
              <w:t xml:space="preserve">n, beträgt 2,5 GW.  </w:t>
            </w:r>
          </w:p>
        </w:tc>
      </w:tr>
      <w:tr w:rsidR="00FF0416" w14:paraId="4DC91688" w14:textId="77777777" w:rsidTr="00FF0416">
        <w:trPr>
          <w:trHeight w:val="313"/>
        </w:trPr>
        <w:tc>
          <w:tcPr>
            <w:tcW w:w="812" w:type="dxa"/>
            <w:shd w:val="clear" w:color="auto" w:fill="C6EFCE"/>
          </w:tcPr>
          <w:p w14:paraId="0C34ABAF" w14:textId="77777777"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B6L</w:t>
            </w:r>
          </w:p>
        </w:tc>
        <w:tc>
          <w:tcPr>
            <w:tcW w:w="1720" w:type="dxa"/>
            <w:shd w:val="clear" w:color="auto" w:fill="C6EFCE"/>
          </w:tcPr>
          <w:p w14:paraId="5BAB107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B2.3 Förderung von Investitionen in Offshore-Windparks</w:t>
            </w:r>
          </w:p>
        </w:tc>
        <w:tc>
          <w:tcPr>
            <w:tcW w:w="1296" w:type="dxa"/>
            <w:shd w:val="clear" w:color="auto" w:fill="C6EFCE"/>
          </w:tcPr>
          <w:p w14:paraId="4CA3B8C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560" w:type="dxa"/>
            <w:shd w:val="clear" w:color="auto" w:fill="C6EFCE"/>
          </w:tcPr>
          <w:p w14:paraId="3FF403A1"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Inkrafttreten einer Änderung der Verordnung über die genauen Bedingungen für den Betrieb des Stromnetzes, mit der die nationalen Ausgleichsregeln geändert werden, </w:t>
            </w:r>
            <w:r>
              <w:rPr>
                <w:noProof/>
              </w:rPr>
              <w:t>um die Auswirkungen der Zuteilungsbeschränkungen so weit wie möglich zu verringern</w:t>
            </w:r>
          </w:p>
        </w:tc>
        <w:tc>
          <w:tcPr>
            <w:tcW w:w="1842" w:type="dxa"/>
            <w:shd w:val="clear" w:color="auto" w:fill="C6EFCE"/>
          </w:tcPr>
          <w:p w14:paraId="0F3C1BD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Bestimmung in der Änderung der Verordnung, aus der hervorgeht, dass sie in Kraft tritt</w:t>
            </w:r>
          </w:p>
        </w:tc>
        <w:tc>
          <w:tcPr>
            <w:tcW w:w="1134" w:type="dxa"/>
            <w:shd w:val="clear" w:color="auto" w:fill="C6EFCE"/>
          </w:tcPr>
          <w:p w14:paraId="1004031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417" w:type="dxa"/>
            <w:shd w:val="clear" w:color="auto" w:fill="C6EFCE"/>
          </w:tcPr>
          <w:p w14:paraId="04F7148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709" w:type="dxa"/>
            <w:shd w:val="clear" w:color="auto" w:fill="C6EFCE"/>
          </w:tcPr>
          <w:p w14:paraId="15DB0EA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992" w:type="dxa"/>
            <w:shd w:val="clear" w:color="auto" w:fill="C6EFCE"/>
          </w:tcPr>
          <w:p w14:paraId="0FCD07F0"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Q4</w:t>
            </w:r>
          </w:p>
        </w:tc>
        <w:tc>
          <w:tcPr>
            <w:tcW w:w="851" w:type="dxa"/>
            <w:shd w:val="clear" w:color="auto" w:fill="C6EFCE"/>
          </w:tcPr>
          <w:p w14:paraId="47B646AC"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2023</w:t>
            </w:r>
          </w:p>
        </w:tc>
        <w:tc>
          <w:tcPr>
            <w:tcW w:w="3057" w:type="dxa"/>
            <w:shd w:val="clear" w:color="auto" w:fill="C6EFCE"/>
          </w:tcPr>
          <w:p w14:paraId="36C20F1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Im Rahmen der Reform des Energiemarkts werden die Regeln des Regelreservemarkts geändert, um die explizite Beschaffung von Reserven vor der einheitlichen Day-Ahead-Marktkopplung (Single Day-Ahead-Marktkopplung) aufzunehmen. Diese Lösung wurde von der ACER </w:t>
            </w:r>
            <w:r>
              <w:rPr>
                <w:noProof/>
              </w:rPr>
              <w:t>in der CORE-CCM-Methode (ACER-Entscheidung 02/2019) als eine der möglichen Lösungen vorgeschlagen, um die Auswirkungen der Zuteilungsbeschränkungen so weit wie möglich zu verringern. Zur Durchführung dieser Reform ändert der für Energie zuständige Minister</w:t>
            </w:r>
            <w:r>
              <w:rPr>
                <w:noProof/>
              </w:rPr>
              <w:t xml:space="preserve"> die Verordnung des Wirtschaftsministers vom 4. Mai 2007 über die genauen Bedingungen für den Betrieb des Stromnetzes. Zuteilungsbeschränkungen werden von der Energieregulierungsbehörde gemäß den geltenden EU-Vorschriften überwacht. Die Regulierungsbehörde</w:t>
            </w:r>
            <w:r>
              <w:rPr>
                <w:noProof/>
              </w:rPr>
              <w:t xml:space="preserve"> führt eine Studie über die Optimierung der vorgeschlagenen Maßnahmen zur Begrenzung der Zuteilungsbeschränkungen im polnischen Stromnetz durch, und ihre Empfehlungen werden bei den weiteren Arbeiten gebührend berücksichtigt. </w:t>
            </w:r>
          </w:p>
        </w:tc>
      </w:tr>
      <w:tr w:rsidR="00FF0416" w14:paraId="2661DC80" w14:textId="77777777" w:rsidTr="00FF0416">
        <w:trPr>
          <w:trHeight w:val="313"/>
        </w:trPr>
        <w:tc>
          <w:tcPr>
            <w:tcW w:w="812" w:type="dxa"/>
            <w:shd w:val="clear" w:color="auto" w:fill="C6EFCE"/>
          </w:tcPr>
          <w:p w14:paraId="367235F3" w14:textId="77777777"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B10L</w:t>
            </w:r>
          </w:p>
        </w:tc>
        <w:tc>
          <w:tcPr>
            <w:tcW w:w="1720" w:type="dxa"/>
            <w:shd w:val="clear" w:color="auto" w:fill="C6EFCE"/>
          </w:tcPr>
          <w:p w14:paraId="568C7D3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B2.4 Rechtlicher Rahmen</w:t>
            </w:r>
            <w:r>
              <w:rPr>
                <w:noProof/>
              </w:rPr>
              <w:t xml:space="preserve"> für die Entwicklung von Energiespeicheranlagen</w:t>
            </w:r>
          </w:p>
        </w:tc>
        <w:tc>
          <w:tcPr>
            <w:tcW w:w="1296" w:type="dxa"/>
            <w:shd w:val="clear" w:color="auto" w:fill="C6EFCE"/>
          </w:tcPr>
          <w:p w14:paraId="66ADCF2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560" w:type="dxa"/>
            <w:shd w:val="clear" w:color="auto" w:fill="C6EFCE"/>
          </w:tcPr>
          <w:p w14:paraId="34F0C8E9"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Inkrafttreten der Änderungen des Energiegesetzes in Bezug auf die Energiespeicherung</w:t>
            </w:r>
          </w:p>
        </w:tc>
        <w:tc>
          <w:tcPr>
            <w:tcW w:w="1842" w:type="dxa"/>
            <w:shd w:val="clear" w:color="auto" w:fill="C6EFCE"/>
          </w:tcPr>
          <w:p w14:paraId="14585FE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Bestimmung in den Änderungen des Energiegesetzes, aus der hervorgeht, dass es in Kraft tritt</w:t>
            </w:r>
          </w:p>
        </w:tc>
        <w:tc>
          <w:tcPr>
            <w:tcW w:w="1134" w:type="dxa"/>
            <w:shd w:val="clear" w:color="auto" w:fill="C6EFCE"/>
          </w:tcPr>
          <w:p w14:paraId="1D63B87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417" w:type="dxa"/>
            <w:shd w:val="clear" w:color="auto" w:fill="C6EFCE"/>
          </w:tcPr>
          <w:p w14:paraId="15A7C89B"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 xml:space="preserve"> </w:t>
            </w:r>
          </w:p>
        </w:tc>
        <w:tc>
          <w:tcPr>
            <w:tcW w:w="709" w:type="dxa"/>
            <w:shd w:val="clear" w:color="auto" w:fill="C6EFCE"/>
          </w:tcPr>
          <w:p w14:paraId="60C797F5"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 xml:space="preserve"> </w:t>
            </w:r>
          </w:p>
        </w:tc>
        <w:tc>
          <w:tcPr>
            <w:tcW w:w="992" w:type="dxa"/>
            <w:shd w:val="clear" w:color="auto" w:fill="C6EFCE"/>
          </w:tcPr>
          <w:p w14:paraId="641D6DF0"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Q2</w:t>
            </w:r>
          </w:p>
        </w:tc>
        <w:tc>
          <w:tcPr>
            <w:tcW w:w="851" w:type="dxa"/>
            <w:shd w:val="clear" w:color="auto" w:fill="C6EFCE"/>
          </w:tcPr>
          <w:p w14:paraId="580F8B85"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2021</w:t>
            </w:r>
          </w:p>
        </w:tc>
        <w:tc>
          <w:tcPr>
            <w:tcW w:w="3057" w:type="dxa"/>
            <w:shd w:val="clear" w:color="auto" w:fill="C6EFCE"/>
          </w:tcPr>
          <w:p w14:paraId="6768466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Die </w:t>
            </w:r>
            <w:r>
              <w:rPr>
                <w:noProof/>
              </w:rPr>
              <w:t>Änderungen erleichtern die Entwicklung der Stromspeicherung, einschließlich insbesondere einer Befreiung von der Entgeltpflicht, der Vermeidung doppelter Netzentgelte, der teilweisen Befreiung von den Gebühren für den Anschluss der Speicherung an das Netz,</w:t>
            </w:r>
            <w:r>
              <w:rPr>
                <w:noProof/>
              </w:rPr>
              <w:t xml:space="preserve"> der Befreiung von der Verpflichtung zur Vorlage von Ursprungszeugnissen und von bestimmten Gebühren für gespeicherten Strom. Der vorgeschlagene Rahmen für Speichertarife muss nichtdiskriminierend und kostenorientiert sein.</w:t>
            </w:r>
          </w:p>
        </w:tc>
      </w:tr>
      <w:tr w:rsidR="00FF0416" w14:paraId="38ACB0B6" w14:textId="77777777" w:rsidTr="00FF0416">
        <w:trPr>
          <w:trHeight w:val="313"/>
        </w:trPr>
        <w:tc>
          <w:tcPr>
            <w:tcW w:w="812" w:type="dxa"/>
            <w:shd w:val="clear" w:color="auto" w:fill="C6EFCE"/>
          </w:tcPr>
          <w:p w14:paraId="1354D060" w14:textId="77777777"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B14L</w:t>
            </w:r>
          </w:p>
        </w:tc>
        <w:tc>
          <w:tcPr>
            <w:tcW w:w="1720" w:type="dxa"/>
            <w:shd w:val="clear" w:color="auto" w:fill="C6EFCE"/>
          </w:tcPr>
          <w:p w14:paraId="37CABD5B"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B3.2 Förderung der </w:t>
            </w:r>
            <w:r>
              <w:rPr>
                <w:noProof/>
              </w:rPr>
              <w:t>Wiederherstellung der Umwelt und des Schutzes vor gefährlichen Stoffen</w:t>
            </w:r>
          </w:p>
        </w:tc>
        <w:tc>
          <w:tcPr>
            <w:tcW w:w="1296" w:type="dxa"/>
            <w:shd w:val="clear" w:color="auto" w:fill="C6EFCE"/>
          </w:tcPr>
          <w:p w14:paraId="77CF14A9"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560" w:type="dxa"/>
            <w:shd w:val="clear" w:color="auto" w:fill="C6EFCE"/>
          </w:tcPr>
          <w:p w14:paraId="5E5897F8" w14:textId="77777777"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r>
              <w:rPr>
                <w:rFonts w:ascii="Times New Roman" w:hAnsi="Times New Roman"/>
                <w:noProof/>
                <w:color w:val="000000" w:themeColor="text1"/>
                <w:sz w:val="18"/>
              </w:rPr>
              <w:t>Inkrafttreten eines Gesetzes zur Erleichterung einer umfassenden Beseitigung der negativen Umweltauswirkungen großer postindustrieller Gebiete.</w:t>
            </w:r>
            <w:r>
              <w:rPr>
                <w:noProof/>
              </w:rPr>
              <w:t xml:space="preserve">  </w:t>
            </w:r>
            <w:r>
              <w:rPr>
                <w:noProof/>
              </w:rPr>
              <w:br/>
            </w:r>
          </w:p>
        </w:tc>
        <w:tc>
          <w:tcPr>
            <w:tcW w:w="1842" w:type="dxa"/>
            <w:shd w:val="clear" w:color="auto" w:fill="C6EFCE"/>
          </w:tcPr>
          <w:p w14:paraId="07CAF99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Bestimmung des Gesetzes, a</w:t>
            </w:r>
            <w:r>
              <w:rPr>
                <w:noProof/>
              </w:rPr>
              <w:t>us der hervorgeht, dass es in Kraft tritt</w:t>
            </w:r>
          </w:p>
        </w:tc>
        <w:tc>
          <w:tcPr>
            <w:tcW w:w="1134" w:type="dxa"/>
            <w:shd w:val="clear" w:color="auto" w:fill="C6EFCE"/>
          </w:tcPr>
          <w:p w14:paraId="10D69A76"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p>
        </w:tc>
        <w:tc>
          <w:tcPr>
            <w:tcW w:w="1417" w:type="dxa"/>
            <w:shd w:val="clear" w:color="auto" w:fill="C6EFCE"/>
          </w:tcPr>
          <w:p w14:paraId="13F04A9B" w14:textId="77777777"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themeColor="text1"/>
                <w:sz w:val="18"/>
              </w:rPr>
            </w:pPr>
          </w:p>
        </w:tc>
        <w:tc>
          <w:tcPr>
            <w:tcW w:w="709" w:type="dxa"/>
            <w:shd w:val="clear" w:color="auto" w:fill="C6EFCE"/>
          </w:tcPr>
          <w:p w14:paraId="046AD675" w14:textId="77777777"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themeColor="text1"/>
                <w:sz w:val="18"/>
              </w:rPr>
            </w:pPr>
          </w:p>
        </w:tc>
        <w:tc>
          <w:tcPr>
            <w:tcW w:w="992" w:type="dxa"/>
            <w:shd w:val="clear" w:color="auto" w:fill="C6EFCE"/>
          </w:tcPr>
          <w:p w14:paraId="11B1F82F"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0000" w:themeColor="text1"/>
              </w:rPr>
            </w:pPr>
            <w:r>
              <w:rPr>
                <w:noProof/>
              </w:rPr>
              <w:t>Q4</w:t>
            </w:r>
          </w:p>
        </w:tc>
        <w:tc>
          <w:tcPr>
            <w:tcW w:w="851" w:type="dxa"/>
            <w:shd w:val="clear" w:color="auto" w:fill="C6EFCE"/>
          </w:tcPr>
          <w:p w14:paraId="738AE6F5"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2022</w:t>
            </w:r>
          </w:p>
        </w:tc>
        <w:tc>
          <w:tcPr>
            <w:tcW w:w="3057" w:type="dxa"/>
            <w:shd w:val="clear" w:color="auto" w:fill="C6EFCE"/>
          </w:tcPr>
          <w:p w14:paraId="32CB3493" w14:textId="77777777"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r>
              <w:rPr>
                <w:rFonts w:ascii="Times New Roman" w:hAnsi="Times New Roman"/>
                <w:noProof/>
                <w:color w:val="000000" w:themeColor="text1"/>
                <w:sz w:val="18"/>
              </w:rPr>
              <w:t xml:space="preserve">Inkrafttreten eines Gesetzes zur Verbesserung der Sicherheit der menschlichen Gesundheit und des Zustands der Umwelt. Mit dem Gesetz sollen organisatorische und rechtliche Hindernisse beseitigt werden, </w:t>
            </w:r>
            <w:r>
              <w:rPr>
                <w:rFonts w:ascii="Times New Roman" w:hAnsi="Times New Roman"/>
                <w:noProof/>
                <w:color w:val="000000" w:themeColor="text1"/>
                <w:sz w:val="18"/>
              </w:rPr>
              <w:t>die einer umfassenden Beseitigung der negativen Umweltauswirkungen großer postindustrieller Gebiete entgegenstehen.</w:t>
            </w:r>
            <w:r>
              <w:rPr>
                <w:noProof/>
              </w:rPr>
              <w:t xml:space="preserve">  </w:t>
            </w:r>
            <w:r>
              <w:rPr>
                <w:noProof/>
              </w:rPr>
              <w:br/>
            </w:r>
            <w:r>
              <w:rPr>
                <w:rFonts w:ascii="Times New Roman" w:hAnsi="Times New Roman"/>
                <w:noProof/>
                <w:color w:val="000000" w:themeColor="text1"/>
                <w:sz w:val="18"/>
              </w:rPr>
              <w:t xml:space="preserve">Es handelt sich um eine Form des Lotsendienstes für vorab festgelegte Orte. </w:t>
            </w:r>
            <w:r>
              <w:rPr>
                <w:noProof/>
              </w:rPr>
              <w:t xml:space="preserve"> </w:t>
            </w:r>
            <w:r>
              <w:rPr>
                <w:noProof/>
              </w:rPr>
              <w:br/>
            </w:r>
            <w:r>
              <w:rPr>
                <w:rFonts w:ascii="Times New Roman" w:hAnsi="Times New Roman"/>
                <w:noProof/>
                <w:color w:val="000000" w:themeColor="text1"/>
                <w:sz w:val="18"/>
              </w:rPr>
              <w:t>Das Gesetz enthält Vorschriften für vier unabhängige Feldkom</w:t>
            </w:r>
            <w:r>
              <w:rPr>
                <w:rFonts w:ascii="Times New Roman" w:hAnsi="Times New Roman"/>
                <w:noProof/>
                <w:color w:val="000000" w:themeColor="text1"/>
                <w:sz w:val="18"/>
              </w:rPr>
              <w:t>ponenten (verschiedene Standorte und Umfang der Arbeiten): 1. ehemaliges „Tarnowskie Góry“ Chemical Plant in Tarnowskie Góry; 2) früher „Zachem“ Chemical Plant in Bydgoszcz; „Organika-Azot“ in Jaworzno; 4) ehemaliges „Boruta“ Dyes Industry Plant in Zgierz.</w:t>
            </w:r>
            <w:r>
              <w:rPr>
                <w:noProof/>
              </w:rPr>
              <w:t xml:space="preserve">  </w:t>
            </w:r>
            <w:r>
              <w:rPr>
                <w:noProof/>
              </w:rPr>
              <w:br/>
            </w:r>
            <w:r>
              <w:rPr>
                <w:rFonts w:ascii="Times New Roman" w:hAnsi="Times New Roman"/>
                <w:noProof/>
                <w:color w:val="000000" w:themeColor="text1"/>
                <w:sz w:val="18"/>
              </w:rPr>
              <w:t>Gegenstand des Projekts sind die Erkundung und Bestandsaufnahme der Gebiete, die Vorbereitung und Bewertung des Ausmaßes der Probleme im Zusammenhang mit der Verringerung der Umweltauswirkungen großer Brachflächen und die Entwicklung einer umfassenden I</w:t>
            </w:r>
            <w:r>
              <w:rPr>
                <w:rFonts w:ascii="Times New Roman" w:hAnsi="Times New Roman"/>
                <w:noProof/>
                <w:color w:val="000000" w:themeColor="text1"/>
                <w:sz w:val="18"/>
              </w:rPr>
              <w:t>nvestitionsdokumentation für diese Gebiete.</w:t>
            </w:r>
          </w:p>
        </w:tc>
      </w:tr>
      <w:tr w:rsidR="00FF0416" w14:paraId="2A651C9E" w14:textId="77777777" w:rsidTr="00FF0416">
        <w:trPr>
          <w:trHeight w:val="313"/>
        </w:trPr>
        <w:tc>
          <w:tcPr>
            <w:tcW w:w="812" w:type="dxa"/>
            <w:shd w:val="clear" w:color="auto" w:fill="C6EFCE"/>
          </w:tcPr>
          <w:p w14:paraId="540410A1" w14:textId="77777777"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B15L</w:t>
            </w:r>
          </w:p>
        </w:tc>
        <w:tc>
          <w:tcPr>
            <w:tcW w:w="1720" w:type="dxa"/>
            <w:shd w:val="clear" w:color="auto" w:fill="C6EFCE"/>
          </w:tcPr>
          <w:p w14:paraId="3AFEDA8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B3.2 Förderung der Wiederherstellung der Umwelt und des Schutzes vor gefährlichen Stoffen</w:t>
            </w:r>
          </w:p>
        </w:tc>
        <w:tc>
          <w:tcPr>
            <w:tcW w:w="1296" w:type="dxa"/>
            <w:shd w:val="clear" w:color="auto" w:fill="C6EFCE"/>
          </w:tcPr>
          <w:p w14:paraId="5E11AE40"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560" w:type="dxa"/>
            <w:shd w:val="clear" w:color="auto" w:fill="C6EFCE"/>
          </w:tcPr>
          <w:p w14:paraId="6756C535"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Inkrafttreten eines Rechtsakts über gefährliche Stoffe in der Ostsee </w:t>
            </w:r>
          </w:p>
        </w:tc>
        <w:tc>
          <w:tcPr>
            <w:tcW w:w="1842" w:type="dxa"/>
            <w:shd w:val="clear" w:color="auto" w:fill="C6EFCE"/>
          </w:tcPr>
          <w:p w14:paraId="06D87B0B"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Bestimmung des Rechtsakts, aus der</w:t>
            </w:r>
            <w:r>
              <w:rPr>
                <w:noProof/>
              </w:rPr>
              <w:t xml:space="preserve"> hervorgeht, dass er in Kraft tritt</w:t>
            </w:r>
          </w:p>
        </w:tc>
        <w:tc>
          <w:tcPr>
            <w:tcW w:w="1134" w:type="dxa"/>
            <w:shd w:val="clear" w:color="auto" w:fill="C6EFCE"/>
          </w:tcPr>
          <w:p w14:paraId="39F500FB"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p>
        </w:tc>
        <w:tc>
          <w:tcPr>
            <w:tcW w:w="1417" w:type="dxa"/>
            <w:shd w:val="clear" w:color="auto" w:fill="C6EFCE"/>
          </w:tcPr>
          <w:p w14:paraId="07336891" w14:textId="77777777"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themeColor="text1"/>
                <w:sz w:val="18"/>
              </w:rPr>
            </w:pPr>
          </w:p>
        </w:tc>
        <w:tc>
          <w:tcPr>
            <w:tcW w:w="709" w:type="dxa"/>
            <w:shd w:val="clear" w:color="auto" w:fill="C6EFCE"/>
          </w:tcPr>
          <w:p w14:paraId="5A3F2BCF" w14:textId="77777777"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themeColor="text1"/>
                <w:sz w:val="18"/>
              </w:rPr>
            </w:pPr>
          </w:p>
        </w:tc>
        <w:tc>
          <w:tcPr>
            <w:tcW w:w="992" w:type="dxa"/>
            <w:shd w:val="clear" w:color="auto" w:fill="C6EFCE"/>
          </w:tcPr>
          <w:p w14:paraId="448099B0"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0000" w:themeColor="text1"/>
              </w:rPr>
            </w:pPr>
            <w:r>
              <w:rPr>
                <w:noProof/>
              </w:rPr>
              <w:t>Q2</w:t>
            </w:r>
          </w:p>
        </w:tc>
        <w:tc>
          <w:tcPr>
            <w:tcW w:w="851" w:type="dxa"/>
            <w:shd w:val="clear" w:color="auto" w:fill="C6EFCE"/>
          </w:tcPr>
          <w:p w14:paraId="1494C796"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2025</w:t>
            </w:r>
          </w:p>
        </w:tc>
        <w:tc>
          <w:tcPr>
            <w:tcW w:w="3057" w:type="dxa"/>
            <w:shd w:val="clear" w:color="auto" w:fill="C6EFCE"/>
          </w:tcPr>
          <w:p w14:paraId="2AB98662" w14:textId="77777777" w:rsidR="00EB245A" w:rsidRDefault="006021EE">
            <w:pPr>
              <w:pStyle w:val="Normal0"/>
              <w:pBdr>
                <w:top w:val="nil"/>
                <w:left w:val="nil"/>
                <w:bottom w:val="nil"/>
                <w:right w:val="nil"/>
                <w:between w:val="nil"/>
              </w:pBdr>
              <w:spacing w:after="0" w:line="240" w:lineRule="auto"/>
              <w:rPr>
                <w:rFonts w:ascii="Times New Roman" w:hAnsi="Times New Roman" w:cs="Times New Roman"/>
                <w:noProof/>
                <w:sz w:val="18"/>
              </w:rPr>
            </w:pPr>
            <w:r>
              <w:rPr>
                <w:rFonts w:ascii="Times New Roman" w:hAnsi="Times New Roman"/>
                <w:noProof/>
                <w:color w:val="000000" w:themeColor="text1"/>
                <w:sz w:val="18"/>
              </w:rPr>
              <w:t>Inkrafttreten eines Rechtsakts zur Erhöhung der Sicherheit der menschlichen Gesundheit und des Zustands der Umwelt, der</w:t>
            </w:r>
            <w:r>
              <w:rPr>
                <w:noProof/>
              </w:rPr>
              <w:t xml:space="preserve">  </w:t>
            </w:r>
            <w:r>
              <w:rPr>
                <w:noProof/>
              </w:rPr>
              <w:br/>
            </w:r>
            <w:r>
              <w:rPr>
                <w:rFonts w:ascii="Times New Roman" w:hAnsi="Times New Roman"/>
                <w:noProof/>
                <w:color w:val="000000" w:themeColor="text1"/>
                <w:sz w:val="18"/>
              </w:rPr>
              <w:t>vorzulegen sind</w:t>
            </w:r>
            <w:r>
              <w:rPr>
                <w:noProof/>
              </w:rPr>
              <w:t xml:space="preserve">  </w:t>
            </w:r>
            <w:r>
              <w:rPr>
                <w:noProof/>
              </w:rPr>
              <w:br/>
            </w:r>
            <w:r>
              <w:rPr>
                <w:rFonts w:ascii="Times New Roman" w:hAnsi="Times New Roman"/>
                <w:noProof/>
                <w:color w:val="000000" w:themeColor="text1"/>
                <w:sz w:val="18"/>
              </w:rPr>
              <w:t xml:space="preserve">— eine genaue Beschreibung der Zuständigkeiten der Behörden in den </w:t>
            </w:r>
            <w:r>
              <w:rPr>
                <w:rFonts w:ascii="Times New Roman" w:hAnsi="Times New Roman"/>
                <w:noProof/>
                <w:color w:val="000000" w:themeColor="text1"/>
                <w:sz w:val="18"/>
              </w:rPr>
              <w:t>Rechtsvorschriften;</w:t>
            </w:r>
            <w:r>
              <w:rPr>
                <w:noProof/>
              </w:rPr>
              <w:t xml:space="preserve">  </w:t>
            </w:r>
            <w:r>
              <w:rPr>
                <w:noProof/>
              </w:rPr>
              <w:br/>
            </w:r>
            <w:r>
              <w:rPr>
                <w:rFonts w:ascii="Times New Roman" w:hAnsi="Times New Roman"/>
                <w:noProof/>
                <w:color w:val="000000" w:themeColor="text1"/>
                <w:sz w:val="18"/>
              </w:rPr>
              <w:t>— Ermittlung führender und kooperierender Stellen in Angelegenheiten im Zusammenhang mit der Entsorgung von Gefahrstoffen in den Meeresgebieten der Republik Polen;</w:t>
            </w:r>
            <w:r>
              <w:rPr>
                <w:noProof/>
              </w:rPr>
              <w:t xml:space="preserve">  </w:t>
            </w:r>
            <w:r>
              <w:rPr>
                <w:noProof/>
              </w:rPr>
              <w:br/>
            </w:r>
            <w:r>
              <w:rPr>
                <w:rFonts w:ascii="Times New Roman" w:hAnsi="Times New Roman"/>
                <w:noProof/>
                <w:color w:val="000000" w:themeColor="text1"/>
                <w:sz w:val="18"/>
              </w:rPr>
              <w:t>— Ausarbeitung eines detaillierten Aktionsplans der öffentlichen Ver</w:t>
            </w:r>
            <w:r>
              <w:rPr>
                <w:rFonts w:ascii="Times New Roman" w:hAnsi="Times New Roman"/>
                <w:noProof/>
                <w:color w:val="000000" w:themeColor="text1"/>
                <w:sz w:val="18"/>
              </w:rPr>
              <w:t>waltung und der überwachten und nachgeordneten Einheiten im Bereich der in Meeresgebieten abgelagerten Gefahrstoffe mit Angabe der Stellen, die für die Durchführung der einzelnen Aufgaben zuständig sind;</w:t>
            </w:r>
            <w:r>
              <w:rPr>
                <w:noProof/>
              </w:rPr>
              <w:t xml:space="preserve">  </w:t>
            </w:r>
            <w:r>
              <w:rPr>
                <w:noProof/>
              </w:rPr>
              <w:br/>
            </w:r>
            <w:r>
              <w:rPr>
                <w:rFonts w:ascii="Times New Roman" w:hAnsi="Times New Roman"/>
                <w:noProof/>
                <w:color w:val="000000" w:themeColor="text1"/>
                <w:sz w:val="18"/>
              </w:rPr>
              <w:t>— Einführung rechtlicher Änderungen, um eine koord</w:t>
            </w:r>
            <w:r>
              <w:rPr>
                <w:rFonts w:ascii="Times New Roman" w:hAnsi="Times New Roman"/>
                <w:noProof/>
                <w:color w:val="000000" w:themeColor="text1"/>
                <w:sz w:val="18"/>
              </w:rPr>
              <w:t>inierte und geplante Überwachung, Identifizierung sowie mögliche Gewinnung und Entsorgung von Gefahrstoffen zu ermöglichen.</w:t>
            </w:r>
          </w:p>
        </w:tc>
      </w:tr>
      <w:tr w:rsidR="00FF0416" w14:paraId="7BA98003" w14:textId="77777777" w:rsidTr="00FF0416">
        <w:trPr>
          <w:trHeight w:val="313"/>
        </w:trPr>
        <w:tc>
          <w:tcPr>
            <w:tcW w:w="812" w:type="dxa"/>
            <w:shd w:val="clear" w:color="auto" w:fill="C6EFCE"/>
          </w:tcPr>
          <w:p w14:paraId="0407AA06" w14:textId="77777777"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B16L</w:t>
            </w:r>
          </w:p>
        </w:tc>
        <w:tc>
          <w:tcPr>
            <w:tcW w:w="1720" w:type="dxa"/>
            <w:shd w:val="clear" w:color="auto" w:fill="C6EFCE"/>
          </w:tcPr>
          <w:p w14:paraId="35126CB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B3.2.1 Investitionen in die Risikoneutralisierung und die Sanierung großer Industriebrachen und der Ostsee</w:t>
            </w:r>
          </w:p>
        </w:tc>
        <w:tc>
          <w:tcPr>
            <w:tcW w:w="1296" w:type="dxa"/>
            <w:shd w:val="clear" w:color="auto" w:fill="C6EFCE"/>
          </w:tcPr>
          <w:p w14:paraId="1EE2703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Ziel</w:t>
            </w:r>
          </w:p>
        </w:tc>
        <w:tc>
          <w:tcPr>
            <w:tcW w:w="1560" w:type="dxa"/>
            <w:shd w:val="clear" w:color="auto" w:fill="C6EFCE"/>
          </w:tcPr>
          <w:p w14:paraId="6FF7DAD9"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Dokumentationsunterlagen für Investitionen im Zusammenhang mit den negativen Umweltauswirkungen ausgewählter großflächiger Brachflächen und gefährlicher Stoffe, die am Boden der Ostsee versenkt werden</w:t>
            </w:r>
          </w:p>
        </w:tc>
        <w:tc>
          <w:tcPr>
            <w:tcW w:w="1842" w:type="dxa"/>
            <w:shd w:val="clear" w:color="auto" w:fill="C6EFCE"/>
          </w:tcPr>
          <w:p w14:paraId="1293B41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134" w:type="dxa"/>
            <w:shd w:val="clear" w:color="auto" w:fill="C6EFCE"/>
          </w:tcPr>
          <w:p w14:paraId="47718AF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Anzahl</w:t>
            </w:r>
          </w:p>
        </w:tc>
        <w:tc>
          <w:tcPr>
            <w:tcW w:w="1417" w:type="dxa"/>
            <w:shd w:val="clear" w:color="auto" w:fill="C6EFCE"/>
          </w:tcPr>
          <w:p w14:paraId="69EDC634"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0</w:t>
            </w:r>
          </w:p>
        </w:tc>
        <w:tc>
          <w:tcPr>
            <w:tcW w:w="709" w:type="dxa"/>
            <w:shd w:val="clear" w:color="auto" w:fill="C6EFCE"/>
          </w:tcPr>
          <w:p w14:paraId="61D99EDE"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9</w:t>
            </w:r>
          </w:p>
        </w:tc>
        <w:tc>
          <w:tcPr>
            <w:tcW w:w="992" w:type="dxa"/>
            <w:shd w:val="clear" w:color="auto" w:fill="C6EFCE"/>
          </w:tcPr>
          <w:p w14:paraId="74B08CA7"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Q2</w:t>
            </w:r>
          </w:p>
        </w:tc>
        <w:tc>
          <w:tcPr>
            <w:tcW w:w="851" w:type="dxa"/>
            <w:shd w:val="clear" w:color="auto" w:fill="C6EFCE"/>
          </w:tcPr>
          <w:p w14:paraId="3410D2FD"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2026</w:t>
            </w:r>
          </w:p>
        </w:tc>
        <w:tc>
          <w:tcPr>
            <w:tcW w:w="3057" w:type="dxa"/>
            <w:shd w:val="clear" w:color="auto" w:fill="C6EFCE"/>
          </w:tcPr>
          <w:p w14:paraId="047AF22E" w14:textId="77777777"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r>
              <w:rPr>
                <w:rFonts w:ascii="Times New Roman" w:hAnsi="Times New Roman"/>
                <w:noProof/>
                <w:color w:val="000000"/>
                <w:sz w:val="18"/>
              </w:rPr>
              <w:t xml:space="preserve">Die vollständige </w:t>
            </w:r>
            <w:r>
              <w:rPr>
                <w:rFonts w:ascii="Times New Roman" w:hAnsi="Times New Roman"/>
                <w:noProof/>
                <w:color w:val="000000"/>
                <w:sz w:val="18"/>
              </w:rPr>
              <w:t>Investitionsdokumentation umfasst neun vorab festgelegte Standorte – im Land- und im Meer als einem anderen Teil des Programms –, für die erhebliche Probleme im Zusammenhang mit dem Vorhandensein von Schadstoffen oder gefährlichen Stoffen in einem großen G</w:t>
            </w:r>
            <w:r>
              <w:rPr>
                <w:rFonts w:ascii="Times New Roman" w:hAnsi="Times New Roman"/>
                <w:noProof/>
                <w:color w:val="000000"/>
                <w:sz w:val="18"/>
              </w:rPr>
              <w:t>ebiet bestehen.</w:t>
            </w:r>
            <w:r>
              <w:rPr>
                <w:noProof/>
              </w:rPr>
              <w:t xml:space="preserve">  </w:t>
            </w:r>
            <w:r>
              <w:rPr>
                <w:noProof/>
              </w:rPr>
              <w:br/>
            </w:r>
          </w:p>
        </w:tc>
      </w:tr>
      <w:tr w:rsidR="00FF0416" w14:paraId="60079326" w14:textId="77777777" w:rsidTr="00FF0416">
        <w:trPr>
          <w:trHeight w:val="313"/>
        </w:trPr>
        <w:tc>
          <w:tcPr>
            <w:tcW w:w="812" w:type="dxa"/>
            <w:shd w:val="clear" w:color="auto" w:fill="C6EFCE"/>
          </w:tcPr>
          <w:p w14:paraId="30A0E0DC" w14:textId="77777777"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B17L</w:t>
            </w:r>
          </w:p>
        </w:tc>
        <w:tc>
          <w:tcPr>
            <w:tcW w:w="1720" w:type="dxa"/>
            <w:shd w:val="clear" w:color="auto" w:fill="C6EFCE"/>
          </w:tcPr>
          <w:p w14:paraId="26DF35C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B3.2.1 Investitionen in die Risikoneutralisierung und die Sanierung großer Industriebrachen und der Ostsee</w:t>
            </w:r>
          </w:p>
        </w:tc>
        <w:tc>
          <w:tcPr>
            <w:tcW w:w="1296" w:type="dxa"/>
            <w:shd w:val="clear" w:color="auto" w:fill="C6EFCE"/>
          </w:tcPr>
          <w:p w14:paraId="5C20108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Ziel</w:t>
            </w:r>
          </w:p>
        </w:tc>
        <w:tc>
          <w:tcPr>
            <w:tcW w:w="1560" w:type="dxa"/>
            <w:shd w:val="clear" w:color="auto" w:fill="C6EFCE"/>
          </w:tcPr>
          <w:p w14:paraId="5526EC1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Flächen, für die Feldforschung im Zusammenhang mit Schadstoffen und gefährlichen Stoffen durchgeführt wurde </w:t>
            </w:r>
          </w:p>
        </w:tc>
        <w:tc>
          <w:tcPr>
            <w:tcW w:w="1842" w:type="dxa"/>
            <w:shd w:val="clear" w:color="auto" w:fill="C6EFCE"/>
          </w:tcPr>
          <w:p w14:paraId="513B775B"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134" w:type="dxa"/>
            <w:shd w:val="clear" w:color="auto" w:fill="C6EFCE"/>
          </w:tcPr>
          <w:p w14:paraId="715ED1D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Anzahl</w:t>
            </w:r>
          </w:p>
        </w:tc>
        <w:tc>
          <w:tcPr>
            <w:tcW w:w="1417" w:type="dxa"/>
            <w:shd w:val="clear" w:color="auto" w:fill="C6EFCE"/>
          </w:tcPr>
          <w:p w14:paraId="5DA4577A"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0</w:t>
            </w:r>
          </w:p>
        </w:tc>
        <w:tc>
          <w:tcPr>
            <w:tcW w:w="709" w:type="dxa"/>
            <w:shd w:val="clear" w:color="auto" w:fill="C6EFCE"/>
          </w:tcPr>
          <w:p w14:paraId="04BCDCA2"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5</w:t>
            </w:r>
          </w:p>
        </w:tc>
        <w:tc>
          <w:tcPr>
            <w:tcW w:w="992" w:type="dxa"/>
            <w:shd w:val="clear" w:color="auto" w:fill="C6EFCE"/>
          </w:tcPr>
          <w:p w14:paraId="5C68E940"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Q4</w:t>
            </w:r>
          </w:p>
        </w:tc>
        <w:tc>
          <w:tcPr>
            <w:tcW w:w="851" w:type="dxa"/>
            <w:shd w:val="clear" w:color="auto" w:fill="C6EFCE"/>
          </w:tcPr>
          <w:p w14:paraId="3FC91125" w14:textId="3C25681F" w:rsidR="00EB245A" w:rsidRDefault="006021EE">
            <w:pPr>
              <w:pStyle w:val="P68B1DB1-Normal012"/>
              <w:spacing w:after="0" w:line="240" w:lineRule="auto"/>
              <w:jc w:val="center"/>
              <w:rPr>
                <w:rFonts w:eastAsia="Times New Roman" w:cs="Times New Roman"/>
                <w:noProof/>
                <w:color w:val="006100"/>
              </w:rPr>
            </w:pPr>
            <w:r>
              <w:rPr>
                <w:noProof/>
              </w:rPr>
              <w:t>2025</w:t>
            </w:r>
          </w:p>
        </w:tc>
        <w:tc>
          <w:tcPr>
            <w:tcW w:w="3057" w:type="dxa"/>
            <w:shd w:val="clear" w:color="auto" w:fill="C6EFCE"/>
          </w:tcPr>
          <w:p w14:paraId="1FA38A91"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Entwicklung von Feldforschung, Studien und Grundstücksinventaren als vorläufiger, aber grundlegender Schritt zur Vorbereitung einer vollständigen Investitionsdokumentation in den nächsten Schritten des Programms.</w:t>
            </w:r>
          </w:p>
        </w:tc>
      </w:tr>
      <w:tr w:rsidR="00FF0416" w14:paraId="774227C3" w14:textId="77777777" w:rsidTr="00FF0416">
        <w:trPr>
          <w:trHeight w:val="313"/>
        </w:trPr>
        <w:tc>
          <w:tcPr>
            <w:tcW w:w="812" w:type="dxa"/>
            <w:shd w:val="clear" w:color="auto" w:fill="C6EFCE"/>
          </w:tcPr>
          <w:p w14:paraId="1DA4F4AB" w14:textId="77777777"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B18L</w:t>
            </w:r>
          </w:p>
        </w:tc>
        <w:tc>
          <w:tcPr>
            <w:tcW w:w="1720" w:type="dxa"/>
            <w:shd w:val="clear" w:color="auto" w:fill="C6EFCE"/>
          </w:tcPr>
          <w:p w14:paraId="5C4B121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B3.2.1 Investitionen in </w:t>
            </w:r>
            <w:r>
              <w:rPr>
                <w:noProof/>
              </w:rPr>
              <w:t>die Risikoneutralisierung und die Sanierung großer Industriebrachen und der Ostsee</w:t>
            </w:r>
          </w:p>
        </w:tc>
        <w:tc>
          <w:tcPr>
            <w:tcW w:w="1296" w:type="dxa"/>
            <w:shd w:val="clear" w:color="auto" w:fill="C6EFCE"/>
          </w:tcPr>
          <w:p w14:paraId="47030C79"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Ziel</w:t>
            </w:r>
          </w:p>
        </w:tc>
        <w:tc>
          <w:tcPr>
            <w:tcW w:w="1560" w:type="dxa"/>
            <w:shd w:val="clear" w:color="auto" w:fill="C6EFCE"/>
          </w:tcPr>
          <w:p w14:paraId="5B02564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Standorte in polnischen Meeresgebieten (einschließlich Wracks) mit Bestandsaufnahme und Feldforschung im Zusammenhang mit Gefahrstoffen</w:t>
            </w:r>
          </w:p>
        </w:tc>
        <w:tc>
          <w:tcPr>
            <w:tcW w:w="1842" w:type="dxa"/>
            <w:shd w:val="clear" w:color="auto" w:fill="C6EFCE"/>
          </w:tcPr>
          <w:p w14:paraId="03B5815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134" w:type="dxa"/>
            <w:shd w:val="clear" w:color="auto" w:fill="C6EFCE"/>
          </w:tcPr>
          <w:p w14:paraId="6530D23B"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Anzahl</w:t>
            </w:r>
          </w:p>
        </w:tc>
        <w:tc>
          <w:tcPr>
            <w:tcW w:w="1417" w:type="dxa"/>
            <w:shd w:val="clear" w:color="auto" w:fill="C6EFCE"/>
          </w:tcPr>
          <w:p w14:paraId="1CFE0E88"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0</w:t>
            </w:r>
          </w:p>
        </w:tc>
        <w:tc>
          <w:tcPr>
            <w:tcW w:w="709" w:type="dxa"/>
            <w:shd w:val="clear" w:color="auto" w:fill="C6EFCE"/>
          </w:tcPr>
          <w:p w14:paraId="59803CDD"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4</w:t>
            </w:r>
          </w:p>
        </w:tc>
        <w:tc>
          <w:tcPr>
            <w:tcW w:w="992" w:type="dxa"/>
            <w:shd w:val="clear" w:color="auto" w:fill="C6EFCE"/>
          </w:tcPr>
          <w:p w14:paraId="27ABD2BD"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Q4</w:t>
            </w:r>
          </w:p>
        </w:tc>
        <w:tc>
          <w:tcPr>
            <w:tcW w:w="851" w:type="dxa"/>
            <w:shd w:val="clear" w:color="auto" w:fill="C6EFCE"/>
          </w:tcPr>
          <w:p w14:paraId="05C05815"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2025</w:t>
            </w:r>
          </w:p>
        </w:tc>
        <w:tc>
          <w:tcPr>
            <w:tcW w:w="3057" w:type="dxa"/>
            <w:shd w:val="clear" w:color="auto" w:fill="C6EFCE"/>
          </w:tcPr>
          <w:p w14:paraId="3EFFD2AE"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Detaillierte Aufklärungs- und Messkampagnen im Meer sowie Analyse der gewonnenen Daten als notwendiger Schritt zur Erstellung einer vollständigen Dokumentation für Neutralisierungspläne.</w:t>
            </w:r>
          </w:p>
        </w:tc>
      </w:tr>
      <w:tr w:rsidR="00FF0416" w14:paraId="07CE92EF" w14:textId="77777777" w:rsidTr="00FF0416">
        <w:trPr>
          <w:trHeight w:val="313"/>
        </w:trPr>
        <w:tc>
          <w:tcPr>
            <w:tcW w:w="812" w:type="dxa"/>
            <w:shd w:val="clear" w:color="auto" w:fill="C6EFCE"/>
          </w:tcPr>
          <w:p w14:paraId="3FFC59C7" w14:textId="77777777"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B21L</w:t>
            </w:r>
          </w:p>
        </w:tc>
        <w:tc>
          <w:tcPr>
            <w:tcW w:w="1720" w:type="dxa"/>
            <w:shd w:val="clear" w:color="auto" w:fill="C6EFCE"/>
          </w:tcPr>
          <w:p w14:paraId="4F0CFD89"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B3.3 Unterstützung der nachhaltigen Bewirtschaftung der Wasserressourcen in der Landwirtschaft und im ländlichen Raum </w:t>
            </w:r>
          </w:p>
        </w:tc>
        <w:tc>
          <w:tcPr>
            <w:tcW w:w="1296" w:type="dxa"/>
            <w:shd w:val="clear" w:color="auto" w:fill="C6EFCE"/>
          </w:tcPr>
          <w:p w14:paraId="40674D3B"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560" w:type="dxa"/>
            <w:shd w:val="clear" w:color="auto" w:fill="C6EFCE"/>
          </w:tcPr>
          <w:p w14:paraId="560AAFD1" w14:textId="77777777" w:rsidR="00EB245A" w:rsidRDefault="006021EE">
            <w:pPr>
              <w:pStyle w:val="P68B1DB1-Normal011"/>
              <w:pBdr>
                <w:top w:val="nil"/>
                <w:left w:val="nil"/>
                <w:bottom w:val="nil"/>
                <w:right w:val="nil"/>
                <w:between w:val="nil"/>
              </w:pBdr>
              <w:spacing w:after="0" w:line="240" w:lineRule="auto"/>
              <w:rPr>
                <w:rFonts w:eastAsia="Times New Roman" w:cs="Times New Roman"/>
                <w:noProof/>
                <w:u w:val="single"/>
              </w:rPr>
            </w:pPr>
            <w:r>
              <w:rPr>
                <w:noProof/>
              </w:rPr>
              <w:t>Inkrafttreten der Änderungen der nationalen Rechtsvorschriften, die erforderlich sind, um die Bedingungen für eine widerstand</w:t>
            </w:r>
            <w:r>
              <w:rPr>
                <w:noProof/>
              </w:rPr>
              <w:t>sfähige Wasserbewirtschaftung in der Landwirtschaft und in ländlichen Gebieten zu verbessern</w:t>
            </w:r>
          </w:p>
        </w:tc>
        <w:tc>
          <w:tcPr>
            <w:tcW w:w="1842" w:type="dxa"/>
            <w:shd w:val="clear" w:color="auto" w:fill="C6EFCE"/>
          </w:tcPr>
          <w:p w14:paraId="7307C78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Bestimmung in den Änderungen über das Inkrafttreten</w:t>
            </w:r>
          </w:p>
        </w:tc>
        <w:tc>
          <w:tcPr>
            <w:tcW w:w="1134" w:type="dxa"/>
            <w:shd w:val="clear" w:color="auto" w:fill="C6EFCE"/>
          </w:tcPr>
          <w:p w14:paraId="0C7E87B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417" w:type="dxa"/>
            <w:shd w:val="clear" w:color="auto" w:fill="C6EFCE"/>
          </w:tcPr>
          <w:p w14:paraId="6D2A6E0B"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709" w:type="dxa"/>
            <w:shd w:val="clear" w:color="auto" w:fill="C6EFCE"/>
          </w:tcPr>
          <w:p w14:paraId="0FCC9D0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992" w:type="dxa"/>
            <w:shd w:val="clear" w:color="auto" w:fill="C6EFCE"/>
          </w:tcPr>
          <w:p w14:paraId="37B0C0ED"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Q2</w:t>
            </w:r>
          </w:p>
        </w:tc>
        <w:tc>
          <w:tcPr>
            <w:tcW w:w="851" w:type="dxa"/>
            <w:shd w:val="clear" w:color="auto" w:fill="C6EFCE"/>
          </w:tcPr>
          <w:p w14:paraId="12E62475"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2022</w:t>
            </w:r>
          </w:p>
        </w:tc>
        <w:tc>
          <w:tcPr>
            <w:tcW w:w="3057" w:type="dxa"/>
            <w:shd w:val="clear" w:color="auto" w:fill="C6EFCE"/>
          </w:tcPr>
          <w:p w14:paraId="2211669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Inkrafttreten von Änderungen, die dazu beitragen sollen, die Widerstandsfähigkeit der </w:t>
            </w:r>
            <w:r>
              <w:rPr>
                <w:noProof/>
              </w:rPr>
              <w:t xml:space="preserve">Landwirtschaft gegenüber Dürre- und Hochwasserschutz in landwirtschaftlichen Gebieten zu erhöhen; Verbesserung der Wassereffizienz durch angemessene Regulierung der Wasserbeziehungen in landwirtschaftlichen Gebieten und Verringerung des Abflusses; und die </w:t>
            </w:r>
            <w:r>
              <w:rPr>
                <w:noProof/>
              </w:rPr>
              <w:t xml:space="preserve">Verbesserung der Wasserrückhaltung. Die Änderungen müssen den Anforderungen der Technischen Leitlinien für die „Vermeidung erheblicher Beeinträchtigungen“ (2021/C 58/01) entsprechen und insbesondere die Einhaltung der EU-Umweltvorschriften, einschließlich </w:t>
            </w:r>
            <w:r>
              <w:rPr>
                <w:noProof/>
              </w:rPr>
              <w:t xml:space="preserve">der UVP-Richtlinie und der Wasserrahmenrichtlinie, sicherstellen.  </w:t>
            </w:r>
          </w:p>
          <w:p w14:paraId="109A3AC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Die Änderungen dürfen nicht zu einer Verschlechterung des Niveaus der Einhaltung des EU-Umweltrechts in Bezug auf Investitionen führen, die gemäß der Verordnung des Ministerrates über Proj</w:t>
            </w:r>
            <w:r>
              <w:rPr>
                <w:noProof/>
              </w:rPr>
              <w:t>ekte, die voraussichtlich erhebliche Auswirkungen auf die Umwelt haben werden, und Investitionen in oder Auswirkungen auf Natura-2000-Gebiete als erhebliche oder potenziell erhebliche Investitionen gelten. Darüber hinaus dürfen die derzeit verbindlichen Vo</w:t>
            </w:r>
            <w:r>
              <w:rPr>
                <w:noProof/>
              </w:rPr>
              <w:t>rschriften für die Wasseraufnahme durch die Änderungen nicht geändert werden.</w:t>
            </w:r>
          </w:p>
        </w:tc>
      </w:tr>
      <w:tr w:rsidR="00FF0416" w14:paraId="71C2B112" w14:textId="77777777" w:rsidTr="00FF0416">
        <w:trPr>
          <w:trHeight w:val="313"/>
        </w:trPr>
        <w:tc>
          <w:tcPr>
            <w:tcW w:w="812" w:type="dxa"/>
            <w:shd w:val="clear" w:color="auto" w:fill="C6EFCE"/>
          </w:tcPr>
          <w:p w14:paraId="1AE780BE" w14:textId="77777777"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B22L</w:t>
            </w:r>
          </w:p>
        </w:tc>
        <w:tc>
          <w:tcPr>
            <w:tcW w:w="1720" w:type="dxa"/>
            <w:shd w:val="clear" w:color="auto" w:fill="C6EFCE"/>
          </w:tcPr>
          <w:p w14:paraId="3E42A90E"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B3.3.1 Investitionen zur Steigerung des Potenzials einer nachhaltigen Wasserbewirtschaftung in ländlichen Gebieten</w:t>
            </w:r>
          </w:p>
        </w:tc>
        <w:tc>
          <w:tcPr>
            <w:tcW w:w="1296" w:type="dxa"/>
            <w:shd w:val="clear" w:color="auto" w:fill="C6EFCE"/>
          </w:tcPr>
          <w:p w14:paraId="1E5C4220"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560" w:type="dxa"/>
            <w:shd w:val="clear" w:color="auto" w:fill="C6EFCE"/>
          </w:tcPr>
          <w:p w14:paraId="5461766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Annahme der Auswahlkriterien für die Aufforderung zur Einreichung von Vorschlägen </w:t>
            </w:r>
          </w:p>
        </w:tc>
        <w:tc>
          <w:tcPr>
            <w:tcW w:w="1842" w:type="dxa"/>
            <w:shd w:val="clear" w:color="auto" w:fill="C6EFCE"/>
          </w:tcPr>
          <w:p w14:paraId="3A0830C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Annahme der Kriterien durch das Ministerium für Landwirtschaft und ländliche Entwicklung </w:t>
            </w:r>
          </w:p>
          <w:p w14:paraId="6743F039"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tc>
        <w:tc>
          <w:tcPr>
            <w:tcW w:w="1134" w:type="dxa"/>
            <w:shd w:val="clear" w:color="auto" w:fill="C6EFCE"/>
          </w:tcPr>
          <w:p w14:paraId="3463A1C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417" w:type="dxa"/>
            <w:shd w:val="clear" w:color="auto" w:fill="C6EFCE"/>
          </w:tcPr>
          <w:p w14:paraId="6D4359A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709" w:type="dxa"/>
            <w:shd w:val="clear" w:color="auto" w:fill="C6EFCE"/>
          </w:tcPr>
          <w:p w14:paraId="4BD2C171"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992" w:type="dxa"/>
            <w:shd w:val="clear" w:color="auto" w:fill="C6EFCE"/>
          </w:tcPr>
          <w:p w14:paraId="6F53F65F"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Q2</w:t>
            </w:r>
          </w:p>
        </w:tc>
        <w:tc>
          <w:tcPr>
            <w:tcW w:w="851" w:type="dxa"/>
            <w:shd w:val="clear" w:color="auto" w:fill="C6EFCE"/>
          </w:tcPr>
          <w:p w14:paraId="031F910D"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2022</w:t>
            </w:r>
          </w:p>
        </w:tc>
        <w:tc>
          <w:tcPr>
            <w:tcW w:w="3057" w:type="dxa"/>
            <w:shd w:val="clear" w:color="auto" w:fill="C6EFCE"/>
          </w:tcPr>
          <w:p w14:paraId="6D0C60F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Die Investitionen werden durch gezielte Aufforderungen zur Einreichung von Vorschlägen auf der Grundlage von Umweltkriterien ausgewählt. </w:t>
            </w:r>
          </w:p>
          <w:p w14:paraId="0EF18569"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Das Projekt trägt dazu bei, die Widerstandsfähigkeit der Landwirtschaft gegenüber Dürre- und Hochwasserprävention in l</w:t>
            </w:r>
            <w:r>
              <w:rPr>
                <w:noProof/>
              </w:rPr>
              <w:t>andwirtschaftlichen Gebieten zu erhöhen; Verbesserung der Wassereffizienz durch angemessene Regulierung der Wasserbeziehungen in landwirtschaftlichen Gebieten und Verringerung des Abflusses; und die Verbesserung der Wasserrückhaltung, sofern ihr Bedarf und</w:t>
            </w:r>
            <w:r>
              <w:rPr>
                <w:noProof/>
              </w:rPr>
              <w:t xml:space="preserve"> ihre Art angemessen gerechtfertigt sind.</w:t>
            </w:r>
          </w:p>
          <w:p w14:paraId="6297B9E0"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Vorrang haben naturbasierte oder andere gegen den Klimawandel widerstandsfähige Lösungen. Gefördert werden nur Projekte, die nicht zu einer Verschlechterung des Zustands von Oberflächengewässern und Grundwasser füh</w:t>
            </w:r>
            <w:r>
              <w:rPr>
                <w:noProof/>
              </w:rPr>
              <w:t xml:space="preserve">ren und die Verbesserung des ökologischen Zustands oder des ökologischen Potenzials der betroffenen Wasserkörper nicht verhindern. </w:t>
            </w:r>
          </w:p>
        </w:tc>
      </w:tr>
      <w:tr w:rsidR="00FF0416" w14:paraId="6BDC07D4" w14:textId="77777777" w:rsidTr="00FF0416">
        <w:trPr>
          <w:trHeight w:val="313"/>
        </w:trPr>
        <w:tc>
          <w:tcPr>
            <w:tcW w:w="812" w:type="dxa"/>
            <w:shd w:val="clear" w:color="auto" w:fill="C6EFCE"/>
          </w:tcPr>
          <w:p w14:paraId="550FF28E" w14:textId="77777777" w:rsidR="00EB245A" w:rsidRDefault="006021EE">
            <w:pPr>
              <w:pStyle w:val="P68B1DB1-Normal011"/>
              <w:pBdr>
                <w:top w:val="nil"/>
                <w:left w:val="nil"/>
                <w:bottom w:val="nil"/>
                <w:right w:val="nil"/>
                <w:between w:val="nil"/>
              </w:pBdr>
              <w:spacing w:after="0" w:line="240" w:lineRule="auto"/>
              <w:jc w:val="center"/>
              <w:rPr>
                <w:rFonts w:eastAsia="Times New Roman" w:cs="Times New Roman"/>
                <w:b/>
                <w:noProof/>
                <w:color w:val="000000"/>
              </w:rPr>
            </w:pPr>
            <w:r>
              <w:rPr>
                <w:noProof/>
              </w:rPr>
              <w:t>B23L</w:t>
            </w:r>
          </w:p>
        </w:tc>
        <w:tc>
          <w:tcPr>
            <w:tcW w:w="1720" w:type="dxa"/>
            <w:shd w:val="clear" w:color="auto" w:fill="C6EFCE"/>
          </w:tcPr>
          <w:p w14:paraId="5FD9048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B3.3.1 Investitionen zur Steigerung des Potenzials einer nachhaltigen Wasserbewirtschaftung in ländlichen Gebieten</w:t>
            </w:r>
          </w:p>
        </w:tc>
        <w:tc>
          <w:tcPr>
            <w:tcW w:w="1296" w:type="dxa"/>
            <w:shd w:val="clear" w:color="auto" w:fill="C6EFCE"/>
          </w:tcPr>
          <w:p w14:paraId="238FB22B"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1560" w:type="dxa"/>
            <w:shd w:val="clear" w:color="auto" w:fill="C6EFCE"/>
          </w:tcPr>
          <w:p w14:paraId="5AB2F083" w14:textId="77777777" w:rsidR="00EB245A" w:rsidRDefault="006021EE">
            <w:pPr>
              <w:pStyle w:val="P68B1DB1-Normal011"/>
              <w:pBdr>
                <w:top w:val="nil"/>
                <w:left w:val="nil"/>
                <w:bottom w:val="nil"/>
                <w:right w:val="nil"/>
                <w:between w:val="nil"/>
              </w:pBdr>
              <w:spacing w:after="0" w:line="240" w:lineRule="auto"/>
              <w:rPr>
                <w:rFonts w:eastAsia="Times New Roman" w:cs="Times New Roman"/>
                <w:noProof/>
              </w:rPr>
            </w:pPr>
            <w:r>
              <w:rPr>
                <w:noProof/>
              </w:rPr>
              <w:t xml:space="preserve">Landwirtschaftliche Fläche/Waldfläche (in Hektar), die von einer verbesserten Wasserrückhaltung profitiert </w:t>
            </w:r>
          </w:p>
        </w:tc>
        <w:tc>
          <w:tcPr>
            <w:tcW w:w="1842" w:type="dxa"/>
            <w:shd w:val="clear" w:color="auto" w:fill="C6EFCE"/>
          </w:tcPr>
          <w:p w14:paraId="1DC1CA1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134" w:type="dxa"/>
            <w:shd w:val="clear" w:color="auto" w:fill="C6EFCE"/>
          </w:tcPr>
          <w:p w14:paraId="2E7217B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w:t>
            </w:r>
          </w:p>
        </w:tc>
        <w:tc>
          <w:tcPr>
            <w:tcW w:w="1417" w:type="dxa"/>
            <w:shd w:val="clear" w:color="auto" w:fill="C6EFCE"/>
          </w:tcPr>
          <w:p w14:paraId="6A058985"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0</w:t>
            </w:r>
          </w:p>
        </w:tc>
        <w:tc>
          <w:tcPr>
            <w:tcW w:w="709" w:type="dxa"/>
            <w:shd w:val="clear" w:color="auto" w:fill="C6EFCE"/>
          </w:tcPr>
          <w:p w14:paraId="7179A7AD" w14:textId="0EEC8F14"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858568 </w:t>
            </w:r>
          </w:p>
        </w:tc>
        <w:tc>
          <w:tcPr>
            <w:tcW w:w="992" w:type="dxa"/>
            <w:shd w:val="clear" w:color="auto" w:fill="C6EFCE"/>
          </w:tcPr>
          <w:p w14:paraId="63229B6B"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Q4</w:t>
            </w:r>
          </w:p>
        </w:tc>
        <w:tc>
          <w:tcPr>
            <w:tcW w:w="851" w:type="dxa"/>
            <w:shd w:val="clear" w:color="auto" w:fill="C6EFCE"/>
          </w:tcPr>
          <w:p w14:paraId="41B15693"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2025</w:t>
            </w:r>
          </w:p>
        </w:tc>
        <w:tc>
          <w:tcPr>
            <w:tcW w:w="3057" w:type="dxa"/>
            <w:shd w:val="clear" w:color="auto" w:fill="C6EFCE"/>
          </w:tcPr>
          <w:p w14:paraId="4B532529" w14:textId="53C8EDFC" w:rsidR="00EB245A" w:rsidRDefault="006021EE">
            <w:pPr>
              <w:pStyle w:val="Normal0"/>
              <w:spacing w:after="0" w:line="240" w:lineRule="auto"/>
              <w:rPr>
                <w:rFonts w:ascii="Times New Roman" w:eastAsia="Times New Roman" w:hAnsi="Times New Roman" w:cs="Times New Roman"/>
                <w:noProof/>
                <w:color w:val="000000" w:themeColor="text1"/>
                <w:sz w:val="18"/>
              </w:rPr>
            </w:pPr>
            <w:r>
              <w:rPr>
                <w:rFonts w:ascii="Times New Roman" w:hAnsi="Times New Roman"/>
                <w:noProof/>
                <w:color w:val="000000" w:themeColor="text1"/>
                <w:sz w:val="18"/>
              </w:rPr>
              <w:t xml:space="preserve">Mindestens 858 568 Hektar land- oder forstwirtschaftlicher Flächen, die nachweislich von einer besseren </w:t>
            </w:r>
            <w:r>
              <w:rPr>
                <w:rFonts w:ascii="Times New Roman" w:hAnsi="Times New Roman"/>
                <w:noProof/>
                <w:color w:val="000000" w:themeColor="text1"/>
                <w:sz w:val="18"/>
              </w:rPr>
              <w:t>Wasserrückhaltung profitieren, und zwar durch Maßnahmen zur Verbesserung der langfristigen Widerstandsfähigkeit des Agrarsektors gegenüber den Auswirkungen des Klimawandels, insbesondere Dürren und Überschwemmungen, und zur Förderung der biologischen Vielf</w:t>
            </w:r>
            <w:r>
              <w:rPr>
                <w:rFonts w:ascii="Times New Roman" w:hAnsi="Times New Roman"/>
                <w:noProof/>
                <w:color w:val="000000" w:themeColor="text1"/>
                <w:sz w:val="18"/>
              </w:rPr>
              <w:t xml:space="preserve">alt.   </w:t>
            </w:r>
            <w:r>
              <w:rPr>
                <w:noProof/>
              </w:rPr>
              <w:t xml:space="preserve">  </w:t>
            </w:r>
            <w:r>
              <w:rPr>
                <w:noProof/>
              </w:rPr>
              <w:br/>
              <w:t xml:space="preserve">  </w:t>
            </w:r>
            <w:r>
              <w:rPr>
                <w:noProof/>
              </w:rPr>
              <w:br/>
            </w:r>
            <w:r>
              <w:rPr>
                <w:rFonts w:ascii="Times New Roman" w:hAnsi="Times New Roman"/>
                <w:noProof/>
                <w:color w:val="000000" w:themeColor="text1"/>
                <w:sz w:val="18"/>
              </w:rPr>
              <w:t>Die Investition muss den Anforderungen der Technischen Leitlinien „Vermeidung erheblicher Beeinträchtigungen“ (2021/C 58/01) entsprechen. Alle neuen Projekte, für die eine UVP erforderlich ist, müssen nach dem Gesetz über die Bereitstellung vo</w:t>
            </w:r>
            <w:r>
              <w:rPr>
                <w:rFonts w:ascii="Times New Roman" w:hAnsi="Times New Roman"/>
                <w:noProof/>
                <w:color w:val="000000" w:themeColor="text1"/>
                <w:sz w:val="18"/>
              </w:rPr>
              <w:t>n Informationen über die Umwelt und ihren Schutz, die Beteiligung der Öffentlichkeit an Umweltschutz und Umweltverträglichkeitsprüfungen in der durch das Gesetz vom 30. März 2021 zur Änderung dieses Gesetzes und bestimmter anderer Gesetze geänderten Fassun</w:t>
            </w:r>
            <w:r>
              <w:rPr>
                <w:rFonts w:ascii="Times New Roman" w:hAnsi="Times New Roman"/>
                <w:noProof/>
                <w:color w:val="000000" w:themeColor="text1"/>
                <w:sz w:val="18"/>
              </w:rPr>
              <w:t>g genehmigt werden. Die Bestimmungen der „Leitlinien für Abhilfemaßnahmen für Projekte, die aus EU-Fonds kofinanziert werden und von dem Vertragsverletzungsverfahren 2016/2046 betroffen sind“, die Polen am 23. Februar 2021 übermittelt wurden (Az. Ares(2021</w:t>
            </w:r>
            <w:r>
              <w:rPr>
                <w:rFonts w:ascii="Times New Roman" w:hAnsi="Times New Roman"/>
                <w:noProof/>
                <w:color w:val="000000" w:themeColor="text1"/>
                <w:sz w:val="18"/>
              </w:rPr>
              <w:t>)1423319), sind bei der Durchführung aller Investitionsvorhaben zu berücksichtigen, für die vor dem Inkrafttreten des Gesetzes vom 30. März 2021 eine Umweltentscheidung oder eine Bau- oder Entwicklungsgenehmigung beantragt oder erteilt wurde. Gefördert wer</w:t>
            </w:r>
            <w:r>
              <w:rPr>
                <w:rFonts w:ascii="Times New Roman" w:hAnsi="Times New Roman"/>
                <w:noProof/>
                <w:color w:val="000000" w:themeColor="text1"/>
                <w:sz w:val="18"/>
              </w:rPr>
              <w:t>den nur Projekte, die nicht zu einer Verschlechterung des Zustands von Oberflächengewässern und Grundwasser führen und die Verbesserung des ökologischen Zustands oder des ökologischen Potenzials der betroffenen Wasserkörper nicht verhindern.</w:t>
            </w:r>
          </w:p>
          <w:p w14:paraId="4FC574FA" w14:textId="77777777" w:rsidR="00EB245A" w:rsidRDefault="00EB245A">
            <w:pPr>
              <w:pStyle w:val="Normal0"/>
              <w:spacing w:after="0" w:line="240" w:lineRule="auto"/>
              <w:rPr>
                <w:rFonts w:ascii="Times New Roman" w:eastAsia="Times New Roman" w:hAnsi="Times New Roman" w:cs="Times New Roman"/>
                <w:noProof/>
                <w:color w:val="000000" w:themeColor="text1"/>
                <w:sz w:val="18"/>
              </w:rPr>
            </w:pPr>
          </w:p>
          <w:p w14:paraId="652587EA" w14:textId="3510D1F0"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Wird Wasser entnommen, so muss von der zuständigen Behörde eine entsprechende Genehmigung erteilt werden, in der Bedingungen festgelegt sind, um eine Verschlechterung zu vermeiden und sicherzustellen, dass sich die betroffenen Wasserkörper in einem guten ö</w:t>
            </w:r>
            <w:r>
              <w:rPr>
                <w:noProof/>
              </w:rPr>
              <w:t>kologischen Zustand befinden, im Einklang mit den Anforderungen der Richtlinie 2000/60/EG und den neuesten einschlägigen unterstützenden Daten. Wasserentnahmen sind zu vermeiden, wenn sich die betreffenden Wasserkörper (Oberflächen- oder Grundwasser) in ei</w:t>
            </w:r>
            <w:r>
              <w:rPr>
                <w:noProof/>
              </w:rPr>
              <w:t>nem weniger als guten Zustand oder Potenzial befinden oder (im Zusammenhang mit der Verschärfung des Klimawandels) projiziert werden.</w:t>
            </w:r>
          </w:p>
        </w:tc>
      </w:tr>
      <w:tr w:rsidR="00FF0416" w14:paraId="37028628" w14:textId="77777777" w:rsidTr="00FF0416">
        <w:trPr>
          <w:trHeight w:val="313"/>
        </w:trPr>
        <w:tc>
          <w:tcPr>
            <w:tcW w:w="812" w:type="dxa"/>
            <w:shd w:val="clear" w:color="auto" w:fill="C6EFCE"/>
          </w:tcPr>
          <w:p w14:paraId="73253876" w14:textId="77777777"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B24L</w:t>
            </w:r>
          </w:p>
        </w:tc>
        <w:tc>
          <w:tcPr>
            <w:tcW w:w="1720" w:type="dxa"/>
            <w:shd w:val="clear" w:color="auto" w:fill="C6EFCE"/>
          </w:tcPr>
          <w:p w14:paraId="75F40F29"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B3.4 Schaffung eines Rahmens für Investitionen in den ökologischen Wandel in städtischen Gebieten</w:t>
            </w:r>
          </w:p>
        </w:tc>
        <w:tc>
          <w:tcPr>
            <w:tcW w:w="1296" w:type="dxa"/>
            <w:shd w:val="clear" w:color="auto" w:fill="C6EFCE"/>
          </w:tcPr>
          <w:p w14:paraId="2EF6815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560" w:type="dxa"/>
            <w:shd w:val="clear" w:color="auto" w:fill="C6EFCE"/>
          </w:tcPr>
          <w:p w14:paraId="41CBF025"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Inkrafttreten eines Gesetzes über nachhaltige Stadtentwicklung, in dem Ziele, Leitlinien, Durchführungsvorschriften und Koordinierungsmechanismen für den ökologischen Wandel in Städten festgelegt werden </w:t>
            </w:r>
          </w:p>
        </w:tc>
        <w:tc>
          <w:tcPr>
            <w:tcW w:w="1842" w:type="dxa"/>
            <w:shd w:val="clear" w:color="auto" w:fill="C6EFCE"/>
          </w:tcPr>
          <w:p w14:paraId="47C88E9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Bestimmung des Gesetzes, aus der hervorgeht, dass es</w:t>
            </w:r>
            <w:r>
              <w:rPr>
                <w:noProof/>
              </w:rPr>
              <w:t xml:space="preserve"> in Kraft tritt</w:t>
            </w:r>
          </w:p>
        </w:tc>
        <w:tc>
          <w:tcPr>
            <w:tcW w:w="1134" w:type="dxa"/>
            <w:shd w:val="clear" w:color="auto" w:fill="C6EFCE"/>
          </w:tcPr>
          <w:p w14:paraId="7413E85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417" w:type="dxa"/>
            <w:shd w:val="clear" w:color="auto" w:fill="C6EFCE"/>
          </w:tcPr>
          <w:p w14:paraId="3AC51A2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709" w:type="dxa"/>
            <w:shd w:val="clear" w:color="auto" w:fill="C6EFCE"/>
          </w:tcPr>
          <w:p w14:paraId="368883F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992" w:type="dxa"/>
            <w:shd w:val="clear" w:color="auto" w:fill="C6EFCE"/>
          </w:tcPr>
          <w:p w14:paraId="2E3B46A4"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Q4</w:t>
            </w:r>
          </w:p>
        </w:tc>
        <w:tc>
          <w:tcPr>
            <w:tcW w:w="851" w:type="dxa"/>
            <w:shd w:val="clear" w:color="auto" w:fill="C6EFCE"/>
          </w:tcPr>
          <w:p w14:paraId="3311C5FD"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2023</w:t>
            </w:r>
          </w:p>
        </w:tc>
        <w:tc>
          <w:tcPr>
            <w:tcW w:w="3057" w:type="dxa"/>
            <w:shd w:val="clear" w:color="auto" w:fill="C6EFCE"/>
          </w:tcPr>
          <w:p w14:paraId="4BE54E88" w14:textId="3B3C582A" w:rsidR="00EB245A" w:rsidRDefault="006021EE">
            <w:pPr>
              <w:pStyle w:val="P68B1DB1-Normal012"/>
              <w:spacing w:after="0" w:line="240" w:lineRule="auto"/>
              <w:rPr>
                <w:rFonts w:eastAsia="Times New Roman" w:cs="Times New Roman"/>
                <w:noProof/>
              </w:rPr>
            </w:pPr>
            <w:r>
              <w:rPr>
                <w:noProof/>
              </w:rPr>
              <w:t xml:space="preserve">Inkrafttreten eines Gesetzes, mit dem die Fähigkeit städtischer Gebiete, in den ökologischen Wandel zu investieren, unterstützt werden soll. Sie stellt sicher, dass Nachhaltigkeitsaspekte in die Stadtplanungsverfahren einbezogen werden. Sie stellt sicher, </w:t>
            </w:r>
            <w:r>
              <w:rPr>
                <w:noProof/>
              </w:rPr>
              <w:t xml:space="preserve">dass die Interessenträger im Rahmen dieser Verfahren konsultiert werden. Sie stellt den lokalen Gebietskörperschaften Unterstützung bei der Durchführung solcher Projekte zur Verfügung. </w:t>
            </w:r>
          </w:p>
        </w:tc>
      </w:tr>
      <w:tr w:rsidR="00FF0416" w14:paraId="1939EB18" w14:textId="77777777" w:rsidTr="00FF0416">
        <w:trPr>
          <w:trHeight w:val="313"/>
        </w:trPr>
        <w:tc>
          <w:tcPr>
            <w:tcW w:w="812" w:type="dxa"/>
            <w:shd w:val="clear" w:color="auto" w:fill="C6EFCE"/>
          </w:tcPr>
          <w:p w14:paraId="76E182B2" w14:textId="77777777"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B25L</w:t>
            </w:r>
          </w:p>
        </w:tc>
        <w:tc>
          <w:tcPr>
            <w:tcW w:w="1720" w:type="dxa"/>
            <w:shd w:val="clear" w:color="auto" w:fill="C6EFCE"/>
          </w:tcPr>
          <w:p w14:paraId="445FE285"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B3.4 Schaffung eines Rahmens für Investitionen in den </w:t>
            </w:r>
            <w:r>
              <w:rPr>
                <w:noProof/>
              </w:rPr>
              <w:t>ökologischen Wandel in städtischen Gebieten</w:t>
            </w:r>
          </w:p>
        </w:tc>
        <w:tc>
          <w:tcPr>
            <w:tcW w:w="1296" w:type="dxa"/>
            <w:shd w:val="clear" w:color="auto" w:fill="C6EFCE"/>
          </w:tcPr>
          <w:p w14:paraId="2D81EBE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560" w:type="dxa"/>
            <w:shd w:val="clear" w:color="auto" w:fill="C6EFCE"/>
          </w:tcPr>
          <w:p w14:paraId="6C43996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Instrument für den grünen städtischen Wandel</w:t>
            </w:r>
          </w:p>
        </w:tc>
        <w:tc>
          <w:tcPr>
            <w:tcW w:w="1842" w:type="dxa"/>
            <w:shd w:val="clear" w:color="auto" w:fill="C6EFCE"/>
          </w:tcPr>
          <w:p w14:paraId="78606C10" w14:textId="77777777" w:rsidR="00EB245A" w:rsidRDefault="006021EE">
            <w:pPr>
              <w:pStyle w:val="P68B1DB1-Normal011"/>
              <w:pBdr>
                <w:top w:val="nil"/>
                <w:left w:val="nil"/>
                <w:bottom w:val="nil"/>
                <w:right w:val="nil"/>
                <w:between w:val="nil"/>
              </w:pBdr>
              <w:spacing w:after="0" w:line="240" w:lineRule="auto"/>
              <w:rPr>
                <w:rFonts w:eastAsia="Times New Roman" w:cs="Times New Roman"/>
                <w:noProof/>
                <w:color w:val="006100"/>
              </w:rPr>
            </w:pPr>
            <w:r>
              <w:rPr>
                <w:noProof/>
                <w:color w:val="000000"/>
              </w:rPr>
              <w:t>Einrichtung des Instruments für den grünen städtischen Wandel und Annahme seiner detaillierten Vorschriften und Verfahren in Absprache mit allen Interessen</w:t>
            </w:r>
            <w:r>
              <w:rPr>
                <w:noProof/>
                <w:color w:val="000000"/>
              </w:rPr>
              <w:t>trägern</w:t>
            </w:r>
            <w:r>
              <w:rPr>
                <w:noProof/>
                <w:color w:val="FF0000"/>
              </w:rPr>
              <w:t xml:space="preserve"> </w:t>
            </w:r>
          </w:p>
        </w:tc>
        <w:tc>
          <w:tcPr>
            <w:tcW w:w="1134" w:type="dxa"/>
            <w:shd w:val="clear" w:color="auto" w:fill="C6EFCE"/>
          </w:tcPr>
          <w:p w14:paraId="261EA0D1"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417" w:type="dxa"/>
            <w:shd w:val="clear" w:color="auto" w:fill="C6EFCE"/>
          </w:tcPr>
          <w:p w14:paraId="000C474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709" w:type="dxa"/>
            <w:shd w:val="clear" w:color="auto" w:fill="C6EFCE"/>
          </w:tcPr>
          <w:p w14:paraId="7216F7A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992" w:type="dxa"/>
            <w:shd w:val="clear" w:color="auto" w:fill="C6EFCE"/>
          </w:tcPr>
          <w:p w14:paraId="7626EC53"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0000" w:themeColor="text1"/>
              </w:rPr>
            </w:pPr>
            <w:r>
              <w:rPr>
                <w:noProof/>
              </w:rPr>
              <w:t>Q2</w:t>
            </w:r>
          </w:p>
        </w:tc>
        <w:tc>
          <w:tcPr>
            <w:tcW w:w="851" w:type="dxa"/>
            <w:shd w:val="clear" w:color="auto" w:fill="C6EFCE"/>
          </w:tcPr>
          <w:p w14:paraId="4E4517F9"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2022</w:t>
            </w:r>
          </w:p>
        </w:tc>
        <w:tc>
          <w:tcPr>
            <w:tcW w:w="3057" w:type="dxa"/>
            <w:shd w:val="clear" w:color="auto" w:fill="C6EFCE"/>
          </w:tcPr>
          <w:p w14:paraId="4BB593FB" w14:textId="1837143D" w:rsidR="00EB245A" w:rsidRDefault="006021EE">
            <w:pPr>
              <w:pStyle w:val="P68B1DB1-Normal13"/>
              <w:spacing w:after="0" w:line="257" w:lineRule="auto"/>
              <w:rPr>
                <w:rFonts w:eastAsia="Times New Roman" w:cs="Times New Roman"/>
                <w:noProof/>
                <w:color w:val="006100"/>
              </w:rPr>
            </w:pPr>
            <w:r>
              <w:rPr>
                <w:noProof/>
              </w:rPr>
              <w:t xml:space="preserve">Einrichtung des Instruments für den grünen städtischen Wandel zur Unterstützung a) des ökologischen Wandels in Städten, und b) Investitionen in die grüne Digitalisierung von Städten mit angenommenen Verfahren. Das Instrument für den </w:t>
            </w:r>
            <w:r>
              <w:rPr>
                <w:noProof/>
              </w:rPr>
              <w:t>Übergang zu einer grünen Stadt muss mit den technischen Leitlinien für die Vermeidung erheblicher Beeinträchtigungen (2021/C 58/01) im Einklang stehen. Um sicherzustellen, dass die Maßnahme den Technischen Leitlinien für die „Vermeidung erheblicher Beeintr</w:t>
            </w:r>
            <w:r>
              <w:rPr>
                <w:noProof/>
              </w:rPr>
              <w:t>ächtigungen“ (2021/C 58/01) entspricht, schließen die Förderkriterien für Projekte die folgende Liste von Tätigkeiten aus: I) Tätigkeiten im Zusammenhang mit fossilen Brennstoffen, einschließlich nachgelagerter Verwendung; II) Tätigkeiten im Rahmen des EU-</w:t>
            </w:r>
            <w:r>
              <w:rPr>
                <w:noProof/>
              </w:rPr>
              <w:t>Emissionshandelssystems (EHS), bei denen projizierte Treibhausgasemissionen erreicht werden, die nicht unter den einschlägigen Benchmarks liegen; III) Tätigkeiten im Zusammenhang mit Abfalldeponien, Verbrennungsanlagen und Anlagen zur mechanisch-biologisch</w:t>
            </w:r>
            <w:r>
              <w:rPr>
                <w:noProof/>
              </w:rPr>
              <w:t>en Behandlung; und iv) Tätigkeiten, bei denen die langfristige Beseitigung von Abfällen der Umwelt schaden kann. In der Leistungsbeschreibung wird darüber hinaus vorgeschrieben, dass nur Tätigkeiten ausgewählt werden dürfen, die mit den einschlägigen Umwel</w:t>
            </w:r>
            <w:r>
              <w:rPr>
                <w:noProof/>
              </w:rPr>
              <w:t xml:space="preserve">tvorschriften der EU und der Mitgliedstaaten im Einklang stehen.  </w:t>
            </w:r>
          </w:p>
          <w:p w14:paraId="14ED9DD4" w14:textId="098C4D5D" w:rsidR="00EB245A" w:rsidRDefault="00EB245A">
            <w:pPr>
              <w:spacing w:after="0" w:line="257" w:lineRule="auto"/>
              <w:rPr>
                <w:rFonts w:ascii="Times New Roman" w:eastAsia="Times New Roman" w:hAnsi="Times New Roman" w:cs="Times New Roman"/>
                <w:noProof/>
                <w:color w:val="000000" w:themeColor="text1"/>
                <w:sz w:val="18"/>
              </w:rPr>
            </w:pPr>
          </w:p>
          <w:p w14:paraId="7ACC9A11" w14:textId="77777777" w:rsidR="00EB245A" w:rsidRDefault="006021EE">
            <w:pPr>
              <w:pStyle w:val="P68B1DB1-Normal13"/>
              <w:spacing w:after="0" w:line="257" w:lineRule="auto"/>
              <w:rPr>
                <w:noProof/>
              </w:rPr>
            </w:pPr>
            <w:r>
              <w:rPr>
                <w:noProof/>
              </w:rPr>
              <w:t>Mit dem Instrument für den grünen Stadtentwicklungswandel wird sichergestellt, dass Rückflüsse (d. h. Zinsen auf das Darlehen, die Kapitalrendite oder der zurückgezahlte Kapitalbetrag abzü</w:t>
            </w:r>
            <w:r>
              <w:rPr>
                <w:noProof/>
              </w:rPr>
              <w:t>glich der damit verbundenen Kosten) im Zusammenhang mit diesem Instrument für dieselben politischen Ziele, auch für die Zeit nach 2026, oder für die Rückzahlung des ARF-Darlehens verwendet werden.</w:t>
            </w:r>
          </w:p>
          <w:p w14:paraId="163F6607"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p>
        </w:tc>
      </w:tr>
      <w:tr w:rsidR="00FF0416" w14:paraId="6E64E061" w14:textId="77777777" w:rsidTr="00FF0416">
        <w:trPr>
          <w:trHeight w:val="313"/>
        </w:trPr>
        <w:tc>
          <w:tcPr>
            <w:tcW w:w="812" w:type="dxa"/>
            <w:shd w:val="clear" w:color="auto" w:fill="C6EFCE"/>
          </w:tcPr>
          <w:p w14:paraId="5DFCB54F" w14:textId="77777777" w:rsidR="00EB245A" w:rsidRDefault="006021EE">
            <w:pPr>
              <w:pStyle w:val="P68B1DB1-Normal011"/>
              <w:pBdr>
                <w:top w:val="nil"/>
                <w:left w:val="nil"/>
                <w:bottom w:val="nil"/>
                <w:right w:val="nil"/>
                <w:between w:val="nil"/>
              </w:pBdr>
              <w:spacing w:after="0" w:line="240" w:lineRule="auto"/>
              <w:jc w:val="center"/>
              <w:rPr>
                <w:rFonts w:eastAsia="Times New Roman" w:cs="Times New Roman"/>
                <w:b/>
                <w:noProof/>
                <w:color w:val="000000"/>
              </w:rPr>
            </w:pPr>
            <w:r>
              <w:rPr>
                <w:noProof/>
              </w:rPr>
              <w:t>B26L</w:t>
            </w:r>
          </w:p>
        </w:tc>
        <w:tc>
          <w:tcPr>
            <w:tcW w:w="1720" w:type="dxa"/>
            <w:shd w:val="clear" w:color="auto" w:fill="C6EFCE"/>
          </w:tcPr>
          <w:p w14:paraId="42C47D61" w14:textId="2E34BBC2"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B3.4.1 Investitionen in einen grünen Wandel der </w:t>
            </w:r>
            <w:r>
              <w:rPr>
                <w:noProof/>
              </w:rPr>
              <w:t>Städte</w:t>
            </w:r>
          </w:p>
        </w:tc>
        <w:tc>
          <w:tcPr>
            <w:tcW w:w="1296" w:type="dxa"/>
            <w:shd w:val="clear" w:color="auto" w:fill="C6EFCE"/>
          </w:tcPr>
          <w:p w14:paraId="070AB860"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1560" w:type="dxa"/>
            <w:shd w:val="clear" w:color="auto" w:fill="C6EFCE"/>
          </w:tcPr>
          <w:p w14:paraId="414FEEF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T1 – Unterzeichnung der Darlehensverträge für Investitionen in grüne Stadtentwicklungsprojekte  </w:t>
            </w:r>
          </w:p>
        </w:tc>
        <w:tc>
          <w:tcPr>
            <w:tcW w:w="1842" w:type="dxa"/>
            <w:shd w:val="clear" w:color="auto" w:fill="C6EFCE"/>
          </w:tcPr>
          <w:p w14:paraId="328EC355"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tc>
        <w:tc>
          <w:tcPr>
            <w:tcW w:w="1134" w:type="dxa"/>
            <w:shd w:val="clear" w:color="auto" w:fill="C6EFCE"/>
          </w:tcPr>
          <w:p w14:paraId="29E872A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w:t>
            </w:r>
          </w:p>
        </w:tc>
        <w:tc>
          <w:tcPr>
            <w:tcW w:w="1417" w:type="dxa"/>
            <w:shd w:val="clear" w:color="auto" w:fill="C6EFCE"/>
          </w:tcPr>
          <w:p w14:paraId="5583B4FB"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0</w:t>
            </w:r>
          </w:p>
        </w:tc>
        <w:tc>
          <w:tcPr>
            <w:tcW w:w="709" w:type="dxa"/>
            <w:shd w:val="clear" w:color="auto" w:fill="C6EFCE"/>
          </w:tcPr>
          <w:p w14:paraId="38C2D721" w14:textId="77777777" w:rsidR="00EB245A" w:rsidRDefault="006021EE">
            <w:pPr>
              <w:pStyle w:val="P68B1DB1-Normal012"/>
              <w:spacing w:after="0" w:line="240" w:lineRule="auto"/>
              <w:jc w:val="right"/>
              <w:rPr>
                <w:rFonts w:eastAsia="Times New Roman" w:cs="Times New Roman"/>
                <w:noProof/>
                <w:color w:val="000000" w:themeColor="text1"/>
              </w:rPr>
            </w:pPr>
            <w:r>
              <w:rPr>
                <w:noProof/>
              </w:rPr>
              <w:t>201</w:t>
            </w:r>
          </w:p>
        </w:tc>
        <w:tc>
          <w:tcPr>
            <w:tcW w:w="992" w:type="dxa"/>
            <w:shd w:val="clear" w:color="auto" w:fill="C6EFCE"/>
          </w:tcPr>
          <w:p w14:paraId="25C3CD94"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Q4</w:t>
            </w:r>
          </w:p>
        </w:tc>
        <w:tc>
          <w:tcPr>
            <w:tcW w:w="851" w:type="dxa"/>
            <w:shd w:val="clear" w:color="auto" w:fill="C6EFCE"/>
          </w:tcPr>
          <w:p w14:paraId="63B27045"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2024</w:t>
            </w:r>
          </w:p>
        </w:tc>
        <w:tc>
          <w:tcPr>
            <w:tcW w:w="3057" w:type="dxa"/>
            <w:shd w:val="clear" w:color="auto" w:fill="C6EFCE"/>
          </w:tcPr>
          <w:p w14:paraId="4F89E82C" w14:textId="77777777" w:rsidR="00EB245A" w:rsidRDefault="006021EE">
            <w:pPr>
              <w:pStyle w:val="P68B1DB1-Normal13"/>
              <w:spacing w:after="0" w:line="257" w:lineRule="auto"/>
              <w:rPr>
                <w:noProof/>
              </w:rPr>
            </w:pPr>
            <w:r>
              <w:rPr>
                <w:noProof/>
              </w:rPr>
              <w:t xml:space="preserve">Die Zielvorgabe bezieht sich auf die Zahl der mit den Empfängern unterzeichneten Verträge. Die Unterstützung wird über das Instrument für den grünen städtischen Wandel bereitgestellt und steht im Einklang mit den angenommenen Verfahren.  </w:t>
            </w:r>
          </w:p>
          <w:p w14:paraId="789CC968" w14:textId="77777777" w:rsidR="00EB245A" w:rsidRDefault="006021EE">
            <w:pPr>
              <w:pStyle w:val="P68B1DB1-Normal13"/>
              <w:spacing w:after="0" w:line="257" w:lineRule="auto"/>
              <w:rPr>
                <w:noProof/>
              </w:rPr>
            </w:pPr>
            <w:r>
              <w:rPr>
                <w:noProof/>
              </w:rPr>
              <w:t xml:space="preserve"> </w:t>
            </w:r>
          </w:p>
          <w:p w14:paraId="31E78A6D" w14:textId="77777777" w:rsidR="00EB245A" w:rsidRDefault="006021EE">
            <w:pPr>
              <w:pStyle w:val="P68B1DB1-Normal13"/>
              <w:spacing w:after="0" w:line="257" w:lineRule="auto"/>
              <w:rPr>
                <w:noProof/>
              </w:rPr>
            </w:pPr>
            <w:r>
              <w:rPr>
                <w:noProof/>
              </w:rPr>
              <w:t>Die begünstigte</w:t>
            </w:r>
            <w:r>
              <w:rPr>
                <w:noProof/>
              </w:rPr>
              <w:t xml:space="preserve">n Stellen werden im Wege transparenter und wettbewerblicher Aufforderungen ausgewählt, die allen Städten offenstehen.  </w:t>
            </w:r>
          </w:p>
          <w:p w14:paraId="1AB643F4" w14:textId="77777777" w:rsidR="00EB245A" w:rsidRDefault="006021EE">
            <w:pPr>
              <w:pStyle w:val="P68B1DB1-Normal13"/>
              <w:spacing w:after="0" w:line="257" w:lineRule="auto"/>
              <w:rPr>
                <w:noProof/>
              </w:rPr>
            </w:pPr>
            <w:r>
              <w:rPr>
                <w:noProof/>
              </w:rPr>
              <w:t xml:space="preserve"> </w:t>
            </w:r>
          </w:p>
          <w:p w14:paraId="5D599EA3" w14:textId="77777777" w:rsidR="00EB245A" w:rsidRDefault="006021EE">
            <w:pPr>
              <w:pStyle w:val="P68B1DB1-Normal13"/>
              <w:spacing w:after="0" w:line="257" w:lineRule="auto"/>
              <w:rPr>
                <w:noProof/>
              </w:rPr>
            </w:pPr>
            <w:r>
              <w:rPr>
                <w:noProof/>
              </w:rPr>
              <w:t>Die Kriterien für die Auswahl der begünstigten Einrichtungen müssen insbesondere dem Bedarf Rechnung tragen, die Auswirkungen der Städ</w:t>
            </w:r>
            <w:r>
              <w:rPr>
                <w:noProof/>
              </w:rPr>
              <w:t>te auf den Klimawandel und die Gesundheit ihrer Einwohner durch Verringerung der Treibhausgas- und anderen Schadstoffemissionen abzumildern. Ergebnisindikatoren werden entsprechend der Spezifität der geförderten Projekte festgelegt. Förderfähig sind u. a.:</w:t>
            </w:r>
            <w:r>
              <w:rPr>
                <w:noProof/>
              </w:rPr>
              <w:t xml:space="preserve"> I) Ausbau biologisch aktiver Flächen in städtischen und funktionalen Gebieten und Verringerung der Bodenversiegelung; II) naturbasierte städtische Investitionen (NBS) mit entsprechenden Vegetationslösungen; III) nachhaltige Regenwasserbewirtschaftungssyst</w:t>
            </w:r>
            <w:r>
              <w:rPr>
                <w:noProof/>
              </w:rPr>
              <w:t>eme, die grün-blaue Infrastruktur und naturbasierte Lösungen umfassen; IV) Verbesserung der Luftqualität in Städten, einschließlich der Entwicklung von dezentraler Energie und Bürgerenergie; V) Einrichtung von Niedrigemissionszonen, nachhaltiger multimodal</w:t>
            </w:r>
            <w:r>
              <w:rPr>
                <w:noProof/>
              </w:rPr>
              <w:t>er städtischer Mobilität, Plänen für eine wirksame Mobilität, Grünzonen in städtischen Gebieten; VI) Entwicklung von Energieclustern und Genossenschaften (vii) verstärkte Nutzung erneuerbarer Energiequellen als Energiequelle in der Stadt; VII) die Entwickl</w:t>
            </w:r>
            <w:r>
              <w:rPr>
                <w:noProof/>
              </w:rPr>
              <w:t>ung einer emissionsfreien Verkehrsinfrastruktur (Fußgänger, Radfahren), die in den kollektiven Verkehr integriert ist; IX) Einsatz energieeffizienter Beleuchtungstechnologien für Straßen und öffentliche Räume; X) Aufklärung und Sensibilisierung der Bürgeri</w:t>
            </w:r>
            <w:r>
              <w:rPr>
                <w:noProof/>
              </w:rPr>
              <w:t>nnen und Bürger für die Notwendigkeit, Städte bei der Anpassung an den Klimawandel auf Klimaneutralität umzugestalten, und (xi) die Wiederbelebung von Gebäuden und städtischen Räumen. Die Kosten von x dürfen 10 % der Investitionskosten B3.4.1 nicht überste</w:t>
            </w:r>
            <w:r>
              <w:rPr>
                <w:noProof/>
              </w:rPr>
              <w:t xml:space="preserve">igen. </w:t>
            </w:r>
          </w:p>
          <w:p w14:paraId="5227B97E" w14:textId="77777777" w:rsidR="00EB245A" w:rsidRDefault="00EB245A">
            <w:pPr>
              <w:spacing w:after="0" w:line="257" w:lineRule="auto"/>
              <w:rPr>
                <w:rFonts w:ascii="Times New Roman" w:hAnsi="Times New Roman"/>
                <w:noProof/>
                <w:color w:val="000000" w:themeColor="text1"/>
                <w:sz w:val="18"/>
              </w:rPr>
            </w:pPr>
          </w:p>
          <w:p w14:paraId="06D96CB8" w14:textId="110DCDE6" w:rsidR="00EB245A" w:rsidRDefault="006021EE">
            <w:pPr>
              <w:pStyle w:val="P68B1DB1-Normal13"/>
              <w:spacing w:line="240" w:lineRule="auto"/>
              <w:rPr>
                <w:noProof/>
              </w:rPr>
            </w:pPr>
            <w:r>
              <w:rPr>
                <w:noProof/>
              </w:rPr>
              <w:t xml:space="preserve">Vorrang haben Städte, in denen solche Projekttypen eingeführt wurden oder geplant sind. Bei der Zuweisung der Projekte an die begünstigten Einrichtungen wird eine ausgewogene Verteilung zwischen den Einrichtungen im Land unter Berücksichtigung der </w:t>
            </w:r>
            <w:r>
              <w:rPr>
                <w:noProof/>
              </w:rPr>
              <w:t>Bevölkerung und der geografischen Abdeckung sichergestellt. Die Kosten für die Rückzahlung des Darlehens dürfen keine Beiträge der lokalen Gebietskörperschaften erfordern. Diese Bestimmung gilt nicht für Investitionsvorhaben, die relevante Einnahmen oder K</w:t>
            </w:r>
            <w:r>
              <w:rPr>
                <w:noProof/>
              </w:rPr>
              <w:t xml:space="preserve">osteneinsparungen erzielen. </w:t>
            </w:r>
          </w:p>
          <w:p w14:paraId="5E2C8E88" w14:textId="77777777" w:rsidR="00EB245A" w:rsidRDefault="006021EE">
            <w:pPr>
              <w:pStyle w:val="P68B1DB1-Normal012"/>
              <w:pBdr>
                <w:top w:val="nil"/>
                <w:left w:val="nil"/>
                <w:bottom w:val="nil"/>
                <w:right w:val="nil"/>
                <w:between w:val="nil"/>
              </w:pBdr>
              <w:spacing w:after="0" w:line="257" w:lineRule="auto"/>
              <w:rPr>
                <w:noProof/>
                <w:color w:val="000000" w:themeColor="text1"/>
              </w:rPr>
            </w:pPr>
            <w:r>
              <w:rPr>
                <w:noProof/>
              </w:rPr>
              <w:t xml:space="preserve"> </w:t>
            </w:r>
          </w:p>
        </w:tc>
      </w:tr>
      <w:tr w:rsidR="00FF0416" w14:paraId="00EF364B" w14:textId="77777777" w:rsidTr="00FF0416">
        <w:trPr>
          <w:trHeight w:val="313"/>
        </w:trPr>
        <w:tc>
          <w:tcPr>
            <w:tcW w:w="812" w:type="dxa"/>
            <w:shd w:val="clear" w:color="auto" w:fill="C6EFCE"/>
          </w:tcPr>
          <w:p w14:paraId="2F00D570" w14:textId="77777777" w:rsidR="00EB245A" w:rsidRDefault="006021EE">
            <w:pPr>
              <w:pStyle w:val="P68B1DB1-Normal011"/>
              <w:pBdr>
                <w:top w:val="nil"/>
                <w:left w:val="nil"/>
                <w:bottom w:val="nil"/>
                <w:right w:val="nil"/>
                <w:between w:val="nil"/>
              </w:pBdr>
              <w:spacing w:after="0" w:line="240" w:lineRule="auto"/>
              <w:jc w:val="center"/>
              <w:rPr>
                <w:rFonts w:eastAsia="Times New Roman" w:cs="Times New Roman"/>
                <w:b/>
                <w:noProof/>
                <w:color w:val="000000" w:themeColor="text1"/>
              </w:rPr>
            </w:pPr>
            <w:r>
              <w:rPr>
                <w:noProof/>
              </w:rPr>
              <w:t>B27L</w:t>
            </w:r>
          </w:p>
          <w:p w14:paraId="4E08E841" w14:textId="77777777" w:rsidR="00EB245A" w:rsidRDefault="00EB245A">
            <w:pPr>
              <w:pStyle w:val="Normal0"/>
              <w:spacing w:line="240" w:lineRule="auto"/>
              <w:jc w:val="center"/>
              <w:rPr>
                <w:rFonts w:ascii="Times New Roman" w:hAnsi="Times New Roman" w:cs="Times New Roman"/>
                <w:noProof/>
                <w:sz w:val="18"/>
              </w:rPr>
            </w:pPr>
          </w:p>
        </w:tc>
        <w:tc>
          <w:tcPr>
            <w:tcW w:w="1720" w:type="dxa"/>
            <w:shd w:val="clear" w:color="auto" w:fill="C6EFCE"/>
          </w:tcPr>
          <w:p w14:paraId="46C2D2C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B3.4.1 Investitionen in einen grünen Wandel der Städte</w:t>
            </w:r>
          </w:p>
          <w:p w14:paraId="3B1D6CAB" w14:textId="77777777" w:rsidR="00EB245A" w:rsidRDefault="00EB245A">
            <w:pPr>
              <w:pStyle w:val="Normal0"/>
              <w:spacing w:line="240" w:lineRule="auto"/>
              <w:rPr>
                <w:rFonts w:ascii="Times New Roman" w:eastAsia="Times New Roman" w:hAnsi="Times New Roman" w:cs="Times New Roman"/>
                <w:noProof/>
                <w:color w:val="000000" w:themeColor="text1"/>
                <w:sz w:val="18"/>
              </w:rPr>
            </w:pPr>
          </w:p>
        </w:tc>
        <w:tc>
          <w:tcPr>
            <w:tcW w:w="1296" w:type="dxa"/>
            <w:shd w:val="clear" w:color="auto" w:fill="C6EFCE"/>
          </w:tcPr>
          <w:p w14:paraId="72DEBB6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Ziel</w:t>
            </w:r>
          </w:p>
          <w:p w14:paraId="65C94699" w14:textId="77777777" w:rsidR="00EB245A" w:rsidRDefault="00EB245A">
            <w:pPr>
              <w:pStyle w:val="Normal0"/>
              <w:spacing w:line="240" w:lineRule="auto"/>
              <w:rPr>
                <w:rFonts w:ascii="Times New Roman" w:eastAsia="Times New Roman" w:hAnsi="Times New Roman" w:cs="Times New Roman"/>
                <w:noProof/>
                <w:color w:val="000000" w:themeColor="text1"/>
                <w:sz w:val="18"/>
              </w:rPr>
            </w:pPr>
          </w:p>
        </w:tc>
        <w:tc>
          <w:tcPr>
            <w:tcW w:w="1560" w:type="dxa"/>
            <w:shd w:val="clear" w:color="auto" w:fill="C6EFCE"/>
          </w:tcPr>
          <w:p w14:paraId="75A63B1D" w14:textId="77777777" w:rsidR="00EB245A" w:rsidRDefault="006021EE">
            <w:pPr>
              <w:pStyle w:val="P68B1DB1-Normal012"/>
              <w:spacing w:line="240" w:lineRule="auto"/>
              <w:rPr>
                <w:noProof/>
              </w:rPr>
            </w:pPr>
            <w:r>
              <w:rPr>
                <w:noProof/>
              </w:rPr>
              <w:t xml:space="preserve">T2 – Unterzeichnung der Darlehensverträge für Investitionen in grüne Stadtentwicklungsprojekte  </w:t>
            </w:r>
          </w:p>
        </w:tc>
        <w:tc>
          <w:tcPr>
            <w:tcW w:w="1842" w:type="dxa"/>
            <w:shd w:val="clear" w:color="auto" w:fill="C6EFCE"/>
          </w:tcPr>
          <w:p w14:paraId="0536B815" w14:textId="77777777" w:rsidR="00EB245A" w:rsidRDefault="00EB245A">
            <w:pPr>
              <w:pStyle w:val="Normal0"/>
              <w:spacing w:after="0" w:line="240" w:lineRule="auto"/>
              <w:jc w:val="center"/>
              <w:rPr>
                <w:rFonts w:ascii="Times New Roman" w:eastAsia="Times New Roman" w:hAnsi="Times New Roman" w:cs="Times New Roman"/>
                <w:noProof/>
                <w:color w:val="000000" w:themeColor="text1"/>
                <w:sz w:val="18"/>
              </w:rPr>
            </w:pPr>
          </w:p>
        </w:tc>
        <w:tc>
          <w:tcPr>
            <w:tcW w:w="1134" w:type="dxa"/>
            <w:shd w:val="clear" w:color="auto" w:fill="C6EFCE"/>
          </w:tcPr>
          <w:p w14:paraId="1F40AA83" w14:textId="77777777" w:rsidR="00EB245A" w:rsidRDefault="006021EE">
            <w:pPr>
              <w:pStyle w:val="P68B1DB1-Normal012"/>
              <w:spacing w:line="240" w:lineRule="auto"/>
              <w:rPr>
                <w:rFonts w:eastAsia="Times New Roman" w:cs="Times New Roman"/>
                <w:noProof/>
                <w:color w:val="000000" w:themeColor="text1"/>
              </w:rPr>
            </w:pPr>
            <w:r>
              <w:rPr>
                <w:noProof/>
              </w:rPr>
              <w:t>Anzahl</w:t>
            </w:r>
          </w:p>
        </w:tc>
        <w:tc>
          <w:tcPr>
            <w:tcW w:w="1417" w:type="dxa"/>
            <w:shd w:val="clear" w:color="auto" w:fill="C6EFCE"/>
          </w:tcPr>
          <w:p w14:paraId="0EDA35DD" w14:textId="77777777" w:rsidR="00EB245A" w:rsidRDefault="006021EE">
            <w:pPr>
              <w:pStyle w:val="P68B1DB1-Normal012"/>
              <w:spacing w:line="240" w:lineRule="auto"/>
              <w:jc w:val="right"/>
              <w:rPr>
                <w:rFonts w:eastAsia="Times New Roman" w:cs="Times New Roman"/>
                <w:noProof/>
                <w:color w:val="000000" w:themeColor="text1"/>
              </w:rPr>
            </w:pPr>
            <w:r>
              <w:rPr>
                <w:noProof/>
              </w:rPr>
              <w:t>0</w:t>
            </w:r>
          </w:p>
        </w:tc>
        <w:tc>
          <w:tcPr>
            <w:tcW w:w="709" w:type="dxa"/>
            <w:shd w:val="clear" w:color="auto" w:fill="C6EFCE"/>
          </w:tcPr>
          <w:p w14:paraId="645123B1" w14:textId="77777777" w:rsidR="00EB245A" w:rsidRDefault="006021EE">
            <w:pPr>
              <w:pStyle w:val="P68B1DB1-Normal012"/>
              <w:spacing w:line="240" w:lineRule="auto"/>
              <w:jc w:val="right"/>
              <w:rPr>
                <w:rFonts w:eastAsia="Times New Roman" w:cs="Times New Roman"/>
                <w:noProof/>
                <w:color w:val="000000" w:themeColor="text1"/>
              </w:rPr>
            </w:pPr>
            <w:r>
              <w:rPr>
                <w:noProof/>
              </w:rPr>
              <w:t>438</w:t>
            </w:r>
          </w:p>
        </w:tc>
        <w:tc>
          <w:tcPr>
            <w:tcW w:w="992" w:type="dxa"/>
            <w:shd w:val="clear" w:color="auto" w:fill="C6EFCE"/>
          </w:tcPr>
          <w:p w14:paraId="17D33749" w14:textId="77777777" w:rsidR="00EB245A" w:rsidRDefault="006021EE">
            <w:pPr>
              <w:pStyle w:val="P68B1DB1-Normal012"/>
              <w:spacing w:line="240" w:lineRule="auto"/>
              <w:jc w:val="center"/>
              <w:rPr>
                <w:rFonts w:eastAsia="Times New Roman" w:cs="Times New Roman"/>
                <w:noProof/>
                <w:color w:val="000000" w:themeColor="text1"/>
              </w:rPr>
            </w:pPr>
            <w:r>
              <w:rPr>
                <w:noProof/>
              </w:rPr>
              <w:t>Q4</w:t>
            </w:r>
          </w:p>
        </w:tc>
        <w:tc>
          <w:tcPr>
            <w:tcW w:w="851" w:type="dxa"/>
            <w:shd w:val="clear" w:color="auto" w:fill="C6EFCE"/>
          </w:tcPr>
          <w:p w14:paraId="1CFCBA46" w14:textId="77777777" w:rsidR="00EB245A" w:rsidRDefault="006021EE">
            <w:pPr>
              <w:pStyle w:val="P68B1DB1-Normal012"/>
              <w:spacing w:line="240" w:lineRule="auto"/>
              <w:jc w:val="center"/>
              <w:rPr>
                <w:rFonts w:eastAsia="Times New Roman" w:cs="Times New Roman"/>
                <w:noProof/>
                <w:color w:val="000000" w:themeColor="text1"/>
              </w:rPr>
            </w:pPr>
            <w:r>
              <w:rPr>
                <w:noProof/>
              </w:rPr>
              <w:t>2025</w:t>
            </w:r>
          </w:p>
        </w:tc>
        <w:tc>
          <w:tcPr>
            <w:tcW w:w="3057" w:type="dxa"/>
            <w:shd w:val="clear" w:color="auto" w:fill="C6EFCE"/>
          </w:tcPr>
          <w:p w14:paraId="2682BF3C" w14:textId="77777777" w:rsidR="00EB245A" w:rsidRDefault="006021EE">
            <w:pPr>
              <w:pStyle w:val="P68B1DB1-Normal13"/>
              <w:spacing w:line="240" w:lineRule="auto"/>
              <w:rPr>
                <w:rFonts w:eastAsia="Times New Roman" w:cs="Times New Roman"/>
                <w:noProof/>
              </w:rPr>
            </w:pPr>
            <w:r>
              <w:rPr>
                <w:noProof/>
              </w:rPr>
              <w:t xml:space="preserve">Auf der Grundlage einer geänderten </w:t>
            </w:r>
            <w:r>
              <w:rPr>
                <w:noProof/>
              </w:rPr>
              <w:t>Mittelzuweisung Anzahl zusätzlicher Verträge mit den Empfängern über Investitionen, die die für Posten B26L festgelegten Kriterien erfüllen.</w:t>
            </w:r>
          </w:p>
        </w:tc>
      </w:tr>
      <w:tr w:rsidR="00FF0416" w14:paraId="1CFEB59C" w14:textId="77777777" w:rsidTr="00FF0416">
        <w:trPr>
          <w:trHeight w:val="313"/>
        </w:trPr>
        <w:tc>
          <w:tcPr>
            <w:tcW w:w="812" w:type="dxa"/>
            <w:shd w:val="clear" w:color="auto" w:fill="C6EFCE"/>
          </w:tcPr>
          <w:p w14:paraId="74029862" w14:textId="34C1E921" w:rsidR="00EB245A" w:rsidRDefault="006021EE">
            <w:pPr>
              <w:pStyle w:val="P68B1DB1-Normal011"/>
              <w:pBdr>
                <w:top w:val="nil"/>
                <w:left w:val="nil"/>
                <w:bottom w:val="nil"/>
                <w:right w:val="nil"/>
                <w:between w:val="nil"/>
              </w:pBdr>
              <w:spacing w:after="0" w:line="240" w:lineRule="auto"/>
              <w:jc w:val="center"/>
              <w:rPr>
                <w:rFonts w:eastAsia="Times New Roman" w:cs="Times New Roman"/>
                <w:b/>
                <w:noProof/>
                <w:color w:val="000000" w:themeColor="text1"/>
              </w:rPr>
            </w:pPr>
            <w:r>
              <w:rPr>
                <w:noProof/>
              </w:rPr>
              <w:t>B27aL</w:t>
            </w:r>
          </w:p>
          <w:p w14:paraId="229CF033" w14:textId="77777777" w:rsidR="00EB245A" w:rsidRDefault="00EB245A">
            <w:pPr>
              <w:pStyle w:val="Normal0"/>
              <w:pBdr>
                <w:top w:val="nil"/>
                <w:left w:val="nil"/>
                <w:bottom w:val="nil"/>
                <w:right w:val="nil"/>
                <w:between w:val="nil"/>
              </w:pBdr>
              <w:spacing w:after="0" w:line="240" w:lineRule="auto"/>
              <w:jc w:val="center"/>
              <w:rPr>
                <w:rFonts w:ascii="Times New Roman" w:hAnsi="Times New Roman" w:cs="Times New Roman"/>
                <w:noProof/>
                <w:sz w:val="18"/>
              </w:rPr>
            </w:pPr>
          </w:p>
        </w:tc>
        <w:tc>
          <w:tcPr>
            <w:tcW w:w="1720" w:type="dxa"/>
            <w:shd w:val="clear" w:color="auto" w:fill="C6EFCE"/>
          </w:tcPr>
          <w:p w14:paraId="79B798A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B3.4.1 Investitionen in einen grünen Wandel der Städte</w:t>
            </w:r>
          </w:p>
          <w:p w14:paraId="13678354"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p>
        </w:tc>
        <w:tc>
          <w:tcPr>
            <w:tcW w:w="1296" w:type="dxa"/>
            <w:shd w:val="clear" w:color="auto" w:fill="C6EFCE"/>
          </w:tcPr>
          <w:p w14:paraId="0525E66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Ziel</w:t>
            </w:r>
          </w:p>
          <w:p w14:paraId="1A0438A3"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p>
        </w:tc>
        <w:tc>
          <w:tcPr>
            <w:tcW w:w="1560" w:type="dxa"/>
            <w:shd w:val="clear" w:color="auto" w:fill="C6EFCE"/>
          </w:tcPr>
          <w:p w14:paraId="2EFD826F" w14:textId="68D05616" w:rsidR="00EB245A" w:rsidRDefault="006021EE">
            <w:pPr>
              <w:pStyle w:val="P68B1DB1-Normal028"/>
              <w:spacing w:line="240" w:lineRule="auto"/>
              <w:rPr>
                <w:rFonts w:ascii="Times New Roman" w:eastAsia="Times New Roman" w:hAnsi="Times New Roman" w:cs="Times New Roman"/>
                <w:noProof/>
                <w:sz w:val="18"/>
              </w:rPr>
            </w:pPr>
            <w:r>
              <w:rPr>
                <w:rFonts w:ascii="Times New Roman" w:hAnsi="Times New Roman"/>
                <w:noProof/>
                <w:sz w:val="18"/>
              </w:rPr>
              <w:t xml:space="preserve">T3 – Abschlusste Projekte zur Unterstützung </w:t>
            </w:r>
            <w:r>
              <w:rPr>
                <w:rFonts w:ascii="Times New Roman" w:hAnsi="Times New Roman"/>
                <w:noProof/>
                <w:sz w:val="18"/>
              </w:rPr>
              <w:t>von Investitionen in grüne Stadtentwicklungsprojekte</w:t>
            </w:r>
            <w:r>
              <w:rPr>
                <w:noProof/>
              </w:rPr>
              <w:t xml:space="preserve"> </w:t>
            </w:r>
          </w:p>
        </w:tc>
        <w:tc>
          <w:tcPr>
            <w:tcW w:w="1842" w:type="dxa"/>
            <w:shd w:val="clear" w:color="auto" w:fill="C6EFCE"/>
          </w:tcPr>
          <w:p w14:paraId="4E819F29" w14:textId="77777777" w:rsidR="00EB245A" w:rsidRDefault="00EB245A">
            <w:pPr>
              <w:pStyle w:val="Normal0"/>
              <w:spacing w:line="240" w:lineRule="auto"/>
              <w:rPr>
                <w:rFonts w:ascii="Times New Roman" w:eastAsia="Times New Roman" w:hAnsi="Times New Roman" w:cs="Times New Roman"/>
                <w:noProof/>
                <w:color w:val="000000" w:themeColor="text1"/>
                <w:sz w:val="18"/>
              </w:rPr>
            </w:pPr>
          </w:p>
        </w:tc>
        <w:tc>
          <w:tcPr>
            <w:tcW w:w="1134" w:type="dxa"/>
            <w:shd w:val="clear" w:color="auto" w:fill="C6EFCE"/>
          </w:tcPr>
          <w:p w14:paraId="5DC3C2A2" w14:textId="77777777" w:rsidR="00EB245A" w:rsidRDefault="006021EE">
            <w:pPr>
              <w:pStyle w:val="P68B1DB1-Normal012"/>
              <w:spacing w:line="240" w:lineRule="auto"/>
              <w:rPr>
                <w:rFonts w:eastAsia="Times New Roman" w:cs="Times New Roman"/>
                <w:noProof/>
                <w:color w:val="000000" w:themeColor="text1"/>
              </w:rPr>
            </w:pPr>
            <w:r>
              <w:rPr>
                <w:noProof/>
              </w:rPr>
              <w:t>Anzahl</w:t>
            </w:r>
          </w:p>
        </w:tc>
        <w:tc>
          <w:tcPr>
            <w:tcW w:w="1417" w:type="dxa"/>
            <w:shd w:val="clear" w:color="auto" w:fill="C6EFCE"/>
          </w:tcPr>
          <w:p w14:paraId="3A0E996B" w14:textId="77777777" w:rsidR="00EB245A" w:rsidRDefault="006021EE">
            <w:pPr>
              <w:pStyle w:val="P68B1DB1-Normal012"/>
              <w:spacing w:line="240" w:lineRule="auto"/>
              <w:jc w:val="right"/>
              <w:rPr>
                <w:rFonts w:eastAsia="Times New Roman" w:cs="Times New Roman"/>
                <w:noProof/>
                <w:color w:val="000000" w:themeColor="text1"/>
              </w:rPr>
            </w:pPr>
            <w:r>
              <w:rPr>
                <w:noProof/>
              </w:rPr>
              <w:t>0</w:t>
            </w:r>
          </w:p>
        </w:tc>
        <w:tc>
          <w:tcPr>
            <w:tcW w:w="709" w:type="dxa"/>
            <w:shd w:val="clear" w:color="auto" w:fill="C6EFCE"/>
          </w:tcPr>
          <w:p w14:paraId="5D206C2B" w14:textId="77777777" w:rsidR="00EB245A" w:rsidRDefault="006021EE">
            <w:pPr>
              <w:pStyle w:val="P68B1DB1-Normal012"/>
              <w:spacing w:line="240" w:lineRule="auto"/>
              <w:jc w:val="right"/>
              <w:rPr>
                <w:rFonts w:eastAsia="Times New Roman" w:cs="Times New Roman"/>
                <w:noProof/>
                <w:color w:val="000000" w:themeColor="text1"/>
                <w:highlight w:val="green"/>
              </w:rPr>
            </w:pPr>
            <w:r>
              <w:rPr>
                <w:noProof/>
              </w:rPr>
              <w:t>390</w:t>
            </w:r>
          </w:p>
        </w:tc>
        <w:tc>
          <w:tcPr>
            <w:tcW w:w="992" w:type="dxa"/>
            <w:shd w:val="clear" w:color="auto" w:fill="C6EFCE"/>
          </w:tcPr>
          <w:p w14:paraId="3FE2A6B5" w14:textId="77777777" w:rsidR="00EB245A" w:rsidRDefault="006021EE">
            <w:pPr>
              <w:pStyle w:val="P68B1DB1-Normal012"/>
              <w:spacing w:line="240" w:lineRule="auto"/>
              <w:jc w:val="center"/>
              <w:rPr>
                <w:rFonts w:eastAsia="Times New Roman" w:cs="Times New Roman"/>
                <w:noProof/>
                <w:color w:val="000000" w:themeColor="text1"/>
              </w:rPr>
            </w:pPr>
            <w:r>
              <w:rPr>
                <w:noProof/>
              </w:rPr>
              <w:t>Q3</w:t>
            </w:r>
          </w:p>
        </w:tc>
        <w:tc>
          <w:tcPr>
            <w:tcW w:w="851" w:type="dxa"/>
            <w:shd w:val="clear" w:color="auto" w:fill="C6EFCE"/>
          </w:tcPr>
          <w:p w14:paraId="7522359B" w14:textId="77777777" w:rsidR="00EB245A" w:rsidRDefault="006021EE">
            <w:pPr>
              <w:pStyle w:val="P68B1DB1-Normal012"/>
              <w:spacing w:line="240" w:lineRule="auto"/>
              <w:jc w:val="center"/>
              <w:rPr>
                <w:rFonts w:eastAsia="Times New Roman" w:cs="Times New Roman"/>
                <w:noProof/>
                <w:color w:val="000000" w:themeColor="text1"/>
              </w:rPr>
            </w:pPr>
            <w:r>
              <w:rPr>
                <w:noProof/>
              </w:rPr>
              <w:t>2026</w:t>
            </w:r>
          </w:p>
        </w:tc>
        <w:tc>
          <w:tcPr>
            <w:tcW w:w="3057" w:type="dxa"/>
            <w:shd w:val="clear" w:color="auto" w:fill="C6EFCE"/>
          </w:tcPr>
          <w:p w14:paraId="3C6F82EE" w14:textId="77777777" w:rsidR="00EB245A" w:rsidRDefault="006021EE">
            <w:pPr>
              <w:pStyle w:val="P68B1DB1-Normal13"/>
              <w:spacing w:line="240" w:lineRule="auto"/>
              <w:rPr>
                <w:rFonts w:eastAsia="Times New Roman" w:cs="Times New Roman"/>
                <w:noProof/>
              </w:rPr>
            </w:pPr>
            <w:r>
              <w:rPr>
                <w:noProof/>
              </w:rPr>
              <w:t>Zahl der Projekte, die von den Empfängern von Unterstützung aus dem Instrument für den grünen städtischen Wandel nach der geänderten Mittelzuweisung abgeschlossen wurden.</w:t>
            </w:r>
          </w:p>
        </w:tc>
      </w:tr>
      <w:tr w:rsidR="00FF0416" w14:paraId="1E1E9A23" w14:textId="77777777" w:rsidTr="00FF0416">
        <w:trPr>
          <w:trHeight w:val="313"/>
        </w:trPr>
        <w:tc>
          <w:tcPr>
            <w:tcW w:w="812" w:type="dxa"/>
            <w:shd w:val="clear" w:color="auto" w:fill="C6EFCE"/>
          </w:tcPr>
          <w:p w14:paraId="7289F0A5" w14:textId="77777777" w:rsidR="00EB245A" w:rsidRDefault="006021EE">
            <w:pPr>
              <w:pStyle w:val="P68B1DB1-Normal011"/>
              <w:pBdr>
                <w:top w:val="nil"/>
                <w:left w:val="nil"/>
                <w:bottom w:val="nil"/>
                <w:right w:val="nil"/>
                <w:between w:val="nil"/>
              </w:pBdr>
              <w:spacing w:after="0" w:line="240" w:lineRule="auto"/>
              <w:jc w:val="center"/>
              <w:rPr>
                <w:rFonts w:eastAsia="Times New Roman" w:cs="Times New Roman"/>
                <w:b/>
                <w:noProof/>
                <w:color w:val="000000"/>
              </w:rPr>
            </w:pPr>
            <w:r>
              <w:rPr>
                <w:noProof/>
              </w:rPr>
              <w:t>B28L</w:t>
            </w:r>
          </w:p>
        </w:tc>
        <w:tc>
          <w:tcPr>
            <w:tcW w:w="1720" w:type="dxa"/>
            <w:shd w:val="clear" w:color="auto" w:fill="C6EFCE"/>
          </w:tcPr>
          <w:p w14:paraId="30E1D50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B3.5 Reform des Wohnungsbaus für Menschen mit niedrigem und mittlerem Einkommen,</w:t>
            </w:r>
          </w:p>
          <w:p w14:paraId="62B5C3A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Berücksichtigung der höheren Energieeffizienz von Gebäuden</w:t>
            </w:r>
          </w:p>
        </w:tc>
        <w:tc>
          <w:tcPr>
            <w:tcW w:w="1296" w:type="dxa"/>
            <w:shd w:val="clear" w:color="auto" w:fill="C6EFCE"/>
          </w:tcPr>
          <w:p w14:paraId="721FEFA0"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Meilenstein</w:t>
            </w:r>
          </w:p>
        </w:tc>
        <w:tc>
          <w:tcPr>
            <w:tcW w:w="1560" w:type="dxa"/>
            <w:shd w:val="clear" w:color="auto" w:fill="C6EFCE"/>
          </w:tcPr>
          <w:p w14:paraId="4E38C70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Inkrafttreten eines Gesetzes zur Änderung des Gesetzes vom 8. Dezember 2006 über die finanzielle Unterst</w:t>
            </w:r>
            <w:r>
              <w:rPr>
                <w:noProof/>
              </w:rPr>
              <w:t>ützung für die Schaffung von Mietwohnungen, geschützten Wohnungen, Nachtunterkünften, Obdachlosenunterkünften, Heizungsanlagen und provisorischen Räumlichkeiten und daraus resultierende Änderungen anderer Gesetze</w:t>
            </w:r>
          </w:p>
          <w:p w14:paraId="73386C1F"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tc>
        <w:tc>
          <w:tcPr>
            <w:tcW w:w="1842" w:type="dxa"/>
            <w:shd w:val="clear" w:color="auto" w:fill="C6EFCE"/>
          </w:tcPr>
          <w:p w14:paraId="5698E8E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Bestimmung im Gesetz zur Änderung des Gese</w:t>
            </w:r>
            <w:r>
              <w:rPr>
                <w:noProof/>
              </w:rPr>
              <w:t>tzes vom 8. Dezember 2006 über die finanzielle Unterstützung für die Schaffung von Mietwohnungen, geschützten Wohnungen, Nachtunterkünften, Obdachlosenunterkünften, Heizungsanlagen und provisorischen Räumlichkeiten und daraus resultierende Änderungen ander</w:t>
            </w:r>
            <w:r>
              <w:rPr>
                <w:noProof/>
              </w:rPr>
              <w:t>er Gesetze, die auf sein Inkrafttreten hinweisen</w:t>
            </w:r>
          </w:p>
        </w:tc>
        <w:tc>
          <w:tcPr>
            <w:tcW w:w="1134" w:type="dxa"/>
            <w:shd w:val="clear" w:color="auto" w:fill="C6EFCE"/>
          </w:tcPr>
          <w:p w14:paraId="432AF740"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tc>
        <w:tc>
          <w:tcPr>
            <w:tcW w:w="1417" w:type="dxa"/>
            <w:shd w:val="clear" w:color="auto" w:fill="C6EFCE"/>
          </w:tcPr>
          <w:p w14:paraId="625C2139" w14:textId="77777777"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rPr>
            </w:pPr>
          </w:p>
        </w:tc>
        <w:tc>
          <w:tcPr>
            <w:tcW w:w="709" w:type="dxa"/>
            <w:shd w:val="clear" w:color="auto" w:fill="C6EFCE"/>
          </w:tcPr>
          <w:p w14:paraId="037372C9" w14:textId="77777777"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rPr>
            </w:pPr>
          </w:p>
        </w:tc>
        <w:tc>
          <w:tcPr>
            <w:tcW w:w="992" w:type="dxa"/>
            <w:shd w:val="clear" w:color="auto" w:fill="C6EFCE"/>
          </w:tcPr>
          <w:p w14:paraId="7F072BC8"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Q2</w:t>
            </w:r>
          </w:p>
        </w:tc>
        <w:tc>
          <w:tcPr>
            <w:tcW w:w="851" w:type="dxa"/>
            <w:shd w:val="clear" w:color="auto" w:fill="C6EFCE"/>
          </w:tcPr>
          <w:p w14:paraId="5127A2A6"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2022</w:t>
            </w:r>
          </w:p>
        </w:tc>
        <w:tc>
          <w:tcPr>
            <w:tcW w:w="3057" w:type="dxa"/>
            <w:shd w:val="clear" w:color="auto" w:fill="C6EFCE"/>
          </w:tcPr>
          <w:p w14:paraId="7897920B"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Die Änderung des Rechtsakts sieht eine Erhöhung der Unterstützung für Investitionen in den Bau von Gebäuden mit einem Energiestandard vor, der um 20 % höher ist als Niedrigstenergiegebäude. Die </w:t>
            </w:r>
            <w:r>
              <w:rPr>
                <w:noProof/>
              </w:rPr>
              <w:t>Unterstützung wird gegenüber Standardwohnungen von 80 % auf 95 % für Gebäude für einkommensschwache Haushalte und von 35 % auf 60 % für Haushalte mit Durchschnittseinkommen erhöht. Diese Bestimmungen gelten für jede öffentliche Unterstützung.</w:t>
            </w:r>
          </w:p>
          <w:p w14:paraId="69CAA4BB"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tc>
      </w:tr>
      <w:tr w:rsidR="00FF0416" w14:paraId="49AD8375" w14:textId="77777777" w:rsidTr="00FF0416">
        <w:trPr>
          <w:trHeight w:val="567"/>
        </w:trPr>
        <w:tc>
          <w:tcPr>
            <w:tcW w:w="812" w:type="dxa"/>
            <w:shd w:val="clear" w:color="auto" w:fill="C6EFCE"/>
          </w:tcPr>
          <w:p w14:paraId="170C0264" w14:textId="77777777" w:rsidR="00EB245A" w:rsidRDefault="006021EE">
            <w:pPr>
              <w:pStyle w:val="P68B1DB1-Normal011"/>
              <w:pBdr>
                <w:top w:val="nil"/>
                <w:left w:val="nil"/>
                <w:bottom w:val="nil"/>
                <w:right w:val="nil"/>
                <w:between w:val="nil"/>
              </w:pBdr>
              <w:spacing w:after="0" w:line="240" w:lineRule="auto"/>
              <w:jc w:val="center"/>
              <w:rPr>
                <w:rFonts w:cs="Times New Roman"/>
                <w:noProof/>
              </w:rPr>
            </w:pPr>
            <w:r>
              <w:rPr>
                <w:noProof/>
              </w:rPr>
              <w:t>B29L</w:t>
            </w:r>
          </w:p>
        </w:tc>
        <w:tc>
          <w:tcPr>
            <w:tcW w:w="1720" w:type="dxa"/>
            <w:shd w:val="clear" w:color="auto" w:fill="C6EFCE"/>
          </w:tcPr>
          <w:p w14:paraId="42C4695B"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B3.5.1</w:t>
            </w:r>
            <w:r>
              <w:rPr>
                <w:noProof/>
              </w:rPr>
              <w:t xml:space="preserve"> Investitionen in energieeffiziente Wohnungen für Haushalte mit niedrigem und mittlerem Einkommen</w:t>
            </w:r>
          </w:p>
        </w:tc>
        <w:tc>
          <w:tcPr>
            <w:tcW w:w="1296" w:type="dxa"/>
            <w:shd w:val="clear" w:color="auto" w:fill="C6EFCE"/>
          </w:tcPr>
          <w:p w14:paraId="040A964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1560" w:type="dxa"/>
            <w:shd w:val="clear" w:color="auto" w:fill="C6EFCE"/>
          </w:tcPr>
          <w:p w14:paraId="25343A46" w14:textId="52013ED8"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T1 – Zahl der Wohnungen, die für eine Finanzierung für Haushalte mit niedrigem und mittlerem Einkommen in Frage kommen </w:t>
            </w:r>
          </w:p>
        </w:tc>
        <w:tc>
          <w:tcPr>
            <w:tcW w:w="1842" w:type="dxa"/>
            <w:shd w:val="clear" w:color="auto" w:fill="C6EFCE"/>
          </w:tcPr>
          <w:p w14:paraId="5FAC5B68"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tc>
        <w:tc>
          <w:tcPr>
            <w:tcW w:w="1134" w:type="dxa"/>
            <w:shd w:val="clear" w:color="auto" w:fill="C6EFCE"/>
          </w:tcPr>
          <w:p w14:paraId="723B85A9"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w:t>
            </w:r>
          </w:p>
        </w:tc>
        <w:tc>
          <w:tcPr>
            <w:tcW w:w="1417" w:type="dxa"/>
            <w:shd w:val="clear" w:color="auto" w:fill="C6EFCE"/>
          </w:tcPr>
          <w:p w14:paraId="70839F46"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0</w:t>
            </w:r>
          </w:p>
        </w:tc>
        <w:tc>
          <w:tcPr>
            <w:tcW w:w="709" w:type="dxa"/>
            <w:shd w:val="clear" w:color="auto" w:fill="C6EFCE"/>
          </w:tcPr>
          <w:p w14:paraId="04823C71"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7820 </w:t>
            </w:r>
          </w:p>
        </w:tc>
        <w:tc>
          <w:tcPr>
            <w:tcW w:w="992" w:type="dxa"/>
            <w:shd w:val="clear" w:color="auto" w:fill="C6EFCE"/>
          </w:tcPr>
          <w:p w14:paraId="13555FD8"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Q4</w:t>
            </w:r>
          </w:p>
        </w:tc>
        <w:tc>
          <w:tcPr>
            <w:tcW w:w="851" w:type="dxa"/>
            <w:shd w:val="clear" w:color="auto" w:fill="C6EFCE"/>
          </w:tcPr>
          <w:p w14:paraId="4D4A9C10"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2024</w:t>
            </w:r>
          </w:p>
        </w:tc>
        <w:tc>
          <w:tcPr>
            <w:tcW w:w="3057" w:type="dxa"/>
            <w:shd w:val="clear" w:color="auto" w:fill="C6EFCE"/>
          </w:tcPr>
          <w:p w14:paraId="4251ED4D" w14:textId="6EFB2EB6"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Zahl der Wohnungen, die für eine Finanzierung in Frage kommen (für Haushalte mit niedrigem und mittlerem Einkommen). </w:t>
            </w:r>
          </w:p>
          <w:p w14:paraId="5C09747E"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Die Investitionen werden von lokalen Behörden und Investoren in den sozialen Wohnungsbau (hauptsächlich Sozialwohnungsgesellschaften und I</w:t>
            </w:r>
            <w:r>
              <w:rPr>
                <w:noProof/>
              </w:rPr>
              <w:t>nitiativen für sozialen Wohnungsbau) getätigt.</w:t>
            </w:r>
          </w:p>
          <w:p w14:paraId="71C6F796"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p>
          <w:p w14:paraId="7915325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In Verträgen, die mit begünstigten Einrichtungen (lokalen Behörden und Investoren im sozialen Wohnungsbau (hauptsächlich Sozialwohnungsgesellschaften und Initiativen im sozialen Wohnungsbau) unterzeichnet </w:t>
            </w:r>
            <w:r>
              <w:rPr>
                <w:noProof/>
              </w:rPr>
              <w:t>werden, muss Folgendes festgelegt werden:</w:t>
            </w:r>
          </w:p>
          <w:p w14:paraId="3D38654E" w14:textId="77777777" w:rsidR="00EB245A" w:rsidRDefault="006021EE">
            <w:pPr>
              <w:pStyle w:val="P68B1DB1-Normal012"/>
              <w:numPr>
                <w:ilvl w:val="0"/>
                <w:numId w:val="24"/>
              </w:numPr>
              <w:pBdr>
                <w:top w:val="nil"/>
                <w:left w:val="nil"/>
                <w:bottom w:val="nil"/>
                <w:right w:val="nil"/>
                <w:between w:val="nil"/>
              </w:pBdr>
              <w:spacing w:after="0" w:line="240" w:lineRule="auto"/>
              <w:rPr>
                <w:noProof/>
                <w:color w:val="000000" w:themeColor="text1"/>
              </w:rPr>
            </w:pPr>
            <w:r>
              <w:rPr>
                <w:noProof/>
              </w:rPr>
              <w:t>mindestens 75 % dieser Wohnungen werden denjenigen Antragstellern zugewiesen, die sich in der unteren Hälfte der Liste der Antragsteller befinden, die auf der Grundlage der Einkünfte der Antragsteller in absteigend</w:t>
            </w:r>
            <w:r>
              <w:rPr>
                <w:noProof/>
              </w:rPr>
              <w:t xml:space="preserve">er Reihenfolge erstellt wurde, und </w:t>
            </w:r>
          </w:p>
          <w:p w14:paraId="3793425E" w14:textId="77777777" w:rsidR="00EB245A" w:rsidRDefault="006021EE">
            <w:pPr>
              <w:pStyle w:val="P68B1DB1-Normal012"/>
              <w:numPr>
                <w:ilvl w:val="0"/>
                <w:numId w:val="24"/>
              </w:numPr>
              <w:pBdr>
                <w:top w:val="nil"/>
                <w:left w:val="nil"/>
                <w:bottom w:val="nil"/>
                <w:right w:val="nil"/>
                <w:between w:val="nil"/>
              </w:pBdr>
              <w:spacing w:after="0" w:line="240" w:lineRule="auto"/>
              <w:rPr>
                <w:noProof/>
                <w:color w:val="000000" w:themeColor="text1"/>
              </w:rPr>
            </w:pPr>
            <w:r>
              <w:rPr>
                <w:noProof/>
              </w:rPr>
              <w:t xml:space="preserve">die Wohnungen werden nach einem Energieeffizienzstandard errichtet, der 20 % höher ist als der in Polen geltende Mindeststandard für die Energieeffizienz (Niedrigstenergiegebäudestandard/NZEB-Standard). </w:t>
            </w:r>
          </w:p>
          <w:p w14:paraId="2765F29B" w14:textId="77777777" w:rsidR="00EB245A" w:rsidRDefault="00EB245A">
            <w:pPr>
              <w:pStyle w:val="Normal0"/>
              <w:pBdr>
                <w:top w:val="nil"/>
                <w:left w:val="nil"/>
                <w:bottom w:val="nil"/>
                <w:right w:val="nil"/>
                <w:between w:val="nil"/>
              </w:pBdr>
              <w:spacing w:after="0" w:line="240" w:lineRule="auto"/>
              <w:ind w:left="360"/>
              <w:rPr>
                <w:noProof/>
                <w:color w:val="000000" w:themeColor="text1"/>
                <w:sz w:val="18"/>
              </w:rPr>
            </w:pPr>
          </w:p>
          <w:p w14:paraId="10FD9EF3" w14:textId="3E5A1A69" w:rsidR="00EB245A" w:rsidRDefault="006021EE">
            <w:pPr>
              <w:pStyle w:val="P68B1DB1-Normal012"/>
              <w:pBdr>
                <w:top w:val="nil"/>
                <w:left w:val="nil"/>
                <w:bottom w:val="nil"/>
                <w:right w:val="nil"/>
                <w:between w:val="nil"/>
              </w:pBdr>
              <w:spacing w:after="0" w:line="240" w:lineRule="auto"/>
              <w:rPr>
                <w:rFonts w:cs="Times New Roman"/>
                <w:noProof/>
                <w:color w:val="000000" w:themeColor="text1"/>
              </w:rPr>
            </w:pPr>
            <w:r>
              <w:rPr>
                <w:noProof/>
              </w:rPr>
              <w:t xml:space="preserve">Die </w:t>
            </w:r>
            <w:r>
              <w:rPr>
                <w:noProof/>
              </w:rPr>
              <w:t>begünstigten Einrichtungen werden im Wege transparenter und wettbewerbsorientierter Aufforderungen ausgewählt, die allen lokalen Gebietskörperschaften und Investoren im sozialen Wohnungsbau (hauptsächlich Sozialwohnungsgesellschaften und Sozialwohnungsinit</w:t>
            </w:r>
            <w:r>
              <w:rPr>
                <w:noProof/>
              </w:rPr>
              <w:t>iativen) offen stehen. Die Kriterien für die Auswahl der begünstigten Einrichtungen müssen insbesondere dem Bedarf Rechnung tragen, das Angebot an energieeffizientem Wohnraum für einkommensschwache und einkommensschwache Haushalte zu erhöhen.</w:t>
            </w:r>
          </w:p>
          <w:p w14:paraId="3C0DE0AF"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p>
          <w:p w14:paraId="7B716E9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Werden Neuba</w:t>
            </w:r>
            <w:r>
              <w:rPr>
                <w:noProof/>
              </w:rPr>
              <w:t xml:space="preserve">umaßnahmen in oder in der Nähe von biodiversitätssensiblen Gebieten (einschließlich des Natura-2000-Netzes geschützter Gebiete, UNESCO-Welterbestätten und wichtiger Biodiversitätsgebiete sowie anderer Schutzgebiete) durchgeführt, so ist die Einhaltung von </w:t>
            </w:r>
            <w:r>
              <w:rPr>
                <w:noProof/>
              </w:rPr>
              <w:t>Artikel 6 Absatz 3 und Artikel 12 der Habitat-Richtlinie und Artikel 5 der Vogelschutzrichtlinie erforderlich, und es werden Umweltverträglichkeitsprüfungen (UVP) oder ein Screening durchgeführt, wenn dies gemäß der UVP-Richtlinie erforderlich ist. Alle im</w:t>
            </w:r>
            <w:r>
              <w:rPr>
                <w:noProof/>
              </w:rPr>
              <w:t xml:space="preserve"> Rahmen dieser Komponente finanzierten Investitionsprojekte, für die eine UVP-Entscheidung erforderlich ist, müssen der Richtlinie 2011/92/EU in der durch die Richtlinie 2014/52/EU geänderten Fassung entsprechen. Insbesondere müssen alle neuen Projekte, di</w:t>
            </w:r>
            <w:r>
              <w:rPr>
                <w:noProof/>
              </w:rPr>
              <w:t>e einer UVP bedürfen, nach dem Gesetz über die Bereitstellung von Informationen über die Umwelt und ihren Schutz, die Beteiligung der Öffentlichkeit am Umweltschutz und die Umweltverträglichkeitsprüfung in der durch das Gesetz vom 30. März zur Änderung die</w:t>
            </w:r>
            <w:r>
              <w:rPr>
                <w:noProof/>
              </w:rPr>
              <w:t>ses Gesetzes und bestimmter anderer Gesetze geänderten Fassung genehmigt werden. Die Bestimmungen der „Leitlinien für Abhilfemaßnahmen für Projekte, die aus EU-Fonds kofinanziert werden und von dem Vertragsverletzungsverfahren 2016/2046 betroffen sind“, di</w:t>
            </w:r>
            <w:r>
              <w:rPr>
                <w:noProof/>
              </w:rPr>
              <w:t>e Polen am 23. Februar 2021 übermittelt wurden (Az. Ares(2021)1423319), sind bei der Durchführung aller Investitionsvorhaben zu berücksichtigen, für die vor dem Inkrafttreten des Gesetzes vom 30. März 2021 eine Umweltentscheidung oder eine Bau- oder Entwic</w:t>
            </w:r>
            <w:r>
              <w:rPr>
                <w:noProof/>
              </w:rPr>
              <w:t>klungsgenehmigung beantragt oder erteilt wurde.</w:t>
            </w:r>
          </w:p>
        </w:tc>
      </w:tr>
      <w:tr w:rsidR="00FF0416" w14:paraId="0180366B" w14:textId="77777777" w:rsidTr="00FF0416">
        <w:trPr>
          <w:trHeight w:val="313"/>
        </w:trPr>
        <w:tc>
          <w:tcPr>
            <w:tcW w:w="812" w:type="dxa"/>
            <w:shd w:val="clear" w:color="auto" w:fill="C6EFCE"/>
          </w:tcPr>
          <w:p w14:paraId="2098F440" w14:textId="4F87388C" w:rsidR="00EB245A" w:rsidRDefault="006021EE">
            <w:pPr>
              <w:pStyle w:val="P68B1DB1-Normal011"/>
              <w:pBdr>
                <w:top w:val="nil"/>
                <w:left w:val="nil"/>
                <w:bottom w:val="nil"/>
                <w:right w:val="nil"/>
                <w:between w:val="nil"/>
              </w:pBdr>
              <w:spacing w:after="0" w:line="240" w:lineRule="auto"/>
              <w:jc w:val="center"/>
              <w:rPr>
                <w:rFonts w:cs="Times New Roman"/>
                <w:noProof/>
              </w:rPr>
            </w:pPr>
            <w:r>
              <w:rPr>
                <w:noProof/>
              </w:rPr>
              <w:t>B30L</w:t>
            </w:r>
          </w:p>
        </w:tc>
        <w:tc>
          <w:tcPr>
            <w:tcW w:w="1720" w:type="dxa"/>
            <w:shd w:val="clear" w:color="auto" w:fill="C6EFCE"/>
          </w:tcPr>
          <w:p w14:paraId="26DEFF70"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B3.5.1 Investitionen in energieeffiziente Wohnungen für Haushalte mit niedrigem und mittlerem Einkommen</w:t>
            </w:r>
          </w:p>
        </w:tc>
        <w:tc>
          <w:tcPr>
            <w:tcW w:w="1296" w:type="dxa"/>
            <w:shd w:val="clear" w:color="auto" w:fill="C6EFCE"/>
          </w:tcPr>
          <w:p w14:paraId="53FA2A6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1560" w:type="dxa"/>
            <w:shd w:val="clear" w:color="auto" w:fill="C6EFCE"/>
          </w:tcPr>
          <w:p w14:paraId="3F398C8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T2 – Zahl der fertiggestellten Wohnungen für einkommensschwache und durchschnittliche </w:t>
            </w:r>
            <w:r>
              <w:rPr>
                <w:noProof/>
              </w:rPr>
              <w:t>Haushalte</w:t>
            </w:r>
          </w:p>
        </w:tc>
        <w:tc>
          <w:tcPr>
            <w:tcW w:w="1842" w:type="dxa"/>
            <w:shd w:val="clear" w:color="auto" w:fill="C6EFCE"/>
          </w:tcPr>
          <w:p w14:paraId="1DD11274"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tc>
        <w:tc>
          <w:tcPr>
            <w:tcW w:w="1134" w:type="dxa"/>
            <w:shd w:val="clear" w:color="auto" w:fill="C6EFCE"/>
          </w:tcPr>
          <w:p w14:paraId="78BDA5D5"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w:t>
            </w:r>
          </w:p>
        </w:tc>
        <w:tc>
          <w:tcPr>
            <w:tcW w:w="1417" w:type="dxa"/>
            <w:shd w:val="clear" w:color="auto" w:fill="C6EFCE"/>
          </w:tcPr>
          <w:p w14:paraId="1E8FD757" w14:textId="77777777" w:rsidR="00EB245A" w:rsidRDefault="006021EE">
            <w:pPr>
              <w:pStyle w:val="P68B1DB1-Normal012"/>
              <w:spacing w:after="0" w:line="240" w:lineRule="auto"/>
              <w:jc w:val="right"/>
              <w:rPr>
                <w:rFonts w:eastAsia="Times New Roman" w:cs="Times New Roman"/>
                <w:noProof/>
                <w:color w:val="000000" w:themeColor="text1"/>
              </w:rPr>
            </w:pPr>
            <w:r>
              <w:rPr>
                <w:noProof/>
              </w:rPr>
              <w:t>0</w:t>
            </w:r>
          </w:p>
          <w:p w14:paraId="0F44DAEF" w14:textId="77777777" w:rsidR="00EB245A" w:rsidRDefault="00EB245A">
            <w:pPr>
              <w:pStyle w:val="Normal0"/>
              <w:spacing w:after="0" w:line="240" w:lineRule="auto"/>
              <w:jc w:val="right"/>
              <w:rPr>
                <w:rFonts w:ascii="Times New Roman" w:eastAsia="Times New Roman" w:hAnsi="Times New Roman" w:cs="Times New Roman"/>
                <w:noProof/>
                <w:color w:val="000000" w:themeColor="text1"/>
                <w:sz w:val="18"/>
              </w:rPr>
            </w:pPr>
          </w:p>
        </w:tc>
        <w:tc>
          <w:tcPr>
            <w:tcW w:w="709" w:type="dxa"/>
            <w:shd w:val="clear" w:color="auto" w:fill="C6EFCE"/>
          </w:tcPr>
          <w:p w14:paraId="5F8FAA62" w14:textId="5E5ECD76"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0000" w:themeColor="text1"/>
              </w:rPr>
            </w:pPr>
            <w:r>
              <w:rPr>
                <w:noProof/>
              </w:rPr>
              <w:t>7820</w:t>
            </w:r>
          </w:p>
          <w:p w14:paraId="25886E36" w14:textId="77777777"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rPr>
            </w:pPr>
          </w:p>
        </w:tc>
        <w:tc>
          <w:tcPr>
            <w:tcW w:w="992" w:type="dxa"/>
            <w:shd w:val="clear" w:color="auto" w:fill="C6EFCE"/>
          </w:tcPr>
          <w:p w14:paraId="7DF8C3B6"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Q2</w:t>
            </w:r>
          </w:p>
        </w:tc>
        <w:tc>
          <w:tcPr>
            <w:tcW w:w="851" w:type="dxa"/>
            <w:shd w:val="clear" w:color="auto" w:fill="C6EFCE"/>
          </w:tcPr>
          <w:p w14:paraId="4B7922DD"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2026</w:t>
            </w:r>
          </w:p>
        </w:tc>
        <w:tc>
          <w:tcPr>
            <w:tcW w:w="3057" w:type="dxa"/>
            <w:shd w:val="clear" w:color="auto" w:fill="C6EFCE"/>
          </w:tcPr>
          <w:p w14:paraId="013B5AF8" w14:textId="77777777" w:rsidR="00EB245A" w:rsidRDefault="006021EE">
            <w:pPr>
              <w:pStyle w:val="P68B1DB1-Normal012"/>
              <w:spacing w:after="0" w:line="240" w:lineRule="auto"/>
              <w:rPr>
                <w:rFonts w:eastAsia="Times New Roman" w:cs="Times New Roman"/>
                <w:noProof/>
                <w:color w:val="000000" w:themeColor="text1"/>
              </w:rPr>
            </w:pPr>
            <w:r>
              <w:rPr>
                <w:noProof/>
              </w:rPr>
              <w:t xml:space="preserve">Zahl der fertiggestellten Wohnungen (für Haushalte mit niedrigem und mittlerem Einkommen). </w:t>
            </w:r>
          </w:p>
          <w:p w14:paraId="5D1D9809" w14:textId="77777777" w:rsidR="00EB245A" w:rsidRDefault="006021EE">
            <w:pPr>
              <w:pStyle w:val="P68B1DB1-Normal012"/>
              <w:spacing w:after="0" w:line="240" w:lineRule="auto"/>
              <w:rPr>
                <w:rFonts w:eastAsia="Times New Roman" w:cs="Times New Roman"/>
                <w:noProof/>
                <w:color w:val="000000" w:themeColor="text1"/>
              </w:rPr>
            </w:pPr>
            <w:r>
              <w:rPr>
                <w:noProof/>
              </w:rPr>
              <w:t xml:space="preserve">Die Investitionen werden von lokalen Behörden und Sozialwohnungsinvestoren (hauptsächlich Wohnungsbaugesellschaften und </w:t>
            </w:r>
            <w:r>
              <w:rPr>
                <w:noProof/>
              </w:rPr>
              <w:t>Initiativen im Bereich des sozialen Wohnungsbaus) getätigt.</w:t>
            </w:r>
          </w:p>
          <w:p w14:paraId="535E7719" w14:textId="77777777" w:rsidR="00EB245A" w:rsidRDefault="00EB245A">
            <w:pPr>
              <w:pStyle w:val="Normal0"/>
              <w:spacing w:after="0" w:line="240" w:lineRule="auto"/>
              <w:rPr>
                <w:noProof/>
                <w:color w:val="000000" w:themeColor="text1"/>
                <w:sz w:val="18"/>
              </w:rPr>
            </w:pPr>
          </w:p>
          <w:p w14:paraId="6A0BD99D" w14:textId="77777777" w:rsidR="00EB245A" w:rsidRDefault="006021EE">
            <w:pPr>
              <w:pStyle w:val="P68B1DB1-Normal012"/>
              <w:spacing w:after="0" w:line="240" w:lineRule="auto"/>
              <w:rPr>
                <w:rFonts w:cs="Times New Roman"/>
                <w:noProof/>
                <w:color w:val="000000" w:themeColor="text1"/>
              </w:rPr>
            </w:pPr>
            <w:r>
              <w:rPr>
                <w:noProof/>
              </w:rPr>
              <w:t>Die begünstigten Einrichtungen werden im Wege transparenter und wettbewerblicher Aufforderungen ausgewählt, die allen lokalen Behörden und lokalen Wohnungsbauverbänden offen stehen. Die Kriterien</w:t>
            </w:r>
            <w:r>
              <w:rPr>
                <w:noProof/>
              </w:rPr>
              <w:t xml:space="preserve"> für die Auswahl der begünstigten Einrichtungen müssen insbesondere dem Bedarf Rechnung tragen, das Angebot an energieeffizientem Wohnraum für einkommensschwache und einkommensschwache Haushalte zu erhöhen.</w:t>
            </w:r>
          </w:p>
          <w:p w14:paraId="63A84C93" w14:textId="77777777" w:rsidR="00EB245A" w:rsidRDefault="00EB245A">
            <w:pPr>
              <w:pStyle w:val="Normal0"/>
              <w:spacing w:after="0" w:line="240" w:lineRule="auto"/>
              <w:rPr>
                <w:rFonts w:ascii="Times New Roman" w:eastAsia="Times New Roman" w:hAnsi="Times New Roman" w:cs="Times New Roman"/>
                <w:noProof/>
                <w:color w:val="000000" w:themeColor="text1"/>
                <w:sz w:val="18"/>
              </w:rPr>
            </w:pPr>
          </w:p>
          <w:p w14:paraId="5C248E9E" w14:textId="77777777" w:rsidR="00EB245A" w:rsidRDefault="006021EE">
            <w:pPr>
              <w:pStyle w:val="P68B1DB1-Normal012"/>
              <w:spacing w:after="0" w:line="240" w:lineRule="auto"/>
              <w:rPr>
                <w:rFonts w:eastAsia="Times New Roman" w:cs="Times New Roman"/>
                <w:noProof/>
                <w:color w:val="000000" w:themeColor="text1"/>
              </w:rPr>
            </w:pPr>
            <w:r>
              <w:rPr>
                <w:noProof/>
              </w:rPr>
              <w:t>Werden Neubaumaßnahmen in oder in der Nähe von b</w:t>
            </w:r>
            <w:r>
              <w:rPr>
                <w:noProof/>
              </w:rPr>
              <w:t>iodiversitätssensiblen Gebieten (einschließlich des Natura-2000-Netzes geschützter Gebiete, UNESCO-Welterbestätten und wichtiger Biodiversitätsgebiete sowie anderer Schutzgebiete) durchgeführt, so ist die Einhaltung von Artikel 6 Absatz 3 und Artikel 12 de</w:t>
            </w:r>
            <w:r>
              <w:rPr>
                <w:noProof/>
              </w:rPr>
              <w:t>r Habitat-Richtlinie und Artikel 5 der Vogelschutzrichtlinie erforderlich, und es werden Umweltverträglichkeitsprüfungen (UVP) oder ein Screening durchgeführt, wenn dies gemäß der UVP-Richtlinie erforderlich ist. Alle im Rahmen dieser Komponente finanziert</w:t>
            </w:r>
            <w:r>
              <w:rPr>
                <w:noProof/>
              </w:rPr>
              <w:t>en Investitionsprojekte, für die eine UVP-Entscheidung erforderlich ist, müssen der Richtlinie 2011/92/EU in der durch die Richtlinie 2014/52/EU geänderten Fassung entsprechen. Insbesondere müssen alle neuen Projekte, die einer UVP bedürfen, nach dem Geset</w:t>
            </w:r>
            <w:r>
              <w:rPr>
                <w:noProof/>
              </w:rPr>
              <w:t xml:space="preserve">z über die Bereitstellung von Informationen über die Umwelt und ihren Schutz, die Beteiligung der Öffentlichkeit am Umweltschutz und die Umweltverträglichkeitsprüfung in der durch das Gesetz vom 30. März zur Änderung dieses Gesetzes und bestimmter anderer </w:t>
            </w:r>
            <w:r>
              <w:rPr>
                <w:noProof/>
              </w:rPr>
              <w:t>Gesetze geänderten Fassung genehmigt werden. Die Bestimmungen der „Leitlinien für Abhilfemaßnahmen für Projekte, die aus EU-Fonds kofinanziert werden und von dem Vertragsverletzungsverfahren 2016/2046 betroffen sind“, die Polen am 23. Februar 2021 übermitt</w:t>
            </w:r>
            <w:r>
              <w:rPr>
                <w:noProof/>
              </w:rPr>
              <w:t>elt wurden (Az. Ares(2021)1423319), sind bei der Durchführung aller Investitionsvorhaben zu berücksichtigen, für die vor dem Inkrafttreten des Gesetzes vom 30. März 2021 eine Umweltentscheidung oder eine Bau- oder Entwicklungsgenehmigung beantragt oder ert</w:t>
            </w:r>
            <w:r>
              <w:rPr>
                <w:noProof/>
              </w:rPr>
              <w:t>eilt wurde.</w:t>
            </w:r>
          </w:p>
        </w:tc>
      </w:tr>
      <w:tr w:rsidR="00FF0416" w14:paraId="18FD87A2" w14:textId="77777777" w:rsidTr="00FF0416">
        <w:trPr>
          <w:trHeight w:val="313"/>
        </w:trPr>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EB45361" w14:textId="19D0C8A1" w:rsidR="00EB245A" w:rsidRDefault="006021EE">
            <w:pPr>
              <w:pStyle w:val="P68B1DB1-Normal011"/>
              <w:pBdr>
                <w:top w:val="nil"/>
                <w:left w:val="nil"/>
                <w:bottom w:val="nil"/>
                <w:right w:val="nil"/>
                <w:between w:val="nil"/>
              </w:pBdr>
              <w:spacing w:after="0" w:line="240" w:lineRule="auto"/>
              <w:jc w:val="center"/>
              <w:rPr>
                <w:rFonts w:cs="Times New Roman"/>
                <w:noProof/>
              </w:rPr>
            </w:pPr>
            <w:r>
              <w:rPr>
                <w:noProof/>
              </w:rPr>
              <w:t>B32L</w:t>
            </w:r>
          </w:p>
        </w:tc>
        <w:tc>
          <w:tcPr>
            <w:tcW w:w="1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6EF860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B3.6 Verbesserung der Bedingungen für die Entwicklung erneuerbarer Energiequellen</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DF5C56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Meilenstein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8A3A09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Inkrafttreten von Rechtsakten zur Änderung des Rechtsrahmens für Erneuerbare-Energie-Gemeinschaften und Biomethan: Änderungen des EE-Gesetzes,</w:t>
            </w:r>
            <w:r>
              <w:rPr>
                <w:noProof/>
              </w:rPr>
              <w:t xml:space="preserve"> Änderungen der Rechtsvorschriften über den Energiemarkt und Inkrafttreten einer Verordnung zum EE-Gesetz</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854B15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Bestimmungen in den Änderungsrechtsakten und in der Verordnung über ihr Inkrafttreten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423894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256579D" w14:textId="77777777" w:rsidR="00EB245A" w:rsidRDefault="006021EE">
            <w:pPr>
              <w:pStyle w:val="P68B1DB1-Normal012"/>
              <w:spacing w:after="0" w:line="240" w:lineRule="auto"/>
              <w:jc w:val="right"/>
              <w:rPr>
                <w:rFonts w:eastAsia="Times New Roman" w:cs="Times New Roman"/>
                <w:noProof/>
                <w:color w:val="000000" w:themeColor="text1"/>
              </w:rPr>
            </w:pPr>
            <w:r>
              <w:rPr>
                <w:noProof/>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6BEE4F"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0000" w:themeColor="text1"/>
              </w:rPr>
            </w:pPr>
            <w:r>
              <w:rPr>
                <w:noProof/>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8A24974"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0000" w:themeColor="text1"/>
              </w:rPr>
            </w:pPr>
            <w:r>
              <w:rPr>
                <w:noProof/>
              </w:rPr>
              <w:t>Q1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4E8D18B"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0000" w:themeColor="text1"/>
              </w:rPr>
            </w:pPr>
            <w:r>
              <w:rPr>
                <w:noProof/>
              </w:rPr>
              <w:t>2023</w:t>
            </w:r>
          </w:p>
        </w:tc>
        <w:tc>
          <w:tcPr>
            <w:tcW w:w="3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BB7246" w14:textId="77777777" w:rsidR="00EB245A" w:rsidRDefault="006021EE">
            <w:pPr>
              <w:pStyle w:val="P68B1DB1-Normal012"/>
              <w:spacing w:after="0" w:line="240" w:lineRule="auto"/>
              <w:rPr>
                <w:rFonts w:eastAsia="Times New Roman" w:cs="Times New Roman"/>
                <w:noProof/>
                <w:color w:val="000000" w:themeColor="text1"/>
              </w:rPr>
            </w:pPr>
            <w:r>
              <w:rPr>
                <w:noProof/>
              </w:rPr>
              <w:t>Annahme und Inkrafttreten von Änderungsrechtsakten</w:t>
            </w:r>
            <w:r>
              <w:rPr>
                <w:noProof/>
              </w:rPr>
              <w:t xml:space="preserve"> und -verordnungen, einschließlich:</w:t>
            </w:r>
          </w:p>
          <w:p w14:paraId="3374FC88" w14:textId="5F5E2BC2" w:rsidR="00EB245A" w:rsidRDefault="006021EE">
            <w:pPr>
              <w:pStyle w:val="P68B1DB1-Normal012"/>
              <w:spacing w:after="0" w:line="240" w:lineRule="auto"/>
              <w:rPr>
                <w:rFonts w:eastAsia="Times New Roman" w:cs="Times New Roman"/>
                <w:noProof/>
                <w:color w:val="000000" w:themeColor="text1"/>
              </w:rPr>
            </w:pPr>
            <w:r>
              <w:rPr>
                <w:noProof/>
              </w:rPr>
              <w:t>1. Mit den Änderungen des Gesetzes vom 20. Februar 2015 über erneuerbare Energiequellen (RES-Gesetz) werden die Betriebsgrundsätze für Energiecluster (bessere Bedingungen für die Gründung solcher Einrichtungen) umformuli</w:t>
            </w:r>
            <w:r>
              <w:rPr>
                <w:noProof/>
              </w:rPr>
              <w:t>ert, indem Folgendes festgelegt wird: Vorschriften, Begriffsbestimmungen oder Begriffe in Bezug auf: Umfang, Vereinbarungen, Gegenstand des Energieclusters, Register des Energieclusters oder Zusammenarbeit zwischen einzelnen Mitgliedern des Energieclusters</w:t>
            </w:r>
            <w:r>
              <w:rPr>
                <w:noProof/>
              </w:rPr>
              <w:t xml:space="preserve"> und Netzbetreibern. </w:t>
            </w:r>
          </w:p>
          <w:p w14:paraId="6DF8D408" w14:textId="0D6F4216" w:rsidR="00EB245A" w:rsidRDefault="006021EE">
            <w:pPr>
              <w:pStyle w:val="Normal0"/>
              <w:spacing w:after="0" w:line="240" w:lineRule="auto"/>
              <w:rPr>
                <w:rFonts w:ascii="Times New Roman" w:eastAsia="Times New Roman" w:hAnsi="Times New Roman" w:cs="Times New Roman"/>
                <w:noProof/>
                <w:color w:val="000000" w:themeColor="text1"/>
                <w:sz w:val="18"/>
              </w:rPr>
            </w:pPr>
            <w:r>
              <w:rPr>
                <w:rFonts w:ascii="Times New Roman" w:hAnsi="Times New Roman"/>
                <w:noProof/>
                <w:color w:val="000000" w:themeColor="text1"/>
                <w:sz w:val="18"/>
              </w:rPr>
              <w:t>2. Mit Änderungen des EE-Gesetzes werden kollektive Modelle von Energieprosumenten eingeführt.</w:t>
            </w:r>
            <w:r>
              <w:rPr>
                <w:noProof/>
              </w:rPr>
              <w:t xml:space="preserve"> </w:t>
            </w:r>
            <w:r>
              <w:rPr>
                <w:rFonts w:ascii="Times New Roman" w:hAnsi="Times New Roman"/>
                <w:noProof/>
                <w:sz w:val="18"/>
              </w:rPr>
              <w:t>Bestimmungen über kollektive Modelle von Energieprosumenten können zu einem späteren Zeitpunkt in Kraft treten.</w:t>
            </w:r>
            <w:r>
              <w:rPr>
                <w:noProof/>
              </w:rPr>
              <w:t xml:space="preserve"> </w:t>
            </w:r>
            <w:r>
              <w:rPr>
                <w:noProof/>
              </w:rPr>
              <w:br/>
              <w:t xml:space="preserve"> </w:t>
            </w:r>
            <w:r>
              <w:rPr>
                <w:noProof/>
              </w:rPr>
              <w:br/>
            </w:r>
            <w:r>
              <w:rPr>
                <w:rFonts w:ascii="Times New Roman" w:hAnsi="Times New Roman"/>
                <w:noProof/>
                <w:color w:val="000000" w:themeColor="text1"/>
                <w:sz w:val="18"/>
              </w:rPr>
              <w:t xml:space="preserve">3. Durch Änderungen von </w:t>
            </w:r>
            <w:r>
              <w:rPr>
                <w:rFonts w:ascii="Times New Roman" w:hAnsi="Times New Roman"/>
                <w:noProof/>
                <w:color w:val="000000" w:themeColor="text1"/>
                <w:sz w:val="18"/>
              </w:rPr>
              <w:t>Rechtsakten, die den Energiemarkt betreffen, werden Bestimmungen über neue Erneuerbare-Energie-Gemeinschaften umgesetzt, mit denen sichergestellt wird, dass Endkunden, insbesondere Haushaltskunden, das Recht haben, sich an einer Erneuerbare-Energie-Gemeins</w:t>
            </w:r>
            <w:r>
              <w:rPr>
                <w:rFonts w:ascii="Times New Roman" w:hAnsi="Times New Roman"/>
                <w:noProof/>
                <w:color w:val="000000" w:themeColor="text1"/>
                <w:sz w:val="18"/>
              </w:rPr>
              <w:t>chaft zu beteiligen.</w:t>
            </w:r>
          </w:p>
          <w:p w14:paraId="25BE84E8" w14:textId="5FA85510" w:rsidR="00EB245A" w:rsidRDefault="006021EE">
            <w:pPr>
              <w:pStyle w:val="Normal0"/>
              <w:spacing w:after="0" w:line="240" w:lineRule="auto"/>
              <w:rPr>
                <w:rFonts w:ascii="Times New Roman" w:eastAsia="Times New Roman" w:hAnsi="Times New Roman" w:cs="Times New Roman"/>
                <w:noProof/>
                <w:color w:val="000000" w:themeColor="text1"/>
                <w:sz w:val="18"/>
              </w:rPr>
            </w:pPr>
            <w:r>
              <w:rPr>
                <w:noProof/>
              </w:rPr>
              <w:t xml:space="preserve"> </w:t>
            </w:r>
            <w:r>
              <w:rPr>
                <w:noProof/>
              </w:rPr>
              <w:br/>
            </w:r>
            <w:r>
              <w:rPr>
                <w:rFonts w:ascii="Times New Roman" w:hAnsi="Times New Roman"/>
                <w:noProof/>
                <w:color w:val="000000" w:themeColor="text1"/>
                <w:sz w:val="18"/>
              </w:rPr>
              <w:t>4. Mit der Verordnung zum EE-Gesetz über die Grundsätze der Energiebilanzierung von Energiegenossenschaften werden Bestimmungen eingeführt, in denen die Grundsätze für den Betrieb eines Modells der Erneuerbare-Energien-Gemeinschaft f</w:t>
            </w:r>
            <w:r>
              <w:rPr>
                <w:rFonts w:ascii="Times New Roman" w:hAnsi="Times New Roman"/>
                <w:noProof/>
                <w:color w:val="000000" w:themeColor="text1"/>
                <w:sz w:val="18"/>
              </w:rPr>
              <w:t>estgelegt werden.</w:t>
            </w:r>
            <w:r>
              <w:rPr>
                <w:noProof/>
              </w:rPr>
              <w:t xml:space="preserve">  </w:t>
            </w:r>
            <w:r>
              <w:rPr>
                <w:noProof/>
              </w:rPr>
              <w:br/>
              <w:t xml:space="preserve">  </w:t>
            </w:r>
            <w:r>
              <w:rPr>
                <w:noProof/>
              </w:rPr>
              <w:br/>
            </w:r>
            <w:r>
              <w:rPr>
                <w:rFonts w:ascii="Times New Roman" w:hAnsi="Times New Roman"/>
                <w:noProof/>
                <w:color w:val="000000" w:themeColor="text1"/>
                <w:sz w:val="18"/>
              </w:rPr>
              <w:t>5. Änderungen des EE-Gesetzes, mit denen Regeln für den Betrieb eines Unternehmens für den Biomethansektor festgelegt werden.</w:t>
            </w:r>
          </w:p>
        </w:tc>
      </w:tr>
      <w:tr w:rsidR="00FF0416" w14:paraId="4966BC57" w14:textId="77777777" w:rsidTr="00FF0416">
        <w:trPr>
          <w:trHeight w:val="313"/>
        </w:trPr>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149130A" w14:textId="79AD7D03" w:rsidR="00EB245A" w:rsidRDefault="006021EE">
            <w:pPr>
              <w:pStyle w:val="P68B1DB1-Normal011"/>
              <w:pBdr>
                <w:top w:val="nil"/>
                <w:left w:val="nil"/>
                <w:bottom w:val="nil"/>
                <w:right w:val="nil"/>
                <w:between w:val="nil"/>
              </w:pBdr>
              <w:spacing w:after="0" w:line="240" w:lineRule="auto"/>
              <w:jc w:val="center"/>
              <w:rPr>
                <w:rFonts w:cs="Times New Roman"/>
                <w:noProof/>
              </w:rPr>
            </w:pPr>
            <w:r>
              <w:rPr>
                <w:noProof/>
              </w:rPr>
              <w:t>B33L</w:t>
            </w:r>
          </w:p>
        </w:tc>
        <w:tc>
          <w:tcPr>
            <w:tcW w:w="1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B6C418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B3.6 Verbesserung der Bedingungen für die Entwicklung erneuerbarer Energiequellen</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1A71D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Meilenstein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88D4B59"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Inkrafttreten eines Gesetzes zur Änderung des Gesetzes über Investitionen in Onshore-Windparks</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9068CE"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Bestimmung des Gesetzes zur Änderung des Gesetzes über Investitionen in Onshore-Windparks über dessen Inkrafttreten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117EA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434A203" w14:textId="77777777" w:rsidR="00EB245A" w:rsidRDefault="006021EE">
            <w:pPr>
              <w:pStyle w:val="P68B1DB1-Normal012"/>
              <w:spacing w:after="0" w:line="240" w:lineRule="auto"/>
              <w:jc w:val="right"/>
              <w:rPr>
                <w:rFonts w:eastAsia="Times New Roman" w:cs="Times New Roman"/>
                <w:noProof/>
                <w:color w:val="000000" w:themeColor="text1"/>
              </w:rPr>
            </w:pPr>
            <w:r>
              <w:rPr>
                <w:noProof/>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23822BC"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0000" w:themeColor="text1"/>
              </w:rPr>
            </w:pPr>
            <w:r>
              <w:rPr>
                <w:noProof/>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E995161"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0000" w:themeColor="text1"/>
              </w:rPr>
            </w:pPr>
            <w:r>
              <w:rPr>
                <w:noProof/>
              </w:rPr>
              <w:t>Q2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D3A9DE"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0000" w:themeColor="text1"/>
              </w:rPr>
            </w:pPr>
            <w:r>
              <w:rPr>
                <w:noProof/>
              </w:rPr>
              <w:t>2022</w:t>
            </w:r>
          </w:p>
        </w:tc>
        <w:tc>
          <w:tcPr>
            <w:tcW w:w="3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52862E6" w14:textId="77777777" w:rsidR="00EB245A" w:rsidRDefault="006021EE">
            <w:pPr>
              <w:pStyle w:val="Normal0"/>
              <w:spacing w:after="0" w:line="240" w:lineRule="auto"/>
              <w:rPr>
                <w:rFonts w:ascii="Times New Roman" w:eastAsia="Times New Roman" w:hAnsi="Times New Roman" w:cs="Times New Roman"/>
                <w:noProof/>
                <w:color w:val="000000" w:themeColor="text1"/>
                <w:sz w:val="18"/>
              </w:rPr>
            </w:pPr>
            <w:r>
              <w:rPr>
                <w:rFonts w:ascii="Times New Roman" w:hAnsi="Times New Roman"/>
                <w:noProof/>
                <w:color w:val="000000" w:themeColor="text1"/>
                <w:sz w:val="18"/>
              </w:rPr>
              <w:t xml:space="preserve">Inkrafttreten eines </w:t>
            </w:r>
            <w:r>
              <w:rPr>
                <w:rFonts w:ascii="Times New Roman" w:hAnsi="Times New Roman"/>
                <w:noProof/>
                <w:color w:val="000000" w:themeColor="text1"/>
                <w:sz w:val="18"/>
              </w:rPr>
              <w:t>Änderungsrechtsakts, mit dem formelle Hindernisse für Investitionen in die Onshore-Infrastruktur beseitigt werden sollen. Mit der Änderung soll die Abstandsregelung (Mindestabstand von Windmühlen zu Wohngebäuden – 10-mal Windmühlehöhe, 10H) flexibler gesta</w:t>
            </w:r>
            <w:r>
              <w:rPr>
                <w:rFonts w:ascii="Times New Roman" w:hAnsi="Times New Roman"/>
                <w:noProof/>
                <w:color w:val="000000" w:themeColor="text1"/>
                <w:sz w:val="18"/>
              </w:rPr>
              <w:t>ltet werden, indem die Befugnis zur Festlegung von Mindestentfernungen für Gemeinden im Rahmen des Raum-/Zonenverfahrens und für die regionalen Umweltschutzämter im Rahmen des Verfahrens zur Entscheidung über Umweltbedingungen erweitert wird.</w:t>
            </w:r>
            <w:r>
              <w:rPr>
                <w:noProof/>
              </w:rPr>
              <w:t xml:space="preserve">  </w:t>
            </w:r>
            <w:r>
              <w:rPr>
                <w:noProof/>
              </w:rPr>
              <w:br/>
            </w:r>
            <w:r>
              <w:rPr>
                <w:rFonts w:ascii="Times New Roman" w:hAnsi="Times New Roman"/>
                <w:noProof/>
                <w:color w:val="000000" w:themeColor="text1"/>
                <w:sz w:val="18"/>
              </w:rPr>
              <w:t>Die allgeme</w:t>
            </w:r>
            <w:r>
              <w:rPr>
                <w:rFonts w:ascii="Times New Roman" w:hAnsi="Times New Roman"/>
                <w:noProof/>
                <w:color w:val="000000" w:themeColor="text1"/>
                <w:sz w:val="18"/>
              </w:rPr>
              <w:t>ine 10H-Entfernungsregel wird beibehalten, die Möglichkeit von Abweichungen von dieser Regel ist jedoch vorzusehen und den einzelnen Gemeinden im Rahmen des lokalen Planungsverfahrens (Zonen-/Georaumverfahren) mehr Befugnisse zur Bestimmung der Lage von Wi</w:t>
            </w:r>
            <w:r>
              <w:rPr>
                <w:rFonts w:ascii="Times New Roman" w:hAnsi="Times New Roman"/>
                <w:noProof/>
                <w:color w:val="000000" w:themeColor="text1"/>
                <w:sz w:val="18"/>
              </w:rPr>
              <w:t>ndparks einzuräumen. Der lokale Plan muss in der Lage sein, eine kürzere Entfernung des Windparks vom Wohngebäude festzulegen, wobei die Bandbreite der Auswirkungen der Windparks auf der Grundlage der im Rahmen eines solchen Plans prognostizierten Umweltau</w:t>
            </w:r>
            <w:r>
              <w:rPr>
                <w:rFonts w:ascii="Times New Roman" w:hAnsi="Times New Roman"/>
                <w:noProof/>
                <w:color w:val="000000" w:themeColor="text1"/>
                <w:sz w:val="18"/>
              </w:rPr>
              <w:t xml:space="preserve">swirkungen zu berücksichtigen ist. </w:t>
            </w:r>
          </w:p>
        </w:tc>
      </w:tr>
      <w:tr w:rsidR="00FF0416" w14:paraId="595EF8CE" w14:textId="77777777" w:rsidTr="00FF0416">
        <w:trPr>
          <w:trHeight w:val="313"/>
        </w:trPr>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5542495" w14:textId="0FA1C298" w:rsidR="00EB245A" w:rsidRDefault="006021EE">
            <w:pPr>
              <w:pStyle w:val="P68B1DB1-Normal011"/>
              <w:pBdr>
                <w:top w:val="nil"/>
                <w:left w:val="nil"/>
                <w:bottom w:val="nil"/>
                <w:right w:val="nil"/>
                <w:between w:val="nil"/>
              </w:pBdr>
              <w:spacing w:after="0" w:line="240" w:lineRule="auto"/>
              <w:jc w:val="center"/>
              <w:rPr>
                <w:rFonts w:cs="Times New Roman"/>
                <w:noProof/>
              </w:rPr>
            </w:pPr>
            <w:r>
              <w:rPr>
                <w:noProof/>
              </w:rPr>
              <w:t>B34L</w:t>
            </w:r>
          </w:p>
        </w:tc>
        <w:tc>
          <w:tcPr>
            <w:tcW w:w="1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80C2CD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B3.6 Verbesserung der Bedingungen für die Entwicklung erneuerbarer Energiequellen</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620FD3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Meilenstein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A9FCB6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Inkrafttreten einer Verordnung zur Festlegung eines Plans für Auktionen für erneuerbare Energien für die Jahre 2022 </w:t>
            </w:r>
            <w:r>
              <w:rPr>
                <w:noProof/>
              </w:rPr>
              <w:t>bis 2027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4BEC4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Bestimmung in der Verordnung über ihr Inkrafttreten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EB3B41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11740E" w14:textId="77777777" w:rsidR="00EB245A" w:rsidRDefault="006021EE">
            <w:pPr>
              <w:pStyle w:val="P68B1DB1-Normal012"/>
              <w:spacing w:after="0" w:line="240" w:lineRule="auto"/>
              <w:jc w:val="right"/>
              <w:rPr>
                <w:rFonts w:eastAsia="Times New Roman" w:cs="Times New Roman"/>
                <w:noProof/>
                <w:color w:val="000000" w:themeColor="text1"/>
              </w:rPr>
            </w:pPr>
            <w:r>
              <w:rPr>
                <w:noProof/>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B9E2DC7"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0000" w:themeColor="text1"/>
              </w:rPr>
            </w:pPr>
            <w:r>
              <w:rPr>
                <w:noProof/>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4F0C53"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0000" w:themeColor="text1"/>
              </w:rPr>
            </w:pPr>
            <w:r>
              <w:rPr>
                <w:noProof/>
              </w:rPr>
              <w:t>Q3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998AE9B"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0000" w:themeColor="text1"/>
              </w:rPr>
            </w:pPr>
            <w:r>
              <w:rPr>
                <w:noProof/>
              </w:rPr>
              <w:t>2022</w:t>
            </w:r>
          </w:p>
        </w:tc>
        <w:tc>
          <w:tcPr>
            <w:tcW w:w="3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16F6412" w14:textId="77777777" w:rsidR="00EB245A" w:rsidRDefault="006021EE">
            <w:pPr>
              <w:pStyle w:val="P68B1DB1-Normal012"/>
              <w:spacing w:after="0" w:line="240" w:lineRule="auto"/>
              <w:rPr>
                <w:rFonts w:eastAsia="Times New Roman" w:cs="Times New Roman"/>
                <w:noProof/>
                <w:color w:val="000000" w:themeColor="text1"/>
              </w:rPr>
            </w:pPr>
            <w:r>
              <w:rPr>
                <w:noProof/>
              </w:rPr>
              <w:t xml:space="preserve">Inkrafttreten einer Verordnung zur Festlegung eines Plans für Auktionen für erneuerbare Energien je Technologie (auch für neue Onshore-Windparks). In dem Plan werden ein Budget und </w:t>
            </w:r>
            <w:r>
              <w:rPr>
                <w:noProof/>
              </w:rPr>
              <w:t>eine Strommenge festgelegt, die im Rahmen wettbewerblicher Auktionen für den Zeitraum 2022-2027 zur Verfügung stehen.</w:t>
            </w:r>
          </w:p>
        </w:tc>
      </w:tr>
      <w:tr w:rsidR="00FF0416" w14:paraId="07D93CFF" w14:textId="77777777" w:rsidTr="00FF0416">
        <w:trPr>
          <w:trHeight w:val="313"/>
        </w:trPr>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7BD0D4" w14:textId="4BB30747" w:rsidR="00EB245A" w:rsidRDefault="006021EE">
            <w:pPr>
              <w:pStyle w:val="P68B1DB1-Normal011"/>
              <w:pBdr>
                <w:top w:val="nil"/>
                <w:left w:val="nil"/>
                <w:bottom w:val="nil"/>
                <w:right w:val="nil"/>
                <w:between w:val="nil"/>
              </w:pBdr>
              <w:spacing w:after="0" w:line="240" w:lineRule="auto"/>
              <w:jc w:val="center"/>
              <w:rPr>
                <w:rFonts w:cs="Times New Roman"/>
                <w:noProof/>
              </w:rPr>
            </w:pPr>
            <w:r>
              <w:rPr>
                <w:noProof/>
              </w:rPr>
              <w:t>B35L</w:t>
            </w:r>
          </w:p>
        </w:tc>
        <w:tc>
          <w:tcPr>
            <w:tcW w:w="1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8070E4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B3.6 Verbesserung der Bedingungen für die Entwicklung erneuerbarer Energiequellen</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1BAF17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Ziel</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BCF176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T1 – Installierte Kapazität von </w:t>
            </w:r>
            <w:r>
              <w:rPr>
                <w:noProof/>
              </w:rPr>
              <w:t>Onshore-Windkraft- und Photovoltaikanlagen (in GW)</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2C0F5AD"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9DB6F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Anzahl</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817973" w14:textId="77777777" w:rsidR="00EB245A" w:rsidRDefault="006021EE">
            <w:pPr>
              <w:pStyle w:val="P68B1DB1-Normal012"/>
              <w:spacing w:after="0" w:line="240" w:lineRule="auto"/>
              <w:jc w:val="right"/>
              <w:rPr>
                <w:rFonts w:eastAsia="Times New Roman" w:cs="Times New Roman"/>
                <w:noProof/>
                <w:color w:val="000000" w:themeColor="text1"/>
              </w:rPr>
            </w:pPr>
            <w:r>
              <w:rPr>
                <w:noProof/>
              </w:rPr>
              <w:t>11,2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1D0872"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0000" w:themeColor="text1"/>
              </w:rPr>
            </w:pPr>
            <w:r>
              <w:rPr>
                <w:noProof/>
              </w:rPr>
              <w:t>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D9C4D1"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0000" w:themeColor="text1"/>
              </w:rPr>
            </w:pPr>
            <w:r>
              <w:rPr>
                <w:noProof/>
              </w:rPr>
              <w:t>Q2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3608A1A"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0000" w:themeColor="text1"/>
              </w:rPr>
            </w:pPr>
            <w:r>
              <w:rPr>
                <w:noProof/>
              </w:rPr>
              <w:t>2022</w:t>
            </w:r>
          </w:p>
        </w:tc>
        <w:tc>
          <w:tcPr>
            <w:tcW w:w="3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9ECACF" w14:textId="77777777" w:rsidR="00EB245A" w:rsidRDefault="006021EE">
            <w:pPr>
              <w:pStyle w:val="P68B1DB1-Normal012"/>
              <w:spacing w:after="0" w:line="240" w:lineRule="auto"/>
              <w:rPr>
                <w:rFonts w:eastAsia="Times New Roman" w:cs="Times New Roman"/>
                <w:noProof/>
                <w:color w:val="000000" w:themeColor="text1"/>
              </w:rPr>
            </w:pPr>
            <w:r>
              <w:rPr>
                <w:noProof/>
              </w:rPr>
              <w:t>Installierte Gesamtkapazität (in GW) von Onshore-Windkraft- und Photovoltaikanlagen.</w:t>
            </w:r>
          </w:p>
          <w:p w14:paraId="7BD725FC" w14:textId="77777777" w:rsidR="00EB245A" w:rsidRDefault="00EB245A">
            <w:pPr>
              <w:pStyle w:val="Normal0"/>
              <w:spacing w:after="0" w:line="240" w:lineRule="auto"/>
              <w:rPr>
                <w:rFonts w:ascii="Times New Roman" w:eastAsia="Times New Roman" w:hAnsi="Times New Roman" w:cs="Times New Roman"/>
                <w:noProof/>
                <w:color w:val="000000" w:themeColor="text1"/>
                <w:sz w:val="18"/>
              </w:rPr>
            </w:pPr>
          </w:p>
        </w:tc>
      </w:tr>
      <w:tr w:rsidR="00FF0416" w14:paraId="1C9D9F43" w14:textId="77777777" w:rsidTr="00FF0416">
        <w:trPr>
          <w:trHeight w:val="313"/>
        </w:trPr>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405AD46" w14:textId="2E2B0244" w:rsidR="00EB245A" w:rsidRDefault="006021EE">
            <w:pPr>
              <w:pStyle w:val="P68B1DB1-Normal011"/>
              <w:pBdr>
                <w:top w:val="nil"/>
                <w:left w:val="nil"/>
                <w:bottom w:val="nil"/>
                <w:right w:val="nil"/>
                <w:between w:val="nil"/>
              </w:pBdr>
              <w:spacing w:after="0" w:line="240" w:lineRule="auto"/>
              <w:jc w:val="center"/>
              <w:rPr>
                <w:rFonts w:cs="Times New Roman"/>
                <w:noProof/>
              </w:rPr>
            </w:pPr>
            <w:r>
              <w:rPr>
                <w:noProof/>
              </w:rPr>
              <w:t>B36L</w:t>
            </w:r>
          </w:p>
        </w:tc>
        <w:tc>
          <w:tcPr>
            <w:tcW w:w="1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8D5177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B3.6 Verbesserung der Bedingungen für die Entwicklung erneuerbarer Energiequellen</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1F2238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Ziel</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4A7A3E"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T2</w:t>
            </w:r>
            <w:r>
              <w:rPr>
                <w:noProof/>
              </w:rPr>
              <w:t xml:space="preserve"> – Installierte Kapazität von Onshore-Windkraft- und Photovoltaikanlagen (in GW)</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14061D5"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DF619E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Anzahl</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4C4726" w14:textId="77777777" w:rsidR="00EB245A" w:rsidRDefault="006021EE">
            <w:pPr>
              <w:pStyle w:val="P68B1DB1-Normal012"/>
              <w:spacing w:after="0" w:line="240" w:lineRule="auto"/>
              <w:jc w:val="right"/>
              <w:rPr>
                <w:rFonts w:eastAsia="Times New Roman" w:cs="Times New Roman"/>
                <w:noProof/>
                <w:color w:val="000000" w:themeColor="text1"/>
              </w:rPr>
            </w:pPr>
            <w:r>
              <w:rPr>
                <w:noProof/>
              </w:rPr>
              <w:t>18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A525871"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0000" w:themeColor="text1"/>
              </w:rPr>
            </w:pPr>
            <w:r>
              <w:rPr>
                <w:noProof/>
              </w:rPr>
              <w:t>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417C683"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0000" w:themeColor="text1"/>
              </w:rPr>
            </w:pPr>
            <w:r>
              <w:rPr>
                <w:noProof/>
              </w:rPr>
              <w:t>Q3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F2752CE"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0000" w:themeColor="text1"/>
              </w:rPr>
            </w:pPr>
            <w:r>
              <w:rPr>
                <w:noProof/>
              </w:rPr>
              <w:t>2022</w:t>
            </w:r>
          </w:p>
        </w:tc>
        <w:tc>
          <w:tcPr>
            <w:tcW w:w="3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A059B0" w14:textId="77777777" w:rsidR="00EB245A" w:rsidRDefault="006021EE">
            <w:pPr>
              <w:pStyle w:val="P68B1DB1-Normal012"/>
              <w:spacing w:after="0" w:line="240" w:lineRule="auto"/>
              <w:rPr>
                <w:rFonts w:eastAsia="Times New Roman" w:cs="Times New Roman"/>
                <w:noProof/>
                <w:color w:val="000000" w:themeColor="text1"/>
              </w:rPr>
            </w:pPr>
            <w:r>
              <w:rPr>
                <w:noProof/>
              </w:rPr>
              <w:t>Installierte Gesamtkapazität (in GW) von Onshore-Windkraft- und Photovoltaikanlagen.</w:t>
            </w:r>
          </w:p>
        </w:tc>
      </w:tr>
      <w:tr w:rsidR="00FF0416" w14:paraId="058710FF" w14:textId="77777777" w:rsidTr="00FF0416">
        <w:trPr>
          <w:trHeight w:val="313"/>
        </w:trPr>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F39D83" w14:textId="4302AB84" w:rsidR="00EB245A" w:rsidRDefault="006021EE">
            <w:pPr>
              <w:pStyle w:val="P68B1DB1-Normal011"/>
              <w:pBdr>
                <w:top w:val="nil"/>
                <w:left w:val="nil"/>
                <w:bottom w:val="nil"/>
                <w:right w:val="nil"/>
                <w:between w:val="nil"/>
              </w:pBdr>
              <w:spacing w:after="0" w:line="240" w:lineRule="auto"/>
              <w:jc w:val="center"/>
              <w:rPr>
                <w:rFonts w:cs="Times New Roman"/>
                <w:noProof/>
              </w:rPr>
            </w:pPr>
            <w:r>
              <w:rPr>
                <w:noProof/>
              </w:rPr>
              <w:t>B37L</w:t>
            </w:r>
          </w:p>
        </w:tc>
        <w:tc>
          <w:tcPr>
            <w:tcW w:w="1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DEE9211"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B3.6 Verbesserung der Bedingungen für die Entwicklung </w:t>
            </w:r>
            <w:r>
              <w:rPr>
                <w:noProof/>
              </w:rPr>
              <w:t>erneuerbarer Energiequellen</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666A1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Ziel</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801055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T3 – Installierte Kapazität von Onshore-Windkraft- und Photovoltaikanlagen (in GW)</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A36C6A7"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26FCBD0"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Anzahl</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5EAA78F" w14:textId="77777777" w:rsidR="00EB245A" w:rsidRDefault="006021EE">
            <w:pPr>
              <w:pStyle w:val="P68B1DB1-Normal012"/>
              <w:spacing w:after="0" w:line="240" w:lineRule="auto"/>
              <w:jc w:val="right"/>
              <w:rPr>
                <w:rFonts w:eastAsia="Times New Roman" w:cs="Times New Roman"/>
                <w:noProof/>
                <w:color w:val="000000" w:themeColor="text1"/>
              </w:rPr>
            </w:pPr>
            <w:r>
              <w:rPr>
                <w:noProof/>
              </w:rPr>
              <w:t>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2AC6E1"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0000" w:themeColor="text1"/>
              </w:rPr>
            </w:pPr>
            <w:r>
              <w:rPr>
                <w:noProof/>
              </w:rPr>
              <w:t>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21CA3D9" w14:textId="587AC55D"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0000" w:themeColor="text1"/>
              </w:rPr>
            </w:pPr>
            <w:r>
              <w:rPr>
                <w:noProof/>
              </w:rPr>
              <w:t>Q1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C663D7" w14:textId="78F2558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0000" w:themeColor="text1"/>
              </w:rPr>
            </w:pPr>
            <w:r>
              <w:rPr>
                <w:noProof/>
              </w:rPr>
              <w:t>2023</w:t>
            </w:r>
          </w:p>
        </w:tc>
        <w:tc>
          <w:tcPr>
            <w:tcW w:w="3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8F12F29" w14:textId="77777777" w:rsidR="00EB245A" w:rsidRDefault="006021EE">
            <w:pPr>
              <w:pStyle w:val="P68B1DB1-Normal012"/>
              <w:spacing w:after="0" w:line="240" w:lineRule="auto"/>
              <w:rPr>
                <w:rFonts w:eastAsia="Times New Roman" w:cs="Times New Roman"/>
                <w:noProof/>
                <w:color w:val="000000" w:themeColor="text1"/>
              </w:rPr>
            </w:pPr>
            <w:r>
              <w:rPr>
                <w:noProof/>
              </w:rPr>
              <w:t>Installierte Gesamtkapazität (in GW) von Onshore-Windkraft- und Photovoltaikanlagen.</w:t>
            </w:r>
          </w:p>
          <w:p w14:paraId="47AAFBB4" w14:textId="77777777" w:rsidR="00EB245A" w:rsidRDefault="00EB245A">
            <w:pPr>
              <w:pStyle w:val="Normal0"/>
              <w:spacing w:after="0" w:line="240" w:lineRule="auto"/>
              <w:rPr>
                <w:rFonts w:ascii="Times New Roman" w:eastAsia="Times New Roman" w:hAnsi="Times New Roman" w:cs="Times New Roman"/>
                <w:noProof/>
                <w:color w:val="000000" w:themeColor="text1"/>
                <w:sz w:val="18"/>
              </w:rPr>
            </w:pPr>
          </w:p>
        </w:tc>
      </w:tr>
      <w:tr w:rsidR="00FF0416" w14:paraId="1228EF0D" w14:textId="77777777" w:rsidTr="00FF0416">
        <w:trPr>
          <w:trHeight w:val="313"/>
        </w:trPr>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9A3A9A1" w14:textId="03C80698" w:rsidR="00EB245A" w:rsidRDefault="006021EE">
            <w:pPr>
              <w:pStyle w:val="P68B1DB1-Normal011"/>
              <w:pBdr>
                <w:top w:val="nil"/>
                <w:left w:val="nil"/>
                <w:bottom w:val="nil"/>
                <w:right w:val="nil"/>
                <w:between w:val="nil"/>
              </w:pBdr>
              <w:spacing w:after="0" w:line="240" w:lineRule="auto"/>
              <w:jc w:val="center"/>
              <w:rPr>
                <w:rFonts w:cs="Times New Roman"/>
                <w:noProof/>
              </w:rPr>
            </w:pPr>
            <w:r>
              <w:rPr>
                <w:noProof/>
              </w:rPr>
              <w:t>B38L</w:t>
            </w:r>
          </w:p>
        </w:tc>
        <w:tc>
          <w:tcPr>
            <w:tcW w:w="1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6AF58A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B3.6 Verbesserung der </w:t>
            </w:r>
            <w:r>
              <w:rPr>
                <w:noProof/>
              </w:rPr>
              <w:t>Bedingungen für die Entwicklung erneuerbarer Energiequellen</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E916B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Ziel</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C18998E"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T4 – Installierte Kapazität von Onshore-Windkraft- und Photovoltaikanlagen (in GW)</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6C7D632"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710E8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Anzahl</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4682F8" w14:textId="77777777" w:rsidR="00EB245A" w:rsidRDefault="006021EE">
            <w:pPr>
              <w:pStyle w:val="P68B1DB1-Normal012"/>
              <w:spacing w:after="0" w:line="240" w:lineRule="auto"/>
              <w:jc w:val="right"/>
              <w:rPr>
                <w:rFonts w:eastAsia="Times New Roman" w:cs="Times New Roman"/>
                <w:noProof/>
                <w:color w:val="000000" w:themeColor="text1"/>
              </w:rPr>
            </w:pPr>
            <w:r>
              <w:rPr>
                <w:noProof/>
              </w:rPr>
              <w:t>23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B1B3397"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0000" w:themeColor="text1"/>
              </w:rPr>
            </w:pPr>
            <w:r>
              <w:rPr>
                <w:noProof/>
              </w:rPr>
              <w:t>23,5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D971D59" w14:textId="2BB1B416"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0000" w:themeColor="text1"/>
              </w:rPr>
            </w:pPr>
            <w:r>
              <w:rPr>
                <w:noProof/>
              </w:rPr>
              <w:t>Q3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94D8B9D"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0000" w:themeColor="text1"/>
              </w:rPr>
            </w:pPr>
            <w:r>
              <w:rPr>
                <w:noProof/>
              </w:rPr>
              <w:t>2023</w:t>
            </w:r>
          </w:p>
        </w:tc>
        <w:tc>
          <w:tcPr>
            <w:tcW w:w="3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EF1ED4A" w14:textId="77777777" w:rsidR="00EB245A" w:rsidRDefault="006021EE">
            <w:pPr>
              <w:pStyle w:val="P68B1DB1-Normal012"/>
              <w:spacing w:after="0" w:line="240" w:lineRule="auto"/>
              <w:rPr>
                <w:rFonts w:eastAsia="Times New Roman" w:cs="Times New Roman"/>
                <w:noProof/>
                <w:color w:val="000000" w:themeColor="text1"/>
              </w:rPr>
            </w:pPr>
            <w:r>
              <w:rPr>
                <w:noProof/>
              </w:rPr>
              <w:t>Installierte Gesamtkapazität (in GW) von Onshore-Windkraft- und Photovoltaikanlagen.</w:t>
            </w:r>
          </w:p>
        </w:tc>
      </w:tr>
      <w:tr w:rsidR="00FF0416" w14:paraId="79DA9394" w14:textId="77777777" w:rsidTr="00FF0416">
        <w:trPr>
          <w:trHeight w:val="313"/>
        </w:trPr>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7677DEB" w14:textId="5B5672AD" w:rsidR="00EB245A" w:rsidRDefault="006021EE">
            <w:pPr>
              <w:pStyle w:val="P68B1DB1-Normal011"/>
              <w:pBdr>
                <w:top w:val="nil"/>
                <w:left w:val="nil"/>
                <w:bottom w:val="nil"/>
                <w:right w:val="nil"/>
                <w:between w:val="nil"/>
              </w:pBdr>
              <w:spacing w:after="0" w:line="240" w:lineRule="auto"/>
              <w:jc w:val="center"/>
              <w:rPr>
                <w:rFonts w:cs="Times New Roman"/>
                <w:noProof/>
              </w:rPr>
            </w:pPr>
            <w:r>
              <w:rPr>
                <w:noProof/>
              </w:rPr>
              <w:t>B39L</w:t>
            </w:r>
          </w:p>
        </w:tc>
        <w:tc>
          <w:tcPr>
            <w:tcW w:w="1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856830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B3.6 Verbesserung der Bedingungen für die Entwicklung erneuerbarer Energiequellen</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9EE6C0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Meilenstein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B32E5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Inkrafttreten der Durchführungsverordnung im Anschluss an das Gesetz vom 17. Dezember 2020 zur Förderung der Stromerzeugung in Offshore-Windparks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706C695"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Bestimmung in der Verordnung über ihr Inkrafttreten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FD145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0197F6" w14:textId="77777777" w:rsidR="00EB245A" w:rsidRDefault="006021EE">
            <w:pPr>
              <w:pStyle w:val="P68B1DB1-Normal012"/>
              <w:spacing w:after="0" w:line="240" w:lineRule="auto"/>
              <w:jc w:val="right"/>
              <w:rPr>
                <w:rFonts w:eastAsia="Times New Roman" w:cs="Times New Roman"/>
                <w:noProof/>
                <w:color w:val="000000" w:themeColor="text1"/>
              </w:rPr>
            </w:pPr>
            <w:r>
              <w:rPr>
                <w:noProof/>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12F69BE"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0000" w:themeColor="text1"/>
              </w:rPr>
            </w:pPr>
            <w:r>
              <w:rPr>
                <w:noProof/>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F892C2"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0000" w:themeColor="text1"/>
              </w:rPr>
            </w:pPr>
            <w:r>
              <w:rPr>
                <w:noProof/>
              </w:rPr>
              <w:t>Q2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5231C87"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0000" w:themeColor="text1"/>
              </w:rPr>
            </w:pPr>
            <w:r>
              <w:rPr>
                <w:noProof/>
              </w:rPr>
              <w:t>2022</w:t>
            </w:r>
          </w:p>
        </w:tc>
        <w:tc>
          <w:tcPr>
            <w:tcW w:w="3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0A5137" w14:textId="77777777" w:rsidR="00EB245A" w:rsidRDefault="006021EE">
            <w:pPr>
              <w:pStyle w:val="Normal0"/>
              <w:spacing w:after="0" w:line="240" w:lineRule="auto"/>
              <w:rPr>
                <w:rFonts w:ascii="Times New Roman" w:eastAsia="Times New Roman" w:hAnsi="Times New Roman" w:cs="Times New Roman"/>
                <w:noProof/>
                <w:color w:val="000000" w:themeColor="text1"/>
                <w:sz w:val="18"/>
              </w:rPr>
            </w:pPr>
            <w:r>
              <w:rPr>
                <w:rFonts w:ascii="Times New Roman" w:hAnsi="Times New Roman"/>
                <w:noProof/>
                <w:color w:val="000000" w:themeColor="text1"/>
                <w:sz w:val="18"/>
              </w:rPr>
              <w:t xml:space="preserve">Die folgende Durchführungsverordnung tritt in Kraft:   </w:t>
            </w:r>
            <w:r>
              <w:rPr>
                <w:noProof/>
              </w:rPr>
              <w:t xml:space="preserve">  </w:t>
            </w:r>
            <w:r>
              <w:rPr>
                <w:noProof/>
              </w:rPr>
              <w:br/>
            </w:r>
            <w:r>
              <w:rPr>
                <w:rFonts w:ascii="Times New Roman" w:hAnsi="Times New Roman"/>
                <w:noProof/>
                <w:color w:val="000000" w:themeColor="text1"/>
                <w:sz w:val="18"/>
              </w:rPr>
              <w:t xml:space="preserve">Verordnung des Ministerrates über die Konzessionsgebühr – Gemäß Artikel 34 Absatz 2a des Energiegesetzes erstreckte sich die </w:t>
            </w:r>
            <w:r>
              <w:rPr>
                <w:rFonts w:ascii="Times New Roman" w:hAnsi="Times New Roman"/>
                <w:noProof/>
                <w:color w:val="000000" w:themeColor="text1"/>
                <w:sz w:val="18"/>
              </w:rPr>
              <w:t>Verpflichtung zur Zahlung der Konzessionsgebühr an den Präsidenten der Energieregulierungsbehörde auch auf Energieunternehmen, die wirtschaftliche Tätigkeiten im Bereich der Stromerzeugung in Offshore-Windparks ausüben, auf die im Gesetz vom 17. Dezember 2</w:t>
            </w:r>
            <w:r>
              <w:rPr>
                <w:rFonts w:ascii="Times New Roman" w:hAnsi="Times New Roman"/>
                <w:noProof/>
                <w:color w:val="000000" w:themeColor="text1"/>
                <w:sz w:val="18"/>
              </w:rPr>
              <w:t>020 über die Förderung der Stromerzeugung in Offshore-Windparks Bezug genommen wird. Darüber hinaus ist im Zusammenhang mit der Änderung des Energiegesetzes vom 15. April 2021 eine Tätigkeit, die ebenfalls unter die Konzessionsgebühr fallen soll, die Speic</w:t>
            </w:r>
            <w:r>
              <w:rPr>
                <w:rFonts w:ascii="Times New Roman" w:hAnsi="Times New Roman"/>
                <w:noProof/>
                <w:color w:val="000000" w:themeColor="text1"/>
                <w:sz w:val="18"/>
              </w:rPr>
              <w:t>herung von Strom.</w:t>
            </w:r>
          </w:p>
        </w:tc>
      </w:tr>
      <w:tr w:rsidR="00FF0416" w14:paraId="23C91131" w14:textId="77777777" w:rsidTr="00FF0416">
        <w:trPr>
          <w:trHeight w:val="313"/>
        </w:trPr>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15C847C" w14:textId="1E7A4A04" w:rsidR="00EB245A" w:rsidRDefault="006021EE">
            <w:pPr>
              <w:pStyle w:val="P68B1DB1-Normal011"/>
              <w:pBdr>
                <w:top w:val="nil"/>
                <w:left w:val="nil"/>
                <w:bottom w:val="nil"/>
                <w:right w:val="nil"/>
                <w:between w:val="nil"/>
              </w:pBdr>
              <w:spacing w:after="0" w:line="240" w:lineRule="auto"/>
              <w:jc w:val="center"/>
              <w:rPr>
                <w:rFonts w:cs="Times New Roman"/>
                <w:noProof/>
              </w:rPr>
            </w:pPr>
            <w:r>
              <w:rPr>
                <w:noProof/>
              </w:rPr>
              <w:t>B40L</w:t>
            </w:r>
          </w:p>
        </w:tc>
        <w:tc>
          <w:tcPr>
            <w:tcW w:w="1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535C4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B3.6 Verbesserung der Bedingungen für die Entwicklung erneuerbarer Energiequellen</w:t>
            </w:r>
          </w:p>
          <w:p w14:paraId="4A087B84"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7761B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Meilenstein</w:t>
            </w:r>
          </w:p>
          <w:p w14:paraId="78ECF030"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4C7568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Inkrafttreten der Durchführungsverordnung im Anschluss an das Gesetz vom 17. Dezember 2020 zur Förderung der Stromerzeugung in </w:t>
            </w:r>
            <w:r>
              <w:rPr>
                <w:noProof/>
              </w:rPr>
              <w:t>Offshore-Windparks</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50357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Bestimmung in der Verordnung über ihr Inkrafttreten</w:t>
            </w:r>
          </w:p>
          <w:p w14:paraId="461FF2B1"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AE4FAF"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433CF2F" w14:textId="77777777" w:rsidR="00EB245A" w:rsidRDefault="00EB245A">
            <w:pPr>
              <w:pStyle w:val="Normal0"/>
              <w:spacing w:after="0" w:line="240" w:lineRule="auto"/>
              <w:jc w:val="right"/>
              <w:rPr>
                <w:rFonts w:ascii="Times New Roman" w:eastAsia="Times New Roman" w:hAnsi="Times New Roman" w:cs="Times New Roman"/>
                <w:noProof/>
                <w:color w:val="000000" w:themeColor="text1"/>
                <w:sz w:val="1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9FF30C" w14:textId="77777777"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themeColor="text1"/>
                <w:sz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D3BFD4E"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0000" w:themeColor="text1"/>
              </w:rPr>
            </w:pPr>
            <w:r>
              <w:rPr>
                <w:noProof/>
              </w:rPr>
              <w:t>Q4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1719364"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0000" w:themeColor="text1"/>
              </w:rPr>
            </w:pPr>
            <w:r>
              <w:rPr>
                <w:noProof/>
              </w:rPr>
              <w:t>2022</w:t>
            </w:r>
          </w:p>
        </w:tc>
        <w:tc>
          <w:tcPr>
            <w:tcW w:w="3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D305F68" w14:textId="77777777" w:rsidR="00EB245A" w:rsidRDefault="006021EE">
            <w:pPr>
              <w:pStyle w:val="P68B1DB1-Normal012"/>
              <w:spacing w:after="0" w:line="240" w:lineRule="auto"/>
              <w:rPr>
                <w:rFonts w:eastAsia="Times New Roman" w:cs="Times New Roman"/>
                <w:noProof/>
                <w:color w:val="000000" w:themeColor="text1"/>
              </w:rPr>
            </w:pPr>
            <w:r>
              <w:rPr>
                <w:noProof/>
              </w:rPr>
              <w:t xml:space="preserve">Verordnung des Ministers für Klima und Umwelt über die Arten von Zahlungsströmen, die bei der Berechnung des angepassten Preises zu berücksichtigen sind, und die </w:t>
            </w:r>
            <w:r>
              <w:rPr>
                <w:noProof/>
              </w:rPr>
              <w:t>detaillierte Methode zur Berechnung des angepassten Preises. In der Verordnung werden die Arten von Zahlungsströmen, die bei der Berechnung des angepassten Preises zu berücksichtigen sind, sowie die detaillierte Methode zur Berechnung des angepassten Preis</w:t>
            </w:r>
            <w:r>
              <w:rPr>
                <w:noProof/>
              </w:rPr>
              <w:t>es festgelegt. Dabei sind Faktoren wie Investitionsbeihilfen, das Datum der Gewährung von Investitionsbeihilfen und die Regeln für die Gewährung öffentlicher Beihilfen in den Bereichen Umweltschutz und Energie zu berücksichtigen. Ziel ist es, das oben gena</w:t>
            </w:r>
            <w:r>
              <w:rPr>
                <w:noProof/>
              </w:rPr>
              <w:t>nnte Verfahren für Investoren in Offshore-Windparks zu erleichtern.</w:t>
            </w:r>
          </w:p>
        </w:tc>
      </w:tr>
    </w:tbl>
    <w:p w14:paraId="49206A88"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rPr>
        <w:sectPr w:rsidR="00EB245A" w:rsidSect="005E6922">
          <w:headerReference w:type="even" r:id="rId73"/>
          <w:headerReference w:type="default" r:id="rId74"/>
          <w:footerReference w:type="even" r:id="rId75"/>
          <w:footerReference w:type="default" r:id="rId76"/>
          <w:headerReference w:type="first" r:id="rId77"/>
          <w:footerReference w:type="first" r:id="rId78"/>
          <w:pgSz w:w="16839" w:h="11907" w:orient="landscape"/>
          <w:pgMar w:top="1134" w:right="1134" w:bottom="1134" w:left="1134" w:header="567" w:footer="567" w:gutter="0"/>
          <w:cols w:space="720"/>
          <w:docGrid w:linePitch="299"/>
        </w:sectPr>
      </w:pPr>
    </w:p>
    <w:p w14:paraId="0618BFED" w14:textId="77777777" w:rsidR="00EB245A" w:rsidRDefault="006021EE">
      <w:pPr>
        <w:pStyle w:val="P68B1DB1-Normal019"/>
        <w:keepNext/>
        <w:pBdr>
          <w:top w:val="nil"/>
          <w:left w:val="nil"/>
          <w:bottom w:val="nil"/>
          <w:right w:val="nil"/>
          <w:between w:val="nil"/>
        </w:pBdr>
        <w:tabs>
          <w:tab w:val="left" w:pos="850"/>
        </w:tabs>
        <w:spacing w:before="360" w:after="120" w:line="240" w:lineRule="auto"/>
        <w:ind w:left="850" w:hanging="850"/>
        <w:jc w:val="both"/>
        <w:rPr>
          <w:rFonts w:eastAsia="Times New Roman" w:cs="Times New Roman"/>
          <w:noProof/>
        </w:rPr>
      </w:pPr>
      <w:r>
        <w:rPr>
          <w:noProof/>
        </w:rPr>
        <w:t>C. KOMPONENTE C: „DIGITALER WANDEL“</w:t>
      </w:r>
    </w:p>
    <w:p w14:paraId="688EA1F7" w14:textId="1F8A52C6"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 xml:space="preserve">Komponente C des polnischen Aufbau- und Resilienzplans befasst sich mit einer Reihe von </w:t>
      </w:r>
      <w:r>
        <w:rPr>
          <w:noProof/>
        </w:rPr>
        <w:t>Herausforderungen. Erstens die Unterschiede zwischen städtischen und ländlichen Gebieten in Bezug auf die Anbindung und den Zugang zu schnellen und zuverlässigen Festnetz- und Mobilfunk-Internetverbindungen; zweitens die Notwendigkeit einer schnelleren und</w:t>
      </w:r>
      <w:r>
        <w:rPr>
          <w:noProof/>
        </w:rPr>
        <w:t xml:space="preserve"> sichereren Nutzung digitaler Dienste im öffentlichen Sektor; drittens das allgemeine Fehlen einer gezielten Strategie für die digitale allgemeine und berufliche Bildung, was durch die unzureichenden digitalen Kompetenzen und IKT-Ausrüstungen bei Schülern </w:t>
      </w:r>
      <w:r>
        <w:rPr>
          <w:noProof/>
        </w:rPr>
        <w:t>und Lehrkräften während der COVID-19-Pandemie deutlich wurde. Schließlich muss die Cybersicherheit des öffentlichen Informationssystems erhöht werden, um rasch auf Cyberangriffe und Sicherheitsvorfälle reagieren zu können.</w:t>
      </w:r>
    </w:p>
    <w:p w14:paraId="02754BF2" w14:textId="76978A48"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rPr>
      </w:pPr>
      <w:r>
        <w:rPr>
          <w:noProof/>
        </w:rPr>
        <w:t>Die Komponente zielt darauf ab, d</w:t>
      </w:r>
      <w:r>
        <w:rPr>
          <w:noProof/>
        </w:rPr>
        <w:t>en Digitalisierungsprozess des Landes durch den digitalen Wandel des öffentlichen Sektors, der Wirtschaft und der Gesellschaft zu beschleunigen. Sie umfasst Maßnahmen, die auf Folgendes abzielen: Verbesserung des Zugangs zum Hochgeschwindigkeitsinternet; E</w:t>
      </w:r>
      <w:r>
        <w:rPr>
          <w:noProof/>
        </w:rPr>
        <w:t>ntwicklung elektronischer Dienste und ihrer Verfügbarkeit in der mobilen Anwendung mObywatel sowie Verbesserung der Kommunikation zwischen öffentlichen Einrichtungen, Bürgern und Unternehmen; Erhöhung der Sicherheit im Cyberraum, Sicherung der Datenverarbe</w:t>
      </w:r>
      <w:r>
        <w:rPr>
          <w:noProof/>
        </w:rPr>
        <w:t xml:space="preserve">itungsinfrastruktur und Digitalisierung der Infrastruktur für Sicherheitsdienste; Unterstützung des digitalen Wandels von Unternehmen durch den Einsatz von Cloud Computing.  </w:t>
      </w:r>
    </w:p>
    <w:p w14:paraId="35DB3F80" w14:textId="77777777"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Die im Rahmen der Komponente ausgearbeiteten Reformen und Investitionen tragen zu</w:t>
      </w:r>
      <w:r>
        <w:rPr>
          <w:noProof/>
        </w:rPr>
        <w:t>r Umsetzung von drei länderspezifischen Empfehlungen bei, die in den vergangenen zwei Jahren für Polen festgelegt wurden und die die Notwendigkeit betreffen, die investitionsbezogene Wirtschaftspolitik auf die digitale Infrastruktur (länderspezifische Empf</w:t>
      </w:r>
      <w:r>
        <w:rPr>
          <w:noProof/>
        </w:rPr>
        <w:t>ehlung 3, 2019) und den digitalen Wandel (länderspezifische Empfehlung 3, 2020) zu konzentrieren; sowie die Notwendigkeit, die digitalen Kompetenzen zu verbessern und den digitalen Wandel sowohl in den Unternehmen als auch in der öffentlichen Verwaltung zu</w:t>
      </w:r>
      <w:r>
        <w:rPr>
          <w:noProof/>
        </w:rPr>
        <w:t xml:space="preserve"> fördern (länderspezifische Empfehlung 2, 2020). </w:t>
      </w:r>
    </w:p>
    <w:p w14:paraId="7057CE24" w14:textId="77777777"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Es ist davon auszugehen, dass keine Maßnahme in dieser Komponente die Umweltziele im Sinne des Artikels 17 der Verordnung (EU) 2020/852 erheblich beeinträchtigt, wobei die Beschreibung der im Aufbau- und Re</w:t>
      </w:r>
      <w:r>
        <w:rPr>
          <w:noProof/>
        </w:rPr>
        <w:t>silienzplan dargelegten Maßnahmen und Abhilfemaßnahmen im Einklang mit den Technischen Leitlinien für die Vermeidung erheblicher Beeinträchtigungen im Zusammenhang mit der Vermeidung erheblicher Beeinträchtigungen (2021/C 58/01) zu berücksichtigen ist.</w:t>
      </w:r>
    </w:p>
    <w:p w14:paraId="4E61B8F0" w14:textId="77777777"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Die</w:t>
      </w:r>
      <w:r>
        <w:rPr>
          <w:noProof/>
        </w:rPr>
        <w:t>se Komponente soll den digitalen Wandel fördern, indem eine Breitbandinfrastruktur der nächsten Generation entwickelt, die Nutzung digitaler Instrumente im öffentlichen Sektor verbessert und die e-Kompetenzen in der Gesellschaft (Unternehmen, öffentliche V</w:t>
      </w:r>
      <w:r>
        <w:rPr>
          <w:noProof/>
        </w:rPr>
        <w:t>erwaltung, Lehrkräfte und Studierende) gestärkt werden. Sie trägt zur Optimierung der Cybersicherheit, zur Verbesserung der Effizienz der Datenverarbeitung und zur Modernisierung der Infrastruktur der für die Sicherheit zuständigen staatlichen Dienste bei.</w:t>
      </w:r>
      <w:r>
        <w:rPr>
          <w:noProof/>
        </w:rPr>
        <w:t xml:space="preserve"> Schließlich soll der potenzielle Einsatz innovativer Cloud-Lösungen der nächsten Generation stabile und nachhaltige Cloud-Infrastrukturen schaffen.</w:t>
      </w:r>
    </w:p>
    <w:p w14:paraId="67B7A70C"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rPr>
      </w:pPr>
    </w:p>
    <w:p w14:paraId="3807EE3C" w14:textId="77777777" w:rsidR="00EB245A" w:rsidRDefault="006021E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i/>
          <w:noProof/>
          <w:color w:val="4F81BD"/>
          <w:sz w:val="24"/>
        </w:rPr>
      </w:pPr>
      <w:r>
        <w:rPr>
          <w:rFonts w:ascii="Times New Roman" w:hAnsi="Times New Roman"/>
          <w:b/>
          <w:noProof/>
          <w:color w:val="000000"/>
          <w:sz w:val="24"/>
        </w:rPr>
        <w:t xml:space="preserve">C.1. </w:t>
      </w:r>
      <w:r>
        <w:rPr>
          <w:noProof/>
        </w:rPr>
        <w:t xml:space="preserve"> </w:t>
      </w:r>
      <w:r>
        <w:rPr>
          <w:rFonts w:ascii="Times New Roman" w:hAnsi="Times New Roman"/>
          <w:b/>
          <w:noProof/>
          <w:color w:val="000000"/>
          <w:sz w:val="24"/>
        </w:rPr>
        <w:t>Beschreibung der Reformen und Investitionen für nicht rückzahlbare finanzielle Unterstützung</w:t>
      </w:r>
    </w:p>
    <w:p w14:paraId="30CD01E6" w14:textId="77777777"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Im Rahm</w:t>
      </w:r>
      <w:r>
        <w:rPr>
          <w:noProof/>
        </w:rPr>
        <w:t>en der Komponente werden im Rahmen des Zuschussteils drei Reformen und 5 Investitionen durchgeführt.</w:t>
      </w:r>
    </w:p>
    <w:p w14:paraId="71887C79"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u w:val="single"/>
        </w:rPr>
      </w:pPr>
    </w:p>
    <w:p w14:paraId="10584BFE" w14:textId="77777777" w:rsidR="00EB245A" w:rsidRDefault="006021EE">
      <w:pPr>
        <w:pStyle w:val="P68B1DB1-Normal015"/>
        <w:pBdr>
          <w:top w:val="nil"/>
          <w:left w:val="nil"/>
          <w:bottom w:val="nil"/>
          <w:right w:val="nil"/>
          <w:between w:val="nil"/>
        </w:pBdr>
        <w:spacing w:before="120" w:after="120" w:line="240" w:lineRule="auto"/>
        <w:jc w:val="both"/>
        <w:rPr>
          <w:rFonts w:eastAsia="Times New Roman" w:cs="Times New Roman"/>
          <w:noProof/>
          <w:color w:val="000000"/>
        </w:rPr>
      </w:pPr>
      <w:r>
        <w:rPr>
          <w:noProof/>
        </w:rPr>
        <w:t>C1.1 Erleichterung des Ausbaus der Netzinfrastruktur zur Gewährleistung des universellen Zugangs zum Hochgeschwindigkeitsinternet</w:t>
      </w:r>
    </w:p>
    <w:p w14:paraId="3B7FD67C" w14:textId="613B9D45" w:rsidR="00EB245A" w:rsidRDefault="006021EE">
      <w:pPr>
        <w:pStyle w:val="P68B1DB1-Normal027"/>
        <w:pBdr>
          <w:top w:val="nil"/>
          <w:left w:val="nil"/>
          <w:bottom w:val="nil"/>
          <w:right w:val="nil"/>
          <w:between w:val="nil"/>
        </w:pBdr>
        <w:spacing w:after="0" w:line="240" w:lineRule="auto"/>
        <w:jc w:val="both"/>
        <w:rPr>
          <w:rFonts w:eastAsia="Times New Roman" w:cs="Times New Roman"/>
          <w:noProof/>
          <w:color w:val="000000"/>
          <w:sz w:val="24"/>
        </w:rPr>
      </w:pPr>
      <w:r>
        <w:rPr>
          <w:noProof/>
          <w:sz w:val="24"/>
        </w:rPr>
        <w:t xml:space="preserve">Ziel dieser Reform ist </w:t>
      </w:r>
      <w:r>
        <w:rPr>
          <w:noProof/>
          <w:sz w:val="24"/>
        </w:rPr>
        <w:t>es, den universellen Zugang zu Hochgeschwindigkeitsinternet und digitalen Diensten in ganz Polen zu gewährleisten, einschließlich der sogenannten „weißen Flecken“,</w:t>
      </w:r>
      <w:r>
        <w:rPr>
          <w:noProof/>
          <w:sz w:val="18"/>
        </w:rPr>
        <w:t xml:space="preserve"> </w:t>
      </w:r>
      <w:r>
        <w:rPr>
          <w:noProof/>
          <w:sz w:val="24"/>
        </w:rPr>
        <w:t>in denen es keine Breitbandinfrastruktur mit hoher Kapazität gibt.</w:t>
      </w:r>
    </w:p>
    <w:p w14:paraId="38D6B9B6" w14:textId="6FE5C82A"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Dies soll erstens durch d</w:t>
      </w:r>
      <w:r>
        <w:rPr>
          <w:noProof/>
        </w:rPr>
        <w:t>ie Beseitigung rechtlicher Hindernisse für Breitbandinvestitionen und zweitens durch die Angleichung der nationalen Rechtsvorschriften an das EU-weite Konnektivitätsinstrumentarium vom 25. März 2021 erreicht werden. Die rechtlichen Änderungen sehen unter a</w:t>
      </w:r>
      <w:r>
        <w:rPr>
          <w:noProof/>
        </w:rPr>
        <w:t>nderem Änderungen der Verordnung über das Verzeichnis der Telekommunikationsinfrastruktur und der Verordnung über das System der zentralen Informationsstellen (SIP) vor.</w:t>
      </w:r>
    </w:p>
    <w:p w14:paraId="08D1BA24" w14:textId="010B1827" w:rsidR="00EB245A" w:rsidRDefault="006021EE">
      <w:pPr>
        <w:pStyle w:val="P68B1DB1-Normal06"/>
        <w:pBdr>
          <w:top w:val="nil"/>
          <w:left w:val="nil"/>
          <w:bottom w:val="nil"/>
          <w:right w:val="nil"/>
          <w:between w:val="nil"/>
        </w:pBdr>
        <w:spacing w:after="0" w:line="240" w:lineRule="auto"/>
        <w:jc w:val="both"/>
        <w:rPr>
          <w:rFonts w:eastAsia="Times New Roman" w:cs="Times New Roman"/>
          <w:noProof/>
          <w:color w:val="000000"/>
        </w:rPr>
      </w:pPr>
      <w:r>
        <w:rPr>
          <w:noProof/>
        </w:rPr>
        <w:t>Die Durchführung der Reform wird bis zum 31. März 2023 abgeschlossen.</w:t>
      </w:r>
    </w:p>
    <w:p w14:paraId="5B93607B" w14:textId="77777777" w:rsidR="00EB245A" w:rsidRDefault="006021EE">
      <w:pPr>
        <w:pStyle w:val="P68B1DB1-Normal015"/>
        <w:pBdr>
          <w:top w:val="nil"/>
          <w:left w:val="nil"/>
          <w:bottom w:val="nil"/>
          <w:right w:val="nil"/>
          <w:between w:val="nil"/>
        </w:pBdr>
        <w:spacing w:before="120" w:after="120" w:line="240" w:lineRule="auto"/>
        <w:jc w:val="both"/>
        <w:rPr>
          <w:rFonts w:eastAsia="Times New Roman" w:cs="Times New Roman"/>
          <w:noProof/>
          <w:color w:val="000000"/>
        </w:rPr>
      </w:pPr>
      <w:r>
        <w:rPr>
          <w:noProof/>
        </w:rPr>
        <w:t>C1.1.1 Sicherste</w:t>
      </w:r>
      <w:r>
        <w:rPr>
          <w:noProof/>
        </w:rPr>
        <w:t>llung des Zugangs zum Hochgeschwindigkeits-Internet in weißen Flecken</w:t>
      </w:r>
    </w:p>
    <w:p w14:paraId="198F93A6" w14:textId="658C7BBF" w:rsidR="00EB245A" w:rsidRDefault="006021EE">
      <w:pPr>
        <w:pStyle w:val="P68B1DB1-Normal06"/>
        <w:spacing w:before="120" w:after="120" w:line="240" w:lineRule="auto"/>
        <w:jc w:val="both"/>
        <w:rPr>
          <w:rFonts w:eastAsia="Times New Roman" w:cs="Times New Roman"/>
          <w:noProof/>
          <w:color w:val="000000"/>
        </w:rPr>
      </w:pPr>
      <w:r>
        <w:rPr>
          <w:noProof/>
        </w:rPr>
        <w:t xml:space="preserve">Ziel dieser Investition ist es, im Einklang mit der oben genannten Reform die Zahl der Haushalte mit einem festen Breitbandnetz von 814 635 Einheiten zu erhöhen, wobei der Schwerpunkt </w:t>
      </w:r>
      <w:r>
        <w:rPr>
          <w:noProof/>
        </w:rPr>
        <w:t>auf weißen Gebieten mit Zugang der nächsten Generation (NGA) liegt, in denen es derzeit keine Breitbandinfrastruktur mit hoher Kapazität gibt und in denen der Markt den Endnutzern in naher Zukunft voraussichtlich kein Netz mit einer Download-Geschwindigkei</w:t>
      </w:r>
      <w:r>
        <w:rPr>
          <w:noProof/>
        </w:rPr>
        <w:t>t von 100 Mbit/s bieten wird.</w:t>
      </w:r>
    </w:p>
    <w:p w14:paraId="3BE4C66D" w14:textId="361B6ADA" w:rsidR="00EB245A" w:rsidRDefault="006021EE">
      <w:pPr>
        <w:pStyle w:val="P68B1DB1-Normal018"/>
        <w:pBdr>
          <w:top w:val="nil"/>
          <w:left w:val="nil"/>
          <w:bottom w:val="nil"/>
          <w:right w:val="nil"/>
          <w:between w:val="nil"/>
        </w:pBdr>
        <w:spacing w:before="120" w:after="120" w:line="240" w:lineRule="auto"/>
        <w:jc w:val="both"/>
        <w:rPr>
          <w:noProof/>
        </w:rPr>
      </w:pPr>
      <w:r>
        <w:rPr>
          <w:noProof/>
        </w:rPr>
        <w:t xml:space="preserve">Die Investition soll auch die Modernisierung der lokalen Netze (LAN) in Schulen unterstützen und den Zugang zu einem sehr schnellen (d. h. über die Mindeststandards von 100 Mbit/s hinausgehenden) Internet in mindestens 100000 </w:t>
      </w:r>
      <w:r>
        <w:rPr>
          <w:noProof/>
        </w:rPr>
        <w:t>Klassenräumen ermöglichen.</w:t>
      </w:r>
    </w:p>
    <w:p w14:paraId="14CA55A4" w14:textId="54A0F345" w:rsidR="00EB245A" w:rsidRDefault="006021EE">
      <w:pPr>
        <w:pStyle w:val="Normal0"/>
        <w:spacing w:before="120" w:after="120" w:line="240" w:lineRule="auto"/>
        <w:jc w:val="both"/>
        <w:rPr>
          <w:rFonts w:ascii="Times New Roman" w:eastAsia="Times New Roman" w:hAnsi="Times New Roman" w:cs="Times New Roman"/>
          <w:noProof/>
          <w:color w:val="000000" w:themeColor="text1"/>
          <w:sz w:val="24"/>
        </w:rPr>
      </w:pPr>
      <w:r>
        <w:rPr>
          <w:rFonts w:ascii="Times New Roman" w:hAnsi="Times New Roman"/>
          <w:noProof/>
          <w:sz w:val="24"/>
        </w:rPr>
        <w:t>In den Projektauflagen ist festzulegen, dass bei allen Infrastrukturinvestitionen mindestens 70 % der Bau- und Abbruchabfälle gemäß den Technischen Leitlinien „Vermeidung erheblicher Beeinträchtigungen“ (2021/C58/01) wiederverwen</w:t>
      </w:r>
      <w:r>
        <w:rPr>
          <w:rFonts w:ascii="Times New Roman" w:hAnsi="Times New Roman"/>
          <w:noProof/>
          <w:sz w:val="24"/>
        </w:rPr>
        <w:t>det oder recycelt werden müssen</w:t>
      </w:r>
      <w:r w:rsidRPr="004E1987">
        <w:rPr>
          <w:rStyle w:val="FootnoteReference"/>
          <w:rFonts w:ascii="Times New Roman" w:hAnsi="Times New Roman" w:cs="Times New Roman"/>
          <w:noProof/>
          <w:sz w:val="24"/>
        </w:rPr>
        <w:footnoteReference w:id="29"/>
      </w:r>
      <w:r>
        <w:rPr>
          <w:rFonts w:ascii="Times New Roman" w:hAnsi="Times New Roman"/>
          <w:noProof/>
          <w:sz w:val="24"/>
        </w:rPr>
        <w:t>.</w:t>
      </w:r>
    </w:p>
    <w:p w14:paraId="38AB270D" w14:textId="77777777"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Die Durchführung der Investition muss bis zum 30. Juni 2026 abgeschlossen sein.</w:t>
      </w:r>
    </w:p>
    <w:p w14:paraId="698536F5"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rPr>
      </w:pPr>
    </w:p>
    <w:p w14:paraId="7E8EA6DA" w14:textId="77777777" w:rsidR="00EB245A" w:rsidRDefault="006021EE">
      <w:pPr>
        <w:pStyle w:val="P68B1DB1-Normal015"/>
        <w:pBdr>
          <w:top w:val="nil"/>
          <w:left w:val="nil"/>
          <w:bottom w:val="nil"/>
          <w:right w:val="nil"/>
          <w:between w:val="nil"/>
        </w:pBdr>
        <w:spacing w:before="120" w:after="120" w:line="240" w:lineRule="auto"/>
        <w:jc w:val="both"/>
        <w:rPr>
          <w:rFonts w:eastAsia="Times New Roman" w:cs="Times New Roman"/>
          <w:noProof/>
          <w:color w:val="000000"/>
        </w:rPr>
      </w:pPr>
      <w:r>
        <w:rPr>
          <w:noProof/>
        </w:rPr>
        <w:t>C2.1 Ausbau digitaler Anwendungen im öffentlichen Raum, in der Wirtschaft und in der Gesellschaft</w:t>
      </w:r>
    </w:p>
    <w:p w14:paraId="0F756818" w14:textId="77777777"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 xml:space="preserve">Diese umfassende Reform umfasst verschiedene Bereiche, die die Digitalisierung der polnischen Gesellschaft fördern, von digitalen öffentlichen Diensten bis hin zur digitalen Bildung von Bürgern und Arbeitnehmern. </w:t>
      </w:r>
    </w:p>
    <w:p w14:paraId="2DE11B33" w14:textId="11D67AD0" w:rsidR="00EB245A" w:rsidRDefault="006021EE">
      <w:pPr>
        <w:pStyle w:val="P68B1DB1-Normal021"/>
        <w:pBdr>
          <w:top w:val="nil"/>
          <w:left w:val="nil"/>
          <w:bottom w:val="nil"/>
          <w:right w:val="nil"/>
          <w:between w:val="nil"/>
        </w:pBdr>
        <w:spacing w:before="120" w:after="120" w:line="240" w:lineRule="auto"/>
        <w:jc w:val="both"/>
        <w:rPr>
          <w:rFonts w:eastAsia="Times New Roman" w:cs="Times New Roman"/>
          <w:noProof/>
          <w:color w:val="000000"/>
          <w:sz w:val="24"/>
        </w:rPr>
      </w:pPr>
      <w:r>
        <w:rPr>
          <w:noProof/>
          <w:color w:val="000000" w:themeColor="text1"/>
          <w:sz w:val="24"/>
        </w:rPr>
        <w:t>Der Ausbau digitaler Anwendungen im öffent</w:t>
      </w:r>
      <w:r>
        <w:rPr>
          <w:noProof/>
          <w:color w:val="000000" w:themeColor="text1"/>
          <w:sz w:val="24"/>
        </w:rPr>
        <w:t>lichen Sektor wird durch Gesetzesänderungen unterstützt, die die elektronische Kommunikation zwischen öffentlichen Einrichtungen, Unternehmen und Bürgern fördern. Die erste besteht in der Änderung des Gesetzes vom 17. Februar 2005 über die Informatisierung</w:t>
      </w:r>
      <w:r>
        <w:rPr>
          <w:noProof/>
          <w:color w:val="000000" w:themeColor="text1"/>
          <w:sz w:val="24"/>
        </w:rPr>
        <w:t xml:space="preserve"> der Tätigkeiten öffentlicher Stellen zur Digitalisierung von Dokumenten und Verfahren der öffentlichen Verwaltung. Mit dem zweiten Gesetz wird das Gesetz vom 11. März 2004</w:t>
      </w:r>
      <w:r>
        <w:rPr>
          <w:noProof/>
        </w:rPr>
        <w:t xml:space="preserve"> </w:t>
      </w:r>
      <w:r>
        <w:rPr>
          <w:noProof/>
          <w:color w:val="000000" w:themeColor="text1"/>
          <w:sz w:val="24"/>
        </w:rPr>
        <w:t>über die Steuer auf Gegenstände und Dienstleistungen hinsichtlich der Verwendung vo</w:t>
      </w:r>
      <w:r>
        <w:rPr>
          <w:noProof/>
          <w:color w:val="000000" w:themeColor="text1"/>
          <w:sz w:val="24"/>
        </w:rPr>
        <w:t>n Daten strukturierter Rechnungen, die in elektronischer Form ausgestellt werden, geändert und die Verpflichtung eingeführt, elektronische Rechnungen über das nationale System elektronischer Rechnungen auszustellen und zu empfangen.</w:t>
      </w:r>
    </w:p>
    <w:p w14:paraId="09087D61" w14:textId="3DA18325"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Was digitale Kompetenze</w:t>
      </w:r>
      <w:r>
        <w:rPr>
          <w:noProof/>
        </w:rPr>
        <w:t>n betrifft, so wird das Programm zur Entwicklung digitaler Kompetenzen erstellt und umgesetzt. In dem Programm wird ein umfassendes, langfristiges Bündel von Anforderungen zur Unterstützung der Entwicklung und Überwachung digitaler Kompetenzen in der forma</w:t>
      </w:r>
      <w:r>
        <w:rPr>
          <w:noProof/>
        </w:rPr>
        <w:t xml:space="preserve">len, nichtformalen und informellen Bildung festgelegt. Die Einrichtung und Arbeitsweise des Zentrums für die Entwicklung digitaler Kompetenzen werden im Programm klar formuliert. Das Dokument wird nach einem Multi-Stakeholder-Ansatz erstellt. </w:t>
      </w:r>
    </w:p>
    <w:p w14:paraId="7C46B70C" w14:textId="7830FD8D"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Im Bildungsb</w:t>
      </w:r>
      <w:r>
        <w:rPr>
          <w:noProof/>
        </w:rPr>
        <w:t>ereich werden verbindliche Mindeststandards für die Ausstattung der Schulen mit digitalen Infrastrukturen festgelegt. Verbindliche Leitlinien werden in Zusammenarbeit mit den lokalen Gebietskörperschaften und in Absprache mit einer breiten Gruppe von Inter</w:t>
      </w:r>
      <w:r>
        <w:rPr>
          <w:noProof/>
        </w:rPr>
        <w:t>essenträgern ausgearbeitet und gewährleisten ein Mindestmaß an IKT-Ausrüstung für jede Schule in Polen.</w:t>
      </w:r>
    </w:p>
    <w:p w14:paraId="0095C7D1" w14:textId="52F0D19F" w:rsidR="00EB245A" w:rsidRDefault="006021EE">
      <w:pPr>
        <w:pStyle w:val="P68B1DB1-Normal06"/>
        <w:spacing w:after="0" w:line="240" w:lineRule="auto"/>
        <w:jc w:val="both"/>
        <w:rPr>
          <w:rFonts w:eastAsia="Times New Roman" w:cs="Times New Roman"/>
          <w:noProof/>
          <w:color w:val="000000"/>
        </w:rPr>
      </w:pPr>
      <w:r>
        <w:rPr>
          <w:noProof/>
        </w:rPr>
        <w:t>Die Durchführung der Reform muss bis zum 31. Dezember 2025 abgeschlossen sein.</w:t>
      </w:r>
    </w:p>
    <w:p w14:paraId="7BC1BAF2" w14:textId="77777777" w:rsidR="00EB245A" w:rsidRDefault="00EB245A">
      <w:pPr>
        <w:pStyle w:val="Normal0"/>
        <w:pBdr>
          <w:top w:val="nil"/>
          <w:left w:val="nil"/>
          <w:bottom w:val="nil"/>
          <w:right w:val="nil"/>
          <w:between w:val="nil"/>
        </w:pBdr>
        <w:spacing w:after="0" w:line="240" w:lineRule="auto"/>
        <w:jc w:val="both"/>
        <w:rPr>
          <w:rFonts w:ascii="Times New Roman" w:eastAsia="Times New Roman" w:hAnsi="Times New Roman" w:cs="Times New Roman"/>
          <w:noProof/>
          <w:color w:val="000000"/>
          <w:sz w:val="24"/>
        </w:rPr>
      </w:pPr>
    </w:p>
    <w:p w14:paraId="09A3A2A2" w14:textId="0460F892" w:rsidR="00EB245A" w:rsidRDefault="006021EE">
      <w:pPr>
        <w:pStyle w:val="P68B1DB1-Normal015"/>
        <w:pBdr>
          <w:top w:val="nil"/>
          <w:left w:val="nil"/>
          <w:bottom w:val="nil"/>
          <w:right w:val="nil"/>
          <w:between w:val="nil"/>
        </w:pBdr>
        <w:spacing w:before="120" w:after="120" w:line="240" w:lineRule="auto"/>
        <w:jc w:val="both"/>
        <w:rPr>
          <w:rFonts w:eastAsia="Times New Roman" w:cs="Times New Roman"/>
          <w:noProof/>
          <w:color w:val="000000"/>
          <w:highlight w:val="yellow"/>
        </w:rPr>
      </w:pPr>
      <w:r>
        <w:rPr>
          <w:noProof/>
        </w:rPr>
        <w:t xml:space="preserve">C2.1.1 Öffentliche elektronische Dienste, IT-Lösungen zur Verbesserung </w:t>
      </w:r>
      <w:r>
        <w:rPr>
          <w:noProof/>
        </w:rPr>
        <w:t>der Funktionsweise von Verwaltungen und Wirtschaftssektoren</w:t>
      </w:r>
    </w:p>
    <w:p w14:paraId="3CFA5439" w14:textId="2787D67F"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rPr>
      </w:pPr>
      <w:r>
        <w:rPr>
          <w:noProof/>
        </w:rPr>
        <w:t>Um die Nutzung öffentlicher elektronischer Dienste zu erhöhen, werden im Rahmen dieser Investition folgende Projekte durchgeführt:</w:t>
      </w:r>
    </w:p>
    <w:p w14:paraId="73E437EF" w14:textId="5DF2641D" w:rsidR="00EB245A" w:rsidRDefault="006021EE">
      <w:pPr>
        <w:pStyle w:val="P68B1DB1-Normal06"/>
        <w:numPr>
          <w:ilvl w:val="0"/>
          <w:numId w:val="5"/>
        </w:numPr>
        <w:pBdr>
          <w:top w:val="nil"/>
          <w:left w:val="nil"/>
          <w:bottom w:val="nil"/>
          <w:right w:val="nil"/>
          <w:between w:val="nil"/>
        </w:pBdr>
        <w:spacing w:before="120" w:after="120" w:line="240" w:lineRule="auto"/>
        <w:jc w:val="both"/>
        <w:rPr>
          <w:rFonts w:eastAsia="Times New Roman" w:cs="Times New Roman"/>
          <w:noProof/>
        </w:rPr>
      </w:pPr>
      <w:r>
        <w:rPr>
          <w:noProof/>
        </w:rPr>
        <w:t>die Fertigstellung neuer elektronischer Dienste oder die Modernis</w:t>
      </w:r>
      <w:r>
        <w:rPr>
          <w:noProof/>
        </w:rPr>
        <w:t>ierung bestehender Dienste in der öffentlichen Verwaltung, die es den Bürgerinnen und Bürgern ermöglichen, Verwaltungsfragen online zu bearbeiten;</w:t>
      </w:r>
    </w:p>
    <w:p w14:paraId="51E143A8" w14:textId="1D2698B1" w:rsidR="00EB245A" w:rsidRDefault="006021EE">
      <w:pPr>
        <w:pStyle w:val="P68B1DB1-Normal06"/>
        <w:numPr>
          <w:ilvl w:val="0"/>
          <w:numId w:val="5"/>
        </w:numPr>
        <w:spacing w:before="120" w:after="120" w:line="240" w:lineRule="auto"/>
        <w:jc w:val="both"/>
        <w:rPr>
          <w:rFonts w:eastAsia="Times New Roman" w:cs="Times New Roman"/>
          <w:noProof/>
        </w:rPr>
      </w:pPr>
      <w:r>
        <w:rPr>
          <w:noProof/>
        </w:rPr>
        <w:t xml:space="preserve">die Fertigstellung neuer IT-Systeme oder die Modernisierung bestehender IT-Systeme in der öffentlichen </w:t>
      </w:r>
      <w:r>
        <w:rPr>
          <w:noProof/>
        </w:rPr>
        <w:t>Verwaltung;</w:t>
      </w:r>
    </w:p>
    <w:p w14:paraId="11CA7487" w14:textId="436D6777" w:rsidR="00EB245A" w:rsidRDefault="006021EE">
      <w:pPr>
        <w:pStyle w:val="P68B1DB1-Normal018"/>
        <w:numPr>
          <w:ilvl w:val="0"/>
          <w:numId w:val="5"/>
        </w:numPr>
        <w:spacing w:before="120" w:after="120" w:line="240" w:lineRule="auto"/>
        <w:jc w:val="both"/>
        <w:rPr>
          <w:rFonts w:eastAsia="Times New Roman" w:cs="Times New Roman"/>
          <w:noProof/>
        </w:rPr>
      </w:pPr>
      <w:r>
        <w:rPr>
          <w:noProof/>
        </w:rPr>
        <w:t>Einführung und Konfiguration des kostenlosen elektronischen Dokumentenverwaltungssystems (EZD-System) in 2000 Einrichtungen, die öffentliche Aufgaben wahrnehmen, und Bereitstellung des Cloud-Dienstes SaaS2 EZD RP;</w:t>
      </w:r>
    </w:p>
    <w:p w14:paraId="7FEF097E" w14:textId="5BDFBB1E" w:rsidR="00EB245A" w:rsidRDefault="006021EE">
      <w:pPr>
        <w:pStyle w:val="P68B1DB1-Normal018"/>
        <w:numPr>
          <w:ilvl w:val="0"/>
          <w:numId w:val="5"/>
        </w:numPr>
        <w:spacing w:before="120" w:after="120" w:line="240" w:lineRule="auto"/>
        <w:jc w:val="both"/>
        <w:rPr>
          <w:rFonts w:eastAsia="Times New Roman" w:cs="Times New Roman"/>
          <w:noProof/>
        </w:rPr>
      </w:pPr>
      <w:r>
        <w:rPr>
          <w:noProof/>
        </w:rPr>
        <w:t>Umsetzung strukturierter elekt</w:t>
      </w:r>
      <w:r>
        <w:rPr>
          <w:noProof/>
        </w:rPr>
        <w:t xml:space="preserve">ronischer Rechnungen bei Geschäftsvorgängen (nationales elektronisches Rechnungssystem) durch einen einheitlichen digitalen Rahmen; </w:t>
      </w:r>
    </w:p>
    <w:p w14:paraId="1886D4D8" w14:textId="7DC09978" w:rsidR="00EB245A" w:rsidRDefault="006021EE">
      <w:pPr>
        <w:pStyle w:val="P68B1DB1-Normal018"/>
        <w:numPr>
          <w:ilvl w:val="0"/>
          <w:numId w:val="5"/>
        </w:numPr>
        <w:spacing w:before="120" w:after="120" w:line="240" w:lineRule="auto"/>
        <w:jc w:val="both"/>
        <w:rPr>
          <w:rFonts w:eastAsia="Times New Roman" w:cs="Times New Roman"/>
          <w:noProof/>
        </w:rPr>
      </w:pPr>
      <w:r>
        <w:rPr>
          <w:noProof/>
        </w:rPr>
        <w:t>Fertigstellung neuer elektronischer Dienste oder Modernisierung bestehender Dienste im e-Tax Office-Dienst.</w:t>
      </w:r>
    </w:p>
    <w:p w14:paraId="6A97E3B3" w14:textId="0D745876"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Die Durchführun</w:t>
      </w:r>
      <w:r>
        <w:rPr>
          <w:noProof/>
        </w:rPr>
        <w:t>g der Investition muss bis zum 30. Juni 2026 abgeschlossen sein.</w:t>
      </w:r>
    </w:p>
    <w:p w14:paraId="380AD5D5"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rPr>
      </w:pPr>
    </w:p>
    <w:p w14:paraId="0E17D936" w14:textId="146D214E" w:rsidR="00EB245A" w:rsidRDefault="006021EE">
      <w:pPr>
        <w:pStyle w:val="P68B1DB1-Normal029"/>
        <w:pBdr>
          <w:top w:val="nil"/>
          <w:left w:val="nil"/>
          <w:bottom w:val="nil"/>
          <w:right w:val="nil"/>
          <w:between w:val="nil"/>
        </w:pBdr>
        <w:spacing w:before="120" w:after="120" w:line="240" w:lineRule="auto"/>
        <w:jc w:val="both"/>
        <w:rPr>
          <w:rFonts w:eastAsia="Times New Roman" w:cs="Times New Roman"/>
          <w:b/>
          <w:noProof/>
          <w:sz w:val="24"/>
        </w:rPr>
      </w:pPr>
      <w:r>
        <w:rPr>
          <w:b/>
          <w:noProof/>
          <w:sz w:val="24"/>
        </w:rPr>
        <w:t>C2.1.2 Gleiche Wettbewerbsbedingungen für Schulen mit mobilen Multimedia-Geräten</w:t>
      </w:r>
      <w:r>
        <w:rPr>
          <w:noProof/>
          <w:sz w:val="24"/>
        </w:rPr>
        <w:t xml:space="preserve"> </w:t>
      </w:r>
      <w:r>
        <w:rPr>
          <w:noProof/>
          <w:sz w:val="18"/>
        </w:rPr>
        <w:t xml:space="preserve">– </w:t>
      </w:r>
      <w:r>
        <w:rPr>
          <w:noProof/>
          <w:sz w:val="24"/>
        </w:rPr>
        <w:t>Investitionen im Zusammenhang mit der Erfüllung von Mindeststandards für die Ausrüstung</w:t>
      </w:r>
    </w:p>
    <w:p w14:paraId="0F56DD95" w14:textId="2F012559" w:rsidR="00EB245A" w:rsidRDefault="006021EE">
      <w:pPr>
        <w:pStyle w:val="P68B1DB1-Normal06"/>
        <w:spacing w:before="120" w:after="120" w:line="240" w:lineRule="auto"/>
        <w:jc w:val="both"/>
        <w:rPr>
          <w:rFonts w:eastAsia="Times New Roman" w:cs="Times New Roman"/>
          <w:noProof/>
          <w:color w:val="000000"/>
        </w:rPr>
      </w:pPr>
      <w:r>
        <w:rPr>
          <w:noProof/>
        </w:rPr>
        <w:t>Im Einklang mit der</w:t>
      </w:r>
      <w:r>
        <w:rPr>
          <w:noProof/>
        </w:rPr>
        <w:t xml:space="preserve"> Schaffung verbindlicher Mindeststandards für IKT-Geräte zielt diese Investition darauf ab, alle Schulen in Polen mit modernster Multimedia-Ausrüstung auszustatten, die von Lehrkräften und Schülern genutzt werden kann. Ziel ist es, den Einsatz digitaler Te</w:t>
      </w:r>
      <w:r>
        <w:rPr>
          <w:noProof/>
        </w:rPr>
        <w:t>chnologien für das gleichberechtigte Lernen in jeder Primar- und Sekundarschule in Polen zu ermöglichen. Ziel ist es, den Lehrkräften über ein Gutscheinprogramm tragbare Computer mit Software zur Verfügung zu stellen und pro Laptop, Browser-Laptop oder Tab</w:t>
      </w:r>
      <w:r>
        <w:rPr>
          <w:noProof/>
        </w:rPr>
        <w:t xml:space="preserve">lets insgesamt mindestens 1288336 Laptops, Browser-Laptops und Tablets bis zu sechs Schülerinnen und Schülern zu erreichen. </w:t>
      </w:r>
    </w:p>
    <w:p w14:paraId="5EBF68F1" w14:textId="23F157A5" w:rsidR="00EB245A" w:rsidRDefault="006021EE">
      <w:pPr>
        <w:pStyle w:val="P68B1DB1-Normal06"/>
        <w:spacing w:before="120" w:after="120" w:line="240" w:lineRule="auto"/>
        <w:jc w:val="both"/>
        <w:rPr>
          <w:rFonts w:eastAsia="Times New Roman" w:cs="Times New Roman"/>
          <w:noProof/>
        </w:rPr>
      </w:pPr>
      <w:r>
        <w:rPr>
          <w:noProof/>
        </w:rPr>
        <w:t>Um die DNSH-Bedingungen zu erfüllen, müssen die IKT-Geräte die energiebezogenen Anforderungen und die Anforderungen an die Material</w:t>
      </w:r>
      <w:r>
        <w:rPr>
          <w:noProof/>
        </w:rPr>
        <w:t xml:space="preserve">effizienz erfüllen, die gemäß der Richtlinie 2009/125/EG für Laptops, Browser-Laptops und Tablets festgelegt sind. Darüber hinaus dürfen die IKT-Geräte nicht die in Anhang II der Richtlinie 2011/65/EU aufgeführten Stoffe enthalten. </w:t>
      </w:r>
    </w:p>
    <w:p w14:paraId="1EFE6E9B" w14:textId="1B80DE09" w:rsidR="00EB245A" w:rsidRDefault="006021EE">
      <w:pPr>
        <w:pStyle w:val="P68B1DB1-Normal06"/>
        <w:spacing w:before="120" w:after="120" w:line="240" w:lineRule="auto"/>
        <w:jc w:val="both"/>
        <w:rPr>
          <w:rFonts w:eastAsia="Times New Roman" w:cs="Times New Roman"/>
          <w:noProof/>
        </w:rPr>
      </w:pPr>
      <w:r>
        <w:rPr>
          <w:noProof/>
        </w:rPr>
        <w:t>Es muss ein Abfallbewir</w:t>
      </w:r>
      <w:r>
        <w:rPr>
          <w:noProof/>
        </w:rPr>
        <w:t xml:space="preserve">tschaftungsplan vorhanden sein, um ein Höchstmaß an Recycling am Ende der Lebensdauer von Elektro- und Elektronikgeräten zu gewährleisten, unter anderem durch vertragliche Vereinbarungen mit Recyclingpartnern, die Berücksichtigung von Finanzprognosen oder </w:t>
      </w:r>
      <w:r>
        <w:rPr>
          <w:noProof/>
        </w:rPr>
        <w:t>die offizielle Projektdokumentation. Am Ende ihrer Lebensdauer werden die Geräte zur Wiederverwendung, zur Verwertung oder zum Recycling vorbereitet oder einer ordnungsgemäßen Behandlung unterzogen.</w:t>
      </w:r>
    </w:p>
    <w:p w14:paraId="5D5B6450" w14:textId="5A02A524"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Die Durchführung der Investition muss bis zum 31. Dezembe</w:t>
      </w:r>
      <w:r>
        <w:rPr>
          <w:noProof/>
        </w:rPr>
        <w:t>r 2025 abgeschlossen sein.</w:t>
      </w:r>
    </w:p>
    <w:p w14:paraId="5E76914C" w14:textId="77777777" w:rsidR="00EB245A" w:rsidRDefault="006021EE">
      <w:pPr>
        <w:pStyle w:val="P68B1DB1-Normal015"/>
        <w:pBdr>
          <w:top w:val="nil"/>
          <w:left w:val="nil"/>
          <w:bottom w:val="nil"/>
          <w:right w:val="nil"/>
          <w:between w:val="nil"/>
        </w:pBdr>
        <w:spacing w:before="120" w:after="120" w:line="240" w:lineRule="auto"/>
        <w:jc w:val="both"/>
        <w:rPr>
          <w:rFonts w:eastAsia="Times New Roman" w:cs="Times New Roman"/>
          <w:noProof/>
          <w:color w:val="000000"/>
        </w:rPr>
      </w:pPr>
      <w:r>
        <w:rPr>
          <w:noProof/>
        </w:rPr>
        <w:t>C2.1.3 E-Kompetenzen</w:t>
      </w:r>
    </w:p>
    <w:p w14:paraId="55C29CAF" w14:textId="56BD8BAC"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 xml:space="preserve">Mit der Schulung von mindestens 323000 Menschen strebt Polen an, das allgemeine Niveau der digitalen Kompetenzen in der Gesellschaft zu erhöhen und den Digitalisierungsprozess des Landes zu verbessern. Davon </w:t>
      </w:r>
      <w:r>
        <w:rPr>
          <w:noProof/>
        </w:rPr>
        <w:t>sind 40 % Bürger, die grundlegende digitale Kompetenzen benötigen, 20 % sind Beamte, 20 % Personen, die von Ausgrenzung bedroht sind, und die übrigen 20 % aus Lehrkräften und Lehrkräften bestehen, die eine Grundausbildung und eine mittlere Ausbildung absol</w:t>
      </w:r>
      <w:r>
        <w:rPr>
          <w:noProof/>
        </w:rPr>
        <w:t xml:space="preserve">vieren. </w:t>
      </w:r>
    </w:p>
    <w:p w14:paraId="6C5D691B" w14:textId="4CA0CAC4"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 xml:space="preserve">Im Rahmen der Investition wird innerhalb des Büros des für Digitalisierung zuständigen Ministers ein Zentrum für die Entwicklung digitaler Kompetenzen eingerichtet, das sich aus Sachverständigen, Beratern und digitalen Spezialisten zusammensetzt, </w:t>
      </w:r>
      <w:r>
        <w:rPr>
          <w:noProof/>
        </w:rPr>
        <w:t xml:space="preserve">die die Umsetzung der Digitalpolitik unterstützen. </w:t>
      </w:r>
    </w:p>
    <w:p w14:paraId="0E19EE43" w14:textId="2663D0D0"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Die Durchführung der Investition muss bis zum 30. Juni 2026 abgeschlossen sein.</w:t>
      </w:r>
    </w:p>
    <w:p w14:paraId="0933F3B2" w14:textId="59439A94"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rPr>
      </w:pPr>
    </w:p>
    <w:p w14:paraId="1895E3CC" w14:textId="337545C2" w:rsidR="00EB245A" w:rsidRDefault="006021EE">
      <w:pPr>
        <w:pStyle w:val="P68B1DB1-Normal015"/>
        <w:pBdr>
          <w:top w:val="nil"/>
          <w:left w:val="nil"/>
          <w:bottom w:val="nil"/>
          <w:right w:val="nil"/>
          <w:between w:val="nil"/>
        </w:pBdr>
        <w:spacing w:before="120" w:after="120" w:line="240" w:lineRule="auto"/>
        <w:jc w:val="both"/>
        <w:rPr>
          <w:rFonts w:eastAsia="Times New Roman" w:cs="Times New Roman"/>
          <w:noProof/>
          <w:color w:val="000000"/>
        </w:rPr>
      </w:pPr>
      <w:r>
        <w:rPr>
          <w:noProof/>
        </w:rPr>
        <w:t>C3.1 Verbesserung der Cybersicherheit von Informationssystemen, Stärkung der Datenverarbeitungsinfrastruktur und Optimierung der Infrastruktur der Strafverfolgungsdienste</w:t>
      </w:r>
    </w:p>
    <w:p w14:paraId="06591702" w14:textId="77777777"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Die Reform konzentriert sich auf drei spezifische Ziele, die die Umsetzung von Lösung</w:t>
      </w:r>
      <w:r>
        <w:rPr>
          <w:noProof/>
        </w:rPr>
        <w:t>en für die Sicherheit der Informationssysteme ermöglichen: I) die Entwicklung des nationalen Cybersicherheitssystems; II) die Fähigkeit, Vorfälle wirksam zu verhüten und darauf zu reagieren; III) die Schaffung eines sozialen Bewusstseins für Cybersicherhei</w:t>
      </w:r>
      <w:r>
        <w:rPr>
          <w:noProof/>
        </w:rPr>
        <w:t>t. Diese Ziele sollen durch eine Reihe von Änderungen des Gesetzes über nationale Cybersicherheitssysteme vom 5. Juli 2018 und der Kabinettsverordnung vom 11. September 2018 über wesentliche Dienste erreicht werden.</w:t>
      </w:r>
    </w:p>
    <w:p w14:paraId="0D3139E9" w14:textId="3C355C35" w:rsidR="00EB245A" w:rsidRDefault="006021EE">
      <w:pPr>
        <w:pStyle w:val="P68B1DB1-Normal06"/>
        <w:spacing w:before="120" w:after="120" w:line="240" w:lineRule="auto"/>
        <w:jc w:val="both"/>
        <w:rPr>
          <w:rFonts w:eastAsia="Times New Roman" w:cs="Times New Roman"/>
          <w:noProof/>
          <w:color w:val="000000"/>
        </w:rPr>
      </w:pPr>
      <w:r>
        <w:rPr>
          <w:noProof/>
        </w:rPr>
        <w:t>Die Durchführung der Reform muss bis zum</w:t>
      </w:r>
      <w:r>
        <w:rPr>
          <w:noProof/>
        </w:rPr>
        <w:t xml:space="preserve"> 30. Juni 2025 abgeschlossen sein. </w:t>
      </w:r>
    </w:p>
    <w:p w14:paraId="75CAC6F5"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rPr>
      </w:pPr>
    </w:p>
    <w:p w14:paraId="4A66F687" w14:textId="53A463B8" w:rsidR="00EB245A" w:rsidRDefault="006021EE">
      <w:pPr>
        <w:pStyle w:val="P68B1DB1-Normal015"/>
        <w:spacing w:before="120" w:after="120" w:line="240" w:lineRule="auto"/>
        <w:jc w:val="both"/>
        <w:rPr>
          <w:rFonts w:eastAsia="Times New Roman" w:cs="Times New Roman"/>
          <w:noProof/>
        </w:rPr>
      </w:pPr>
      <w:r>
        <w:rPr>
          <w:noProof/>
        </w:rPr>
        <w:t>C3.1.1 Cybersicherheit – CyberPL, Infrastruktur für die Datenverarbeitung und Optimierung der Infrastruktur der Strafverfolgungsdienste</w:t>
      </w:r>
    </w:p>
    <w:p w14:paraId="14F65562" w14:textId="6500C74A"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Diese Investition besteht aus vier verschiedenen Komponenten: I) Cybersicherheit; I</w:t>
      </w:r>
      <w:r>
        <w:rPr>
          <w:noProof/>
        </w:rPr>
        <w:t xml:space="preserve">I) Datenverarbeitungsinfrastruktur; III) Optimierung der Infrastruktur der Strafverfolgungsdienste und iv) Cloud- und Edge-Computing-Lösungen. </w:t>
      </w:r>
    </w:p>
    <w:p w14:paraId="6485175D" w14:textId="65CF19DE"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Im Bereich i) Cybersicherheit werden vier Projekte durchgeführt:</w:t>
      </w:r>
    </w:p>
    <w:p w14:paraId="74B7492B" w14:textId="2C8F898C" w:rsidR="00EB245A" w:rsidRDefault="006021EE">
      <w:pPr>
        <w:pStyle w:val="P68B1DB1-Normal06"/>
        <w:numPr>
          <w:ilvl w:val="0"/>
          <w:numId w:val="8"/>
        </w:numPr>
        <w:pBdr>
          <w:top w:val="nil"/>
          <w:left w:val="nil"/>
          <w:bottom w:val="nil"/>
          <w:right w:val="nil"/>
          <w:between w:val="nil"/>
        </w:pBdr>
        <w:spacing w:before="120" w:after="0" w:line="240" w:lineRule="auto"/>
        <w:jc w:val="both"/>
        <w:rPr>
          <w:rFonts w:cs="Times New Roman"/>
          <w:noProof/>
          <w:color w:val="000000"/>
        </w:rPr>
      </w:pPr>
      <w:r>
        <w:rPr>
          <w:noProof/>
        </w:rPr>
        <w:t>Einrichtung eines Netzes von mindestens fünf sektoralen Computer-Notfallteams (CSIRT) in Schlüsselsektoren im Sinne des Rechtsakts über das nationale Cybersicherheitssystem: Energie, Verkehr, Gesundheit, Banken, Finanzmarktinfrastrukturen, digitale Infrast</w:t>
      </w:r>
      <w:r>
        <w:rPr>
          <w:noProof/>
        </w:rPr>
        <w:t>ruktur, Wasserversorgung und elektronische Kommunikation;</w:t>
      </w:r>
    </w:p>
    <w:p w14:paraId="7EA39E1D" w14:textId="77777777" w:rsidR="00EB245A" w:rsidRDefault="006021EE">
      <w:pPr>
        <w:pStyle w:val="P68B1DB1-Normal06"/>
        <w:numPr>
          <w:ilvl w:val="0"/>
          <w:numId w:val="8"/>
        </w:numPr>
        <w:pBdr>
          <w:top w:val="nil"/>
          <w:left w:val="nil"/>
          <w:bottom w:val="nil"/>
          <w:right w:val="nil"/>
          <w:between w:val="nil"/>
        </w:pBdr>
        <w:spacing w:after="0" w:line="240" w:lineRule="auto"/>
        <w:jc w:val="both"/>
        <w:rPr>
          <w:rFonts w:cs="Times New Roman"/>
          <w:noProof/>
          <w:color w:val="000000"/>
        </w:rPr>
      </w:pPr>
      <w:r>
        <w:rPr>
          <w:noProof/>
        </w:rPr>
        <w:t>Die Verbindung von 385 nationalen Cybersicherheitseinrichtungen mit einem integrierten Cybersicherheitsmanagementsystem;</w:t>
      </w:r>
    </w:p>
    <w:p w14:paraId="070D45DA" w14:textId="658F48EE" w:rsidR="00EB245A" w:rsidRDefault="006021EE">
      <w:pPr>
        <w:pStyle w:val="P68B1DB1-Normal06"/>
        <w:numPr>
          <w:ilvl w:val="0"/>
          <w:numId w:val="8"/>
        </w:numPr>
        <w:pBdr>
          <w:top w:val="nil"/>
          <w:left w:val="nil"/>
          <w:bottom w:val="nil"/>
          <w:right w:val="nil"/>
          <w:between w:val="nil"/>
        </w:pBdr>
        <w:spacing w:after="0" w:line="240" w:lineRule="auto"/>
        <w:jc w:val="both"/>
        <w:rPr>
          <w:rFonts w:eastAsia="Times New Roman" w:cs="Times New Roman"/>
          <w:noProof/>
        </w:rPr>
      </w:pPr>
      <w:r>
        <w:rPr>
          <w:noProof/>
        </w:rPr>
        <w:t>Unterstützung von 500 Einrichtungen bei der Aufrüstung und dem Ausbau von Cyb</w:t>
      </w:r>
      <w:r>
        <w:rPr>
          <w:noProof/>
        </w:rPr>
        <w:t>ersicherheitsinfrastrukturen, einschließlich der Unterstützung von Einrichtungen, die Informationstechnologie (IT) und Betriebstechnologie (OT) in industriellen Steuerungssystemen (ICS) einsetzen;</w:t>
      </w:r>
    </w:p>
    <w:p w14:paraId="2E6BE010" w14:textId="661F2E2D" w:rsidR="00EB245A" w:rsidRDefault="006021EE">
      <w:pPr>
        <w:pStyle w:val="P68B1DB1-Normal06"/>
        <w:numPr>
          <w:ilvl w:val="0"/>
          <w:numId w:val="8"/>
        </w:numPr>
        <w:spacing w:after="0" w:line="240" w:lineRule="auto"/>
        <w:jc w:val="both"/>
        <w:rPr>
          <w:rFonts w:eastAsia="Times New Roman" w:cs="Times New Roman"/>
          <w:noProof/>
        </w:rPr>
      </w:pPr>
      <w:r>
        <w:rPr>
          <w:noProof/>
        </w:rPr>
        <w:t>Schaffung eines Netzes von Cybersicherheitsexperten auf Woi</w:t>
      </w:r>
      <w:r>
        <w:rPr>
          <w:noProof/>
        </w:rPr>
        <w:t>wodschaftsebene, um öffentliche Einrichtungen bei der Bewältigung von Sicherheitsvorfällen und der Datenwiederherstellung zu unterstützen und Sensibilisierungsmaßnahmen für Cybersicherheit durchzuführen.</w:t>
      </w:r>
    </w:p>
    <w:p w14:paraId="11E617FC" w14:textId="767BC3A0"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Im Bereich (ii) Dateninfrastruktur werden drei Stand</w:t>
      </w:r>
      <w:r>
        <w:rPr>
          <w:noProof/>
        </w:rPr>
        <w:t>ard-Datenverarbeitungszentren eingerichtet, die energieeffiziente und skalierbare kritische Infrastrukturen bereitstellen, um über zugängliche digitale Dienste und sichere Infrastrukturen für IKT-Systeme zu verfügen. Die Zentren halten sich an den Europäis</w:t>
      </w:r>
      <w:r>
        <w:rPr>
          <w:noProof/>
        </w:rPr>
        <w:t>chen Verhaltenskodex für die Energieeffizienz von Datenzentren, insbesondere in folgenden Bereichen:</w:t>
      </w:r>
    </w:p>
    <w:p w14:paraId="549A0DE8" w14:textId="77777777" w:rsidR="00EB245A" w:rsidRDefault="006021EE">
      <w:pPr>
        <w:pStyle w:val="P68B1DB1-Normal06"/>
        <w:numPr>
          <w:ilvl w:val="0"/>
          <w:numId w:val="8"/>
        </w:numPr>
        <w:pBdr>
          <w:top w:val="nil"/>
          <w:left w:val="nil"/>
          <w:bottom w:val="nil"/>
          <w:right w:val="nil"/>
          <w:between w:val="nil"/>
        </w:pBdr>
        <w:spacing w:before="120" w:after="120" w:line="240" w:lineRule="auto"/>
        <w:jc w:val="both"/>
        <w:rPr>
          <w:rFonts w:eastAsia="Times New Roman" w:cs="Times New Roman"/>
          <w:noProof/>
          <w:color w:val="000000"/>
        </w:rPr>
      </w:pPr>
      <w:r>
        <w:rPr>
          <w:i/>
          <w:noProof/>
        </w:rPr>
        <w:t>3.2.8 Nachhaltige Energienutzung:</w:t>
      </w:r>
      <w:r>
        <w:rPr>
          <w:noProof/>
        </w:rPr>
        <w:t xml:space="preserve"> die für die Rechenzentren benötigte Energie wird aus erneuerbaren Energiequellen bezogen; </w:t>
      </w:r>
    </w:p>
    <w:p w14:paraId="03F9FEE8" w14:textId="2A232623" w:rsidR="00EB245A" w:rsidRDefault="006021EE">
      <w:pPr>
        <w:pStyle w:val="P68B1DB1-Normal06"/>
        <w:numPr>
          <w:ilvl w:val="0"/>
          <w:numId w:val="8"/>
        </w:numPr>
        <w:pBdr>
          <w:top w:val="nil"/>
          <w:left w:val="nil"/>
          <w:bottom w:val="nil"/>
          <w:right w:val="nil"/>
          <w:between w:val="nil"/>
        </w:pBdr>
        <w:spacing w:before="120" w:after="120" w:line="240" w:lineRule="auto"/>
        <w:jc w:val="both"/>
        <w:rPr>
          <w:rFonts w:eastAsia="Times New Roman" w:cs="Times New Roman"/>
          <w:noProof/>
          <w:color w:val="000000"/>
        </w:rPr>
      </w:pPr>
      <w:r>
        <w:rPr>
          <w:i/>
          <w:noProof/>
        </w:rPr>
        <w:t xml:space="preserve">3.2.11 Alternative </w:t>
      </w:r>
      <w:r>
        <w:rPr>
          <w:i/>
          <w:noProof/>
        </w:rPr>
        <w:t>Stromerzeugungstechnologien</w:t>
      </w:r>
      <w:r>
        <w:rPr>
          <w:noProof/>
        </w:rPr>
        <w:t>: Installation erneuerbarer Energiequellen in den Rechenzentren;</w:t>
      </w:r>
    </w:p>
    <w:p w14:paraId="31418F63" w14:textId="0DB8CC9B" w:rsidR="00EB245A" w:rsidRDefault="006021EE">
      <w:pPr>
        <w:pStyle w:val="P68B1DB1-Normal06"/>
        <w:numPr>
          <w:ilvl w:val="0"/>
          <w:numId w:val="8"/>
        </w:numPr>
        <w:spacing w:before="120" w:after="120" w:line="240" w:lineRule="auto"/>
        <w:jc w:val="both"/>
        <w:rPr>
          <w:rFonts w:eastAsia="Times New Roman" w:cs="Times New Roman"/>
          <w:noProof/>
        </w:rPr>
      </w:pPr>
      <w:r>
        <w:rPr>
          <w:i/>
          <w:noProof/>
        </w:rPr>
        <w:t>3.3.2. Berücksichtigung verschiedener Resilienzniveaus</w:t>
      </w:r>
      <w:r>
        <w:rPr>
          <w:noProof/>
        </w:rPr>
        <w:t xml:space="preserve">: es wird erwartet, dass die Rechenzentren die Zuverlässigkeit des Stromversorgungssystems erhöhen, indem sie </w:t>
      </w:r>
      <w:r>
        <w:rPr>
          <w:noProof/>
        </w:rPr>
        <w:t>neue Methoden der Notstromversorgung entwickeln.</w:t>
      </w:r>
    </w:p>
    <w:p w14:paraId="5FC2AFCE" w14:textId="208BA738" w:rsidR="00EB245A" w:rsidRDefault="006021EE">
      <w:pPr>
        <w:pStyle w:val="P68B1DB1-Normal018"/>
        <w:spacing w:before="120" w:after="120" w:line="240" w:lineRule="auto"/>
        <w:jc w:val="both"/>
        <w:rPr>
          <w:rFonts w:eastAsia="Times New Roman" w:cs="Times New Roman"/>
          <w:noProof/>
          <w:color w:val="000000" w:themeColor="text1"/>
        </w:rPr>
      </w:pPr>
      <w:r>
        <w:rPr>
          <w:noProof/>
          <w:color w:val="000000" w:themeColor="text1"/>
        </w:rPr>
        <w:t xml:space="preserve">Zur Einhaltung der DNSH-Bedingungen ist für den Bau und die Renovierung von Rechenzentren und alle erforderlichen Anpassungslösungen eine Bewertung des Umweltrisikos und der Anfälligkeit durchzuführen. </w:t>
      </w:r>
      <w:r>
        <w:rPr>
          <w:noProof/>
        </w:rPr>
        <w:t>Bei a</w:t>
      </w:r>
      <w:r>
        <w:rPr>
          <w:noProof/>
        </w:rPr>
        <w:t>llen Infrastrukturinvestitionen müssen mindestens 70 % der Bau- und Abbruchabfälle gemäß den Technischen Leitlinien „Vermeidung erheblicher Beeinträchtigungen“ (2021/C58/01) wiederverwendet oder recycelt werden.</w:t>
      </w:r>
    </w:p>
    <w:p w14:paraId="0D8D85AA" w14:textId="55C5D31E"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III) Die Optimierung der Infrastruktur für d</w:t>
      </w:r>
      <w:r>
        <w:rPr>
          <w:noProof/>
        </w:rPr>
        <w:t>ie für Sicherheit zuständigen staatlichen Dienste umfasst vier Projekte zur Integration verschiedener Warn- und Warnsysteme und zur Verbesserung der Zusammenarbeit zwischen staatlichen Stellen wie Polizei, Feuerwehr und lokalen Behörden.</w:t>
      </w:r>
    </w:p>
    <w:p w14:paraId="233BD36A" w14:textId="690EB66C" w:rsidR="00EB245A" w:rsidRDefault="006021EE">
      <w:pPr>
        <w:pStyle w:val="P68B1DB1-Normal06"/>
        <w:spacing w:before="120" w:after="120" w:line="240" w:lineRule="auto"/>
        <w:jc w:val="both"/>
        <w:rPr>
          <w:rFonts w:eastAsia="Times New Roman" w:cs="Times New Roman"/>
          <w:noProof/>
        </w:rPr>
      </w:pPr>
      <w:r>
        <w:rPr>
          <w:noProof/>
        </w:rPr>
        <w:t>Schließlich wird s</w:t>
      </w:r>
      <w:r>
        <w:rPr>
          <w:noProof/>
        </w:rPr>
        <w:t>ich Polen in Bezug auf iv) die Einführung von Cloud- und Edge-Computing-Lösungen an dem potenziell wichtigen Vorhaben von gemeinsamem europäischem Interesse (IPCEI) zu Cloud-Infrastrukturen und Edge-Diensten der nächsten Generation beteiligen, um die Entwi</w:t>
      </w:r>
      <w:r>
        <w:rPr>
          <w:noProof/>
        </w:rPr>
        <w:t>cklung und erste industrielle Einführung fortgeschrittener FuE-Projekte mit Blick auf die Zukunft der Datenverarbeitung entlang der Cloud bis zur kontinuierlichen Weiterentwicklung zu unterstützen.</w:t>
      </w:r>
    </w:p>
    <w:p w14:paraId="194E08AF" w14:textId="6F418930"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rPr>
      </w:pPr>
      <w:r>
        <w:rPr>
          <w:noProof/>
        </w:rPr>
        <w:t>Die Durchführung der Investition muss bis zum 30. Juni 202</w:t>
      </w:r>
      <w:r>
        <w:rPr>
          <w:noProof/>
        </w:rPr>
        <w:t>6 abgeschlossen sein.</w:t>
      </w:r>
    </w:p>
    <w:p w14:paraId="70302833" w14:textId="3E60CE40"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rPr>
        <w:sectPr w:rsidR="00EB245A" w:rsidSect="005E6922">
          <w:headerReference w:type="even" r:id="rId79"/>
          <w:headerReference w:type="default" r:id="rId80"/>
          <w:footerReference w:type="even" r:id="rId81"/>
          <w:footerReference w:type="default" r:id="rId82"/>
          <w:headerReference w:type="first" r:id="rId83"/>
          <w:footerReference w:type="first" r:id="rId84"/>
          <w:pgSz w:w="11907" w:h="16839"/>
          <w:pgMar w:top="1134" w:right="1134" w:bottom="1134" w:left="1134" w:header="567" w:footer="567" w:gutter="0"/>
          <w:cols w:space="720"/>
          <w:docGrid w:linePitch="299"/>
        </w:sectPr>
      </w:pPr>
    </w:p>
    <w:p w14:paraId="1D0656FE" w14:textId="39A4B6CE" w:rsidR="00EB245A" w:rsidRDefault="006021E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rPr>
      </w:pPr>
      <w:r>
        <w:rPr>
          <w:rFonts w:ascii="Times New Roman" w:hAnsi="Times New Roman"/>
          <w:b/>
          <w:noProof/>
          <w:color w:val="000000"/>
          <w:sz w:val="24"/>
        </w:rPr>
        <w:t xml:space="preserve">C.2. </w:t>
      </w:r>
      <w:r>
        <w:rPr>
          <w:noProof/>
        </w:rPr>
        <w:t xml:space="preserve"> </w:t>
      </w:r>
      <w:r>
        <w:rPr>
          <w:rFonts w:ascii="Times New Roman" w:hAnsi="Times New Roman"/>
          <w:b/>
          <w:noProof/>
          <w:color w:val="000000"/>
          <w:sz w:val="24"/>
        </w:rPr>
        <w:t>Etappenziele, Zielwerte, Indikatoren und Zeitplan für die Überwachung und Durchführung der nicht rückzahlbaren finanziellen Unterstützung</w:t>
      </w:r>
    </w:p>
    <w:tbl>
      <w:tblPr>
        <w:tblW w:w="1559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846"/>
        <w:gridCol w:w="2126"/>
        <w:gridCol w:w="1276"/>
        <w:gridCol w:w="1984"/>
        <w:gridCol w:w="1843"/>
        <w:gridCol w:w="1134"/>
        <w:gridCol w:w="1418"/>
        <w:gridCol w:w="850"/>
        <w:gridCol w:w="851"/>
        <w:gridCol w:w="850"/>
        <w:gridCol w:w="2415"/>
      </w:tblGrid>
      <w:tr w:rsidR="00EB245A" w14:paraId="43251E04" w14:textId="77777777" w:rsidTr="00553DEA">
        <w:trPr>
          <w:trHeight w:val="731"/>
          <w:tblHeader/>
          <w:jc w:val="center"/>
        </w:trPr>
        <w:tc>
          <w:tcPr>
            <w:tcW w:w="846" w:type="dxa"/>
            <w:vMerge w:val="restart"/>
            <w:shd w:val="clear" w:color="auto" w:fill="BDD7EE"/>
            <w:vAlign w:val="center"/>
          </w:tcPr>
          <w:p w14:paraId="7A633873" w14:textId="6852C5C2"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Lfd. Nr. Nr.</w:t>
            </w:r>
          </w:p>
        </w:tc>
        <w:tc>
          <w:tcPr>
            <w:tcW w:w="2126" w:type="dxa"/>
            <w:vMerge w:val="restart"/>
            <w:shd w:val="clear" w:color="auto" w:fill="BDD7EE"/>
            <w:vAlign w:val="center"/>
          </w:tcPr>
          <w:p w14:paraId="1417531B"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 xml:space="preserve">Verbundene </w:t>
            </w:r>
            <w:r>
              <w:rPr>
                <w:noProof/>
              </w:rPr>
              <w:t>Maßnahme (Reform oder Investition)</w:t>
            </w:r>
          </w:p>
        </w:tc>
        <w:tc>
          <w:tcPr>
            <w:tcW w:w="1276" w:type="dxa"/>
            <w:vMerge w:val="restart"/>
            <w:shd w:val="clear" w:color="auto" w:fill="BDD7EE"/>
            <w:vAlign w:val="center"/>
          </w:tcPr>
          <w:p w14:paraId="00006DBC"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Etappenziel/Zielwert</w:t>
            </w:r>
          </w:p>
        </w:tc>
        <w:tc>
          <w:tcPr>
            <w:tcW w:w="1984" w:type="dxa"/>
            <w:vMerge w:val="restart"/>
            <w:shd w:val="clear" w:color="auto" w:fill="BDD7EE"/>
            <w:vAlign w:val="center"/>
          </w:tcPr>
          <w:p w14:paraId="0399D578"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Namen</w:t>
            </w:r>
          </w:p>
        </w:tc>
        <w:tc>
          <w:tcPr>
            <w:tcW w:w="1843" w:type="dxa"/>
            <w:vMerge w:val="restart"/>
            <w:shd w:val="clear" w:color="auto" w:fill="BDD7EE"/>
            <w:vAlign w:val="center"/>
          </w:tcPr>
          <w:p w14:paraId="1181685B" w14:textId="77777777" w:rsidR="00EB245A" w:rsidRDefault="006021EE">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rPr>
            </w:pPr>
            <w:r>
              <w:rPr>
                <w:rFonts w:ascii="Times New Roman" w:hAnsi="Times New Roman"/>
                <w:b/>
                <w:noProof/>
                <w:color w:val="000000"/>
                <w:sz w:val="18"/>
              </w:rPr>
              <w:t>Etappenziel/Zielwert</w:t>
            </w:r>
            <w:r>
              <w:rPr>
                <w:noProof/>
              </w:rPr>
              <w:t xml:space="preserve">  </w:t>
            </w:r>
            <w:r>
              <w:rPr>
                <w:noProof/>
              </w:rPr>
              <w:br/>
            </w:r>
            <w:r>
              <w:rPr>
                <w:rFonts w:ascii="Times New Roman" w:hAnsi="Times New Roman"/>
                <w:b/>
                <w:noProof/>
                <w:color w:val="000000"/>
                <w:sz w:val="18"/>
              </w:rPr>
              <w:t>(für Etappenziele)</w:t>
            </w:r>
          </w:p>
        </w:tc>
        <w:tc>
          <w:tcPr>
            <w:tcW w:w="3402" w:type="dxa"/>
            <w:gridSpan w:val="3"/>
            <w:shd w:val="clear" w:color="auto" w:fill="BDD7EE"/>
            <w:vAlign w:val="center"/>
          </w:tcPr>
          <w:p w14:paraId="52F3B586" w14:textId="77777777" w:rsidR="00EB245A" w:rsidRDefault="006021EE">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rPr>
            </w:pPr>
            <w:r>
              <w:rPr>
                <w:rFonts w:ascii="Times New Roman" w:hAnsi="Times New Roman"/>
                <w:b/>
                <w:noProof/>
                <w:color w:val="000000"/>
                <w:sz w:val="18"/>
              </w:rPr>
              <w:t>Qualitative Indikatoren (für Etappenziele)</w:t>
            </w:r>
            <w:r>
              <w:rPr>
                <w:noProof/>
              </w:rPr>
              <w:t xml:space="preserve">  </w:t>
            </w:r>
            <w:r>
              <w:rPr>
                <w:noProof/>
              </w:rPr>
              <w:br/>
            </w:r>
            <w:r>
              <w:rPr>
                <w:rFonts w:ascii="Times New Roman" w:hAnsi="Times New Roman"/>
                <w:b/>
                <w:noProof/>
                <w:color w:val="000000"/>
                <w:sz w:val="18"/>
              </w:rPr>
              <w:t>(für Ziele)</w:t>
            </w:r>
          </w:p>
        </w:tc>
        <w:tc>
          <w:tcPr>
            <w:tcW w:w="1701" w:type="dxa"/>
            <w:gridSpan w:val="2"/>
            <w:shd w:val="clear" w:color="auto" w:fill="BDD7EE"/>
            <w:vAlign w:val="center"/>
          </w:tcPr>
          <w:p w14:paraId="37B8DAAC"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 xml:space="preserve">Vorläufiger Zeitplan für die Fertigstellung </w:t>
            </w:r>
          </w:p>
        </w:tc>
        <w:tc>
          <w:tcPr>
            <w:tcW w:w="2415" w:type="dxa"/>
            <w:vMerge w:val="restart"/>
            <w:shd w:val="clear" w:color="auto" w:fill="BDD7EE"/>
            <w:vAlign w:val="center"/>
          </w:tcPr>
          <w:p w14:paraId="16810C53"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 xml:space="preserve">Beschreibung der einzelnen Etappenziele und </w:t>
            </w:r>
            <w:r>
              <w:rPr>
                <w:noProof/>
              </w:rPr>
              <w:t>Zielvorgaben</w:t>
            </w:r>
          </w:p>
        </w:tc>
      </w:tr>
      <w:tr w:rsidR="00EB245A" w14:paraId="252FC53A" w14:textId="77777777" w:rsidTr="00553DEA">
        <w:trPr>
          <w:trHeight w:val="558"/>
          <w:jc w:val="center"/>
        </w:trPr>
        <w:tc>
          <w:tcPr>
            <w:tcW w:w="846" w:type="dxa"/>
            <w:vMerge/>
            <w:vAlign w:val="center"/>
          </w:tcPr>
          <w:p w14:paraId="7B37605A"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2126" w:type="dxa"/>
            <w:vMerge/>
            <w:vAlign w:val="center"/>
          </w:tcPr>
          <w:p w14:paraId="394798F2"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276" w:type="dxa"/>
            <w:vMerge/>
            <w:vAlign w:val="center"/>
          </w:tcPr>
          <w:p w14:paraId="3889A505"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984" w:type="dxa"/>
            <w:vMerge/>
            <w:vAlign w:val="center"/>
          </w:tcPr>
          <w:p w14:paraId="29079D35"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843" w:type="dxa"/>
            <w:vMerge/>
            <w:vAlign w:val="center"/>
          </w:tcPr>
          <w:p w14:paraId="17686DC7"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39A95408"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Maßeinheit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42C9D7B8" w14:textId="31D1A0BC"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Ausgangslage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2E8B2227"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Ziel</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6D73E104"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Viertel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334F5C5B"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Jahre</w:t>
            </w:r>
          </w:p>
        </w:tc>
        <w:tc>
          <w:tcPr>
            <w:tcW w:w="2415" w:type="dxa"/>
            <w:vMerge/>
            <w:vAlign w:val="center"/>
          </w:tcPr>
          <w:p w14:paraId="53BD644D"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r>
      <w:tr w:rsidR="00EB245A" w14:paraId="40BA9A1B" w14:textId="77777777" w:rsidTr="00553DEA">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8EE793C" w14:textId="2EF76AF3"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C1G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279A0B" w14:textId="69EA5160"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C1.1 Erleichterung des Ausbaus der Netzinfrastruktur zur Gewährleistung des universellen Zugangs zum Hochgeschwindigkeitsinternet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86E203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E5DCB1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Von der Kanzlei des Premierministers </w:t>
            </w:r>
            <w:r>
              <w:rPr>
                <w:noProof/>
              </w:rPr>
              <w:t>ausgearbeiteter Rahmen für die Kofinanzierung von Breitbandprojekten in weißen Zugangsgebieten der nächsten Generation (NGA), in denen es derzeit kein NGA-Netz gibt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EE3023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Veröffentlichung des Rahmens in der Kanzlei des Premierministers und des Projektzentrums Di</w:t>
            </w:r>
            <w:r>
              <w:rPr>
                <w:noProof/>
              </w:rPr>
              <w:t xml:space="preserve">gitales Polen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990759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2BD992"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B6018EB"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63A21AE"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8553E30"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2022</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E97C19" w14:textId="2D8323E8"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Einrichtung des Rahmens als Grundlage für die folgende Aufforderung zur Einreichung von Vorschlägen.</w:t>
            </w:r>
          </w:p>
          <w:p w14:paraId="7EB0805E"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Der Rahmen muss Bestimmungen enthalten, mit denen die vollständige Einhaltung der Technischen Leitlinien für die „Vermeidung </w:t>
            </w:r>
            <w:r>
              <w:rPr>
                <w:noProof/>
              </w:rPr>
              <w:t>erheblicher Beeinträchtigungen“ (2021/C58/01) der im Rahmen dieser Maßnahme geförderten Projekte durch die Verwendung von Nachhaltigkeitsprüfungen, eine Ausschlussliste und die Anforderung der Einhaltung der einschlägigen EU- und nationalen Umweltvorschrif</w:t>
            </w:r>
            <w:r>
              <w:rPr>
                <w:noProof/>
              </w:rPr>
              <w:t>ten sichergestellt wird.</w:t>
            </w:r>
          </w:p>
        </w:tc>
      </w:tr>
      <w:tr w:rsidR="00EB245A" w14:paraId="1244BD1E" w14:textId="77777777" w:rsidTr="00553DEA">
        <w:trPr>
          <w:trHeight w:val="1362"/>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FCCF4E" w14:textId="64CEACDD"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C2G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8BD258" w14:textId="5D40BFF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C1.1 Erleichterung des Ausbaus der Netzinfrastruktur zur Gewährleistung des universellen Zugangs zum Hochgeschwindigkeitsinternet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D40FDA9"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000640C" w14:textId="5A16EF5B"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Änderung der Verordnung des Ministers für Digitalisierung über das jährliche </w:t>
            </w:r>
            <w:r>
              <w:rPr>
                <w:noProof/>
              </w:rPr>
              <w:t>Verzeichnis der Telekommunikationsinfrastrukturen und -dienste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3421C23" w14:textId="3CE96866"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Bestimmung in der Änderung der Verordnung über das Inkrafttreten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73BDA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375312"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33B4B9C"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6C4333"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CB78806"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2023</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96842D" w14:textId="18115CBF"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Inkrafttreten der Änderung der Verordnung über das nationale Inventar der Telekommunikationsinfrastruktur und </w:t>
            </w:r>
            <w:r>
              <w:rPr>
                <w:noProof/>
              </w:rPr>
              <w:t>-dienste, um die Bereiche, die zusätzliche Unterstützung durch öffentliche Maßnahmen benötigen, besser zu ermitteln.</w:t>
            </w:r>
          </w:p>
        </w:tc>
      </w:tr>
      <w:tr w:rsidR="00EB245A" w14:paraId="5821D57D" w14:textId="77777777" w:rsidTr="00553DEA">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07C2F63" w14:textId="67CA8A27" w:rsidR="00EB245A" w:rsidRDefault="006021EE">
            <w:pPr>
              <w:pStyle w:val="P68B1DB1-Normal011"/>
              <w:spacing w:after="0" w:line="240" w:lineRule="auto"/>
              <w:jc w:val="center"/>
              <w:rPr>
                <w:rFonts w:eastAsia="Times New Roman" w:cs="Times New Roman"/>
                <w:noProof/>
                <w:color w:val="006100"/>
              </w:rPr>
            </w:pPr>
            <w:r>
              <w:rPr>
                <w:noProof/>
              </w:rPr>
              <w:t>C3G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AB91AC" w14:textId="76659065"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C1.1 Erleichterung des Ausbaus der Netzinfrastruktur zur Gewährleistung des universellen Zugangs zum Hochgeschwindigkeitsinternet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F15DED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1158D83" w14:textId="3822C6F1" w:rsidR="00EB245A" w:rsidRDefault="006021EE">
            <w:pPr>
              <w:pStyle w:val="P68B1DB1-Normal012"/>
              <w:spacing w:after="0" w:line="240" w:lineRule="auto"/>
              <w:rPr>
                <w:rFonts w:eastAsia="Times New Roman" w:cs="Times New Roman"/>
                <w:noProof/>
                <w:color w:val="006100"/>
              </w:rPr>
            </w:pPr>
            <w:r>
              <w:rPr>
                <w:noProof/>
              </w:rPr>
              <w:t xml:space="preserve">Änderung der Verordnung über die zentrale Informationsstelle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267536" w14:textId="1442006E"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Bestimmung in der Änderung der Verordnung, aus der hervorgeht, dass sie in Kraft tritt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129359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7642555"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6595078"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9FB017B"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44B82BA"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2022</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7568E96" w14:textId="0A759736" w:rsidR="00EB245A" w:rsidRDefault="006021EE">
            <w:pPr>
              <w:pStyle w:val="P68B1DB1-Normal012"/>
              <w:spacing w:after="0" w:line="240" w:lineRule="auto"/>
              <w:rPr>
                <w:rFonts w:eastAsia="Times New Roman" w:cs="Times New Roman"/>
                <w:noProof/>
              </w:rPr>
            </w:pPr>
            <w:r>
              <w:rPr>
                <w:noProof/>
              </w:rPr>
              <w:t>Inkrafttreten der Änderung der Verordnung über zentrale Informationsstellen, um den Betreibern Informationen über die Infrastruktur für Telekommunikationsinvestitionen und das Planungsinstrument zur Verfügung zu stellen.</w:t>
            </w:r>
          </w:p>
        </w:tc>
      </w:tr>
      <w:tr w:rsidR="00EB245A" w14:paraId="7B3210D6" w14:textId="77777777" w:rsidTr="00553DEA">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5FA94C" w14:textId="6022DB46"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C4G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6DF0F0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C1.1.1 Sicherstellung des </w:t>
            </w:r>
            <w:r>
              <w:rPr>
                <w:noProof/>
              </w:rPr>
              <w:t>Zugangs zum Hochgeschwindigkeits-Internet in weißen Flecken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B9AE831"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Ziel</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A1A9363" w14:textId="5C36B886" w:rsidR="00EB245A" w:rsidRDefault="006021EE">
            <w:pPr>
              <w:pStyle w:val="P68B1DB1-Normal012"/>
              <w:spacing w:after="0" w:line="240" w:lineRule="auto"/>
              <w:rPr>
                <w:rFonts w:eastAsia="Times New Roman" w:cs="Times New Roman"/>
                <w:noProof/>
                <w:color w:val="006100"/>
              </w:rPr>
            </w:pPr>
            <w:r>
              <w:rPr>
                <w:noProof/>
              </w:rPr>
              <w:t xml:space="preserve">T1 – Zusätzliche Haushalte (Wohngebäude) mit Breitband-Internetzugang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B082E6B"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87A4BA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Anzahl</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1EBC01" w14:textId="1B053CB2"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E7081C" w14:textId="09AA74BC" w:rsidR="00EB245A" w:rsidRDefault="006021EE">
            <w:pPr>
              <w:pStyle w:val="P68B1DB1-Normal012"/>
              <w:spacing w:after="0" w:line="240" w:lineRule="auto"/>
              <w:jc w:val="right"/>
              <w:rPr>
                <w:rFonts w:eastAsia="Times New Roman" w:cs="Times New Roman"/>
                <w:noProof/>
                <w:color w:val="000000" w:themeColor="text1"/>
              </w:rPr>
            </w:pPr>
            <w:r>
              <w:rPr>
                <w:noProof/>
              </w:rPr>
              <w:t>79500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91A9D45"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4369A0"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2024</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0FF7B17" w14:textId="747948F1" w:rsidR="00EB245A" w:rsidRDefault="006021EE">
            <w:pPr>
              <w:pStyle w:val="P68B1DB1-Normal012"/>
              <w:spacing w:after="0" w:line="240" w:lineRule="auto"/>
              <w:rPr>
                <w:noProof/>
                <w:color w:val="000000" w:themeColor="text1"/>
              </w:rPr>
            </w:pPr>
            <w:r>
              <w:rPr>
                <w:noProof/>
              </w:rPr>
              <w:t xml:space="preserve">Mindestens 79500 Haushalte in weißen Zugangsgebieten der nächsten Generation sollen </w:t>
            </w:r>
            <w:r>
              <w:rPr>
                <w:noProof/>
              </w:rPr>
              <w:t>Breitband-Internetzugang erhalten.</w:t>
            </w:r>
          </w:p>
          <w:p w14:paraId="3AA65694" w14:textId="38C15889" w:rsidR="00EB245A" w:rsidRDefault="006021EE">
            <w:pPr>
              <w:pStyle w:val="P68B1DB1-Normal012"/>
              <w:spacing w:after="0" w:line="240" w:lineRule="auto"/>
              <w:rPr>
                <w:noProof/>
              </w:rPr>
            </w:pPr>
            <w:r>
              <w:rPr>
                <w:noProof/>
              </w:rPr>
              <w:t xml:space="preserve">In den Ausschreibungen ist festzulegen, dass der Breitbandzugang eine Kapazität von mindestens 100 Mbit/s haben muss (mit der Möglichkeit, ihn auf Gigabit-Kapazitäten zu erhöhen). </w:t>
            </w:r>
          </w:p>
        </w:tc>
      </w:tr>
      <w:tr w:rsidR="00EB245A" w14:paraId="35BD72E8" w14:textId="77777777" w:rsidTr="00553DEA">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9CB5CC8" w14:textId="3442F5DB"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C5G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8F12F9"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C1.1.1 Sicherstellung des Zugangs </w:t>
            </w:r>
            <w:r>
              <w:rPr>
                <w:noProof/>
              </w:rPr>
              <w:t>zum Hochgeschwindigkeits-Internet in weißen Flecken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C7A09E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Ziel</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3E06DC8" w14:textId="489FBA8A" w:rsidR="00EB245A" w:rsidRDefault="006021EE">
            <w:pPr>
              <w:pStyle w:val="P68B1DB1-Normal012"/>
              <w:spacing w:after="0" w:line="240" w:lineRule="auto"/>
              <w:rPr>
                <w:rFonts w:eastAsia="Times New Roman" w:cs="Times New Roman"/>
                <w:noProof/>
                <w:color w:val="006100"/>
              </w:rPr>
            </w:pPr>
            <w:r>
              <w:rPr>
                <w:noProof/>
              </w:rPr>
              <w:t xml:space="preserve">T2 – Zusätzliche Haushalte (Wohngebäude) mit Breitband-Internetzugang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D10397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52D1FC9"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Anzahl</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99793ED" w14:textId="02A26B1C" w:rsidR="00EB245A" w:rsidRDefault="006021EE">
            <w:pPr>
              <w:pStyle w:val="P68B1DB1-Normal012"/>
              <w:spacing w:after="0" w:line="240" w:lineRule="auto"/>
              <w:jc w:val="right"/>
              <w:rPr>
                <w:rFonts w:eastAsia="Times New Roman" w:cs="Times New Roman"/>
                <w:noProof/>
                <w:color w:val="000000" w:themeColor="text1"/>
              </w:rPr>
            </w:pPr>
            <w:r>
              <w:rPr>
                <w:noProof/>
              </w:rPr>
              <w:t>79500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6025DB3" w14:textId="3FF47B30" w:rsidR="00EB245A" w:rsidRDefault="006021EE">
            <w:pPr>
              <w:pStyle w:val="P68B1DB1-Normal012"/>
              <w:spacing w:after="0" w:line="240" w:lineRule="auto"/>
              <w:jc w:val="right"/>
              <w:rPr>
                <w:rFonts w:eastAsia="Times New Roman" w:cs="Times New Roman"/>
                <w:noProof/>
                <w:color w:val="000000" w:themeColor="text1"/>
              </w:rPr>
            </w:pPr>
            <w:r>
              <w:rPr>
                <w:noProof/>
              </w:rPr>
              <w:t>185500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9AACBE"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E89DF82"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2025</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0F3ED5B" w14:textId="6BF028C1" w:rsidR="00EB245A" w:rsidRDefault="006021EE">
            <w:pPr>
              <w:pStyle w:val="P68B1DB1-NoSpacing30"/>
              <w:rPr>
                <w:noProof/>
              </w:rPr>
            </w:pPr>
            <w:r>
              <w:rPr>
                <w:noProof/>
              </w:rPr>
              <w:t xml:space="preserve">Mindestens 185500 Haushalte in weißen Zugangsgebieten der nächsten Generation, die über Breitband-Internetzugang verfügen sollen.  </w:t>
            </w:r>
          </w:p>
          <w:p w14:paraId="5A66B708" w14:textId="7B12BDB8" w:rsidR="00EB245A" w:rsidRDefault="006021EE">
            <w:pPr>
              <w:pStyle w:val="P68B1DB1-Normal012"/>
              <w:spacing w:after="0" w:line="240" w:lineRule="auto"/>
              <w:rPr>
                <w:noProof/>
              </w:rPr>
            </w:pPr>
            <w:r>
              <w:rPr>
                <w:noProof/>
              </w:rPr>
              <w:t>In den Ausschreibungen ist festzulegen, dass der Breitbandzugang eine Kapazität von mindestens 100 Mbit/s haben muss (mit de</w:t>
            </w:r>
            <w:r>
              <w:rPr>
                <w:noProof/>
              </w:rPr>
              <w:t>r Möglichkeit, ihn auf Gigabit-Kapazitäten zu erhöhen).</w:t>
            </w:r>
          </w:p>
        </w:tc>
      </w:tr>
      <w:tr w:rsidR="00EB245A" w14:paraId="169E4FB1" w14:textId="77777777" w:rsidTr="00553DEA">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66412A" w14:textId="07DE9BD8"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C6G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FFEF1B0"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C1.1.1 Sicherstellung des Zugangs zum Hochgeschwindigkeits-Internet in weißen Flecken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31C418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Ziel</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7646CC2" w14:textId="19053801" w:rsidR="00EB245A" w:rsidRDefault="006021EE">
            <w:pPr>
              <w:pStyle w:val="P68B1DB1-Normal012"/>
              <w:spacing w:after="0" w:line="240" w:lineRule="auto"/>
              <w:rPr>
                <w:rFonts w:eastAsia="Times New Roman" w:cs="Times New Roman"/>
                <w:noProof/>
                <w:color w:val="006100"/>
              </w:rPr>
            </w:pPr>
            <w:r>
              <w:rPr>
                <w:noProof/>
              </w:rPr>
              <w:t xml:space="preserve">T3 – Zusätzliche Haushalte (Wohngebäude) mit Breitband-Internetzugang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02BBFE"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CFB2D70"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Anzahl</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4B6280E" w14:textId="66F2D9E2" w:rsidR="00EB245A" w:rsidRDefault="006021EE">
            <w:pPr>
              <w:pStyle w:val="P68B1DB1-Normal012"/>
              <w:spacing w:after="0" w:line="240" w:lineRule="auto"/>
              <w:jc w:val="right"/>
              <w:rPr>
                <w:rFonts w:eastAsia="Times New Roman" w:cs="Times New Roman"/>
                <w:noProof/>
                <w:color w:val="000000" w:themeColor="text1"/>
              </w:rPr>
            </w:pPr>
            <w:r>
              <w:rPr>
                <w:noProof/>
              </w:rPr>
              <w:t>185500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9B63CB3" w14:textId="74483C46" w:rsidR="00EB245A" w:rsidRDefault="006021EE">
            <w:pPr>
              <w:pStyle w:val="P68B1DB1-Normal012"/>
              <w:spacing w:after="0" w:line="240" w:lineRule="auto"/>
              <w:jc w:val="right"/>
              <w:rPr>
                <w:rFonts w:eastAsia="Times New Roman" w:cs="Times New Roman"/>
                <w:noProof/>
                <w:color w:val="000000" w:themeColor="text1"/>
              </w:rPr>
            </w:pPr>
            <w:r>
              <w:rPr>
                <w:noProof/>
              </w:rPr>
              <w:t xml:space="preserve">814635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355A2D"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A6178B"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2026</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7299627" w14:textId="51874B28" w:rsidR="00EB245A" w:rsidRDefault="006021EE">
            <w:pPr>
              <w:pStyle w:val="P68B1DB1-Normal012"/>
              <w:spacing w:after="0" w:line="240" w:lineRule="auto"/>
              <w:rPr>
                <w:noProof/>
                <w:color w:val="000000" w:themeColor="text1"/>
              </w:rPr>
            </w:pPr>
            <w:r>
              <w:rPr>
                <w:noProof/>
              </w:rPr>
              <w:t>Mindestens 814635 Haushalte in weißen Zugangsgebieten der nächsten Generation, die über Breitband-Internetzugang verfügen sollen.</w:t>
            </w:r>
          </w:p>
          <w:p w14:paraId="3DF72868" w14:textId="3CBFFC25" w:rsidR="00EB245A" w:rsidRDefault="006021EE">
            <w:pPr>
              <w:pStyle w:val="P68B1DB1-Normal012"/>
              <w:spacing w:after="0" w:line="240" w:lineRule="auto"/>
              <w:rPr>
                <w:rFonts w:eastAsia="Times New Roman" w:cs="Times New Roman"/>
                <w:noProof/>
              </w:rPr>
            </w:pPr>
            <w:r>
              <w:rPr>
                <w:noProof/>
              </w:rPr>
              <w:t xml:space="preserve">In den Ausschreibungen ist festzulegen, dass der zu gewährende Braodbandzugang eine Kapazität von mindestens 100 Mbit/s haben </w:t>
            </w:r>
            <w:r>
              <w:rPr>
                <w:noProof/>
              </w:rPr>
              <w:t>muss (mit der Möglichkeit, ihn auf Gigabit-Kapazität zu erhöhen).</w:t>
            </w:r>
          </w:p>
        </w:tc>
      </w:tr>
      <w:tr w:rsidR="00EB245A" w14:paraId="500763E7" w14:textId="77777777" w:rsidTr="00553DEA">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D346611" w14:textId="548478CC" w:rsidR="00EB245A" w:rsidRDefault="006021EE">
            <w:pPr>
              <w:pStyle w:val="P68B1DB1-Normal011"/>
              <w:spacing w:line="240" w:lineRule="auto"/>
              <w:jc w:val="center"/>
              <w:rPr>
                <w:rFonts w:cs="Times New Roman"/>
                <w:noProof/>
              </w:rPr>
            </w:pPr>
            <w:r>
              <w:rPr>
                <w:noProof/>
              </w:rPr>
              <w:t>C6aG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9AA165C" w14:textId="2F66A38D"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C1.1.1 Sicherstellung des Zugangs zum Hochgeschwindigkeits-Internet in weißen Flecken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1250D02" w14:textId="4F6C18A5" w:rsidR="00EB245A" w:rsidRDefault="006021EE">
            <w:pPr>
              <w:pStyle w:val="P68B1DB1-Normal012"/>
              <w:spacing w:line="240" w:lineRule="auto"/>
              <w:rPr>
                <w:rFonts w:eastAsia="Times New Roman" w:cs="Times New Roman"/>
                <w:noProof/>
                <w:color w:val="000000" w:themeColor="text1"/>
              </w:rPr>
            </w:pPr>
            <w:r>
              <w:rPr>
                <w:noProof/>
              </w:rPr>
              <w:t>Ziel</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40EACED" w14:textId="6125AFD4"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Klassenzimmer in Schulen mit Anschluss an das lokale Netzwerk (LAN)</w:t>
            </w:r>
          </w:p>
          <w:p w14:paraId="55CE14AE" w14:textId="4CFDFCE5" w:rsidR="00EB245A" w:rsidRDefault="00EB245A">
            <w:pPr>
              <w:pStyle w:val="Normal0"/>
              <w:spacing w:line="240" w:lineRule="auto"/>
              <w:rPr>
                <w:rFonts w:ascii="Times New Roman" w:eastAsia="Times New Roman" w:hAnsi="Times New Roman" w:cs="Times New Roman"/>
                <w:noProof/>
                <w:color w:val="000000" w:themeColor="text1"/>
                <w:sz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8ED07A" w14:textId="611F1FB6" w:rsidR="00EB245A" w:rsidRDefault="00EB245A">
            <w:pPr>
              <w:pStyle w:val="Normal0"/>
              <w:spacing w:line="240" w:lineRule="auto"/>
              <w:rPr>
                <w:rFonts w:ascii="Times New Roman" w:eastAsia="Times New Roman" w:hAnsi="Times New Roman" w:cs="Times New Roman"/>
                <w:noProof/>
                <w:color w:val="000000" w:themeColor="text1"/>
                <w:sz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1B33684" w14:textId="3C416150" w:rsidR="00EB245A" w:rsidRDefault="006021EE">
            <w:pPr>
              <w:pStyle w:val="P68B1DB1-Normal012"/>
              <w:spacing w:line="240" w:lineRule="auto"/>
              <w:rPr>
                <w:rFonts w:eastAsia="Times New Roman" w:cs="Times New Roman"/>
                <w:noProof/>
                <w:color w:val="000000" w:themeColor="text1"/>
              </w:rPr>
            </w:pPr>
            <w:r>
              <w:rPr>
                <w:noProof/>
              </w:rPr>
              <w:t>Anzahl</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635F8C6" w14:textId="1330B340" w:rsidR="00EB245A" w:rsidRDefault="006021EE">
            <w:pPr>
              <w:pStyle w:val="P68B1DB1-Normal012"/>
              <w:spacing w:line="240" w:lineRule="auto"/>
              <w:jc w:val="right"/>
              <w:rPr>
                <w:rFonts w:eastAsia="Times New Roman" w:cs="Times New Roman"/>
                <w:noProof/>
                <w:color w:val="000000" w:themeColor="text1"/>
              </w:rPr>
            </w:pPr>
            <w:r>
              <w:rPr>
                <w:noProof/>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DF48343" w14:textId="5435FDE9" w:rsidR="00EB245A" w:rsidRDefault="006021EE">
            <w:pPr>
              <w:pStyle w:val="P68B1DB1-Normal012"/>
              <w:spacing w:line="240" w:lineRule="auto"/>
              <w:jc w:val="right"/>
              <w:rPr>
                <w:rFonts w:eastAsia="Times New Roman" w:cs="Times New Roman"/>
                <w:noProof/>
                <w:color w:val="000000" w:themeColor="text1"/>
              </w:rPr>
            </w:pPr>
            <w:r>
              <w:rPr>
                <w:noProof/>
              </w:rPr>
              <w:t>100000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7993EE1" w14:textId="3FE1057C" w:rsidR="00EB245A" w:rsidRDefault="006021EE">
            <w:pPr>
              <w:pStyle w:val="P68B1DB1-Normal012"/>
              <w:spacing w:line="240" w:lineRule="auto"/>
              <w:jc w:val="center"/>
              <w:rPr>
                <w:rFonts w:eastAsia="Times New Roman" w:cs="Times New Roman"/>
                <w:noProof/>
                <w:color w:val="000000" w:themeColor="text1"/>
              </w:rPr>
            </w:pPr>
            <w:r>
              <w:rPr>
                <w:noProof/>
              </w:rPr>
              <w:t>Q3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AF53E89" w14:textId="2C790048" w:rsidR="00EB245A" w:rsidRDefault="006021EE">
            <w:pPr>
              <w:pStyle w:val="P68B1DB1-Normal012"/>
              <w:spacing w:line="240" w:lineRule="auto"/>
              <w:jc w:val="center"/>
              <w:rPr>
                <w:rFonts w:eastAsia="Times New Roman" w:cs="Times New Roman"/>
                <w:noProof/>
                <w:color w:val="000000" w:themeColor="text1"/>
              </w:rPr>
            </w:pPr>
            <w:r>
              <w:rPr>
                <w:noProof/>
              </w:rPr>
              <w:t>2025</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205CEC5" w14:textId="0D2AFE2B"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Anzahl der Klassenzimmer in Berufsschulen und allgemeinen Bildungseinrichtungen, die über eine LAN-Verbindung mit einem Internetzugang verfügen, der über die Mindestanforderungen von 100 Mbit/s hinausgeht. </w:t>
            </w:r>
          </w:p>
          <w:p w14:paraId="16311FF3" w14:textId="5AD5E72D"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p>
          <w:p w14:paraId="631B5B0C" w14:textId="16D9C68B"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Die Auswahl der Stellen, die die </w:t>
            </w:r>
            <w:r>
              <w:rPr>
                <w:noProof/>
              </w:rPr>
              <w:t>Netzinfrastruktur bereitstellen, erfolgt auf faire, wettbewerbsorientierte und transparente Weise im Einklang mit dem Rahmen des Etappenziels C10L.</w:t>
            </w:r>
          </w:p>
        </w:tc>
      </w:tr>
      <w:tr w:rsidR="00EB245A" w14:paraId="6861CF27" w14:textId="77777777" w:rsidTr="00553DEA">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D965B08" w14:textId="020D5350"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C7G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72E7880"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C2.1 Ausbau digitaler Anwendungen im öffentlichen Raum, in der Wirtschaft und in der Gesellschaft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C2DDF5"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93948B1" w14:textId="7A8F29F5" w:rsidR="00EB245A" w:rsidRDefault="006021EE">
            <w:pPr>
              <w:pStyle w:val="P68B1DB1-Normal012"/>
              <w:spacing w:after="0" w:line="240" w:lineRule="auto"/>
              <w:rPr>
                <w:rFonts w:eastAsia="Times New Roman" w:cs="Times New Roman"/>
                <w:noProof/>
                <w:color w:val="006100"/>
              </w:rPr>
            </w:pPr>
            <w:r>
              <w:rPr>
                <w:noProof/>
              </w:rPr>
              <w:t xml:space="preserve">Änderung des Gesetzes vom 17. Februar 2005 über die Informatisierung der Tätigkeiten von Einrichtungen, die öffentliche Aufgaben wahrnehmen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A3D6AEB"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Bestimmung in der Änderung des Rechtsakts über das Inkrafttreten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9C487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9757454"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FE145A"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4F02C7"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D860353" w14:textId="6149A366" w:rsidR="00EB245A" w:rsidRDefault="006021EE">
            <w:pPr>
              <w:pStyle w:val="P68B1DB1-Normal012"/>
              <w:spacing w:after="0" w:line="240" w:lineRule="auto"/>
              <w:jc w:val="center"/>
              <w:rPr>
                <w:rFonts w:eastAsia="Times New Roman" w:cs="Times New Roman"/>
                <w:noProof/>
                <w:color w:val="006100"/>
              </w:rPr>
            </w:pPr>
            <w:r>
              <w:rPr>
                <w:noProof/>
              </w:rPr>
              <w:t>2024</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E87606" w14:textId="610E6295" w:rsidR="00EB245A" w:rsidRDefault="006021EE">
            <w:pPr>
              <w:pStyle w:val="P68B1DB1-Normal012"/>
              <w:spacing w:after="0" w:line="240" w:lineRule="auto"/>
              <w:rPr>
                <w:rFonts w:eastAsia="Times New Roman" w:cs="Times New Roman"/>
                <w:noProof/>
              </w:rPr>
            </w:pPr>
            <w:r>
              <w:rPr>
                <w:noProof/>
              </w:rPr>
              <w:t xml:space="preserve">Inkrafttreten der Änderung des Gesetzes vom 17. Februar 2005 über die Informatisierung der Tätigkeiten von Einrichtungen, die öffentliche Aufgaben wahrnehmen. </w:t>
            </w:r>
          </w:p>
        </w:tc>
      </w:tr>
      <w:tr w:rsidR="00EB245A" w14:paraId="7922965E" w14:textId="77777777" w:rsidTr="00553DEA">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3A19EC" w14:textId="5441CD1F"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C8G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BA01F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C2.1 Ausbau digitaler Anwendungen im öffentlichen Raum, in der Wirtschaft und in der </w:t>
            </w:r>
            <w:r>
              <w:rPr>
                <w:noProof/>
              </w:rPr>
              <w:t>Gesellschaft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25891B"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D52767F" w14:textId="253A2DFE" w:rsidR="00EB245A" w:rsidRDefault="006021EE">
            <w:pPr>
              <w:pStyle w:val="P68B1DB1-Normal012"/>
              <w:spacing w:after="0" w:line="240" w:lineRule="auto"/>
              <w:rPr>
                <w:rFonts w:eastAsia="Times New Roman" w:cs="Times New Roman"/>
                <w:noProof/>
                <w:color w:val="006100"/>
              </w:rPr>
            </w:pPr>
            <w:r>
              <w:rPr>
                <w:noProof/>
              </w:rPr>
              <w:t>Änderung des Gesetzes vom 11. März 2004 über die Steuer auf Gegenstände und Dienstleistungen (Verwendung strukturierter Rechnungen)</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58881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Bestimmung in der Änderung des Rechtsakts über das Inkrafttreten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C5A4A1E"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4B444D4"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7302B30"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E25394" w14:textId="44033CAB" w:rsidR="00EB245A" w:rsidRDefault="006021EE">
            <w:pPr>
              <w:pStyle w:val="P68B1DB1-Normal012"/>
              <w:spacing w:after="0" w:line="240" w:lineRule="auto"/>
              <w:jc w:val="center"/>
              <w:rPr>
                <w:rFonts w:eastAsia="Times New Roman" w:cs="Times New Roman"/>
                <w:noProof/>
                <w:color w:val="006100"/>
              </w:rPr>
            </w:pPr>
            <w:r>
              <w:rPr>
                <w:noProof/>
              </w:rPr>
              <w:t>Q4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A82230" w14:textId="4B3B4C54" w:rsidR="00EB245A" w:rsidRDefault="006021EE">
            <w:pPr>
              <w:pStyle w:val="P68B1DB1-Normal012"/>
              <w:spacing w:after="0" w:line="240" w:lineRule="auto"/>
              <w:jc w:val="center"/>
              <w:rPr>
                <w:rFonts w:eastAsia="Times New Roman" w:cs="Times New Roman"/>
                <w:noProof/>
                <w:color w:val="006100"/>
              </w:rPr>
            </w:pPr>
            <w:r>
              <w:rPr>
                <w:noProof/>
              </w:rPr>
              <w:t>2025</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1DAE331" w14:textId="77777777" w:rsidR="00EB245A" w:rsidRDefault="006021EE">
            <w:pPr>
              <w:pStyle w:val="P68B1DB1-Normal012"/>
              <w:spacing w:after="0" w:line="240" w:lineRule="auto"/>
              <w:rPr>
                <w:noProof/>
                <w:color w:val="000000" w:themeColor="text1"/>
              </w:rPr>
            </w:pPr>
            <w:r>
              <w:rPr>
                <w:noProof/>
              </w:rPr>
              <w:t xml:space="preserve">Inkrafttreten der Änderung des Gesetzes vom 11. März 2004 über die Steuer auf Gegenstände und Dienstleistungen (Verwendung strukturierter Rechnungen). </w:t>
            </w:r>
          </w:p>
          <w:p w14:paraId="6A7CDBA7" w14:textId="77777777" w:rsidR="00EB245A" w:rsidRDefault="00EB245A">
            <w:pPr>
              <w:pStyle w:val="Normal0"/>
              <w:spacing w:after="0" w:line="240" w:lineRule="auto"/>
              <w:rPr>
                <w:rFonts w:ascii="Times New Roman" w:hAnsi="Times New Roman"/>
                <w:noProof/>
                <w:color w:val="000000" w:themeColor="text1"/>
                <w:sz w:val="18"/>
              </w:rPr>
            </w:pPr>
          </w:p>
          <w:p w14:paraId="1BBA5136" w14:textId="1D983F0D" w:rsidR="00EB245A" w:rsidRDefault="006021EE">
            <w:pPr>
              <w:pStyle w:val="P68B1DB1-Normal012"/>
              <w:spacing w:after="0" w:line="240" w:lineRule="auto"/>
              <w:rPr>
                <w:rFonts w:eastAsia="Times New Roman" w:cs="Times New Roman"/>
                <w:noProof/>
              </w:rPr>
            </w:pPr>
            <w:r>
              <w:rPr>
                <w:noProof/>
              </w:rPr>
              <w:t>Es kann ein Übergangszeitraum angewandt werden, damit die Verwendung elektronischer Rechnungen ab dem 3</w:t>
            </w:r>
            <w:r>
              <w:rPr>
                <w:noProof/>
              </w:rPr>
              <w:t xml:space="preserve">0. Juni 2026 verbindlich vorgeschrieben ist.  </w:t>
            </w:r>
          </w:p>
        </w:tc>
      </w:tr>
      <w:tr w:rsidR="00EB245A" w14:paraId="36A8C74D" w14:textId="77777777" w:rsidTr="00553DEA">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CF255B" w14:textId="7B670CC8" w:rsidR="00EB245A" w:rsidRDefault="006021EE">
            <w:pPr>
              <w:pStyle w:val="P68B1DB1-Normal011"/>
              <w:spacing w:after="0" w:line="240" w:lineRule="auto"/>
              <w:jc w:val="center"/>
              <w:rPr>
                <w:rFonts w:eastAsia="Times New Roman" w:cs="Times New Roman"/>
                <w:noProof/>
                <w:color w:val="006100"/>
              </w:rPr>
            </w:pPr>
            <w:r>
              <w:rPr>
                <w:noProof/>
              </w:rPr>
              <w:t>C9G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674AA1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C2.1 Ausbau digitaler Anwendungen im öffentlichen Raum, in der Wirtschaft und in der Gesellschaft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A133F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1935D2" w14:textId="139CD46B"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Verbindliche Mindeststandards für die Ausstattung aller Schulen mit digitaler Infrastruktur, </w:t>
            </w:r>
            <w:r>
              <w:rPr>
                <w:noProof/>
              </w:rPr>
              <w:t>um den gleichberechtigten Einsatz digitaler Technologien für das Lernen in jeder Schule zu ermöglichen</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03FBEF" w14:textId="43A95213" w:rsidR="00EB245A" w:rsidRDefault="006021EE">
            <w:pPr>
              <w:pStyle w:val="P68B1DB1-Normal012"/>
              <w:spacing w:after="0" w:line="240" w:lineRule="auto"/>
              <w:rPr>
                <w:rFonts w:eastAsia="Times New Roman" w:cs="Times New Roman"/>
                <w:noProof/>
                <w:color w:val="006100"/>
              </w:rPr>
            </w:pPr>
            <w:r>
              <w:rPr>
                <w:noProof/>
              </w:rPr>
              <w:t xml:space="preserve">Annahme der Normen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4BE6B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588F84"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30DC6E6"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EB2FD71"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1542F09"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2022</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947D6D8" w14:textId="56B88977" w:rsidR="00EB245A" w:rsidRDefault="006021EE">
            <w:pPr>
              <w:pStyle w:val="P68B1DB1-Normal012"/>
              <w:spacing w:after="0" w:line="240" w:lineRule="auto"/>
              <w:rPr>
                <w:rFonts w:eastAsia="Times New Roman" w:cs="Times New Roman"/>
                <w:noProof/>
              </w:rPr>
            </w:pPr>
            <w:r>
              <w:rPr>
                <w:noProof/>
              </w:rPr>
              <w:t xml:space="preserve">Annahme verbindlicher Standards für die Ausstattung von Schulen mit digitaler Infrastruktur, die für Schulen </w:t>
            </w:r>
            <w:r>
              <w:rPr>
                <w:noProof/>
              </w:rPr>
              <w:t xml:space="preserve">verbindlich vorgeschrieben sind, um das gleiche Niveau der digitalen Infrastruktur zu erreichen. Bei der Ausarbeitung der Normen werden die Interessenträger und die lokale Regierung konsultiert. </w:t>
            </w:r>
          </w:p>
        </w:tc>
      </w:tr>
      <w:tr w:rsidR="00EB245A" w14:paraId="55BAA1FE" w14:textId="77777777" w:rsidTr="00553DEA">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7B3593" w14:textId="3B62426D"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C10G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739632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C2.1 Ausbau digitaler Anwendungen im öffentlichen </w:t>
            </w:r>
            <w:r>
              <w:rPr>
                <w:noProof/>
              </w:rPr>
              <w:t>Raum, in der Wirtschaft und in der Gesellschaft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AE86F0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5C69072" w14:textId="124DF924" w:rsidR="00EB245A" w:rsidRDefault="006021EE">
            <w:pPr>
              <w:pStyle w:val="P68B1DB1-Normal012"/>
              <w:spacing w:after="0" w:line="240" w:lineRule="auto"/>
              <w:rPr>
                <w:rFonts w:eastAsia="Times New Roman" w:cs="Times New Roman"/>
                <w:noProof/>
                <w:color w:val="006100"/>
              </w:rPr>
            </w:pPr>
            <w:r>
              <w:rPr>
                <w:noProof/>
              </w:rPr>
              <w:t xml:space="preserve">Inkrafttreten der Entschließung des Ministerrats zum Programm zur Entwicklung digitaler Kompetenzen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B47E529" w14:textId="38D2618C"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Bestimmung in der Entschließung des Ministerrates über deren Inkrafttreten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CFE32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DF0942A"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5228C5"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377DA0"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85EBC06"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2022</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E3A4E9" w14:textId="529F1771" w:rsidR="00EB245A" w:rsidRDefault="006021EE">
            <w:pPr>
              <w:pStyle w:val="P68B1DB1-Normal012"/>
              <w:spacing w:after="0" w:line="240" w:lineRule="auto"/>
              <w:rPr>
                <w:rFonts w:eastAsia="Times New Roman" w:cs="Times New Roman"/>
                <w:noProof/>
              </w:rPr>
            </w:pPr>
            <w:r>
              <w:rPr>
                <w:noProof/>
              </w:rPr>
              <w:t>Inkrafttreten der Entschließung des Ministerrats zum Programm zur Entwicklung digitaler Kompetenzen (ein Mehrjahresprogramm bis 2030), einschließlich des Durchführungsplans sowie der Evaluierungs- und Überwachungsmaßnahmen im Einklang mit dem Gesetz über d</w:t>
            </w:r>
            <w:r>
              <w:rPr>
                <w:noProof/>
              </w:rPr>
              <w:t>ie Grundsätze der Entwicklungspolitik. Das Programm wird auf der Grundlage eines Multi-Stakeholder-Ansatzes entwickelt. Mit dem Programm werden unter anderem das Zentrum für die Entwicklung digitaler Kompetenzen (DCDC) und die Strategie für die Entwicklung</w:t>
            </w:r>
            <w:r>
              <w:rPr>
                <w:noProof/>
              </w:rPr>
              <w:t xml:space="preserve"> digitaler Kompetenzen eingerichtet. </w:t>
            </w:r>
          </w:p>
        </w:tc>
      </w:tr>
      <w:tr w:rsidR="00EB245A" w14:paraId="39385EED" w14:textId="77777777" w:rsidTr="00553DEA">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9E354E" w14:textId="439B2D7C"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C11G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7D3C66" w14:textId="545B8935" w:rsidR="00EB245A" w:rsidRDefault="006021EE">
            <w:pPr>
              <w:pStyle w:val="P68B1DB1-Normal012"/>
              <w:spacing w:after="0" w:line="240" w:lineRule="auto"/>
              <w:rPr>
                <w:rFonts w:eastAsia="Times New Roman" w:cs="Times New Roman"/>
                <w:noProof/>
                <w:color w:val="006100"/>
              </w:rPr>
            </w:pPr>
            <w:r>
              <w:rPr>
                <w:noProof/>
              </w:rPr>
              <w:t>C2.1.1 Öffentliche elektronische Dienste, IT-Lösungen zur Verbesserung der Funktionsweise von Verwaltungen und Wirtschaftssektoren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6B9EE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Ziel</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505008" w14:textId="2205D47A"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T1 – Fertigstellung neuer elektronischer Dienste oder Modernisierung </w:t>
            </w:r>
            <w:r>
              <w:rPr>
                <w:noProof/>
              </w:rPr>
              <w:t>bestehender Dienste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25C913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B2D38F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Anzahl</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6EE7DBF"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35DA4F4" w14:textId="697698B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871EA41" w14:textId="21CAD972"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0000" w:themeColor="text1"/>
              </w:rPr>
            </w:pPr>
            <w:r>
              <w:rPr>
                <w:noProof/>
              </w:rPr>
              <w:t>Q2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75D344D" w14:textId="39048C35"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0000" w:themeColor="text1"/>
              </w:rPr>
            </w:pPr>
            <w:r>
              <w:rPr>
                <w:noProof/>
              </w:rPr>
              <w:t>2025</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CF425D" w14:textId="3BB385A8"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Zahl der neu fertiggestellten elektronischen Dienste oder der Modernisierung bestehender Dienste, einschließlich derjenigen, die im mobilen Kanal als Teil der mObywatel-Anwendung verfügbar sind. </w:t>
            </w:r>
          </w:p>
          <w:p w14:paraId="3447F2E7" w14:textId="4595D5AB" w:rsidR="00EB245A" w:rsidRDefault="006021EE">
            <w:pPr>
              <w:pStyle w:val="P68B1DB1-Normal012"/>
              <w:pBdr>
                <w:top w:val="nil"/>
                <w:left w:val="nil"/>
                <w:bottom w:val="nil"/>
                <w:right w:val="nil"/>
                <w:between w:val="nil"/>
              </w:pBdr>
              <w:spacing w:after="0" w:line="240" w:lineRule="auto"/>
              <w:rPr>
                <w:noProof/>
                <w:color w:val="000000" w:themeColor="text1"/>
              </w:rPr>
            </w:pPr>
            <w:r>
              <w:rPr>
                <w:noProof/>
              </w:rPr>
              <w:t xml:space="preserve">Die neu fertiggestellten oder modernisierten elektronischen Dienste verbessern die digitale Interaktion zwischen Bürgern und Unternehmen mit der öffentlichen Verwaltung durch folgende Elemente: </w:t>
            </w:r>
          </w:p>
          <w:p w14:paraId="7E432A52" w14:textId="31F31113" w:rsidR="00EB245A" w:rsidRDefault="006021EE">
            <w:pPr>
              <w:pStyle w:val="P68B1DB1-Normal012"/>
              <w:numPr>
                <w:ilvl w:val="0"/>
                <w:numId w:val="8"/>
              </w:numPr>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vollständige Digitalisierung der Verfahren, </w:t>
            </w:r>
          </w:p>
          <w:p w14:paraId="482876F2" w14:textId="049DEEC4" w:rsidR="00EB245A" w:rsidRDefault="006021EE">
            <w:pPr>
              <w:pStyle w:val="P68B1DB1-Normal012"/>
              <w:numPr>
                <w:ilvl w:val="0"/>
                <w:numId w:val="8"/>
              </w:numPr>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elektronische Signatur und Übermittlung der Anhänge, </w:t>
            </w:r>
          </w:p>
          <w:p w14:paraId="729FAEE4" w14:textId="5E56F3A3" w:rsidR="00EB245A" w:rsidRDefault="006021EE">
            <w:pPr>
              <w:pStyle w:val="P68B1DB1-Normal012"/>
              <w:numPr>
                <w:ilvl w:val="0"/>
                <w:numId w:val="8"/>
              </w:numPr>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Online-Zahlungen. </w:t>
            </w:r>
          </w:p>
          <w:p w14:paraId="1A3FAC43" w14:textId="22A7542A"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r>
              <w:rPr>
                <w:rFonts w:ascii="Times New Roman" w:hAnsi="Times New Roman"/>
                <w:noProof/>
                <w:color w:val="000000" w:themeColor="text1"/>
                <w:sz w:val="18"/>
              </w:rPr>
              <w:t xml:space="preserve">Mindestens 40 % der neu fertiggestellten oder modernisierten elektronischen Dienste müssen in der mObywatel-Anwendung verfügbar sein. </w:t>
            </w:r>
            <w:r>
              <w:rPr>
                <w:noProof/>
              </w:rPr>
              <w:t xml:space="preserve"> </w:t>
            </w:r>
          </w:p>
        </w:tc>
      </w:tr>
      <w:tr w:rsidR="00EB245A" w14:paraId="176D46E2" w14:textId="77777777" w:rsidTr="00553DEA">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1384E9" w14:textId="332CB860"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C12G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6344A3C" w14:textId="11EFC5D2" w:rsidR="00EB245A" w:rsidRDefault="006021EE">
            <w:pPr>
              <w:pStyle w:val="P68B1DB1-Normal012"/>
              <w:spacing w:after="0" w:line="240" w:lineRule="auto"/>
              <w:rPr>
                <w:rFonts w:eastAsia="Times New Roman" w:cs="Times New Roman"/>
                <w:noProof/>
                <w:color w:val="006100"/>
              </w:rPr>
            </w:pPr>
            <w:r>
              <w:rPr>
                <w:noProof/>
              </w:rPr>
              <w:t>C2.1.1 Öffentliche elektronische Dienste,</w:t>
            </w:r>
            <w:r>
              <w:rPr>
                <w:noProof/>
              </w:rPr>
              <w:t xml:space="preserve"> IT-Lösungen zur Verbesserung der Funktionsweise von Verwaltungen und Wirtschaftssektoren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07DD9B9"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Ziel</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4A68B45" w14:textId="57211C36"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T2 – Fertigstellung neuer elektronischer Dienste oder Modernisierung bestehender Dienste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DEF05E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77F76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Anzahl</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A622172" w14:textId="241AE069"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3A369E3" w14:textId="3684D1E5"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0000" w:themeColor="text1"/>
              </w:rPr>
            </w:pPr>
            <w:r>
              <w:rPr>
                <w:noProof/>
              </w:rPr>
              <w:t>69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8A6AD7B"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F43938"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2026</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189CABD" w14:textId="53A946F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Zahl der neu fertiggestellten elektronischen Dienste oder der Modernisierung bestehender Dienste, einschließlich derjenigen, die im mobilen Kanal als Teil der mObywatel-Anwendung verfügbar sind. </w:t>
            </w:r>
          </w:p>
          <w:p w14:paraId="5FC819B3" w14:textId="526D2D50"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p>
          <w:p w14:paraId="6B6125D4" w14:textId="7D5BCBA7" w:rsidR="00EB245A" w:rsidRDefault="006021EE">
            <w:pPr>
              <w:pStyle w:val="P68B1DB1-Normal012"/>
              <w:pBdr>
                <w:top w:val="nil"/>
                <w:left w:val="nil"/>
                <w:bottom w:val="nil"/>
                <w:right w:val="nil"/>
                <w:between w:val="nil"/>
              </w:pBdr>
              <w:spacing w:after="0" w:line="240" w:lineRule="auto"/>
              <w:rPr>
                <w:noProof/>
                <w:color w:val="000000" w:themeColor="text1"/>
              </w:rPr>
            </w:pPr>
            <w:r>
              <w:rPr>
                <w:noProof/>
              </w:rPr>
              <w:t>Die neu fertiggestellten oder modernisierten elektronischen</w:t>
            </w:r>
            <w:r>
              <w:rPr>
                <w:noProof/>
              </w:rPr>
              <w:t xml:space="preserve"> Dienste verbessern die digitale Interaktion zwischen Bürgern und Unternehmen mit der öffentlichen Verwaltung durch folgende Elemente: </w:t>
            </w:r>
          </w:p>
          <w:p w14:paraId="71FDCFD3" w14:textId="2084F558"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 vollständige Digitalisierung der Verfahren, </w:t>
            </w:r>
          </w:p>
          <w:p w14:paraId="077C4B9E" w14:textId="2718CCCE" w:rsidR="00EB245A" w:rsidRDefault="006021EE">
            <w:pPr>
              <w:pStyle w:val="P68B1DB1-Normal012"/>
              <w:pBdr>
                <w:top w:val="nil"/>
                <w:left w:val="nil"/>
                <w:bottom w:val="nil"/>
                <w:right w:val="nil"/>
                <w:between w:val="nil"/>
              </w:pBdr>
              <w:spacing w:after="0" w:line="240" w:lineRule="auto"/>
              <w:rPr>
                <w:noProof/>
                <w:color w:val="000000" w:themeColor="text1"/>
              </w:rPr>
            </w:pPr>
            <w:r>
              <w:rPr>
                <w:noProof/>
              </w:rPr>
              <w:t>— elektronische Signatur und Einreichung von Anhängen,</w:t>
            </w:r>
          </w:p>
          <w:p w14:paraId="6D72EA69" w14:textId="42DFF672"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r>
              <w:rPr>
                <w:rFonts w:ascii="Times New Roman" w:hAnsi="Times New Roman"/>
                <w:noProof/>
                <w:color w:val="000000" w:themeColor="text1"/>
                <w:sz w:val="18"/>
              </w:rPr>
              <w:t>— Online-Zahlungen</w:t>
            </w:r>
            <w:r>
              <w:rPr>
                <w:rFonts w:ascii="Times New Roman" w:hAnsi="Times New Roman"/>
                <w:noProof/>
                <w:color w:val="000000" w:themeColor="text1"/>
                <w:sz w:val="18"/>
              </w:rPr>
              <w:t>.</w:t>
            </w:r>
            <w:r>
              <w:rPr>
                <w:noProof/>
              </w:rPr>
              <w:tab/>
            </w:r>
            <w:r>
              <w:rPr>
                <w:rFonts w:ascii="Times New Roman" w:hAnsi="Times New Roman"/>
                <w:noProof/>
                <w:color w:val="000000" w:themeColor="text1"/>
                <w:sz w:val="18"/>
              </w:rPr>
              <w:t xml:space="preserve"> </w:t>
            </w:r>
          </w:p>
          <w:p w14:paraId="1342F8DC" w14:textId="4FE2FDAD"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p>
          <w:p w14:paraId="71576F82" w14:textId="4D4DEE68"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Mindestens 40 % der neu fertiggestellten oder modernisierten elektronischen Dienste müssen in der mObywatel-Anwendung verfügbar sein. </w:t>
            </w:r>
          </w:p>
        </w:tc>
      </w:tr>
      <w:tr w:rsidR="00EB245A" w14:paraId="667CA649" w14:textId="77777777" w:rsidTr="00553DEA">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EC472E" w14:textId="0F5C7DB4" w:rsidR="00EB245A" w:rsidRDefault="006021EE">
            <w:pPr>
              <w:pStyle w:val="P68B1DB1-Normal011"/>
              <w:pBdr>
                <w:top w:val="nil"/>
                <w:left w:val="nil"/>
                <w:bottom w:val="nil"/>
                <w:right w:val="nil"/>
                <w:between w:val="nil"/>
              </w:pBdr>
              <w:spacing w:after="0" w:line="240" w:lineRule="auto"/>
              <w:jc w:val="center"/>
              <w:rPr>
                <w:rFonts w:cs="Times New Roman"/>
                <w:noProof/>
              </w:rPr>
            </w:pPr>
            <w:r>
              <w:rPr>
                <w:noProof/>
              </w:rPr>
              <w:t>C13aG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736C7A" w14:textId="01DA649D" w:rsidR="00EB245A" w:rsidRDefault="006021EE">
            <w:pPr>
              <w:pStyle w:val="P68B1DB1-Normal012"/>
              <w:spacing w:after="0" w:line="240" w:lineRule="auto"/>
              <w:rPr>
                <w:rFonts w:eastAsia="Times New Roman" w:cs="Times New Roman"/>
                <w:noProof/>
              </w:rPr>
            </w:pPr>
            <w:r>
              <w:rPr>
                <w:noProof/>
              </w:rPr>
              <w:t xml:space="preserve">C2.1.1 Öffentliche elektronische Dienste, IT-Lösungen zur Verbesserung der Funktionsweise von Verwaltungen und Wirtschaftssektoren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1156A13" w14:textId="46032664"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932802" w14:textId="66C7316F" w:rsidR="00EB245A" w:rsidRDefault="006021EE">
            <w:pPr>
              <w:pStyle w:val="P68B1DB1-Normal012"/>
              <w:pBdr>
                <w:top w:val="nil"/>
                <w:left w:val="nil"/>
                <w:bottom w:val="nil"/>
                <w:right w:val="nil"/>
                <w:between w:val="nil"/>
              </w:pBdr>
              <w:spacing w:after="0" w:line="240" w:lineRule="auto"/>
              <w:rPr>
                <w:noProof/>
              </w:rPr>
            </w:pPr>
            <w:r>
              <w:rPr>
                <w:noProof/>
              </w:rPr>
              <w:t>Fertigstellung neuer öffentlicher IT-Systeme oder Ausbau bestehender Systeme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17284AF"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158EAA5" w14:textId="26269093"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2E70D8" w14:textId="27E14042"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0000" w:themeColor="text1"/>
              </w:rPr>
            </w:pPr>
            <w:r>
              <w:rPr>
                <w:noProof/>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ABCB16" w14:textId="63108952"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0000" w:themeColor="text1"/>
              </w:rPr>
            </w:pPr>
            <w:r>
              <w:rPr>
                <w:noProof/>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C9AE2CF" w14:textId="1D4A7352"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CFBF48B" w14:textId="010E3FFD"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2026</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8E14E11" w14:textId="550045C1" w:rsidR="00EB245A" w:rsidRDefault="006021EE">
            <w:pPr>
              <w:pStyle w:val="P68B1DB1-Normal012"/>
              <w:pBdr>
                <w:top w:val="nil"/>
                <w:left w:val="nil"/>
                <w:bottom w:val="nil"/>
                <w:right w:val="nil"/>
                <w:between w:val="nil"/>
              </w:pBdr>
              <w:spacing w:after="0" w:line="240" w:lineRule="auto"/>
              <w:rPr>
                <w:noProof/>
                <w:color w:val="000000" w:themeColor="text1"/>
              </w:rPr>
            </w:pPr>
            <w:r>
              <w:rPr>
                <w:noProof/>
              </w:rPr>
              <w:t xml:space="preserve">Mindestens vier </w:t>
            </w:r>
            <w:r>
              <w:rPr>
                <w:noProof/>
              </w:rPr>
              <w:t>öffentliche IT-Systeme müssen (bei neuen öffentlichen IT-Systemen) fertiggestellt oder (bei bestehenden öffentlichen IT-Systemen) erweitert werden und zur Schaffung neuer öffentlicher elektronischer Dienste oder zur Verbesserung der Qualität (Benutzererfah</w:t>
            </w:r>
            <w:r>
              <w:rPr>
                <w:noProof/>
              </w:rPr>
              <w:t>rung) der bestehenden elektronischen Dienste beitragen.</w:t>
            </w:r>
          </w:p>
        </w:tc>
      </w:tr>
      <w:tr w:rsidR="00EB245A" w14:paraId="1B9AE539" w14:textId="77777777" w:rsidTr="00553DEA">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4AE801E" w14:textId="0A38ED0D" w:rsidR="00EB245A" w:rsidRDefault="006021EE">
            <w:pPr>
              <w:pStyle w:val="P68B1DB1-Normal011"/>
              <w:spacing w:after="0" w:line="240" w:lineRule="auto"/>
              <w:jc w:val="center"/>
              <w:rPr>
                <w:noProof/>
              </w:rPr>
            </w:pPr>
            <w:r>
              <w:rPr>
                <w:noProof/>
              </w:rPr>
              <w:t>C13bG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7F08E31" w14:textId="22BC5A14" w:rsidR="00EB245A" w:rsidRDefault="006021EE">
            <w:pPr>
              <w:pStyle w:val="P68B1DB1-Normal011"/>
              <w:spacing w:line="240" w:lineRule="auto"/>
              <w:rPr>
                <w:noProof/>
              </w:rPr>
            </w:pPr>
            <w:r>
              <w:rPr>
                <w:noProof/>
              </w:rPr>
              <w:t>C2.1.1 Öffentliche elektronische Dienste, IT-Lösungen zur Verbesserung der Funktionsweise von Verwaltungen und Wirtschaftssektoren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7908293" w14:textId="2447AFEB" w:rsidR="00EB245A" w:rsidRDefault="006021EE">
            <w:pPr>
              <w:pStyle w:val="P68B1DB1-Normal011"/>
              <w:spacing w:line="240" w:lineRule="auto"/>
              <w:rPr>
                <w:noProof/>
              </w:rPr>
            </w:pPr>
            <w:r>
              <w:rPr>
                <w:noProof/>
              </w:rPr>
              <w:t xml:space="preserve">Ziel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05A8F1" w14:textId="653B282A" w:rsidR="00EB245A" w:rsidRDefault="006021EE">
            <w:pPr>
              <w:pStyle w:val="P68B1DB1-Normal011"/>
              <w:spacing w:line="240" w:lineRule="auto"/>
              <w:rPr>
                <w:noProof/>
              </w:rPr>
            </w:pPr>
            <w:r>
              <w:rPr>
                <w:noProof/>
              </w:rPr>
              <w:t xml:space="preserve">Digitalisierung des Backoffice der öffentlichen </w:t>
            </w:r>
            <w:r>
              <w:rPr>
                <w:noProof/>
              </w:rPr>
              <w:t>Verwaltung</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D4F0F7C" w14:textId="658C6F34" w:rsidR="00EB245A" w:rsidRDefault="00EB245A">
            <w:pPr>
              <w:pStyle w:val="Normal0"/>
              <w:spacing w:line="240" w:lineRule="auto"/>
              <w:jc w:val="center"/>
              <w:rPr>
                <w:rFonts w:ascii="Times New Roman" w:hAnsi="Times New Roman"/>
                <w:noProof/>
                <w:sz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E461CF3" w14:textId="08AB4C44" w:rsidR="00EB245A" w:rsidRDefault="006021EE">
            <w:pPr>
              <w:pStyle w:val="P68B1DB1-Normal011"/>
              <w:spacing w:line="240" w:lineRule="auto"/>
              <w:jc w:val="center"/>
              <w:rPr>
                <w:noProof/>
              </w:rPr>
            </w:pPr>
            <w:r>
              <w:rPr>
                <w:noProof/>
              </w:rPr>
              <w:t>Anzahl</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4E511E" w14:textId="0A54E76E" w:rsidR="00EB245A" w:rsidRDefault="006021EE">
            <w:pPr>
              <w:pStyle w:val="P68B1DB1-Normal011"/>
              <w:spacing w:line="240" w:lineRule="auto"/>
              <w:jc w:val="right"/>
              <w:rPr>
                <w:noProof/>
              </w:rPr>
            </w:pPr>
            <w:r>
              <w:rPr>
                <w:noProof/>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EE8F0C" w14:textId="4E5B13D9" w:rsidR="00EB245A" w:rsidRDefault="006021EE">
            <w:pPr>
              <w:pStyle w:val="P68B1DB1-Normal011"/>
              <w:spacing w:line="240" w:lineRule="auto"/>
              <w:jc w:val="right"/>
              <w:rPr>
                <w:noProof/>
              </w:rPr>
            </w:pPr>
            <w:r>
              <w:rPr>
                <w:noProof/>
              </w:rPr>
              <w:t>2000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9584362" w14:textId="26E6F363" w:rsidR="00EB245A" w:rsidRDefault="006021EE">
            <w:pPr>
              <w:pStyle w:val="P68B1DB1-Normal011"/>
              <w:spacing w:line="240" w:lineRule="auto"/>
              <w:jc w:val="center"/>
              <w:rPr>
                <w:noProof/>
              </w:rPr>
            </w:pPr>
            <w:r>
              <w:rPr>
                <w:noProof/>
              </w:rPr>
              <w:t>Q2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58FFF0" w14:textId="3301A5EE" w:rsidR="00EB245A" w:rsidRDefault="006021EE">
            <w:pPr>
              <w:pStyle w:val="P68B1DB1-Normal011"/>
              <w:spacing w:line="240" w:lineRule="auto"/>
              <w:jc w:val="center"/>
              <w:rPr>
                <w:noProof/>
              </w:rPr>
            </w:pPr>
            <w:r>
              <w:rPr>
                <w:noProof/>
              </w:rPr>
              <w:t>2026</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845954" w14:textId="17154F44" w:rsidR="00EB245A" w:rsidRDefault="006021EE">
            <w:pPr>
              <w:pStyle w:val="P68B1DB1-Normal011"/>
              <w:spacing w:line="240" w:lineRule="auto"/>
              <w:rPr>
                <w:noProof/>
              </w:rPr>
            </w:pPr>
            <w:r>
              <w:rPr>
                <w:noProof/>
              </w:rPr>
              <w:t>Im Jahr</w:t>
            </w:r>
            <w:r>
              <w:rPr>
                <w:noProof/>
                <w:color w:val="000000" w:themeColor="text1"/>
              </w:rPr>
              <w:t xml:space="preserve"> </w:t>
            </w:r>
            <w:r>
              <w:rPr>
                <w:noProof/>
              </w:rPr>
              <w:t xml:space="preserve">2000 werden Einrichtungen, die öffentliche Aufgaben wahrnehmen, ein elektronisches Dokumentenverwaltungssystem eingeführt und konfiguriert, das die Anforderungen der Rechtsvorschriften erfüllt und die Durchführung </w:t>
            </w:r>
            <w:r>
              <w:rPr>
                <w:noProof/>
              </w:rPr>
              <w:t>von Büro- und Dokumentationstätigkeiten in elektronischer Form ermöglicht.</w:t>
            </w:r>
          </w:p>
          <w:p w14:paraId="60872BB6" w14:textId="1487BACD" w:rsidR="00EB245A" w:rsidRDefault="006021EE">
            <w:pPr>
              <w:pStyle w:val="P68B1DB1-Normal011"/>
              <w:spacing w:line="240" w:lineRule="auto"/>
              <w:rPr>
                <w:noProof/>
              </w:rPr>
            </w:pPr>
            <w:r>
              <w:rPr>
                <w:noProof/>
              </w:rPr>
              <w:t>Darüber hinaus muss ein EZD-Cloud-Dienst SaaS2 betriebsbereit und verfügbar sein, der etwa 300,000 Nutzer, die in Einrichtungen arbeiten, die öffentliche Aufgaben wahrnehmen, mitein</w:t>
            </w:r>
            <w:r>
              <w:rPr>
                <w:noProof/>
              </w:rPr>
              <w:t>ander zu verbinden.</w:t>
            </w:r>
          </w:p>
        </w:tc>
      </w:tr>
      <w:tr w:rsidR="00EB245A" w14:paraId="2EF0B3E9" w14:textId="77777777" w:rsidTr="00553DEA">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6495E1C" w14:textId="2264121B" w:rsidR="00EB245A" w:rsidRDefault="006021EE">
            <w:pPr>
              <w:pStyle w:val="P68B1DB1-Normal011"/>
              <w:spacing w:line="240" w:lineRule="auto"/>
              <w:jc w:val="center"/>
              <w:rPr>
                <w:noProof/>
              </w:rPr>
            </w:pPr>
            <w:r>
              <w:rPr>
                <w:noProof/>
              </w:rPr>
              <w:t>C13cG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4BE98C7" w14:textId="1213CDF2" w:rsidR="00EB245A" w:rsidRDefault="006021EE">
            <w:pPr>
              <w:pStyle w:val="P68B1DB1-Normal012"/>
              <w:spacing w:after="0" w:line="240" w:lineRule="auto"/>
              <w:rPr>
                <w:noProof/>
                <w:color w:val="000000" w:themeColor="text1"/>
              </w:rPr>
            </w:pPr>
            <w:r>
              <w:rPr>
                <w:noProof/>
              </w:rPr>
              <w:t xml:space="preserve">C2.1.1 Öffentliche elektronische Dienste, IT-Lösungen zur Verbesserung der Funktionsweise von Verwaltungen und Wirtschaftssektoren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2D3AF7" w14:textId="6B3F14A2" w:rsidR="00EB245A" w:rsidRDefault="006021EE">
            <w:pPr>
              <w:pStyle w:val="P68B1DB1-Normal012"/>
              <w:spacing w:line="240" w:lineRule="auto"/>
              <w:rPr>
                <w:noProof/>
                <w:color w:val="000000" w:themeColor="text1"/>
              </w:rPr>
            </w:pPr>
            <w:r>
              <w:rPr>
                <w:noProof/>
              </w:rPr>
              <w:t>Meilenstein</w:t>
            </w:r>
          </w:p>
          <w:p w14:paraId="312A515E" w14:textId="1984A8A9" w:rsidR="00EB245A" w:rsidRDefault="00EB245A">
            <w:pPr>
              <w:pStyle w:val="Normal0"/>
              <w:spacing w:line="240" w:lineRule="auto"/>
              <w:rPr>
                <w:rFonts w:ascii="Times New Roman" w:hAnsi="Times New Roman"/>
                <w:noProof/>
                <w:color w:val="000000" w:themeColor="text1"/>
                <w:sz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E49BD2" w14:textId="37705570" w:rsidR="00EB245A" w:rsidRDefault="006021EE">
            <w:pPr>
              <w:pStyle w:val="P68B1DB1-Normal012"/>
              <w:spacing w:line="240" w:lineRule="auto"/>
              <w:rPr>
                <w:noProof/>
                <w:color w:val="000000" w:themeColor="text1"/>
              </w:rPr>
            </w:pPr>
            <w:r>
              <w:rPr>
                <w:noProof/>
              </w:rPr>
              <w:t>Das nationale System der elektronischen Rechnungsstellung betriebsbereit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AFC181D" w14:textId="42D479D7" w:rsidR="00EB245A" w:rsidRDefault="006021EE">
            <w:pPr>
              <w:pStyle w:val="P68B1DB1-Normal012"/>
              <w:spacing w:line="240" w:lineRule="auto"/>
              <w:rPr>
                <w:noProof/>
                <w:color w:val="000000" w:themeColor="text1"/>
              </w:rPr>
            </w:pPr>
            <w:r>
              <w:rPr>
                <w:noProof/>
              </w:rPr>
              <w:t>Abschlussbericht des Finanzministeriums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DCA3969" w14:textId="7EB4175D" w:rsidR="00EB245A" w:rsidRDefault="00EB245A">
            <w:pPr>
              <w:pStyle w:val="Normal0"/>
              <w:spacing w:line="240" w:lineRule="auto"/>
              <w:rPr>
                <w:rFonts w:ascii="Times New Roman" w:hAnsi="Times New Roman"/>
                <w:noProof/>
                <w:color w:val="000000" w:themeColor="text1"/>
                <w:sz w:val="1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AC86BE9" w14:textId="57089961" w:rsidR="00EB245A" w:rsidRDefault="00EB245A">
            <w:pPr>
              <w:pStyle w:val="Normal0"/>
              <w:spacing w:line="240" w:lineRule="auto"/>
              <w:jc w:val="right"/>
              <w:rPr>
                <w:rFonts w:ascii="Times New Roman" w:hAnsi="Times New Roman"/>
                <w:noProof/>
                <w:color w:val="000000" w:themeColor="text1"/>
                <w:sz w:val="1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731080D" w14:textId="7B832B55" w:rsidR="00EB245A" w:rsidRDefault="00EB245A">
            <w:pPr>
              <w:pStyle w:val="Normal0"/>
              <w:spacing w:line="240" w:lineRule="auto"/>
              <w:jc w:val="right"/>
              <w:rPr>
                <w:rFonts w:ascii="Times New Roman" w:hAnsi="Times New Roman"/>
                <w:noProof/>
                <w:color w:val="000000" w:themeColor="text1"/>
                <w:sz w:val="1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377E67D" w14:textId="23B2BDDC" w:rsidR="00EB245A" w:rsidRDefault="006021EE">
            <w:pPr>
              <w:pStyle w:val="P68B1DB1-Normal012"/>
              <w:spacing w:line="240" w:lineRule="auto"/>
              <w:jc w:val="center"/>
              <w:rPr>
                <w:noProof/>
                <w:color w:val="000000" w:themeColor="text1"/>
              </w:rPr>
            </w:pPr>
            <w:r>
              <w:rPr>
                <w:noProof/>
              </w:rPr>
              <w:t>Q2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F2961E2" w14:textId="48AC699B" w:rsidR="00EB245A" w:rsidRDefault="006021EE">
            <w:pPr>
              <w:pStyle w:val="P68B1DB1-Normal012"/>
              <w:spacing w:line="240" w:lineRule="auto"/>
              <w:jc w:val="center"/>
              <w:rPr>
                <w:noProof/>
                <w:color w:val="000000" w:themeColor="text1"/>
              </w:rPr>
            </w:pPr>
            <w:r>
              <w:rPr>
                <w:noProof/>
              </w:rPr>
              <w:t>2026</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DD87BD5" w14:textId="306064B5" w:rsidR="00EB245A" w:rsidRDefault="006021EE">
            <w:pPr>
              <w:pStyle w:val="P68B1DB1-Normal012"/>
              <w:spacing w:line="240" w:lineRule="auto"/>
              <w:rPr>
                <w:noProof/>
                <w:color w:val="000000" w:themeColor="text1"/>
              </w:rPr>
            </w:pPr>
            <w:r>
              <w:rPr>
                <w:noProof/>
              </w:rPr>
              <w:t>Das nationale System der elektronischen Rechnungsstellung muss betriebsbereit sein und einen einheitlichen digitalen Rahmen für die Ausstellung und gemeinsame Nutzung strukturierter Rechnungen einführen, d</w:t>
            </w:r>
            <w:r>
              <w:rPr>
                <w:noProof/>
              </w:rPr>
              <w:t>ie die Anforderungen des C8G-Zeichenziels erfüllen.</w:t>
            </w:r>
          </w:p>
        </w:tc>
      </w:tr>
      <w:tr w:rsidR="00EB245A" w14:paraId="5C2D5768" w14:textId="77777777" w:rsidTr="00553DEA">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832373E" w14:textId="185A259E" w:rsidR="00EB245A" w:rsidRDefault="006021EE">
            <w:pPr>
              <w:pStyle w:val="P68B1DB1-Normal011"/>
              <w:spacing w:line="240" w:lineRule="auto"/>
              <w:jc w:val="center"/>
              <w:rPr>
                <w:noProof/>
              </w:rPr>
            </w:pPr>
            <w:r>
              <w:rPr>
                <w:noProof/>
              </w:rPr>
              <w:t>C13dG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26F4183" w14:textId="5F72DA9D" w:rsidR="00EB245A" w:rsidRDefault="006021EE">
            <w:pPr>
              <w:pStyle w:val="P68B1DB1-Normal012"/>
              <w:spacing w:after="0" w:line="240" w:lineRule="auto"/>
              <w:rPr>
                <w:noProof/>
                <w:color w:val="000000" w:themeColor="text1"/>
              </w:rPr>
            </w:pPr>
            <w:r>
              <w:rPr>
                <w:noProof/>
              </w:rPr>
              <w:t>C2.1.1 Öffentliche elektronische Dienste, IT-Lösungen zur Verbesserung der Funktionsweise von Verwaltungen und Wirtschaftssektoren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0B2C41" w14:textId="2378F370" w:rsidR="00EB245A" w:rsidRDefault="006021EE">
            <w:pPr>
              <w:pStyle w:val="P68B1DB1-Normal012"/>
              <w:spacing w:line="240" w:lineRule="auto"/>
              <w:rPr>
                <w:noProof/>
                <w:color w:val="000000" w:themeColor="text1"/>
              </w:rPr>
            </w:pPr>
            <w:r>
              <w:rPr>
                <w:noProof/>
              </w:rPr>
              <w:t>Ziel</w:t>
            </w:r>
          </w:p>
          <w:p w14:paraId="2D7A92F1" w14:textId="7077C739" w:rsidR="00EB245A" w:rsidRDefault="00EB245A">
            <w:pPr>
              <w:pStyle w:val="Normal0"/>
              <w:spacing w:line="240" w:lineRule="auto"/>
              <w:rPr>
                <w:rFonts w:ascii="Times New Roman" w:hAnsi="Times New Roman"/>
                <w:noProof/>
                <w:color w:val="000000" w:themeColor="text1"/>
                <w:sz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62D76AF" w14:textId="22296F8B" w:rsidR="00EB245A" w:rsidRDefault="006021EE">
            <w:pPr>
              <w:pStyle w:val="P68B1DB1-Normal012"/>
              <w:spacing w:after="0" w:line="240" w:lineRule="auto"/>
              <w:rPr>
                <w:rFonts w:eastAsia="Times New Roman" w:cs="Times New Roman"/>
                <w:noProof/>
                <w:color w:val="006100"/>
              </w:rPr>
            </w:pPr>
            <w:r>
              <w:rPr>
                <w:noProof/>
              </w:rPr>
              <w:t xml:space="preserve">Fertigstellung neuer elektronischer Dienste oder </w:t>
            </w:r>
            <w:r>
              <w:rPr>
                <w:noProof/>
              </w:rPr>
              <w:t>Modernisierung bestehender Dienste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01089BD" w14:textId="4AE749FA" w:rsidR="00EB245A" w:rsidRDefault="00EB245A">
            <w:pPr>
              <w:pStyle w:val="Normal0"/>
              <w:spacing w:line="240" w:lineRule="auto"/>
              <w:rPr>
                <w:rFonts w:ascii="Times New Roman" w:hAnsi="Times New Roman"/>
                <w:noProof/>
                <w:color w:val="000000" w:themeColor="text1"/>
                <w:sz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317B67" w14:textId="08AB4C44" w:rsidR="00EB245A" w:rsidRDefault="006021EE">
            <w:pPr>
              <w:pStyle w:val="P68B1DB1-Normal012"/>
              <w:spacing w:line="240" w:lineRule="auto"/>
              <w:rPr>
                <w:noProof/>
                <w:color w:val="000000" w:themeColor="text1"/>
              </w:rPr>
            </w:pPr>
            <w:r>
              <w:rPr>
                <w:noProof/>
              </w:rPr>
              <w:t>Anzahl</w:t>
            </w:r>
          </w:p>
          <w:p w14:paraId="0A29116C" w14:textId="7801AA30" w:rsidR="00EB245A" w:rsidRDefault="00EB245A">
            <w:pPr>
              <w:pStyle w:val="Normal0"/>
              <w:spacing w:line="240" w:lineRule="auto"/>
              <w:rPr>
                <w:rFonts w:ascii="Times New Roman" w:hAnsi="Times New Roman"/>
                <w:noProof/>
                <w:color w:val="000000" w:themeColor="text1"/>
                <w:sz w:val="1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4FF3E11" w14:textId="670A2879" w:rsidR="00EB245A" w:rsidRDefault="006021EE">
            <w:pPr>
              <w:pStyle w:val="P68B1DB1-Normal012"/>
              <w:spacing w:line="240" w:lineRule="auto"/>
              <w:jc w:val="right"/>
              <w:rPr>
                <w:noProof/>
                <w:color w:val="000000" w:themeColor="text1"/>
              </w:rPr>
            </w:pPr>
            <w:r>
              <w:rPr>
                <w:noProof/>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8F2588A" w14:textId="1E8E677D" w:rsidR="00EB245A" w:rsidRDefault="006021EE">
            <w:pPr>
              <w:pStyle w:val="P68B1DB1-Normal012"/>
              <w:spacing w:line="240" w:lineRule="auto"/>
              <w:jc w:val="right"/>
              <w:rPr>
                <w:noProof/>
                <w:color w:val="000000" w:themeColor="text1"/>
              </w:rPr>
            </w:pPr>
            <w:r>
              <w:rPr>
                <w:noProof/>
              </w:rPr>
              <w:t>33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4163F40" w14:textId="182D4A72" w:rsidR="00EB245A" w:rsidRDefault="006021EE">
            <w:pPr>
              <w:pStyle w:val="P68B1DB1-Normal012"/>
              <w:spacing w:line="240" w:lineRule="auto"/>
              <w:jc w:val="center"/>
              <w:rPr>
                <w:noProof/>
                <w:color w:val="000000" w:themeColor="text1"/>
              </w:rPr>
            </w:pPr>
            <w:r>
              <w:rPr>
                <w:noProof/>
              </w:rPr>
              <w:t>Q2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CE6D54" w14:textId="41BB2145" w:rsidR="00EB245A" w:rsidRDefault="006021EE">
            <w:pPr>
              <w:pStyle w:val="P68B1DB1-Normal012"/>
              <w:spacing w:line="240" w:lineRule="auto"/>
              <w:jc w:val="center"/>
              <w:rPr>
                <w:noProof/>
                <w:color w:val="000000" w:themeColor="text1"/>
              </w:rPr>
            </w:pPr>
            <w:r>
              <w:rPr>
                <w:noProof/>
              </w:rPr>
              <w:t>2026</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ED66B29" w14:textId="361601D8" w:rsidR="00EB245A" w:rsidRDefault="006021EE">
            <w:pPr>
              <w:pStyle w:val="P68B1DB1-Normal012"/>
              <w:spacing w:line="240" w:lineRule="auto"/>
              <w:rPr>
                <w:noProof/>
                <w:color w:val="000000" w:themeColor="text1"/>
              </w:rPr>
            </w:pPr>
            <w:r>
              <w:rPr>
                <w:noProof/>
              </w:rPr>
              <w:t>27 neue elektronische Dienste werden betriebsbereit sein, und sechs bestehende Dienstleistungen werden im e-Tax Office Service aufgerüstet, um die Steuerpflichtigen bei der Erfüllung ihrer steuerlich</w:t>
            </w:r>
            <w:r>
              <w:rPr>
                <w:noProof/>
              </w:rPr>
              <w:t>en Verpflichtungen auf elektronischem Wege zu unterstützen.</w:t>
            </w:r>
          </w:p>
        </w:tc>
      </w:tr>
      <w:tr w:rsidR="00EB245A" w14:paraId="2702E45D" w14:textId="77777777" w:rsidTr="00553DEA">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B7F6EDA" w14:textId="79FD75BC"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C14G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595156" w14:textId="43BED631"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C2.1.2 Gleiche Wettbewerbsbedingungen für Schulen mit mobilen Multimedia-Geräten – Investitionen im Zusammenhang mit der Erfüllung von Mindeststandards für die Ausrüstung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104770"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Ziel</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CA8BBD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Neue tragbare</w:t>
            </w:r>
            <w:r>
              <w:rPr>
                <w:noProof/>
              </w:rPr>
              <w:t xml:space="preserve"> Computer für Lehrkräfte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9C1843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A97E4B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Anzahl</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B7D6BC" w14:textId="15ED9416"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0E8435B" w14:textId="24812EED" w:rsidR="00EB245A" w:rsidRDefault="006021EE">
            <w:pPr>
              <w:pStyle w:val="P68B1DB1-Normal012"/>
              <w:spacing w:after="0" w:line="240" w:lineRule="auto"/>
              <w:jc w:val="right"/>
              <w:rPr>
                <w:rFonts w:eastAsia="Times New Roman" w:cs="Times New Roman"/>
                <w:noProof/>
                <w:color w:val="006100"/>
              </w:rPr>
            </w:pPr>
            <w:r>
              <w:rPr>
                <w:noProof/>
              </w:rPr>
              <w:t>553336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C77EB26" w14:textId="1BC96FD1"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0000" w:themeColor="text1"/>
              </w:rPr>
            </w:pPr>
            <w:r>
              <w:rPr>
                <w:noProof/>
              </w:rPr>
              <w:t>Q4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931638" w14:textId="06090312"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0000" w:themeColor="text1"/>
              </w:rPr>
            </w:pPr>
            <w:r>
              <w:rPr>
                <w:noProof/>
              </w:rPr>
              <w:t>2025</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081DFF" w14:textId="03A6135B" w:rsidR="00EB245A" w:rsidRDefault="006021EE">
            <w:pPr>
              <w:pStyle w:val="P68B1DB1-Normal012"/>
              <w:spacing w:after="0" w:line="240" w:lineRule="auto"/>
              <w:rPr>
                <w:noProof/>
                <w:color w:val="000000" w:themeColor="text1"/>
              </w:rPr>
            </w:pPr>
            <w:r>
              <w:rPr>
                <w:noProof/>
              </w:rPr>
              <w:t xml:space="preserve">Den Schulen müssen mindestens 553336 Gutscheine für tragbare Computer mit der erforderlichen Software zur Verfügung gestellt werden, damit sie die Lehrkräfte nutzen können. </w:t>
            </w:r>
          </w:p>
          <w:p w14:paraId="7828FF7E" w14:textId="77777777" w:rsidR="00EB245A" w:rsidRDefault="00EB245A">
            <w:pPr>
              <w:pStyle w:val="Normal0"/>
              <w:spacing w:after="0" w:line="240" w:lineRule="auto"/>
              <w:rPr>
                <w:rFonts w:ascii="Times New Roman" w:hAnsi="Times New Roman"/>
                <w:noProof/>
                <w:color w:val="000000" w:themeColor="text1"/>
                <w:sz w:val="18"/>
              </w:rPr>
            </w:pPr>
          </w:p>
          <w:p w14:paraId="767B444B" w14:textId="4EE62E33" w:rsidR="00EB245A" w:rsidRDefault="006021EE">
            <w:pPr>
              <w:pStyle w:val="P68B1DB1-Normal012"/>
              <w:spacing w:after="0" w:line="240" w:lineRule="auto"/>
              <w:rPr>
                <w:rFonts w:eastAsia="Times New Roman" w:cs="Times New Roman"/>
                <w:noProof/>
                <w:color w:val="000000" w:themeColor="text1"/>
              </w:rPr>
            </w:pPr>
            <w:r>
              <w:rPr>
                <w:noProof/>
              </w:rPr>
              <w:t>Alle Lehrkräfte haben Anspruch</w:t>
            </w:r>
            <w:r>
              <w:rPr>
                <w:noProof/>
              </w:rPr>
              <w:t xml:space="preserve"> auf einen Gutschein, und die Gutscheine werden ab dem vierten Quartal 2023 zur Verfügung gestellt.</w:t>
            </w:r>
          </w:p>
        </w:tc>
      </w:tr>
      <w:tr w:rsidR="00EB245A" w14:paraId="593BCC2A" w14:textId="77777777" w:rsidTr="00553DEA">
        <w:trPr>
          <w:trHeight w:val="3585"/>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1BB90B5" w14:textId="0B9AA111"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C15G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C28A69C" w14:textId="4044E62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C2.1.2 Gleiche Wettbewerbsbedingungen für Schulen mit mobilen Multimedia-Geräten – Investitionen im Zusammenhang mit der Erfüllung von Mindeststandards für die Ausrüstung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17266B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Ziel</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43819C9" w14:textId="4E4A743E"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Neue tragbare Computer (Laptops und Browser-Laptops) und Tablets, die den Schül</w:t>
            </w:r>
            <w:r>
              <w:rPr>
                <w:noProof/>
              </w:rPr>
              <w:t>erinnen und Schülern zur Verfügung stehen</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8F7B721"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D96072E"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Anzahl</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2E1F76" w14:textId="38DBFD72"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7A20F7" w14:textId="023EA9D1"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735000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208C6E"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361283"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2025</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CA8FB59" w14:textId="20739BB9" w:rsidR="00EB245A" w:rsidRDefault="006021EE">
            <w:pPr>
              <w:pStyle w:val="P68B1DB1-Normal012"/>
              <w:spacing w:after="0" w:line="240" w:lineRule="auto"/>
              <w:rPr>
                <w:noProof/>
                <w:color w:val="000000" w:themeColor="text1"/>
              </w:rPr>
            </w:pPr>
            <w:r>
              <w:rPr>
                <w:noProof/>
              </w:rPr>
              <w:t xml:space="preserve">Den Schulen müssen mindestens 735000 zusätzliche Laptops, Browser-Laptops und Tablets mit der erforderlichen Software zur Verfügung gestellt werden. Laptops und Browser-Laptops mit </w:t>
            </w:r>
            <w:r>
              <w:rPr>
                <w:noProof/>
              </w:rPr>
              <w:t>erforderlicher Software müssen mindestens 55 % bzw. 15 % der Gesamtzahl ausmachen.</w:t>
            </w:r>
          </w:p>
          <w:p w14:paraId="06D8C9CD" w14:textId="77777777" w:rsidR="00EB245A" w:rsidRDefault="00EB245A">
            <w:pPr>
              <w:pStyle w:val="Normal0"/>
              <w:spacing w:after="0" w:line="240" w:lineRule="auto"/>
              <w:rPr>
                <w:rFonts w:ascii="Times New Roman" w:hAnsi="Times New Roman"/>
                <w:noProof/>
                <w:color w:val="000000" w:themeColor="text1"/>
                <w:sz w:val="18"/>
              </w:rPr>
            </w:pPr>
          </w:p>
          <w:p w14:paraId="4F2E0167" w14:textId="69B97A33"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In Zusammenarbeit mit den lokalen Gebietskörperschaften wird ein faires und transparentes Verfahren für die Zuweisung von Laptops, Browser-Laptops und Tablets mit Software </w:t>
            </w:r>
            <w:r>
              <w:rPr>
                <w:noProof/>
              </w:rPr>
              <w:t>eingerichtet, die die Gleichbehandlung aller Schulen und Bildungseinrichtungen gewährleistet.</w:t>
            </w:r>
          </w:p>
        </w:tc>
      </w:tr>
      <w:tr w:rsidR="00EB245A" w14:paraId="21EDEDF6" w14:textId="77777777" w:rsidTr="00553DEA">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E5CE6F" w14:textId="4621AEB7"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C16G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15008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C2.1.3 E-Kompetenzen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3EFF27E"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52DAF59"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Einrichtung eines Zentrums für die Entwicklung digitaler Kompetenzen (DCDC)</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E65B1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Bericht über den organisatorischen Aufbau und </w:t>
            </w:r>
            <w:r>
              <w:rPr>
                <w:noProof/>
              </w:rPr>
              <w:t>die Funktionsweise des DCDC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BD94B2"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854DE7F" w14:textId="77777777"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CA7ADD4" w14:textId="77777777"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4C84B27"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482B768"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2022</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D2EF496" w14:textId="77777777" w:rsidR="00EB245A" w:rsidRDefault="006021EE">
            <w:pPr>
              <w:pStyle w:val="P68B1DB1-Normal012"/>
              <w:pBdr>
                <w:top w:val="nil"/>
                <w:left w:val="nil"/>
                <w:bottom w:val="nil"/>
                <w:right w:val="nil"/>
                <w:between w:val="nil"/>
              </w:pBdr>
              <w:spacing w:after="0" w:line="240" w:lineRule="auto"/>
              <w:rPr>
                <w:noProof/>
                <w:color w:val="000000" w:themeColor="text1"/>
              </w:rPr>
            </w:pPr>
            <w:r>
              <w:rPr>
                <w:noProof/>
              </w:rPr>
              <w:t xml:space="preserve">Das Zentrum für die Entwicklung digitaler Kompetenzen (DCDC) wird im Büro des für Digitalisierung zuständigen Ministers eingerichtet. </w:t>
            </w:r>
          </w:p>
          <w:p w14:paraId="0C7C69A3" w14:textId="77777777" w:rsidR="00EB245A" w:rsidRDefault="00EB245A">
            <w:pPr>
              <w:pStyle w:val="Normal0"/>
              <w:pBdr>
                <w:top w:val="nil"/>
                <w:left w:val="nil"/>
                <w:bottom w:val="nil"/>
                <w:right w:val="nil"/>
                <w:between w:val="nil"/>
              </w:pBdr>
              <w:spacing w:after="0" w:line="240" w:lineRule="auto"/>
              <w:rPr>
                <w:rFonts w:ascii="Times New Roman" w:hAnsi="Times New Roman"/>
                <w:noProof/>
                <w:color w:val="000000" w:themeColor="text1"/>
                <w:sz w:val="18"/>
              </w:rPr>
            </w:pPr>
          </w:p>
          <w:p w14:paraId="2599B1BD" w14:textId="6BB40F78"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r>
              <w:rPr>
                <w:rFonts w:ascii="Times New Roman" w:hAnsi="Times New Roman"/>
                <w:noProof/>
                <w:color w:val="000000" w:themeColor="text1"/>
                <w:sz w:val="18"/>
              </w:rPr>
              <w:t>Hauptziel der DCDC ist es, das System zur Koordinierung der Entwicklung digitaler</w:t>
            </w:r>
            <w:r>
              <w:rPr>
                <w:rFonts w:ascii="Times New Roman" w:hAnsi="Times New Roman"/>
                <w:noProof/>
                <w:color w:val="000000" w:themeColor="text1"/>
                <w:sz w:val="18"/>
              </w:rPr>
              <w:t xml:space="preserve"> Kompetenzen in Polen durch die Verwirklichung der folgenden Teilfunktionen zu verbessern und zu verbessern:</w:t>
            </w:r>
            <w:r>
              <w:rPr>
                <w:noProof/>
              </w:rPr>
              <w:t xml:space="preserve">  </w:t>
            </w:r>
            <w:r>
              <w:rPr>
                <w:noProof/>
              </w:rPr>
              <w:br/>
            </w:r>
            <w:r>
              <w:rPr>
                <w:rFonts w:ascii="Times New Roman" w:hAnsi="Times New Roman"/>
                <w:noProof/>
                <w:color w:val="000000" w:themeColor="text1"/>
                <w:sz w:val="18"/>
              </w:rPr>
              <w:t xml:space="preserve">— Forschungs- und Analysefunktion </w:t>
            </w:r>
            <w:r>
              <w:rPr>
                <w:noProof/>
              </w:rPr>
              <w:t xml:space="preserve"> </w:t>
            </w:r>
            <w:r>
              <w:rPr>
                <w:noProof/>
              </w:rPr>
              <w:br/>
              <w:t xml:space="preserve"> </w:t>
            </w:r>
            <w:r>
              <w:rPr>
                <w:rFonts w:ascii="Times New Roman" w:hAnsi="Times New Roman"/>
                <w:noProof/>
                <w:color w:val="000000" w:themeColor="text1"/>
                <w:sz w:val="18"/>
              </w:rPr>
              <w:t>Diese Funktion umfasst Forschungs- und Überwachungsmaßnahmen in Bezug auf digitale Kompetenzen in Verbindung</w:t>
            </w:r>
            <w:r>
              <w:rPr>
                <w:rFonts w:ascii="Times New Roman" w:hAnsi="Times New Roman"/>
                <w:noProof/>
                <w:color w:val="000000" w:themeColor="text1"/>
                <w:sz w:val="18"/>
              </w:rPr>
              <w:t xml:space="preserve"> mit der Beobachtungsstelle, die einschlägige Kenntnisse sammeln und strukturieren soll. Dies führt zur Formulierung von Empfehlungen und Vorschlägen für einschlägige Tätigkeiten.</w:t>
            </w:r>
            <w:r>
              <w:rPr>
                <w:noProof/>
              </w:rPr>
              <w:t xml:space="preserve">  </w:t>
            </w:r>
            <w:r>
              <w:rPr>
                <w:noProof/>
              </w:rPr>
              <w:br/>
            </w:r>
            <w:r>
              <w:rPr>
                <w:rFonts w:ascii="Times New Roman" w:hAnsi="Times New Roman"/>
                <w:noProof/>
                <w:color w:val="000000" w:themeColor="text1"/>
                <w:sz w:val="18"/>
              </w:rPr>
              <w:t xml:space="preserve">— Test- und Durchführungsfunktion </w:t>
            </w:r>
            <w:r>
              <w:rPr>
                <w:noProof/>
              </w:rPr>
              <w:t xml:space="preserve"> </w:t>
            </w:r>
            <w:r>
              <w:rPr>
                <w:noProof/>
              </w:rPr>
              <w:br/>
              <w:t xml:space="preserve"> </w:t>
            </w:r>
            <w:r>
              <w:rPr>
                <w:rFonts w:ascii="Times New Roman" w:hAnsi="Times New Roman"/>
                <w:noProof/>
                <w:color w:val="000000" w:themeColor="text1"/>
                <w:sz w:val="18"/>
              </w:rPr>
              <w:t xml:space="preserve">Diese Funktion umfasst Tests in Form </w:t>
            </w:r>
            <w:r>
              <w:rPr>
                <w:rFonts w:ascii="Times New Roman" w:hAnsi="Times New Roman"/>
                <w:noProof/>
                <w:color w:val="000000" w:themeColor="text1"/>
                <w:sz w:val="18"/>
              </w:rPr>
              <w:t xml:space="preserve">von Pilotaktionen und die Umsetzung der wertvollsten und vielversprechendsten Lösungen, Empfehlungen und Vorschläge, die sich aus den Pilotaktionen ergeben, sowie die Verwirklichung der Forschungs- und Analysefunktion. </w:t>
            </w:r>
            <w:r>
              <w:rPr>
                <w:noProof/>
              </w:rPr>
              <w:t xml:space="preserve"> </w:t>
            </w:r>
            <w:r>
              <w:rPr>
                <w:noProof/>
              </w:rPr>
              <w:br/>
            </w:r>
            <w:r>
              <w:rPr>
                <w:rFonts w:ascii="Times New Roman" w:hAnsi="Times New Roman"/>
                <w:noProof/>
                <w:color w:val="000000" w:themeColor="text1"/>
                <w:sz w:val="18"/>
              </w:rPr>
              <w:t>— Bildungs- und Popularisierungsfun</w:t>
            </w:r>
            <w:r>
              <w:rPr>
                <w:rFonts w:ascii="Times New Roman" w:hAnsi="Times New Roman"/>
                <w:noProof/>
                <w:color w:val="000000" w:themeColor="text1"/>
                <w:sz w:val="18"/>
              </w:rPr>
              <w:t xml:space="preserve">ktion. </w:t>
            </w:r>
            <w:r>
              <w:rPr>
                <w:noProof/>
              </w:rPr>
              <w:t xml:space="preserve"> </w:t>
            </w:r>
            <w:r>
              <w:rPr>
                <w:noProof/>
              </w:rPr>
              <w:br/>
            </w:r>
            <w:r>
              <w:rPr>
                <w:rFonts w:ascii="Times New Roman" w:hAnsi="Times New Roman"/>
                <w:noProof/>
                <w:color w:val="000000" w:themeColor="text1"/>
                <w:sz w:val="18"/>
              </w:rPr>
              <w:t>Diese Aufgabe umfasst Beratung, Mentoring, Seminare, Schulungen und Kurse sowie die Verbreitung der Ergebnisse der Maßnahmen des Zentrums über ein Informationsportal.</w:t>
            </w:r>
          </w:p>
        </w:tc>
      </w:tr>
      <w:tr w:rsidR="00EB245A" w14:paraId="0B85974A" w14:textId="77777777" w:rsidTr="00553DEA">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705F89A" w14:textId="2115B09B"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C19G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80B023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C2.1.3 E-Kompetenzen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1F3FD8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Ziel</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462218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T1 – Zusätzliche Personen, die in digitalen </w:t>
            </w:r>
            <w:r>
              <w:rPr>
                <w:noProof/>
              </w:rPr>
              <w:t>Kompetenzen, einschließlich digitaler Kompetenzen, geschult sind</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A063C8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DBB6EE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Anzahl</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495D7CD" w14:textId="5B5701CB"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3643DB" w14:textId="74BE1B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161500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B8E1AEE"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505B61C"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2024</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989FBE8" w14:textId="2DCE2E5A"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Mindestens 161500 Personen absolvierten Schulungen im Rahmen der Durchführung von Projekten zur Entwicklung (Erwerb oder Entwicklung) digitaler Kompetenzen. </w:t>
            </w:r>
          </w:p>
          <w:p w14:paraId="432C6157" w14:textId="09C076A0"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Die von</w:t>
            </w:r>
            <w:r>
              <w:rPr>
                <w:noProof/>
              </w:rPr>
              <w:t xml:space="preserve"> der Schulung im Bereich der digitalen Kompetenzen erfassten Personen umfassen in mehr oder weniger gleichmäßiger Weise die folgenden Kategorien:</w:t>
            </w:r>
          </w:p>
          <w:p w14:paraId="1534A7F4" w14:textId="09C076A0"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40 % der Bürgerinnen und Bürger, die grundlegende digitale Kompetenzen benötigen;</w:t>
            </w:r>
          </w:p>
          <w:p w14:paraId="2FCC372D" w14:textId="2395C5EB"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r>
              <w:rPr>
                <w:rFonts w:ascii="Times New Roman" w:hAnsi="Times New Roman"/>
                <w:noProof/>
                <w:color w:val="000000" w:themeColor="text1"/>
                <w:sz w:val="18"/>
              </w:rPr>
              <w:t>— 20 % Beamte;</w:t>
            </w:r>
            <w:r>
              <w:rPr>
                <w:noProof/>
              </w:rPr>
              <w:t xml:space="preserve">  </w:t>
            </w:r>
            <w:r>
              <w:rPr>
                <w:noProof/>
              </w:rPr>
              <w:br/>
            </w:r>
            <w:r>
              <w:rPr>
                <w:rFonts w:ascii="Times New Roman" w:hAnsi="Times New Roman"/>
                <w:noProof/>
                <w:color w:val="000000" w:themeColor="text1"/>
                <w:sz w:val="18"/>
              </w:rPr>
              <w:t>— 20 % Pä</w:t>
            </w:r>
            <w:r>
              <w:rPr>
                <w:rFonts w:ascii="Times New Roman" w:hAnsi="Times New Roman"/>
                <w:noProof/>
                <w:color w:val="000000" w:themeColor="text1"/>
                <w:sz w:val="18"/>
              </w:rPr>
              <w:t>dagogen und Lehrkräfte;</w:t>
            </w:r>
            <w:r>
              <w:rPr>
                <w:noProof/>
              </w:rPr>
              <w:t xml:space="preserve">  </w:t>
            </w:r>
            <w:r>
              <w:rPr>
                <w:noProof/>
              </w:rPr>
              <w:br/>
            </w:r>
            <w:r>
              <w:rPr>
                <w:rFonts w:ascii="Times New Roman" w:hAnsi="Times New Roman"/>
                <w:noProof/>
                <w:color w:val="000000" w:themeColor="text1"/>
                <w:sz w:val="18"/>
              </w:rPr>
              <w:t xml:space="preserve">— 20 % ausgegrenzte und von Ausgrenzung bedrohte Personen. </w:t>
            </w:r>
          </w:p>
        </w:tc>
      </w:tr>
      <w:tr w:rsidR="00EB245A" w14:paraId="0EEEDC8B" w14:textId="77777777" w:rsidTr="00553DEA">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5909ED" w14:textId="5824E2E1"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C20G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77BF62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C2.1.3 E-Kompetenzen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F4BF6E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Ziel</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BF62A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T2 – Zusätzliche Personen, die in digitalen Kompetenzen, einschließlich digitaler Kompetenzen, geschult sind</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4BCA1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CADD20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Anzahl</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870D752" w14:textId="5D1DD7A3"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161500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7F54E99" w14:textId="11FB2ED5"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323000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F6190B"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F598903"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2026</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D5DF1F" w14:textId="7C20BA6D"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Mindestens 323000 Personen absolvierten Schulungen im Rahmen der Durchführung von Projekten zur Entwicklung (Erwerb oder Entwicklung) digitaler Kompetenzen. </w:t>
            </w:r>
          </w:p>
          <w:p w14:paraId="5DAAD89A" w14:textId="09C076A0"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Die von der Schulung im Bereich der digitalen Kompetenzen erfassten Personen umfassen in mehr</w:t>
            </w:r>
            <w:r>
              <w:rPr>
                <w:noProof/>
              </w:rPr>
              <w:t xml:space="preserve"> oder weniger gleichmäßiger Weise die folgenden Kategorien:</w:t>
            </w:r>
          </w:p>
          <w:p w14:paraId="4832B62B" w14:textId="09C076A0"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40 % der Bürgerinnen und Bürger, die grundlegende digitale Kompetenzen benötigen;</w:t>
            </w:r>
          </w:p>
          <w:p w14:paraId="4178DC52" w14:textId="221A74BF"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r>
              <w:rPr>
                <w:rFonts w:ascii="Times New Roman" w:hAnsi="Times New Roman"/>
                <w:noProof/>
                <w:color w:val="000000" w:themeColor="text1"/>
                <w:sz w:val="18"/>
              </w:rPr>
              <w:t>— 20 % Beamte;</w:t>
            </w:r>
            <w:r>
              <w:rPr>
                <w:noProof/>
              </w:rPr>
              <w:t xml:space="preserve">  </w:t>
            </w:r>
            <w:r>
              <w:rPr>
                <w:noProof/>
              </w:rPr>
              <w:br/>
            </w:r>
            <w:r>
              <w:rPr>
                <w:rFonts w:ascii="Times New Roman" w:hAnsi="Times New Roman"/>
                <w:noProof/>
                <w:color w:val="000000" w:themeColor="text1"/>
                <w:sz w:val="18"/>
              </w:rPr>
              <w:t>— 20 % Pädagogen und Lehrkräfte;</w:t>
            </w:r>
            <w:r>
              <w:rPr>
                <w:noProof/>
              </w:rPr>
              <w:t xml:space="preserve">  </w:t>
            </w:r>
            <w:r>
              <w:rPr>
                <w:noProof/>
              </w:rPr>
              <w:br/>
            </w:r>
            <w:r>
              <w:rPr>
                <w:rFonts w:ascii="Times New Roman" w:hAnsi="Times New Roman"/>
                <w:noProof/>
                <w:color w:val="000000" w:themeColor="text1"/>
                <w:sz w:val="18"/>
              </w:rPr>
              <w:t xml:space="preserve">— 20 % ausgegrenzte und von Ausgrenzung bedrohte Personen. </w:t>
            </w:r>
          </w:p>
        </w:tc>
      </w:tr>
      <w:tr w:rsidR="00EB245A" w14:paraId="0500A9C4" w14:textId="77777777" w:rsidTr="00553DEA">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AD4F915" w14:textId="1A20B0E6"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C21G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715981" w14:textId="7E769EF2"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C3.1 Verbesserung der Cybersicherheit von Informationssystemen, Stärkung der Datenverarbeitungsinfrastruktur und Optimierung der Infrastruktur der Strafverfolgungsdienste</w:t>
            </w:r>
          </w:p>
          <w:p w14:paraId="4F85792B" w14:textId="1333D72A"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C1854F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4E9C21" w14:textId="34BA14B4" w:rsidR="00EB245A" w:rsidRDefault="006021EE">
            <w:pPr>
              <w:pStyle w:val="P68B1DB1-Normal012"/>
              <w:spacing w:after="0" w:line="240" w:lineRule="auto"/>
              <w:rPr>
                <w:noProof/>
                <w:color w:val="000000" w:themeColor="text1"/>
              </w:rPr>
            </w:pPr>
            <w:r>
              <w:rPr>
                <w:noProof/>
              </w:rPr>
              <w:t xml:space="preserve">Änderung des Gesetzes vom 5. Juli 2018 über das nationale Cybersicherheitssystem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D69D681" w14:textId="202576F6"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Bestimmung in der Änderung des Gesetzes über das Inkrafttreten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1A1ED59"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A260C7C"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31121D9"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DDB2106"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035F18" w14:textId="61B909D1" w:rsidR="00EB245A" w:rsidRDefault="006021EE">
            <w:pPr>
              <w:pStyle w:val="P68B1DB1-Normal012"/>
              <w:spacing w:after="0" w:line="240" w:lineRule="auto"/>
              <w:jc w:val="center"/>
              <w:rPr>
                <w:rFonts w:eastAsia="Times New Roman" w:cs="Times New Roman"/>
                <w:noProof/>
                <w:color w:val="006100"/>
              </w:rPr>
            </w:pPr>
            <w:r>
              <w:rPr>
                <w:noProof/>
              </w:rPr>
              <w:t>2024</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13B4236" w14:textId="4B326BD1" w:rsidR="00EB245A" w:rsidRDefault="006021EE">
            <w:pPr>
              <w:pStyle w:val="P68B1DB1-Normal012"/>
              <w:spacing w:after="0" w:line="240" w:lineRule="auto"/>
              <w:rPr>
                <w:noProof/>
                <w:color w:val="000000" w:themeColor="text1"/>
              </w:rPr>
            </w:pPr>
            <w:r>
              <w:rPr>
                <w:noProof/>
              </w:rPr>
              <w:t xml:space="preserve">Inkrafttreten der Änderung des Rechtsakts über das nationale Cybersicherheitssystem. </w:t>
            </w:r>
          </w:p>
          <w:p w14:paraId="3E240311" w14:textId="0249A29B" w:rsidR="00EB245A" w:rsidRDefault="006021EE">
            <w:pPr>
              <w:pStyle w:val="P68B1DB1-Normal011"/>
              <w:spacing w:after="0" w:line="240" w:lineRule="auto"/>
              <w:rPr>
                <w:noProof/>
              </w:rPr>
            </w:pPr>
            <w:r>
              <w:rPr>
                <w:noProof/>
              </w:rPr>
              <w:t>Dies soll</w:t>
            </w:r>
            <w:r>
              <w:rPr>
                <w:noProof/>
              </w:rPr>
              <w:t xml:space="preserve"> unter anderem die Umsetzung der NIS-2-Richtlinie (EU) 2022/2555 des Europäischen Parlaments und des Rates vom 14. Dezember 2022 über Maßnahmen für ein hohes gemeinsames Cybersicherheitsniveau in der Union, zur Änderung der Verordnung (EU) Nr. 910/2014 und</w:t>
            </w:r>
            <w:r>
              <w:rPr>
                <w:noProof/>
              </w:rPr>
              <w:t xml:space="preserve"> der Richtlinie (EU) 2018/1972 sowie zur Aufhebung der Richtlinie (EU) 2016/1148 (NIS-2-Richtlinie) ermöglichen.</w:t>
            </w:r>
          </w:p>
        </w:tc>
      </w:tr>
      <w:tr w:rsidR="00EB245A" w14:paraId="3E2AA849" w14:textId="77777777" w:rsidTr="00553DEA">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42DAC0B" w14:textId="732F3541"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C22G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D28AC71" w14:textId="0CB4AF13"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C3.1 Verbesserung der Cybersicherheit von Informationssystemen, Stärkung der Datenverarbeitungsinfrastruktur und Optimierung der </w:t>
            </w:r>
            <w:r>
              <w:rPr>
                <w:noProof/>
              </w:rPr>
              <w:t>Infrastruktur der Strafverfolgungsdienste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87DB22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34B39C" w14:textId="453645FF"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Änderung der Verordnung des Ministerrates vom 11. September 2018 über die Liste wesentlicher Dienste und die Schwellenwerte für die störenden Auswirkungen eines Sicherheitsvorfalls auf die Erbringung we</w:t>
            </w:r>
            <w:r>
              <w:rPr>
                <w:noProof/>
              </w:rPr>
              <w:t>sentlicher Dienste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537A195" w14:textId="067C035B"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Bestimmung in der Änderung der Verordnung über das Inkrafttreten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9D0A515"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8417E48"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6911C1"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D4F3C3B" w14:textId="2D32E419" w:rsidR="00EB245A" w:rsidRDefault="006021EE">
            <w:pPr>
              <w:pStyle w:val="P68B1DB1-Normal012"/>
              <w:spacing w:after="0" w:line="240" w:lineRule="auto"/>
              <w:jc w:val="center"/>
              <w:rPr>
                <w:rFonts w:eastAsia="Times New Roman" w:cs="Times New Roman"/>
                <w:noProof/>
                <w:color w:val="006100"/>
              </w:rPr>
            </w:pPr>
            <w:r>
              <w:rPr>
                <w:noProof/>
              </w:rPr>
              <w:t>Q2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4F941C4" w14:textId="14656056" w:rsidR="00EB245A" w:rsidRDefault="006021EE">
            <w:pPr>
              <w:pStyle w:val="P68B1DB1-Normal012"/>
              <w:spacing w:after="0" w:line="240" w:lineRule="auto"/>
              <w:jc w:val="center"/>
              <w:rPr>
                <w:rFonts w:eastAsia="Times New Roman" w:cs="Times New Roman"/>
                <w:noProof/>
                <w:color w:val="006100"/>
              </w:rPr>
            </w:pPr>
            <w:r>
              <w:rPr>
                <w:noProof/>
              </w:rPr>
              <w:t>2025</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C922165" w14:textId="4E2814AA" w:rsidR="00EB245A" w:rsidRDefault="006021EE">
            <w:pPr>
              <w:pStyle w:val="P68B1DB1-Normal012"/>
              <w:spacing w:after="0" w:line="240" w:lineRule="auto"/>
              <w:rPr>
                <w:rFonts w:eastAsia="Times New Roman" w:cs="Times New Roman"/>
                <w:noProof/>
              </w:rPr>
            </w:pPr>
            <w:r>
              <w:rPr>
                <w:noProof/>
              </w:rPr>
              <w:t xml:space="preserve">Inkrafttreten einer Änderung der Verordnung des Ministerrats vom 11. September 2018 über die Liste wesentlicher Dienste und die Schwellenwerte für die </w:t>
            </w:r>
            <w:r>
              <w:rPr>
                <w:noProof/>
              </w:rPr>
              <w:t>störenden Auswirkungen eines Vorfalls auf die Erbringung wesentlicher Dienste. Die Schwellenwerte/Kriterien für die Ermittlung der Betreiber wesentlicher Dienste, vor allem im Gesundheitswesen, werden geändert, um die derzeitigen Qualitätskriterien zu verb</w:t>
            </w:r>
            <w:r>
              <w:rPr>
                <w:noProof/>
              </w:rPr>
              <w:t>essern und so die Ermittlung wesentlicher Einrichtungen/Krankenhäuser im Gesundheitswesen zu ermöglichen.</w:t>
            </w:r>
          </w:p>
        </w:tc>
      </w:tr>
      <w:tr w:rsidR="00EB245A" w14:paraId="3BE49638" w14:textId="77777777" w:rsidTr="00553DEA">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30C6128" w14:textId="751AE650" w:rsidR="00EB245A" w:rsidRDefault="006021EE">
            <w:pPr>
              <w:pStyle w:val="P68B1DB1-Normal011"/>
              <w:pBdr>
                <w:top w:val="nil"/>
                <w:left w:val="nil"/>
                <w:bottom w:val="nil"/>
                <w:right w:val="nil"/>
                <w:between w:val="nil"/>
              </w:pBdr>
              <w:spacing w:after="0" w:line="240" w:lineRule="auto"/>
              <w:jc w:val="center"/>
              <w:rPr>
                <w:rFonts w:eastAsia="Times New Roman" w:cs="Times New Roman"/>
                <w:b/>
                <w:noProof/>
                <w:color w:val="000000"/>
              </w:rPr>
            </w:pPr>
            <w:r>
              <w:rPr>
                <w:noProof/>
              </w:rPr>
              <w:t>C23G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BB4425" w14:textId="2D9129CF"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C3.1.1 Cybersicherheit – CyberPL, Infrastruktur für die Datenverarbeitung und Optimierung der Infrastruktur der Strafverfolgungsdienste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195C1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Ziel</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8A50436" w14:textId="5144F705"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r>
              <w:rPr>
                <w:rFonts w:ascii="Times New Roman" w:hAnsi="Times New Roman"/>
                <w:noProof/>
                <w:color w:val="000000" w:themeColor="text1"/>
                <w:sz w:val="18"/>
              </w:rPr>
              <w:t>Cybersicherheitsprojekte (CyberPL)</w:t>
            </w:r>
            <w:r>
              <w:rPr>
                <w:noProof/>
              </w:rPr>
              <w:t xml:space="preserve">  </w:t>
            </w:r>
            <w:r>
              <w:rPr>
                <w:noProof/>
              </w:rPr>
              <w:br/>
            </w:r>
            <w:r>
              <w:rPr>
                <w:rFonts w:ascii="Times New Roman" w:hAnsi="Times New Roman"/>
                <w:noProof/>
                <w:color w:val="000000" w:themeColor="text1"/>
                <w:sz w:val="18"/>
              </w:rPr>
              <w:t>Programm zur Steigerung der Wirksamkeit des nationalen Cybersicherheitssystems (KSC-PL)</w:t>
            </w:r>
            <w:r>
              <w:rPr>
                <w:noProof/>
              </w:rPr>
              <w:t xml:space="preserve"> </w:t>
            </w:r>
            <w:r>
              <w:rPr>
                <w:noProof/>
              </w:rPr>
              <w:br/>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76D59D0"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EC6BF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Anzahl</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9BF1F3"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09B8484" w14:textId="253B3F2D"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9C43906" w14:textId="52B1A075"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FA7412" w14:textId="03659CF2"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2026</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9BA04A5" w14:textId="68B11CF5"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Anzahl der abgeschlossenen Projekte im Rahmen der Cybersicherheit, die Folgendes umfassen:  </w:t>
            </w:r>
          </w:p>
          <w:p w14:paraId="46D19F94" w14:textId="602DC85B" w:rsidR="00EB245A" w:rsidRDefault="006021EE">
            <w:pPr>
              <w:pStyle w:val="P68B1DB1-Normal012"/>
              <w:pBdr>
                <w:top w:val="nil"/>
                <w:left w:val="nil"/>
                <w:bottom w:val="nil"/>
                <w:right w:val="nil"/>
                <w:between w:val="nil"/>
              </w:pBdr>
              <w:spacing w:after="120" w:line="240" w:lineRule="auto"/>
              <w:rPr>
                <w:rFonts w:eastAsia="Times New Roman" w:cs="Times New Roman"/>
                <w:noProof/>
              </w:rPr>
            </w:pPr>
            <w:r>
              <w:rPr>
                <w:noProof/>
              </w:rPr>
              <w:t xml:space="preserve">— Aufbau eines </w:t>
            </w:r>
            <w:r>
              <w:rPr>
                <w:noProof/>
              </w:rPr>
              <w:t>Netzes von fünf sektoralen Computer-Notfallteams (CSIRT);</w:t>
            </w:r>
          </w:p>
          <w:p w14:paraId="18D38C36" w14:textId="26FFB5D3" w:rsidR="00EB245A" w:rsidRDefault="006021EE">
            <w:pPr>
              <w:pStyle w:val="P68B1DB1-Normal012"/>
              <w:pBdr>
                <w:top w:val="nil"/>
                <w:left w:val="nil"/>
                <w:bottom w:val="nil"/>
                <w:right w:val="nil"/>
                <w:between w:val="nil"/>
              </w:pBdr>
              <w:spacing w:after="120" w:line="240" w:lineRule="auto"/>
              <w:rPr>
                <w:rFonts w:eastAsia="Times New Roman" w:cs="Times New Roman"/>
                <w:noProof/>
              </w:rPr>
            </w:pPr>
            <w:r>
              <w:rPr>
                <w:noProof/>
              </w:rPr>
              <w:t xml:space="preserve">— Anbindung von 385 nationalen Cybersicherheitseinrichtungen an ein integriertes Cybersicherheitsmanagementsystem; </w:t>
            </w:r>
          </w:p>
          <w:p w14:paraId="2FCA9878" w14:textId="6F6D57C2" w:rsidR="00EB245A" w:rsidRDefault="006021EE">
            <w:pPr>
              <w:pStyle w:val="P68B1DB1-Normal012"/>
              <w:pBdr>
                <w:top w:val="nil"/>
                <w:left w:val="nil"/>
                <w:bottom w:val="nil"/>
                <w:right w:val="nil"/>
                <w:between w:val="nil"/>
              </w:pBdr>
              <w:spacing w:after="120" w:line="240" w:lineRule="auto"/>
              <w:rPr>
                <w:rFonts w:eastAsia="Times New Roman" w:cs="Times New Roman"/>
                <w:noProof/>
              </w:rPr>
            </w:pPr>
            <w:r>
              <w:rPr>
                <w:noProof/>
              </w:rPr>
              <w:t>— Unterstützung von 500 Einrichtungen bei der Aufrüstung und dem Ausbau von Cybers</w:t>
            </w:r>
            <w:r>
              <w:rPr>
                <w:noProof/>
              </w:rPr>
              <w:t xml:space="preserve">icherheitsinfrastrukturen unter Einsatz von Informations- und Betriebstechnologie; </w:t>
            </w:r>
          </w:p>
          <w:p w14:paraId="54D3A350" w14:textId="2B40FA44" w:rsidR="00EB245A" w:rsidRDefault="006021EE">
            <w:pPr>
              <w:pStyle w:val="P68B1DB1-Normal011"/>
              <w:pBdr>
                <w:top w:val="nil"/>
                <w:left w:val="nil"/>
                <w:bottom w:val="nil"/>
                <w:right w:val="nil"/>
                <w:between w:val="nil"/>
              </w:pBdr>
              <w:spacing w:after="0" w:line="240" w:lineRule="auto"/>
              <w:rPr>
                <w:rFonts w:eastAsia="Times New Roman" w:cs="Times New Roman"/>
                <w:noProof/>
                <w:color w:val="000000"/>
              </w:rPr>
            </w:pPr>
            <w:r>
              <w:rPr>
                <w:noProof/>
                <w:color w:val="000000" w:themeColor="text1"/>
              </w:rPr>
              <w:t xml:space="preserve">Aufbau eines Netzes von Cybersicherheitsexperten auf Woiwodschaftsebene, um öffentliche Einrichtungen bei der Bewältigung von Sicherheitsvorfällen und der </w:t>
            </w:r>
            <w:r>
              <w:rPr>
                <w:noProof/>
                <w:color w:val="000000" w:themeColor="text1"/>
              </w:rPr>
              <w:t xml:space="preserve">Datenwiederherstellung zu unterstützen und Maßnahmen zur Sensibilisierung für Cybersicherheit durchzuführen. </w:t>
            </w:r>
            <w:r>
              <w:rPr>
                <w:noProof/>
              </w:rPr>
              <w:t xml:space="preserve"> </w:t>
            </w:r>
          </w:p>
        </w:tc>
      </w:tr>
      <w:tr w:rsidR="00EB245A" w14:paraId="74D913B6" w14:textId="77777777" w:rsidTr="00553DEA">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FF1E03" w14:textId="6E5D0E9F" w:rsidR="00EB245A" w:rsidRDefault="006021EE">
            <w:pPr>
              <w:pStyle w:val="P68B1DB1-Normal011"/>
              <w:pBdr>
                <w:top w:val="nil"/>
                <w:left w:val="nil"/>
                <w:bottom w:val="nil"/>
                <w:right w:val="nil"/>
                <w:between w:val="nil"/>
              </w:pBdr>
              <w:spacing w:after="0" w:line="240" w:lineRule="auto"/>
              <w:jc w:val="center"/>
              <w:rPr>
                <w:rFonts w:cs="Times New Roman"/>
                <w:noProof/>
              </w:rPr>
            </w:pPr>
            <w:r>
              <w:rPr>
                <w:noProof/>
              </w:rPr>
              <w:t>C24G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D2F091F" w14:textId="50A6D661"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C3.1.1 Cybersicherheit – CyberPL, Infrastruktur für die Datenverarbeitung und Optimierung der Infrastruktur der Strafverfolgungsdienste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07DAE4C" w14:textId="5D7EFACA"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Meilenstein</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09470C1" w14:textId="6C0FD52B"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Entgegennahme der Baugenehmigungen für die Gebäude der standardisierten Rechenzentren</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9B6591B" w14:textId="294D7B16"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Entgegennahme von Baugenehmigungen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85351B"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8531902" w14:textId="77777777"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6F35783" w14:textId="77777777"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0712B1C" w14:textId="38587B66"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0000" w:themeColor="text1"/>
              </w:rPr>
            </w:pPr>
            <w:r>
              <w:rPr>
                <w:noProof/>
              </w:rPr>
              <w:t>Q4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08FA7F1" w14:textId="3A79E6E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0000" w:themeColor="text1"/>
              </w:rPr>
            </w:pPr>
            <w:r>
              <w:rPr>
                <w:noProof/>
              </w:rPr>
              <w:t>2024</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2A8910" w14:textId="144F5895"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Die Baugenehmigungen, die den Bau der Gebäude für die drei standardisierten Rechenzentren ermöglichen, müssen vorliegen.  </w:t>
            </w:r>
          </w:p>
        </w:tc>
      </w:tr>
      <w:tr w:rsidR="00EB245A" w14:paraId="22004AEC" w14:textId="77777777" w:rsidTr="00553DEA">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019787" w14:textId="3E0A79DC" w:rsidR="00EB245A" w:rsidRDefault="006021EE">
            <w:pPr>
              <w:pStyle w:val="P68B1DB1-Normal011"/>
              <w:spacing w:after="0" w:line="240" w:lineRule="auto"/>
              <w:jc w:val="center"/>
              <w:rPr>
                <w:rFonts w:eastAsia="Times New Roman" w:cs="Times New Roman"/>
                <w:b/>
                <w:noProof/>
                <w:color w:val="000000"/>
              </w:rPr>
            </w:pPr>
            <w:r>
              <w:rPr>
                <w:noProof/>
              </w:rPr>
              <w:t>C25G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A686622" w14:textId="32F1C1F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C3.1.1 Cybersicherheit – CyberPL, Infrastruktur für die Datenverarbeitung und Optimierung der Infrastruktur der </w:t>
            </w:r>
            <w:r>
              <w:rPr>
                <w:noProof/>
              </w:rPr>
              <w:t>Strafverfolgungsdienste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471B8D1"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Ziel</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0CDC0F4" w14:textId="102D8123" w:rsidR="00EB245A" w:rsidRDefault="006021EE">
            <w:pPr>
              <w:pStyle w:val="P68B1DB1-Normal012"/>
              <w:spacing w:after="0" w:line="240" w:lineRule="auto"/>
              <w:rPr>
                <w:rFonts w:eastAsia="Times New Roman" w:cs="Times New Roman"/>
                <w:noProof/>
                <w:color w:val="006100"/>
              </w:rPr>
            </w:pPr>
            <w:r>
              <w:rPr>
                <w:noProof/>
              </w:rPr>
              <w:t>Einrichtung standardisierter Rechenzentren</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038FBA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838863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Anzahl</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E3A27B"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AB7477"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01139F3" w14:textId="5E4A19FA"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DD065A8" w14:textId="585D112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2026</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B885B0" w14:textId="420C54DE" w:rsidR="00EB245A" w:rsidRDefault="006021EE">
            <w:pPr>
              <w:pStyle w:val="P68B1DB1-Normal012"/>
              <w:spacing w:after="0" w:line="240" w:lineRule="auto"/>
              <w:rPr>
                <w:rFonts w:eastAsia="Times New Roman" w:cs="Times New Roman"/>
                <w:noProof/>
                <w:color w:val="000000" w:themeColor="text1"/>
              </w:rPr>
            </w:pPr>
            <w:r>
              <w:rPr>
                <w:noProof/>
              </w:rPr>
              <w:t xml:space="preserve">Drei standardisierte Rechenzentren müssen unter Nutzung erneuerbarer Energie betriebsbereit sein und an den konstruktierten Glasfaseranschluss angeschlossen sein </w:t>
            </w:r>
            <w:r>
              <w:rPr>
                <w:noProof/>
              </w:rPr>
              <w:t xml:space="preserve">und zwei unabhängige Kommunikationsrouten zwischen jedem ausgewählten Paar von Rechenzentren bieten. </w:t>
            </w:r>
          </w:p>
          <w:p w14:paraId="2B600910" w14:textId="64416F46" w:rsidR="00EB245A" w:rsidRDefault="006021EE">
            <w:pPr>
              <w:pStyle w:val="P68B1DB1-Normal012"/>
              <w:spacing w:after="0" w:line="240" w:lineRule="auto"/>
              <w:rPr>
                <w:noProof/>
                <w:color w:val="000000" w:themeColor="text1"/>
              </w:rPr>
            </w:pPr>
            <w:r>
              <w:rPr>
                <w:noProof/>
              </w:rPr>
              <w:t>Die Rechenzentren halten sich an den Europäischen Verhaltenskodex für die Energieeffizienz von Datenzentren.</w:t>
            </w:r>
          </w:p>
          <w:p w14:paraId="5C660A2A" w14:textId="4DF4137E" w:rsidR="00EB245A" w:rsidRDefault="00EB245A">
            <w:pPr>
              <w:pStyle w:val="Normal0"/>
              <w:spacing w:after="0" w:line="240" w:lineRule="auto"/>
              <w:rPr>
                <w:rFonts w:ascii="Times New Roman" w:eastAsia="Times New Roman" w:hAnsi="Times New Roman" w:cs="Times New Roman"/>
                <w:noProof/>
                <w:color w:val="000000" w:themeColor="text1"/>
                <w:sz w:val="18"/>
              </w:rPr>
            </w:pPr>
          </w:p>
          <w:p w14:paraId="4894EEAE" w14:textId="6E209B5E" w:rsidR="00EB245A" w:rsidRDefault="006021EE">
            <w:pPr>
              <w:pStyle w:val="P68B1DB1-Normal012"/>
              <w:spacing w:after="0" w:line="240" w:lineRule="auto"/>
              <w:rPr>
                <w:rFonts w:eastAsia="Times New Roman" w:cs="Times New Roman"/>
                <w:noProof/>
              </w:rPr>
            </w:pPr>
            <w:r>
              <w:rPr>
                <w:noProof/>
              </w:rPr>
              <w:t xml:space="preserve">Die Investition muss in voller </w:t>
            </w:r>
            <w:r>
              <w:rPr>
                <w:noProof/>
              </w:rPr>
              <w:t>Übereinstimmung mit den technischen Leitlinien für die Vermeidung erheblicher Beeinträchtigungen (2021/C 58/01) durchgeführt werden, insbesondere im Hinblick auf die Anforderungen in Bezug auf Energieeffizienz, Abfallbewirtschaftung und Umweltverträglichke</w:t>
            </w:r>
            <w:r>
              <w:rPr>
                <w:noProof/>
              </w:rPr>
              <w:t>itsprüfung.</w:t>
            </w:r>
          </w:p>
        </w:tc>
      </w:tr>
      <w:tr w:rsidR="00EB245A" w14:paraId="453A1BA5" w14:textId="77777777" w:rsidTr="00553DEA">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5ACE85" w14:textId="1092349E" w:rsidR="00EB245A" w:rsidRDefault="006021EE">
            <w:pPr>
              <w:pStyle w:val="P68B1DB1-Normal011"/>
              <w:pBdr>
                <w:top w:val="nil"/>
                <w:left w:val="nil"/>
                <w:bottom w:val="nil"/>
                <w:right w:val="nil"/>
                <w:between w:val="nil"/>
              </w:pBdr>
              <w:spacing w:after="0" w:line="240" w:lineRule="auto"/>
              <w:jc w:val="center"/>
              <w:rPr>
                <w:rFonts w:eastAsia="Times New Roman" w:cs="Times New Roman"/>
                <w:b/>
                <w:noProof/>
                <w:color w:val="000000"/>
              </w:rPr>
            </w:pPr>
            <w:r>
              <w:rPr>
                <w:noProof/>
              </w:rPr>
              <w:t>C26G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A7D7B75" w14:textId="53F9586E"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C3.1.1 Cybersicherheit – CyberPL, Infrastruktur für die Datenverarbeitung und Optimierung der Infrastruktur der Strafverfolgungsdienste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6C837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Ziel</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320E38" w14:textId="1E9B1E3A"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Mobile Infrastruktur für das Krisenmanagementsystem</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818E8F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DB4977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Anzahl</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69908A7"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F28497" w14:textId="30C0DFE6" w:rsidR="00EB245A" w:rsidRDefault="006021EE">
            <w:pPr>
              <w:pStyle w:val="P68B1DB1-Normal011"/>
              <w:spacing w:after="0" w:line="240" w:lineRule="auto"/>
              <w:jc w:val="right"/>
              <w:rPr>
                <w:rFonts w:cs="Times New Roman"/>
                <w:noProof/>
              </w:rPr>
            </w:pPr>
            <w:r>
              <w:rPr>
                <w:noProof/>
              </w:rPr>
              <w:t xml:space="preserve">17721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38BEE81"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4DFA58"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2025</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E266DB8" w14:textId="23F04090"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r>
              <w:rPr>
                <w:rFonts w:ascii="Times New Roman" w:hAnsi="Times New Roman"/>
                <w:noProof/>
                <w:color w:val="000000" w:themeColor="text1"/>
                <w:sz w:val="18"/>
              </w:rPr>
              <w:t xml:space="preserve">Der Indikatorwert setzt sich aus folgenden Elementen zusammen: </w:t>
            </w:r>
            <w:r>
              <w:rPr>
                <w:noProof/>
              </w:rPr>
              <w:t xml:space="preserve">  </w:t>
            </w:r>
            <w:r>
              <w:rPr>
                <w:noProof/>
              </w:rPr>
              <w:br/>
            </w:r>
            <w:r>
              <w:rPr>
                <w:rFonts w:ascii="Times New Roman" w:hAnsi="Times New Roman"/>
                <w:noProof/>
                <w:color w:val="000000" w:themeColor="text1"/>
                <w:sz w:val="18"/>
              </w:rPr>
              <w:t>4060 modernisierte Melde- und Warnstellen für die Bevölkerung, die u. a. den Austausch von analogen durch digitale Sirenenen, die Ausstattung der ausgewählten Punkte mit kompatibler Hardware</w:t>
            </w:r>
            <w:r>
              <w:rPr>
                <w:rFonts w:ascii="Times New Roman" w:hAnsi="Times New Roman"/>
                <w:noProof/>
                <w:color w:val="000000" w:themeColor="text1"/>
                <w:sz w:val="18"/>
              </w:rPr>
              <w:t xml:space="preserve"> und Software sowie den Erwerb von Geräten zur Verschlüsselung der Funk- und IP-Übertragung umfassen;</w:t>
            </w:r>
            <w:r>
              <w:rPr>
                <w:noProof/>
              </w:rPr>
              <w:t xml:space="preserve">  </w:t>
            </w:r>
            <w:r>
              <w:rPr>
                <w:noProof/>
              </w:rPr>
              <w:br/>
            </w:r>
            <w:r>
              <w:rPr>
                <w:rFonts w:ascii="Times New Roman" w:hAnsi="Times New Roman"/>
                <w:noProof/>
                <w:color w:val="000000" w:themeColor="text1"/>
                <w:sz w:val="18"/>
              </w:rPr>
              <w:t>— 13630 hochwertige mobile Datenterminals (MDT), die an neue Systemfunktionen für Polizeibeamte angepasst sind (Kauf von Geräten, Software und Lizenzen)</w:t>
            </w:r>
            <w:r>
              <w:rPr>
                <w:rFonts w:ascii="Times New Roman" w:hAnsi="Times New Roman"/>
                <w:noProof/>
                <w:color w:val="000000" w:themeColor="text1"/>
                <w:sz w:val="18"/>
              </w:rPr>
              <w:t xml:space="preserve">; </w:t>
            </w:r>
            <w:r>
              <w:rPr>
                <w:noProof/>
              </w:rPr>
              <w:t xml:space="preserve"> </w:t>
            </w:r>
            <w:r>
              <w:rPr>
                <w:noProof/>
              </w:rPr>
              <w:br/>
            </w:r>
            <w:r>
              <w:rPr>
                <w:rFonts w:ascii="Times New Roman" w:hAnsi="Times New Roman"/>
                <w:noProof/>
                <w:color w:val="000000" w:themeColor="text1"/>
                <w:sz w:val="18"/>
              </w:rPr>
              <w:t>— 30 Mobilfunkpunkte wurden eingerichtet, um eine sichere Verbindung innerhalb der Strafverfolgungsbehörden und zwischen ihnen zu ermöglichen;</w:t>
            </w:r>
          </w:p>
          <w:p w14:paraId="0D6028A3" w14:textId="04544495"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ein selbsttragender mobiler medizinischer Punkt für medizinische, biochemische, radiologische und Naturkata</w:t>
            </w:r>
            <w:r>
              <w:rPr>
                <w:noProof/>
              </w:rPr>
              <w:t>strophen.</w:t>
            </w:r>
          </w:p>
        </w:tc>
      </w:tr>
      <w:tr w:rsidR="00EB245A" w14:paraId="1B734366" w14:textId="77777777" w:rsidTr="00553DEA">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143B1B0" w14:textId="1FC2554C" w:rsidR="00EB245A" w:rsidRDefault="006021EE">
            <w:pPr>
              <w:pStyle w:val="P68B1DB1-Normal011"/>
              <w:pBdr>
                <w:top w:val="nil"/>
                <w:left w:val="nil"/>
                <w:bottom w:val="nil"/>
                <w:right w:val="nil"/>
                <w:between w:val="nil"/>
              </w:pBdr>
              <w:spacing w:after="0" w:line="240" w:lineRule="auto"/>
              <w:jc w:val="center"/>
              <w:rPr>
                <w:rFonts w:eastAsia="Times New Roman" w:cs="Times New Roman"/>
                <w:b/>
                <w:noProof/>
                <w:color w:val="000000"/>
              </w:rPr>
            </w:pPr>
            <w:r>
              <w:rPr>
                <w:noProof/>
              </w:rPr>
              <w:t>C27G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A4CC9F" w14:textId="1449DB0A"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C3.1.1 Cybersicherheit – CyberPL, Infrastruktur für die Datenverarbeitung und Optimierung der Infrastruktur der Strafverfolgungsdienste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0B8ECE1"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34790B8" w14:textId="0258C2B9"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Wichtiges Vorhaben von gemeinsamem europäischem Interesse (IPCEI): Auswahl von </w:t>
            </w:r>
            <w:r>
              <w:rPr>
                <w:noProof/>
              </w:rPr>
              <w:t>Cloud-Projekten der nächsten Generation und Unterzeichnung von Verträgen</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95F79C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Unterzeichnung der Verträge mit ausgewählten Einrichtungen</w:t>
            </w:r>
          </w:p>
          <w:p w14:paraId="314EE24A"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6614669"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590049" w14:textId="77777777"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C5B615A" w14:textId="77777777"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86814C6" w14:textId="2FD7B0BE"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9BB372B" w14:textId="24FF1775"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2023</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A31DB25" w14:textId="493CB03C"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Auswahl von Projekten und Unterzeichnung von Verträgen nach Veröffentlichung der Aufforderung zur Einreichung </w:t>
            </w:r>
            <w:r>
              <w:rPr>
                <w:noProof/>
              </w:rPr>
              <w:t>von Projektvorschlägen, um die Entwicklung der Cloud-Lösungen der nächsten Generation in Polen zu unterstützen.</w:t>
            </w:r>
          </w:p>
        </w:tc>
      </w:tr>
      <w:tr w:rsidR="00EB245A" w14:paraId="2EC72A8F" w14:textId="77777777" w:rsidTr="00553DEA">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A89157D" w14:textId="594858E5"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C28G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D2F1297" w14:textId="47873CF5"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C3.1.1 Cybersicherheit – CyberPL, Infrastruktur für die Datenverarbeitung und Optimierung der Infrastruktur der Strafverfolgungsdienste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160376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Ziel</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BD863B"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Wichtiges Vorhaben von gemeinsamem europäischem Interesse (IPCEI): Entwicklung nationaler Infrastruktur-/Dienste-Datenverarbeitungslösungen</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843405E"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05550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Anzahl</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83114B"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9DE7E4"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A35D149" w14:textId="4B749452"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0000" w:themeColor="text1"/>
              </w:rPr>
            </w:pPr>
            <w:r>
              <w:rPr>
                <w:noProof/>
              </w:rPr>
              <w:t>Q1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449B74" w14:textId="61784E26"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0000" w:themeColor="text1"/>
              </w:rPr>
            </w:pPr>
            <w:r>
              <w:rPr>
                <w:noProof/>
              </w:rPr>
              <w:t>2025</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92F1AA2" w14:textId="5B92783B"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Mindestens fünf neue nationale Infrastruktur-/Dienste-Datenverarbeitungslösungen, die von </w:t>
            </w:r>
            <w:r>
              <w:rPr>
                <w:noProof/>
              </w:rPr>
              <w:t>ausgewählten Unternehmen entwickelt wurden, und Beginn der Operationalisierungsphase für jedes Projekt.</w:t>
            </w:r>
          </w:p>
        </w:tc>
      </w:tr>
    </w:tbl>
    <w:p w14:paraId="6F2503CD" w14:textId="31CCB803" w:rsidR="00EB245A" w:rsidRDefault="00EB245A">
      <w:pPr>
        <w:rPr>
          <w:noProof/>
        </w:rPr>
      </w:pPr>
    </w:p>
    <w:p w14:paraId="16730B0E" w14:textId="3A78956C" w:rsidR="00EB245A" w:rsidRDefault="00EB245A">
      <w:pPr>
        <w:rPr>
          <w:noProof/>
        </w:rPr>
      </w:pPr>
    </w:p>
    <w:p w14:paraId="6BB2CBDC" w14:textId="6EDBA374" w:rsidR="00EB245A" w:rsidRDefault="00EB245A">
      <w:pPr>
        <w:rPr>
          <w:noProof/>
        </w:rPr>
      </w:pPr>
    </w:p>
    <w:p w14:paraId="1E36812C" w14:textId="256B1210" w:rsidR="00EB245A" w:rsidRDefault="00EB245A">
      <w:pPr>
        <w:rPr>
          <w:noProof/>
        </w:rPr>
      </w:pPr>
    </w:p>
    <w:p w14:paraId="1A499DFC" w14:textId="77777777" w:rsidR="00EB245A" w:rsidRDefault="00EB245A">
      <w:pPr>
        <w:pStyle w:val="Normal0"/>
        <w:pBdr>
          <w:top w:val="nil"/>
          <w:left w:val="nil"/>
          <w:bottom w:val="nil"/>
          <w:right w:val="nil"/>
          <w:between w:val="nil"/>
        </w:pBdr>
        <w:spacing w:before="120" w:after="120" w:line="240" w:lineRule="auto"/>
        <w:ind w:left="709"/>
        <w:jc w:val="both"/>
        <w:rPr>
          <w:rFonts w:ascii="Times New Roman" w:eastAsia="Times New Roman" w:hAnsi="Times New Roman" w:cs="Times New Roman"/>
          <w:i/>
          <w:noProof/>
          <w:color w:val="4F81BD"/>
          <w:sz w:val="24"/>
        </w:rPr>
        <w:sectPr w:rsidR="00EB245A" w:rsidSect="005E6922">
          <w:headerReference w:type="even" r:id="rId85"/>
          <w:headerReference w:type="default" r:id="rId86"/>
          <w:footerReference w:type="even" r:id="rId87"/>
          <w:footerReference w:type="default" r:id="rId88"/>
          <w:headerReference w:type="first" r:id="rId89"/>
          <w:footerReference w:type="first" r:id="rId90"/>
          <w:pgSz w:w="16839" w:h="11907" w:orient="landscape"/>
          <w:pgMar w:top="1134" w:right="1134" w:bottom="1134" w:left="1134" w:header="567" w:footer="567" w:gutter="0"/>
          <w:cols w:space="720"/>
          <w:docGrid w:linePitch="299"/>
        </w:sectPr>
      </w:pPr>
    </w:p>
    <w:p w14:paraId="51812062" w14:textId="04D7B10B" w:rsidR="00EB245A" w:rsidRDefault="006021E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i/>
          <w:noProof/>
          <w:color w:val="4F81BD"/>
          <w:sz w:val="24"/>
        </w:rPr>
      </w:pPr>
      <w:r>
        <w:rPr>
          <w:rFonts w:ascii="Times New Roman" w:hAnsi="Times New Roman"/>
          <w:b/>
          <w:noProof/>
          <w:color w:val="000000" w:themeColor="text1"/>
          <w:sz w:val="24"/>
        </w:rPr>
        <w:t xml:space="preserve">C.3. </w:t>
      </w:r>
      <w:r>
        <w:rPr>
          <w:noProof/>
        </w:rPr>
        <w:t xml:space="preserve"> </w:t>
      </w:r>
      <w:r>
        <w:rPr>
          <w:rFonts w:ascii="Times New Roman" w:hAnsi="Times New Roman"/>
          <w:b/>
          <w:noProof/>
          <w:color w:val="000000" w:themeColor="text1"/>
          <w:sz w:val="24"/>
        </w:rPr>
        <w:t>Beschreibung der Reformen und Investitionen (Darlehen)</w:t>
      </w:r>
    </w:p>
    <w:p w14:paraId="5E7E3C41"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rPr>
      </w:pPr>
    </w:p>
    <w:p w14:paraId="44218F88" w14:textId="77777777" w:rsidR="00EB245A" w:rsidRDefault="006021EE">
      <w:pPr>
        <w:pStyle w:val="P68B1DB1-Normal015"/>
        <w:pBdr>
          <w:top w:val="nil"/>
          <w:left w:val="nil"/>
          <w:bottom w:val="nil"/>
          <w:right w:val="nil"/>
          <w:between w:val="nil"/>
        </w:pBdr>
        <w:spacing w:before="120" w:after="120" w:line="240" w:lineRule="auto"/>
        <w:jc w:val="both"/>
        <w:rPr>
          <w:rFonts w:eastAsia="Times New Roman" w:cs="Times New Roman"/>
          <w:noProof/>
          <w:color w:val="000000"/>
        </w:rPr>
      </w:pPr>
      <w:r>
        <w:rPr>
          <w:noProof/>
        </w:rPr>
        <w:t>C1.2 Verbesserung der Zugänglichkeit und Nutzung moderner drahtgebundener und drahtloser Kommunikation für soziale und wirtschaftliche Bedürfnisse</w:t>
      </w:r>
    </w:p>
    <w:p w14:paraId="0DB1BD95" w14:textId="26CCD4D5" w:rsidR="00EB245A" w:rsidRDefault="006021EE">
      <w:pPr>
        <w:pStyle w:val="P68B1DB1-Normal06"/>
        <w:pBdr>
          <w:top w:val="nil"/>
          <w:left w:val="nil"/>
          <w:bottom w:val="nil"/>
          <w:right w:val="nil"/>
          <w:between w:val="nil"/>
        </w:pBdr>
        <w:spacing w:before="120" w:after="120" w:line="240" w:lineRule="auto"/>
        <w:jc w:val="both"/>
        <w:rPr>
          <w:noProof/>
          <w:color w:val="000000"/>
        </w:rPr>
      </w:pPr>
      <w:r>
        <w:rPr>
          <w:noProof/>
        </w:rPr>
        <w:t>Mit der Reform soll das rechtliche Umfeld für die Entwicklung von Mobilfunknetzen verbessert werden, indem be</w:t>
      </w:r>
      <w:r>
        <w:rPr>
          <w:noProof/>
        </w:rPr>
        <w:t>stehende Hindernisse für die 5G-Einführung unter Berücksichtigung des EU-Instrumentariums für Konnektivität beseitigt werden.</w:t>
      </w:r>
    </w:p>
    <w:p w14:paraId="2AC57CB0" w14:textId="03EC612A" w:rsidR="00EB245A" w:rsidRDefault="006021EE">
      <w:pPr>
        <w:pStyle w:val="P68B1DB1-Normal06"/>
        <w:pBdr>
          <w:top w:val="nil"/>
          <w:left w:val="nil"/>
          <w:bottom w:val="nil"/>
          <w:right w:val="nil"/>
          <w:between w:val="nil"/>
        </w:pBdr>
        <w:spacing w:before="120" w:after="120" w:line="240" w:lineRule="auto"/>
        <w:jc w:val="both"/>
        <w:rPr>
          <w:noProof/>
          <w:color w:val="000000"/>
        </w:rPr>
      </w:pPr>
      <w:r>
        <w:rPr>
          <w:noProof/>
        </w:rPr>
        <w:t>Die Durchführung der Reform muss bis zum 31. Dezember 2023 abgeschlossen sein.</w:t>
      </w:r>
    </w:p>
    <w:p w14:paraId="17C4670F" w14:textId="79417EDA" w:rsidR="00EB245A" w:rsidRDefault="00EB245A">
      <w:pPr>
        <w:pStyle w:val="Normal0"/>
        <w:pBdr>
          <w:top w:val="nil"/>
          <w:left w:val="nil"/>
          <w:bottom w:val="nil"/>
          <w:right w:val="nil"/>
          <w:between w:val="nil"/>
        </w:pBdr>
        <w:spacing w:before="120" w:after="120" w:line="240" w:lineRule="auto"/>
        <w:jc w:val="both"/>
        <w:rPr>
          <w:rFonts w:ascii="Times New Roman" w:hAnsi="Times New Roman"/>
          <w:noProof/>
          <w:color w:val="000000" w:themeColor="text1"/>
          <w:sz w:val="24"/>
        </w:rPr>
      </w:pPr>
    </w:p>
    <w:p w14:paraId="276C4F31" w14:textId="195F8FDC" w:rsidR="00EB245A" w:rsidRDefault="006021EE">
      <w:pPr>
        <w:pStyle w:val="P68B1DB1-Normal015"/>
        <w:pBdr>
          <w:top w:val="nil"/>
          <w:left w:val="nil"/>
          <w:bottom w:val="nil"/>
          <w:right w:val="nil"/>
          <w:between w:val="nil"/>
        </w:pBdr>
        <w:spacing w:before="120" w:after="120" w:line="240" w:lineRule="auto"/>
        <w:jc w:val="both"/>
        <w:rPr>
          <w:rFonts w:eastAsia="Times New Roman" w:cs="Times New Roman"/>
          <w:noProof/>
          <w:color w:val="000000"/>
        </w:rPr>
      </w:pPr>
      <w:r>
        <w:rPr>
          <w:noProof/>
        </w:rPr>
        <w:t>C2.2 Reform der Grundlagen der Digitalisierung des</w:t>
      </w:r>
      <w:r>
        <w:rPr>
          <w:noProof/>
        </w:rPr>
        <w:t xml:space="preserve"> Bildungssystems</w:t>
      </w:r>
    </w:p>
    <w:p w14:paraId="7AD82501" w14:textId="77777777"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Mit der Reform wird die Grundlage für die Digitalisierung des Bildungssystems durch die Annahme der Digitalisierungspolitik für Bildung gelegt, um Kinder und Jugendliche auf die Informationsgesellschaft vorzubereiten. Die Ziele dieses Stra</w:t>
      </w:r>
      <w:r>
        <w:rPr>
          <w:noProof/>
        </w:rPr>
        <w:t>tegiedokuments konzentrieren sich auf die effiziente und sinnvolle Integration neuer Technologien in Lehre, Lernen und Bewertung und werden unter Anwendung eines partizipativen Ansatzes entwickelt.</w:t>
      </w:r>
    </w:p>
    <w:p w14:paraId="13BD78F1" w14:textId="310DA99A"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Die Umsetzung der Reform muss bis zum 30. September 2022 a</w:t>
      </w:r>
      <w:r>
        <w:rPr>
          <w:noProof/>
        </w:rPr>
        <w:t xml:space="preserve">bgeschlossen sein. </w:t>
      </w:r>
    </w:p>
    <w:p w14:paraId="5186B13D"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rPr>
      </w:pPr>
    </w:p>
    <w:p w14:paraId="427CC5C7" w14:textId="021EAAD7" w:rsidR="00EB245A" w:rsidRDefault="006021EE">
      <w:pPr>
        <w:pStyle w:val="P68B1DB1-Normal017"/>
        <w:pBdr>
          <w:top w:val="nil"/>
          <w:left w:val="nil"/>
          <w:bottom w:val="nil"/>
          <w:right w:val="nil"/>
          <w:between w:val="nil"/>
        </w:pBdr>
        <w:spacing w:before="120" w:after="120" w:line="240" w:lineRule="auto"/>
        <w:jc w:val="both"/>
        <w:rPr>
          <w:rFonts w:eastAsia="Times New Roman" w:cs="Times New Roman"/>
          <w:b/>
          <w:noProof/>
          <w:color w:val="000000"/>
        </w:rPr>
      </w:pPr>
      <w:r>
        <w:rPr>
          <w:b/>
          <w:noProof/>
        </w:rPr>
        <w:t>C2.2.1 Ausstattungsschulen/-einrichtungen mit angemessenen IKT-Geräten und -Infrastrukturen zur Verbesserung</w:t>
      </w:r>
      <w:r>
        <w:rPr>
          <w:noProof/>
        </w:rPr>
        <w:t xml:space="preserve"> </w:t>
      </w:r>
      <w:r>
        <w:rPr>
          <w:b/>
          <w:noProof/>
        </w:rPr>
        <w:t>der Gesamtleistung des Bildungssystems</w:t>
      </w:r>
    </w:p>
    <w:p w14:paraId="1339B4E9" w14:textId="12796CEA"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rPr>
      </w:pPr>
      <w:r>
        <w:rPr>
          <w:noProof/>
        </w:rPr>
        <w:t xml:space="preserve">Diese Investition zielt darauf ab, das Niveau der digitalen IKT-Ausrüstung und -Infrastruktur in Schulen über die Mindeststandards hinaus zu erhöhen. </w:t>
      </w:r>
    </w:p>
    <w:p w14:paraId="70DEFD52" w14:textId="77777777"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rPr>
      </w:pPr>
      <w:r>
        <w:rPr>
          <w:noProof/>
        </w:rPr>
        <w:t xml:space="preserve">Die Maßnahme umfasst: </w:t>
      </w:r>
    </w:p>
    <w:p w14:paraId="52E145A4" w14:textId="369CA712" w:rsidR="00EB245A" w:rsidRDefault="006021EE">
      <w:pPr>
        <w:pStyle w:val="P68B1DB1-Normal06"/>
        <w:numPr>
          <w:ilvl w:val="0"/>
          <w:numId w:val="21"/>
        </w:numPr>
        <w:pBdr>
          <w:top w:val="nil"/>
          <w:left w:val="nil"/>
          <w:bottom w:val="nil"/>
          <w:right w:val="nil"/>
          <w:between w:val="nil"/>
        </w:pBdr>
        <w:spacing w:before="120" w:after="120" w:line="240" w:lineRule="auto"/>
        <w:jc w:val="both"/>
        <w:rPr>
          <w:rFonts w:eastAsia="Times New Roman" w:cs="Times New Roman"/>
          <w:noProof/>
          <w:color w:val="000000"/>
        </w:rPr>
      </w:pPr>
      <w:r>
        <w:rPr>
          <w:noProof/>
        </w:rPr>
        <w:t>Bereitstellung eines IT-Kits für den Fernunterricht für 100000 Klassenzimmer;</w:t>
      </w:r>
    </w:p>
    <w:p w14:paraId="6B59C00C" w14:textId="3587485D" w:rsidR="00EB245A" w:rsidRDefault="006021EE">
      <w:pPr>
        <w:pStyle w:val="P68B1DB1-Normal06"/>
        <w:numPr>
          <w:ilvl w:val="0"/>
          <w:numId w:val="21"/>
        </w:numPr>
        <w:pBdr>
          <w:top w:val="nil"/>
          <w:left w:val="nil"/>
          <w:bottom w:val="nil"/>
          <w:right w:val="nil"/>
          <w:between w:val="nil"/>
        </w:pBdr>
        <w:spacing w:before="120" w:after="120" w:line="240" w:lineRule="auto"/>
        <w:jc w:val="both"/>
        <w:rPr>
          <w:rFonts w:eastAsia="Times New Roman" w:cs="Times New Roman"/>
          <w:noProof/>
          <w:color w:val="000000"/>
        </w:rPr>
      </w:pPr>
      <w:r>
        <w:rPr>
          <w:noProof/>
        </w:rPr>
        <w:t>Bere</w:t>
      </w:r>
      <w:r>
        <w:rPr>
          <w:noProof/>
        </w:rPr>
        <w:t>itstellung von künstlicher Intelligenz (KI) und Labors für Mathematik, Informatik, Naturwissenschaften und Technik (MINT) für 16000 Schulen, sowohl in der Primar- als auch in der Sekundarstufe;</w:t>
      </w:r>
    </w:p>
    <w:p w14:paraId="1E77C707" w14:textId="22D96977" w:rsidR="00EB245A" w:rsidRDefault="006021EE">
      <w:pPr>
        <w:pStyle w:val="P68B1DB1-Normal06"/>
        <w:numPr>
          <w:ilvl w:val="0"/>
          <w:numId w:val="21"/>
        </w:numPr>
        <w:spacing w:before="120" w:after="120" w:line="240" w:lineRule="auto"/>
        <w:jc w:val="both"/>
        <w:rPr>
          <w:rFonts w:eastAsia="Times New Roman" w:cs="Times New Roman"/>
          <w:noProof/>
        </w:rPr>
      </w:pPr>
      <w:r>
        <w:rPr>
          <w:noProof/>
        </w:rPr>
        <w:t>Digitalisierung des Prüfungssystems, insbesondere Modernisieru</w:t>
      </w:r>
      <w:r>
        <w:rPr>
          <w:noProof/>
        </w:rPr>
        <w:t>ng der zentralen und regionalen Prüfungskommissionen, und Digitalisierung des elektronischen IT-Bildungszentrums.</w:t>
      </w:r>
    </w:p>
    <w:p w14:paraId="1195C8F1" w14:textId="7280D94C" w:rsidR="00EB245A" w:rsidRDefault="006021EE">
      <w:pPr>
        <w:pStyle w:val="P68B1DB1-Normal06"/>
        <w:spacing w:before="120" w:after="120" w:line="240" w:lineRule="auto"/>
        <w:jc w:val="both"/>
        <w:rPr>
          <w:rFonts w:eastAsia="Times New Roman" w:cs="Times New Roman"/>
          <w:noProof/>
        </w:rPr>
      </w:pPr>
      <w:r>
        <w:rPr>
          <w:noProof/>
        </w:rPr>
        <w:t>Die IT-Kits für Fernunterricht und die KI- und MINT-Labors werden auf der Grundlage der Bevölkerungsdichte und der geografischen Abdeckung gle</w:t>
      </w:r>
      <w:r>
        <w:rPr>
          <w:noProof/>
        </w:rPr>
        <w:t>ichmäßig auf die Schulen verteilt.</w:t>
      </w:r>
    </w:p>
    <w:p w14:paraId="6F868EE5" w14:textId="02E46CCA"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 xml:space="preserve">Für die Auswahl der Stellen, die Netzinfrastruktur oder ITC-Ausrüstung bereitstellen, findet ein offenes, faires und transparentes Verfahren statt. </w:t>
      </w:r>
    </w:p>
    <w:p w14:paraId="452B9DD9" w14:textId="5336A495"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rPr>
      </w:pPr>
      <w:r>
        <w:rPr>
          <w:noProof/>
        </w:rPr>
        <w:t xml:space="preserve">Um die DNSH-Bedingungen zu erfüllen, müssen die IKT-Geräte die </w:t>
      </w:r>
      <w:r>
        <w:rPr>
          <w:noProof/>
        </w:rPr>
        <w:t>energiebezogenen Anforderungen und die Anforderungen an die Materialeffizienz erfüllen, die gemäß der Richtlinie 2009/125/EG für Server und Datenspeicherung oder für Computer und Computerserver oder elektronische Displays festgelegt sind. Darüber hinaus dü</w:t>
      </w:r>
      <w:r>
        <w:rPr>
          <w:noProof/>
        </w:rPr>
        <w:t xml:space="preserve">rfen die IKT-Geräte nicht die in Anhang II der Richtlinie 2011/65/EU aufgeführten Stoffe enthalten. </w:t>
      </w:r>
    </w:p>
    <w:p w14:paraId="3170CF85" w14:textId="77777777"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rPr>
      </w:pPr>
      <w:r>
        <w:rPr>
          <w:noProof/>
        </w:rPr>
        <w:t>Es muss ein Abfallbewirtschaftungsplan vorhanden sein, um ein Höchstmaß an Recycling am Ende der Lebensdauer von Elektro- und Elektronikgeräten zu gewährle</w:t>
      </w:r>
      <w:r>
        <w:rPr>
          <w:noProof/>
        </w:rPr>
        <w:t>isten, unter anderem durch vertragliche Vereinbarungen mit Recyclingpartnern, die Berücksichtigung von Finanzprognosen oder die offizielle Projektdokumentation. Am Ende ihrer Lebensdauer werden die Geräte zur Wiederverwendung, zur Verwertung oder zum Recyc</w:t>
      </w:r>
      <w:r>
        <w:rPr>
          <w:noProof/>
        </w:rPr>
        <w:t xml:space="preserve">ling vorbereitet oder einer ordnungsgemäßen Behandlung unterzogen, einschließlich der Entfernung aller Flüssigkeiten und einer selektiven Behandlung gemäß Anhang VII der Richtlinie 2012/19/EU. </w:t>
      </w:r>
    </w:p>
    <w:p w14:paraId="0E62D955" w14:textId="77777777"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Die Durchführung der Investition muss bis zum 31. Dezember 202</w:t>
      </w:r>
      <w:r>
        <w:rPr>
          <w:noProof/>
        </w:rPr>
        <w:t>5 abgeschlossen sein.</w:t>
      </w:r>
    </w:p>
    <w:p w14:paraId="1A32BBD7" w14:textId="0C2C0006"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themeColor="text1"/>
          <w:sz w:val="24"/>
        </w:rPr>
      </w:pPr>
    </w:p>
    <w:p w14:paraId="6A67E7B0" w14:textId="0ED555CA" w:rsidR="00EB245A" w:rsidRDefault="006021EE">
      <w:pPr>
        <w:pStyle w:val="P68B1DB1-Normal14"/>
        <w:spacing w:before="120" w:after="160" w:line="257" w:lineRule="auto"/>
        <w:jc w:val="both"/>
        <w:rPr>
          <w:rFonts w:eastAsia="Times New Roman" w:cs="Times New Roman"/>
          <w:noProof/>
          <w:color w:val="000000" w:themeColor="text1"/>
        </w:rPr>
      </w:pPr>
      <w:r>
        <w:rPr>
          <w:noProof/>
        </w:rPr>
        <w:t>C4.1.1 Unterstützung des digitalen Wandels von Unternehmen durch den Einsatz von Cloud Computing</w:t>
      </w:r>
    </w:p>
    <w:p w14:paraId="1526DE27" w14:textId="7338517E" w:rsidR="00EB245A" w:rsidRDefault="006021EE">
      <w:pPr>
        <w:pStyle w:val="P68B1DB1-Normal16"/>
        <w:spacing w:before="120" w:after="160" w:line="259" w:lineRule="auto"/>
        <w:jc w:val="both"/>
        <w:rPr>
          <w:rFonts w:eastAsia="Times New Roman" w:cs="Times New Roman"/>
          <w:noProof/>
        </w:rPr>
      </w:pPr>
      <w:r>
        <w:rPr>
          <w:noProof/>
        </w:rPr>
        <w:t>Diese Maßnahme besteht in einer öffentlichen Investition in eine Fazilität, den PL Cloud-Computing-Unterstützungsfonds, um Anreize für p</w:t>
      </w:r>
      <w:r>
        <w:rPr>
          <w:noProof/>
        </w:rPr>
        <w:t>rivate Investitionen zu schaffen und den Zugang zu Finanzmitteln zu verbessern, um den digitalen Wandel und die strategische Autonomie der polnischen Unternehmen zu unterstützen. Die Fazilität wird in Form von Darlehen direkt an den privaten Sektor vergebe</w:t>
      </w:r>
      <w:r>
        <w:rPr>
          <w:noProof/>
        </w:rPr>
        <w:t>n. Auf der Grundlage der Investitionen aus der Aufbau- und Resilienzfazilität zielt die Fazilität zunächst darauf ab, Finanzmittel in Höhe von mindestens 650 000 000 EUR bereitzustellen.</w:t>
      </w:r>
    </w:p>
    <w:p w14:paraId="2E21DCB7" w14:textId="6B0E7FA7" w:rsidR="00EB245A" w:rsidRDefault="006021EE">
      <w:pPr>
        <w:pStyle w:val="P68B1DB1-Normal16"/>
        <w:spacing w:before="120" w:after="160" w:line="259" w:lineRule="auto"/>
        <w:jc w:val="both"/>
        <w:rPr>
          <w:rFonts w:eastAsia="Times New Roman" w:cs="Times New Roman"/>
          <w:noProof/>
        </w:rPr>
      </w:pPr>
      <w:r>
        <w:rPr>
          <w:noProof/>
        </w:rPr>
        <w:t>Die Fazilität wird von der Bank Gospodarstwa Krajowego (BGK) als Durc</w:t>
      </w:r>
      <w:r>
        <w:rPr>
          <w:noProof/>
        </w:rPr>
        <w:t>hführungspartner verwaltet. Die Fazilität umfasst die folgende Produktlinie:</w:t>
      </w:r>
    </w:p>
    <w:p w14:paraId="673E5C77" w14:textId="38F3C3CD" w:rsidR="00EB245A" w:rsidRDefault="006021EE">
      <w:pPr>
        <w:pStyle w:val="P68B1DB1-ListParagraph31"/>
        <w:numPr>
          <w:ilvl w:val="0"/>
          <w:numId w:val="3"/>
        </w:numPr>
        <w:spacing w:before="120" w:after="0"/>
        <w:jc w:val="both"/>
        <w:rPr>
          <w:rFonts w:eastAsia="Times New Roman" w:cs="Times New Roman"/>
          <w:noProof/>
        </w:rPr>
      </w:pPr>
      <w:r>
        <w:rPr>
          <w:noProof/>
        </w:rPr>
        <w:t xml:space="preserve">BGK Direktfinanzierung: im Rahmen dieser Haushaltslinie werden Direktdarlehen an mehrere Unternehmen unterschiedlicher Größe bereitgestellt, um die Kosten der Cloud-Infrastruktur </w:t>
      </w:r>
      <w:r>
        <w:rPr>
          <w:noProof/>
        </w:rPr>
        <w:t xml:space="preserve">und -Dienste zu decken und so den digitalen Wandel und die strategische Autonomie von Unternehmen in Polen zu unterstützen. </w:t>
      </w:r>
    </w:p>
    <w:p w14:paraId="2939074F" w14:textId="0C94C6F6" w:rsidR="00EB245A" w:rsidRDefault="006021EE">
      <w:pPr>
        <w:pStyle w:val="P68B1DB1-Normal16"/>
        <w:spacing w:before="120" w:after="160" w:line="259" w:lineRule="auto"/>
        <w:jc w:val="both"/>
        <w:rPr>
          <w:rFonts w:eastAsia="Times New Roman" w:cs="Times New Roman"/>
          <w:noProof/>
        </w:rPr>
      </w:pPr>
      <w:r>
        <w:rPr>
          <w:noProof/>
        </w:rPr>
        <w:t>Die Unterstützung in Form von Darlehen kann nur Projekten des digitalen Wandels gewährt werden, bei denen mindestens 30 % der förde</w:t>
      </w:r>
      <w:r>
        <w:rPr>
          <w:noProof/>
        </w:rPr>
        <w:t>rfähigen Gesamtkosten Cloud-Infrastrukturen und -Dienste decken. Die verbleibenden Kosten stehen auch in direktem Zusammenhang mit dem digitalen Wandel der Wirtschaftstätigkeit, z. B. mit der Einführung anderer intelligenter Lösungen, darunter insbesondere</w:t>
      </w:r>
      <w:r>
        <w:rPr>
          <w:noProof/>
        </w:rPr>
        <w:t xml:space="preserve"> IoT, KI, VR/AR, Blockchain, 3D, digitale Zwillinge, Edge-Computing, Backbone-Netze, HPC/5G usw. Bis zu 5 % der Gesamtfinanzierung aus der Fazilität können einem einzigen Begünstigten zugewiesen werden. Jeder Begünstigte kann nur ein Darlehen im Rahmen der</w:t>
      </w:r>
      <w:r>
        <w:rPr>
          <w:noProof/>
        </w:rPr>
        <w:t xml:space="preserve"> Fazilität in Anspruch nehmen. </w:t>
      </w:r>
    </w:p>
    <w:p w14:paraId="2DCC004C" w14:textId="1E79CFFA" w:rsidR="00EB245A" w:rsidRDefault="006021EE">
      <w:pPr>
        <w:pStyle w:val="P68B1DB1-Normal16"/>
        <w:spacing w:before="120" w:after="160" w:line="259" w:lineRule="auto"/>
        <w:jc w:val="both"/>
        <w:rPr>
          <w:rFonts w:eastAsia="Times New Roman" w:cs="Times New Roman"/>
          <w:noProof/>
        </w:rPr>
      </w:pPr>
      <w:r>
        <w:rPr>
          <w:noProof/>
        </w:rPr>
        <w:t>Zur Durchführung der Investition in die Fazilität unterzeichnen Polen und BGK ein Durchführungsabkommen mit folgendem Inhalt:</w:t>
      </w:r>
    </w:p>
    <w:p w14:paraId="3C22D65E" w14:textId="1CC177B4" w:rsidR="00EB245A" w:rsidRDefault="006021EE">
      <w:pPr>
        <w:pStyle w:val="P68B1DB1-ListParagraph31"/>
        <w:numPr>
          <w:ilvl w:val="0"/>
          <w:numId w:val="2"/>
        </w:numPr>
        <w:spacing w:before="120" w:after="0" w:line="257" w:lineRule="auto"/>
        <w:contextualSpacing w:val="0"/>
        <w:jc w:val="both"/>
        <w:rPr>
          <w:rFonts w:eastAsia="Times New Roman" w:cs="Times New Roman"/>
          <w:noProof/>
        </w:rPr>
      </w:pPr>
      <w:r>
        <w:rPr>
          <w:noProof/>
        </w:rPr>
        <w:t>Beschreibung des Entscheidungsprozesses der Fazilität: Die endgültige Investitionsentscheidung der</w:t>
      </w:r>
      <w:r>
        <w:rPr>
          <w:noProof/>
        </w:rPr>
        <w:t xml:space="preserve"> Fazilität wird von einem Investitionsausschuss oder einem anderen einschlägigen gleichwertigen Leitungsgremium getroffen und mit der Mehrheit der Stimmen von Mitgliedern, die von der Regierung unabhängig sind, gebilligt.</w:t>
      </w:r>
    </w:p>
    <w:p w14:paraId="6FF91586" w14:textId="25B7BCFD" w:rsidR="00EB245A" w:rsidRDefault="006021EE">
      <w:pPr>
        <w:pStyle w:val="P68B1DB1-ListParagraph31"/>
        <w:numPr>
          <w:ilvl w:val="0"/>
          <w:numId w:val="2"/>
        </w:numPr>
        <w:spacing w:before="120" w:after="0" w:line="257" w:lineRule="auto"/>
        <w:contextualSpacing w:val="0"/>
        <w:jc w:val="both"/>
        <w:rPr>
          <w:rFonts w:eastAsia="Times New Roman" w:cs="Times New Roman"/>
          <w:noProof/>
        </w:rPr>
      </w:pPr>
      <w:r>
        <w:rPr>
          <w:noProof/>
        </w:rPr>
        <w:t>Kernanforderungen der damit verbun</w:t>
      </w:r>
      <w:r>
        <w:rPr>
          <w:noProof/>
        </w:rPr>
        <w:t>denen Anlagepolitik, die Folgendes umfassen:</w:t>
      </w:r>
    </w:p>
    <w:p w14:paraId="7071C01B" w14:textId="10440456" w:rsidR="00EB245A" w:rsidRDefault="006021EE">
      <w:pPr>
        <w:pStyle w:val="P68B1DB1-ListParagraph31"/>
        <w:numPr>
          <w:ilvl w:val="1"/>
          <w:numId w:val="2"/>
        </w:numPr>
        <w:spacing w:before="120" w:after="0" w:line="257" w:lineRule="auto"/>
        <w:contextualSpacing w:val="0"/>
        <w:jc w:val="both"/>
        <w:rPr>
          <w:rFonts w:eastAsia="Times New Roman" w:cs="Times New Roman"/>
          <w:noProof/>
        </w:rPr>
      </w:pPr>
      <w:r>
        <w:rPr>
          <w:noProof/>
        </w:rPr>
        <w:t>Die Beschreibung des Finanzprodukts und der förderfähigen Endbegünstigten.</w:t>
      </w:r>
    </w:p>
    <w:p w14:paraId="0DA7F569" w14:textId="35B5402A" w:rsidR="00EB245A" w:rsidRDefault="006021EE">
      <w:pPr>
        <w:pStyle w:val="P68B1DB1-ListParagraph31"/>
        <w:numPr>
          <w:ilvl w:val="1"/>
          <w:numId w:val="2"/>
        </w:numPr>
        <w:spacing w:before="120" w:after="0" w:line="257" w:lineRule="auto"/>
        <w:contextualSpacing w:val="0"/>
        <w:jc w:val="both"/>
        <w:rPr>
          <w:rFonts w:eastAsia="Times New Roman" w:cs="Times New Roman"/>
          <w:noProof/>
        </w:rPr>
      </w:pPr>
      <w:r>
        <w:rPr>
          <w:noProof/>
        </w:rPr>
        <w:t>Die Anforderung, dass alle geförderten Investitionen wirtschaftlich tragfähig sein müssen.</w:t>
      </w:r>
    </w:p>
    <w:p w14:paraId="3D4F38DA" w14:textId="608381EB" w:rsidR="00EB245A" w:rsidRDefault="006021EE">
      <w:pPr>
        <w:pStyle w:val="ListParagraph"/>
        <w:numPr>
          <w:ilvl w:val="1"/>
          <w:numId w:val="2"/>
        </w:numPr>
        <w:spacing w:before="120" w:after="0" w:line="257" w:lineRule="auto"/>
        <w:contextualSpacing w:val="0"/>
        <w:jc w:val="both"/>
        <w:rPr>
          <w:rFonts w:ascii="Times New Roman" w:eastAsia="Times New Roman" w:hAnsi="Times New Roman" w:cs="Times New Roman"/>
          <w:noProof/>
          <w:color w:val="000000" w:themeColor="text1"/>
          <w:sz w:val="24"/>
        </w:rPr>
      </w:pPr>
      <w:r>
        <w:rPr>
          <w:rFonts w:ascii="Times New Roman" w:hAnsi="Times New Roman"/>
          <w:noProof/>
          <w:color w:val="000000" w:themeColor="text1"/>
          <w:sz w:val="24"/>
        </w:rPr>
        <w:t>Die Anforderung, den Grundsatz der „Vermeidun</w:t>
      </w:r>
      <w:r>
        <w:rPr>
          <w:rFonts w:ascii="Times New Roman" w:hAnsi="Times New Roman"/>
          <w:noProof/>
          <w:color w:val="000000" w:themeColor="text1"/>
          <w:sz w:val="24"/>
        </w:rPr>
        <w:t>g erheblicher Beeinträchtigungen“ (DNSH) gemäß den Technischen Leitlinien für die Vermeidung erheblicher Beeinträchtigungen (2021/C58/01) einzuhalten. Die Anlagepolitik schließt insbesondere</w:t>
      </w:r>
      <w:r>
        <w:rPr>
          <w:rFonts w:ascii="Times New Roman" w:hAnsi="Times New Roman"/>
          <w:noProof/>
          <w:sz w:val="24"/>
        </w:rPr>
        <w:t xml:space="preserve"> folgende Liste von Tätigkeiten und Vermögenswerten von der Förder</w:t>
      </w:r>
      <w:r>
        <w:rPr>
          <w:rFonts w:ascii="Times New Roman" w:hAnsi="Times New Roman"/>
          <w:noProof/>
          <w:sz w:val="24"/>
        </w:rPr>
        <w:t>fähigkeit aus: I) Tätigkeiten und Vermögenswerte im Zusammenhang mit fossilen Brennstoffen, einschließlich nachgelagerter Nutzung,</w:t>
      </w:r>
      <w:r w:rsidRPr="004E1987">
        <w:rPr>
          <w:rStyle w:val="FootnoteReference"/>
          <w:rFonts w:ascii="Times New Roman" w:eastAsia="Times New Roman" w:hAnsi="Times New Roman" w:cs="Times New Roman"/>
          <w:noProof/>
          <w:sz w:val="24"/>
        </w:rPr>
        <w:footnoteReference w:id="30"/>
      </w:r>
      <w:r>
        <w:rPr>
          <w:rFonts w:ascii="Times New Roman" w:hAnsi="Times New Roman"/>
          <w:noProof/>
          <w:sz w:val="24"/>
        </w:rPr>
        <w:t>ii) Tätigkeiten und Vermögenswerte im Rahmen des EU-Emissionshandelssystems (EHS), mit denen prognostizierte Treibhausgasemis</w:t>
      </w:r>
      <w:r>
        <w:rPr>
          <w:rFonts w:ascii="Times New Roman" w:hAnsi="Times New Roman"/>
          <w:noProof/>
          <w:sz w:val="24"/>
        </w:rPr>
        <w:t>sionen erreicht werden, die nicht unter den einschlägigen Richtwerten liegen,</w:t>
      </w:r>
      <w:r w:rsidRPr="004E1987">
        <w:rPr>
          <w:rStyle w:val="FootnoteReference"/>
          <w:rFonts w:ascii="Times New Roman" w:eastAsia="Times New Roman" w:hAnsi="Times New Roman" w:cs="Times New Roman"/>
          <w:noProof/>
          <w:sz w:val="24"/>
        </w:rPr>
        <w:footnoteReference w:id="31"/>
      </w:r>
      <w:r>
        <w:rPr>
          <w:rFonts w:ascii="Times New Roman" w:hAnsi="Times New Roman"/>
          <w:noProof/>
          <w:sz w:val="24"/>
        </w:rPr>
        <w:t>iii) Tätigkeiten und Vermögenswerte im Zusammenhang mit Abfalldeponien, Verbrennungsanlagen und Anlagen zur mechanisch-biologischen Behandlung</w:t>
      </w:r>
      <w:r>
        <w:rPr>
          <w:rFonts w:ascii="Times New Roman" w:hAnsi="Times New Roman"/>
          <w:noProof/>
          <w:color w:val="000000" w:themeColor="text1"/>
          <w:sz w:val="24"/>
        </w:rPr>
        <w:t xml:space="preserve">. Darüber hinaus erfordert die </w:t>
      </w:r>
      <w:r>
        <w:rPr>
          <w:rFonts w:ascii="Times New Roman" w:hAnsi="Times New Roman"/>
          <w:noProof/>
          <w:color w:val="000000" w:themeColor="text1"/>
          <w:sz w:val="24"/>
        </w:rPr>
        <w:t>Investitionspolitik die</w:t>
      </w:r>
      <w:r>
        <w:rPr>
          <w:rFonts w:ascii="Times New Roman" w:hAnsi="Times New Roman"/>
          <w:b/>
          <w:noProof/>
          <w:color w:val="000000" w:themeColor="text1"/>
          <w:sz w:val="24"/>
        </w:rPr>
        <w:t xml:space="preserve"> </w:t>
      </w:r>
      <w:r>
        <w:rPr>
          <w:rFonts w:ascii="Times New Roman" w:hAnsi="Times New Roman"/>
          <w:noProof/>
          <w:color w:val="000000" w:themeColor="text1"/>
          <w:sz w:val="24"/>
        </w:rPr>
        <w:t>Einhaltung der einschlägigen Umweltvorschriften der EU und der Mitgliedstaaten durch die Endbegünstigten der Fazilität.</w:t>
      </w:r>
    </w:p>
    <w:p w14:paraId="0526C32F" w14:textId="27861CE1" w:rsidR="00EB245A" w:rsidRDefault="006021EE">
      <w:pPr>
        <w:pStyle w:val="P68B1DB1-ListParagraph31"/>
        <w:numPr>
          <w:ilvl w:val="1"/>
          <w:numId w:val="2"/>
        </w:numPr>
        <w:spacing w:before="120" w:after="0" w:line="257" w:lineRule="auto"/>
        <w:contextualSpacing w:val="0"/>
        <w:jc w:val="both"/>
        <w:rPr>
          <w:rFonts w:eastAsia="Times New Roman" w:cs="Times New Roman"/>
          <w:noProof/>
        </w:rPr>
      </w:pPr>
      <w:r>
        <w:rPr>
          <w:noProof/>
        </w:rPr>
        <w:t>Die Anforderung, dass Endempfänger der Fazilität keine Unterstützung aus anderen Unionsinstrumenten erhalten dür</w:t>
      </w:r>
      <w:r>
        <w:rPr>
          <w:noProof/>
        </w:rPr>
        <w:t>fen, um dieselben Kosten zu decken.</w:t>
      </w:r>
    </w:p>
    <w:p w14:paraId="5026DEC7" w14:textId="0241BD23" w:rsidR="00EB245A" w:rsidRDefault="006021EE">
      <w:pPr>
        <w:pStyle w:val="P68B1DB1-ListParagraph31"/>
        <w:numPr>
          <w:ilvl w:val="0"/>
          <w:numId w:val="2"/>
        </w:numPr>
        <w:spacing w:before="120" w:after="0" w:line="257" w:lineRule="auto"/>
        <w:contextualSpacing w:val="0"/>
        <w:jc w:val="both"/>
        <w:rPr>
          <w:rFonts w:eastAsia="Times New Roman" w:cs="Times New Roman"/>
          <w:noProof/>
        </w:rPr>
      </w:pPr>
      <w:r>
        <w:rPr>
          <w:noProof/>
        </w:rPr>
        <w:t>Den unter die Durchführungsvereinbarung fallenden Betrag, die Gebührenstruktur für den Durchführungspartner und die Anforderung, Rückflüsse gemäß der Investitionspolitik der Fazilität zu reinvestieren, es sei denn, sie w</w:t>
      </w:r>
      <w:r>
        <w:rPr>
          <w:noProof/>
        </w:rPr>
        <w:t>erden für Rückzahlungen von Darlehen im Rahmen der Aufbau- und Resilienzfazilität verwendet.</w:t>
      </w:r>
    </w:p>
    <w:p w14:paraId="1AD706B2" w14:textId="4ECAE981" w:rsidR="00EB245A" w:rsidRDefault="006021EE">
      <w:pPr>
        <w:pStyle w:val="P68B1DB1-ListParagraph31"/>
        <w:numPr>
          <w:ilvl w:val="0"/>
          <w:numId w:val="2"/>
        </w:numPr>
        <w:spacing w:before="120" w:after="0" w:line="257" w:lineRule="auto"/>
        <w:contextualSpacing w:val="0"/>
        <w:jc w:val="both"/>
        <w:rPr>
          <w:rFonts w:eastAsia="Times New Roman" w:cs="Times New Roman"/>
          <w:noProof/>
        </w:rPr>
      </w:pPr>
      <w:r>
        <w:rPr>
          <w:noProof/>
        </w:rPr>
        <w:t>Überwachungs-, Audit- und Kontrollanforderungen, einschließlich:</w:t>
      </w:r>
    </w:p>
    <w:p w14:paraId="7352DFF8" w14:textId="02D56D74" w:rsidR="00EB245A" w:rsidRDefault="006021EE">
      <w:pPr>
        <w:pStyle w:val="P68B1DB1-ListParagraph31"/>
        <w:numPr>
          <w:ilvl w:val="1"/>
          <w:numId w:val="2"/>
        </w:numPr>
        <w:spacing w:before="120" w:after="0"/>
        <w:contextualSpacing w:val="0"/>
        <w:jc w:val="both"/>
        <w:rPr>
          <w:rFonts w:eastAsia="Times New Roman" w:cs="Times New Roman"/>
          <w:noProof/>
        </w:rPr>
      </w:pPr>
      <w:r>
        <w:rPr>
          <w:noProof/>
        </w:rPr>
        <w:t xml:space="preserve">Die Beschreibung des Überwachungssystems des Durchführungspartners zur Berichterstattung über die </w:t>
      </w:r>
      <w:r>
        <w:rPr>
          <w:noProof/>
        </w:rPr>
        <w:t>mobilisierten Investitionen.</w:t>
      </w:r>
    </w:p>
    <w:p w14:paraId="187B8F4E" w14:textId="490F36FA" w:rsidR="00EB245A" w:rsidRDefault="006021EE">
      <w:pPr>
        <w:pStyle w:val="P68B1DB1-ListParagraph31"/>
        <w:numPr>
          <w:ilvl w:val="1"/>
          <w:numId w:val="2"/>
        </w:numPr>
        <w:spacing w:before="120" w:after="0" w:line="257" w:lineRule="auto"/>
        <w:contextualSpacing w:val="0"/>
        <w:jc w:val="both"/>
        <w:rPr>
          <w:rFonts w:eastAsia="Times New Roman" w:cs="Times New Roman"/>
          <w:noProof/>
        </w:rPr>
      </w:pPr>
      <w:r>
        <w:rPr>
          <w:noProof/>
        </w:rPr>
        <w:t xml:space="preserve">Die Beschreibung der Verfahren des Durchführungspartners, mit denen die Prävention, Aufdeckung und Behebung von Betrug, Korruption und Interessenkonflikten sichergestellt wird. </w:t>
      </w:r>
    </w:p>
    <w:p w14:paraId="3D5647A6" w14:textId="18E59AD8" w:rsidR="00EB245A" w:rsidRDefault="006021EE">
      <w:pPr>
        <w:pStyle w:val="P68B1DB1-ListParagraph31"/>
        <w:numPr>
          <w:ilvl w:val="1"/>
          <w:numId w:val="2"/>
        </w:numPr>
        <w:spacing w:before="120" w:after="0" w:line="257" w:lineRule="auto"/>
        <w:contextualSpacing w:val="0"/>
        <w:jc w:val="both"/>
        <w:rPr>
          <w:rFonts w:eastAsia="Times New Roman" w:cs="Times New Roman"/>
          <w:noProof/>
        </w:rPr>
      </w:pPr>
      <w:r>
        <w:rPr>
          <w:noProof/>
        </w:rPr>
        <w:t>Die Verpflichtung, die Förderfähigkeit jeder Oper</w:t>
      </w:r>
      <w:r>
        <w:rPr>
          <w:noProof/>
        </w:rPr>
        <w:t>ation im Einklang mit den Anforderungen des Durchführungsübereinkommens zu überprüfen, bevor sie sich zur Finanzierung einer Operation verpflichtet.</w:t>
      </w:r>
    </w:p>
    <w:p w14:paraId="0D837EA6" w14:textId="4D0715DD" w:rsidR="00EB245A" w:rsidRDefault="006021EE">
      <w:pPr>
        <w:pStyle w:val="P68B1DB1-ListParagraph31"/>
        <w:numPr>
          <w:ilvl w:val="1"/>
          <w:numId w:val="2"/>
        </w:numPr>
        <w:spacing w:before="120" w:after="0"/>
        <w:contextualSpacing w:val="0"/>
        <w:jc w:val="both"/>
        <w:rPr>
          <w:rFonts w:eastAsia="Times New Roman" w:cs="Times New Roman"/>
          <w:noProof/>
        </w:rPr>
      </w:pPr>
      <w:r>
        <w:rPr>
          <w:noProof/>
        </w:rPr>
        <w:t>Die Verpflichtung zur Durchführung risikobasierter Ex-post-Prüfungen gemäß einem Prüfplan des BGK. Bei dies</w:t>
      </w:r>
      <w:r>
        <w:rPr>
          <w:noProof/>
        </w:rPr>
        <w:t>en Prüfungen wird überprüft, i) ob die Kontrollsysteme wirksam sind, einschließlich der Aufdeckung von Betrug, Korruption und Interessenkonflikten; II) Einhaltung des DNSH-Grundsatzes, der Vorschriften über staatliche Beihilfen und der Digitalzielvorgaben;</w:t>
      </w:r>
      <w:r>
        <w:rPr>
          <w:noProof/>
        </w:rPr>
        <w:t xml:space="preserve"> und iii) die Anforderung, dass die Endbegünstigten der Fazilität keine Unterstützung aus anderen Unionsinstrumenten erhalten haben dürfen, um dieselben Kosten zu decken, eingehalten wird. Bei den Prüfungen wird auch die Rechtmäßigkeit der Transaktionen un</w:t>
      </w:r>
      <w:r>
        <w:rPr>
          <w:noProof/>
        </w:rPr>
        <w:t xml:space="preserve">d die Einhaltung der Bedingungen des geltenden Durchführungsübereinkommens überprüft. </w:t>
      </w:r>
    </w:p>
    <w:p w14:paraId="041F5D14" w14:textId="7C0CEF43" w:rsidR="00EB245A" w:rsidRDefault="006021EE">
      <w:pPr>
        <w:pStyle w:val="P68B1DB1-Normal06"/>
        <w:spacing w:before="120" w:after="120" w:line="240" w:lineRule="auto"/>
        <w:jc w:val="both"/>
        <w:rPr>
          <w:rFonts w:eastAsia="Times New Roman" w:cs="Times New Roman"/>
          <w:noProof/>
        </w:rPr>
      </w:pPr>
      <w:r>
        <w:rPr>
          <w:noProof/>
        </w:rPr>
        <w:t>Die Maßnahme umfasst auch die Veröffentlichung eines Leitfadens zum digitalen Wandel von Unternehmen, die Cloud-Computing nutzen. Dieser Leitfaden ist ein Kompendium von</w:t>
      </w:r>
      <w:r>
        <w:rPr>
          <w:noProof/>
        </w:rPr>
        <w:t xml:space="preserve"> Wissen (einschließlich häufig gestellter Fragen), Leitlinien und Beispiele für den Einsatz moderner Technologien, insbesondere des Cloud-Computing, beim digitalen Wandel von Unternehmen. Der Leitfaden umfasst unter anderem folgende Aspekte: rechtliche Asp</w:t>
      </w:r>
      <w:r>
        <w:rPr>
          <w:noProof/>
        </w:rPr>
        <w:t xml:space="preserve">ekte der Umgestaltung eines Unternehmens, das Cloud-Computing und Cloud-gestützte moderne Technologien einsetzt, Cybersicherheit, Energieeffizienz und Entwicklung digitaler Kompetenzen und Cloud-Kenntnisse. Der Leitfaden unterstützt auch die Förderung der </w:t>
      </w:r>
      <w:r>
        <w:rPr>
          <w:noProof/>
        </w:rPr>
        <w:t>Fazilität und stellt den Unternehmen die Informationen zur Verfügung, die sie benötigen, um sich auf die Beantragung der Unterstützung in Form eines Darlehens im Rahmen der Fazilität vorzubereiten. In dem Leitfaden werden Mechanismen für den Transfer des e</w:t>
      </w:r>
      <w:r>
        <w:rPr>
          <w:noProof/>
        </w:rPr>
        <w:t>inschlägigen Wissens und Know-hows beschrieben, auch an Unternehmer, die nicht für eine Darlehensunterstützung im Rahmen der Fazilität in Betracht kommen, und an kleine Unternehmen.</w:t>
      </w:r>
    </w:p>
    <w:p w14:paraId="2718F792" w14:textId="1F3626E8"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themeColor="text1"/>
          <w:sz w:val="24"/>
        </w:rPr>
      </w:pPr>
    </w:p>
    <w:p w14:paraId="6C57C439"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rPr>
      </w:pPr>
    </w:p>
    <w:p w14:paraId="5692820A"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i/>
          <w:noProof/>
          <w:color w:val="000000"/>
          <w:sz w:val="24"/>
        </w:rPr>
        <w:sectPr w:rsidR="00EB245A" w:rsidSect="005E6922">
          <w:headerReference w:type="even" r:id="rId91"/>
          <w:headerReference w:type="default" r:id="rId92"/>
          <w:footerReference w:type="even" r:id="rId93"/>
          <w:footerReference w:type="default" r:id="rId94"/>
          <w:headerReference w:type="first" r:id="rId95"/>
          <w:footerReference w:type="first" r:id="rId96"/>
          <w:pgSz w:w="11907" w:h="16839"/>
          <w:pgMar w:top="1134" w:right="1134" w:bottom="1134" w:left="1134" w:header="567" w:footer="567" w:gutter="0"/>
          <w:cols w:space="720"/>
          <w:docGrid w:linePitch="299"/>
        </w:sectPr>
      </w:pPr>
    </w:p>
    <w:p w14:paraId="3D404BC9" w14:textId="17CBB931" w:rsidR="00EB245A" w:rsidRDefault="006021E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i/>
          <w:noProof/>
          <w:color w:val="000000"/>
          <w:sz w:val="24"/>
        </w:rPr>
      </w:pPr>
      <w:r>
        <w:rPr>
          <w:rFonts w:ascii="Times New Roman" w:hAnsi="Times New Roman"/>
          <w:b/>
          <w:noProof/>
          <w:color w:val="000000" w:themeColor="text1"/>
          <w:sz w:val="24"/>
        </w:rPr>
        <w:t xml:space="preserve">C.4 </w:t>
      </w:r>
      <w:r>
        <w:rPr>
          <w:noProof/>
        </w:rPr>
        <w:t xml:space="preserve"> </w:t>
      </w:r>
      <w:r>
        <w:rPr>
          <w:rFonts w:ascii="Times New Roman" w:hAnsi="Times New Roman"/>
          <w:b/>
          <w:noProof/>
          <w:color w:val="000000" w:themeColor="text1"/>
          <w:sz w:val="24"/>
        </w:rPr>
        <w:t>Etappenziele, Zielwerte, Indikatoren und Zeitplan für die Überwachung und Durchführung (Darlehen)</w:t>
      </w:r>
    </w:p>
    <w:tbl>
      <w:tblPr>
        <w:tblW w:w="1559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846"/>
        <w:gridCol w:w="2126"/>
        <w:gridCol w:w="1276"/>
        <w:gridCol w:w="2273"/>
        <w:gridCol w:w="1979"/>
        <w:gridCol w:w="1134"/>
        <w:gridCol w:w="1418"/>
        <w:gridCol w:w="850"/>
        <w:gridCol w:w="851"/>
        <w:gridCol w:w="709"/>
        <w:gridCol w:w="2131"/>
      </w:tblGrid>
      <w:tr w:rsidR="00EB245A" w14:paraId="20553490" w14:textId="77777777" w:rsidTr="00ED283A">
        <w:trPr>
          <w:trHeight w:val="731"/>
          <w:tblHeader/>
          <w:jc w:val="center"/>
        </w:trPr>
        <w:tc>
          <w:tcPr>
            <w:tcW w:w="8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2ADDDA64" w14:textId="3522F6B3"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Lfd. Nr. Nr.</w:t>
            </w: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008C2D9B"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Verbundene Maßnahme (Reform oder Investition)</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395E9546"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Etappenziel/Zielwert</w:t>
            </w:r>
          </w:p>
        </w:tc>
        <w:tc>
          <w:tcPr>
            <w:tcW w:w="22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03B9116E"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Namen</w:t>
            </w:r>
          </w:p>
        </w:tc>
        <w:tc>
          <w:tcPr>
            <w:tcW w:w="19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2ED7D3CA" w14:textId="77777777" w:rsidR="00EB245A" w:rsidRDefault="006021EE">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rPr>
            </w:pPr>
            <w:r>
              <w:rPr>
                <w:rFonts w:ascii="Times New Roman" w:hAnsi="Times New Roman"/>
                <w:b/>
                <w:noProof/>
                <w:color w:val="000000"/>
                <w:sz w:val="18"/>
              </w:rPr>
              <w:t>Etappenziel/Zielwert</w:t>
            </w:r>
            <w:r>
              <w:rPr>
                <w:noProof/>
              </w:rPr>
              <w:t xml:space="preserve">  </w:t>
            </w:r>
            <w:r>
              <w:rPr>
                <w:noProof/>
              </w:rPr>
              <w:br/>
            </w:r>
            <w:r>
              <w:rPr>
                <w:rFonts w:ascii="Times New Roman" w:hAnsi="Times New Roman"/>
                <w:b/>
                <w:noProof/>
                <w:color w:val="000000"/>
                <w:sz w:val="18"/>
              </w:rPr>
              <w:t>(für Etappenziele)</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187CA6E5" w14:textId="77777777" w:rsidR="00EB245A" w:rsidRDefault="006021EE">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rPr>
            </w:pPr>
            <w:r>
              <w:rPr>
                <w:rFonts w:ascii="Times New Roman" w:hAnsi="Times New Roman"/>
                <w:b/>
                <w:noProof/>
                <w:color w:val="000000"/>
                <w:sz w:val="18"/>
              </w:rPr>
              <w:t xml:space="preserve">Qualitative Indikatoren (für </w:t>
            </w:r>
            <w:r>
              <w:rPr>
                <w:rFonts w:ascii="Times New Roman" w:hAnsi="Times New Roman"/>
                <w:b/>
                <w:noProof/>
                <w:color w:val="000000"/>
                <w:sz w:val="18"/>
              </w:rPr>
              <w:t>Etappenziele)</w:t>
            </w:r>
            <w:r>
              <w:rPr>
                <w:noProof/>
              </w:rPr>
              <w:t xml:space="preserve">  </w:t>
            </w:r>
            <w:r>
              <w:rPr>
                <w:noProof/>
              </w:rPr>
              <w:br/>
            </w:r>
            <w:r>
              <w:rPr>
                <w:rFonts w:ascii="Times New Roman" w:hAnsi="Times New Roman"/>
                <w:b/>
                <w:noProof/>
                <w:color w:val="000000"/>
                <w:sz w:val="18"/>
              </w:rPr>
              <w:t>(für Ziele)</w:t>
            </w: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2B8A3CEB"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 xml:space="preserve">Vorläufiger Zeitplan für die Fertigstellung </w:t>
            </w:r>
          </w:p>
        </w:tc>
        <w:tc>
          <w:tcPr>
            <w:tcW w:w="21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45F81A50"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Beschreibung der einzelnen Etappenziele und Zielvorgaben</w:t>
            </w:r>
          </w:p>
        </w:tc>
      </w:tr>
      <w:tr w:rsidR="00EB245A" w14:paraId="7DA79544" w14:textId="77777777" w:rsidTr="00ED283A">
        <w:trPr>
          <w:trHeight w:val="557"/>
          <w:jc w:val="center"/>
        </w:trPr>
        <w:tc>
          <w:tcPr>
            <w:tcW w:w="846" w:type="dxa"/>
            <w:vMerge/>
            <w:vAlign w:val="center"/>
          </w:tcPr>
          <w:p w14:paraId="31A560F4"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2126" w:type="dxa"/>
            <w:vMerge/>
            <w:vAlign w:val="center"/>
          </w:tcPr>
          <w:p w14:paraId="70DF735C"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276" w:type="dxa"/>
            <w:vMerge/>
            <w:vAlign w:val="center"/>
          </w:tcPr>
          <w:p w14:paraId="3A413BF6"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2273" w:type="dxa"/>
            <w:vMerge/>
            <w:vAlign w:val="center"/>
          </w:tcPr>
          <w:p w14:paraId="33D28B4B"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979" w:type="dxa"/>
            <w:vMerge/>
            <w:vAlign w:val="center"/>
          </w:tcPr>
          <w:p w14:paraId="37EFA3E3"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625D6124"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Maßeinheit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73D2CD02"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 xml:space="preserve">Ausgangslage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0CB8A499"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Ziel</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4907727A"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Viertel</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36831318"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Jahre</w:t>
            </w:r>
          </w:p>
        </w:tc>
        <w:tc>
          <w:tcPr>
            <w:tcW w:w="2131" w:type="dxa"/>
            <w:vMerge/>
            <w:vAlign w:val="center"/>
          </w:tcPr>
          <w:p w14:paraId="41C6AC2A"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r>
      <w:tr w:rsidR="00ED283A" w14:paraId="0AB32230" w14:textId="77777777" w:rsidTr="00ED283A">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0904971" w14:textId="102E2EB8"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C1L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C74271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C1.2 Verbesserung der Zugänglichkeit und Nutzung moderner drahtgebundener und drahtloser Kommunikation für soziale und wirtschaftliche Bedürfnisse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0CF9DDB"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D3A6A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Änderung der Verordnung vom 17. Februar 2020 über die Überwachung von Emissionen elektromagnetis</w:t>
            </w:r>
            <w:r>
              <w:rPr>
                <w:noProof/>
              </w:rPr>
              <w:t>cher Felder in der Umwelt</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5D3E70B" w14:textId="74CDA6D1"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Bestimmung zur Änderung der Verordnung, aus der hervorgeht, dass sie in Kraft tritt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DA0893E"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578DB2D"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88FFA9"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8C55FB"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0000" w:themeColor="text1"/>
              </w:rPr>
            </w:pPr>
            <w:r>
              <w:rPr>
                <w:noProof/>
              </w:rPr>
              <w:t>Q1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9C7AB9B"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2022</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5E49536" w14:textId="7E64FCB1"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Inkrafttreten einer Änderung der Verordnung vom 17. Februar 2020 über Methoden zur Messung von Emissionen elektromagnetischer Felder in der Umwelt. </w:t>
            </w:r>
          </w:p>
        </w:tc>
      </w:tr>
      <w:tr w:rsidR="00ED283A" w14:paraId="14E3C55C" w14:textId="77777777" w:rsidTr="00ED283A">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E34955E" w14:textId="56C2F833"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C2L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CE7C8E0"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C1.2 Verbesserung der Zugänglichkeit und Nutzung moderner drahtgebundener und drahtloser Kommunikation für soziale und wirtschaftliche Bedürfnisse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F4DD39"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0FF7385"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Änderung der Verordnung des Ministerrates vom 10. September 2019 über die Umweltverträglichkeits</w:t>
            </w:r>
            <w:r>
              <w:rPr>
                <w:noProof/>
              </w:rPr>
              <w:t>prüfung</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49F32B6" w14:textId="280F286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Bestimmung in der Änderung der Verordnung, aus der hervorgeht, dass sie in Kraft tritt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00BD0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F8886C"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8F29438"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39B3ACD"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97CBA7"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2022</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68B645F" w14:textId="5CEA454D"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Inkrafttreten einer Änderung der Verordnung über Projekte, die erhebliche Auswirkungen auf die Umwelt haben können, wodurch Investitionen in die </w:t>
            </w:r>
            <w:r>
              <w:rPr>
                <w:noProof/>
              </w:rPr>
              <w:t xml:space="preserve">Funkkommunikation aus dem Katalog der Projekte, die einer Umweltverträglichkeitsprüfung bedürfen, ausgeschlossen werden. </w:t>
            </w:r>
          </w:p>
        </w:tc>
      </w:tr>
      <w:tr w:rsidR="00ED283A" w14:paraId="2AD764E0" w14:textId="77777777" w:rsidTr="00ED283A">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ECBAF40" w14:textId="10B8A594"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C3L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D78053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C1.2 Verbesserung der Zugänglichkeit und Nutzung moderner drahtgebundener und drahtloser Kommunikation für soziale und wirtschaftliche Bedürfnisse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E7C474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8DCAB5" w14:textId="441A908B"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Neue(r) Rechtsakt(e) zur Beseitigung von Hindernissen für die Umsetzung des 5G-Netzes </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0831AC2" w14:textId="4F46788C"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Bestimmun</w:t>
            </w:r>
            <w:r>
              <w:rPr>
                <w:noProof/>
              </w:rPr>
              <w:t xml:space="preserve">g in dem/den Rechtsakt(en) über sein Inkrafttreten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4FE01AE"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9264DCC"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996775"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F72B8DF"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A7F294E"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2023</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5403CB4" w14:textId="12E13E22"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Inkrafttreten des Rechtsakts/der Rechtsakte, mit dem/denen Hindernisse für die Einführung von 5G-Netzen beseitigt werden sollen.</w:t>
            </w:r>
          </w:p>
        </w:tc>
      </w:tr>
      <w:tr w:rsidR="00ED283A" w14:paraId="75E3ADAD" w14:textId="77777777" w:rsidTr="00ED283A">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03F67C8" w14:textId="56F5AFBE" w:rsidR="00EB245A" w:rsidRDefault="006021EE">
            <w:pPr>
              <w:pStyle w:val="P68B1DB1-Normal011"/>
              <w:pBdr>
                <w:top w:val="nil"/>
                <w:left w:val="nil"/>
                <w:bottom w:val="nil"/>
                <w:right w:val="nil"/>
                <w:between w:val="nil"/>
              </w:pBdr>
              <w:spacing w:after="0" w:line="240" w:lineRule="auto"/>
              <w:jc w:val="center"/>
              <w:rPr>
                <w:rFonts w:cs="Times New Roman"/>
                <w:noProof/>
              </w:rPr>
            </w:pPr>
            <w:r>
              <w:rPr>
                <w:noProof/>
              </w:rPr>
              <w:t>C8L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B7D2BE5" w14:textId="4892E2D0"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C2.2 Reform der Grundlagen der Digitalisierung des </w:t>
            </w:r>
            <w:r>
              <w:rPr>
                <w:noProof/>
              </w:rPr>
              <w:t>Bildungssystems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C099834" w14:textId="257EF31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Meilenstein</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720DC94" w14:textId="12406E42"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Annahme einer neuen Digitalisierungspolitik für die Bildung, die die Grundlage für Veränderungen im Bildungssystem und die Umsetzung von Investitionen in IKT bildet und kurz- und langfristig die Richtung für die Digitalisierung </w:t>
            </w:r>
            <w:r>
              <w:rPr>
                <w:noProof/>
              </w:rPr>
              <w:t>des Bildungssystems festlegt</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BB03DD" w14:textId="4CD29698"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Annahme der Politik</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9016EB" w14:textId="45E81D09"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1CC02DA" w14:textId="74AEB79C"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A9611A2" w14:textId="6DC6D79A"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A2F1C51" w14:textId="004A1993"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0000" w:themeColor="text1"/>
              </w:rPr>
            </w:pPr>
            <w:r>
              <w:rPr>
                <w:noProof/>
              </w:rPr>
              <w:t>Q3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C5E1D31" w14:textId="35C3BBCC"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0000" w:themeColor="text1"/>
              </w:rPr>
            </w:pPr>
            <w:r>
              <w:rPr>
                <w:noProof/>
              </w:rPr>
              <w:t>2022</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496F92D" w14:textId="77777777" w:rsidR="00EB245A" w:rsidRDefault="006021EE">
            <w:pPr>
              <w:pStyle w:val="P68B1DB1-Normal012"/>
              <w:pBdr>
                <w:top w:val="nil"/>
                <w:left w:val="nil"/>
                <w:bottom w:val="nil"/>
                <w:right w:val="nil"/>
                <w:between w:val="nil"/>
              </w:pBdr>
              <w:spacing w:after="0" w:line="240" w:lineRule="auto"/>
              <w:rPr>
                <w:noProof/>
              </w:rPr>
            </w:pPr>
            <w:r>
              <w:rPr>
                <w:noProof/>
              </w:rPr>
              <w:t xml:space="preserve">Annahme einer Entschließung zur Politik der Digitalisierung des Bildungsbereichs durch den Ministerrat, die den Charakter eines Programms und eines Strategiepapiers hat und den Rahmen für die </w:t>
            </w:r>
            <w:r>
              <w:rPr>
                <w:noProof/>
              </w:rPr>
              <w:t xml:space="preserve">staatliche Politik und die kurz-, mittel- und langfristigen Digitalisierung der Bildung bildet. </w:t>
            </w:r>
          </w:p>
          <w:p w14:paraId="3EB1E214" w14:textId="77777777" w:rsidR="00EB245A" w:rsidRDefault="00EB245A">
            <w:pPr>
              <w:pStyle w:val="Normal0"/>
              <w:pBdr>
                <w:top w:val="nil"/>
                <w:left w:val="nil"/>
                <w:bottom w:val="nil"/>
                <w:right w:val="nil"/>
                <w:between w:val="nil"/>
              </w:pBdr>
              <w:spacing w:after="0" w:line="240" w:lineRule="auto"/>
              <w:rPr>
                <w:rFonts w:ascii="Times New Roman" w:hAnsi="Times New Roman"/>
                <w:noProof/>
                <w:color w:val="000000"/>
                <w:sz w:val="18"/>
              </w:rPr>
            </w:pPr>
          </w:p>
          <w:p w14:paraId="0192C030" w14:textId="39C110E5"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Dieses Dokument bildet die Grundlage für die Tätigkeiten von Interessenträgern und Beteiligten und legt die Instrumente für die Verwirklichung eines vollständ</w:t>
            </w:r>
            <w:r>
              <w:rPr>
                <w:noProof/>
              </w:rPr>
              <w:t>ig digitalisierten Bildungssystems fest, das an die aktuellen Herausforderungen des vorschulischen und allgemeinen Bildungsumfelds angepasst ist. Die Strategie umfasst den Durchführungsplan, die Evaluierungs- und Überwachungsmaßnahmen und wird unter Anwend</w:t>
            </w:r>
            <w:r>
              <w:rPr>
                <w:noProof/>
              </w:rPr>
              <w:t xml:space="preserve">ung eines partizipativen Ansatzes entwickelt. </w:t>
            </w:r>
          </w:p>
        </w:tc>
      </w:tr>
      <w:tr w:rsidR="00ED283A" w14:paraId="24658D48" w14:textId="77777777" w:rsidTr="00ED283A">
        <w:trPr>
          <w:trHeight w:val="2690"/>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1E2122F" w14:textId="06F5C48D" w:rsidR="00EB245A" w:rsidRDefault="006021EE">
            <w:pPr>
              <w:pStyle w:val="P68B1DB1-Normal011"/>
              <w:spacing w:line="240" w:lineRule="auto"/>
              <w:jc w:val="center"/>
              <w:rPr>
                <w:rFonts w:cs="Times New Roman"/>
                <w:noProof/>
              </w:rPr>
            </w:pPr>
            <w:r>
              <w:rPr>
                <w:noProof/>
              </w:rPr>
              <w:t>C9L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0234B4" w14:textId="46141C41" w:rsidR="00EB245A" w:rsidRDefault="006021EE">
            <w:pPr>
              <w:pStyle w:val="P68B1DB1-Normal012"/>
              <w:spacing w:line="240" w:lineRule="auto"/>
              <w:rPr>
                <w:rFonts w:eastAsia="Times New Roman" w:cs="Times New Roman"/>
                <w:noProof/>
                <w:color w:val="000000" w:themeColor="text1"/>
              </w:rPr>
            </w:pPr>
            <w:r>
              <w:rPr>
                <w:noProof/>
              </w:rPr>
              <w:t>C2.2.1 Ausstattungsschulen/-einrichtungen mit angemessenen IKT-Geräten und -Infrastrukturen zur Verbesserung der Gesamtleistung des Bildungssystems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5AF3BF" w14:textId="795E22E0" w:rsidR="00EB245A" w:rsidRDefault="006021EE">
            <w:pPr>
              <w:pStyle w:val="P68B1DB1-Normal012"/>
              <w:spacing w:line="240" w:lineRule="auto"/>
              <w:rPr>
                <w:rFonts w:eastAsia="Times New Roman" w:cs="Times New Roman"/>
                <w:noProof/>
                <w:color w:val="000000" w:themeColor="text1"/>
              </w:rPr>
            </w:pPr>
            <w:r>
              <w:rPr>
                <w:noProof/>
              </w:rPr>
              <w:t>Meilenstein</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B75FD1E" w14:textId="2F4BA24D" w:rsidR="00EB245A" w:rsidRDefault="006021EE">
            <w:pPr>
              <w:pStyle w:val="P68B1DB1-Normal012"/>
              <w:spacing w:line="240" w:lineRule="auto"/>
              <w:rPr>
                <w:rFonts w:eastAsia="Times New Roman" w:cs="Times New Roman"/>
                <w:noProof/>
                <w:color w:val="000000" w:themeColor="text1"/>
              </w:rPr>
            </w:pPr>
            <w:r>
              <w:rPr>
                <w:noProof/>
              </w:rPr>
              <w:t xml:space="preserve">Öffentliche Konsultation zum Rahmen für die </w:t>
            </w:r>
            <w:r>
              <w:rPr>
                <w:noProof/>
              </w:rPr>
              <w:t>Festlegung der Verfahren für die Verteilung von IKT-Ausrüstung und für die Bereitstellung von Infrastruktur für Schulen</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40F38B7" w14:textId="3FB40297" w:rsidR="00EB245A" w:rsidRDefault="006021EE">
            <w:pPr>
              <w:pStyle w:val="P68B1DB1-Normal012"/>
              <w:spacing w:line="240" w:lineRule="auto"/>
              <w:rPr>
                <w:rFonts w:eastAsia="Times New Roman" w:cs="Times New Roman"/>
                <w:noProof/>
                <w:color w:val="000000" w:themeColor="text1"/>
              </w:rPr>
            </w:pPr>
            <w:r>
              <w:rPr>
                <w:noProof/>
              </w:rPr>
              <w:t xml:space="preserve">Bericht mit einer Zusammenfassung der Ergebnisse der öffentlichen Konsultation und der folgenden Antwort der Regierung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0F8D0A" w14:textId="7D445891" w:rsidR="00EB245A" w:rsidRDefault="00EB245A">
            <w:pPr>
              <w:pStyle w:val="Normal0"/>
              <w:spacing w:line="240" w:lineRule="auto"/>
              <w:rPr>
                <w:rFonts w:ascii="Times New Roman" w:eastAsia="Times New Roman" w:hAnsi="Times New Roman" w:cs="Times New Roman"/>
                <w:noProof/>
                <w:color w:val="000000" w:themeColor="text1"/>
                <w:sz w:val="1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4E8146F" w14:textId="3288E3F1" w:rsidR="00EB245A" w:rsidRDefault="00EB245A">
            <w:pPr>
              <w:pStyle w:val="Normal0"/>
              <w:spacing w:line="240" w:lineRule="auto"/>
              <w:rPr>
                <w:rFonts w:ascii="Times New Roman" w:eastAsia="Times New Roman" w:hAnsi="Times New Roman" w:cs="Times New Roman"/>
                <w:noProof/>
                <w:color w:val="000000" w:themeColor="text1"/>
                <w:sz w:val="1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C5389D" w14:textId="5896CC49" w:rsidR="00EB245A" w:rsidRDefault="00EB245A">
            <w:pPr>
              <w:pStyle w:val="Normal0"/>
              <w:spacing w:line="240" w:lineRule="auto"/>
              <w:rPr>
                <w:rFonts w:ascii="Times New Roman" w:eastAsia="Times New Roman" w:hAnsi="Times New Roman" w:cs="Times New Roman"/>
                <w:noProof/>
                <w:color w:val="000000" w:themeColor="text1"/>
                <w:sz w:val="1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0A1BCB" w14:textId="43DB302C" w:rsidR="00EB245A" w:rsidRDefault="006021EE">
            <w:pPr>
              <w:pStyle w:val="P68B1DB1-Normal012"/>
              <w:spacing w:line="240" w:lineRule="auto"/>
              <w:jc w:val="center"/>
              <w:rPr>
                <w:rFonts w:eastAsia="Times New Roman" w:cs="Times New Roman"/>
                <w:noProof/>
                <w:color w:val="000000" w:themeColor="text1"/>
              </w:rPr>
            </w:pPr>
            <w:r>
              <w:rPr>
                <w:noProof/>
              </w:rPr>
              <w:t>Q3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B130820" w14:textId="257C4BC9" w:rsidR="00EB245A" w:rsidRDefault="006021EE">
            <w:pPr>
              <w:pStyle w:val="P68B1DB1-Normal012"/>
              <w:spacing w:line="240" w:lineRule="auto"/>
              <w:jc w:val="center"/>
              <w:rPr>
                <w:rFonts w:eastAsia="Times New Roman" w:cs="Times New Roman"/>
                <w:noProof/>
                <w:color w:val="000000" w:themeColor="text1"/>
              </w:rPr>
            </w:pPr>
            <w:r>
              <w:rPr>
                <w:noProof/>
              </w:rPr>
              <w:t>2022</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DCF4AC0" w14:textId="688DE80B" w:rsidR="00EB245A" w:rsidRDefault="006021EE">
            <w:pPr>
              <w:pStyle w:val="P68B1DB1-Normal13"/>
              <w:spacing w:line="240" w:lineRule="auto"/>
              <w:rPr>
                <w:rFonts w:eastAsia="Times New Roman" w:cs="Times New Roman"/>
                <w:noProof/>
              </w:rPr>
            </w:pPr>
            <w:r>
              <w:rPr>
                <w:noProof/>
              </w:rPr>
              <w:t>Öffe</w:t>
            </w:r>
            <w:r>
              <w:rPr>
                <w:noProof/>
              </w:rPr>
              <w:t>ntliche Konsultation unter Beteiligung verschiedener Interessenträger und Sozialpartner zum Rahmen für die Verteilung von IKT-Ausrüstung (IT-Kit für Fernunterricht) und für die Bereitstellung von Infrastruktur (LAN-Verbindung, MINT- und KI-Laboratorien) fü</w:t>
            </w:r>
            <w:r>
              <w:rPr>
                <w:noProof/>
              </w:rPr>
              <w:t xml:space="preserve">r Schulen. </w:t>
            </w:r>
          </w:p>
          <w:p w14:paraId="4A9AB89F" w14:textId="0CD28DD4" w:rsidR="00EB245A" w:rsidRDefault="006021EE">
            <w:pPr>
              <w:pStyle w:val="P68B1DB1-Normal13"/>
              <w:spacing w:after="0" w:line="240" w:lineRule="auto"/>
              <w:rPr>
                <w:rFonts w:eastAsia="Times New Roman" w:cs="Times New Roman"/>
                <w:noProof/>
              </w:rPr>
            </w:pPr>
            <w:r>
              <w:rPr>
                <w:noProof/>
              </w:rPr>
              <w:t>Die Ergebnisse der Konsultation werden in einem Bericht zusammengefasst, der die wichtigsten Bemerkungen der Interessenträger und Sozialpartner sowie die Folgemaßnahmen der Regierung zu diesen Stellungnahmen enthält.</w:t>
            </w:r>
          </w:p>
        </w:tc>
      </w:tr>
      <w:tr w:rsidR="00ED283A" w14:paraId="0152567C" w14:textId="77777777" w:rsidTr="00ED283A">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81864F" w14:textId="0B5CB53C" w:rsidR="00EB245A" w:rsidRDefault="006021EE">
            <w:pPr>
              <w:pStyle w:val="P68B1DB1-Normal011"/>
              <w:pBdr>
                <w:top w:val="nil"/>
                <w:left w:val="nil"/>
                <w:bottom w:val="nil"/>
                <w:right w:val="nil"/>
                <w:between w:val="nil"/>
              </w:pBdr>
              <w:spacing w:after="0" w:line="240" w:lineRule="auto"/>
              <w:jc w:val="center"/>
              <w:rPr>
                <w:rFonts w:cs="Times New Roman"/>
                <w:noProof/>
              </w:rPr>
            </w:pPr>
            <w:r>
              <w:rPr>
                <w:noProof/>
              </w:rPr>
              <w:t>C10L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B97ACF8" w14:textId="0C8CC986"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C2.2.1 Ausstattungsschulen/-einrichtungen mit angemessenen IKT-Geräten und -Infrastrukturen zur Verbesserung der Gesamtleistung des Bildungssystems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4411E0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Meilenstein</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7CEAD62" w14:textId="7EA18560" w:rsidR="00EB245A" w:rsidRDefault="006021EE">
            <w:pPr>
              <w:pStyle w:val="P68B1DB1-Normal012"/>
              <w:pBdr>
                <w:top w:val="nil"/>
                <w:left w:val="nil"/>
                <w:bottom w:val="nil"/>
                <w:right w:val="nil"/>
                <w:between w:val="nil"/>
              </w:pBdr>
              <w:spacing w:after="0" w:line="240" w:lineRule="auto"/>
              <w:rPr>
                <w:rFonts w:eastAsia="Times New Roman" w:cs="Times New Roman"/>
                <w:noProof/>
                <w:highlight w:val="yellow"/>
              </w:rPr>
            </w:pPr>
            <w:r>
              <w:rPr>
                <w:noProof/>
              </w:rPr>
              <w:t>Rahmen für die Festlegung der Verfahren für die Verteilung von IKT-Geräten und für die Bereitste</w:t>
            </w:r>
            <w:r>
              <w:rPr>
                <w:noProof/>
              </w:rPr>
              <w:t>llung von Infrastruktur für Schulen</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3002A53" w14:textId="6D61242B"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Annahme durch das Ministerium für Bildung und Wissenschaft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FCBC07"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728B4D0"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highlight w:val="yellow"/>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4959D4B"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7BAA5A8"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683A13"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2023</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D2D3D6" w14:textId="0497AE59" w:rsidR="00EB245A" w:rsidRDefault="006021EE">
            <w:pPr>
              <w:pStyle w:val="P68B1DB1-Normal13"/>
              <w:spacing w:after="0" w:line="240" w:lineRule="auto"/>
              <w:rPr>
                <w:rFonts w:eastAsia="Times New Roman" w:cs="Times New Roman"/>
                <w:noProof/>
              </w:rPr>
            </w:pPr>
            <w:r>
              <w:rPr>
                <w:noProof/>
              </w:rPr>
              <w:t>In dem Rahmen werden die Mindestbedingungen für die Verteilung von IKT-Ausrüstung und für die Bereitstellung der Infrastruktur für die begünstigten</w:t>
            </w:r>
            <w:r>
              <w:rPr>
                <w:noProof/>
              </w:rPr>
              <w:t xml:space="preserve"> Schulen festgelegt, die sich aus der vorherigen öffentlichen Konsultation mit verschiedenen Interessenträgern und Sozialpartnern ergeben. </w:t>
            </w:r>
          </w:p>
          <w:p w14:paraId="6F6AADFC" w14:textId="1822FA8C" w:rsidR="00EB245A" w:rsidRDefault="006021EE">
            <w:pPr>
              <w:pStyle w:val="P68B1DB1-Normal13"/>
              <w:spacing w:after="0" w:line="240" w:lineRule="auto"/>
              <w:rPr>
                <w:rFonts w:eastAsia="Times New Roman" w:cs="Times New Roman"/>
                <w:noProof/>
              </w:rPr>
            </w:pPr>
            <w:r>
              <w:rPr>
                <w:noProof/>
              </w:rPr>
              <w:t xml:space="preserve"> </w:t>
            </w:r>
          </w:p>
          <w:p w14:paraId="6AA1933B" w14:textId="7C057913" w:rsidR="00EB245A" w:rsidRDefault="006021EE">
            <w:pPr>
              <w:pStyle w:val="P68B1DB1-Normal13"/>
              <w:spacing w:after="0" w:line="240" w:lineRule="auto"/>
              <w:rPr>
                <w:rFonts w:eastAsia="Times New Roman" w:cs="Times New Roman"/>
                <w:noProof/>
              </w:rPr>
            </w:pPr>
            <w:r>
              <w:rPr>
                <w:noProof/>
              </w:rPr>
              <w:t>In dem Rahmen werden klare Kriterien für die Auswahl der begünstigten Schulen festgelegt, die dem Bedarf an IKT-Au</w:t>
            </w:r>
            <w:r>
              <w:rPr>
                <w:noProof/>
              </w:rPr>
              <w:t xml:space="preserve">srüstung und -Infrastruktur wie Labors und ihren potenziellen Auswirkungen auf die schulische Leistung der Schulen Rechnung tragen.  </w:t>
            </w:r>
          </w:p>
          <w:p w14:paraId="539A33D8" w14:textId="77777777" w:rsidR="00EB245A" w:rsidRDefault="00EB245A">
            <w:pPr>
              <w:spacing w:after="0" w:line="240" w:lineRule="auto"/>
              <w:rPr>
                <w:rFonts w:ascii="Times New Roman" w:eastAsia="Times New Roman" w:hAnsi="Times New Roman" w:cs="Times New Roman"/>
                <w:noProof/>
                <w:color w:val="000000" w:themeColor="text1"/>
                <w:sz w:val="18"/>
              </w:rPr>
            </w:pPr>
          </w:p>
          <w:p w14:paraId="2598F88D" w14:textId="6370B4B1" w:rsidR="00EB245A" w:rsidRDefault="006021EE">
            <w:pPr>
              <w:pStyle w:val="P68B1DB1-Normal13"/>
              <w:spacing w:after="0" w:line="240" w:lineRule="auto"/>
              <w:rPr>
                <w:rFonts w:eastAsia="Times New Roman" w:cs="Times New Roman"/>
                <w:noProof/>
              </w:rPr>
            </w:pPr>
            <w:r>
              <w:rPr>
                <w:noProof/>
              </w:rPr>
              <w:t>Unter Berücksichtigung der Bedürfnisse der verschiedenen begünstigten Schulen muss die folgende Ausschreibung für die Ber</w:t>
            </w:r>
            <w:r>
              <w:rPr>
                <w:noProof/>
              </w:rPr>
              <w:t>eitstellung von Infrastruktur und IKT-Ausrüstung gleich, offen, transparent und fair sein und eine ausgewogene Verteilung zwischen den Schulen im ganzen Land gewährleisten, die sowohl auf der Bevölkerungszahl als auch auf der geografischen Abdeckung beruht</w:t>
            </w:r>
            <w:r>
              <w:rPr>
                <w:noProof/>
              </w:rPr>
              <w:t>.</w:t>
            </w:r>
          </w:p>
        </w:tc>
      </w:tr>
      <w:tr w:rsidR="00ED283A" w14:paraId="518BE6AA" w14:textId="77777777" w:rsidTr="00ED283A">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A6DDB2F" w14:textId="26F737DB" w:rsidR="00EB245A" w:rsidRDefault="006021EE">
            <w:pPr>
              <w:pStyle w:val="P68B1DB1-Normal011"/>
              <w:pBdr>
                <w:top w:val="nil"/>
                <w:left w:val="nil"/>
                <w:bottom w:val="nil"/>
                <w:right w:val="nil"/>
                <w:between w:val="nil"/>
              </w:pBdr>
              <w:spacing w:after="0" w:line="240" w:lineRule="auto"/>
              <w:jc w:val="center"/>
              <w:rPr>
                <w:rFonts w:cs="Times New Roman"/>
                <w:noProof/>
              </w:rPr>
            </w:pPr>
            <w:r>
              <w:rPr>
                <w:noProof/>
              </w:rPr>
              <w:t>C12L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7E7C88" w14:textId="187A2819"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C2.2.1 Ausstattungsschulen/-einrichtungen mit angemessenen IKT-Geräten und -Infrastrukturen zur Verbesserung der Gesamtleistung des Bildungssystems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7C3ACE" w14:textId="798A70BD"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6E8E307" w14:textId="1652E7BC" w:rsidR="00EB245A" w:rsidRDefault="006021EE">
            <w:pPr>
              <w:pStyle w:val="P68B1DB1-Normal012"/>
              <w:pBdr>
                <w:top w:val="nil"/>
                <w:left w:val="nil"/>
                <w:bottom w:val="nil"/>
                <w:right w:val="nil"/>
                <w:between w:val="nil"/>
              </w:pBdr>
              <w:spacing w:after="0" w:line="240" w:lineRule="auto"/>
              <w:rPr>
                <w:rFonts w:eastAsia="Times New Roman" w:cs="Times New Roman"/>
                <w:noProof/>
                <w:highlight w:val="yellow"/>
              </w:rPr>
            </w:pPr>
            <w:r>
              <w:rPr>
                <w:noProof/>
              </w:rPr>
              <w:t xml:space="preserve">Klassenzimmer in Berufsschulen und allgemeinen Bildungseinrichtungen, die mit IT-Tools </w:t>
            </w:r>
            <w:r>
              <w:rPr>
                <w:noProof/>
              </w:rPr>
              <w:t>ausgestattet sind, um Fernunterricht zu ermöglichen</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5A567C"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7B4D62B" w14:textId="1988FF59"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892B07" w14:textId="203CE683"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C448BAC" w14:textId="0242FFAD"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0000" w:themeColor="text1"/>
              </w:rPr>
            </w:pPr>
            <w:r>
              <w:rPr>
                <w:noProof/>
              </w:rPr>
              <w:t>100000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CAF477C" w14:textId="18DBD1A3"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563F95" w14:textId="4094DF74"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2025</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D697409" w14:textId="016DFD06"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Anzahl der Klassenzimmer in Berufsschulen und allgemeinen Bildungseinrichtungen, die mit einer Reihe von IT-Tools ausgestattet sind, damit Lehrkräfte Fernunterricht von den </w:t>
            </w:r>
            <w:r>
              <w:rPr>
                <w:noProof/>
              </w:rPr>
              <w:t>Räumlichkeiten erhalten können. Dies schließt Computerperipheriegeräte und mobile Geräte ein, nicht jedoch Laptops.</w:t>
            </w:r>
          </w:p>
          <w:p w14:paraId="4B2445CF" w14:textId="01102C02"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p>
          <w:p w14:paraId="6474FA54" w14:textId="1F516E3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Die Auswahl der Anbieter erfolgt auf faire, wettbewerbsorientierte und transparente Weise im Einklang mit dem Rahmen des Etappenziels C10L.</w:t>
            </w:r>
          </w:p>
          <w:p w14:paraId="491894CA"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p>
          <w:p w14:paraId="56D20162" w14:textId="330961BB"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Die Endempfänger oder die lokalen Gebietskörperschaften erstatten der polnischen Regierung in keiner Form.</w:t>
            </w:r>
          </w:p>
        </w:tc>
      </w:tr>
      <w:tr w:rsidR="00ED283A" w14:paraId="721A0D02" w14:textId="77777777" w:rsidTr="00ED283A">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CB8798E" w14:textId="54EFEAB6" w:rsidR="00EB245A" w:rsidRDefault="006021EE">
            <w:pPr>
              <w:pStyle w:val="P68B1DB1-Normal011"/>
              <w:pBdr>
                <w:top w:val="nil"/>
                <w:left w:val="nil"/>
                <w:bottom w:val="nil"/>
                <w:right w:val="nil"/>
                <w:between w:val="nil"/>
              </w:pBdr>
              <w:spacing w:after="0" w:line="240" w:lineRule="auto"/>
              <w:jc w:val="center"/>
              <w:rPr>
                <w:rFonts w:cs="Times New Roman"/>
                <w:noProof/>
              </w:rPr>
            </w:pPr>
            <w:r>
              <w:rPr>
                <w:noProof/>
              </w:rPr>
              <w:t>C13L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C1C2856" w14:textId="21610D4B"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C2.2.1 Ausstattungsschulen/-einrichtungen mit angemessenen IKT-Geräten und -Infrastrukturen zur Verbesserung der Gesamtleistung des </w:t>
            </w:r>
            <w:r>
              <w:rPr>
                <w:noProof/>
              </w:rPr>
              <w:t>Bildungssystems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44265C" w14:textId="4F14003D"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4807D54" w14:textId="09F71EE0" w:rsidR="00EB245A" w:rsidRDefault="006021EE">
            <w:pPr>
              <w:pStyle w:val="P68B1DB1-Normal012"/>
              <w:pBdr>
                <w:top w:val="nil"/>
                <w:left w:val="nil"/>
                <w:bottom w:val="nil"/>
                <w:right w:val="nil"/>
                <w:between w:val="nil"/>
              </w:pBdr>
              <w:spacing w:after="0" w:line="240" w:lineRule="auto"/>
              <w:rPr>
                <w:rFonts w:eastAsia="Times New Roman" w:cs="Times New Roman"/>
                <w:noProof/>
                <w:highlight w:val="yellow"/>
              </w:rPr>
            </w:pPr>
            <w:r>
              <w:rPr>
                <w:noProof/>
              </w:rPr>
              <w:t>Künstliche Intelligenz (KI) und Mathematik-Laboratorien (Mathematik, Informatik, Naturwissenschaften und Technik), die in Schulen eingerichtet wurden</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054B431"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C9189E0" w14:textId="37B8C9CE"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6633A8E" w14:textId="02DD30D4"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highlight w:val="yellow"/>
              </w:rPr>
            </w:pPr>
            <w:r>
              <w:rPr>
                <w:noProof/>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7CA2DCE" w14:textId="32F238A5"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0000" w:themeColor="text1"/>
                <w:highlight w:val="yellow"/>
              </w:rPr>
            </w:pPr>
            <w:r>
              <w:rPr>
                <w:noProof/>
              </w:rPr>
              <w:t>16000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4C17F8" w14:textId="79B8D0BC"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C4060A9" w14:textId="19DC1E76"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2025</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3E985A" w14:textId="7E85E745"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Zahl der Schulen, die mit Laboratorien für künstliche Intelligenz (KI) und/oder Mathematik (Mathematik, Informatik, Naturwissenschaften und Technik) ausgestattet sind.</w:t>
            </w:r>
          </w:p>
          <w:p w14:paraId="07B8A779" w14:textId="21667E3D"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p w14:paraId="7405A1FB" w14:textId="23691486"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Insbesondere werden 4000 Sekundarschulen mit MINT-Labors und 12000 Schulen mit </w:t>
            </w:r>
            <w:r>
              <w:rPr>
                <w:noProof/>
              </w:rPr>
              <w:t>KI-Labors ausgestattet, davon 8000 Grundschulen und 4000 Sekundarschulen.</w:t>
            </w:r>
          </w:p>
          <w:p w14:paraId="3A5B363E"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p w14:paraId="66818692" w14:textId="72064124" w:rsidR="00EB245A" w:rsidRDefault="006021EE">
            <w:pPr>
              <w:pStyle w:val="P68B1DB1-paragraph32"/>
              <w:spacing w:before="0" w:beforeAutospacing="0" w:after="0" w:afterAutospacing="0"/>
              <w:textAlignment w:val="baseline"/>
              <w:rPr>
                <w:noProof/>
              </w:rPr>
            </w:pPr>
            <w:r>
              <w:rPr>
                <w:noProof/>
              </w:rPr>
              <w:t>Eine ausreichende Zahl qualifizierter Informatiklehrer ist für die Durchführung von Tätigkeiten unter Verwendung von KI- und MINT-Labors vorzusehen.</w:t>
            </w:r>
          </w:p>
          <w:p w14:paraId="00F621CE"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p>
          <w:p w14:paraId="6CC8E585" w14:textId="12DA7B5D"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Die Lieferungen werden in einer</w:t>
            </w:r>
            <w:r>
              <w:rPr>
                <w:noProof/>
              </w:rPr>
              <w:t xml:space="preserve"> mit den lokalen Gebietskörperschaften vereinbarten fairen und transparenten Weise zugewiesen und dürfen von den Endempfängern oder den lokalen Gebietskörperschaften in keiner Form an die polnische Regierung zurückgezahlt werden.</w:t>
            </w:r>
          </w:p>
        </w:tc>
      </w:tr>
      <w:tr w:rsidR="00ED283A" w14:paraId="66027981" w14:textId="77777777" w:rsidTr="00ED283A">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198E7F0" w14:textId="4901E869" w:rsidR="00EB245A" w:rsidRDefault="006021EE">
            <w:pPr>
              <w:pStyle w:val="P68B1DB1-Normal011"/>
              <w:spacing w:line="240" w:lineRule="auto"/>
              <w:jc w:val="center"/>
              <w:rPr>
                <w:noProof/>
              </w:rPr>
            </w:pPr>
            <w:r>
              <w:rPr>
                <w:noProof/>
              </w:rPr>
              <w:t>C14L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06D606" w14:textId="2347B14B"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C2.2.1 </w:t>
            </w:r>
            <w:r>
              <w:rPr>
                <w:noProof/>
              </w:rPr>
              <w:t>Ausstattungsschulen/-einrichtungen mit angemessenen IKT-Geräten und -Infrastrukturen zur Verbesserung der Gesamtleistung des Bildungssystems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B4D9D58" w14:textId="24B751E0"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Meilenstein</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B99E181" w14:textId="2827D9D6"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Digitalisierung des Prüfungssystems</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6CF5F8" w14:textId="266734C1"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Bericht über den erfolgreichen Abschluss der Digitalisierung des Pr</w:t>
            </w:r>
            <w:r>
              <w:rPr>
                <w:noProof/>
              </w:rPr>
              <w:t>üfungssystems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424F859"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582C3A"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highlight w:val="yellow"/>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A561E5"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highlight w:val="yellow"/>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1A96A33" w14:textId="4A5E5E1E"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0000" w:themeColor="text1"/>
              </w:rPr>
            </w:pPr>
            <w:r>
              <w:rPr>
                <w:noProof/>
              </w:rPr>
              <w:t>Q4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B5C28D5" w14:textId="1C5FA949"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0000" w:themeColor="text1"/>
              </w:rPr>
            </w:pPr>
            <w:r>
              <w:rPr>
                <w:noProof/>
              </w:rPr>
              <w:t>2025</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997220F" w14:textId="0C801E61"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Das Prüfungssystem wird im digitalen Bereich modernisiert, um seine Kapazität und Sicherheit zu erhöhen und so die Qualität des Prüfungsverfahrens zu verbessern. Durch die Digitalisierung des derzeitigen Prüfungssystems werden die </w:t>
            </w:r>
            <w:r>
              <w:rPr>
                <w:noProof/>
              </w:rPr>
              <w:t>zentralen und regionalen Prüfungskommissionen sowie das IT-Bildungszentrum aufgerüstet.</w:t>
            </w:r>
          </w:p>
        </w:tc>
      </w:tr>
      <w:tr w:rsidR="00ED283A" w14:paraId="4008674A" w14:textId="77777777" w:rsidTr="00ED283A">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C75BA9" w14:textId="730EDB34" w:rsidR="00EB245A" w:rsidRDefault="006021EE">
            <w:pPr>
              <w:pStyle w:val="P68B1DB1-Normal011"/>
              <w:spacing w:line="240" w:lineRule="auto"/>
              <w:jc w:val="center"/>
              <w:rPr>
                <w:rFonts w:cs="Times New Roman"/>
                <w:noProof/>
              </w:rPr>
            </w:pPr>
            <w:r>
              <w:rPr>
                <w:noProof/>
              </w:rPr>
              <w:t>C15L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6D676C3" w14:textId="55D14B3A" w:rsidR="00EB245A" w:rsidRDefault="006021EE">
            <w:pPr>
              <w:pStyle w:val="P68B1DB1-Normal012"/>
              <w:spacing w:line="240" w:lineRule="auto"/>
              <w:rPr>
                <w:rFonts w:eastAsia="Times New Roman" w:cs="Times New Roman"/>
                <w:noProof/>
                <w:color w:val="000000" w:themeColor="text1"/>
              </w:rPr>
            </w:pPr>
            <w:r>
              <w:rPr>
                <w:noProof/>
              </w:rPr>
              <w:t xml:space="preserve">C4.1.1 Unterstützung des digitalen Wandels von Unternehmen durch den Einsatz von Cloud Computing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2895945" w14:textId="7B1F75A1" w:rsidR="00EB245A" w:rsidRDefault="006021EE">
            <w:pPr>
              <w:pStyle w:val="P68B1DB1-Normal012"/>
              <w:spacing w:line="240" w:lineRule="auto"/>
              <w:rPr>
                <w:rFonts w:eastAsia="Times New Roman" w:cs="Times New Roman"/>
                <w:noProof/>
                <w:color w:val="000000" w:themeColor="text1"/>
              </w:rPr>
            </w:pPr>
            <w:r>
              <w:rPr>
                <w:noProof/>
              </w:rPr>
              <w:t>Meilenstein</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BD76FA8" w14:textId="30F9955B" w:rsidR="00EB245A" w:rsidRDefault="006021EE">
            <w:pPr>
              <w:pStyle w:val="P68B1DB1-Normal012"/>
              <w:spacing w:line="240" w:lineRule="auto"/>
              <w:rPr>
                <w:rFonts w:eastAsia="Times New Roman" w:cs="Times New Roman"/>
                <w:noProof/>
                <w:color w:val="000000" w:themeColor="text1"/>
              </w:rPr>
            </w:pPr>
            <w:r>
              <w:rPr>
                <w:noProof/>
              </w:rPr>
              <w:t xml:space="preserve">Leitfaden für den digitalen Wandel von Unternehmern, die Cloud-Computing nutzen  </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B50C16" w14:textId="408B538F" w:rsidR="00EB245A" w:rsidRDefault="006021EE">
            <w:pPr>
              <w:pStyle w:val="P68B1DB1-Normal012"/>
              <w:spacing w:after="0" w:line="240" w:lineRule="auto"/>
              <w:rPr>
                <w:noProof/>
              </w:rPr>
            </w:pPr>
            <w:r>
              <w:rPr>
                <w:noProof/>
              </w:rPr>
              <w:t>Veröffentlichung auf der Website des für die Informatisierung zuständigen Ministeriums</w:t>
            </w:r>
          </w:p>
          <w:p w14:paraId="4C8033A4" w14:textId="1E2A80DC" w:rsidR="00EB245A" w:rsidRDefault="00EB245A">
            <w:pPr>
              <w:pStyle w:val="Normal0"/>
              <w:spacing w:line="240" w:lineRule="auto"/>
              <w:rPr>
                <w:rFonts w:ascii="Times New Roman" w:eastAsia="Times New Roman" w:hAnsi="Times New Roman" w:cs="Times New Roman"/>
                <w:noProof/>
                <w:color w:val="000000" w:themeColor="text1"/>
                <w:sz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74F3C30" w14:textId="7A807A8F" w:rsidR="00EB245A" w:rsidRDefault="00EB245A">
            <w:pPr>
              <w:pStyle w:val="Normal0"/>
              <w:spacing w:line="240" w:lineRule="auto"/>
              <w:rPr>
                <w:rFonts w:ascii="Times New Roman" w:eastAsia="Times New Roman" w:hAnsi="Times New Roman" w:cs="Times New Roman"/>
                <w:noProof/>
                <w:color w:val="000000" w:themeColor="text1"/>
                <w:sz w:val="1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48D1E91" w14:textId="6A1577B0" w:rsidR="00EB245A" w:rsidRDefault="00EB245A">
            <w:pPr>
              <w:pStyle w:val="Normal0"/>
              <w:spacing w:line="240" w:lineRule="auto"/>
              <w:rPr>
                <w:rFonts w:ascii="Times New Roman" w:eastAsia="Times New Roman" w:hAnsi="Times New Roman" w:cs="Times New Roman"/>
                <w:noProof/>
                <w:color w:val="000000" w:themeColor="text1"/>
                <w:sz w:val="18"/>
                <w:highlight w:val="yellow"/>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EAD671" w14:textId="249307ED" w:rsidR="00EB245A" w:rsidRDefault="00EB245A">
            <w:pPr>
              <w:pStyle w:val="Normal0"/>
              <w:spacing w:line="240" w:lineRule="auto"/>
              <w:rPr>
                <w:rFonts w:ascii="Times New Roman" w:eastAsia="Times New Roman" w:hAnsi="Times New Roman" w:cs="Times New Roman"/>
                <w:noProof/>
                <w:color w:val="000000" w:themeColor="text1"/>
                <w:sz w:val="18"/>
                <w:highlight w:val="yellow"/>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D14D327" w14:textId="074382C7" w:rsidR="00EB245A" w:rsidRDefault="006021EE">
            <w:pPr>
              <w:pStyle w:val="P68B1DB1-Normal012"/>
              <w:spacing w:line="240" w:lineRule="auto"/>
              <w:jc w:val="center"/>
              <w:rPr>
                <w:rFonts w:eastAsia="Times New Roman" w:cs="Times New Roman"/>
                <w:noProof/>
                <w:color w:val="000000" w:themeColor="text1"/>
              </w:rPr>
            </w:pPr>
            <w:r>
              <w:rPr>
                <w:noProof/>
              </w:rPr>
              <w:t>Q1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DEE578D" w14:textId="5A8C14F3" w:rsidR="00EB245A" w:rsidRDefault="006021EE">
            <w:pPr>
              <w:pStyle w:val="P68B1DB1-Normal012"/>
              <w:spacing w:line="240" w:lineRule="auto"/>
              <w:jc w:val="center"/>
              <w:rPr>
                <w:rFonts w:eastAsia="Times New Roman" w:cs="Times New Roman"/>
                <w:noProof/>
                <w:color w:val="000000" w:themeColor="text1"/>
              </w:rPr>
            </w:pPr>
            <w:r>
              <w:rPr>
                <w:noProof/>
              </w:rPr>
              <w:t>2024</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1C9D95A" w14:textId="0B8CFABA" w:rsidR="00EB245A" w:rsidRDefault="006021EE">
            <w:pPr>
              <w:pStyle w:val="Normal0"/>
              <w:spacing w:after="0" w:line="240" w:lineRule="auto"/>
              <w:rPr>
                <w:noProof/>
              </w:rPr>
            </w:pPr>
            <w:r>
              <w:rPr>
                <w:rFonts w:ascii="Times New Roman" w:hAnsi="Times New Roman"/>
                <w:noProof/>
                <w:color w:val="000000" w:themeColor="text1"/>
                <w:sz w:val="18"/>
              </w:rPr>
              <w:t>Veröffentlichung eines Leitfadens zum digitalen Wandel von Unternehmen, die</w:t>
            </w:r>
            <w:r>
              <w:rPr>
                <w:rFonts w:ascii="Times New Roman" w:hAnsi="Times New Roman"/>
                <w:noProof/>
                <w:color w:val="000000" w:themeColor="text1"/>
                <w:sz w:val="18"/>
              </w:rPr>
              <w:t xml:space="preserve"> Cloud-Computing nutzen, auf der Website des zuständigen Ministeriums. Dieser Leitfaden ist ein Kompendium von Wissen (einschließlich häufig gestellter Fragen), Leitlinien und Beispiele für den Einsatz moderner Technologien, insbesondere des Cloud-Computin</w:t>
            </w:r>
            <w:r>
              <w:rPr>
                <w:rFonts w:ascii="Times New Roman" w:hAnsi="Times New Roman"/>
                <w:noProof/>
                <w:color w:val="000000" w:themeColor="text1"/>
                <w:sz w:val="18"/>
              </w:rPr>
              <w:t xml:space="preserve">g, beim digitalen Wandel von Unternehmen. Der für die Informatisierung zuständige Minister ist für die Erstellung der Unterlagen zuständig. </w:t>
            </w:r>
            <w:r>
              <w:rPr>
                <w:noProof/>
              </w:rPr>
              <w:t xml:space="preserve"> </w:t>
            </w:r>
          </w:p>
        </w:tc>
      </w:tr>
      <w:tr w:rsidR="00ED283A" w14:paraId="78B9A43C" w14:textId="77777777" w:rsidTr="00ED283A">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6D4D6F" w14:textId="3708956C" w:rsidR="00EB245A" w:rsidRDefault="006021EE">
            <w:pPr>
              <w:pStyle w:val="P68B1DB1-Normal011"/>
              <w:spacing w:line="240" w:lineRule="auto"/>
              <w:jc w:val="center"/>
              <w:rPr>
                <w:rFonts w:cs="Times New Roman"/>
                <w:noProof/>
              </w:rPr>
            </w:pPr>
            <w:r>
              <w:rPr>
                <w:noProof/>
              </w:rPr>
              <w:t>C16L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B0DE7ED" w14:textId="46DBA956" w:rsidR="00EB245A" w:rsidRDefault="006021EE">
            <w:pPr>
              <w:pStyle w:val="P68B1DB1-Normal012"/>
              <w:spacing w:line="240" w:lineRule="auto"/>
              <w:rPr>
                <w:rFonts w:eastAsia="Times New Roman" w:cs="Times New Roman"/>
                <w:noProof/>
                <w:color w:val="000000" w:themeColor="text1"/>
              </w:rPr>
            </w:pPr>
            <w:r>
              <w:rPr>
                <w:noProof/>
              </w:rPr>
              <w:t xml:space="preserve">C4.1.1 Unterstützung des digitalen Wandels von Unternehmen durch den Einsatz von Cloud Computing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C9400A7" w14:textId="6C7C4FF1" w:rsidR="00EB245A" w:rsidRDefault="006021EE">
            <w:pPr>
              <w:pStyle w:val="P68B1DB1-Normal012"/>
              <w:spacing w:line="240" w:lineRule="auto"/>
              <w:rPr>
                <w:rFonts w:eastAsia="Times New Roman" w:cs="Times New Roman"/>
                <w:noProof/>
                <w:color w:val="000000" w:themeColor="text1"/>
              </w:rPr>
            </w:pPr>
            <w:r>
              <w:rPr>
                <w:noProof/>
              </w:rPr>
              <w:t>Meilenstein</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077ACDF" w14:textId="0C1FB486" w:rsidR="00EB245A" w:rsidRDefault="006021EE">
            <w:pPr>
              <w:pStyle w:val="P68B1DB1-Normal012"/>
              <w:spacing w:after="0" w:line="240" w:lineRule="auto"/>
              <w:rPr>
                <w:noProof/>
              </w:rPr>
            </w:pPr>
            <w:r>
              <w:rPr>
                <w:noProof/>
              </w:rPr>
              <w:t>Durchführungsvereinbarung</w:t>
            </w:r>
          </w:p>
          <w:p w14:paraId="1E1743FD" w14:textId="3F0ECC7B" w:rsidR="00EB245A" w:rsidRDefault="00EB245A">
            <w:pPr>
              <w:pStyle w:val="Normal0"/>
              <w:spacing w:line="240" w:lineRule="auto"/>
              <w:rPr>
                <w:rFonts w:ascii="Times New Roman" w:eastAsia="Times New Roman" w:hAnsi="Times New Roman" w:cs="Times New Roman"/>
                <w:noProof/>
                <w:color w:val="000000" w:themeColor="text1"/>
                <w:sz w:val="18"/>
              </w:rPr>
            </w:pP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DC8744" w14:textId="2D63D592" w:rsidR="00EB245A" w:rsidRDefault="006021EE">
            <w:pPr>
              <w:pStyle w:val="P68B1DB1-Normal012"/>
              <w:spacing w:after="0" w:line="240" w:lineRule="auto"/>
              <w:rPr>
                <w:noProof/>
              </w:rPr>
            </w:pPr>
            <w:r>
              <w:rPr>
                <w:noProof/>
              </w:rPr>
              <w:t>Inkrafttreten des Durchführungsabkommens zwischen dem für Computerisierung zuständigen Minister und der Bank Gospodarstwa Krajowego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808C8F" w14:textId="567121DD" w:rsidR="00EB245A" w:rsidRDefault="00EB245A">
            <w:pPr>
              <w:pStyle w:val="Normal0"/>
              <w:spacing w:line="240" w:lineRule="auto"/>
              <w:rPr>
                <w:rFonts w:ascii="Times New Roman" w:eastAsia="Times New Roman" w:hAnsi="Times New Roman" w:cs="Times New Roman"/>
                <w:noProof/>
                <w:color w:val="000000" w:themeColor="text1"/>
                <w:sz w:val="1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0D9B1BB" w14:textId="3ECBC96B" w:rsidR="00EB245A" w:rsidRDefault="00EB245A">
            <w:pPr>
              <w:pStyle w:val="Normal0"/>
              <w:spacing w:line="240" w:lineRule="auto"/>
              <w:rPr>
                <w:rFonts w:ascii="Times New Roman" w:eastAsia="Times New Roman" w:hAnsi="Times New Roman" w:cs="Times New Roman"/>
                <w:noProof/>
                <w:color w:val="000000" w:themeColor="text1"/>
                <w:sz w:val="18"/>
                <w:highlight w:val="yellow"/>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B5DB958" w14:textId="1BCB281E" w:rsidR="00EB245A" w:rsidRDefault="00EB245A">
            <w:pPr>
              <w:pStyle w:val="Normal0"/>
              <w:spacing w:line="240" w:lineRule="auto"/>
              <w:rPr>
                <w:rFonts w:ascii="Times New Roman" w:eastAsia="Times New Roman" w:hAnsi="Times New Roman" w:cs="Times New Roman"/>
                <w:noProof/>
                <w:color w:val="000000" w:themeColor="text1"/>
                <w:sz w:val="18"/>
                <w:highlight w:val="yellow"/>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982BA74" w14:textId="6DB9B267" w:rsidR="00EB245A" w:rsidRDefault="006021EE">
            <w:pPr>
              <w:pStyle w:val="P68B1DB1-Normal012"/>
              <w:spacing w:line="240" w:lineRule="auto"/>
              <w:jc w:val="center"/>
              <w:rPr>
                <w:rFonts w:eastAsia="Times New Roman" w:cs="Times New Roman"/>
                <w:noProof/>
                <w:color w:val="000000" w:themeColor="text1"/>
              </w:rPr>
            </w:pPr>
            <w:r>
              <w:rPr>
                <w:noProof/>
              </w:rPr>
              <w:t>Q2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C5099C5" w14:textId="1B0E1F5F" w:rsidR="00EB245A" w:rsidRDefault="006021EE">
            <w:pPr>
              <w:pStyle w:val="P68B1DB1-Normal012"/>
              <w:spacing w:line="240" w:lineRule="auto"/>
              <w:jc w:val="center"/>
              <w:rPr>
                <w:rFonts w:eastAsia="Times New Roman" w:cs="Times New Roman"/>
                <w:noProof/>
                <w:color w:val="000000" w:themeColor="text1"/>
              </w:rPr>
            </w:pPr>
            <w:r>
              <w:rPr>
                <w:noProof/>
              </w:rPr>
              <w:t>2024</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6EB0652" w14:textId="7FF89167" w:rsidR="00EB245A" w:rsidRDefault="006021EE">
            <w:pPr>
              <w:pStyle w:val="P68B1DB1-Normal012"/>
              <w:spacing w:after="0" w:line="240" w:lineRule="auto"/>
              <w:rPr>
                <w:noProof/>
              </w:rPr>
            </w:pPr>
            <w:r>
              <w:rPr>
                <w:noProof/>
              </w:rPr>
              <w:t>Inkrafttreten des Durchführungsabkommens zwischen dem für Computerisierung</w:t>
            </w:r>
            <w:r>
              <w:rPr>
                <w:noProof/>
              </w:rPr>
              <w:t xml:space="preserve"> zuständigen Minister und der Bank Gospodarstwa Krajowego.</w:t>
            </w:r>
          </w:p>
          <w:p w14:paraId="775E5BEC" w14:textId="56A38DF0" w:rsidR="00EB245A" w:rsidRDefault="00EB245A">
            <w:pPr>
              <w:pStyle w:val="Normal0"/>
              <w:spacing w:line="240" w:lineRule="auto"/>
              <w:rPr>
                <w:rFonts w:ascii="Times New Roman" w:eastAsia="Times New Roman" w:hAnsi="Times New Roman" w:cs="Times New Roman"/>
                <w:noProof/>
                <w:color w:val="000000" w:themeColor="text1"/>
                <w:sz w:val="18"/>
              </w:rPr>
            </w:pPr>
          </w:p>
        </w:tc>
      </w:tr>
      <w:tr w:rsidR="00ED283A" w14:paraId="067F09BA" w14:textId="77777777" w:rsidTr="00ED283A">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EE9B7A" w14:textId="0589A8BF" w:rsidR="00EB245A" w:rsidRDefault="006021EE">
            <w:pPr>
              <w:pStyle w:val="P68B1DB1-Normal011"/>
              <w:spacing w:line="240" w:lineRule="auto"/>
              <w:jc w:val="center"/>
              <w:rPr>
                <w:rFonts w:cs="Times New Roman"/>
                <w:noProof/>
              </w:rPr>
            </w:pPr>
            <w:r>
              <w:rPr>
                <w:noProof/>
              </w:rPr>
              <w:t>C17L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B177B3" w14:textId="56851803" w:rsidR="00EB245A" w:rsidRDefault="006021EE">
            <w:pPr>
              <w:pStyle w:val="P68B1DB1-Normal012"/>
              <w:spacing w:line="240" w:lineRule="auto"/>
              <w:rPr>
                <w:rFonts w:eastAsia="Times New Roman" w:cs="Times New Roman"/>
                <w:noProof/>
                <w:color w:val="000000" w:themeColor="text1"/>
              </w:rPr>
            </w:pPr>
            <w:r>
              <w:rPr>
                <w:noProof/>
              </w:rPr>
              <w:t>C4.1.1 Unterstützung des digitalen Wandels von Unternehmen durch den Einsatz von Cloud Computing</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819EFB4" w14:textId="2AD1C4E6" w:rsidR="00EB245A" w:rsidRDefault="006021EE">
            <w:pPr>
              <w:pStyle w:val="P68B1DB1-Normal012"/>
              <w:spacing w:line="240" w:lineRule="auto"/>
              <w:rPr>
                <w:rFonts w:eastAsia="Times New Roman" w:cs="Times New Roman"/>
                <w:noProof/>
                <w:color w:val="000000" w:themeColor="text1"/>
              </w:rPr>
            </w:pPr>
            <w:r>
              <w:rPr>
                <w:noProof/>
              </w:rPr>
              <w:t>Ziel</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4AE946" w14:textId="28317175" w:rsidR="00EB245A" w:rsidRDefault="006021EE">
            <w:pPr>
              <w:pStyle w:val="P68B1DB1-Normal012"/>
              <w:spacing w:after="0" w:line="240" w:lineRule="auto"/>
              <w:rPr>
                <w:noProof/>
              </w:rPr>
            </w:pPr>
            <w:r>
              <w:rPr>
                <w:noProof/>
              </w:rPr>
              <w:t>Mit den Endbegünstigten unterzeichnete rechtliche Vereinbarungen</w:t>
            </w:r>
          </w:p>
          <w:p w14:paraId="793DDF74" w14:textId="12AF55BD" w:rsidR="00EB245A" w:rsidRDefault="00EB245A">
            <w:pPr>
              <w:pStyle w:val="Normal0"/>
              <w:spacing w:line="240" w:lineRule="auto"/>
              <w:rPr>
                <w:rFonts w:ascii="Times New Roman" w:eastAsia="Times New Roman" w:hAnsi="Times New Roman" w:cs="Times New Roman"/>
                <w:noProof/>
                <w:color w:val="000000" w:themeColor="text1"/>
                <w:sz w:val="18"/>
              </w:rPr>
            </w:pP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B6C3E4" w14:textId="09EAA1C7" w:rsidR="00EB245A" w:rsidRDefault="00EB245A">
            <w:pPr>
              <w:pStyle w:val="Normal0"/>
              <w:spacing w:line="240" w:lineRule="auto"/>
              <w:rPr>
                <w:rFonts w:ascii="Times New Roman" w:eastAsia="Times New Roman" w:hAnsi="Times New Roman" w:cs="Times New Roman"/>
                <w:noProof/>
                <w:color w:val="000000" w:themeColor="text1"/>
                <w:sz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A84EC1" w14:textId="3F6D2EB1" w:rsidR="00EB245A" w:rsidRDefault="006021EE">
            <w:pPr>
              <w:pStyle w:val="P68B1DB1-Normal012"/>
              <w:spacing w:after="0" w:line="240" w:lineRule="auto"/>
              <w:rPr>
                <w:noProof/>
              </w:rPr>
            </w:pPr>
            <w:r>
              <w:rPr>
                <w:noProof/>
              </w:rPr>
              <w:t>%</w:t>
            </w:r>
          </w:p>
          <w:p w14:paraId="214830EA" w14:textId="155586C3" w:rsidR="00EB245A" w:rsidRDefault="00EB245A">
            <w:pPr>
              <w:pStyle w:val="Normal0"/>
              <w:spacing w:line="240" w:lineRule="auto"/>
              <w:rPr>
                <w:rFonts w:ascii="Times New Roman" w:eastAsia="Times New Roman" w:hAnsi="Times New Roman" w:cs="Times New Roman"/>
                <w:noProof/>
                <w:color w:val="000000" w:themeColor="text1"/>
                <w:sz w:val="1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88C29F4" w14:textId="57FB4C11" w:rsidR="00EB245A" w:rsidRDefault="006021EE">
            <w:pPr>
              <w:pStyle w:val="P68B1DB1-Normal012"/>
              <w:spacing w:line="240" w:lineRule="auto"/>
              <w:rPr>
                <w:rFonts w:eastAsia="Times New Roman" w:cs="Times New Roman"/>
                <w:noProof/>
                <w:color w:val="000000" w:themeColor="text1"/>
              </w:rPr>
            </w:pPr>
            <w:r>
              <w:rPr>
                <w:noProof/>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0A4BC0D" w14:textId="08F0D8C7" w:rsidR="00EB245A" w:rsidRDefault="006021EE">
            <w:pPr>
              <w:pStyle w:val="P68B1DB1-Normal012"/>
              <w:spacing w:line="240" w:lineRule="auto"/>
              <w:rPr>
                <w:rFonts w:eastAsia="Times New Roman" w:cs="Times New Roman"/>
                <w:noProof/>
                <w:color w:val="000000" w:themeColor="text1"/>
              </w:rPr>
            </w:pPr>
            <w:r>
              <w:rPr>
                <w:noProof/>
              </w:rPr>
              <w:t>100 %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9E89AC" w14:textId="1E8AC059" w:rsidR="00EB245A" w:rsidRDefault="006021EE">
            <w:pPr>
              <w:pStyle w:val="P68B1DB1-Normal012"/>
              <w:spacing w:line="240" w:lineRule="auto"/>
              <w:jc w:val="center"/>
              <w:rPr>
                <w:rFonts w:eastAsia="Times New Roman" w:cs="Times New Roman"/>
                <w:noProof/>
                <w:color w:val="000000" w:themeColor="text1"/>
              </w:rPr>
            </w:pPr>
            <w:r>
              <w:rPr>
                <w:noProof/>
              </w:rPr>
              <w:t>Q2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5E60A9" w14:textId="43865253" w:rsidR="00EB245A" w:rsidRDefault="006021EE">
            <w:pPr>
              <w:pStyle w:val="P68B1DB1-Normal012"/>
              <w:spacing w:line="240" w:lineRule="auto"/>
              <w:jc w:val="center"/>
              <w:rPr>
                <w:rFonts w:eastAsia="Times New Roman" w:cs="Times New Roman"/>
                <w:noProof/>
                <w:color w:val="000000" w:themeColor="text1"/>
              </w:rPr>
            </w:pPr>
            <w:r>
              <w:rPr>
                <w:noProof/>
              </w:rPr>
              <w:t>2026</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1AC59D" w14:textId="4B3672B1" w:rsidR="00EB245A" w:rsidRDefault="006021EE">
            <w:pPr>
              <w:pStyle w:val="P68B1DB1-Normal012"/>
              <w:spacing w:line="240" w:lineRule="auto"/>
              <w:rPr>
                <w:rFonts w:eastAsia="Times New Roman" w:cs="Times New Roman"/>
                <w:noProof/>
                <w:color w:val="000000" w:themeColor="text1"/>
                <w:highlight w:val="yellow"/>
              </w:rPr>
            </w:pPr>
            <w:r>
              <w:rPr>
                <w:noProof/>
              </w:rPr>
              <w:t>Die Bank Gospodarstwa Krajowego muss mit den Endbegünstigten rechtliche Finanzierungsvereinbarungen über einen Betrag geschlossen haben, der erforderlich ist, um 100 % der ARF-Investitionen in die Fazilität zu nutzen (unter Berücksichtigung der Verwaltungs</w:t>
            </w:r>
            <w:r>
              <w:rPr>
                <w:noProof/>
              </w:rPr>
              <w:t xml:space="preserve">gebühren).  </w:t>
            </w:r>
          </w:p>
        </w:tc>
      </w:tr>
      <w:tr w:rsidR="00ED283A" w14:paraId="6E8451DC" w14:textId="77777777" w:rsidTr="00ED283A">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8B0BC5" w14:textId="4535CEE3" w:rsidR="00EB245A" w:rsidRDefault="006021EE">
            <w:pPr>
              <w:pStyle w:val="P68B1DB1-Normal011"/>
              <w:spacing w:line="240" w:lineRule="auto"/>
              <w:jc w:val="center"/>
              <w:rPr>
                <w:rFonts w:cs="Times New Roman"/>
                <w:noProof/>
              </w:rPr>
            </w:pPr>
            <w:r>
              <w:rPr>
                <w:noProof/>
              </w:rPr>
              <w:t>C18L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497FC33" w14:textId="3C18A0FC" w:rsidR="00EB245A" w:rsidRDefault="006021EE">
            <w:pPr>
              <w:pStyle w:val="P68B1DB1-Normal012"/>
              <w:spacing w:line="240" w:lineRule="auto"/>
              <w:rPr>
                <w:rFonts w:eastAsia="Times New Roman" w:cs="Times New Roman"/>
                <w:noProof/>
                <w:color w:val="000000" w:themeColor="text1"/>
              </w:rPr>
            </w:pPr>
            <w:r>
              <w:rPr>
                <w:noProof/>
              </w:rPr>
              <w:t>C4.1.1 Unterstützung des digitalen Wandels von Unternehmen durch den Einsatz von Cloud Computing</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A90ED93" w14:textId="2B0F15DE" w:rsidR="00EB245A" w:rsidRDefault="006021EE">
            <w:pPr>
              <w:pStyle w:val="P68B1DB1-Normal012"/>
              <w:spacing w:line="240" w:lineRule="auto"/>
              <w:rPr>
                <w:rFonts w:eastAsia="Times New Roman" w:cs="Times New Roman"/>
                <w:noProof/>
                <w:color w:val="000000" w:themeColor="text1"/>
              </w:rPr>
            </w:pPr>
            <w:r>
              <w:rPr>
                <w:noProof/>
              </w:rPr>
              <w:t>Meilenstein</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C49CC8F" w14:textId="7D515697" w:rsidR="00EB245A" w:rsidRDefault="006021EE">
            <w:pPr>
              <w:pStyle w:val="P68B1DB1-Normal012"/>
              <w:spacing w:after="0" w:line="240" w:lineRule="auto"/>
              <w:rPr>
                <w:noProof/>
              </w:rPr>
            </w:pPr>
            <w:r>
              <w:rPr>
                <w:noProof/>
              </w:rPr>
              <w:t>Das Ministerium hat die Investition abgeschlossen.</w:t>
            </w:r>
          </w:p>
          <w:p w14:paraId="714D3829" w14:textId="66AF6EB5" w:rsidR="00EB245A" w:rsidRDefault="00EB245A">
            <w:pPr>
              <w:pStyle w:val="Normal0"/>
              <w:spacing w:line="240" w:lineRule="auto"/>
              <w:rPr>
                <w:rFonts w:ascii="Times New Roman" w:eastAsia="Times New Roman" w:hAnsi="Times New Roman" w:cs="Times New Roman"/>
                <w:noProof/>
                <w:color w:val="000000" w:themeColor="text1"/>
                <w:sz w:val="18"/>
              </w:rPr>
            </w:pP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58E3BC" w14:textId="05FFF14D" w:rsidR="00EB245A" w:rsidRDefault="006021EE">
            <w:pPr>
              <w:pStyle w:val="P68B1DB1-Normal012"/>
              <w:spacing w:after="0" w:line="240" w:lineRule="auto"/>
              <w:rPr>
                <w:noProof/>
              </w:rPr>
            </w:pPr>
            <w:r>
              <w:rPr>
                <w:noProof/>
              </w:rPr>
              <w:t>Übertragungsbescheinigung</w:t>
            </w:r>
          </w:p>
          <w:p w14:paraId="52B66A9F" w14:textId="21CECAAE" w:rsidR="00EB245A" w:rsidRDefault="00EB245A">
            <w:pPr>
              <w:pStyle w:val="Normal0"/>
              <w:spacing w:line="240" w:lineRule="auto"/>
              <w:rPr>
                <w:rFonts w:ascii="Times New Roman" w:eastAsia="Times New Roman" w:hAnsi="Times New Roman" w:cs="Times New Roman"/>
                <w:noProof/>
                <w:color w:val="000000" w:themeColor="text1"/>
                <w:sz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7C1A291" w14:textId="6C8D2D09" w:rsidR="00EB245A" w:rsidRDefault="00EB245A">
            <w:pPr>
              <w:pStyle w:val="Normal0"/>
              <w:spacing w:line="240" w:lineRule="auto"/>
              <w:rPr>
                <w:rFonts w:ascii="Times New Roman" w:eastAsia="Times New Roman" w:hAnsi="Times New Roman" w:cs="Times New Roman"/>
                <w:noProof/>
                <w:color w:val="000000" w:themeColor="text1"/>
                <w:sz w:val="1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47ACBE" w14:textId="6C42A5BF" w:rsidR="00EB245A" w:rsidRDefault="00EB245A">
            <w:pPr>
              <w:pStyle w:val="Normal0"/>
              <w:spacing w:line="240" w:lineRule="auto"/>
              <w:rPr>
                <w:rFonts w:ascii="Times New Roman" w:eastAsia="Times New Roman" w:hAnsi="Times New Roman" w:cs="Times New Roman"/>
                <w:noProof/>
                <w:color w:val="000000" w:themeColor="text1"/>
                <w:sz w:val="18"/>
                <w:highlight w:val="yellow"/>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CB27932" w14:textId="75019B00" w:rsidR="00EB245A" w:rsidRDefault="00EB245A">
            <w:pPr>
              <w:pStyle w:val="Normal0"/>
              <w:spacing w:line="240" w:lineRule="auto"/>
              <w:rPr>
                <w:rFonts w:ascii="Times New Roman" w:eastAsia="Times New Roman" w:hAnsi="Times New Roman" w:cs="Times New Roman"/>
                <w:noProof/>
                <w:color w:val="000000" w:themeColor="text1"/>
                <w:sz w:val="18"/>
                <w:highlight w:val="yellow"/>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1B67AB" w14:textId="5A478CA9" w:rsidR="00EB245A" w:rsidRDefault="006021EE">
            <w:pPr>
              <w:pStyle w:val="P68B1DB1-Normal012"/>
              <w:spacing w:line="240" w:lineRule="auto"/>
              <w:jc w:val="center"/>
              <w:rPr>
                <w:rFonts w:eastAsia="Times New Roman" w:cs="Times New Roman"/>
                <w:noProof/>
                <w:color w:val="000000" w:themeColor="text1"/>
              </w:rPr>
            </w:pPr>
            <w:r>
              <w:rPr>
                <w:noProof/>
              </w:rPr>
              <w:t>Q2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BD41BD9" w14:textId="1C367D46" w:rsidR="00EB245A" w:rsidRDefault="006021EE">
            <w:pPr>
              <w:pStyle w:val="P68B1DB1-Normal012"/>
              <w:spacing w:line="240" w:lineRule="auto"/>
              <w:jc w:val="center"/>
              <w:rPr>
                <w:rFonts w:eastAsia="Times New Roman" w:cs="Times New Roman"/>
                <w:noProof/>
                <w:color w:val="000000" w:themeColor="text1"/>
              </w:rPr>
            </w:pPr>
            <w:r>
              <w:rPr>
                <w:noProof/>
              </w:rPr>
              <w:t>2026</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09F9C50" w14:textId="3B58D269" w:rsidR="00EB245A" w:rsidRDefault="006021EE">
            <w:pPr>
              <w:pStyle w:val="P68B1DB1-Normal012"/>
              <w:spacing w:after="0" w:line="240" w:lineRule="auto"/>
              <w:rPr>
                <w:noProof/>
              </w:rPr>
            </w:pPr>
            <w:r>
              <w:rPr>
                <w:noProof/>
              </w:rPr>
              <w:t>Polen überweist 650 000 000 EUR an die</w:t>
            </w:r>
            <w:r>
              <w:rPr>
                <w:noProof/>
              </w:rPr>
              <w:t xml:space="preserve"> Bank Gospodarstwa Krajowego für die Fazilität.</w:t>
            </w:r>
          </w:p>
          <w:p w14:paraId="39D95624" w14:textId="7DD4D4F8" w:rsidR="00EB245A" w:rsidRDefault="00EB245A">
            <w:pPr>
              <w:pStyle w:val="Normal0"/>
              <w:spacing w:line="240" w:lineRule="auto"/>
              <w:rPr>
                <w:rFonts w:ascii="Times New Roman" w:eastAsia="Times New Roman" w:hAnsi="Times New Roman" w:cs="Times New Roman"/>
                <w:noProof/>
                <w:color w:val="000000" w:themeColor="text1"/>
                <w:sz w:val="18"/>
              </w:rPr>
            </w:pPr>
          </w:p>
        </w:tc>
      </w:tr>
    </w:tbl>
    <w:p w14:paraId="7BD58BA2"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rPr>
        <w:sectPr w:rsidR="00EB245A" w:rsidSect="005E6922">
          <w:headerReference w:type="even" r:id="rId97"/>
          <w:headerReference w:type="default" r:id="rId98"/>
          <w:footerReference w:type="even" r:id="rId99"/>
          <w:footerReference w:type="default" r:id="rId100"/>
          <w:headerReference w:type="first" r:id="rId101"/>
          <w:footerReference w:type="first" r:id="rId102"/>
          <w:pgSz w:w="16839" w:h="11907" w:orient="landscape"/>
          <w:pgMar w:top="1134" w:right="1134" w:bottom="1134" w:left="1134" w:header="567" w:footer="567" w:gutter="0"/>
          <w:cols w:space="720"/>
          <w:docGrid w:linePitch="299"/>
        </w:sectPr>
      </w:pPr>
    </w:p>
    <w:p w14:paraId="53144A02" w14:textId="77777777" w:rsidR="00EB245A" w:rsidRDefault="006021EE">
      <w:pPr>
        <w:pStyle w:val="P68B1DB1-Normal09"/>
        <w:pBdr>
          <w:top w:val="nil"/>
          <w:left w:val="nil"/>
          <w:bottom w:val="nil"/>
          <w:right w:val="nil"/>
          <w:between w:val="nil"/>
        </w:pBdr>
        <w:spacing w:before="120" w:after="120" w:line="240" w:lineRule="auto"/>
        <w:jc w:val="both"/>
        <w:rPr>
          <w:rFonts w:eastAsia="Times New Roman" w:cs="Times New Roman"/>
          <w:smallCaps/>
          <w:noProof/>
        </w:rPr>
      </w:pPr>
      <w:r>
        <w:rPr>
          <w:noProof/>
        </w:rPr>
        <w:t>D. MITM</w:t>
      </w:r>
      <w:r>
        <w:rPr>
          <w:smallCaps/>
          <w:noProof/>
        </w:rPr>
        <w:t>. D: „WIRKSAMKEIT, ZUGÄNGLICHKEIT UND QUALITÄT DES GESUNDHEITSSYSTEMS“</w:t>
      </w:r>
    </w:p>
    <w:p w14:paraId="1BC08902" w14:textId="5BBDC939" w:rsidR="00EB245A" w:rsidRDefault="006021EE">
      <w:pPr>
        <w:pStyle w:val="P68B1DB1-Normal06"/>
        <w:pBdr>
          <w:top w:val="nil"/>
          <w:left w:val="nil"/>
          <w:bottom w:val="nil"/>
          <w:right w:val="nil"/>
          <w:between w:val="nil"/>
        </w:pBdr>
        <w:spacing w:before="120" w:after="120" w:line="257" w:lineRule="auto"/>
        <w:jc w:val="both"/>
        <w:rPr>
          <w:rFonts w:eastAsia="Times New Roman" w:cs="Times New Roman"/>
          <w:noProof/>
          <w:color w:val="000000"/>
        </w:rPr>
      </w:pPr>
      <w:r>
        <w:rPr>
          <w:noProof/>
        </w:rPr>
        <w:t xml:space="preserve">Die Komponente befasst sich mit mehreren Herausforderungen, mit </w:t>
      </w:r>
      <w:r>
        <w:rPr>
          <w:noProof/>
        </w:rPr>
        <w:t>denen das polnische Gesundheitssystem derzeit konfrontiert ist. Der Übergang zur primären und ambulanten Gesundheitsversorgung ist von besonderer Bedeutung, da die Gesundheitsausgaben mittel- bis langfristig erheblich steigen dürften, wodurch die öffentlic</w:t>
      </w:r>
      <w:r>
        <w:rPr>
          <w:noProof/>
        </w:rPr>
        <w:t>hen Finanzen stärker belastet werden. Der Krankenhaussektor muss dringend reformiert und durch gezielte Investitionen ergänzt werden. Einige Krankenhäuser haben hohe Schulden und niedrige Belegungsraten, während viele medizinische Behandlungen, die derzeit</w:t>
      </w:r>
      <w:r>
        <w:rPr>
          <w:noProof/>
        </w:rPr>
        <w:t xml:space="preserve"> in Krankenhäusern durchgeführt werden, auf niedrigeren Versorgungsebenen und niedrigeren Kosten durchgeführt werden könnten. Das System der medizinischen Grundversorgung ist unterfinanziert, unterbesetzt und seine Dienste überlastet. Gleichzeitig leidet d</w:t>
      </w:r>
      <w:r>
        <w:rPr>
          <w:noProof/>
        </w:rPr>
        <w:t>as Krankenhaussystem unter chronischer Unterfinanzierung, insbesondere in Bezug auf die Humanressourcen. Aufgrund ungünstiger Bedingungen wie niedrigen Gehältern sind medizinische Berufe nicht beliebt, und es gibt eine erhebliche Abwanderung hochqualifizie</w:t>
      </w:r>
      <w:r>
        <w:rPr>
          <w:noProof/>
        </w:rPr>
        <w:t>rter Arbeitskräfte. Aufgrund des Personalmangels ist Polen im Vergleich zu anderen Mitgliedstaaten am niedrigsten und muss die Berufstätigkeit über das Renteneintrittsalter hinaus erhalten bleiben. Der Zugang zu Pflege und Betreuung ist von Region zu Regio</w:t>
      </w:r>
      <w:r>
        <w:rPr>
          <w:noProof/>
        </w:rPr>
        <w:t>n unterschiedlich. Elektronische Gesundheitsdienste und moderne Verwaltungsverfahren werden nicht ausreichend genutzt.</w:t>
      </w:r>
    </w:p>
    <w:p w14:paraId="7CEB1380" w14:textId="0F54F773" w:rsidR="00EB245A" w:rsidRDefault="006021EE">
      <w:pPr>
        <w:pStyle w:val="P68B1DB1-Normal06"/>
        <w:pBdr>
          <w:top w:val="nil"/>
          <w:left w:val="nil"/>
          <w:bottom w:val="nil"/>
          <w:right w:val="nil"/>
          <w:between w:val="nil"/>
        </w:pBdr>
        <w:spacing w:before="120" w:after="120" w:line="257" w:lineRule="auto"/>
        <w:jc w:val="both"/>
        <w:rPr>
          <w:rFonts w:eastAsia="Times New Roman" w:cs="Times New Roman"/>
          <w:noProof/>
          <w:color w:val="000000"/>
        </w:rPr>
      </w:pPr>
      <w:r>
        <w:rPr>
          <w:noProof/>
        </w:rPr>
        <w:t>Die Ziele der Komponente sind mehrdimensional: Reform und Unterstützung des Krankenhaussektors im Einklang mit der Notwendigkeit, die Pyr</w:t>
      </w:r>
      <w:r>
        <w:rPr>
          <w:noProof/>
        </w:rPr>
        <w:t xml:space="preserve">amide der Gesundheitsversorgung zu rationalisieren, den digitalen Wandel im Gesundheitswesen zu beschleunigen, günstige Voraussetzungen für eine Erhöhung des medizinischen Personals zu schaffen und die Entwicklung der Forschung im Bereich der Medizin- und </w:t>
      </w:r>
      <w:r>
        <w:rPr>
          <w:noProof/>
        </w:rPr>
        <w:t>Gesundheitswissenschaften zu unterstützen.</w:t>
      </w:r>
    </w:p>
    <w:p w14:paraId="34A2857A" w14:textId="62BB5076" w:rsidR="00EB245A" w:rsidRDefault="006021EE">
      <w:pPr>
        <w:pStyle w:val="P68B1DB1-Normal06"/>
        <w:pBdr>
          <w:top w:val="nil"/>
          <w:left w:val="nil"/>
          <w:bottom w:val="nil"/>
          <w:right w:val="nil"/>
          <w:between w:val="nil"/>
        </w:pBdr>
        <w:spacing w:before="120" w:after="120" w:line="257" w:lineRule="auto"/>
        <w:jc w:val="both"/>
        <w:rPr>
          <w:rFonts w:eastAsia="Times New Roman" w:cs="Times New Roman"/>
          <w:noProof/>
          <w:color w:val="000000"/>
        </w:rPr>
      </w:pPr>
      <w:r>
        <w:rPr>
          <w:noProof/>
        </w:rPr>
        <w:t xml:space="preserve">Die Komponente trägt zur Umsetzung der länderspezifischen Empfehlung zur Verbesserung der Resilienz, Zugänglichkeit und Wirksamkeit des Gesundheitssystems bei, unter anderem durch die Bereitstellung ausreichender </w:t>
      </w:r>
      <w:r>
        <w:rPr>
          <w:noProof/>
        </w:rPr>
        <w:t xml:space="preserve">Ressourcen und die Beschleunigung der Einführung elektronischer Gesundheitsdienste (länderspezifische Empfehlung 1 2020). </w:t>
      </w:r>
    </w:p>
    <w:p w14:paraId="0394D839" w14:textId="77777777" w:rsidR="00EB245A" w:rsidRDefault="006021EE">
      <w:pPr>
        <w:pStyle w:val="P68B1DB1-Normal06"/>
        <w:pBdr>
          <w:top w:val="nil"/>
          <w:left w:val="nil"/>
          <w:bottom w:val="nil"/>
          <w:right w:val="nil"/>
          <w:between w:val="nil"/>
        </w:pBdr>
        <w:spacing w:before="120" w:after="120" w:line="257" w:lineRule="auto"/>
        <w:jc w:val="both"/>
        <w:rPr>
          <w:rFonts w:eastAsia="Times New Roman" w:cs="Times New Roman"/>
          <w:noProof/>
        </w:rPr>
      </w:pPr>
      <w:r>
        <w:rPr>
          <w:noProof/>
        </w:rPr>
        <w:t>Es ist davon auszugehen, dass keine Maßnahme in dieser Komponente die Umweltziele im Sinne des Artikels 17 der Verordnung (EU) 2020/8</w:t>
      </w:r>
      <w:r>
        <w:rPr>
          <w:noProof/>
        </w:rPr>
        <w:t xml:space="preserve">52 erheblich beeinträchtigt, wobei die Beschreibung der im Aufbau- und Resilienzplan dargelegten Maßnahmen und Abhilfemaßnahmen im Einklang mit den Technischen Leitlinien für die Vermeidung erheblicher Beeinträchtigungen im Zusammenhang mit der Vermeidung </w:t>
      </w:r>
      <w:r>
        <w:rPr>
          <w:noProof/>
        </w:rPr>
        <w:t xml:space="preserve">erheblicher Beeinträchtigungen (2021/C 58/01) zu berücksichtigen ist. </w:t>
      </w:r>
    </w:p>
    <w:p w14:paraId="4357A966" w14:textId="77777777" w:rsidR="00EB245A" w:rsidRDefault="00EB245A">
      <w:pPr>
        <w:pStyle w:val="Normal0"/>
        <w:pBdr>
          <w:top w:val="nil"/>
          <w:left w:val="nil"/>
          <w:bottom w:val="nil"/>
          <w:right w:val="nil"/>
          <w:between w:val="nil"/>
        </w:pBdr>
        <w:spacing w:before="120" w:after="120" w:line="240" w:lineRule="auto"/>
        <w:ind w:left="720"/>
        <w:jc w:val="both"/>
        <w:rPr>
          <w:rFonts w:ascii="Times New Roman" w:eastAsia="Times New Roman" w:hAnsi="Times New Roman" w:cs="Times New Roman"/>
          <w:noProof/>
          <w:color w:val="000000"/>
          <w:sz w:val="24"/>
        </w:rPr>
      </w:pPr>
    </w:p>
    <w:p w14:paraId="75A2EEF8" w14:textId="1D7B9BDB" w:rsidR="00EB245A" w:rsidRDefault="006021E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u w:val="single"/>
        </w:rPr>
      </w:pPr>
      <w:r>
        <w:rPr>
          <w:rFonts w:ascii="Times New Roman" w:hAnsi="Times New Roman"/>
          <w:b/>
          <w:noProof/>
          <w:color w:val="000000" w:themeColor="text1"/>
          <w:sz w:val="24"/>
        </w:rPr>
        <w:t xml:space="preserve">D.1. </w:t>
      </w:r>
      <w:r>
        <w:rPr>
          <w:noProof/>
        </w:rPr>
        <w:t xml:space="preserve"> </w:t>
      </w:r>
      <w:r>
        <w:rPr>
          <w:rFonts w:ascii="Times New Roman" w:hAnsi="Times New Roman"/>
          <w:b/>
          <w:noProof/>
          <w:color w:val="000000" w:themeColor="text1"/>
          <w:sz w:val="24"/>
        </w:rPr>
        <w:t>Beschreibung der Reformen und Investitionen für nicht rückzahlbare finanzielle Unterstützung</w:t>
      </w:r>
    </w:p>
    <w:p w14:paraId="44690661"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rPr>
      </w:pPr>
    </w:p>
    <w:p w14:paraId="16440E8E" w14:textId="77777777" w:rsidR="00EB245A" w:rsidRDefault="006021EE">
      <w:pPr>
        <w:pStyle w:val="P68B1DB1-Normal015"/>
        <w:pBdr>
          <w:top w:val="nil"/>
          <w:left w:val="nil"/>
          <w:bottom w:val="nil"/>
          <w:right w:val="nil"/>
          <w:between w:val="nil"/>
        </w:pBdr>
        <w:spacing w:before="120" w:after="120" w:line="240" w:lineRule="auto"/>
        <w:jc w:val="both"/>
        <w:rPr>
          <w:rFonts w:eastAsia="Times New Roman" w:cs="Times New Roman"/>
          <w:noProof/>
          <w:color w:val="000000"/>
        </w:rPr>
      </w:pPr>
      <w:r>
        <w:rPr>
          <w:noProof/>
        </w:rPr>
        <w:t xml:space="preserve">D1.1 Verbesserung der Wirksamkeit, Zugänglichkeit und Qualität der </w:t>
      </w:r>
      <w:r>
        <w:rPr>
          <w:noProof/>
        </w:rPr>
        <w:t>Gesundheitsdienste</w:t>
      </w:r>
    </w:p>
    <w:p w14:paraId="3EE4104E" w14:textId="7AE13958"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 xml:space="preserve">Ziel der Reform ist die Einführung umfassender Maßnahmen zur Umstrukturierung der öffentlichen Krankenhäuser. Ziel der </w:t>
      </w:r>
      <w:r>
        <w:rPr>
          <w:noProof/>
        </w:rPr>
        <w:t xml:space="preserve">Reform ist es, eine dauerhafte Verbesserung der Resilienz, Wirksamkeit, Qualität und Zugänglichkeit der Gesundheitsversorgung und Langzeitpflege, der finanziellen Situation öffentlicher Krankenhäuser und der Verfahren zur Überwachung und Verwaltung dieser </w:t>
      </w:r>
      <w:r>
        <w:rPr>
          <w:noProof/>
        </w:rPr>
        <w:t>Einrichtungen zu gewährleisten. Die Reform betrifft den gesamten Krankenhaussektor, der aus öffentlichen Mitteln finanzierte Gesundheitsdienstleistungen erbringt.</w:t>
      </w:r>
    </w:p>
    <w:p w14:paraId="72D401FD" w14:textId="0F103AD7"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Die Reform soll auch die Grundlage für Maßnahmen zur Rationalisierung der Gesundheitspyramide</w:t>
      </w:r>
      <w:r>
        <w:rPr>
          <w:noProof/>
        </w:rPr>
        <w:t xml:space="preserve"> bieten, </w:t>
      </w:r>
      <w:r>
        <w:rPr>
          <w:i/>
          <w:noProof/>
        </w:rPr>
        <w:t>unter anderem</w:t>
      </w:r>
      <w:r>
        <w:rPr>
          <w:noProof/>
        </w:rPr>
        <w:t xml:space="preserve"> durch die Einführung neuer Bestimmungen des Gesetzes über die medizinische Grundversorgung.</w:t>
      </w:r>
    </w:p>
    <w:p w14:paraId="7834828A" w14:textId="55C659AD" w:rsidR="00EB245A" w:rsidRDefault="006021EE">
      <w:pPr>
        <w:pStyle w:val="P68B1DB1-Normal06"/>
        <w:spacing w:before="120" w:after="120" w:line="240" w:lineRule="auto"/>
        <w:jc w:val="both"/>
        <w:rPr>
          <w:rFonts w:eastAsia="Times New Roman" w:cs="Times New Roman"/>
          <w:noProof/>
          <w:color w:val="000000"/>
        </w:rPr>
      </w:pPr>
      <w:r>
        <w:rPr>
          <w:noProof/>
        </w:rPr>
        <w:t>Die Reform des Krankenhaussektors wird durch Rechtsakte und Rechtsakte eingeführt, mit denen Änderungen an bestehenden Rechtsvorschriften vor</w:t>
      </w:r>
      <w:r>
        <w:rPr>
          <w:noProof/>
        </w:rPr>
        <w:t xml:space="preserve">genommen werden können, z. B. das Gesetz über medizinische Tätigkeiten oder das Gesetz über aus öffentlichen Mitteln finanzierte Gesundheitsdienstleistungen. Zu den wichtigsten Elementen der Reform gehören: </w:t>
      </w:r>
    </w:p>
    <w:p w14:paraId="495D48EB" w14:textId="7DA8E9A5"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 xml:space="preserve">— Umstrukturierung des Krankenhaussektors durch </w:t>
      </w:r>
      <w:r>
        <w:rPr>
          <w:noProof/>
        </w:rPr>
        <w:t>Konsolidierung und/oder Neuprofilierung und/oder Änderung des Umfangs und/oder der Struktur der von Krankenhäusern erbrachten Gesundheitsdienstleistungen auf der Grundlage der nationalen und regionalen Transformationspläne und der Karte des Gesundheitsbeda</w:t>
      </w:r>
      <w:r>
        <w:rPr>
          <w:noProof/>
        </w:rPr>
        <w:t>rfs sowie entsprechende Aktualisierung des Krankenhausnetzes. Die Bedürfnisse von Krankenhäusern, die vom Minister für nationale Verteidigung oder vom Innenminister im Zusammenhang mit den Auswirkungen des Krieges in der Ukraine beaufsichtigt werden, werde</w:t>
      </w:r>
      <w:r>
        <w:rPr>
          <w:noProof/>
        </w:rPr>
        <w:t>n bei der Umstrukturierung berücksichtigt;</w:t>
      </w:r>
    </w:p>
    <w:p w14:paraId="2E9A9DCB" w14:textId="31CD658D" w:rsidR="00EB245A" w:rsidRDefault="006021EE">
      <w:pPr>
        <w:pStyle w:val="P68B1DB1-Normal06"/>
        <w:spacing w:before="120" w:after="120" w:line="240" w:lineRule="auto"/>
        <w:jc w:val="both"/>
        <w:rPr>
          <w:noProof/>
          <w:color w:val="000000"/>
        </w:rPr>
      </w:pPr>
      <w:r>
        <w:rPr>
          <w:noProof/>
        </w:rPr>
        <w:t>— Grundlage für Maßnahmen zur Rationalisierung der Pyramide der Gesundheitsversorgung durch Verlagerung bestimmter Gesundheitsdienste von Krankenhäusern auf niedrigere Versorgungsebenen (Primärversorgung, ambulant</w:t>
      </w:r>
      <w:r>
        <w:rPr>
          <w:noProof/>
        </w:rPr>
        <w:t>e Versorgung) durch Bestimmungen in den jeweiligen Rechtsvorschriften, die die Tarifierung mit entsprechend überarbeiteten jährlichen Finanzierungsplänen des NFZ (Nationaler Gesundheitsfonds) regeln;</w:t>
      </w:r>
    </w:p>
    <w:p w14:paraId="14537412" w14:textId="75D0DC93" w:rsidR="00EB245A" w:rsidRDefault="006021EE">
      <w:pPr>
        <w:pStyle w:val="P68B1DB1-Normal06"/>
        <w:pBdr>
          <w:top w:val="nil"/>
          <w:left w:val="nil"/>
          <w:bottom w:val="nil"/>
          <w:right w:val="nil"/>
          <w:between w:val="nil"/>
        </w:pBdr>
        <w:spacing w:before="120" w:after="120" w:line="240" w:lineRule="auto"/>
        <w:jc w:val="both"/>
        <w:rPr>
          <w:noProof/>
          <w:color w:val="000000"/>
        </w:rPr>
      </w:pPr>
      <w:r>
        <w:rPr>
          <w:noProof/>
        </w:rPr>
        <w:t>— nachhaltige Umstrukturierung der Krankenhausschulden a</w:t>
      </w:r>
      <w:r>
        <w:rPr>
          <w:noProof/>
        </w:rPr>
        <w:t xml:space="preserve">uf der Grundlage transparenter und evidenzbasierter Kriterien und eines soliden Krankenhausfinanzierungssystems und </w:t>
      </w:r>
    </w:p>
    <w:p w14:paraId="66808C47" w14:textId="5B990704"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 Stärkung der Aufsichtsfunktion des Nationalen Gesundheitsfonds über öffentliche Krankenhäuser und Verbesserung der Professionalisierung d</w:t>
      </w:r>
      <w:r>
        <w:rPr>
          <w:noProof/>
        </w:rPr>
        <w:t>es Führungspersonals durch Einführung einer speziellen Schulung zu Krankenhausumstrukturierungs- und Managementmethoden im Gesundheitswesen.</w:t>
      </w:r>
    </w:p>
    <w:p w14:paraId="0B7B3277" w14:textId="23D1ABAF"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Die Reform des Krankenhaussektors soll durch die Reformen des Nationalen Onkologischen Netzes und des nationalen ka</w:t>
      </w:r>
      <w:r>
        <w:rPr>
          <w:noProof/>
        </w:rPr>
        <w:t>rdiologischen Netzes sowie der Qualität der Gesundheitsversorgung und der Patientensicherheit ergänzt werden. Ziel dieser Reformen ist es, den Zugang zu und die Qualität der Leistungen der onkologischen und kardiologischen Versorgung zu verbessern. Ziel de</w:t>
      </w:r>
      <w:r>
        <w:rPr>
          <w:noProof/>
        </w:rPr>
        <w:t xml:space="preserve">r Reform der Qualität des Gesundheitswesens und der Patientensicherheit ist die Einführung systemischer Lösungen für Qualitätsstandards im Gesundheitswesen und die anschließende Überwachung nachhaltiger Ergebnisse der Reform. </w:t>
      </w:r>
    </w:p>
    <w:p w14:paraId="1F8D5F9D" w14:textId="77777777" w:rsidR="00EB245A" w:rsidRDefault="006021EE">
      <w:pPr>
        <w:pStyle w:val="P68B1DB1-Normal16"/>
        <w:pBdr>
          <w:top w:val="nil"/>
          <w:left w:val="nil"/>
          <w:bottom w:val="nil"/>
          <w:right w:val="nil"/>
          <w:between w:val="nil"/>
        </w:pBdr>
        <w:tabs>
          <w:tab w:val="left" w:pos="3500"/>
          <w:tab w:val="left" w:pos="3901"/>
        </w:tabs>
        <w:spacing w:before="120" w:after="120" w:line="240" w:lineRule="auto"/>
        <w:jc w:val="both"/>
        <w:rPr>
          <w:rFonts w:eastAsia="Times New Roman" w:cs="Times New Roman"/>
          <w:noProof/>
          <w:color w:val="000000"/>
        </w:rPr>
      </w:pPr>
      <w:r>
        <w:rPr>
          <w:noProof/>
        </w:rPr>
        <w:t>Die Reform besteht auch aus e</w:t>
      </w:r>
      <w:r>
        <w:rPr>
          <w:noProof/>
        </w:rPr>
        <w:t>inem Legislativpaket über die Einführung nationaler elektronischer Gesundheitsdienste und deren Integration in bestehende/verfügbare elektronische Gesundheitsdienste auf nationaler und regionaler Ebene.</w:t>
      </w:r>
    </w:p>
    <w:p w14:paraId="5DA92445" w14:textId="4D0003B2" w:rsidR="00EB245A" w:rsidRDefault="006021EE">
      <w:pPr>
        <w:pStyle w:val="P68B1DB1-Normal06"/>
        <w:pBdr>
          <w:top w:val="nil"/>
          <w:left w:val="nil"/>
          <w:bottom w:val="nil"/>
          <w:right w:val="nil"/>
          <w:between w:val="nil"/>
        </w:pBdr>
        <w:spacing w:before="60" w:after="120" w:line="240" w:lineRule="auto"/>
        <w:jc w:val="both"/>
        <w:rPr>
          <w:rFonts w:eastAsia="Times New Roman" w:cs="Times New Roman"/>
          <w:noProof/>
          <w:color w:val="000000"/>
        </w:rPr>
      </w:pPr>
      <w:r>
        <w:rPr>
          <w:noProof/>
        </w:rPr>
        <w:t xml:space="preserve">Die Umsetzung der Reform muss bis zum 31. März 2026 </w:t>
      </w:r>
      <w:r>
        <w:rPr>
          <w:noProof/>
        </w:rPr>
        <w:t>abgeschlossen sein.</w:t>
      </w:r>
    </w:p>
    <w:p w14:paraId="74539910" w14:textId="77777777" w:rsidR="00EB245A" w:rsidRDefault="00EB245A">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noProof/>
          <w:color w:val="000000"/>
          <w:sz w:val="24"/>
        </w:rPr>
      </w:pPr>
    </w:p>
    <w:p w14:paraId="76C2A75C" w14:textId="77777777" w:rsidR="00EB245A" w:rsidRDefault="006021EE">
      <w:pPr>
        <w:pStyle w:val="P68B1DB1-Normal017"/>
        <w:pBdr>
          <w:top w:val="nil"/>
          <w:left w:val="nil"/>
          <w:bottom w:val="nil"/>
          <w:right w:val="nil"/>
          <w:between w:val="nil"/>
        </w:pBdr>
        <w:spacing w:before="120" w:after="120" w:line="240" w:lineRule="auto"/>
        <w:jc w:val="both"/>
        <w:rPr>
          <w:rFonts w:eastAsia="Times New Roman" w:cs="Times New Roman"/>
          <w:b/>
          <w:noProof/>
          <w:color w:val="000000"/>
        </w:rPr>
      </w:pPr>
      <w:r>
        <w:rPr>
          <w:b/>
          <w:noProof/>
        </w:rPr>
        <w:t>D1.1.1 Entwicklung und Modernisierung der Infrastruktur hochspezialisierter Pflegezentren</w:t>
      </w:r>
      <w:r>
        <w:rPr>
          <w:noProof/>
        </w:rPr>
        <w:t xml:space="preserve"> </w:t>
      </w:r>
      <w:r>
        <w:rPr>
          <w:b/>
          <w:noProof/>
        </w:rPr>
        <w:t>und anderer Gesundheitsdienstleister</w:t>
      </w:r>
    </w:p>
    <w:p w14:paraId="3446A8FC" w14:textId="38463C52" w:rsidR="00EB245A" w:rsidRDefault="006021EE">
      <w:pPr>
        <w:pStyle w:val="P68B1DB1-Normal06"/>
        <w:spacing w:before="120" w:after="120" w:line="240" w:lineRule="auto"/>
        <w:jc w:val="both"/>
        <w:rPr>
          <w:rFonts w:eastAsia="Times New Roman" w:cs="Times New Roman"/>
          <w:noProof/>
        </w:rPr>
      </w:pPr>
      <w:r>
        <w:rPr>
          <w:noProof/>
        </w:rPr>
        <w:t>Ziel der Investition ist es, Krankenhäuser mit dem sich aus den Reformprozessen ergebenden Investitionsbedar</w:t>
      </w:r>
      <w:r>
        <w:rPr>
          <w:noProof/>
        </w:rPr>
        <w:t>f, einschließlich Konsolidierung und Reprofilierung, zu unterstützen. Die Investition dient der Unterstützung von Krankenhäusern nur dann, wenn der Investitionsbedarf infolge des Reformprozesses im Rahmen der Reform D.1.1 ermittelt wurde. Die förderungswür</w:t>
      </w:r>
      <w:r>
        <w:rPr>
          <w:noProof/>
        </w:rPr>
        <w:t xml:space="preserve">digen medizinischen Einrichtungen sind Krankenhäuser im Sinne der Bestimmungen des Gesetzes über die medizinische Tätigkeit vom 15. April 2011. Ergänzende Investitionen in ambulante Pflegezentren, die mit Krankenhäusern des Nationalen Netzes für Onkologie </w:t>
      </w:r>
      <w:r>
        <w:rPr>
          <w:noProof/>
        </w:rPr>
        <w:t>zusammenarbeiten, sind ebenfalls förderfähig. Die Unterstützung erstreckt sich nur auf den Umfang der Tätigkeiten im Zusammenhang mit der Erbringung von Gesundheitsdienstleistungen, die aus dem Nationalen Gesundheitsfonds finanziert werden, und nicht auf k</w:t>
      </w:r>
      <w:r>
        <w:rPr>
          <w:noProof/>
        </w:rPr>
        <w:t>ommerzielle Tätigkeiten. Die Kriterien für die finanzielle Unterstützung werden auf die wichtigsten Interventionsbereiche der Reform abgestimmt, darunter: I) Abdeckung (z. B. erfasste Bevölkerung, abgedeckte Leistungen und rechtzeitiger Zugang zur Versorgu</w:t>
      </w:r>
      <w:r>
        <w:rPr>
          <w:noProof/>
        </w:rPr>
        <w:t>ng), ii) Eigenkapital (z. B. Chancengleichheit bei der Bereitstellung und Nutzung), iii) Effizienz (z. B. Krankenhäuser, die eine wirtschaftliche Haushaltsführung anstreben oder Krankenhäuser, die sich in einer Umstrukturierung befinden, um Schulden nachha</w:t>
      </w:r>
      <w:r>
        <w:rPr>
          <w:noProof/>
        </w:rPr>
        <w:t>ltig anzugehen), iv) Qualität der Pflege und v) Verfügbarkeit von Ressourcen (z. B. Personal- und Finanzressourcen).</w:t>
      </w:r>
    </w:p>
    <w:p w14:paraId="6F7DED5A" w14:textId="333513E0"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 xml:space="preserve">Die wichtigsten Investitionskategorien sind Investitionen in neue medizinische Ausrüstung, Infrastruktur- oder Bauarbeiten. </w:t>
      </w:r>
    </w:p>
    <w:p w14:paraId="7395F4FB" w14:textId="0EE58E64" w:rsidR="00EB245A" w:rsidRDefault="006021EE">
      <w:pPr>
        <w:pStyle w:val="P68B1DB1-Normal06"/>
        <w:spacing w:before="120" w:after="120" w:line="240" w:lineRule="auto"/>
        <w:jc w:val="both"/>
        <w:rPr>
          <w:rFonts w:eastAsia="Times New Roman" w:cs="Times New Roman"/>
          <w:noProof/>
        </w:rPr>
      </w:pPr>
      <w:r>
        <w:rPr>
          <w:noProof/>
        </w:rPr>
        <w:t xml:space="preserve">Die </w:t>
      </w:r>
      <w:r>
        <w:rPr>
          <w:noProof/>
        </w:rPr>
        <w:t>Durchführung der Investition muss bis zum 30. Juni 2026 abgeschlossen sein.</w:t>
      </w:r>
    </w:p>
    <w:p w14:paraId="16EA372A" w14:textId="37780220" w:rsidR="00EB245A" w:rsidRDefault="006021EE">
      <w:pPr>
        <w:pStyle w:val="P68B1DB1-Normal017"/>
        <w:pageBreakBefore/>
        <w:pBdr>
          <w:top w:val="nil"/>
          <w:left w:val="nil"/>
          <w:bottom w:val="nil"/>
          <w:right w:val="nil"/>
          <w:between w:val="nil"/>
        </w:pBdr>
        <w:spacing w:before="120" w:after="120" w:line="240" w:lineRule="auto"/>
        <w:jc w:val="both"/>
        <w:rPr>
          <w:rFonts w:eastAsia="Times New Roman" w:cs="Times New Roman"/>
          <w:b/>
          <w:noProof/>
          <w:color w:val="000000"/>
        </w:rPr>
      </w:pPr>
      <w:r>
        <w:rPr>
          <w:b/>
          <w:noProof/>
        </w:rPr>
        <w:t>D1.1.2 Beschleunigung des digitalen Wandels im Gesundheitswesen durch Weiterentwicklung digitaler Gesundheitsdienste</w:t>
      </w:r>
      <w:r>
        <w:rPr>
          <w:noProof/>
        </w:rPr>
        <w:t xml:space="preserve"> </w:t>
      </w:r>
    </w:p>
    <w:p w14:paraId="3C2CB7B6" w14:textId="77777777" w:rsidR="00EB245A" w:rsidRDefault="006021EE">
      <w:pPr>
        <w:pStyle w:val="P68B1DB1-Normal027"/>
        <w:pBdr>
          <w:top w:val="nil"/>
          <w:left w:val="nil"/>
          <w:bottom w:val="nil"/>
          <w:right w:val="nil"/>
          <w:between w:val="nil"/>
        </w:pBdr>
        <w:spacing w:before="120" w:after="120" w:line="240" w:lineRule="auto"/>
        <w:jc w:val="both"/>
        <w:rPr>
          <w:rFonts w:eastAsia="Times New Roman" w:cs="Times New Roman"/>
          <w:noProof/>
          <w:color w:val="000000"/>
          <w:sz w:val="24"/>
        </w:rPr>
      </w:pPr>
      <w:r>
        <w:rPr>
          <w:noProof/>
          <w:sz w:val="24"/>
        </w:rPr>
        <w:t>Ziel der Investition ist es, den digitalen Wandel im Gesundhei</w:t>
      </w:r>
      <w:r>
        <w:rPr>
          <w:noProof/>
          <w:sz w:val="24"/>
        </w:rPr>
        <w:t xml:space="preserve">tswesen durch die Einführung neuer digitaler Gesundheitsdienste und die Weiterentwicklung bestehender digitaler Dienste zu beschleunigen. Die Investition besteht in der Einführung neuer elektronischer Dienste, einschließlich: </w:t>
      </w:r>
    </w:p>
    <w:p w14:paraId="41E88125" w14:textId="215EBC9F" w:rsidR="00EB245A" w:rsidRDefault="006021EE">
      <w:pPr>
        <w:pStyle w:val="P68B1DB1-Normal06"/>
        <w:numPr>
          <w:ilvl w:val="0"/>
          <w:numId w:val="10"/>
        </w:numPr>
        <w:pBdr>
          <w:top w:val="nil"/>
          <w:left w:val="nil"/>
          <w:bottom w:val="nil"/>
          <w:right w:val="nil"/>
          <w:between w:val="nil"/>
        </w:pBdr>
        <w:spacing w:before="120" w:after="120" w:line="240" w:lineRule="auto"/>
        <w:jc w:val="both"/>
        <w:rPr>
          <w:rFonts w:eastAsia="Times New Roman" w:cs="Times New Roman"/>
          <w:noProof/>
          <w:color w:val="000000"/>
        </w:rPr>
      </w:pPr>
      <w:r>
        <w:rPr>
          <w:noProof/>
        </w:rPr>
        <w:t xml:space="preserve">ein Instrument zur </w:t>
      </w:r>
      <w:r>
        <w:rPr>
          <w:noProof/>
        </w:rPr>
        <w:t>Patientengesundheitsanalyse, das die Analyse des Gesundheitszustands des Patienten unterstützt,</w:t>
      </w:r>
    </w:p>
    <w:p w14:paraId="1D75A048" w14:textId="77777777" w:rsidR="00EB245A" w:rsidRDefault="006021EE">
      <w:pPr>
        <w:pStyle w:val="P68B1DB1-Normal06"/>
        <w:numPr>
          <w:ilvl w:val="0"/>
          <w:numId w:val="10"/>
        </w:numPr>
        <w:pBdr>
          <w:top w:val="nil"/>
          <w:left w:val="nil"/>
          <w:bottom w:val="nil"/>
          <w:right w:val="nil"/>
          <w:between w:val="nil"/>
        </w:pBdr>
        <w:spacing w:before="120" w:after="120" w:line="240" w:lineRule="auto"/>
        <w:jc w:val="both"/>
        <w:rPr>
          <w:rFonts w:eastAsia="Times New Roman" w:cs="Times New Roman"/>
          <w:noProof/>
          <w:color w:val="000000"/>
        </w:rPr>
      </w:pPr>
      <w:r>
        <w:rPr>
          <w:noProof/>
        </w:rPr>
        <w:t>ein Instrument zur Unterstützung der Entscheidungsfindung für Ärzte auf der Grundlage von KI-Algorithmen und eine zentrale Datenbank für medizinische Daten, die</w:t>
      </w:r>
      <w:r>
        <w:rPr>
          <w:noProof/>
        </w:rPr>
        <w:t xml:space="preserve"> in andere wichtige Gesundheitssysteme integriert sind, und</w:t>
      </w:r>
    </w:p>
    <w:p w14:paraId="2E906F5D" w14:textId="77777777" w:rsidR="00EB245A" w:rsidRDefault="006021EE">
      <w:pPr>
        <w:pStyle w:val="P68B1DB1-Normal06"/>
        <w:numPr>
          <w:ilvl w:val="0"/>
          <w:numId w:val="10"/>
        </w:numPr>
        <w:pBdr>
          <w:top w:val="nil"/>
          <w:left w:val="nil"/>
          <w:bottom w:val="nil"/>
          <w:right w:val="nil"/>
          <w:between w:val="nil"/>
        </w:pBdr>
        <w:spacing w:before="120" w:after="120" w:line="240" w:lineRule="auto"/>
        <w:jc w:val="both"/>
        <w:rPr>
          <w:rFonts w:eastAsia="Times New Roman" w:cs="Times New Roman"/>
          <w:noProof/>
          <w:color w:val="000000"/>
        </w:rPr>
      </w:pPr>
      <w:r>
        <w:rPr>
          <w:noProof/>
        </w:rPr>
        <w:t>eine zentrale Datenbank für medizinische Daten, die in andere wichtige Gesundheitssysteme integriert sind.</w:t>
      </w:r>
    </w:p>
    <w:p w14:paraId="56F59D10" w14:textId="77777777"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Außerdem wird ein Sicherheitseinsatzzentrum (SOC) im Zentrum für elektronische Gesundheit</w:t>
      </w:r>
      <w:r>
        <w:rPr>
          <w:noProof/>
        </w:rPr>
        <w:t xml:space="preserve">sdienste eingerichtet. Das Zentrum trägt dazu bei, die IT-Ressourcen des Zentrums für elektronische Gesundheitsdienste zu stärken und sie an den wachsenden Bedarf im Bereich der Cybersicherheit anzupassen. </w:t>
      </w:r>
    </w:p>
    <w:p w14:paraId="67917374" w14:textId="77777777"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Die Durchführung der Investition muss bis zum 31.</w:t>
      </w:r>
      <w:r>
        <w:rPr>
          <w:noProof/>
        </w:rPr>
        <w:t xml:space="preserve"> März 2026 abgeschlossen sein.</w:t>
      </w:r>
    </w:p>
    <w:p w14:paraId="1AC5CDBE"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u w:val="single"/>
        </w:rPr>
      </w:pPr>
    </w:p>
    <w:p w14:paraId="24BF7C14" w14:textId="77777777" w:rsidR="00EB245A" w:rsidRDefault="006021EE">
      <w:pPr>
        <w:pStyle w:val="P68B1DB1-Normal015"/>
        <w:pBdr>
          <w:top w:val="nil"/>
          <w:left w:val="nil"/>
          <w:bottom w:val="nil"/>
          <w:right w:val="nil"/>
          <w:between w:val="nil"/>
        </w:pBdr>
        <w:spacing w:before="120" w:after="120" w:line="240" w:lineRule="auto"/>
        <w:jc w:val="both"/>
        <w:rPr>
          <w:rFonts w:eastAsia="Times New Roman" w:cs="Times New Roman"/>
          <w:noProof/>
          <w:color w:val="000000"/>
        </w:rPr>
      </w:pPr>
      <w:r>
        <w:rPr>
          <w:noProof/>
        </w:rPr>
        <w:t>D2.1 Schaffung der richtigen Voraussetzungen für eine Erhöhung des medizinischen Personals</w:t>
      </w:r>
    </w:p>
    <w:p w14:paraId="10C1ADB3" w14:textId="77777777" w:rsidR="00EB245A" w:rsidRDefault="006021EE">
      <w:pPr>
        <w:pStyle w:val="P68B1DB1-Normal06"/>
        <w:pBdr>
          <w:top w:val="nil"/>
          <w:left w:val="nil"/>
          <w:bottom w:val="nil"/>
          <w:right w:val="nil"/>
          <w:between w:val="nil"/>
        </w:pBdr>
        <w:spacing w:before="60" w:after="120" w:line="240" w:lineRule="auto"/>
        <w:jc w:val="both"/>
        <w:rPr>
          <w:rFonts w:eastAsia="Times New Roman" w:cs="Times New Roman"/>
          <w:noProof/>
          <w:color w:val="000000"/>
        </w:rPr>
      </w:pPr>
      <w:r>
        <w:rPr>
          <w:noProof/>
        </w:rPr>
        <w:t xml:space="preserve">Ziel der Reform ist es, dazu beizutragen, dass der Bedarf und die Verfügbarkeit von medizinischen Fachkräften in Polen besser aufeinander abgestimmt werden. </w:t>
      </w:r>
    </w:p>
    <w:p w14:paraId="1C81E123" w14:textId="21D6763E" w:rsidR="00EB245A" w:rsidRDefault="006021EE">
      <w:pPr>
        <w:pStyle w:val="P68B1DB1-Normal06"/>
        <w:pBdr>
          <w:top w:val="nil"/>
          <w:left w:val="nil"/>
          <w:bottom w:val="nil"/>
          <w:right w:val="nil"/>
          <w:between w:val="nil"/>
        </w:pBdr>
        <w:spacing w:before="60" w:after="120" w:line="240" w:lineRule="auto"/>
        <w:jc w:val="both"/>
        <w:rPr>
          <w:rFonts w:eastAsia="Times New Roman" w:cs="Times New Roman"/>
          <w:noProof/>
          <w:color w:val="000000"/>
        </w:rPr>
      </w:pPr>
      <w:r>
        <w:rPr>
          <w:noProof/>
        </w:rPr>
        <w:t>Die Reform besteht aus Initiativen, die darauf abzielen, jungen Menschen Anreize zu bieten, ein Me</w:t>
      </w:r>
      <w:r>
        <w:rPr>
          <w:noProof/>
        </w:rPr>
        <w:t>dizinstudium aufzunehmen und zu absolvieren und anschließend in Polen Medizin zu praktizieren. Sie umfasst i) die Einführung einer Regelung für die Gewährung von Darlehen an Medizinstudenten, einschließlich finanzieller Anreize, nach Abschluss ihres Studiu</w:t>
      </w:r>
      <w:r>
        <w:rPr>
          <w:noProof/>
        </w:rPr>
        <w:t>ms in Polen tätig zu werden, und ii) die Einrichtung eines zweiten Studienzyklus für medizinische Notfallmediziner, was sich in höheren Qualifikationen und Einnahmen für die betreffenden Fachkräfte niederschlägt.</w:t>
      </w:r>
    </w:p>
    <w:p w14:paraId="6D26946E" w14:textId="77777777" w:rsidR="00EB245A" w:rsidRDefault="006021EE">
      <w:pPr>
        <w:pStyle w:val="P68B1DB1-Normal06"/>
        <w:pBdr>
          <w:top w:val="nil"/>
          <w:left w:val="nil"/>
          <w:bottom w:val="nil"/>
          <w:right w:val="nil"/>
          <w:between w:val="nil"/>
        </w:pBdr>
        <w:spacing w:before="60" w:after="120" w:line="240" w:lineRule="auto"/>
        <w:jc w:val="both"/>
        <w:rPr>
          <w:rFonts w:eastAsia="Times New Roman" w:cs="Times New Roman"/>
          <w:noProof/>
          <w:color w:val="000000"/>
        </w:rPr>
      </w:pPr>
      <w:r>
        <w:rPr>
          <w:noProof/>
        </w:rPr>
        <w:t>Die Reform besteht auch in der Einführung v</w:t>
      </w:r>
      <w:r>
        <w:rPr>
          <w:noProof/>
        </w:rPr>
        <w:t>on Rechtsvorschriften zur Verbesserung der Attraktivität medizinischer Berufe und der Arbeitsbedingungen der medizinischen Fachkräfte. Diese Rechtsvorschriften sollen die Flexibilität der Postgraduiertenausbildung erhöhen, unter anderem dadurch, dass Ärzte</w:t>
      </w:r>
      <w:r>
        <w:rPr>
          <w:noProof/>
        </w:rPr>
        <w:t>n ein neuer Befähigungsnachweis in verschiedenen Fachgebieten erteilt werden kann. Außerdem wird das niedrigste Grundgehalt für ein breites Spektrum von medizinischen Fachkräften erhöht und die Zuweisung bestimmter Kompetenzen zwischen Ärzten und Fachärzte</w:t>
      </w:r>
      <w:r>
        <w:rPr>
          <w:noProof/>
        </w:rPr>
        <w:t xml:space="preserve">n, medizinischen Notfallpersonal, Krankenschwestern und sonstigen medizinischen Fachkräften nach entsprechender Ausbildung neu organisiert. </w:t>
      </w:r>
    </w:p>
    <w:p w14:paraId="4675729F" w14:textId="77777777" w:rsidR="00EB245A" w:rsidRDefault="006021EE">
      <w:pPr>
        <w:pStyle w:val="P68B1DB1-Normal06"/>
        <w:pBdr>
          <w:top w:val="nil"/>
          <w:left w:val="nil"/>
          <w:bottom w:val="nil"/>
          <w:right w:val="nil"/>
          <w:between w:val="nil"/>
        </w:pBdr>
        <w:spacing w:before="60" w:after="120" w:line="240" w:lineRule="auto"/>
        <w:jc w:val="both"/>
        <w:rPr>
          <w:rFonts w:eastAsia="Times New Roman" w:cs="Times New Roman"/>
          <w:noProof/>
          <w:color w:val="000000"/>
        </w:rPr>
      </w:pPr>
      <w:r>
        <w:rPr>
          <w:noProof/>
        </w:rPr>
        <w:t>Die Durchführung der Reform muss bis zum 30. Juni 2026 abgeschlossen sein.</w:t>
      </w:r>
    </w:p>
    <w:p w14:paraId="342D4C27" w14:textId="77777777" w:rsidR="00EB245A" w:rsidRDefault="00EB245A">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noProof/>
          <w:color w:val="000000"/>
          <w:sz w:val="24"/>
        </w:rPr>
      </w:pPr>
    </w:p>
    <w:p w14:paraId="534B5041" w14:textId="77777777" w:rsidR="00EB245A" w:rsidRDefault="006021EE">
      <w:pPr>
        <w:pStyle w:val="P68B1DB1-Normal017"/>
        <w:pBdr>
          <w:top w:val="nil"/>
          <w:left w:val="nil"/>
          <w:bottom w:val="nil"/>
          <w:right w:val="nil"/>
          <w:between w:val="nil"/>
        </w:pBdr>
        <w:spacing w:before="120" w:after="120" w:line="240" w:lineRule="auto"/>
        <w:jc w:val="both"/>
        <w:rPr>
          <w:rFonts w:eastAsia="Times New Roman" w:cs="Times New Roman"/>
          <w:b/>
          <w:noProof/>
          <w:color w:val="000000"/>
        </w:rPr>
      </w:pPr>
      <w:r>
        <w:rPr>
          <w:b/>
          <w:noProof/>
        </w:rPr>
        <w:t xml:space="preserve">D2.1.1 Investitionen im Zusammenhang </w:t>
      </w:r>
      <w:r>
        <w:rPr>
          <w:b/>
          <w:noProof/>
        </w:rPr>
        <w:t>mit der Modernisierung und Nachrüstung von Lehreinrichtungen im Hinblick</w:t>
      </w:r>
      <w:r>
        <w:rPr>
          <w:noProof/>
        </w:rPr>
        <w:t xml:space="preserve"> </w:t>
      </w:r>
      <w:r>
        <w:rPr>
          <w:b/>
          <w:noProof/>
        </w:rPr>
        <w:t>auf die Anhebung der Zulassungsbeschränkungen für medizinische Studien</w:t>
      </w:r>
    </w:p>
    <w:p w14:paraId="0BB9BF31" w14:textId="77777777" w:rsidR="00EB245A" w:rsidRDefault="006021EE">
      <w:pPr>
        <w:pStyle w:val="P68B1DB1-Normal06"/>
        <w:pBdr>
          <w:top w:val="nil"/>
          <w:left w:val="nil"/>
          <w:bottom w:val="nil"/>
          <w:right w:val="nil"/>
          <w:between w:val="nil"/>
        </w:pBdr>
        <w:spacing w:before="60" w:after="120" w:line="240" w:lineRule="auto"/>
        <w:jc w:val="both"/>
        <w:rPr>
          <w:rFonts w:eastAsia="Times New Roman" w:cs="Times New Roman"/>
          <w:noProof/>
          <w:color w:val="000000"/>
        </w:rPr>
      </w:pPr>
      <w:r>
        <w:rPr>
          <w:noProof/>
        </w:rPr>
        <w:t>Ziel der Investition ist es, die Kapazitäten der medizinischen Lehreinrichtungen zu erhöhen und Studierende, die</w:t>
      </w:r>
      <w:r>
        <w:rPr>
          <w:noProof/>
        </w:rPr>
        <w:t xml:space="preserve"> an einem Medizinstudium teilnehmen, zu unterstützen. </w:t>
      </w:r>
    </w:p>
    <w:p w14:paraId="1305FD10" w14:textId="77777777" w:rsidR="00EB245A" w:rsidRDefault="006021EE">
      <w:pPr>
        <w:pStyle w:val="P68B1DB1-Normal06"/>
        <w:pBdr>
          <w:top w:val="nil"/>
          <w:left w:val="nil"/>
          <w:bottom w:val="nil"/>
          <w:right w:val="nil"/>
          <w:between w:val="nil"/>
        </w:pBdr>
        <w:spacing w:before="60" w:after="120" w:line="240" w:lineRule="auto"/>
        <w:jc w:val="both"/>
        <w:rPr>
          <w:rFonts w:eastAsia="Times New Roman" w:cs="Times New Roman"/>
          <w:noProof/>
          <w:color w:val="000000"/>
        </w:rPr>
      </w:pPr>
      <w:r>
        <w:rPr>
          <w:noProof/>
        </w:rPr>
        <w:t>Sie besteht aus ergänzenden Teilinvestitionen, die darauf abzielen, i) ein befristetes System von Anreizen für die Aufnahme und Fortsetzung des Studiums in ausgewählten medizinischen Lehrgängen zu scha</w:t>
      </w:r>
      <w:r>
        <w:rPr>
          <w:noProof/>
        </w:rPr>
        <w:t>ffen, ii) die Unterrichtsgrundlage für die vorklinische Ausbildung zu modernisieren, iii) neue Lernformen auf der Grundlage digitaler Technologien einzuführen, iv) die klinische Basis für den Unterricht in zentralen klinischen Krankenhäusern anzupassen und</w:t>
      </w:r>
      <w:r>
        <w:rPr>
          <w:noProof/>
        </w:rPr>
        <w:t xml:space="preserve"> zu verbessern, v) Schulungsprogramme und Anreizprogramme für Lehrkräfte umzusetzen, vi) Bibliotheken von medizinischen Universitäten, Unterbringung von Studierenden und IT-Systeme zu modernisieren und vii) Verwaltungsverfahren für die Verwaltung und Leitu</w:t>
      </w:r>
      <w:r>
        <w:rPr>
          <w:noProof/>
        </w:rPr>
        <w:t>ng medizinischer Universitäten zu digitalisieren.</w:t>
      </w:r>
    </w:p>
    <w:p w14:paraId="4D8B9E12" w14:textId="77777777"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Die Durchführung der Investition muss bis zum 30. Juni 2026 abgeschlossen sein.</w:t>
      </w:r>
    </w:p>
    <w:p w14:paraId="62D82DC8" w14:textId="77777777" w:rsidR="00EB245A" w:rsidRDefault="006021EE">
      <w:pPr>
        <w:pStyle w:val="P68B1DB1-Normal017"/>
        <w:pBdr>
          <w:top w:val="nil"/>
          <w:left w:val="nil"/>
          <w:bottom w:val="nil"/>
          <w:right w:val="nil"/>
          <w:between w:val="nil"/>
        </w:pBdr>
        <w:spacing w:before="120" w:after="120" w:line="240" w:lineRule="auto"/>
        <w:jc w:val="both"/>
        <w:rPr>
          <w:rFonts w:eastAsia="Times New Roman" w:cs="Times New Roman"/>
          <w:b/>
          <w:noProof/>
          <w:color w:val="000000"/>
        </w:rPr>
      </w:pPr>
      <w:r>
        <w:rPr>
          <w:b/>
          <w:noProof/>
        </w:rPr>
        <w:t>D3.1 Steigerung der Effizienz und Qualität des Gesundheitssystems durch Unterstützung des polnischen</w:t>
      </w:r>
      <w:r>
        <w:rPr>
          <w:noProof/>
        </w:rPr>
        <w:t xml:space="preserve"> </w:t>
      </w:r>
      <w:r>
        <w:rPr>
          <w:b/>
          <w:noProof/>
        </w:rPr>
        <w:t>Forschungs- und Entwicklu</w:t>
      </w:r>
      <w:r>
        <w:rPr>
          <w:b/>
          <w:noProof/>
        </w:rPr>
        <w:t>ngspotenzials auf dem Gebiet der Medizin- und Gesundheitswissenschaften</w:t>
      </w:r>
    </w:p>
    <w:p w14:paraId="01404654" w14:textId="77777777" w:rsidR="00EB245A" w:rsidRDefault="006021EE">
      <w:pPr>
        <w:pStyle w:val="P68B1DB1-Normal06"/>
        <w:pBdr>
          <w:top w:val="nil"/>
          <w:left w:val="nil"/>
          <w:bottom w:val="nil"/>
          <w:right w:val="nil"/>
          <w:between w:val="nil"/>
        </w:pBdr>
        <w:spacing w:before="60" w:after="120" w:line="240" w:lineRule="auto"/>
        <w:jc w:val="both"/>
        <w:rPr>
          <w:rFonts w:eastAsia="Times New Roman" w:cs="Times New Roman"/>
          <w:noProof/>
          <w:color w:val="000000"/>
        </w:rPr>
      </w:pPr>
      <w:r>
        <w:rPr>
          <w:noProof/>
        </w:rPr>
        <w:t>Ziel der Reform ist es, zur Verbesserung der Qualität und Effizienz des Gesundheitssystems beizutragen, indem Forschung und Entwicklung in den Bereichen Medizin und Gesundheit unterstü</w:t>
      </w:r>
      <w:r>
        <w:rPr>
          <w:noProof/>
        </w:rPr>
        <w:t>tzt werden.</w:t>
      </w:r>
    </w:p>
    <w:p w14:paraId="23380319" w14:textId="77777777" w:rsidR="00EB245A" w:rsidRDefault="006021EE">
      <w:pPr>
        <w:pStyle w:val="P68B1DB1-Normal06"/>
        <w:pBdr>
          <w:top w:val="nil"/>
          <w:left w:val="nil"/>
          <w:bottom w:val="nil"/>
          <w:right w:val="nil"/>
          <w:between w:val="nil"/>
        </w:pBdr>
        <w:spacing w:before="60" w:after="120" w:line="240" w:lineRule="auto"/>
        <w:jc w:val="both"/>
        <w:rPr>
          <w:rFonts w:eastAsia="Times New Roman" w:cs="Times New Roman"/>
          <w:noProof/>
          <w:color w:val="000000"/>
        </w:rPr>
      </w:pPr>
      <w:r>
        <w:rPr>
          <w:noProof/>
        </w:rPr>
        <w:t>Die Reform besteht aus neuen Rechtsvorschriften im Bereich klinischer Prüfungen von Humanarzneimitteln, einschließlich eines transparenten Systems und des Abbaus administrativer und rechtlicher Hindernisse. Sie besteht ferner darin, einen Strat</w:t>
      </w:r>
      <w:r>
        <w:rPr>
          <w:noProof/>
        </w:rPr>
        <w:t>egieplan für die Entwicklung des biomedizinischen Sektors in Polen zu entwerfen und umzusetzen, der auf einer Bewertung der Bedürfnisse des polnischen biomedizinischen Sektors, der bestehenden Entwicklungshemmnisse und der Gebiete mit einem potenziellen We</w:t>
      </w:r>
      <w:r>
        <w:rPr>
          <w:noProof/>
        </w:rPr>
        <w:t>ttbewerbsvorteil beruht.</w:t>
      </w:r>
    </w:p>
    <w:p w14:paraId="5E8F5EC1" w14:textId="77777777" w:rsidR="00EB245A" w:rsidRDefault="006021EE">
      <w:pPr>
        <w:pStyle w:val="P68B1DB1-Normal06"/>
        <w:pBdr>
          <w:top w:val="nil"/>
          <w:left w:val="nil"/>
          <w:bottom w:val="nil"/>
          <w:right w:val="nil"/>
          <w:between w:val="nil"/>
        </w:pBdr>
        <w:spacing w:before="60" w:after="120" w:line="240" w:lineRule="auto"/>
        <w:jc w:val="both"/>
        <w:rPr>
          <w:rFonts w:eastAsia="Times New Roman" w:cs="Times New Roman"/>
          <w:noProof/>
          <w:color w:val="000000"/>
        </w:rPr>
      </w:pPr>
      <w:r>
        <w:rPr>
          <w:noProof/>
        </w:rPr>
        <w:t xml:space="preserve">Die Umsetzung der Reform soll bis 31. Dezember 2022 abgeschlossen sein. </w:t>
      </w:r>
    </w:p>
    <w:p w14:paraId="6CEB15CE" w14:textId="77777777" w:rsidR="00EB245A" w:rsidRDefault="00EB245A">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noProof/>
          <w:color w:val="000000"/>
          <w:sz w:val="24"/>
        </w:rPr>
      </w:pPr>
    </w:p>
    <w:p w14:paraId="7F06B03C" w14:textId="77777777" w:rsidR="00EB245A" w:rsidRDefault="006021EE">
      <w:pPr>
        <w:pStyle w:val="P68B1DB1-Normal017"/>
        <w:pBdr>
          <w:top w:val="nil"/>
          <w:left w:val="nil"/>
          <w:bottom w:val="nil"/>
          <w:right w:val="nil"/>
          <w:between w:val="nil"/>
        </w:pBdr>
        <w:spacing w:before="120" w:after="120" w:line="240" w:lineRule="auto"/>
        <w:jc w:val="both"/>
        <w:rPr>
          <w:rFonts w:eastAsia="Times New Roman" w:cs="Times New Roman"/>
          <w:b/>
          <w:noProof/>
          <w:color w:val="000000"/>
        </w:rPr>
      </w:pPr>
      <w:r>
        <w:rPr>
          <w:b/>
          <w:noProof/>
        </w:rPr>
        <w:t>D3.1.1 Umfassende Entwicklung der Forschung auf dem Gebiet der Medizin- und Gesundheitswissenschaften</w:t>
      </w:r>
      <w:r>
        <w:rPr>
          <w:noProof/>
        </w:rPr>
        <w:t xml:space="preserve"> </w:t>
      </w:r>
    </w:p>
    <w:p w14:paraId="0A53A9A1" w14:textId="77777777" w:rsidR="00EB245A" w:rsidRDefault="006021EE">
      <w:pPr>
        <w:pStyle w:val="P68B1DB1-Normal06"/>
        <w:pBdr>
          <w:top w:val="nil"/>
          <w:left w:val="nil"/>
          <w:bottom w:val="nil"/>
          <w:right w:val="nil"/>
          <w:between w:val="nil"/>
        </w:pBdr>
        <w:spacing w:before="60" w:after="120" w:line="240" w:lineRule="auto"/>
        <w:jc w:val="both"/>
        <w:rPr>
          <w:rFonts w:eastAsia="Times New Roman" w:cs="Times New Roman"/>
          <w:noProof/>
          <w:color w:val="000000"/>
        </w:rPr>
      </w:pPr>
      <w:r>
        <w:rPr>
          <w:noProof/>
        </w:rPr>
        <w:t xml:space="preserve">Ziel der Investition ist es, die Widerstandsfähigkeit </w:t>
      </w:r>
      <w:r>
        <w:rPr>
          <w:noProof/>
        </w:rPr>
        <w:t>des Gesundheitssystems zu stärken, indem Forschung und Entwicklung in den Bereichen Medizin und Gesundheit unterstützt werden.</w:t>
      </w:r>
    </w:p>
    <w:p w14:paraId="77001C23" w14:textId="77777777" w:rsidR="00EB245A" w:rsidRDefault="006021EE">
      <w:pPr>
        <w:pStyle w:val="P68B1DB1-Normal06"/>
        <w:pBdr>
          <w:top w:val="nil"/>
          <w:left w:val="nil"/>
          <w:bottom w:val="nil"/>
          <w:right w:val="nil"/>
          <w:between w:val="nil"/>
        </w:pBdr>
        <w:spacing w:before="60" w:after="120" w:line="240" w:lineRule="auto"/>
        <w:jc w:val="both"/>
        <w:rPr>
          <w:rFonts w:eastAsia="Times New Roman" w:cs="Times New Roman"/>
          <w:noProof/>
          <w:color w:val="000000"/>
        </w:rPr>
      </w:pPr>
      <w:r>
        <w:rPr>
          <w:noProof/>
        </w:rPr>
        <w:t>Die Investition umfasst folgende Tätigkeiten:</w:t>
      </w:r>
    </w:p>
    <w:p w14:paraId="4F856028" w14:textId="70AC0C75" w:rsidR="00EB245A" w:rsidRDefault="006021EE">
      <w:pPr>
        <w:pStyle w:val="P68B1DB1-Normal06"/>
        <w:numPr>
          <w:ilvl w:val="0"/>
          <w:numId w:val="13"/>
        </w:numPr>
        <w:pBdr>
          <w:top w:val="nil"/>
          <w:left w:val="nil"/>
          <w:bottom w:val="nil"/>
          <w:right w:val="nil"/>
          <w:between w:val="nil"/>
        </w:pBdr>
        <w:spacing w:before="120" w:after="120" w:line="240" w:lineRule="auto"/>
        <w:jc w:val="both"/>
        <w:rPr>
          <w:rFonts w:eastAsia="Times New Roman" w:cs="Times New Roman"/>
          <w:noProof/>
          <w:color w:val="000000"/>
        </w:rPr>
      </w:pPr>
      <w:r>
        <w:rPr>
          <w:noProof/>
        </w:rPr>
        <w:t xml:space="preserve">Vergabe von Wettbewerben zur Finanzierung von Forschungs- und </w:t>
      </w:r>
      <w:r>
        <w:rPr>
          <w:noProof/>
        </w:rPr>
        <w:t>Entwicklungstätigkeiten mit Schwerpunkt auf Produktinnovationen wie Drogen, Entwicklung von Medizinprodukten, insbesondere für mobile Anwendungen, sowie IKT-Tools für medizinische und gesundheitliche Zwecke;</w:t>
      </w:r>
    </w:p>
    <w:p w14:paraId="621CC36F" w14:textId="6D8EC36E" w:rsidR="00EB245A" w:rsidRDefault="006021EE">
      <w:pPr>
        <w:pStyle w:val="P68B1DB1-Normal06"/>
        <w:numPr>
          <w:ilvl w:val="0"/>
          <w:numId w:val="13"/>
        </w:numPr>
        <w:pBdr>
          <w:top w:val="nil"/>
          <w:left w:val="nil"/>
          <w:bottom w:val="nil"/>
          <w:right w:val="nil"/>
          <w:between w:val="nil"/>
        </w:pBdr>
        <w:spacing w:before="120" w:after="120" w:line="240" w:lineRule="auto"/>
        <w:jc w:val="both"/>
        <w:rPr>
          <w:rFonts w:eastAsia="Times New Roman" w:cs="Times New Roman"/>
          <w:noProof/>
          <w:color w:val="000000"/>
        </w:rPr>
      </w:pPr>
      <w:r>
        <w:rPr>
          <w:noProof/>
        </w:rPr>
        <w:t>Entwicklung von Zentren zur Unterstützung klinis</w:t>
      </w:r>
      <w:r>
        <w:rPr>
          <w:noProof/>
        </w:rPr>
        <w:t xml:space="preserve">cher Prüfungen, die mit Forschungstätigkeiten im Bereich klinischer Prüfungen betraut sind; </w:t>
      </w:r>
    </w:p>
    <w:p w14:paraId="6654CDEB" w14:textId="33D95F51" w:rsidR="00EB245A" w:rsidRDefault="006021EE">
      <w:pPr>
        <w:pStyle w:val="P68B1DB1-Normal06"/>
        <w:numPr>
          <w:ilvl w:val="0"/>
          <w:numId w:val="13"/>
        </w:numPr>
        <w:pBdr>
          <w:top w:val="nil"/>
          <w:left w:val="nil"/>
          <w:bottom w:val="nil"/>
          <w:right w:val="nil"/>
          <w:between w:val="nil"/>
        </w:pBdr>
        <w:spacing w:before="120" w:after="120" w:line="240" w:lineRule="auto"/>
        <w:jc w:val="both"/>
        <w:rPr>
          <w:rFonts w:eastAsia="Times New Roman" w:cs="Times New Roman"/>
          <w:noProof/>
          <w:color w:val="000000"/>
        </w:rPr>
      </w:pPr>
      <w:r>
        <w:rPr>
          <w:noProof/>
        </w:rPr>
        <w:t>Einrichtung einer elektronischen Kommunikationsplattform für das polnische Netz für klinische Prüfungen und einer Suchmaschine für klinische Prüfungen</w:t>
      </w:r>
    </w:p>
    <w:p w14:paraId="109AFFB1" w14:textId="77777777" w:rsidR="00EB245A" w:rsidRDefault="006021EE">
      <w:pPr>
        <w:pStyle w:val="P68B1DB1-Normal06"/>
        <w:pBdr>
          <w:top w:val="nil"/>
          <w:left w:val="nil"/>
          <w:bottom w:val="nil"/>
          <w:right w:val="nil"/>
          <w:between w:val="nil"/>
        </w:pBdr>
        <w:spacing w:before="60" w:after="120" w:line="240" w:lineRule="auto"/>
        <w:jc w:val="both"/>
        <w:rPr>
          <w:noProof/>
          <w:color w:val="000000"/>
        </w:rPr>
      </w:pPr>
      <w:r>
        <w:rPr>
          <w:noProof/>
        </w:rPr>
        <w:t>Die Durchfüh</w:t>
      </w:r>
      <w:r>
        <w:rPr>
          <w:noProof/>
        </w:rPr>
        <w:t>rung der Investition muss bis zum 30. Juni 2026 abgeschlossen sein.</w:t>
      </w:r>
    </w:p>
    <w:p w14:paraId="3472AD0A" w14:textId="77777777" w:rsidR="00EB245A" w:rsidRDefault="00EB245A">
      <w:pPr>
        <w:pStyle w:val="Normal0"/>
        <w:pBdr>
          <w:top w:val="nil"/>
          <w:left w:val="nil"/>
          <w:bottom w:val="nil"/>
          <w:right w:val="nil"/>
          <w:between w:val="nil"/>
        </w:pBdr>
        <w:spacing w:before="60" w:after="120" w:line="240" w:lineRule="auto"/>
        <w:jc w:val="both"/>
        <w:rPr>
          <w:rFonts w:ascii="Times New Roman" w:hAnsi="Times New Roman"/>
          <w:noProof/>
          <w:color w:val="000000"/>
          <w:sz w:val="24"/>
        </w:rPr>
      </w:pPr>
    </w:p>
    <w:p w14:paraId="250F8039" w14:textId="3105EECE" w:rsidR="00EB245A" w:rsidRDefault="006021EE">
      <w:pPr>
        <w:pStyle w:val="P68B1DB1-Normal015"/>
        <w:pBdr>
          <w:top w:val="nil"/>
          <w:left w:val="nil"/>
          <w:bottom w:val="nil"/>
          <w:right w:val="nil"/>
          <w:between w:val="nil"/>
        </w:pBdr>
        <w:spacing w:before="120" w:after="120" w:line="240" w:lineRule="auto"/>
        <w:jc w:val="both"/>
        <w:rPr>
          <w:rFonts w:eastAsia="Times New Roman" w:cs="Times New Roman"/>
          <w:noProof/>
          <w:color w:val="000000"/>
        </w:rPr>
      </w:pPr>
      <w:r>
        <w:rPr>
          <w:noProof/>
        </w:rPr>
        <w:t>D4.1.1 Entwicklung der Langzeitpflege durch Modernisierung der Infrastruktur medizinischer Einrichtungen auf Bezirksebene</w:t>
      </w:r>
    </w:p>
    <w:p w14:paraId="5EB6CFDD" w14:textId="0C1E561A" w:rsidR="00EB245A" w:rsidRDefault="006021EE">
      <w:pPr>
        <w:pStyle w:val="P68B1DB1-Normal06"/>
        <w:spacing w:after="0" w:line="240" w:lineRule="auto"/>
        <w:jc w:val="both"/>
        <w:rPr>
          <w:rFonts w:eastAsia="Times New Roman" w:cs="Times New Roman"/>
          <w:noProof/>
          <w:color w:val="000000"/>
        </w:rPr>
      </w:pPr>
      <w:r>
        <w:rPr>
          <w:noProof/>
        </w:rPr>
        <w:t xml:space="preserve">Mit der Investition werden Projekte für notwendige Bau- oder </w:t>
      </w:r>
      <w:r>
        <w:rPr>
          <w:noProof/>
        </w:rPr>
        <w:t>Renovierungsarbeiten und den Erwerb von Ausrüstung für Bezirkskliniken unterstützt, die im Rahmen der Transformationspläne Langzeitpflege- und Geriatriestationen oder -zentren einrichten. Die Investitionsverträge werden durch transparente und klare Bestimm</w:t>
      </w:r>
      <w:r>
        <w:rPr>
          <w:noProof/>
        </w:rPr>
        <w:t xml:space="preserve">ungen und im Einklang mit den Zielen der Reform D.1.2 vergeben. (aus dem Darlehensteil).  </w:t>
      </w:r>
    </w:p>
    <w:p w14:paraId="2651443A" w14:textId="4B5ACA4D" w:rsidR="00EB245A" w:rsidRDefault="00EB245A">
      <w:pPr>
        <w:pStyle w:val="Normal0"/>
        <w:spacing w:after="0" w:line="240" w:lineRule="auto"/>
        <w:jc w:val="both"/>
        <w:rPr>
          <w:rFonts w:ascii="Times New Roman" w:eastAsia="Times New Roman" w:hAnsi="Times New Roman" w:cs="Times New Roman"/>
          <w:noProof/>
          <w:color w:val="000000" w:themeColor="text1"/>
          <w:sz w:val="24"/>
        </w:rPr>
      </w:pPr>
    </w:p>
    <w:p w14:paraId="16B330FA" w14:textId="77777777" w:rsidR="00EB245A" w:rsidRDefault="006021EE">
      <w:pPr>
        <w:pStyle w:val="P68B1DB1-Normal06"/>
        <w:pBdr>
          <w:top w:val="nil"/>
          <w:left w:val="nil"/>
          <w:bottom w:val="nil"/>
          <w:right w:val="nil"/>
          <w:between w:val="nil"/>
        </w:pBdr>
        <w:spacing w:line="240" w:lineRule="auto"/>
        <w:jc w:val="both"/>
        <w:rPr>
          <w:rFonts w:eastAsia="Times New Roman" w:cs="Times New Roman"/>
          <w:noProof/>
          <w:color w:val="000000"/>
        </w:rPr>
      </w:pPr>
      <w:r>
        <w:rPr>
          <w:noProof/>
        </w:rPr>
        <w:t>Die Durchführung der Investition muss bis zum 30. Juni 2026 abgeschlossen sein.</w:t>
      </w:r>
    </w:p>
    <w:p w14:paraId="47245435" w14:textId="77777777" w:rsidR="00EB245A" w:rsidRDefault="00EB245A">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noProof/>
          <w:color w:val="000000"/>
          <w:sz w:val="24"/>
        </w:rPr>
        <w:sectPr w:rsidR="00EB245A" w:rsidSect="005E6922">
          <w:headerReference w:type="even" r:id="rId103"/>
          <w:headerReference w:type="default" r:id="rId104"/>
          <w:footerReference w:type="even" r:id="rId105"/>
          <w:footerReference w:type="default" r:id="rId106"/>
          <w:headerReference w:type="first" r:id="rId107"/>
          <w:footerReference w:type="first" r:id="rId108"/>
          <w:pgSz w:w="11907" w:h="16839"/>
          <w:pgMar w:top="1134" w:right="1134" w:bottom="1134" w:left="1134" w:header="567" w:footer="567" w:gutter="0"/>
          <w:cols w:space="720"/>
          <w:docGrid w:linePitch="299"/>
        </w:sectPr>
      </w:pPr>
    </w:p>
    <w:p w14:paraId="5753B035" w14:textId="754B25D2" w:rsidR="00EB245A" w:rsidRDefault="006021EE">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noProof/>
          <w:color w:val="000000"/>
          <w:sz w:val="24"/>
        </w:rPr>
      </w:pPr>
      <w:r>
        <w:rPr>
          <w:rFonts w:ascii="Times New Roman" w:hAnsi="Times New Roman"/>
          <w:b/>
          <w:noProof/>
          <w:color w:val="000000"/>
          <w:sz w:val="24"/>
        </w:rPr>
        <w:t xml:space="preserve">D.2. </w:t>
      </w:r>
      <w:r>
        <w:rPr>
          <w:noProof/>
        </w:rPr>
        <w:t xml:space="preserve"> </w:t>
      </w:r>
      <w:r>
        <w:rPr>
          <w:rFonts w:ascii="Times New Roman" w:hAnsi="Times New Roman"/>
          <w:b/>
          <w:noProof/>
          <w:color w:val="000000"/>
          <w:sz w:val="24"/>
        </w:rPr>
        <w:t xml:space="preserve">Etappenziele, </w:t>
      </w:r>
      <w:r>
        <w:rPr>
          <w:rFonts w:ascii="Times New Roman" w:hAnsi="Times New Roman"/>
          <w:b/>
          <w:noProof/>
          <w:color w:val="000000"/>
          <w:sz w:val="24"/>
        </w:rPr>
        <w:t>Zielwerte, Indikatoren und Zeitplan für die Überwachung und Durchführung der nicht rückzahlbaren finanziellen Unterstützung</w:t>
      </w:r>
    </w:p>
    <w:tbl>
      <w:tblPr>
        <w:tblW w:w="1545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696"/>
        <w:gridCol w:w="2069"/>
        <w:gridCol w:w="1204"/>
        <w:gridCol w:w="1560"/>
        <w:gridCol w:w="1842"/>
        <w:gridCol w:w="1134"/>
        <w:gridCol w:w="1418"/>
        <w:gridCol w:w="850"/>
        <w:gridCol w:w="851"/>
        <w:gridCol w:w="992"/>
        <w:gridCol w:w="2835"/>
      </w:tblGrid>
      <w:tr w:rsidR="00EB245A" w14:paraId="0E748055" w14:textId="77777777" w:rsidTr="006A0208">
        <w:trPr>
          <w:trHeight w:val="731"/>
          <w:tblHeader/>
        </w:trPr>
        <w:tc>
          <w:tcPr>
            <w:tcW w:w="696" w:type="dxa"/>
            <w:vMerge w:val="restart"/>
            <w:shd w:val="clear" w:color="auto" w:fill="BDD7EE"/>
            <w:vAlign w:val="center"/>
          </w:tcPr>
          <w:p w14:paraId="36286FED" w14:textId="146665F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Lfd. Nr. Nr.</w:t>
            </w:r>
          </w:p>
        </w:tc>
        <w:tc>
          <w:tcPr>
            <w:tcW w:w="2069" w:type="dxa"/>
            <w:vMerge w:val="restart"/>
            <w:shd w:val="clear" w:color="auto" w:fill="BDD7EE"/>
            <w:vAlign w:val="center"/>
          </w:tcPr>
          <w:p w14:paraId="3B20702A"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Verbundene Maßnahme (Reform oder Investition)</w:t>
            </w:r>
          </w:p>
        </w:tc>
        <w:tc>
          <w:tcPr>
            <w:tcW w:w="1204" w:type="dxa"/>
            <w:vMerge w:val="restart"/>
            <w:shd w:val="clear" w:color="auto" w:fill="BDD7EE"/>
            <w:vAlign w:val="center"/>
          </w:tcPr>
          <w:p w14:paraId="0E73BAB9"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Etappenziel/Zielwert</w:t>
            </w:r>
          </w:p>
        </w:tc>
        <w:tc>
          <w:tcPr>
            <w:tcW w:w="1560" w:type="dxa"/>
            <w:vMerge w:val="restart"/>
            <w:shd w:val="clear" w:color="auto" w:fill="BDD7EE"/>
            <w:vAlign w:val="center"/>
          </w:tcPr>
          <w:p w14:paraId="0100A987"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Namen</w:t>
            </w:r>
          </w:p>
        </w:tc>
        <w:tc>
          <w:tcPr>
            <w:tcW w:w="1842" w:type="dxa"/>
            <w:vMerge w:val="restart"/>
            <w:shd w:val="clear" w:color="auto" w:fill="BDD7EE"/>
            <w:vAlign w:val="center"/>
          </w:tcPr>
          <w:p w14:paraId="35671211" w14:textId="77777777" w:rsidR="00EB245A" w:rsidRDefault="006021EE">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rPr>
            </w:pPr>
            <w:r>
              <w:rPr>
                <w:rFonts w:ascii="Times New Roman" w:hAnsi="Times New Roman"/>
                <w:b/>
                <w:noProof/>
                <w:color w:val="000000" w:themeColor="text1"/>
                <w:sz w:val="18"/>
              </w:rPr>
              <w:t>Etappenziel/Zielwert</w:t>
            </w:r>
            <w:r>
              <w:rPr>
                <w:noProof/>
              </w:rPr>
              <w:t xml:space="preserve">  </w:t>
            </w:r>
            <w:r>
              <w:rPr>
                <w:noProof/>
              </w:rPr>
              <w:br/>
            </w:r>
            <w:r>
              <w:rPr>
                <w:rFonts w:ascii="Times New Roman" w:hAnsi="Times New Roman"/>
                <w:b/>
                <w:noProof/>
                <w:color w:val="000000" w:themeColor="text1"/>
                <w:sz w:val="18"/>
              </w:rPr>
              <w:t>(für Etappenziele)</w:t>
            </w:r>
          </w:p>
        </w:tc>
        <w:tc>
          <w:tcPr>
            <w:tcW w:w="3402" w:type="dxa"/>
            <w:gridSpan w:val="3"/>
            <w:shd w:val="clear" w:color="auto" w:fill="BDD7EE"/>
            <w:vAlign w:val="center"/>
          </w:tcPr>
          <w:p w14:paraId="12B4FCE4" w14:textId="77777777" w:rsidR="00EB245A" w:rsidRDefault="006021EE">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rPr>
            </w:pPr>
            <w:r>
              <w:rPr>
                <w:rFonts w:ascii="Times New Roman" w:hAnsi="Times New Roman"/>
                <w:b/>
                <w:noProof/>
                <w:color w:val="000000" w:themeColor="text1"/>
                <w:sz w:val="18"/>
              </w:rPr>
              <w:t>Qualitative Indikatoren (für Etappenziele)</w:t>
            </w:r>
            <w:r>
              <w:rPr>
                <w:noProof/>
              </w:rPr>
              <w:t xml:space="preserve">  </w:t>
            </w:r>
            <w:r>
              <w:rPr>
                <w:noProof/>
              </w:rPr>
              <w:br/>
            </w:r>
            <w:r>
              <w:rPr>
                <w:rFonts w:ascii="Times New Roman" w:hAnsi="Times New Roman"/>
                <w:b/>
                <w:noProof/>
                <w:color w:val="000000" w:themeColor="text1"/>
                <w:sz w:val="18"/>
              </w:rPr>
              <w:t>(für Ziele)</w:t>
            </w:r>
          </w:p>
        </w:tc>
        <w:tc>
          <w:tcPr>
            <w:tcW w:w="1843" w:type="dxa"/>
            <w:gridSpan w:val="2"/>
            <w:shd w:val="clear" w:color="auto" w:fill="BDD7EE"/>
            <w:vAlign w:val="center"/>
          </w:tcPr>
          <w:p w14:paraId="0F6AA94A"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 xml:space="preserve">Vorläufiger Zeitplan für die Fertigstellung </w:t>
            </w:r>
          </w:p>
        </w:tc>
        <w:tc>
          <w:tcPr>
            <w:tcW w:w="2835" w:type="dxa"/>
            <w:vMerge w:val="restart"/>
            <w:shd w:val="clear" w:color="auto" w:fill="BDD7EE"/>
            <w:vAlign w:val="center"/>
          </w:tcPr>
          <w:p w14:paraId="1FA168C9"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Beschreibung der einzelnen Etappenziele und Zielvorgaben</w:t>
            </w:r>
          </w:p>
        </w:tc>
      </w:tr>
      <w:tr w:rsidR="00EB245A" w14:paraId="589F7CEC" w14:textId="77777777" w:rsidTr="006A0208">
        <w:trPr>
          <w:trHeight w:val="557"/>
        </w:trPr>
        <w:tc>
          <w:tcPr>
            <w:tcW w:w="696" w:type="dxa"/>
            <w:vMerge/>
            <w:vAlign w:val="center"/>
          </w:tcPr>
          <w:p w14:paraId="10FDAA0E"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2069" w:type="dxa"/>
            <w:vMerge/>
            <w:vAlign w:val="center"/>
          </w:tcPr>
          <w:p w14:paraId="774AF2BF"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204" w:type="dxa"/>
            <w:vMerge/>
            <w:vAlign w:val="center"/>
          </w:tcPr>
          <w:p w14:paraId="7A292896"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560" w:type="dxa"/>
            <w:vMerge/>
            <w:vAlign w:val="center"/>
          </w:tcPr>
          <w:p w14:paraId="2191599E"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842" w:type="dxa"/>
            <w:vMerge/>
            <w:vAlign w:val="center"/>
          </w:tcPr>
          <w:p w14:paraId="7673E5AE"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134" w:type="dxa"/>
            <w:shd w:val="clear" w:color="auto" w:fill="BDD7EE"/>
            <w:vAlign w:val="center"/>
          </w:tcPr>
          <w:p w14:paraId="45673889"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Maßeinheit</w:t>
            </w:r>
          </w:p>
        </w:tc>
        <w:tc>
          <w:tcPr>
            <w:tcW w:w="1418" w:type="dxa"/>
            <w:shd w:val="clear" w:color="auto" w:fill="BDD7EE"/>
            <w:vAlign w:val="center"/>
          </w:tcPr>
          <w:p w14:paraId="26CBA2F5" w14:textId="29210A03"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 xml:space="preserve">Ausgangslage </w:t>
            </w:r>
          </w:p>
        </w:tc>
        <w:tc>
          <w:tcPr>
            <w:tcW w:w="850" w:type="dxa"/>
            <w:shd w:val="clear" w:color="auto" w:fill="BDD7EE"/>
            <w:vAlign w:val="center"/>
          </w:tcPr>
          <w:p w14:paraId="498E2A4F"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Ziel</w:t>
            </w:r>
          </w:p>
        </w:tc>
        <w:tc>
          <w:tcPr>
            <w:tcW w:w="851" w:type="dxa"/>
            <w:shd w:val="clear" w:color="auto" w:fill="BDD7EE"/>
            <w:vAlign w:val="center"/>
          </w:tcPr>
          <w:p w14:paraId="3E7658C2"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Viertel</w:t>
            </w:r>
          </w:p>
        </w:tc>
        <w:tc>
          <w:tcPr>
            <w:tcW w:w="992" w:type="dxa"/>
            <w:shd w:val="clear" w:color="auto" w:fill="BDD7EE"/>
            <w:vAlign w:val="center"/>
          </w:tcPr>
          <w:p w14:paraId="6A32D50D"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Jahre</w:t>
            </w:r>
          </w:p>
        </w:tc>
        <w:tc>
          <w:tcPr>
            <w:tcW w:w="2835" w:type="dxa"/>
            <w:vMerge/>
            <w:vAlign w:val="center"/>
          </w:tcPr>
          <w:p w14:paraId="041D98D7"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r>
      <w:tr w:rsidR="00EB245A" w14:paraId="78D2D074" w14:textId="77777777" w:rsidTr="006A0208">
        <w:trPr>
          <w:trHeight w:val="739"/>
        </w:trPr>
        <w:tc>
          <w:tcPr>
            <w:tcW w:w="696" w:type="dxa"/>
            <w:shd w:val="clear" w:color="auto" w:fill="C6EFCE"/>
          </w:tcPr>
          <w:p w14:paraId="64507562" w14:textId="470AA91E"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D1G</w:t>
            </w:r>
          </w:p>
        </w:tc>
        <w:tc>
          <w:tcPr>
            <w:tcW w:w="2069" w:type="dxa"/>
            <w:shd w:val="clear" w:color="auto" w:fill="C6EFCE"/>
          </w:tcPr>
          <w:p w14:paraId="2CD91D8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D1.1 Verbesserung der Wirksamkeit, </w:t>
            </w:r>
            <w:r>
              <w:rPr>
                <w:noProof/>
              </w:rPr>
              <w:t>Zugänglichkeit und Qualität der Gesundheitsdienste</w:t>
            </w:r>
          </w:p>
        </w:tc>
        <w:tc>
          <w:tcPr>
            <w:tcW w:w="1204" w:type="dxa"/>
            <w:shd w:val="clear" w:color="auto" w:fill="C6EFCE"/>
          </w:tcPr>
          <w:p w14:paraId="2F69FD4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560" w:type="dxa"/>
            <w:shd w:val="clear" w:color="auto" w:fill="C6EFCE"/>
          </w:tcPr>
          <w:p w14:paraId="4F3F4E04" w14:textId="1BB41B20" w:rsidR="00EB245A" w:rsidRDefault="006021EE">
            <w:pPr>
              <w:pStyle w:val="Normal0"/>
              <w:spacing w:after="0" w:line="240" w:lineRule="auto"/>
              <w:rPr>
                <w:rFonts w:ascii="Times New Roman" w:eastAsia="Times New Roman" w:hAnsi="Times New Roman" w:cs="Times New Roman"/>
                <w:noProof/>
                <w:color w:val="000000" w:themeColor="text1"/>
                <w:sz w:val="18"/>
              </w:rPr>
            </w:pPr>
            <w:r>
              <w:rPr>
                <w:rStyle w:val="normaltextrun"/>
                <w:rFonts w:ascii="Times New Roman" w:hAnsi="Times New Roman"/>
                <w:noProof/>
                <w:color w:val="000000" w:themeColor="text1"/>
                <w:sz w:val="18"/>
              </w:rPr>
              <w:t xml:space="preserve">Inkrafttreten einer Reform zur Modernisierung und Verbesserung der Effizienz von Krankenhäusern </w:t>
            </w:r>
          </w:p>
        </w:tc>
        <w:tc>
          <w:tcPr>
            <w:tcW w:w="1842" w:type="dxa"/>
            <w:shd w:val="clear" w:color="auto" w:fill="C6EFCE"/>
          </w:tcPr>
          <w:p w14:paraId="38B13BEC" w14:textId="7F0A1F70"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Bestimmung in den Rechtsakten und Rechtsakten, aus denen hervorgeht, dass sie in Kraft treten</w:t>
            </w:r>
          </w:p>
        </w:tc>
        <w:tc>
          <w:tcPr>
            <w:tcW w:w="1134" w:type="dxa"/>
            <w:shd w:val="clear" w:color="auto" w:fill="C6EFCE"/>
          </w:tcPr>
          <w:p w14:paraId="49F15541" w14:textId="27B130DD"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p>
        </w:tc>
        <w:tc>
          <w:tcPr>
            <w:tcW w:w="1418" w:type="dxa"/>
            <w:shd w:val="clear" w:color="auto" w:fill="C6EFCE"/>
          </w:tcPr>
          <w:p w14:paraId="0A6C1A37"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 xml:space="preserve"> </w:t>
            </w:r>
          </w:p>
        </w:tc>
        <w:tc>
          <w:tcPr>
            <w:tcW w:w="850" w:type="dxa"/>
            <w:shd w:val="clear" w:color="auto" w:fill="C6EFCE"/>
          </w:tcPr>
          <w:p w14:paraId="3BA6614D"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 xml:space="preserve"> </w:t>
            </w:r>
          </w:p>
        </w:tc>
        <w:tc>
          <w:tcPr>
            <w:tcW w:w="851" w:type="dxa"/>
            <w:shd w:val="clear" w:color="auto" w:fill="C6EFCE"/>
          </w:tcPr>
          <w:p w14:paraId="5F22C449" w14:textId="1CA3FF2F"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Q4</w:t>
            </w:r>
          </w:p>
        </w:tc>
        <w:tc>
          <w:tcPr>
            <w:tcW w:w="992" w:type="dxa"/>
            <w:shd w:val="clear" w:color="auto" w:fill="C6EFCE"/>
          </w:tcPr>
          <w:p w14:paraId="1438688F" w14:textId="07ECA99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2024</w:t>
            </w:r>
          </w:p>
        </w:tc>
        <w:tc>
          <w:tcPr>
            <w:tcW w:w="2835" w:type="dxa"/>
            <w:shd w:val="clear" w:color="auto" w:fill="C6EFCE"/>
          </w:tcPr>
          <w:p w14:paraId="62ED4A29" w14:textId="05519E3A" w:rsidR="00EB245A" w:rsidRDefault="006021EE">
            <w:pPr>
              <w:pStyle w:val="paragraph"/>
              <w:spacing w:before="0" w:beforeAutospacing="0" w:after="0" w:afterAutospacing="0"/>
              <w:textAlignment w:val="baseline"/>
              <w:rPr>
                <w:noProof/>
                <w:color w:val="000000" w:themeColor="text1"/>
                <w:sz w:val="18"/>
              </w:rPr>
            </w:pPr>
            <w:r>
              <w:rPr>
                <w:rStyle w:val="normaltextrun"/>
                <w:noProof/>
                <w:color w:val="000000" w:themeColor="text1"/>
                <w:sz w:val="18"/>
              </w:rPr>
              <w:t xml:space="preserve">Inkrafttreten eines Gesetzespakets (Gesetze und Rechtsakte) zur Modernisierung und Verbesserung der Effizienz von Krankenhäusern, das Folgendes vorsieht: </w:t>
            </w:r>
            <w:r>
              <w:rPr>
                <w:noProof/>
              </w:rPr>
              <w:t xml:space="preserve">  </w:t>
            </w:r>
            <w:r>
              <w:rPr>
                <w:noProof/>
              </w:rPr>
              <w:br/>
            </w:r>
            <w:r>
              <w:rPr>
                <w:rStyle w:val="normaltextrun"/>
                <w:noProof/>
                <w:color w:val="000000" w:themeColor="text1"/>
                <w:sz w:val="18"/>
              </w:rPr>
              <w:t xml:space="preserve">— Umstrukturierung des Krankenhaussektors durch Konsolidierung und/oder Neuprofilierung </w:t>
            </w:r>
            <w:r>
              <w:rPr>
                <w:rStyle w:val="normaltextrun"/>
                <w:noProof/>
                <w:color w:val="000000" w:themeColor="text1"/>
                <w:sz w:val="18"/>
              </w:rPr>
              <w:t>und/</w:t>
            </w:r>
            <w:r>
              <w:rPr>
                <w:rStyle w:val="normaltextrun"/>
                <w:noProof/>
                <w:sz w:val="18"/>
              </w:rPr>
              <w:t>oder</w:t>
            </w:r>
            <w:r>
              <w:rPr>
                <w:rStyle w:val="normaltextrun"/>
                <w:noProof/>
                <w:color w:val="000000" w:themeColor="text1"/>
                <w:sz w:val="18"/>
              </w:rPr>
              <w:t xml:space="preserve"> Änderung des Umfangs und/oder der Struktur der von Krankenhäusern erbrachten Gesundheitsdienstleistungen auf der Grundlage der nationalen und regionalen Transformationspläne und der Karte des Gesundheitsbedarfs auf nationaler und regionaler Ebene </w:t>
            </w:r>
            <w:r>
              <w:rPr>
                <w:rStyle w:val="normaltextrun"/>
                <w:noProof/>
                <w:color w:val="000000" w:themeColor="text1"/>
                <w:sz w:val="18"/>
              </w:rPr>
              <w:t>sowie entsprechende Aktualisierung des Krankenhausnetzes. Die Bedürfnisse von Krankenhäusern, die vom Minister für nationale Verteidigung oder vom Innenminister im Zusammenhang mit den Auswirkungen des Krieges in der Ukraine beaufsichtigt werden, werden be</w:t>
            </w:r>
            <w:r>
              <w:rPr>
                <w:rStyle w:val="normaltextrun"/>
                <w:noProof/>
                <w:color w:val="000000" w:themeColor="text1"/>
                <w:sz w:val="18"/>
              </w:rPr>
              <w:t xml:space="preserve">i der Umstrukturierung berücksichtigt;  </w:t>
            </w:r>
            <w:r>
              <w:rPr>
                <w:noProof/>
              </w:rPr>
              <w:t xml:space="preserve"> </w:t>
            </w:r>
            <w:r>
              <w:rPr>
                <w:noProof/>
              </w:rPr>
              <w:br/>
            </w:r>
            <w:r>
              <w:rPr>
                <w:rStyle w:val="normaltextrun"/>
                <w:noProof/>
                <w:color w:val="000000" w:themeColor="text1"/>
                <w:sz w:val="18"/>
              </w:rPr>
              <w:t>— Grundlage für Maßnahmen zur Rationalisierung der Pyramide des Gesundheitswesens und zur Reform des Systems der Finanzierung medizinischer Dienstleistungen im Hinblick auf die Verlagerung bestimmter Gesundheitsdie</w:t>
            </w:r>
            <w:r>
              <w:rPr>
                <w:rStyle w:val="normaltextrun"/>
                <w:noProof/>
                <w:color w:val="000000" w:themeColor="text1"/>
                <w:sz w:val="18"/>
              </w:rPr>
              <w:t>nste von den Krankenhäusern auf die niedrigeren Versorgungsebenen (Primärversorgung, ambulante Versorgung) durch Bestimmungen in den jeweiligen Rechtsvorschriften, die die Tarifierung mit entsprechend überarbeiteten jährlichen Finanzierungsplänen des NFZ (</w:t>
            </w:r>
            <w:r>
              <w:rPr>
                <w:rStyle w:val="normaltextrun"/>
                <w:noProof/>
                <w:color w:val="000000" w:themeColor="text1"/>
                <w:sz w:val="18"/>
              </w:rPr>
              <w:t xml:space="preserve">Nationaler Gesundheitsfonds) regeln; </w:t>
            </w:r>
            <w:r>
              <w:rPr>
                <w:noProof/>
              </w:rPr>
              <w:t xml:space="preserve"> </w:t>
            </w:r>
            <w:r>
              <w:rPr>
                <w:noProof/>
              </w:rPr>
              <w:br/>
            </w:r>
            <w:r>
              <w:rPr>
                <w:rStyle w:val="normaltextrun"/>
                <w:noProof/>
                <w:color w:val="000000" w:themeColor="text1"/>
                <w:sz w:val="18"/>
              </w:rPr>
              <w:t xml:space="preserve">— nachhaltige Umstrukturierung der Krankenhausschulden auf der Grundlage transparenter und evidenzbasierter Kriterien; </w:t>
            </w:r>
            <w:r>
              <w:rPr>
                <w:noProof/>
              </w:rPr>
              <w:t xml:space="preserve"> </w:t>
            </w:r>
            <w:r>
              <w:rPr>
                <w:noProof/>
              </w:rPr>
              <w:br/>
            </w:r>
            <w:r>
              <w:rPr>
                <w:rStyle w:val="normaltextrun"/>
                <w:noProof/>
                <w:color w:val="000000" w:themeColor="text1"/>
                <w:sz w:val="18"/>
              </w:rPr>
              <w:t xml:space="preserve">— </w:t>
            </w:r>
            <w:bookmarkStart w:id="3" w:name="_Hlk167287635"/>
            <w:r>
              <w:rPr>
                <w:rStyle w:val="normaltextrun"/>
                <w:noProof/>
                <w:color w:val="000000" w:themeColor="text1"/>
                <w:sz w:val="18"/>
              </w:rPr>
              <w:t>Stärkung der Aufsichtsfunktion des Nationalen Gesundheitsfonds über Krankenhäuser und Verbesse</w:t>
            </w:r>
            <w:r>
              <w:rPr>
                <w:rStyle w:val="normaltextrun"/>
                <w:noProof/>
                <w:color w:val="000000" w:themeColor="text1"/>
                <w:sz w:val="18"/>
              </w:rPr>
              <w:t xml:space="preserve">rung der Professionalisierung des leitenden Personals durch Einführung einer speziellen Schulung zu Krankenhausumstrukturierungs- und Managementmethoden im Gesundheitswesen. </w:t>
            </w:r>
            <w:bookmarkEnd w:id="3"/>
          </w:p>
        </w:tc>
      </w:tr>
      <w:tr w:rsidR="00EB245A" w14:paraId="6A24184E" w14:textId="77777777" w:rsidTr="006A0208">
        <w:trPr>
          <w:trHeight w:val="313"/>
        </w:trPr>
        <w:tc>
          <w:tcPr>
            <w:tcW w:w="696" w:type="dxa"/>
            <w:shd w:val="clear" w:color="auto" w:fill="C6EFCE"/>
          </w:tcPr>
          <w:p w14:paraId="4BD2DB98" w14:textId="7F06AD1A" w:rsidR="00EB245A" w:rsidRDefault="006021EE">
            <w:pPr>
              <w:pStyle w:val="P68B1DB1-Normal011"/>
              <w:pBdr>
                <w:top w:val="nil"/>
                <w:left w:val="nil"/>
                <w:bottom w:val="nil"/>
                <w:right w:val="nil"/>
                <w:between w:val="nil"/>
              </w:pBdr>
              <w:spacing w:line="240" w:lineRule="auto"/>
              <w:jc w:val="center"/>
              <w:rPr>
                <w:rFonts w:eastAsia="Times New Roman" w:cs="Times New Roman"/>
                <w:b/>
                <w:noProof/>
                <w:color w:val="000000"/>
              </w:rPr>
            </w:pPr>
            <w:r>
              <w:rPr>
                <w:noProof/>
              </w:rPr>
              <w:t>D2G</w:t>
            </w:r>
          </w:p>
        </w:tc>
        <w:tc>
          <w:tcPr>
            <w:tcW w:w="2069" w:type="dxa"/>
            <w:shd w:val="clear" w:color="auto" w:fill="C6EFCE"/>
          </w:tcPr>
          <w:p w14:paraId="76E5744B" w14:textId="77777777" w:rsidR="00EB245A" w:rsidRDefault="006021EE">
            <w:pPr>
              <w:pStyle w:val="P68B1DB1-Normal012"/>
              <w:pBdr>
                <w:top w:val="nil"/>
                <w:left w:val="nil"/>
                <w:bottom w:val="nil"/>
                <w:right w:val="nil"/>
                <w:between w:val="nil"/>
              </w:pBdr>
              <w:spacing w:line="240" w:lineRule="auto"/>
              <w:rPr>
                <w:rFonts w:eastAsia="Times New Roman" w:cs="Times New Roman"/>
                <w:noProof/>
              </w:rPr>
            </w:pPr>
            <w:r>
              <w:rPr>
                <w:noProof/>
              </w:rPr>
              <w:t xml:space="preserve">D1.1 Verbesserung der Wirksamkeit, Zugänglichkeit und Qualität der </w:t>
            </w:r>
            <w:r>
              <w:rPr>
                <w:noProof/>
              </w:rPr>
              <w:t>Gesundheitsdienste</w:t>
            </w:r>
          </w:p>
        </w:tc>
        <w:tc>
          <w:tcPr>
            <w:tcW w:w="1204" w:type="dxa"/>
            <w:shd w:val="clear" w:color="auto" w:fill="C6EFCE"/>
          </w:tcPr>
          <w:p w14:paraId="646575E8" w14:textId="77777777" w:rsidR="00EB245A" w:rsidRDefault="006021EE">
            <w:pPr>
              <w:pStyle w:val="P68B1DB1-Normal012"/>
              <w:pBdr>
                <w:top w:val="nil"/>
                <w:left w:val="nil"/>
                <w:bottom w:val="nil"/>
                <w:right w:val="nil"/>
                <w:between w:val="nil"/>
              </w:pBdr>
              <w:spacing w:line="240" w:lineRule="auto"/>
              <w:rPr>
                <w:rFonts w:eastAsia="Times New Roman" w:cs="Times New Roman"/>
                <w:noProof/>
              </w:rPr>
            </w:pPr>
            <w:r>
              <w:rPr>
                <w:noProof/>
              </w:rPr>
              <w:t>Meilenstein</w:t>
            </w:r>
          </w:p>
        </w:tc>
        <w:tc>
          <w:tcPr>
            <w:tcW w:w="1560" w:type="dxa"/>
            <w:shd w:val="clear" w:color="auto" w:fill="C6EFCE"/>
          </w:tcPr>
          <w:p w14:paraId="7B7D2F5B" w14:textId="2DF21629"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r>
              <w:rPr>
                <w:rStyle w:val="normaltextrun"/>
                <w:rFonts w:ascii="Times New Roman" w:hAnsi="Times New Roman"/>
                <w:noProof/>
                <w:color w:val="000000" w:themeColor="text1"/>
                <w:sz w:val="18"/>
              </w:rPr>
              <w:t>Inkrafttreten des Erlasses des Präsidenten des Nationalen Gesundheitsfonds (NFZ) und der entsprechenden Rechtsakte zur Stärkung der Primärversorgung und der koordinierten Versorgung, gefolgt von Finanzbestimmungen (einschließ</w:t>
            </w:r>
            <w:r>
              <w:rPr>
                <w:rStyle w:val="normaltextrun"/>
                <w:rFonts w:ascii="Times New Roman" w:hAnsi="Times New Roman"/>
                <w:noProof/>
                <w:color w:val="000000" w:themeColor="text1"/>
                <w:sz w:val="18"/>
              </w:rPr>
              <w:t xml:space="preserve">lich Vertragsänderungen), die eine landesweite Umsetzung ermöglichen </w:t>
            </w:r>
          </w:p>
        </w:tc>
        <w:tc>
          <w:tcPr>
            <w:tcW w:w="1842" w:type="dxa"/>
            <w:shd w:val="clear" w:color="auto" w:fill="C6EFCE"/>
          </w:tcPr>
          <w:p w14:paraId="2AA9D7B0" w14:textId="46A845AB" w:rsidR="00EB245A" w:rsidRDefault="006021EE">
            <w:pPr>
              <w:pStyle w:val="P68B1DB1-Normal012"/>
              <w:pBdr>
                <w:top w:val="nil"/>
                <w:left w:val="nil"/>
                <w:bottom w:val="nil"/>
                <w:right w:val="nil"/>
                <w:between w:val="nil"/>
              </w:pBdr>
              <w:spacing w:line="240" w:lineRule="auto"/>
              <w:rPr>
                <w:rFonts w:eastAsia="Times New Roman" w:cs="Times New Roman"/>
                <w:noProof/>
              </w:rPr>
            </w:pPr>
            <w:r>
              <w:rPr>
                <w:noProof/>
              </w:rPr>
              <w:t>Bestimmungen der Verordnung über das Inkrafttreten</w:t>
            </w:r>
          </w:p>
        </w:tc>
        <w:tc>
          <w:tcPr>
            <w:tcW w:w="1134" w:type="dxa"/>
            <w:shd w:val="clear" w:color="auto" w:fill="C6EFCE"/>
          </w:tcPr>
          <w:p w14:paraId="55B33694" w14:textId="77777777" w:rsidR="00EB245A" w:rsidRDefault="00EB245A">
            <w:pPr>
              <w:pStyle w:val="Normal0"/>
              <w:pBdr>
                <w:top w:val="nil"/>
                <w:left w:val="nil"/>
                <w:bottom w:val="nil"/>
                <w:right w:val="nil"/>
                <w:between w:val="nil"/>
              </w:pBdr>
              <w:spacing w:line="240" w:lineRule="auto"/>
              <w:rPr>
                <w:rFonts w:ascii="Times New Roman" w:eastAsia="Times New Roman" w:hAnsi="Times New Roman" w:cs="Times New Roman"/>
                <w:noProof/>
                <w:color w:val="000000"/>
                <w:sz w:val="18"/>
              </w:rPr>
            </w:pPr>
          </w:p>
        </w:tc>
        <w:tc>
          <w:tcPr>
            <w:tcW w:w="1418" w:type="dxa"/>
            <w:shd w:val="clear" w:color="auto" w:fill="C6EFCE"/>
          </w:tcPr>
          <w:p w14:paraId="4455F193" w14:textId="77777777" w:rsidR="00EB245A" w:rsidRDefault="00EB245A">
            <w:pPr>
              <w:pStyle w:val="Normal0"/>
              <w:pBdr>
                <w:top w:val="nil"/>
                <w:left w:val="nil"/>
                <w:bottom w:val="nil"/>
                <w:right w:val="nil"/>
                <w:between w:val="nil"/>
              </w:pBdr>
              <w:spacing w:line="240" w:lineRule="auto"/>
              <w:jc w:val="right"/>
              <w:rPr>
                <w:rFonts w:ascii="Times New Roman" w:eastAsia="Times New Roman" w:hAnsi="Times New Roman" w:cs="Times New Roman"/>
                <w:noProof/>
                <w:color w:val="000000"/>
                <w:sz w:val="18"/>
              </w:rPr>
            </w:pPr>
          </w:p>
        </w:tc>
        <w:tc>
          <w:tcPr>
            <w:tcW w:w="850" w:type="dxa"/>
            <w:shd w:val="clear" w:color="auto" w:fill="C6EFCE"/>
          </w:tcPr>
          <w:p w14:paraId="1C2776EB" w14:textId="77777777" w:rsidR="00EB245A" w:rsidRDefault="00EB245A">
            <w:pPr>
              <w:pStyle w:val="Normal0"/>
              <w:pBdr>
                <w:top w:val="nil"/>
                <w:left w:val="nil"/>
                <w:bottom w:val="nil"/>
                <w:right w:val="nil"/>
                <w:between w:val="nil"/>
              </w:pBdr>
              <w:spacing w:line="240" w:lineRule="auto"/>
              <w:jc w:val="right"/>
              <w:rPr>
                <w:rFonts w:ascii="Times New Roman" w:eastAsia="Times New Roman" w:hAnsi="Times New Roman" w:cs="Times New Roman"/>
                <w:noProof/>
                <w:color w:val="000000"/>
                <w:sz w:val="18"/>
              </w:rPr>
            </w:pPr>
          </w:p>
        </w:tc>
        <w:tc>
          <w:tcPr>
            <w:tcW w:w="851" w:type="dxa"/>
            <w:shd w:val="clear" w:color="auto" w:fill="C6EFCE"/>
          </w:tcPr>
          <w:p w14:paraId="6E7A7A39" w14:textId="73378D83" w:rsidR="00EB245A" w:rsidRDefault="006021EE">
            <w:pPr>
              <w:pStyle w:val="P68B1DB1-Normal012"/>
              <w:pBdr>
                <w:top w:val="nil"/>
                <w:left w:val="nil"/>
                <w:bottom w:val="nil"/>
                <w:right w:val="nil"/>
                <w:between w:val="nil"/>
              </w:pBdr>
              <w:spacing w:line="240" w:lineRule="auto"/>
              <w:jc w:val="center"/>
              <w:rPr>
                <w:rFonts w:eastAsia="Times New Roman" w:cs="Times New Roman"/>
                <w:noProof/>
              </w:rPr>
            </w:pPr>
            <w:r>
              <w:rPr>
                <w:noProof/>
              </w:rPr>
              <w:t>Q3</w:t>
            </w:r>
          </w:p>
        </w:tc>
        <w:tc>
          <w:tcPr>
            <w:tcW w:w="992" w:type="dxa"/>
            <w:shd w:val="clear" w:color="auto" w:fill="C6EFCE"/>
          </w:tcPr>
          <w:p w14:paraId="4F2C266B" w14:textId="77777777" w:rsidR="00EB245A" w:rsidRDefault="006021EE">
            <w:pPr>
              <w:pStyle w:val="P68B1DB1-Normal012"/>
              <w:pBdr>
                <w:top w:val="nil"/>
                <w:left w:val="nil"/>
                <w:bottom w:val="nil"/>
                <w:right w:val="nil"/>
                <w:between w:val="nil"/>
              </w:pBdr>
              <w:spacing w:line="240" w:lineRule="auto"/>
              <w:jc w:val="center"/>
              <w:rPr>
                <w:rFonts w:eastAsia="Times New Roman" w:cs="Times New Roman"/>
                <w:noProof/>
              </w:rPr>
            </w:pPr>
            <w:r>
              <w:rPr>
                <w:noProof/>
              </w:rPr>
              <w:t>2022</w:t>
            </w:r>
          </w:p>
        </w:tc>
        <w:tc>
          <w:tcPr>
            <w:tcW w:w="2835" w:type="dxa"/>
            <w:shd w:val="clear" w:color="auto" w:fill="C6EFCE"/>
          </w:tcPr>
          <w:p w14:paraId="3CDFAC00" w14:textId="272FD9FC" w:rsidR="00EB245A" w:rsidRDefault="006021EE">
            <w:pPr>
              <w:pStyle w:val="paragraph"/>
              <w:spacing w:before="0" w:beforeAutospacing="0" w:after="0" w:afterAutospacing="0"/>
              <w:textAlignment w:val="baseline"/>
              <w:rPr>
                <w:noProof/>
                <w:sz w:val="18"/>
              </w:rPr>
            </w:pPr>
            <w:r>
              <w:rPr>
                <w:rStyle w:val="normaltextrun"/>
                <w:noProof/>
                <w:color w:val="000000" w:themeColor="text1"/>
                <w:sz w:val="18"/>
              </w:rPr>
              <w:t xml:space="preserve">Inkrafttreten des Erlasses des Präsidenten des Nationalen Gesundheitsfonds (NFZ) und der entsprechenden Rechtsakte, die die Primärversorgung und die koordinierte Versorgung stärken, eine landesweite Umsetzung ermöglichen und Folgendes abdecken: </w:t>
            </w:r>
          </w:p>
          <w:p w14:paraId="6BD660ED" w14:textId="77777777" w:rsidR="00EB245A" w:rsidRDefault="006021EE">
            <w:pPr>
              <w:pStyle w:val="paragraph"/>
              <w:spacing w:before="0" w:beforeAutospacing="0" w:after="0" w:afterAutospacing="0"/>
              <w:textAlignment w:val="baseline"/>
              <w:rPr>
                <w:noProof/>
                <w:sz w:val="18"/>
              </w:rPr>
            </w:pPr>
            <w:r>
              <w:rPr>
                <w:rStyle w:val="normaltextrun"/>
                <w:noProof/>
                <w:color w:val="000000" w:themeColor="text1"/>
                <w:sz w:val="18"/>
              </w:rPr>
              <w:t xml:space="preserve">— Gesundheitsvorsorge (Aufgabegebühr); </w:t>
            </w:r>
          </w:p>
          <w:p w14:paraId="1A5157A4" w14:textId="0A1ABFEE" w:rsidR="00EB245A" w:rsidRDefault="006021EE">
            <w:pPr>
              <w:pStyle w:val="paragraph"/>
              <w:spacing w:before="0" w:beforeAutospacing="0" w:after="0" w:afterAutospacing="0"/>
              <w:textAlignment w:val="baseline"/>
              <w:rPr>
                <w:noProof/>
                <w:sz w:val="18"/>
              </w:rPr>
            </w:pPr>
            <w:r>
              <w:rPr>
                <w:rStyle w:val="normaltextrun"/>
                <w:noProof/>
                <w:color w:val="000000" w:themeColor="text1"/>
                <w:sz w:val="18"/>
              </w:rPr>
              <w:t xml:space="preserve">erwartete gesundheitliche Ergebnisse und Qualität der Versorgung (Einführung von Anreizen); und </w:t>
            </w:r>
          </w:p>
          <w:p w14:paraId="3D9BE5A7" w14:textId="500BA48D" w:rsidR="00EB245A" w:rsidRDefault="006021EE">
            <w:pPr>
              <w:pStyle w:val="paragraph"/>
              <w:spacing w:before="0" w:beforeAutospacing="0" w:after="0" w:afterAutospacing="0"/>
              <w:textAlignment w:val="baseline"/>
              <w:rPr>
                <w:noProof/>
                <w:sz w:val="18"/>
              </w:rPr>
            </w:pPr>
            <w:r>
              <w:rPr>
                <w:rStyle w:val="normaltextrun"/>
                <w:noProof/>
                <w:color w:val="000000" w:themeColor="text1"/>
                <w:sz w:val="18"/>
              </w:rPr>
              <w:t xml:space="preserve">— das Programm für das Management chronischer Krankheiten und den Pflegekoordinator. </w:t>
            </w:r>
          </w:p>
          <w:p w14:paraId="2A76210C" w14:textId="77777777" w:rsidR="00EB245A" w:rsidRDefault="00EB245A">
            <w:pPr>
              <w:pStyle w:val="paragraph"/>
              <w:spacing w:before="0" w:beforeAutospacing="0" w:after="0" w:afterAutospacing="0"/>
              <w:textAlignment w:val="baseline"/>
              <w:rPr>
                <w:rStyle w:val="normaltextrun"/>
                <w:noProof/>
                <w:color w:val="000000" w:themeColor="text1"/>
                <w:sz w:val="18"/>
              </w:rPr>
            </w:pPr>
          </w:p>
          <w:p w14:paraId="76BC9B45" w14:textId="74963C34" w:rsidR="00EB245A" w:rsidRDefault="006021EE">
            <w:pPr>
              <w:pStyle w:val="paragraph"/>
              <w:spacing w:before="0" w:beforeAutospacing="0" w:after="0" w:afterAutospacing="0"/>
              <w:textAlignment w:val="baseline"/>
              <w:rPr>
                <w:noProof/>
                <w:color w:val="000000"/>
                <w:sz w:val="18"/>
              </w:rPr>
            </w:pPr>
            <w:r>
              <w:rPr>
                <w:rStyle w:val="normaltextrun"/>
                <w:noProof/>
                <w:color w:val="000000" w:themeColor="text1"/>
                <w:sz w:val="18"/>
              </w:rPr>
              <w:t>Mit der Verordnung wird eine fin</w:t>
            </w:r>
            <w:r>
              <w:rPr>
                <w:rStyle w:val="normaltextrun"/>
                <w:noProof/>
                <w:color w:val="000000" w:themeColor="text1"/>
                <w:sz w:val="18"/>
              </w:rPr>
              <w:t>anzielle Regelung eingeführt, die zusätzliche finanzielle Mittel für die Verträge über die medizinische Grundversorgung vorsieht, mit Ausnahme von Nacht- und Ferienbehandlungen.</w:t>
            </w:r>
            <w:r>
              <w:rPr>
                <w:rStyle w:val="normaltextrun"/>
                <w:noProof/>
                <w:sz w:val="18"/>
              </w:rPr>
              <w:t xml:space="preserve"> </w:t>
            </w:r>
          </w:p>
        </w:tc>
      </w:tr>
      <w:tr w:rsidR="00EB245A" w14:paraId="40055B3A" w14:textId="77777777" w:rsidTr="006A0208">
        <w:trPr>
          <w:trHeight w:val="313"/>
        </w:trPr>
        <w:tc>
          <w:tcPr>
            <w:tcW w:w="696" w:type="dxa"/>
            <w:shd w:val="clear" w:color="auto" w:fill="C6EFCE"/>
          </w:tcPr>
          <w:p w14:paraId="484EB49F" w14:textId="061D7BAA"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D3G</w:t>
            </w:r>
          </w:p>
        </w:tc>
        <w:tc>
          <w:tcPr>
            <w:tcW w:w="2069" w:type="dxa"/>
            <w:shd w:val="clear" w:color="auto" w:fill="C6EFCE"/>
          </w:tcPr>
          <w:p w14:paraId="5EFBF919"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D1.1 Verbesserung der Wirksamkeit, Zugänglichkeit und Qualität der </w:t>
            </w:r>
            <w:r>
              <w:rPr>
                <w:noProof/>
              </w:rPr>
              <w:t>Gesundheitsdienste</w:t>
            </w:r>
          </w:p>
        </w:tc>
        <w:tc>
          <w:tcPr>
            <w:tcW w:w="1204" w:type="dxa"/>
            <w:shd w:val="clear" w:color="auto" w:fill="C6EFCE"/>
          </w:tcPr>
          <w:p w14:paraId="5E4235A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560" w:type="dxa"/>
            <w:shd w:val="clear" w:color="auto" w:fill="C6EFCE"/>
          </w:tcPr>
          <w:p w14:paraId="135FBE31" w14:textId="68A1FD1B"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r>
              <w:rPr>
                <w:rStyle w:val="normaltextrun"/>
                <w:rFonts w:ascii="Times New Roman" w:hAnsi="Times New Roman"/>
                <w:noProof/>
                <w:color w:val="000000"/>
                <w:sz w:val="18"/>
              </w:rPr>
              <w:t xml:space="preserve">Inkrafttreten des Gesetzes über die Qualität des Gesundheitswesens und der Patientensicherheit zusammen mit den erforderlichen Durchführungsverordnungen </w:t>
            </w:r>
          </w:p>
        </w:tc>
        <w:tc>
          <w:tcPr>
            <w:tcW w:w="1842" w:type="dxa"/>
            <w:shd w:val="clear" w:color="auto" w:fill="C6EFCE"/>
          </w:tcPr>
          <w:p w14:paraId="7881A0ED" w14:textId="5F13CC6B"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Bestimmung des Rechtsakts über sein Inkrafttreten </w:t>
            </w:r>
          </w:p>
        </w:tc>
        <w:tc>
          <w:tcPr>
            <w:tcW w:w="1134" w:type="dxa"/>
            <w:shd w:val="clear" w:color="auto" w:fill="C6EFCE"/>
          </w:tcPr>
          <w:p w14:paraId="5B10199E"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418" w:type="dxa"/>
            <w:shd w:val="clear" w:color="auto" w:fill="C6EFCE"/>
          </w:tcPr>
          <w:p w14:paraId="3AF5D26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850" w:type="dxa"/>
            <w:shd w:val="clear" w:color="auto" w:fill="C6EFCE"/>
          </w:tcPr>
          <w:p w14:paraId="1592C48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851" w:type="dxa"/>
            <w:shd w:val="clear" w:color="auto" w:fill="C6EFCE"/>
          </w:tcPr>
          <w:p w14:paraId="1B37B511" w14:textId="4C2C635B"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Q3</w:t>
            </w:r>
          </w:p>
        </w:tc>
        <w:tc>
          <w:tcPr>
            <w:tcW w:w="992" w:type="dxa"/>
            <w:shd w:val="clear" w:color="auto" w:fill="C6EFCE"/>
          </w:tcPr>
          <w:p w14:paraId="116D4EA9" w14:textId="507F4CD8"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0000" w:themeColor="text1"/>
              </w:rPr>
            </w:pPr>
            <w:r>
              <w:rPr>
                <w:noProof/>
              </w:rPr>
              <w:t>2022</w:t>
            </w:r>
          </w:p>
        </w:tc>
        <w:tc>
          <w:tcPr>
            <w:tcW w:w="2835" w:type="dxa"/>
            <w:shd w:val="clear" w:color="auto" w:fill="C6EFCE"/>
          </w:tcPr>
          <w:p w14:paraId="04E1832E" w14:textId="1C3060CC" w:rsidR="00EB245A" w:rsidRDefault="006021EE">
            <w:pPr>
              <w:pStyle w:val="paragraph"/>
              <w:spacing w:before="0" w:beforeAutospacing="0" w:after="0" w:afterAutospacing="0"/>
              <w:textAlignment w:val="baseline"/>
              <w:rPr>
                <w:noProof/>
                <w:sz w:val="18"/>
              </w:rPr>
            </w:pPr>
            <w:r>
              <w:rPr>
                <w:rStyle w:val="normaltextrun"/>
                <w:noProof/>
                <w:color w:val="000000" w:themeColor="text1"/>
                <w:sz w:val="18"/>
              </w:rPr>
              <w:t xml:space="preserve">Inkrafttreten des Gesetzes über die Qualität der Gesundheitsversorgung und die Patientensicherheit, das Bestimmungen über folgende Elemente enthält: </w:t>
            </w:r>
            <w:r>
              <w:rPr>
                <w:noProof/>
              </w:rPr>
              <w:t xml:space="preserve">  </w:t>
            </w:r>
            <w:r>
              <w:rPr>
                <w:noProof/>
              </w:rPr>
              <w:br/>
            </w:r>
            <w:r>
              <w:rPr>
                <w:rStyle w:val="normaltextrun"/>
                <w:noProof/>
                <w:color w:val="000000" w:themeColor="text1"/>
                <w:sz w:val="18"/>
              </w:rPr>
              <w:t>1) Bewilligung: ein System zur Bewertung von Einrichtungen, die medizinische Tätigkeiten wie Krankenhaus</w:t>
            </w:r>
            <w:r>
              <w:rPr>
                <w:rStyle w:val="normaltextrun"/>
                <w:noProof/>
                <w:color w:val="000000" w:themeColor="text1"/>
                <w:sz w:val="18"/>
              </w:rPr>
              <w:t xml:space="preserve">leistungen ausüben, im Hinblick darauf, ob sie die Anforderungen des Gesundheitsministeriums und des Nationalen Gesundheitsfonds erfüllen (sogenannte „Korbanforderungen“); </w:t>
            </w:r>
            <w:r>
              <w:rPr>
                <w:noProof/>
              </w:rPr>
              <w:t xml:space="preserve"> </w:t>
            </w:r>
            <w:r>
              <w:rPr>
                <w:noProof/>
              </w:rPr>
              <w:br/>
            </w:r>
            <w:r>
              <w:rPr>
                <w:rStyle w:val="normaltextrun"/>
                <w:noProof/>
                <w:color w:val="000000" w:themeColor="text1"/>
                <w:sz w:val="18"/>
              </w:rPr>
              <w:t>2) Akkreditierung: einen Rahmen für die externe Bewertung der Qualität der Gesundh</w:t>
            </w:r>
            <w:r>
              <w:rPr>
                <w:rStyle w:val="normaltextrun"/>
                <w:noProof/>
                <w:color w:val="000000" w:themeColor="text1"/>
                <w:sz w:val="18"/>
              </w:rPr>
              <w:t>eitsversorgung und der Patientensicherheit in Krankenhäusern;</w:t>
            </w:r>
            <w:r>
              <w:rPr>
                <w:noProof/>
              </w:rPr>
              <w:t xml:space="preserve">  </w:t>
            </w:r>
            <w:r>
              <w:rPr>
                <w:noProof/>
              </w:rPr>
              <w:br/>
            </w:r>
            <w:r>
              <w:rPr>
                <w:rStyle w:val="normaltextrun"/>
                <w:noProof/>
                <w:color w:val="000000" w:themeColor="text1"/>
                <w:sz w:val="18"/>
              </w:rPr>
              <w:t>Überwachung unerwünschter Ereignisse: einen Rahmen für Tätigkeiten medizinischer Einrichtungen, insbesondere Durchführung einer systematischen Analyse unerwünschter Ereignisse, um das Auftrete</w:t>
            </w:r>
            <w:r>
              <w:rPr>
                <w:rStyle w:val="normaltextrun"/>
                <w:noProof/>
                <w:color w:val="000000" w:themeColor="text1"/>
                <w:sz w:val="18"/>
              </w:rPr>
              <w:t xml:space="preserve">n ähnlicher unerwünschter Ereignisse zu verhindern; </w:t>
            </w:r>
            <w:r>
              <w:rPr>
                <w:noProof/>
              </w:rPr>
              <w:t xml:space="preserve"> </w:t>
            </w:r>
            <w:r>
              <w:rPr>
                <w:noProof/>
              </w:rPr>
              <w:br/>
            </w:r>
            <w:r>
              <w:rPr>
                <w:rStyle w:val="normaltextrun"/>
                <w:noProof/>
                <w:color w:val="000000" w:themeColor="text1"/>
                <w:sz w:val="18"/>
              </w:rPr>
              <w:t xml:space="preserve">4) ärztliche Register: Festlegung der Regeln für die Einrichtung und Finanzierung von medizinischen Registern und Stärkung ihrer Rolle bei der Gewährleistung der Qualität der Gesundheitsversorgung; </w:t>
            </w:r>
            <w:r>
              <w:rPr>
                <w:noProof/>
              </w:rPr>
              <w:t xml:space="preserve"> </w:t>
            </w:r>
            <w:r>
              <w:rPr>
                <w:noProof/>
              </w:rPr>
              <w:br/>
            </w:r>
            <w:r>
              <w:rPr>
                <w:rStyle w:val="normaltextrun"/>
                <w:noProof/>
                <w:color w:val="000000" w:themeColor="text1"/>
                <w:sz w:val="18"/>
              </w:rPr>
              <w:t>5)</w:t>
            </w:r>
            <w:r>
              <w:rPr>
                <w:rStyle w:val="normaltextrun"/>
                <w:noProof/>
                <w:color w:val="000000" w:themeColor="text1"/>
                <w:sz w:val="18"/>
              </w:rPr>
              <w:t xml:space="preserve"> Erfahrung der Patienten: Schaffung eines Rahmens für die Messung der Erfahrungen der Patienten im Zusammenhang mit den Vertragsbestimmungen des Nationalen Gesundheitsfonds (NFZ); und </w:t>
            </w:r>
          </w:p>
          <w:p w14:paraId="6817658B" w14:textId="580843EC"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r>
              <w:rPr>
                <w:rStyle w:val="normaltextrun"/>
                <w:rFonts w:ascii="Times New Roman" w:hAnsi="Times New Roman"/>
                <w:noProof/>
                <w:color w:val="000000"/>
                <w:sz w:val="18"/>
              </w:rPr>
              <w:t xml:space="preserve">6) Wiederaufnahme des Krankenhauses: ein Rahmen für die Verfolgung und </w:t>
            </w:r>
            <w:r>
              <w:rPr>
                <w:rStyle w:val="normaltextrun"/>
                <w:rFonts w:ascii="Times New Roman" w:hAnsi="Times New Roman"/>
                <w:noProof/>
                <w:color w:val="000000"/>
                <w:sz w:val="18"/>
              </w:rPr>
              <w:t xml:space="preserve">Analyse der 30-tägigen Wiederzulassungsraten im Zusammenhang mit den Vertragsbestimmungen der NFZ (durch Durchführungsverordnung). </w:t>
            </w:r>
          </w:p>
        </w:tc>
      </w:tr>
      <w:tr w:rsidR="00EB245A" w14:paraId="4CD99052" w14:textId="77777777" w:rsidTr="006A02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6"/>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D619A73" w14:textId="341DD50B" w:rsidR="00EB245A" w:rsidRDefault="006021EE">
            <w:pPr>
              <w:pStyle w:val="P68B1DB1-Normal011"/>
              <w:pBdr>
                <w:top w:val="nil"/>
                <w:left w:val="nil"/>
                <w:bottom w:val="nil"/>
                <w:right w:val="nil"/>
                <w:between w:val="nil"/>
              </w:pBdr>
              <w:spacing w:line="240" w:lineRule="auto"/>
              <w:jc w:val="center"/>
              <w:rPr>
                <w:rFonts w:eastAsia="Times New Roman" w:cs="Times New Roman"/>
                <w:b/>
                <w:noProof/>
                <w:color w:val="000000"/>
              </w:rPr>
            </w:pPr>
            <w:r>
              <w:rPr>
                <w:noProof/>
              </w:rPr>
              <w:t>D4G</w:t>
            </w:r>
          </w:p>
        </w:tc>
        <w:tc>
          <w:tcPr>
            <w:tcW w:w="20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78C0D27" w14:textId="77777777" w:rsidR="00EB245A" w:rsidRDefault="006021EE">
            <w:pPr>
              <w:pStyle w:val="P68B1DB1-Normal012"/>
              <w:pBdr>
                <w:top w:val="nil"/>
                <w:left w:val="nil"/>
                <w:bottom w:val="nil"/>
                <w:right w:val="nil"/>
                <w:between w:val="nil"/>
              </w:pBdr>
              <w:spacing w:line="240" w:lineRule="auto"/>
              <w:rPr>
                <w:rFonts w:eastAsia="Times New Roman" w:cs="Times New Roman"/>
                <w:noProof/>
              </w:rPr>
            </w:pPr>
            <w:r>
              <w:rPr>
                <w:noProof/>
              </w:rPr>
              <w:t>D1.1 Verbesserung der Wirksamkeit, Zugänglichkeit und Qualität der Gesundheitsdienste</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D9AB36D" w14:textId="77777777" w:rsidR="00EB245A" w:rsidRDefault="006021EE">
            <w:pPr>
              <w:pStyle w:val="P68B1DB1-Normal012"/>
              <w:pBdr>
                <w:top w:val="nil"/>
                <w:left w:val="nil"/>
                <w:bottom w:val="nil"/>
                <w:right w:val="nil"/>
                <w:between w:val="nil"/>
              </w:pBdr>
              <w:spacing w:line="240" w:lineRule="auto"/>
              <w:rPr>
                <w:rFonts w:eastAsia="Times New Roman" w:cs="Times New Roman"/>
                <w:noProof/>
              </w:rPr>
            </w:pPr>
            <w:r>
              <w:rPr>
                <w:noProof/>
              </w:rPr>
              <w:t xml:space="preserve">Meilenstein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30BB56" w14:textId="685F7BF7" w:rsidR="00EB245A" w:rsidRDefault="006021EE">
            <w:pPr>
              <w:pStyle w:val="Normal0"/>
              <w:pBdr>
                <w:top w:val="nil"/>
                <w:left w:val="nil"/>
                <w:bottom w:val="nil"/>
                <w:right w:val="nil"/>
                <w:between w:val="nil"/>
              </w:pBdr>
              <w:spacing w:line="240" w:lineRule="auto"/>
              <w:rPr>
                <w:rFonts w:ascii="Times New Roman" w:eastAsia="Times New Roman" w:hAnsi="Times New Roman" w:cs="Times New Roman"/>
                <w:noProof/>
                <w:color w:val="000000"/>
                <w:sz w:val="18"/>
              </w:rPr>
            </w:pPr>
            <w:r>
              <w:rPr>
                <w:rStyle w:val="normaltextrun"/>
                <w:rFonts w:ascii="Times New Roman" w:hAnsi="Times New Roman"/>
                <w:noProof/>
                <w:color w:val="000000" w:themeColor="text1"/>
                <w:sz w:val="18"/>
              </w:rPr>
              <w:t xml:space="preserve">Inkrafttreten des Gesetzes über das nationale Onkologische Netz und der einschlägigen Rechtsakte zur Festlegung der Regeln für den Betrieb des Netzes durch Einführung einer neuen Struktur und eines neuen Modells für das Krebsversorgungsmanagement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2FEF40" w14:textId="77777777" w:rsidR="00EB245A" w:rsidRDefault="006021EE">
            <w:pPr>
              <w:pStyle w:val="P68B1DB1-Normal012"/>
              <w:pBdr>
                <w:top w:val="nil"/>
                <w:left w:val="nil"/>
                <w:bottom w:val="nil"/>
                <w:right w:val="nil"/>
                <w:between w:val="nil"/>
              </w:pBdr>
              <w:spacing w:line="240" w:lineRule="auto"/>
              <w:rPr>
                <w:rFonts w:eastAsia="Times New Roman" w:cs="Times New Roman"/>
                <w:noProof/>
              </w:rPr>
            </w:pPr>
            <w:r>
              <w:rPr>
                <w:noProof/>
              </w:rPr>
              <w:t>Bestim</w:t>
            </w:r>
            <w:r>
              <w:rPr>
                <w:noProof/>
              </w:rPr>
              <w:t xml:space="preserve">mung des Rechtsakts über das Inkrafttreten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D62D461" w14:textId="77777777" w:rsidR="00EB245A" w:rsidRDefault="00EB245A">
            <w:pPr>
              <w:pStyle w:val="Normal0"/>
              <w:pBdr>
                <w:top w:val="nil"/>
                <w:left w:val="nil"/>
                <w:bottom w:val="nil"/>
                <w:right w:val="nil"/>
                <w:between w:val="nil"/>
              </w:pBdr>
              <w:spacing w:line="240" w:lineRule="auto"/>
              <w:rPr>
                <w:rFonts w:ascii="Times New Roman" w:eastAsia="Times New Roman" w:hAnsi="Times New Roman" w:cs="Times New Roman"/>
                <w:noProof/>
                <w:color w:val="000000"/>
                <w:sz w:val="1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78B034E" w14:textId="77777777" w:rsidR="00EB245A" w:rsidRDefault="00EB245A">
            <w:pPr>
              <w:pStyle w:val="Normal0"/>
              <w:pBdr>
                <w:top w:val="nil"/>
                <w:left w:val="nil"/>
                <w:bottom w:val="nil"/>
                <w:right w:val="nil"/>
                <w:between w:val="nil"/>
              </w:pBdr>
              <w:spacing w:line="240" w:lineRule="auto"/>
              <w:rPr>
                <w:rFonts w:ascii="Times New Roman" w:eastAsia="Times New Roman" w:hAnsi="Times New Roman" w:cs="Times New Roman"/>
                <w:noProof/>
                <w:color w:val="000000"/>
                <w:sz w:val="1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2506DD" w14:textId="77777777" w:rsidR="00EB245A" w:rsidRDefault="00EB245A">
            <w:pPr>
              <w:pStyle w:val="Normal0"/>
              <w:pBdr>
                <w:top w:val="nil"/>
                <w:left w:val="nil"/>
                <w:bottom w:val="nil"/>
                <w:right w:val="nil"/>
                <w:between w:val="nil"/>
              </w:pBdr>
              <w:spacing w:line="240" w:lineRule="auto"/>
              <w:rPr>
                <w:rFonts w:ascii="Times New Roman" w:eastAsia="Times New Roman" w:hAnsi="Times New Roman" w:cs="Times New Roman"/>
                <w:noProof/>
                <w:color w:val="000000"/>
                <w:sz w:val="1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30B7E7" w14:textId="5DEC6E20" w:rsidR="00EB245A" w:rsidRDefault="006021EE">
            <w:pPr>
              <w:pStyle w:val="P68B1DB1-Normal012"/>
              <w:pBdr>
                <w:top w:val="nil"/>
                <w:left w:val="nil"/>
                <w:bottom w:val="nil"/>
                <w:right w:val="nil"/>
                <w:between w:val="nil"/>
              </w:pBdr>
              <w:spacing w:line="240" w:lineRule="auto"/>
              <w:jc w:val="center"/>
              <w:rPr>
                <w:rFonts w:eastAsia="Times New Roman" w:cs="Times New Roman"/>
                <w:noProof/>
              </w:rPr>
            </w:pPr>
            <w:r>
              <w:rPr>
                <w:noProof/>
              </w:rPr>
              <w:t>Q3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1817D66" w14:textId="77777777" w:rsidR="00EB245A" w:rsidRDefault="006021EE">
            <w:pPr>
              <w:pStyle w:val="P68B1DB1-Normal012"/>
              <w:pBdr>
                <w:top w:val="nil"/>
                <w:left w:val="nil"/>
                <w:bottom w:val="nil"/>
                <w:right w:val="nil"/>
                <w:between w:val="nil"/>
              </w:pBdr>
              <w:spacing w:line="240" w:lineRule="auto"/>
              <w:jc w:val="center"/>
              <w:rPr>
                <w:rFonts w:eastAsia="Times New Roman" w:cs="Times New Roman"/>
                <w:noProof/>
              </w:rPr>
            </w:pPr>
            <w:r>
              <w:rPr>
                <w:noProof/>
              </w:rPr>
              <w:t>2022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769E7F" w14:textId="2512C9DA"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r>
              <w:rPr>
                <w:rStyle w:val="normaltextrun"/>
                <w:rFonts w:ascii="Times New Roman" w:hAnsi="Times New Roman"/>
                <w:noProof/>
                <w:color w:val="000000" w:themeColor="text1"/>
                <w:sz w:val="18"/>
              </w:rPr>
              <w:t xml:space="preserve">Inkrafttreten des Gesetzes über das nationale Onkologische Netz und der einschlägigen Rechtsakte, mit denen sichergestellt wird, dass alle Patienten unabhängig von ihrem Wohnort eine onkologische </w:t>
            </w:r>
            <w:r>
              <w:rPr>
                <w:rStyle w:val="normaltextrun"/>
                <w:rFonts w:ascii="Times New Roman" w:hAnsi="Times New Roman"/>
                <w:noProof/>
                <w:color w:val="000000" w:themeColor="text1"/>
                <w:sz w:val="18"/>
              </w:rPr>
              <w:t xml:space="preserve">Versorgung auf der Grundlage derselben diagnostischen und therapeutischen Standards erhalten.  </w:t>
            </w:r>
            <w:r>
              <w:rPr>
                <w:noProof/>
              </w:rPr>
              <w:t xml:space="preserve">  </w:t>
            </w:r>
            <w:r>
              <w:rPr>
                <w:noProof/>
              </w:rPr>
              <w:br/>
            </w:r>
            <w:r>
              <w:rPr>
                <w:rStyle w:val="normaltextrun"/>
                <w:rFonts w:ascii="Times New Roman" w:hAnsi="Times New Roman"/>
                <w:noProof/>
                <w:color w:val="000000" w:themeColor="text1"/>
                <w:sz w:val="18"/>
              </w:rPr>
              <w:t xml:space="preserve">Im Mittelpunkt dieser Rechtsakte stehen:   </w:t>
            </w:r>
            <w:r>
              <w:rPr>
                <w:noProof/>
              </w:rPr>
              <w:t xml:space="preserve"> </w:t>
            </w:r>
            <w:r>
              <w:rPr>
                <w:noProof/>
              </w:rPr>
              <w:br/>
            </w:r>
            <w:r>
              <w:rPr>
                <w:rStyle w:val="normaltextrun"/>
                <w:rFonts w:ascii="Times New Roman" w:hAnsi="Times New Roman"/>
                <w:noProof/>
                <w:color w:val="000000" w:themeColor="text1"/>
                <w:sz w:val="18"/>
              </w:rPr>
              <w:t>— Verbesserung der Organisation des onkologischen Versorgungssystems, indem Patienten Zugang zu den höchsten diag</w:t>
            </w:r>
            <w:r>
              <w:rPr>
                <w:rStyle w:val="normaltextrun"/>
                <w:rFonts w:ascii="Times New Roman" w:hAnsi="Times New Roman"/>
                <w:noProof/>
                <w:color w:val="000000" w:themeColor="text1"/>
                <w:sz w:val="18"/>
              </w:rPr>
              <w:t xml:space="preserve">nostischen und therapeutischen Verfahren und zu umfassender Versorgung während des gesamten „Patientenwegs“ in den Bereichen Primärversorgung, spezialisierte ambulante Gesundheitsversorgung (AOS), Krankenhausbehandlung und Rehabilitation erhalten;  </w:t>
            </w:r>
            <w:r>
              <w:rPr>
                <w:noProof/>
              </w:rPr>
              <w:t xml:space="preserve"> </w:t>
            </w:r>
            <w:r>
              <w:rPr>
                <w:noProof/>
              </w:rPr>
              <w:br/>
            </w:r>
            <w:r>
              <w:rPr>
                <w:rStyle w:val="normaltextrun"/>
                <w:rFonts w:ascii="Times New Roman" w:hAnsi="Times New Roman"/>
                <w:noProof/>
                <w:color w:val="000000" w:themeColor="text1"/>
                <w:sz w:val="18"/>
              </w:rPr>
              <w:t>— Sch</w:t>
            </w:r>
            <w:r>
              <w:rPr>
                <w:rStyle w:val="normaltextrun"/>
                <w:rFonts w:ascii="Times New Roman" w:hAnsi="Times New Roman"/>
                <w:noProof/>
                <w:color w:val="000000" w:themeColor="text1"/>
                <w:sz w:val="18"/>
              </w:rPr>
              <w:t xml:space="preserve">affung einer neuen Organisationsstruktur und eines neuen Modells für das Krebsversorgungsmanagement, einschließlich der Überwachungszentren; </w:t>
            </w:r>
          </w:p>
          <w:p w14:paraId="7ED0614C" w14:textId="3F67D0E1" w:rsidR="00EB245A" w:rsidRDefault="006021EE">
            <w:pPr>
              <w:pStyle w:val="Normal0"/>
              <w:pBdr>
                <w:top w:val="nil"/>
                <w:left w:val="nil"/>
                <w:bottom w:val="nil"/>
                <w:right w:val="nil"/>
                <w:between w:val="nil"/>
              </w:pBdr>
              <w:spacing w:after="0" w:line="240" w:lineRule="auto"/>
              <w:rPr>
                <w:rStyle w:val="eop"/>
                <w:rFonts w:ascii="Times New Roman" w:hAnsi="Times New Roman" w:cs="Times New Roman"/>
                <w:noProof/>
                <w:color w:val="000000"/>
                <w:sz w:val="18"/>
              </w:rPr>
            </w:pPr>
            <w:r>
              <w:rPr>
                <w:rStyle w:val="normaltextrun"/>
                <w:rFonts w:ascii="Times New Roman" w:hAnsi="Times New Roman"/>
                <w:noProof/>
                <w:color w:val="000000" w:themeColor="text1"/>
                <w:sz w:val="18"/>
              </w:rPr>
              <w:t>— Verbesserung der Lebensqualität der Patienten während und nach der onkologischen Behandlung.</w:t>
            </w:r>
          </w:p>
        </w:tc>
      </w:tr>
      <w:tr w:rsidR="00EB245A" w14:paraId="46073544" w14:textId="77777777" w:rsidTr="006A0208">
        <w:trPr>
          <w:trHeight w:val="313"/>
        </w:trPr>
        <w:tc>
          <w:tcPr>
            <w:tcW w:w="696" w:type="dxa"/>
            <w:shd w:val="clear" w:color="auto" w:fill="C6EFCE"/>
          </w:tcPr>
          <w:p w14:paraId="71A6816C" w14:textId="7782C7E2" w:rsidR="00EB245A" w:rsidRDefault="006021EE">
            <w:pPr>
              <w:pStyle w:val="P68B1DB1-Normal011"/>
              <w:spacing w:after="0" w:line="240" w:lineRule="auto"/>
              <w:jc w:val="center"/>
              <w:rPr>
                <w:rFonts w:eastAsia="Times New Roman" w:cs="Times New Roman"/>
                <w:noProof/>
                <w:color w:val="006100"/>
              </w:rPr>
            </w:pPr>
            <w:r>
              <w:rPr>
                <w:noProof/>
              </w:rPr>
              <w:t>D5G</w:t>
            </w:r>
          </w:p>
        </w:tc>
        <w:tc>
          <w:tcPr>
            <w:tcW w:w="2069" w:type="dxa"/>
            <w:shd w:val="clear" w:color="auto" w:fill="C6EFCE"/>
          </w:tcPr>
          <w:p w14:paraId="0349810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D1.1 Verbesserung der Wirksamkeit, Zugänglichkeit und Qualität der Gesundheitsdienste</w:t>
            </w:r>
          </w:p>
        </w:tc>
        <w:tc>
          <w:tcPr>
            <w:tcW w:w="1204" w:type="dxa"/>
            <w:shd w:val="clear" w:color="auto" w:fill="C6EFCE"/>
          </w:tcPr>
          <w:p w14:paraId="6F03D32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560" w:type="dxa"/>
            <w:shd w:val="clear" w:color="auto" w:fill="C6EFCE"/>
          </w:tcPr>
          <w:p w14:paraId="39E528F6" w14:textId="2033CAC4"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r>
              <w:rPr>
                <w:rStyle w:val="normaltextrun"/>
                <w:rFonts w:ascii="Times New Roman" w:hAnsi="Times New Roman"/>
                <w:noProof/>
                <w:color w:val="000000" w:themeColor="text1"/>
                <w:sz w:val="18"/>
              </w:rPr>
              <w:t>Inkrafttreten des Gesetzes über das nationale kardiologische Netz zur Festlegung der Regeln für den Betrieb des Netzes durch Einführung einer neuen Struktur u</w:t>
            </w:r>
            <w:r>
              <w:rPr>
                <w:rStyle w:val="normaltextrun"/>
                <w:rFonts w:ascii="Times New Roman" w:hAnsi="Times New Roman"/>
                <w:noProof/>
                <w:color w:val="000000" w:themeColor="text1"/>
                <w:sz w:val="18"/>
              </w:rPr>
              <w:t xml:space="preserve">nd eines neuen Modells für das kardiologische Pflegemanagement  </w:t>
            </w:r>
          </w:p>
        </w:tc>
        <w:tc>
          <w:tcPr>
            <w:tcW w:w="1842" w:type="dxa"/>
            <w:shd w:val="clear" w:color="auto" w:fill="C6EFCE"/>
          </w:tcPr>
          <w:p w14:paraId="76ECEC89"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Bestimmung des Rechtsakts über das Inkrafttreten</w:t>
            </w:r>
          </w:p>
        </w:tc>
        <w:tc>
          <w:tcPr>
            <w:tcW w:w="1134" w:type="dxa"/>
            <w:shd w:val="clear" w:color="auto" w:fill="C6EFCE"/>
          </w:tcPr>
          <w:p w14:paraId="6F35629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418" w:type="dxa"/>
            <w:shd w:val="clear" w:color="auto" w:fill="C6EFCE"/>
          </w:tcPr>
          <w:p w14:paraId="74D4F69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850" w:type="dxa"/>
            <w:shd w:val="clear" w:color="auto" w:fill="C6EFCE"/>
          </w:tcPr>
          <w:p w14:paraId="6EB27A1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851" w:type="dxa"/>
            <w:shd w:val="clear" w:color="auto" w:fill="C6EFCE"/>
          </w:tcPr>
          <w:p w14:paraId="481278EE"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Q1</w:t>
            </w:r>
          </w:p>
        </w:tc>
        <w:tc>
          <w:tcPr>
            <w:tcW w:w="992" w:type="dxa"/>
            <w:shd w:val="clear" w:color="auto" w:fill="C6EFCE"/>
          </w:tcPr>
          <w:p w14:paraId="3E200CF8" w14:textId="12A59851" w:rsidR="00EB245A" w:rsidRDefault="006021EE">
            <w:pPr>
              <w:pStyle w:val="P68B1DB1-Normal012"/>
              <w:spacing w:after="0" w:line="240" w:lineRule="auto"/>
              <w:jc w:val="center"/>
              <w:rPr>
                <w:rFonts w:eastAsia="Times New Roman" w:cs="Times New Roman"/>
                <w:noProof/>
                <w:color w:val="006100"/>
              </w:rPr>
            </w:pPr>
            <w:r>
              <w:rPr>
                <w:noProof/>
              </w:rPr>
              <w:t>2024</w:t>
            </w:r>
          </w:p>
        </w:tc>
        <w:tc>
          <w:tcPr>
            <w:tcW w:w="2835" w:type="dxa"/>
            <w:shd w:val="clear" w:color="auto" w:fill="C6EFCE"/>
          </w:tcPr>
          <w:p w14:paraId="6819DD36" w14:textId="20AC4A91"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r>
              <w:rPr>
                <w:rStyle w:val="normaltextrun"/>
                <w:rFonts w:ascii="Times New Roman" w:hAnsi="Times New Roman"/>
                <w:noProof/>
                <w:color w:val="000000" w:themeColor="text1"/>
                <w:sz w:val="18"/>
              </w:rPr>
              <w:t xml:space="preserve">Inkrafttreten des Gesetzes über das nationale kardiologische Netz, mit dem sichergestellt wird, dass alle Patienten unabhängig </w:t>
            </w:r>
            <w:r>
              <w:rPr>
                <w:rStyle w:val="normaltextrun"/>
                <w:rFonts w:ascii="Times New Roman" w:hAnsi="Times New Roman"/>
                <w:noProof/>
                <w:color w:val="000000" w:themeColor="text1"/>
                <w:sz w:val="18"/>
              </w:rPr>
              <w:t xml:space="preserve">von ihrem Wohnort kardiologische Versorgung auf der Grundlage der gleichen diagnostischen und therapeutischen Standards, d. h. einheitlich festgelegten Pfade, erhalten und dass das System flexibel auf ihre Bedürfnisse reagiert. </w:t>
            </w:r>
            <w:r>
              <w:rPr>
                <w:noProof/>
              </w:rPr>
              <w:t xml:space="preserve">  </w:t>
            </w:r>
            <w:r>
              <w:rPr>
                <w:noProof/>
              </w:rPr>
              <w:br/>
            </w:r>
            <w:r>
              <w:rPr>
                <w:rStyle w:val="normaltextrun"/>
                <w:rFonts w:ascii="Times New Roman" w:hAnsi="Times New Roman"/>
                <w:noProof/>
                <w:color w:val="000000" w:themeColor="text1"/>
                <w:sz w:val="18"/>
              </w:rPr>
              <w:t>Im Mittelpunkt der Reform</w:t>
            </w:r>
            <w:r>
              <w:rPr>
                <w:rStyle w:val="normaltextrun"/>
                <w:rFonts w:ascii="Times New Roman" w:hAnsi="Times New Roman"/>
                <w:noProof/>
                <w:color w:val="000000" w:themeColor="text1"/>
                <w:sz w:val="18"/>
              </w:rPr>
              <w:t xml:space="preserve"> stehen: </w:t>
            </w:r>
            <w:r>
              <w:rPr>
                <w:noProof/>
              </w:rPr>
              <w:t xml:space="preserve"> </w:t>
            </w:r>
            <w:r>
              <w:rPr>
                <w:noProof/>
              </w:rPr>
              <w:br/>
            </w:r>
            <w:r>
              <w:rPr>
                <w:rStyle w:val="normaltextrun"/>
                <w:rFonts w:ascii="Times New Roman" w:hAnsi="Times New Roman"/>
                <w:noProof/>
                <w:color w:val="000000" w:themeColor="text1"/>
                <w:sz w:val="18"/>
              </w:rPr>
              <w:t>— Verbesserung der Organisation des kardiologischen Versorgungssystems, indem Patienten Zugang zu den höchsten diagnostischen und therapeutischen Verfahren und zu umfassender Versorgung während des gesamten „Patientenwegs“ in den Bereichen Primä</w:t>
            </w:r>
            <w:r>
              <w:rPr>
                <w:rStyle w:val="normaltextrun"/>
                <w:rFonts w:ascii="Times New Roman" w:hAnsi="Times New Roman"/>
                <w:noProof/>
                <w:color w:val="000000" w:themeColor="text1"/>
                <w:sz w:val="18"/>
              </w:rPr>
              <w:t xml:space="preserve">rversorgung, spezialisierte ambulante Gesundheitsversorgung (AOS), Krankenhausbehandlung und Rehabilitation erhalten; </w:t>
            </w:r>
            <w:r>
              <w:rPr>
                <w:noProof/>
              </w:rPr>
              <w:t xml:space="preserve"> </w:t>
            </w:r>
            <w:r>
              <w:rPr>
                <w:noProof/>
              </w:rPr>
              <w:br/>
            </w:r>
            <w:r>
              <w:rPr>
                <w:rStyle w:val="normaltextrun"/>
                <w:rFonts w:ascii="Times New Roman" w:hAnsi="Times New Roman"/>
                <w:noProof/>
                <w:color w:val="000000" w:themeColor="text1"/>
                <w:sz w:val="18"/>
              </w:rPr>
              <w:t>Schaffung einer neuen Organisationsstruktur und eines neuen Modells für das kardiologische Pflegemanagement</w:t>
            </w:r>
          </w:p>
          <w:p w14:paraId="45AE8DB4" w14:textId="157CB64D"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r>
              <w:rPr>
                <w:rStyle w:val="normaltextrun"/>
                <w:rFonts w:ascii="Times New Roman" w:hAnsi="Times New Roman"/>
                <w:noProof/>
                <w:color w:val="000000" w:themeColor="text1"/>
                <w:sz w:val="18"/>
              </w:rPr>
              <w:t>— Verbesserung der Lebensqua</w:t>
            </w:r>
            <w:r>
              <w:rPr>
                <w:rStyle w:val="normaltextrun"/>
                <w:rFonts w:ascii="Times New Roman" w:hAnsi="Times New Roman"/>
                <w:noProof/>
                <w:color w:val="000000" w:themeColor="text1"/>
                <w:sz w:val="18"/>
              </w:rPr>
              <w:t xml:space="preserve">lität der Patienten während und nach der kardiologischen Behandlung. </w:t>
            </w:r>
          </w:p>
        </w:tc>
      </w:tr>
      <w:tr w:rsidR="00EB245A" w14:paraId="44FE5A25" w14:textId="77777777" w:rsidTr="006A0208">
        <w:trPr>
          <w:trHeight w:val="313"/>
        </w:trPr>
        <w:tc>
          <w:tcPr>
            <w:tcW w:w="696" w:type="dxa"/>
            <w:shd w:val="clear" w:color="auto" w:fill="C6EFCE"/>
          </w:tcPr>
          <w:p w14:paraId="211DE1D2" w14:textId="6F3B0E7A"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D6G</w:t>
            </w:r>
          </w:p>
        </w:tc>
        <w:tc>
          <w:tcPr>
            <w:tcW w:w="2069" w:type="dxa"/>
            <w:shd w:val="clear" w:color="auto" w:fill="C6EFCE"/>
          </w:tcPr>
          <w:p w14:paraId="70906D6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D1.1 Verbesserung der Wirksamkeit, Zugänglichkeit und Qualität der Gesundheitsdienste</w:t>
            </w:r>
          </w:p>
        </w:tc>
        <w:tc>
          <w:tcPr>
            <w:tcW w:w="1204" w:type="dxa"/>
            <w:shd w:val="clear" w:color="auto" w:fill="C6EFCE"/>
          </w:tcPr>
          <w:p w14:paraId="6390AE9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560" w:type="dxa"/>
            <w:shd w:val="clear" w:color="auto" w:fill="C6EFCE"/>
          </w:tcPr>
          <w:p w14:paraId="3DE5AC53" w14:textId="1E22CE69"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r>
              <w:rPr>
                <w:rStyle w:val="normaltextrun"/>
                <w:rFonts w:ascii="Times New Roman" w:hAnsi="Times New Roman"/>
                <w:noProof/>
                <w:color w:val="000000" w:themeColor="text1"/>
                <w:sz w:val="18"/>
              </w:rPr>
              <w:t xml:space="preserve">Inkrafttreten eines Legislativpakets zur Einführung nationaler elektronischer </w:t>
            </w:r>
            <w:r>
              <w:rPr>
                <w:rStyle w:val="normaltextrun"/>
                <w:rFonts w:ascii="Times New Roman" w:hAnsi="Times New Roman"/>
                <w:noProof/>
                <w:color w:val="000000" w:themeColor="text1"/>
                <w:sz w:val="18"/>
              </w:rPr>
              <w:t xml:space="preserve">Gesundheitsdienste und deren Integration in bestehende/verfügbare elektronische Gesundheitsdienste auf nationaler und regionaler Ebene </w:t>
            </w:r>
          </w:p>
        </w:tc>
        <w:tc>
          <w:tcPr>
            <w:tcW w:w="1842" w:type="dxa"/>
            <w:shd w:val="clear" w:color="auto" w:fill="C6EFCE"/>
          </w:tcPr>
          <w:p w14:paraId="39D6948D" w14:textId="07AEB4A0"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Bestimmung im Legislativpaket über das Inkrafttreten</w:t>
            </w:r>
          </w:p>
        </w:tc>
        <w:tc>
          <w:tcPr>
            <w:tcW w:w="1134" w:type="dxa"/>
            <w:shd w:val="clear" w:color="auto" w:fill="C6EFCE"/>
          </w:tcPr>
          <w:p w14:paraId="2E1AE021"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418" w:type="dxa"/>
            <w:shd w:val="clear" w:color="auto" w:fill="C6EFCE"/>
          </w:tcPr>
          <w:p w14:paraId="0DAA2240"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850" w:type="dxa"/>
            <w:shd w:val="clear" w:color="auto" w:fill="C6EFCE"/>
          </w:tcPr>
          <w:p w14:paraId="56EBE4A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851" w:type="dxa"/>
            <w:shd w:val="clear" w:color="auto" w:fill="C6EFCE"/>
          </w:tcPr>
          <w:p w14:paraId="6DD5C92D"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Q1</w:t>
            </w:r>
          </w:p>
        </w:tc>
        <w:tc>
          <w:tcPr>
            <w:tcW w:w="992" w:type="dxa"/>
            <w:shd w:val="clear" w:color="auto" w:fill="C6EFCE"/>
          </w:tcPr>
          <w:p w14:paraId="30A77F85"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2026</w:t>
            </w:r>
          </w:p>
        </w:tc>
        <w:tc>
          <w:tcPr>
            <w:tcW w:w="2835" w:type="dxa"/>
            <w:shd w:val="clear" w:color="auto" w:fill="C6EFCE"/>
          </w:tcPr>
          <w:p w14:paraId="6AC79FF4" w14:textId="7ABE5BA0"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r>
              <w:rPr>
                <w:rStyle w:val="normaltextrun"/>
                <w:rFonts w:ascii="Times New Roman" w:hAnsi="Times New Roman"/>
                <w:noProof/>
                <w:color w:val="000000" w:themeColor="text1"/>
                <w:sz w:val="18"/>
              </w:rPr>
              <w:t xml:space="preserve">Inkrafttreten eines Legislativpakets, das ein </w:t>
            </w:r>
            <w:r>
              <w:rPr>
                <w:rStyle w:val="normaltextrun"/>
                <w:rFonts w:ascii="Times New Roman" w:hAnsi="Times New Roman"/>
                <w:noProof/>
                <w:color w:val="000000" w:themeColor="text1"/>
                <w:sz w:val="18"/>
              </w:rPr>
              <w:t>geeignetes rechtliches und administratives Umfeld für die Einführung nationaler elektronischer Gesundheitsdienste (Tools zur Analyse der Gesundheit bei Patienten, Instrument zur Unterstützung der Entscheidungsfindung für Ärzte auf der Grundlage von KI-Algo</w:t>
            </w:r>
            <w:r>
              <w:rPr>
                <w:rStyle w:val="normaltextrun"/>
                <w:rFonts w:ascii="Times New Roman" w:hAnsi="Times New Roman"/>
                <w:noProof/>
                <w:color w:val="000000" w:themeColor="text1"/>
                <w:sz w:val="18"/>
              </w:rPr>
              <w:t xml:space="preserve">rithmen, zentrales Archiv für medizinische Daten) und deren Integration in bestehende/verfügbare elektronische Gesundheitsdienste auf nationaler und regionaler Ebene bietet. </w:t>
            </w:r>
          </w:p>
        </w:tc>
      </w:tr>
      <w:tr w:rsidR="00EB245A" w14:paraId="7DE50D7F" w14:textId="77777777" w:rsidTr="006A0208">
        <w:trPr>
          <w:trHeight w:val="313"/>
        </w:trPr>
        <w:tc>
          <w:tcPr>
            <w:tcW w:w="696" w:type="dxa"/>
            <w:shd w:val="clear" w:color="auto" w:fill="C6EFCE"/>
          </w:tcPr>
          <w:p w14:paraId="3E2D3828" w14:textId="47A75562"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D7G</w:t>
            </w:r>
          </w:p>
        </w:tc>
        <w:tc>
          <w:tcPr>
            <w:tcW w:w="2069" w:type="dxa"/>
            <w:shd w:val="clear" w:color="auto" w:fill="C6EFCE"/>
          </w:tcPr>
          <w:p w14:paraId="41A8605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D1.1 Verbesserung der Wirksamkeit, Zugänglichkeit und Qualität der </w:t>
            </w:r>
            <w:r>
              <w:rPr>
                <w:noProof/>
              </w:rPr>
              <w:t>Gesundheitsdienste</w:t>
            </w:r>
          </w:p>
        </w:tc>
        <w:tc>
          <w:tcPr>
            <w:tcW w:w="1204" w:type="dxa"/>
            <w:shd w:val="clear" w:color="auto" w:fill="C6EFCE"/>
          </w:tcPr>
          <w:p w14:paraId="3FE0CE5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560" w:type="dxa"/>
            <w:shd w:val="clear" w:color="auto" w:fill="C6EFCE"/>
          </w:tcPr>
          <w:p w14:paraId="15BA93CD" w14:textId="6A7961EF"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r>
              <w:rPr>
                <w:rStyle w:val="normaltextrun"/>
                <w:rFonts w:ascii="Times New Roman" w:hAnsi="Times New Roman"/>
                <w:noProof/>
                <w:color w:val="000000" w:themeColor="text1"/>
                <w:sz w:val="18"/>
              </w:rPr>
              <w:t xml:space="preserve">Inkrafttreten der Verordnung über die Liste der Beobachtungsstellen der Woiwodschaften für das onkologische Netz </w:t>
            </w:r>
          </w:p>
        </w:tc>
        <w:tc>
          <w:tcPr>
            <w:tcW w:w="1842" w:type="dxa"/>
            <w:shd w:val="clear" w:color="auto" w:fill="C6EFCE"/>
          </w:tcPr>
          <w:p w14:paraId="440C505C" w14:textId="173DACD1"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Bestimmung in der Verordnung über das Inkrafttreten</w:t>
            </w:r>
          </w:p>
        </w:tc>
        <w:tc>
          <w:tcPr>
            <w:tcW w:w="1134" w:type="dxa"/>
            <w:shd w:val="clear" w:color="auto" w:fill="C6EFCE"/>
          </w:tcPr>
          <w:p w14:paraId="4E12A9D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418" w:type="dxa"/>
            <w:shd w:val="clear" w:color="auto" w:fill="C6EFCE"/>
          </w:tcPr>
          <w:p w14:paraId="5D52CDDE"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850" w:type="dxa"/>
            <w:shd w:val="clear" w:color="auto" w:fill="C6EFCE"/>
          </w:tcPr>
          <w:p w14:paraId="601CC18E"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851" w:type="dxa"/>
            <w:shd w:val="clear" w:color="auto" w:fill="C6EFCE"/>
          </w:tcPr>
          <w:p w14:paraId="0903ED26" w14:textId="5249BA2F"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Q1</w:t>
            </w:r>
          </w:p>
        </w:tc>
        <w:tc>
          <w:tcPr>
            <w:tcW w:w="992" w:type="dxa"/>
            <w:shd w:val="clear" w:color="auto" w:fill="C6EFCE"/>
          </w:tcPr>
          <w:p w14:paraId="769FF201" w14:textId="717880E0"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2023</w:t>
            </w:r>
          </w:p>
        </w:tc>
        <w:tc>
          <w:tcPr>
            <w:tcW w:w="2835" w:type="dxa"/>
            <w:shd w:val="clear" w:color="auto" w:fill="C6EFCE"/>
          </w:tcPr>
          <w:p w14:paraId="4AA7D636" w14:textId="4840D617" w:rsidR="00EB245A" w:rsidRDefault="006021EE">
            <w:pPr>
              <w:pStyle w:val="paragraph"/>
              <w:spacing w:before="0" w:beforeAutospacing="0" w:after="0" w:afterAutospacing="0"/>
              <w:textAlignment w:val="baseline"/>
              <w:rPr>
                <w:noProof/>
                <w:color w:val="000000" w:themeColor="text1"/>
                <w:sz w:val="18"/>
              </w:rPr>
            </w:pPr>
            <w:r>
              <w:rPr>
                <w:rStyle w:val="normaltextrun"/>
                <w:noProof/>
                <w:color w:val="000000" w:themeColor="text1"/>
                <w:sz w:val="18"/>
              </w:rPr>
              <w:t xml:space="preserve">Die Verordnung tritt in Kraft und sieht die </w:t>
            </w:r>
            <w:r>
              <w:rPr>
                <w:rStyle w:val="normaltextrun"/>
                <w:noProof/>
                <w:color w:val="000000" w:themeColor="text1"/>
                <w:sz w:val="18"/>
              </w:rPr>
              <w:t>Einrichtung von Beobachtungszentren der Woiwodschaft vor, bei denen es sich um medizinische Einrichtungen handelt, die aus dem onkologischen Netz in jeder der 16 Woiwodschaften ausgewählt werden, die sich auf die onkologische Versorgung spezialisiert haben</w:t>
            </w:r>
            <w:r>
              <w:rPr>
                <w:rStyle w:val="normaltextrun"/>
                <w:noProof/>
                <w:color w:val="000000" w:themeColor="text1"/>
                <w:sz w:val="18"/>
              </w:rPr>
              <w:t xml:space="preserve"> und eine umfassende onkologische Behandlung und Überwachung anbieten.</w:t>
            </w:r>
          </w:p>
        </w:tc>
      </w:tr>
      <w:tr w:rsidR="00EB245A" w14:paraId="1A44EA85" w14:textId="77777777" w:rsidTr="006A0208">
        <w:trPr>
          <w:trHeight w:val="313"/>
        </w:trPr>
        <w:tc>
          <w:tcPr>
            <w:tcW w:w="696" w:type="dxa"/>
            <w:shd w:val="clear" w:color="auto" w:fill="C6EFCE"/>
          </w:tcPr>
          <w:p w14:paraId="52EEBFBF" w14:textId="2C18D378"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D8G</w:t>
            </w:r>
          </w:p>
        </w:tc>
        <w:tc>
          <w:tcPr>
            <w:tcW w:w="2069" w:type="dxa"/>
            <w:shd w:val="clear" w:color="auto" w:fill="C6EFCE"/>
          </w:tcPr>
          <w:p w14:paraId="5E496E09"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D1.1 Verbesserung der Wirksamkeit, Zugänglichkeit und Qualität der Gesundheitsdienste</w:t>
            </w:r>
          </w:p>
        </w:tc>
        <w:tc>
          <w:tcPr>
            <w:tcW w:w="1204" w:type="dxa"/>
            <w:shd w:val="clear" w:color="auto" w:fill="C6EFCE"/>
          </w:tcPr>
          <w:p w14:paraId="1C8828A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560" w:type="dxa"/>
            <w:shd w:val="clear" w:color="auto" w:fill="C6EFCE"/>
          </w:tcPr>
          <w:p w14:paraId="48700766" w14:textId="7344DDCB"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r>
              <w:rPr>
                <w:rStyle w:val="normaltextrun"/>
                <w:rFonts w:ascii="Times New Roman" w:hAnsi="Times New Roman"/>
                <w:noProof/>
                <w:color w:val="000000"/>
                <w:sz w:val="18"/>
              </w:rPr>
              <w:t xml:space="preserve">Bewertung des Netzes für die onkologische Versorgung </w:t>
            </w:r>
          </w:p>
        </w:tc>
        <w:tc>
          <w:tcPr>
            <w:tcW w:w="1842" w:type="dxa"/>
            <w:shd w:val="clear" w:color="auto" w:fill="C6EFCE"/>
          </w:tcPr>
          <w:p w14:paraId="5B504BB1"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Veröffentlichung des </w:t>
            </w:r>
            <w:r>
              <w:rPr>
                <w:noProof/>
              </w:rPr>
              <w:t>Berichts</w:t>
            </w:r>
          </w:p>
        </w:tc>
        <w:tc>
          <w:tcPr>
            <w:tcW w:w="1134" w:type="dxa"/>
            <w:shd w:val="clear" w:color="auto" w:fill="C6EFCE"/>
          </w:tcPr>
          <w:p w14:paraId="178F587B"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418" w:type="dxa"/>
            <w:shd w:val="clear" w:color="auto" w:fill="C6EFCE"/>
          </w:tcPr>
          <w:p w14:paraId="08B21081"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850" w:type="dxa"/>
            <w:shd w:val="clear" w:color="auto" w:fill="C6EFCE"/>
          </w:tcPr>
          <w:p w14:paraId="4EA71FC5"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851" w:type="dxa"/>
            <w:shd w:val="clear" w:color="auto" w:fill="C6EFCE"/>
          </w:tcPr>
          <w:p w14:paraId="3447A234"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Q2</w:t>
            </w:r>
          </w:p>
        </w:tc>
        <w:tc>
          <w:tcPr>
            <w:tcW w:w="992" w:type="dxa"/>
            <w:shd w:val="clear" w:color="auto" w:fill="C6EFCE"/>
          </w:tcPr>
          <w:p w14:paraId="3B29AB30"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2025</w:t>
            </w:r>
          </w:p>
        </w:tc>
        <w:tc>
          <w:tcPr>
            <w:tcW w:w="2835" w:type="dxa"/>
            <w:shd w:val="clear" w:color="auto" w:fill="C6EFCE"/>
          </w:tcPr>
          <w:p w14:paraId="2FF9F379" w14:textId="58DC3B1F"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r>
              <w:rPr>
                <w:rStyle w:val="normaltextrun"/>
                <w:rFonts w:ascii="Times New Roman" w:hAnsi="Times New Roman"/>
                <w:noProof/>
                <w:color w:val="000000" w:themeColor="text1"/>
                <w:sz w:val="18"/>
              </w:rPr>
              <w:t>Bericht über die Bewertung des Netzes für die onkologische Versorgung, einschließlich</w:t>
            </w:r>
            <w:r>
              <w:rPr>
                <w:noProof/>
              </w:rPr>
              <w:t>der</w:t>
            </w:r>
            <w:r>
              <w:rPr>
                <w:rFonts w:ascii="Times New Roman" w:hAnsi="Times New Roman"/>
                <w:noProof/>
                <w:sz w:val="18"/>
              </w:rPr>
              <w:t>Qualitätsindikatoren für die</w:t>
            </w:r>
            <w:r>
              <w:rPr>
                <w:rStyle w:val="scxw147420095"/>
                <w:noProof/>
              </w:rPr>
              <w:t xml:space="preserve"> </w:t>
            </w:r>
            <w:r>
              <w:rPr>
                <w:rFonts w:ascii="Times New Roman" w:hAnsi="Times New Roman"/>
                <w:noProof/>
                <w:sz w:val="18"/>
              </w:rPr>
              <w:t>onkologische Versorgung.</w:t>
            </w:r>
            <w:r>
              <w:rPr>
                <w:noProof/>
              </w:rPr>
              <w:t xml:space="preserve">  </w:t>
            </w:r>
            <w:r>
              <w:rPr>
                <w:noProof/>
              </w:rPr>
              <w:br/>
            </w:r>
          </w:p>
        </w:tc>
      </w:tr>
      <w:tr w:rsidR="00EB245A" w14:paraId="5E22CA02" w14:textId="77777777" w:rsidTr="006A0208">
        <w:trPr>
          <w:trHeight w:val="313"/>
        </w:trPr>
        <w:tc>
          <w:tcPr>
            <w:tcW w:w="696" w:type="dxa"/>
            <w:shd w:val="clear" w:color="auto" w:fill="C6EFCE"/>
          </w:tcPr>
          <w:p w14:paraId="4782196D" w14:textId="4F757FCE"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D9G</w:t>
            </w:r>
          </w:p>
        </w:tc>
        <w:tc>
          <w:tcPr>
            <w:tcW w:w="2069" w:type="dxa"/>
            <w:shd w:val="clear" w:color="auto" w:fill="C6EFCE"/>
          </w:tcPr>
          <w:p w14:paraId="03AF9B0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D1.1.1 Entwicklung und Modernisierung der Infrastruktur hochspezialisierter Pflegezentren und anderer Gesundheitsdienstleister </w:t>
            </w:r>
          </w:p>
        </w:tc>
        <w:tc>
          <w:tcPr>
            <w:tcW w:w="1204" w:type="dxa"/>
            <w:shd w:val="clear" w:color="auto" w:fill="C6EFCE"/>
          </w:tcPr>
          <w:p w14:paraId="7A36C3B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560" w:type="dxa"/>
            <w:shd w:val="clear" w:color="auto" w:fill="C6EFCE"/>
          </w:tcPr>
          <w:p w14:paraId="3DE5B32E" w14:textId="0D1EDC18" w:rsidR="00EB245A" w:rsidRDefault="006021EE">
            <w:pPr>
              <w:spacing w:line="240" w:lineRule="auto"/>
              <w:rPr>
                <w:noProof/>
                <w:color w:val="FF0000"/>
              </w:rPr>
            </w:pPr>
            <w:r>
              <w:rPr>
                <w:rStyle w:val="normaltextrun"/>
                <w:rFonts w:ascii="Times New Roman" w:hAnsi="Times New Roman"/>
                <w:noProof/>
                <w:color w:val="000000" w:themeColor="text1"/>
                <w:sz w:val="18"/>
              </w:rPr>
              <w:t>Inkrafttreten eines Rechtsakts über eine Liste von Kriterien für die Qualifikation von Krankenhäusern für jede Onkol</w:t>
            </w:r>
            <w:r>
              <w:rPr>
                <w:rStyle w:val="normaltextrun"/>
                <w:rFonts w:ascii="Times New Roman" w:hAnsi="Times New Roman"/>
                <w:noProof/>
                <w:color w:val="000000" w:themeColor="text1"/>
                <w:sz w:val="18"/>
              </w:rPr>
              <w:t xml:space="preserve">ogiestufe </w:t>
            </w:r>
          </w:p>
          <w:p w14:paraId="7B54CE31" w14:textId="16F13C31"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p>
        </w:tc>
        <w:tc>
          <w:tcPr>
            <w:tcW w:w="1842" w:type="dxa"/>
            <w:shd w:val="clear" w:color="auto" w:fill="C6EFCE"/>
          </w:tcPr>
          <w:p w14:paraId="73DFB200" w14:textId="22C5E53F"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Bestimmung im Rechtsakt über das Inkrafttreten</w:t>
            </w:r>
          </w:p>
        </w:tc>
        <w:tc>
          <w:tcPr>
            <w:tcW w:w="1134" w:type="dxa"/>
            <w:shd w:val="clear" w:color="auto" w:fill="C6EFCE"/>
          </w:tcPr>
          <w:p w14:paraId="742F3C0E"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418" w:type="dxa"/>
            <w:shd w:val="clear" w:color="auto" w:fill="C6EFCE"/>
          </w:tcPr>
          <w:p w14:paraId="6CD9938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850" w:type="dxa"/>
            <w:shd w:val="clear" w:color="auto" w:fill="C6EFCE"/>
          </w:tcPr>
          <w:p w14:paraId="3CF3987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851" w:type="dxa"/>
            <w:shd w:val="clear" w:color="auto" w:fill="C6EFCE"/>
          </w:tcPr>
          <w:p w14:paraId="1212D14C" w14:textId="74BAA697" w:rsidR="00EB245A" w:rsidRDefault="006021EE">
            <w:pPr>
              <w:pStyle w:val="P68B1DB1-Normal012"/>
              <w:spacing w:after="0" w:line="240" w:lineRule="auto"/>
              <w:jc w:val="center"/>
              <w:rPr>
                <w:rFonts w:eastAsia="Times New Roman" w:cs="Times New Roman"/>
                <w:noProof/>
                <w:color w:val="006100"/>
              </w:rPr>
            </w:pPr>
            <w:r>
              <w:rPr>
                <w:noProof/>
              </w:rPr>
              <w:t>Q4</w:t>
            </w:r>
          </w:p>
        </w:tc>
        <w:tc>
          <w:tcPr>
            <w:tcW w:w="992" w:type="dxa"/>
            <w:shd w:val="clear" w:color="auto" w:fill="C6EFCE"/>
          </w:tcPr>
          <w:p w14:paraId="0E5F0517" w14:textId="6AFCFD83" w:rsidR="00EB245A" w:rsidRDefault="006021EE">
            <w:pPr>
              <w:pStyle w:val="P68B1DB1-Normal012"/>
              <w:spacing w:after="0" w:line="240" w:lineRule="auto"/>
              <w:jc w:val="center"/>
              <w:rPr>
                <w:rFonts w:eastAsia="Times New Roman" w:cs="Times New Roman"/>
                <w:noProof/>
                <w:color w:val="006100"/>
              </w:rPr>
            </w:pPr>
            <w:r>
              <w:rPr>
                <w:noProof/>
              </w:rPr>
              <w:t>2022</w:t>
            </w:r>
          </w:p>
        </w:tc>
        <w:tc>
          <w:tcPr>
            <w:tcW w:w="2835" w:type="dxa"/>
            <w:shd w:val="clear" w:color="auto" w:fill="C6EFCE"/>
          </w:tcPr>
          <w:p w14:paraId="34666CA0" w14:textId="685DFE1E" w:rsidR="00EB245A" w:rsidRDefault="006021EE">
            <w:pPr>
              <w:spacing w:before="60" w:after="60" w:line="240" w:lineRule="auto"/>
              <w:rPr>
                <w:noProof/>
                <w:color w:val="FF0000"/>
              </w:rPr>
            </w:pPr>
            <w:r w:rsidRPr="006A0208">
              <w:rPr>
                <w:rStyle w:val="normaltextrun"/>
                <w:rFonts w:ascii="Times New Roman" w:hAnsi="Times New Roman" w:cs="Times New Roman"/>
                <w:noProof/>
                <w:color w:val="000000" w:themeColor="text1"/>
                <w:sz w:val="18"/>
                <w:szCs w:val="18"/>
              </w:rPr>
              <w:t>Inkrafttreten eines Rechtsakts des</w:t>
            </w:r>
            <w:r w:rsidR="006A0208">
              <w:rPr>
                <w:rStyle w:val="normaltextrun"/>
                <w:rFonts w:ascii="Times New Roman" w:hAnsi="Times New Roman" w:cs="Times New Roman"/>
                <w:noProof/>
                <w:color w:val="000000" w:themeColor="text1"/>
                <w:sz w:val="18"/>
                <w:szCs w:val="18"/>
              </w:rPr>
              <w:t xml:space="preserve"> </w:t>
            </w:r>
            <w:r w:rsidRPr="006A0208">
              <w:rPr>
                <w:rFonts w:ascii="Times New Roman" w:hAnsi="Times New Roman" w:cs="Times New Roman"/>
                <w:noProof/>
                <w:color w:val="000000" w:themeColor="text1"/>
                <w:sz w:val="18"/>
                <w:szCs w:val="18"/>
              </w:rPr>
              <w:t>Gesundheitsministers über eine Liste von Kriterien,</w:t>
            </w:r>
            <w:r>
              <w:rPr>
                <w:rFonts w:ascii="Times New Roman" w:hAnsi="Times New Roman"/>
                <w:noProof/>
                <w:color w:val="000000" w:themeColor="text1"/>
                <w:sz w:val="18"/>
              </w:rPr>
              <w:t xml:space="preserve"> auf deren Grundlage onkologische Krankenhäuser verschiedenen Kategorien/Ebenen des Nationalen Onkologischen Netzes zugeordnet werden. Diese Kategorien/Ebenen sollen dazu beitragen, den Investitionsbedarf zu ermitteln, der sich aus der D4G-Reform ergibt. </w:t>
            </w:r>
            <w:r>
              <w:rPr>
                <w:noProof/>
                <w:color w:val="FF0000"/>
              </w:rPr>
              <w:t xml:space="preserve"> </w:t>
            </w:r>
          </w:p>
          <w:p w14:paraId="2A48FCD8" w14:textId="3D3AEAC5"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r>
              <w:rPr>
                <w:rStyle w:val="normaltextrun"/>
                <w:rFonts w:ascii="Times New Roman" w:hAnsi="Times New Roman"/>
                <w:noProof/>
                <w:color w:val="000000" w:themeColor="text1"/>
                <w:sz w:val="18"/>
              </w:rPr>
              <w:t xml:space="preserve">Die Kriterien für die Kategorisierung beruhen auf: </w:t>
            </w:r>
            <w:r>
              <w:rPr>
                <w:noProof/>
              </w:rPr>
              <w:t xml:space="preserve">  </w:t>
            </w:r>
            <w:r>
              <w:rPr>
                <w:noProof/>
              </w:rPr>
              <w:br/>
            </w:r>
            <w:r>
              <w:rPr>
                <w:rStyle w:val="normaltextrun"/>
                <w:rFonts w:ascii="Times New Roman" w:hAnsi="Times New Roman"/>
                <w:noProof/>
                <w:color w:val="000000" w:themeColor="text1"/>
                <w:sz w:val="18"/>
              </w:rPr>
              <w:t xml:space="preserve">— Abdeckung (z. B. erfasste Bevölkerung; erfasste Leistungen; Notwendigkeit eines zeitnahen Zugangs zur Gesundheitsversorgung); </w:t>
            </w:r>
            <w:r>
              <w:rPr>
                <w:noProof/>
              </w:rPr>
              <w:t xml:space="preserve"> </w:t>
            </w:r>
            <w:r>
              <w:rPr>
                <w:noProof/>
              </w:rPr>
              <w:br/>
            </w:r>
            <w:r>
              <w:rPr>
                <w:rStyle w:val="normaltextrun"/>
                <w:rFonts w:ascii="Times New Roman" w:hAnsi="Times New Roman"/>
                <w:noProof/>
                <w:color w:val="000000" w:themeColor="text1"/>
                <w:sz w:val="18"/>
              </w:rPr>
              <w:t xml:space="preserve">— Eigenkapital (z. B. Eigenkapital bei Lieferung und Nutzung); </w:t>
            </w:r>
            <w:r>
              <w:rPr>
                <w:noProof/>
              </w:rPr>
              <w:t xml:space="preserve"> </w:t>
            </w:r>
            <w:r>
              <w:rPr>
                <w:noProof/>
              </w:rPr>
              <w:br/>
            </w:r>
            <w:r>
              <w:rPr>
                <w:rStyle w:val="normaltextrun"/>
                <w:rFonts w:ascii="Times New Roman" w:hAnsi="Times New Roman"/>
                <w:noProof/>
                <w:color w:val="000000" w:themeColor="text1"/>
                <w:sz w:val="18"/>
              </w:rPr>
              <w:t>— Effi</w:t>
            </w:r>
            <w:r>
              <w:rPr>
                <w:rStyle w:val="normaltextrun"/>
                <w:rFonts w:ascii="Times New Roman" w:hAnsi="Times New Roman"/>
                <w:noProof/>
                <w:color w:val="000000" w:themeColor="text1"/>
                <w:sz w:val="18"/>
              </w:rPr>
              <w:t>zienz;</w:t>
            </w:r>
            <w:r>
              <w:rPr>
                <w:noProof/>
              </w:rPr>
              <w:t xml:space="preserve"> </w:t>
            </w:r>
            <w:r>
              <w:rPr>
                <w:noProof/>
              </w:rPr>
              <w:br/>
            </w:r>
            <w:r>
              <w:rPr>
                <w:rStyle w:val="normaltextrun"/>
                <w:rFonts w:ascii="Times New Roman" w:hAnsi="Times New Roman"/>
                <w:noProof/>
                <w:color w:val="000000" w:themeColor="text1"/>
                <w:sz w:val="18"/>
              </w:rPr>
              <w:t xml:space="preserve">— Qualität der Versorgung und </w:t>
            </w:r>
            <w:r>
              <w:rPr>
                <w:noProof/>
              </w:rPr>
              <w:t xml:space="preserve"> </w:t>
            </w:r>
            <w:r>
              <w:rPr>
                <w:noProof/>
              </w:rPr>
              <w:br/>
              <w:t xml:space="preserve"> </w:t>
            </w:r>
            <w:r>
              <w:rPr>
                <w:rStyle w:val="normaltextrun"/>
                <w:rFonts w:ascii="Times New Roman" w:hAnsi="Times New Roman"/>
                <w:noProof/>
                <w:color w:val="000000" w:themeColor="text1"/>
                <w:sz w:val="18"/>
              </w:rPr>
              <w:t xml:space="preserve">— Verfügbarkeit von Ressourcen (z. B. personelle und finanzielle Ressourcen).  </w:t>
            </w:r>
          </w:p>
        </w:tc>
      </w:tr>
      <w:tr w:rsidR="00EB245A" w14:paraId="25C8B922" w14:textId="77777777" w:rsidTr="006A0208">
        <w:trPr>
          <w:trHeight w:val="313"/>
        </w:trPr>
        <w:tc>
          <w:tcPr>
            <w:tcW w:w="696" w:type="dxa"/>
            <w:shd w:val="clear" w:color="auto" w:fill="C6EFCE"/>
          </w:tcPr>
          <w:p w14:paraId="16559417" w14:textId="23944732"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D10aG</w:t>
            </w:r>
          </w:p>
        </w:tc>
        <w:tc>
          <w:tcPr>
            <w:tcW w:w="2069" w:type="dxa"/>
            <w:shd w:val="clear" w:color="auto" w:fill="C6EFCE"/>
          </w:tcPr>
          <w:p w14:paraId="79FD700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D1.1.1 Entwicklung und Modernisierung der Infrastruktur hochspezialisierter Pflegezentren und anderer Gesundheitsdienstleister </w:t>
            </w:r>
          </w:p>
        </w:tc>
        <w:tc>
          <w:tcPr>
            <w:tcW w:w="1204" w:type="dxa"/>
            <w:shd w:val="clear" w:color="auto" w:fill="C6EFCE"/>
          </w:tcPr>
          <w:p w14:paraId="5117A43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560" w:type="dxa"/>
            <w:shd w:val="clear" w:color="auto" w:fill="C6EFCE"/>
          </w:tcPr>
          <w:p w14:paraId="08509C27" w14:textId="4F00711D" w:rsidR="00EB245A" w:rsidRDefault="006021EE">
            <w:pPr>
              <w:pStyle w:val="paragraph"/>
              <w:spacing w:before="0" w:beforeAutospacing="0" w:after="0" w:afterAutospacing="0"/>
              <w:textAlignment w:val="baseline"/>
              <w:rPr>
                <w:noProof/>
                <w:sz w:val="18"/>
              </w:rPr>
            </w:pPr>
            <w:r>
              <w:rPr>
                <w:rStyle w:val="normaltextrun"/>
                <w:noProof/>
                <w:color w:val="000000" w:themeColor="text1"/>
                <w:sz w:val="18"/>
              </w:rPr>
              <w:t xml:space="preserve">Erste Aufforderung zur Einreichung von Vorschlägen für Krankenhäuser (im Rahmen des Nationalen Onkologischen Netzes) und ambulante Pflegezentren (AOS), die mit ihnen zusammenarbeiten </w:t>
            </w:r>
          </w:p>
          <w:p w14:paraId="7FD8715F" w14:textId="1783407D"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r>
              <w:rPr>
                <w:rStyle w:val="eop"/>
                <w:rFonts w:ascii="Times New Roman" w:hAnsi="Times New Roman"/>
                <w:noProof/>
                <w:color w:val="000000"/>
                <w:sz w:val="18"/>
              </w:rPr>
              <w:t xml:space="preserve"> </w:t>
            </w:r>
          </w:p>
        </w:tc>
        <w:tc>
          <w:tcPr>
            <w:tcW w:w="1842" w:type="dxa"/>
            <w:shd w:val="clear" w:color="auto" w:fill="C6EFCE"/>
          </w:tcPr>
          <w:p w14:paraId="613393B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Veröffentlichung der ersten Aufforderung zur Einreichung v</w:t>
            </w:r>
            <w:r>
              <w:rPr>
                <w:noProof/>
              </w:rPr>
              <w:t xml:space="preserve">on Vorschlägen </w:t>
            </w:r>
          </w:p>
        </w:tc>
        <w:tc>
          <w:tcPr>
            <w:tcW w:w="1134" w:type="dxa"/>
            <w:shd w:val="clear" w:color="auto" w:fill="C6EFCE"/>
          </w:tcPr>
          <w:p w14:paraId="6BDFDFC2"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p>
        </w:tc>
        <w:tc>
          <w:tcPr>
            <w:tcW w:w="1418" w:type="dxa"/>
            <w:shd w:val="clear" w:color="auto" w:fill="C6EFCE"/>
          </w:tcPr>
          <w:p w14:paraId="41F9AE5E" w14:textId="77777777"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themeColor="text1"/>
                <w:sz w:val="18"/>
              </w:rPr>
            </w:pPr>
          </w:p>
        </w:tc>
        <w:tc>
          <w:tcPr>
            <w:tcW w:w="850" w:type="dxa"/>
            <w:shd w:val="clear" w:color="auto" w:fill="C6EFCE"/>
          </w:tcPr>
          <w:p w14:paraId="00F03A6D" w14:textId="77777777"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themeColor="text1"/>
                <w:sz w:val="18"/>
              </w:rPr>
            </w:pPr>
          </w:p>
        </w:tc>
        <w:tc>
          <w:tcPr>
            <w:tcW w:w="851" w:type="dxa"/>
            <w:shd w:val="clear" w:color="auto" w:fill="C6EFCE"/>
          </w:tcPr>
          <w:p w14:paraId="2B258E0F" w14:textId="26ABE1A3" w:rsidR="00EB245A" w:rsidRDefault="006021EE">
            <w:pPr>
              <w:pStyle w:val="P68B1DB1-Normal012"/>
              <w:spacing w:after="0" w:line="240" w:lineRule="auto"/>
              <w:jc w:val="center"/>
              <w:rPr>
                <w:rFonts w:eastAsia="Times New Roman" w:cs="Times New Roman"/>
                <w:noProof/>
                <w:color w:val="000000" w:themeColor="text1"/>
              </w:rPr>
            </w:pPr>
            <w:r>
              <w:rPr>
                <w:noProof/>
              </w:rPr>
              <w:t>Q3</w:t>
            </w:r>
          </w:p>
        </w:tc>
        <w:tc>
          <w:tcPr>
            <w:tcW w:w="992" w:type="dxa"/>
            <w:shd w:val="clear" w:color="auto" w:fill="C6EFCE"/>
          </w:tcPr>
          <w:p w14:paraId="7C3C69C4" w14:textId="511DD5A4" w:rsidR="00EB245A" w:rsidRDefault="006021EE">
            <w:pPr>
              <w:pStyle w:val="P68B1DB1-Normal012"/>
              <w:spacing w:after="0" w:line="240" w:lineRule="auto"/>
              <w:jc w:val="center"/>
              <w:rPr>
                <w:noProof/>
                <w:color w:val="000000" w:themeColor="text1"/>
              </w:rPr>
            </w:pPr>
            <w:r>
              <w:rPr>
                <w:noProof/>
              </w:rPr>
              <w:t>2024</w:t>
            </w:r>
          </w:p>
        </w:tc>
        <w:tc>
          <w:tcPr>
            <w:tcW w:w="2835" w:type="dxa"/>
            <w:shd w:val="clear" w:color="auto" w:fill="C6EFCE"/>
          </w:tcPr>
          <w:p w14:paraId="37D2D016" w14:textId="5892EAF1" w:rsidR="00EB245A" w:rsidRDefault="006021EE">
            <w:pPr>
              <w:pStyle w:val="paragraph"/>
              <w:spacing w:before="0" w:beforeAutospacing="0" w:after="0" w:afterAutospacing="0"/>
              <w:textAlignment w:val="baseline"/>
              <w:rPr>
                <w:rStyle w:val="normaltextrun"/>
                <w:rFonts w:eastAsia="Calibri"/>
                <w:noProof/>
                <w:color w:val="000000" w:themeColor="text1"/>
                <w:sz w:val="18"/>
              </w:rPr>
            </w:pPr>
            <w:r>
              <w:rPr>
                <w:rStyle w:val="normaltextrun"/>
                <w:noProof/>
                <w:color w:val="000000" w:themeColor="text1"/>
                <w:sz w:val="18"/>
              </w:rPr>
              <w:t xml:space="preserve">Die erste Aufforderung zur Einreichung von Vorschlägen für Krankenhäuser (im Rahmen des Nationalen Onkologischen Netzes) und ambulante Pflegezentren (AOS), die mit ihnen zusammenarbeiten, um Ausrüstung zu erwerben, zu </w:t>
            </w:r>
            <w:r>
              <w:rPr>
                <w:rStyle w:val="normaltextrun"/>
                <w:noProof/>
                <w:color w:val="000000" w:themeColor="text1"/>
                <w:sz w:val="18"/>
              </w:rPr>
              <w:t>modernisieren oder in Infrastruktur zu investieren, wird veröffentlicht. Die Aufforderung zur Einreichung von Vorschlägen beruht auf den Kategorisierungskriterien (gemäß D9G) und klaren und transparenten Verfahren.</w:t>
            </w:r>
          </w:p>
          <w:p w14:paraId="2D85AD71" w14:textId="77777777" w:rsidR="00EB245A" w:rsidRDefault="006021EE">
            <w:pPr>
              <w:pStyle w:val="paragraph"/>
              <w:spacing w:before="0" w:beforeAutospacing="0" w:after="0" w:afterAutospacing="0"/>
              <w:textAlignment w:val="baseline"/>
              <w:rPr>
                <w:rStyle w:val="normaltextrun"/>
                <w:rFonts w:eastAsia="Calibri"/>
                <w:noProof/>
                <w:color w:val="000000" w:themeColor="text1"/>
                <w:sz w:val="18"/>
              </w:rPr>
            </w:pPr>
            <w:r>
              <w:rPr>
                <w:rStyle w:val="normaltextrun"/>
                <w:noProof/>
                <w:color w:val="000000" w:themeColor="text1"/>
                <w:sz w:val="18"/>
              </w:rPr>
              <w:t xml:space="preserve"> </w:t>
            </w:r>
          </w:p>
          <w:p w14:paraId="7C5B8C88" w14:textId="71CA53E3" w:rsidR="00EB245A" w:rsidRDefault="006021EE">
            <w:pPr>
              <w:pStyle w:val="paragraph"/>
              <w:spacing w:before="0" w:beforeAutospacing="0" w:after="0" w:afterAutospacing="0"/>
              <w:textAlignment w:val="baseline"/>
              <w:rPr>
                <w:rStyle w:val="normaltextrun"/>
                <w:rFonts w:eastAsia="Calibri"/>
                <w:noProof/>
                <w:color w:val="000000" w:themeColor="text1"/>
                <w:sz w:val="18"/>
              </w:rPr>
            </w:pPr>
            <w:r>
              <w:rPr>
                <w:rStyle w:val="normaltextrun"/>
                <w:noProof/>
                <w:color w:val="000000" w:themeColor="text1"/>
                <w:sz w:val="18"/>
              </w:rPr>
              <w:t>Investitionen in die Infrastruktur oder</w:t>
            </w:r>
            <w:r>
              <w:rPr>
                <w:rStyle w:val="normaltextrun"/>
                <w:noProof/>
                <w:color w:val="000000" w:themeColor="text1"/>
                <w:sz w:val="18"/>
              </w:rPr>
              <w:t xml:space="preserve"> der Erwerb medizinischer Ausrüstung tragen zur Verbesserung der Qualität der Versorgung und zur Gewährleistung eines zeitnahen und umfassenden Zugangs zu Krankenhausbehandlungen bei. </w:t>
            </w:r>
          </w:p>
          <w:p w14:paraId="08A2A073" w14:textId="6C6C3BC2" w:rsidR="00EB245A" w:rsidRDefault="006021EE">
            <w:pPr>
              <w:pStyle w:val="paragraph"/>
              <w:spacing w:before="0" w:beforeAutospacing="0" w:after="0" w:afterAutospacing="0"/>
              <w:textAlignment w:val="baseline"/>
              <w:rPr>
                <w:rStyle w:val="normaltextrun"/>
                <w:noProof/>
                <w:color w:val="000000" w:themeColor="text1"/>
                <w:sz w:val="18"/>
              </w:rPr>
            </w:pPr>
            <w:r>
              <w:rPr>
                <w:rStyle w:val="normaltextrun"/>
                <w:noProof/>
                <w:color w:val="000000" w:themeColor="text1"/>
                <w:sz w:val="18"/>
              </w:rPr>
              <w:t>In den Auswahlkriterien für die Aufforderung zur Einreichung von Vorsch</w:t>
            </w:r>
            <w:r>
              <w:rPr>
                <w:rStyle w:val="normaltextrun"/>
                <w:noProof/>
                <w:color w:val="000000" w:themeColor="text1"/>
                <w:sz w:val="18"/>
              </w:rPr>
              <w:t>lägen im Rahmen des Aufbau- und Resilienzplans wird Folgendes festgelegt:</w:t>
            </w:r>
          </w:p>
          <w:p w14:paraId="13827BC4" w14:textId="56C96C1F" w:rsidR="00EB245A" w:rsidRDefault="006021EE">
            <w:pPr>
              <w:pStyle w:val="Normal0"/>
              <w:numPr>
                <w:ilvl w:val="0"/>
                <w:numId w:val="13"/>
              </w:numPr>
              <w:spacing w:after="0" w:line="240" w:lineRule="auto"/>
              <w:ind w:left="213" w:hanging="142"/>
              <w:rPr>
                <w:rStyle w:val="normaltextrun"/>
                <w:rFonts w:ascii="Times New Roman" w:hAnsi="Times New Roman"/>
                <w:noProof/>
                <w:color w:val="000000" w:themeColor="text1"/>
                <w:sz w:val="18"/>
              </w:rPr>
            </w:pPr>
            <w:r>
              <w:rPr>
                <w:rStyle w:val="normaltextrun"/>
                <w:rFonts w:ascii="Times New Roman" w:hAnsi="Times New Roman"/>
                <w:noProof/>
                <w:color w:val="000000" w:themeColor="text1"/>
                <w:sz w:val="18"/>
              </w:rPr>
              <w:t xml:space="preserve">die Unterstützung erstreckt sich ausschließlich auf Krankenhäuser und Kooperationszentren, die für das Nationale Onkologische Netz qualifiziert sind und Teil der Strukturen dieser </w:t>
            </w:r>
            <w:r>
              <w:rPr>
                <w:rStyle w:val="normaltextrun"/>
                <w:rFonts w:ascii="Times New Roman" w:hAnsi="Times New Roman"/>
                <w:noProof/>
                <w:color w:val="000000" w:themeColor="text1"/>
                <w:sz w:val="18"/>
              </w:rPr>
              <w:t>Krankenhäuser sind;</w:t>
            </w:r>
          </w:p>
          <w:p w14:paraId="176110B5" w14:textId="171C21D5" w:rsidR="00EB245A" w:rsidRDefault="006021EE">
            <w:pPr>
              <w:pStyle w:val="Normal0"/>
              <w:numPr>
                <w:ilvl w:val="0"/>
                <w:numId w:val="13"/>
              </w:numPr>
              <w:spacing w:after="0" w:line="240" w:lineRule="auto"/>
              <w:ind w:left="213" w:hanging="142"/>
              <w:rPr>
                <w:rStyle w:val="normaltextrun"/>
                <w:rFonts w:ascii="Times New Roman" w:hAnsi="Times New Roman"/>
                <w:noProof/>
                <w:color w:val="000000" w:themeColor="text1"/>
                <w:sz w:val="18"/>
              </w:rPr>
            </w:pPr>
            <w:r>
              <w:rPr>
                <w:rStyle w:val="normaltextrun"/>
                <w:rFonts w:ascii="Times New Roman" w:hAnsi="Times New Roman"/>
                <w:noProof/>
                <w:color w:val="000000" w:themeColor="text1"/>
                <w:sz w:val="18"/>
              </w:rPr>
              <w:t xml:space="preserve">ausgewählte Investitionen, einschließlich derjenigen, die auf die kooperierenden ambulanten Pflegezentren ausgerichtet sind, werden nicht aus anderen EU-Mitteln als der Aufbau- und Resilienzfazilität unterstützt. </w:t>
            </w:r>
          </w:p>
          <w:p w14:paraId="418AF506" w14:textId="77777777" w:rsidR="00EB245A" w:rsidRDefault="00EB245A">
            <w:pPr>
              <w:pStyle w:val="Normal0"/>
              <w:spacing w:after="0" w:line="240" w:lineRule="auto"/>
              <w:ind w:left="213"/>
              <w:rPr>
                <w:rStyle w:val="normaltextrun"/>
                <w:rFonts w:ascii="Times New Roman" w:hAnsi="Times New Roman"/>
                <w:noProof/>
                <w:color w:val="000000" w:themeColor="text1"/>
                <w:sz w:val="18"/>
              </w:rPr>
            </w:pPr>
          </w:p>
          <w:p w14:paraId="12F40E89" w14:textId="0978C53A" w:rsidR="00EB245A" w:rsidRDefault="006021EE">
            <w:pPr>
              <w:pStyle w:val="Normal0"/>
              <w:spacing w:after="0" w:line="240" w:lineRule="auto"/>
              <w:textAlignment w:val="baseline"/>
              <w:rPr>
                <w:rStyle w:val="normaltextrun"/>
                <w:rFonts w:ascii="Times New Roman" w:hAnsi="Times New Roman"/>
                <w:noProof/>
                <w:color w:val="000000" w:themeColor="text1"/>
                <w:sz w:val="18"/>
              </w:rPr>
            </w:pPr>
            <w:r>
              <w:rPr>
                <w:rStyle w:val="normaltextrun"/>
                <w:rFonts w:ascii="Times New Roman" w:hAnsi="Times New Roman"/>
                <w:noProof/>
                <w:color w:val="000000" w:themeColor="text1"/>
                <w:sz w:val="18"/>
              </w:rPr>
              <w:t>Die Unterstützung ers</w:t>
            </w:r>
            <w:r>
              <w:rPr>
                <w:rStyle w:val="normaltextrun"/>
                <w:rFonts w:ascii="Times New Roman" w:hAnsi="Times New Roman"/>
                <w:noProof/>
                <w:color w:val="000000" w:themeColor="text1"/>
                <w:sz w:val="18"/>
              </w:rPr>
              <w:t>treckt sich nur auf den Umfang der Tätigkeiten im Zusammenhang mit der Erbringung von Gesundheitsdienstleistungen</w:t>
            </w:r>
            <w:r>
              <w:rPr>
                <w:rStyle w:val="normaltextrun"/>
                <w:noProof/>
                <w:color w:val="000000" w:themeColor="text1"/>
                <w:sz w:val="18"/>
              </w:rPr>
              <w:t>, die aus dem Nationalen Gesundheitsfonds finanziert werden, und nicht auf kommerzielle Tätigkeiten.</w:t>
            </w:r>
            <w:r>
              <w:rPr>
                <w:rStyle w:val="normaltextrun"/>
                <w:rFonts w:ascii="Times New Roman" w:hAnsi="Times New Roman"/>
                <w:noProof/>
                <w:color w:val="000000" w:themeColor="text1"/>
                <w:sz w:val="18"/>
              </w:rPr>
              <w:t xml:space="preserve"> </w:t>
            </w:r>
            <w:r>
              <w:rPr>
                <w:rStyle w:val="normaltextrun"/>
                <w:noProof/>
              </w:rPr>
              <w:t xml:space="preserve"> </w:t>
            </w:r>
          </w:p>
        </w:tc>
      </w:tr>
      <w:tr w:rsidR="00EB245A" w14:paraId="152D953A" w14:textId="77777777" w:rsidTr="006A0208">
        <w:trPr>
          <w:trHeight w:val="313"/>
        </w:trPr>
        <w:tc>
          <w:tcPr>
            <w:tcW w:w="696" w:type="dxa"/>
            <w:shd w:val="clear" w:color="auto" w:fill="C6EFCE"/>
          </w:tcPr>
          <w:p w14:paraId="2100F464" w14:textId="26138865" w:rsidR="00EB245A" w:rsidRDefault="006021EE">
            <w:pPr>
              <w:pStyle w:val="P68B1DB1-Normal011"/>
              <w:pBdr>
                <w:top w:val="nil"/>
                <w:left w:val="nil"/>
                <w:bottom w:val="nil"/>
                <w:right w:val="nil"/>
                <w:between w:val="nil"/>
              </w:pBdr>
              <w:spacing w:after="0" w:line="240" w:lineRule="auto"/>
              <w:rPr>
                <w:noProof/>
              </w:rPr>
            </w:pPr>
            <w:r>
              <w:rPr>
                <w:noProof/>
              </w:rPr>
              <w:t>D10bG</w:t>
            </w:r>
          </w:p>
        </w:tc>
        <w:tc>
          <w:tcPr>
            <w:tcW w:w="2069" w:type="dxa"/>
            <w:shd w:val="clear" w:color="auto" w:fill="C6EFCE"/>
          </w:tcPr>
          <w:p w14:paraId="3CAC5574" w14:textId="0C382BC3" w:rsidR="00EB245A" w:rsidRDefault="006021EE">
            <w:pPr>
              <w:pStyle w:val="P68B1DB1-Normal012"/>
              <w:pBdr>
                <w:top w:val="nil"/>
                <w:left w:val="nil"/>
                <w:bottom w:val="nil"/>
                <w:right w:val="nil"/>
                <w:between w:val="nil"/>
              </w:pBdr>
              <w:spacing w:after="0" w:line="240" w:lineRule="auto"/>
              <w:rPr>
                <w:noProof/>
              </w:rPr>
            </w:pPr>
            <w:r>
              <w:rPr>
                <w:noProof/>
              </w:rPr>
              <w:t xml:space="preserve">D1.1.1 Entwicklung und </w:t>
            </w:r>
            <w:r>
              <w:rPr>
                <w:noProof/>
              </w:rPr>
              <w:t>Modernisierung der Infrastruktur hochspezialisierter Pflegezentren und anderer Gesundheitsdienstleister</w:t>
            </w:r>
          </w:p>
        </w:tc>
        <w:tc>
          <w:tcPr>
            <w:tcW w:w="1204" w:type="dxa"/>
            <w:shd w:val="clear" w:color="auto" w:fill="C6EFCE"/>
          </w:tcPr>
          <w:p w14:paraId="3A5714AA" w14:textId="657412B6" w:rsidR="00EB245A" w:rsidRDefault="006021EE">
            <w:pPr>
              <w:pStyle w:val="P68B1DB1-Normal012"/>
              <w:pBdr>
                <w:top w:val="nil"/>
                <w:left w:val="nil"/>
                <w:bottom w:val="nil"/>
                <w:right w:val="nil"/>
                <w:between w:val="nil"/>
              </w:pBdr>
              <w:spacing w:after="0" w:line="240" w:lineRule="auto"/>
              <w:rPr>
                <w:noProof/>
              </w:rPr>
            </w:pPr>
            <w:r>
              <w:rPr>
                <w:noProof/>
              </w:rPr>
              <w:t>Meilenstein</w:t>
            </w:r>
          </w:p>
        </w:tc>
        <w:tc>
          <w:tcPr>
            <w:tcW w:w="1560" w:type="dxa"/>
            <w:shd w:val="clear" w:color="auto" w:fill="C6EFCE"/>
          </w:tcPr>
          <w:p w14:paraId="71AD31DD" w14:textId="63591D90" w:rsidR="00EB245A" w:rsidRDefault="006021EE">
            <w:pPr>
              <w:pStyle w:val="paragraph"/>
              <w:spacing w:before="0" w:beforeAutospacing="0" w:after="0" w:afterAutospacing="0"/>
              <w:textAlignment w:val="baseline"/>
              <w:rPr>
                <w:noProof/>
                <w:sz w:val="18"/>
              </w:rPr>
            </w:pPr>
            <w:r>
              <w:rPr>
                <w:rStyle w:val="normaltextrun"/>
                <w:noProof/>
                <w:color w:val="000000" w:themeColor="text1"/>
                <w:sz w:val="18"/>
              </w:rPr>
              <w:t>Aufforderung zur Einreichung von Vorschlägen für Krankenhäuser (im Rahmen des nationalen kardiologischen Netzes), die Finanzmittel beantrage</w:t>
            </w:r>
            <w:r>
              <w:rPr>
                <w:rStyle w:val="normaltextrun"/>
                <w:noProof/>
                <w:color w:val="000000" w:themeColor="text1"/>
                <w:sz w:val="18"/>
              </w:rPr>
              <w:t xml:space="preserve">n </w:t>
            </w:r>
          </w:p>
          <w:p w14:paraId="39C08936" w14:textId="77777777" w:rsidR="00EB245A" w:rsidRDefault="00EB245A">
            <w:pPr>
              <w:pStyle w:val="paragraph"/>
              <w:spacing w:before="0" w:beforeAutospacing="0" w:after="0" w:afterAutospacing="0"/>
              <w:textAlignment w:val="baseline"/>
              <w:rPr>
                <w:rStyle w:val="normaltextrun"/>
                <w:noProof/>
                <w:color w:val="000000" w:themeColor="text1"/>
                <w:sz w:val="18"/>
              </w:rPr>
            </w:pPr>
          </w:p>
        </w:tc>
        <w:tc>
          <w:tcPr>
            <w:tcW w:w="1842" w:type="dxa"/>
            <w:shd w:val="clear" w:color="auto" w:fill="C6EFCE"/>
          </w:tcPr>
          <w:p w14:paraId="2A5CB316" w14:textId="7615DC06" w:rsidR="00EB245A" w:rsidRDefault="006021EE">
            <w:pPr>
              <w:pStyle w:val="P68B1DB1-Normal012"/>
              <w:pBdr>
                <w:top w:val="nil"/>
                <w:left w:val="nil"/>
                <w:bottom w:val="nil"/>
                <w:right w:val="nil"/>
                <w:between w:val="nil"/>
              </w:pBdr>
              <w:spacing w:after="0" w:line="240" w:lineRule="auto"/>
              <w:rPr>
                <w:noProof/>
                <w:color w:val="000000" w:themeColor="text1"/>
              </w:rPr>
            </w:pPr>
            <w:r>
              <w:rPr>
                <w:noProof/>
              </w:rPr>
              <w:t>Veröffentlichung der ersten Aufforderung zur Einreichung von Vorschlägen</w:t>
            </w:r>
          </w:p>
        </w:tc>
        <w:tc>
          <w:tcPr>
            <w:tcW w:w="1134" w:type="dxa"/>
            <w:shd w:val="clear" w:color="auto" w:fill="C6EFCE"/>
          </w:tcPr>
          <w:p w14:paraId="414F1DFF"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p>
        </w:tc>
        <w:tc>
          <w:tcPr>
            <w:tcW w:w="1418" w:type="dxa"/>
            <w:shd w:val="clear" w:color="auto" w:fill="C6EFCE"/>
          </w:tcPr>
          <w:p w14:paraId="133E92A9" w14:textId="77777777"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themeColor="text1"/>
                <w:sz w:val="18"/>
              </w:rPr>
            </w:pPr>
          </w:p>
        </w:tc>
        <w:tc>
          <w:tcPr>
            <w:tcW w:w="850" w:type="dxa"/>
            <w:shd w:val="clear" w:color="auto" w:fill="C6EFCE"/>
          </w:tcPr>
          <w:p w14:paraId="628D1AC2" w14:textId="77777777"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themeColor="text1"/>
                <w:sz w:val="18"/>
              </w:rPr>
            </w:pPr>
          </w:p>
        </w:tc>
        <w:tc>
          <w:tcPr>
            <w:tcW w:w="851" w:type="dxa"/>
            <w:shd w:val="clear" w:color="auto" w:fill="C6EFCE"/>
          </w:tcPr>
          <w:p w14:paraId="5A487B9C" w14:textId="3B9C13A1" w:rsidR="00EB245A" w:rsidRDefault="006021EE">
            <w:pPr>
              <w:pStyle w:val="P68B1DB1-Normal012"/>
              <w:spacing w:after="0" w:line="240" w:lineRule="auto"/>
              <w:jc w:val="center"/>
              <w:rPr>
                <w:noProof/>
                <w:color w:val="000000" w:themeColor="text1"/>
              </w:rPr>
            </w:pPr>
            <w:r>
              <w:rPr>
                <w:noProof/>
              </w:rPr>
              <w:t>Q4</w:t>
            </w:r>
          </w:p>
        </w:tc>
        <w:tc>
          <w:tcPr>
            <w:tcW w:w="992" w:type="dxa"/>
            <w:shd w:val="clear" w:color="auto" w:fill="C6EFCE"/>
          </w:tcPr>
          <w:p w14:paraId="29BB0888" w14:textId="33E15ADE" w:rsidR="00EB245A" w:rsidRDefault="006021EE">
            <w:pPr>
              <w:pStyle w:val="P68B1DB1-Normal012"/>
              <w:spacing w:after="0" w:line="240" w:lineRule="auto"/>
              <w:jc w:val="center"/>
              <w:rPr>
                <w:noProof/>
                <w:color w:val="000000" w:themeColor="text1"/>
              </w:rPr>
            </w:pPr>
            <w:r>
              <w:rPr>
                <w:noProof/>
              </w:rPr>
              <w:t>2024</w:t>
            </w:r>
          </w:p>
        </w:tc>
        <w:tc>
          <w:tcPr>
            <w:tcW w:w="2835" w:type="dxa"/>
            <w:shd w:val="clear" w:color="auto" w:fill="C6EFCE"/>
          </w:tcPr>
          <w:p w14:paraId="627322A3" w14:textId="7A012645" w:rsidR="00EB245A" w:rsidRDefault="006021EE">
            <w:pPr>
              <w:spacing w:after="120" w:line="240" w:lineRule="auto"/>
              <w:rPr>
                <w:rStyle w:val="normaltextrun"/>
                <w:rFonts w:ascii="Times New Roman" w:eastAsia="Times New Roman" w:hAnsi="Times New Roman" w:cs="Times New Roman"/>
                <w:noProof/>
                <w:color w:val="000000" w:themeColor="text1"/>
                <w:sz w:val="18"/>
              </w:rPr>
            </w:pPr>
            <w:r>
              <w:rPr>
                <w:rStyle w:val="normaltextrun"/>
                <w:rFonts w:ascii="Times New Roman" w:hAnsi="Times New Roman"/>
                <w:noProof/>
                <w:color w:val="000000" w:themeColor="text1"/>
                <w:sz w:val="18"/>
              </w:rPr>
              <w:t xml:space="preserve">Die erste Aufforderung zur Einreichung von Vorschlägen für Krankenhäuser (im Rahmen des nationalen kardiologischen Netzes) für Infrastrukturinvestitionen oder für den </w:t>
            </w:r>
            <w:r>
              <w:rPr>
                <w:rStyle w:val="normaltextrun"/>
                <w:rFonts w:ascii="Times New Roman" w:hAnsi="Times New Roman"/>
                <w:noProof/>
                <w:color w:val="000000" w:themeColor="text1"/>
                <w:sz w:val="18"/>
              </w:rPr>
              <w:t>Erwerb oder die Modernisierung medizinischer Ausrüstung wird veröffentlicht.</w:t>
            </w:r>
          </w:p>
          <w:p w14:paraId="42242C1B" w14:textId="04B58CC0" w:rsidR="00EB245A" w:rsidRDefault="006021EE">
            <w:pPr>
              <w:spacing w:after="120" w:line="240" w:lineRule="auto"/>
              <w:rPr>
                <w:rStyle w:val="normaltextrun"/>
                <w:rFonts w:ascii="Times New Roman" w:eastAsia="Times New Roman" w:hAnsi="Times New Roman" w:cs="Times New Roman"/>
                <w:noProof/>
                <w:color w:val="000000" w:themeColor="text1"/>
                <w:sz w:val="18"/>
              </w:rPr>
            </w:pPr>
            <w:r>
              <w:rPr>
                <w:rStyle w:val="normaltextrun"/>
                <w:rFonts w:ascii="Times New Roman" w:hAnsi="Times New Roman"/>
                <w:noProof/>
                <w:color w:val="000000" w:themeColor="text1"/>
                <w:sz w:val="18"/>
              </w:rPr>
              <w:t xml:space="preserve">Die Aufforderung zur Einreichung von Vorschlägen beruht auf den nachstehenden Kriterien und klaren und transparenten Verfahren. </w:t>
            </w:r>
          </w:p>
          <w:p w14:paraId="20FE422D" w14:textId="62FD8586" w:rsidR="00EB245A" w:rsidRDefault="006021EE">
            <w:pPr>
              <w:pStyle w:val="paragraph"/>
              <w:spacing w:before="0" w:beforeAutospacing="0" w:after="0" w:afterAutospacing="0"/>
              <w:textAlignment w:val="baseline"/>
              <w:rPr>
                <w:rStyle w:val="normaltextrun"/>
                <w:rFonts w:eastAsia="Calibri"/>
                <w:noProof/>
                <w:color w:val="000000" w:themeColor="text1"/>
                <w:sz w:val="18"/>
              </w:rPr>
            </w:pPr>
            <w:r>
              <w:rPr>
                <w:rStyle w:val="normaltextrun"/>
                <w:noProof/>
                <w:color w:val="000000" w:themeColor="text1"/>
                <w:sz w:val="18"/>
              </w:rPr>
              <w:t>Die Auswahl der Aufforderung stützt sich auf folge</w:t>
            </w:r>
            <w:r>
              <w:rPr>
                <w:rStyle w:val="normaltextrun"/>
                <w:noProof/>
                <w:color w:val="000000" w:themeColor="text1"/>
                <w:sz w:val="18"/>
              </w:rPr>
              <w:t>nde Kriterien:</w:t>
            </w:r>
          </w:p>
          <w:p w14:paraId="0AE739DB" w14:textId="37344F45" w:rsidR="00EB245A" w:rsidRDefault="006021EE">
            <w:pPr>
              <w:pStyle w:val="paragraph"/>
              <w:spacing w:before="0" w:beforeAutospacing="0" w:after="0" w:afterAutospacing="0"/>
              <w:textAlignment w:val="baseline"/>
              <w:rPr>
                <w:rStyle w:val="normaltextrun"/>
                <w:noProof/>
                <w:color w:val="000000" w:themeColor="text1"/>
                <w:sz w:val="18"/>
              </w:rPr>
            </w:pPr>
            <w:r>
              <w:rPr>
                <w:rStyle w:val="normaltextrun"/>
                <w:noProof/>
                <w:color w:val="000000" w:themeColor="text1"/>
                <w:sz w:val="18"/>
              </w:rPr>
              <w:t>— Abdeckung (z. B. erfasste Bevölkerung; erfasste Leistungen; Notwendigkeit eines zeitnahen Zugangs zur Gesundheitsversorgung);</w:t>
            </w:r>
            <w:r>
              <w:rPr>
                <w:rStyle w:val="normaltextrun"/>
                <w:noProof/>
              </w:rPr>
              <w:t xml:space="preserve"> </w:t>
            </w:r>
            <w:r>
              <w:rPr>
                <w:rStyle w:val="normaltextrun"/>
                <w:noProof/>
                <w:color w:val="000000" w:themeColor="text1"/>
                <w:sz w:val="18"/>
              </w:rPr>
              <w:t xml:space="preserve"> </w:t>
            </w:r>
            <w:r>
              <w:rPr>
                <w:noProof/>
              </w:rPr>
              <w:t xml:space="preserve"> </w:t>
            </w:r>
            <w:r>
              <w:rPr>
                <w:noProof/>
              </w:rPr>
              <w:br/>
            </w:r>
            <w:r>
              <w:rPr>
                <w:rStyle w:val="normaltextrun"/>
                <w:noProof/>
                <w:color w:val="000000" w:themeColor="text1"/>
                <w:sz w:val="18"/>
              </w:rPr>
              <w:t>Gerechtigkeit (z. B. gleichberechtigter Zugang bei Lieferung und Nutzung);</w:t>
            </w:r>
            <w:r>
              <w:rPr>
                <w:rStyle w:val="normaltextrun"/>
                <w:noProof/>
              </w:rPr>
              <w:t xml:space="preserve"> </w:t>
            </w:r>
            <w:r>
              <w:rPr>
                <w:rStyle w:val="normaltextrun"/>
                <w:noProof/>
                <w:color w:val="000000" w:themeColor="text1"/>
                <w:sz w:val="18"/>
              </w:rPr>
              <w:t xml:space="preserve"> </w:t>
            </w:r>
            <w:r>
              <w:rPr>
                <w:noProof/>
              </w:rPr>
              <w:t xml:space="preserve"> </w:t>
            </w:r>
            <w:r>
              <w:rPr>
                <w:noProof/>
              </w:rPr>
              <w:br/>
            </w:r>
            <w:r>
              <w:rPr>
                <w:rStyle w:val="normaltextrun"/>
                <w:noProof/>
                <w:color w:val="000000" w:themeColor="text1"/>
                <w:sz w:val="18"/>
              </w:rPr>
              <w:t xml:space="preserve">Effizienz (z. B. Krankenhäuser, </w:t>
            </w:r>
            <w:r>
              <w:rPr>
                <w:rStyle w:val="normaltextrun"/>
                <w:noProof/>
                <w:color w:val="000000" w:themeColor="text1"/>
                <w:sz w:val="18"/>
              </w:rPr>
              <w:t xml:space="preserve">die eine wirtschaftliche Haushaltsführung anstreben, oder Krankenhäuser, die sich in einer Umstrukturierung befinden, um die Schulden nachhaltig anzugehen); </w:t>
            </w:r>
          </w:p>
          <w:p w14:paraId="71FCC7E8" w14:textId="42124DEE" w:rsidR="00EB245A" w:rsidRDefault="006021EE">
            <w:pPr>
              <w:pStyle w:val="paragraph"/>
              <w:spacing w:before="0" w:beforeAutospacing="0" w:after="0" w:afterAutospacing="0"/>
              <w:textAlignment w:val="baseline"/>
              <w:rPr>
                <w:rStyle w:val="normaltextrun"/>
                <w:noProof/>
                <w:color w:val="000000" w:themeColor="text1"/>
                <w:sz w:val="18"/>
              </w:rPr>
            </w:pPr>
            <w:r>
              <w:rPr>
                <w:rStyle w:val="normaltextrun"/>
                <w:noProof/>
                <w:color w:val="000000" w:themeColor="text1"/>
                <w:sz w:val="18"/>
              </w:rPr>
              <w:t>— Qualität der Versorgung und</w:t>
            </w:r>
            <w:r>
              <w:rPr>
                <w:noProof/>
              </w:rPr>
              <w:t xml:space="preserve"> </w:t>
            </w:r>
            <w:r>
              <w:rPr>
                <w:noProof/>
              </w:rPr>
              <w:br/>
            </w:r>
            <w:r>
              <w:rPr>
                <w:rStyle w:val="normaltextrun"/>
                <w:noProof/>
                <w:color w:val="000000" w:themeColor="text1"/>
                <w:sz w:val="18"/>
              </w:rPr>
              <w:t xml:space="preserve">— Verfügbarkeit von Ressourcen (z. B. personelle und finanzielle </w:t>
            </w:r>
            <w:r>
              <w:rPr>
                <w:rStyle w:val="normaltextrun"/>
                <w:noProof/>
                <w:color w:val="000000" w:themeColor="text1"/>
                <w:sz w:val="18"/>
              </w:rPr>
              <w:t>Ressourcen).</w:t>
            </w:r>
          </w:p>
          <w:p w14:paraId="607B6687" w14:textId="77777777" w:rsidR="00EB245A" w:rsidRDefault="00EB245A">
            <w:pPr>
              <w:pStyle w:val="paragraph"/>
              <w:spacing w:before="0" w:beforeAutospacing="0" w:after="0" w:afterAutospacing="0"/>
              <w:textAlignment w:val="baseline"/>
              <w:rPr>
                <w:rStyle w:val="normaltextrun"/>
                <w:noProof/>
                <w:color w:val="000000" w:themeColor="text1"/>
                <w:sz w:val="18"/>
              </w:rPr>
            </w:pPr>
          </w:p>
          <w:p w14:paraId="074322B9" w14:textId="56647B9B" w:rsidR="00EB245A" w:rsidRDefault="006021EE">
            <w:pPr>
              <w:pStyle w:val="paragraph"/>
              <w:spacing w:before="0" w:beforeAutospacing="0" w:after="0" w:afterAutospacing="0"/>
              <w:textAlignment w:val="baseline"/>
              <w:rPr>
                <w:rStyle w:val="normaltextrun"/>
                <w:noProof/>
                <w:color w:val="000000" w:themeColor="text1"/>
                <w:sz w:val="18"/>
              </w:rPr>
            </w:pPr>
            <w:r>
              <w:rPr>
                <w:rStyle w:val="normaltextrun"/>
                <w:noProof/>
                <w:color w:val="000000" w:themeColor="text1"/>
                <w:sz w:val="18"/>
              </w:rPr>
              <w:t>Die Unterstützung erstreckt sich nur auf den Umfang der Tätigkeiten im Zusammenhang mit der Erbringung von Gesundheitsdienstleistungen, die aus dem Nationalen Gesundheitsfonds finanziert werden, und nicht auf kommerzielle Tätigkeiten.</w:t>
            </w:r>
          </w:p>
        </w:tc>
      </w:tr>
      <w:tr w:rsidR="00EB245A" w14:paraId="0BF46816" w14:textId="77777777" w:rsidTr="006A0208">
        <w:trPr>
          <w:trHeight w:val="313"/>
        </w:trPr>
        <w:tc>
          <w:tcPr>
            <w:tcW w:w="696" w:type="dxa"/>
            <w:shd w:val="clear" w:color="auto" w:fill="C6EFCE"/>
          </w:tcPr>
          <w:p w14:paraId="6AD4DBB2" w14:textId="46E56CEB" w:rsidR="00EB245A" w:rsidRDefault="006021EE">
            <w:pPr>
              <w:pStyle w:val="P68B1DB1-Normal011"/>
              <w:pBdr>
                <w:top w:val="nil"/>
                <w:left w:val="nil"/>
                <w:bottom w:val="nil"/>
                <w:right w:val="nil"/>
                <w:between w:val="nil"/>
              </w:pBdr>
              <w:spacing w:after="0" w:line="240" w:lineRule="auto"/>
              <w:jc w:val="center"/>
              <w:rPr>
                <w:noProof/>
              </w:rPr>
            </w:pPr>
            <w:r>
              <w:rPr>
                <w:noProof/>
              </w:rPr>
              <w:t>D10cG</w:t>
            </w:r>
          </w:p>
        </w:tc>
        <w:tc>
          <w:tcPr>
            <w:tcW w:w="2069" w:type="dxa"/>
            <w:shd w:val="clear" w:color="auto" w:fill="C6EFCE"/>
          </w:tcPr>
          <w:p w14:paraId="02FD229F" w14:textId="73731B6C" w:rsidR="00EB245A" w:rsidRDefault="006021EE">
            <w:pPr>
              <w:pStyle w:val="P68B1DB1-Normal012"/>
              <w:pBdr>
                <w:top w:val="nil"/>
                <w:left w:val="nil"/>
                <w:bottom w:val="nil"/>
                <w:right w:val="nil"/>
                <w:between w:val="nil"/>
              </w:pBdr>
              <w:spacing w:after="0" w:line="240" w:lineRule="auto"/>
              <w:rPr>
                <w:noProof/>
              </w:rPr>
            </w:pPr>
            <w:r>
              <w:rPr>
                <w:noProof/>
              </w:rPr>
              <w:t>D1.1.1 Entwicklung und Modernisierung der Infrastruktur hochspezialisierter Pflegezentren und anderer Gesundheitsdienstleister</w:t>
            </w:r>
          </w:p>
        </w:tc>
        <w:tc>
          <w:tcPr>
            <w:tcW w:w="1204" w:type="dxa"/>
            <w:shd w:val="clear" w:color="auto" w:fill="C6EFCE"/>
          </w:tcPr>
          <w:p w14:paraId="4425D10E" w14:textId="3589BF27" w:rsidR="00EB245A" w:rsidRDefault="006021EE">
            <w:pPr>
              <w:pStyle w:val="P68B1DB1-Normal012"/>
              <w:pBdr>
                <w:top w:val="nil"/>
                <w:left w:val="nil"/>
                <w:bottom w:val="nil"/>
                <w:right w:val="nil"/>
                <w:between w:val="nil"/>
              </w:pBdr>
              <w:spacing w:after="0" w:line="240" w:lineRule="auto"/>
              <w:rPr>
                <w:noProof/>
              </w:rPr>
            </w:pPr>
            <w:r>
              <w:rPr>
                <w:noProof/>
              </w:rPr>
              <w:t>Meilenstein</w:t>
            </w:r>
          </w:p>
        </w:tc>
        <w:tc>
          <w:tcPr>
            <w:tcW w:w="1560" w:type="dxa"/>
            <w:shd w:val="clear" w:color="auto" w:fill="C6EFCE"/>
          </w:tcPr>
          <w:p w14:paraId="79D1CEC4" w14:textId="0AC8D284" w:rsidR="00EB245A" w:rsidRDefault="006021EE">
            <w:pPr>
              <w:pStyle w:val="paragraph"/>
              <w:spacing w:before="0" w:beforeAutospacing="0" w:after="0" w:afterAutospacing="0"/>
              <w:textAlignment w:val="baseline"/>
              <w:rPr>
                <w:rStyle w:val="normaltextrun"/>
                <w:noProof/>
                <w:color w:val="000000" w:themeColor="text1"/>
                <w:sz w:val="18"/>
              </w:rPr>
            </w:pPr>
            <w:r>
              <w:rPr>
                <w:rStyle w:val="normaltextrun"/>
                <w:noProof/>
                <w:color w:val="000000" w:themeColor="text1"/>
                <w:sz w:val="18"/>
              </w:rPr>
              <w:t>Aufforderung zur Einreichung von Vorschlägen für Krankenhäuser, die eine Finanzierung beantragen</w:t>
            </w:r>
          </w:p>
        </w:tc>
        <w:tc>
          <w:tcPr>
            <w:tcW w:w="1842" w:type="dxa"/>
            <w:shd w:val="clear" w:color="auto" w:fill="C6EFCE"/>
          </w:tcPr>
          <w:p w14:paraId="00F62D64" w14:textId="4C9C8835" w:rsidR="00EB245A" w:rsidRDefault="006021EE">
            <w:pPr>
              <w:pStyle w:val="P68B1DB1-Normal012"/>
              <w:pBdr>
                <w:top w:val="nil"/>
                <w:left w:val="nil"/>
                <w:bottom w:val="nil"/>
                <w:right w:val="nil"/>
                <w:between w:val="nil"/>
              </w:pBdr>
              <w:spacing w:after="0" w:line="240" w:lineRule="auto"/>
              <w:rPr>
                <w:noProof/>
                <w:color w:val="000000" w:themeColor="text1"/>
              </w:rPr>
            </w:pPr>
            <w:r>
              <w:rPr>
                <w:noProof/>
              </w:rPr>
              <w:t>Veröffentlichung der</w:t>
            </w:r>
            <w:r>
              <w:rPr>
                <w:noProof/>
              </w:rPr>
              <w:t xml:space="preserve"> ersten Aufforderung zur Einreichung von Vorschlägen</w:t>
            </w:r>
          </w:p>
        </w:tc>
        <w:tc>
          <w:tcPr>
            <w:tcW w:w="1134" w:type="dxa"/>
            <w:shd w:val="clear" w:color="auto" w:fill="C6EFCE"/>
          </w:tcPr>
          <w:p w14:paraId="7F38164A"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p>
        </w:tc>
        <w:tc>
          <w:tcPr>
            <w:tcW w:w="1418" w:type="dxa"/>
            <w:shd w:val="clear" w:color="auto" w:fill="C6EFCE"/>
          </w:tcPr>
          <w:p w14:paraId="25BC013B" w14:textId="77777777"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themeColor="text1"/>
                <w:sz w:val="18"/>
              </w:rPr>
            </w:pPr>
          </w:p>
        </w:tc>
        <w:tc>
          <w:tcPr>
            <w:tcW w:w="850" w:type="dxa"/>
            <w:shd w:val="clear" w:color="auto" w:fill="C6EFCE"/>
          </w:tcPr>
          <w:p w14:paraId="38880C7A" w14:textId="77777777"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themeColor="text1"/>
                <w:sz w:val="18"/>
              </w:rPr>
            </w:pPr>
          </w:p>
        </w:tc>
        <w:tc>
          <w:tcPr>
            <w:tcW w:w="851" w:type="dxa"/>
            <w:shd w:val="clear" w:color="auto" w:fill="C6EFCE"/>
          </w:tcPr>
          <w:p w14:paraId="56536834" w14:textId="256FB54F" w:rsidR="00EB245A" w:rsidRDefault="006021EE">
            <w:pPr>
              <w:pStyle w:val="P68B1DB1-Normal012"/>
              <w:spacing w:after="0" w:line="240" w:lineRule="auto"/>
              <w:jc w:val="center"/>
              <w:rPr>
                <w:noProof/>
                <w:color w:val="000000" w:themeColor="text1"/>
              </w:rPr>
            </w:pPr>
            <w:r>
              <w:rPr>
                <w:noProof/>
              </w:rPr>
              <w:t>Q4</w:t>
            </w:r>
          </w:p>
        </w:tc>
        <w:tc>
          <w:tcPr>
            <w:tcW w:w="992" w:type="dxa"/>
            <w:shd w:val="clear" w:color="auto" w:fill="C6EFCE"/>
          </w:tcPr>
          <w:p w14:paraId="58D18275" w14:textId="3966640C" w:rsidR="00EB245A" w:rsidRDefault="006021EE">
            <w:pPr>
              <w:pStyle w:val="P68B1DB1-Normal012"/>
              <w:spacing w:after="0" w:line="240" w:lineRule="auto"/>
              <w:jc w:val="center"/>
              <w:rPr>
                <w:noProof/>
                <w:color w:val="000000" w:themeColor="text1"/>
              </w:rPr>
            </w:pPr>
            <w:r>
              <w:rPr>
                <w:noProof/>
              </w:rPr>
              <w:t>2024</w:t>
            </w:r>
          </w:p>
        </w:tc>
        <w:tc>
          <w:tcPr>
            <w:tcW w:w="2835" w:type="dxa"/>
            <w:shd w:val="clear" w:color="auto" w:fill="C6EFCE"/>
          </w:tcPr>
          <w:p w14:paraId="27B60FFC" w14:textId="48C28E6A" w:rsidR="00EB245A" w:rsidRDefault="006021EE">
            <w:pPr>
              <w:pStyle w:val="paragraph"/>
              <w:spacing w:before="0" w:beforeAutospacing="0" w:after="0" w:afterAutospacing="0"/>
              <w:textAlignment w:val="baseline"/>
              <w:rPr>
                <w:rStyle w:val="normaltextrun"/>
                <w:noProof/>
                <w:color w:val="000000" w:themeColor="text1"/>
                <w:sz w:val="18"/>
              </w:rPr>
            </w:pPr>
            <w:r>
              <w:rPr>
                <w:rStyle w:val="normaltextrun"/>
                <w:noProof/>
                <w:color w:val="000000" w:themeColor="text1"/>
                <w:sz w:val="18"/>
              </w:rPr>
              <w:t xml:space="preserve">Die erste Aufforderung zur Einreichung von Vorschlägen für Krankenhäuser, die sich in einem Umstrukturierungsprozess gemäß Meilenstein D1G für Infrastrukturinvestitionen oder den Erwerb oder </w:t>
            </w:r>
            <w:r>
              <w:rPr>
                <w:rStyle w:val="normaltextrun"/>
                <w:noProof/>
                <w:color w:val="000000" w:themeColor="text1"/>
                <w:sz w:val="18"/>
              </w:rPr>
              <w:t>die Modernisierung medizinischer Ausrüstung befinden, wird veröffentlicht.</w:t>
            </w:r>
          </w:p>
          <w:p w14:paraId="687C6E74" w14:textId="77777777" w:rsidR="00EB245A" w:rsidRDefault="00EB245A">
            <w:pPr>
              <w:pStyle w:val="paragraph"/>
              <w:spacing w:before="0" w:beforeAutospacing="0" w:after="0" w:afterAutospacing="0"/>
              <w:textAlignment w:val="baseline"/>
              <w:rPr>
                <w:rStyle w:val="normaltextrun"/>
                <w:noProof/>
                <w:color w:val="000000" w:themeColor="text1"/>
                <w:sz w:val="18"/>
              </w:rPr>
            </w:pPr>
          </w:p>
          <w:p w14:paraId="6B5C75E7" w14:textId="70B8F318" w:rsidR="00EB245A" w:rsidRDefault="006021EE">
            <w:pPr>
              <w:pStyle w:val="paragraph"/>
              <w:spacing w:before="0" w:beforeAutospacing="0" w:after="0" w:afterAutospacing="0"/>
              <w:textAlignment w:val="baseline"/>
              <w:rPr>
                <w:rStyle w:val="normaltextrun"/>
                <w:noProof/>
                <w:color w:val="000000" w:themeColor="text1"/>
                <w:sz w:val="18"/>
              </w:rPr>
            </w:pPr>
            <w:r>
              <w:rPr>
                <w:rStyle w:val="normaltextrun"/>
                <w:noProof/>
                <w:color w:val="000000" w:themeColor="text1"/>
                <w:sz w:val="18"/>
              </w:rPr>
              <w:t>Die Aufforderung zur Einreichung von Vorschlägen beruht auf den nachstehenden Kriterien und klaren und transparenten Verfahren.</w:t>
            </w:r>
          </w:p>
          <w:p w14:paraId="46A68516" w14:textId="08A6356E" w:rsidR="00EB245A" w:rsidRDefault="006021EE">
            <w:pPr>
              <w:pStyle w:val="paragraph"/>
              <w:spacing w:before="0" w:beforeAutospacing="0" w:after="0" w:afterAutospacing="0"/>
              <w:textAlignment w:val="baseline"/>
              <w:rPr>
                <w:rStyle w:val="normaltextrun"/>
                <w:noProof/>
                <w:color w:val="000000" w:themeColor="text1"/>
                <w:sz w:val="18"/>
              </w:rPr>
            </w:pPr>
            <w:r>
              <w:rPr>
                <w:rStyle w:val="normaltextrun"/>
                <w:noProof/>
                <w:color w:val="000000" w:themeColor="text1"/>
                <w:sz w:val="18"/>
              </w:rPr>
              <w:t xml:space="preserve"> </w:t>
            </w:r>
          </w:p>
          <w:p w14:paraId="7D4C7CF9" w14:textId="77777777" w:rsidR="00EB245A" w:rsidRDefault="006021EE">
            <w:pPr>
              <w:pStyle w:val="paragraph"/>
              <w:spacing w:before="0" w:beforeAutospacing="0" w:after="0" w:afterAutospacing="0"/>
              <w:textAlignment w:val="baseline"/>
              <w:rPr>
                <w:rStyle w:val="normaltextrun"/>
                <w:rFonts w:eastAsia="Calibri"/>
                <w:noProof/>
                <w:color w:val="000000" w:themeColor="text1"/>
                <w:sz w:val="18"/>
              </w:rPr>
            </w:pPr>
            <w:r>
              <w:rPr>
                <w:rStyle w:val="normaltextrun"/>
                <w:noProof/>
                <w:color w:val="000000" w:themeColor="text1"/>
                <w:sz w:val="18"/>
              </w:rPr>
              <w:t>Die Auswahl der Aufforderung stützt sich auf folge</w:t>
            </w:r>
            <w:r>
              <w:rPr>
                <w:rStyle w:val="normaltextrun"/>
                <w:noProof/>
                <w:color w:val="000000" w:themeColor="text1"/>
                <w:sz w:val="18"/>
              </w:rPr>
              <w:t>nde Kriterien:</w:t>
            </w:r>
          </w:p>
          <w:p w14:paraId="126208DB" w14:textId="686D67B8" w:rsidR="00EB245A" w:rsidRDefault="006021EE">
            <w:pPr>
              <w:pStyle w:val="paragraph"/>
              <w:spacing w:before="0" w:beforeAutospacing="0" w:after="0" w:afterAutospacing="0"/>
              <w:textAlignment w:val="baseline"/>
              <w:rPr>
                <w:rStyle w:val="normaltextrun"/>
                <w:noProof/>
                <w:color w:val="000000" w:themeColor="text1"/>
                <w:sz w:val="18"/>
              </w:rPr>
            </w:pPr>
            <w:r>
              <w:rPr>
                <w:rStyle w:val="normaltextrun"/>
                <w:noProof/>
                <w:color w:val="000000" w:themeColor="text1"/>
                <w:sz w:val="18"/>
              </w:rPr>
              <w:t xml:space="preserve">— Abdeckung (z. B. erfasste Bevölkerung; erfasste Leistungen; Notwendigkeit eines zeitnahen Zugangs zur Gesundheitsversorgung); </w:t>
            </w:r>
            <w:r>
              <w:rPr>
                <w:noProof/>
              </w:rPr>
              <w:t xml:space="preserve">  </w:t>
            </w:r>
            <w:r>
              <w:rPr>
                <w:noProof/>
              </w:rPr>
              <w:br/>
            </w:r>
            <w:r>
              <w:rPr>
                <w:rStyle w:val="normaltextrun"/>
                <w:noProof/>
                <w:color w:val="000000" w:themeColor="text1"/>
                <w:sz w:val="18"/>
              </w:rPr>
              <w:t xml:space="preserve">Gerechtigkeit (z. B. gleichberechtigter Zugang bei Lieferung und Nutzung); </w:t>
            </w:r>
            <w:r>
              <w:rPr>
                <w:noProof/>
              </w:rPr>
              <w:t xml:space="preserve"> </w:t>
            </w:r>
            <w:r>
              <w:rPr>
                <w:noProof/>
              </w:rPr>
              <w:br/>
            </w:r>
            <w:r>
              <w:rPr>
                <w:rStyle w:val="normaltextrun"/>
                <w:noProof/>
                <w:color w:val="000000" w:themeColor="text1"/>
                <w:sz w:val="18"/>
              </w:rPr>
              <w:t>Effizienz (z. B.</w:t>
            </w:r>
            <w:r>
              <w:rPr>
                <w:rStyle w:val="normaltextrun"/>
                <w:noProof/>
              </w:rPr>
              <w:t xml:space="preserve"> </w:t>
            </w:r>
            <w:r>
              <w:rPr>
                <w:rStyle w:val="normaltextrun"/>
                <w:noProof/>
                <w:color w:val="000000" w:themeColor="text1"/>
                <w:sz w:val="18"/>
              </w:rPr>
              <w:t>Krankenhäuser, d</w:t>
            </w:r>
            <w:r>
              <w:rPr>
                <w:rStyle w:val="normaltextrun"/>
                <w:noProof/>
                <w:color w:val="000000" w:themeColor="text1"/>
                <w:sz w:val="18"/>
              </w:rPr>
              <w:t xml:space="preserve">ie eine wirtschaftliche Haushaltsführung anstreben, oder Krankenhäuser, die sich in einer Umstrukturierung befinden, um Schulden nachhaltig anzugehen); </w:t>
            </w:r>
          </w:p>
          <w:p w14:paraId="168A4589" w14:textId="2EC3E0A0" w:rsidR="00EB245A" w:rsidRDefault="006021EE">
            <w:pPr>
              <w:pStyle w:val="paragraph"/>
              <w:spacing w:before="0" w:beforeAutospacing="0" w:after="0" w:afterAutospacing="0"/>
              <w:textAlignment w:val="baseline"/>
              <w:rPr>
                <w:rStyle w:val="normaltextrun"/>
                <w:noProof/>
                <w:color w:val="000000" w:themeColor="text1"/>
                <w:sz w:val="18"/>
              </w:rPr>
            </w:pPr>
            <w:r>
              <w:rPr>
                <w:rStyle w:val="normaltextrun"/>
                <w:noProof/>
                <w:color w:val="000000" w:themeColor="text1"/>
                <w:sz w:val="18"/>
              </w:rPr>
              <w:t>Qualität der Versorgung; und</w:t>
            </w:r>
            <w:r>
              <w:rPr>
                <w:noProof/>
              </w:rPr>
              <w:t xml:space="preserve"> </w:t>
            </w:r>
            <w:r>
              <w:rPr>
                <w:noProof/>
              </w:rPr>
              <w:br/>
            </w:r>
            <w:r>
              <w:rPr>
                <w:rStyle w:val="normaltextrun"/>
                <w:noProof/>
                <w:color w:val="000000" w:themeColor="text1"/>
                <w:sz w:val="18"/>
              </w:rPr>
              <w:t>— Verfügbarkeit von Ressourcen (z. B. personelle und finanzielle Ressourc</w:t>
            </w:r>
            <w:r>
              <w:rPr>
                <w:rStyle w:val="normaltextrun"/>
                <w:noProof/>
                <w:color w:val="000000" w:themeColor="text1"/>
                <w:sz w:val="18"/>
              </w:rPr>
              <w:t>en).</w:t>
            </w:r>
          </w:p>
          <w:p w14:paraId="7886AE19" w14:textId="46F75318" w:rsidR="00EB245A" w:rsidRDefault="006021EE">
            <w:pPr>
              <w:pStyle w:val="paragraph"/>
              <w:spacing w:before="0" w:beforeAutospacing="0" w:after="0" w:afterAutospacing="0"/>
              <w:textAlignment w:val="baseline"/>
              <w:rPr>
                <w:rStyle w:val="normaltextrun"/>
                <w:noProof/>
              </w:rPr>
            </w:pPr>
            <w:r>
              <w:rPr>
                <w:rStyle w:val="normaltextrun"/>
                <w:noProof/>
                <w:color w:val="000000" w:themeColor="text1"/>
                <w:sz w:val="18"/>
              </w:rPr>
              <w:t>Die Unterstützung erstreckt sich nur auf den Umfang der Tätigkeiten im Zusammenhang mit der Erbringung von Gesundheitsdienstleistungen, die aus dem Nationalen Gesundheitsfonds finanziert werden, und nicht auf kommerzielle Tätigkeiten.</w:t>
            </w:r>
          </w:p>
        </w:tc>
      </w:tr>
      <w:tr w:rsidR="00EB245A" w14:paraId="3384C83D" w14:textId="77777777" w:rsidTr="006A0208">
        <w:trPr>
          <w:trHeight w:val="313"/>
        </w:trPr>
        <w:tc>
          <w:tcPr>
            <w:tcW w:w="696" w:type="dxa"/>
            <w:shd w:val="clear" w:color="auto" w:fill="C6EFCE"/>
          </w:tcPr>
          <w:p w14:paraId="75056D19" w14:textId="5A22D01B"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D11G</w:t>
            </w:r>
          </w:p>
        </w:tc>
        <w:tc>
          <w:tcPr>
            <w:tcW w:w="2069" w:type="dxa"/>
            <w:shd w:val="clear" w:color="auto" w:fill="C6EFCE"/>
          </w:tcPr>
          <w:p w14:paraId="0128E68B"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D1.1.1 Entwicklung und Modernisierung der Infrastruktur hochspezialisierter Pflegezentren und anderer Gesundheitsdienstleister </w:t>
            </w:r>
          </w:p>
        </w:tc>
        <w:tc>
          <w:tcPr>
            <w:tcW w:w="1204" w:type="dxa"/>
            <w:shd w:val="clear" w:color="auto" w:fill="C6EFCE"/>
          </w:tcPr>
          <w:p w14:paraId="1360B3A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Ziel</w:t>
            </w:r>
          </w:p>
        </w:tc>
        <w:tc>
          <w:tcPr>
            <w:tcW w:w="1560" w:type="dxa"/>
            <w:shd w:val="clear" w:color="auto" w:fill="C6EFCE"/>
          </w:tcPr>
          <w:p w14:paraId="6F878B85" w14:textId="4B762DA1"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r>
              <w:rPr>
                <w:rStyle w:val="normaltextrun"/>
                <w:rFonts w:ascii="Times New Roman" w:hAnsi="Times New Roman"/>
                <w:noProof/>
                <w:color w:val="000000" w:themeColor="text1"/>
                <w:sz w:val="18"/>
              </w:rPr>
              <w:t>T1 – Verträge zwischen Krankenhäusern und dem Gesundheitsministerium über den Erwerb medizinischer Ausrüstung oder über Inf</w:t>
            </w:r>
            <w:r>
              <w:rPr>
                <w:rStyle w:val="normaltextrun"/>
                <w:rFonts w:ascii="Times New Roman" w:hAnsi="Times New Roman"/>
                <w:noProof/>
                <w:color w:val="000000" w:themeColor="text1"/>
                <w:sz w:val="18"/>
              </w:rPr>
              <w:t xml:space="preserve">rastrukturinvestitionen </w:t>
            </w:r>
          </w:p>
        </w:tc>
        <w:tc>
          <w:tcPr>
            <w:tcW w:w="1842" w:type="dxa"/>
            <w:shd w:val="clear" w:color="auto" w:fill="C6EFCE"/>
          </w:tcPr>
          <w:p w14:paraId="4B7865E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134" w:type="dxa"/>
            <w:shd w:val="clear" w:color="auto" w:fill="C6EFCE"/>
          </w:tcPr>
          <w:p w14:paraId="4C3D7FE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Anzahl</w:t>
            </w:r>
          </w:p>
        </w:tc>
        <w:tc>
          <w:tcPr>
            <w:tcW w:w="1418" w:type="dxa"/>
            <w:shd w:val="clear" w:color="auto" w:fill="C6EFCE"/>
          </w:tcPr>
          <w:p w14:paraId="61F2810F"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0</w:t>
            </w:r>
          </w:p>
        </w:tc>
        <w:tc>
          <w:tcPr>
            <w:tcW w:w="850" w:type="dxa"/>
            <w:shd w:val="clear" w:color="auto" w:fill="C6EFCE"/>
          </w:tcPr>
          <w:p w14:paraId="4797A2A5" w14:textId="4830ED0A"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59</w:t>
            </w:r>
          </w:p>
        </w:tc>
        <w:tc>
          <w:tcPr>
            <w:tcW w:w="851" w:type="dxa"/>
            <w:shd w:val="clear" w:color="auto" w:fill="C6EFCE"/>
          </w:tcPr>
          <w:p w14:paraId="0E9FCC4D" w14:textId="7FDD4E10" w:rsidR="00EB245A" w:rsidRDefault="006021EE">
            <w:pPr>
              <w:pStyle w:val="P68B1DB1-Normal012"/>
              <w:spacing w:after="0" w:line="240" w:lineRule="auto"/>
              <w:jc w:val="center"/>
              <w:rPr>
                <w:rFonts w:eastAsia="Times New Roman" w:cs="Times New Roman"/>
                <w:noProof/>
                <w:color w:val="006100"/>
              </w:rPr>
            </w:pPr>
            <w:r>
              <w:rPr>
                <w:noProof/>
              </w:rPr>
              <w:t>Q4</w:t>
            </w:r>
          </w:p>
        </w:tc>
        <w:tc>
          <w:tcPr>
            <w:tcW w:w="992" w:type="dxa"/>
            <w:shd w:val="clear" w:color="auto" w:fill="C6EFCE"/>
          </w:tcPr>
          <w:p w14:paraId="37FA5ABA" w14:textId="18026164" w:rsidR="00EB245A" w:rsidRDefault="006021EE">
            <w:pPr>
              <w:pStyle w:val="P68B1DB1-Normal012"/>
              <w:spacing w:after="0" w:line="240" w:lineRule="auto"/>
              <w:jc w:val="center"/>
              <w:rPr>
                <w:rFonts w:eastAsia="Times New Roman" w:cs="Times New Roman"/>
                <w:noProof/>
                <w:color w:val="006100"/>
              </w:rPr>
            </w:pPr>
            <w:r>
              <w:rPr>
                <w:noProof/>
              </w:rPr>
              <w:t>2024</w:t>
            </w:r>
          </w:p>
        </w:tc>
        <w:tc>
          <w:tcPr>
            <w:tcW w:w="2835" w:type="dxa"/>
            <w:shd w:val="clear" w:color="auto" w:fill="C6EFCE"/>
          </w:tcPr>
          <w:p w14:paraId="38CA62A8" w14:textId="0CC3263E" w:rsidR="00EB245A" w:rsidRDefault="006021EE">
            <w:pPr>
              <w:pStyle w:val="paragraph"/>
              <w:spacing w:before="0" w:beforeAutospacing="0" w:after="0" w:afterAutospacing="0"/>
              <w:textAlignment w:val="baseline"/>
              <w:rPr>
                <w:rStyle w:val="eop"/>
                <w:noProof/>
                <w:color w:val="000000" w:themeColor="text1"/>
                <w:sz w:val="18"/>
              </w:rPr>
            </w:pPr>
            <w:r>
              <w:rPr>
                <w:rStyle w:val="normaltextrun"/>
                <w:noProof/>
                <w:color w:val="000000" w:themeColor="text1"/>
                <w:sz w:val="18"/>
              </w:rPr>
              <w:t xml:space="preserve">Zahl der unterzeichneten Verträge zwischen Krankenhäusern und dem Gesundheitsministerium (oder einer anderen vom Ministerium angegebenen Einrichtung) über erworbene medizinische Ausrüstung oder über Infrastrukturinvestitionen. </w:t>
            </w:r>
          </w:p>
          <w:p w14:paraId="608DEACE" w14:textId="76A75254" w:rsidR="00EB245A" w:rsidRDefault="00EB245A">
            <w:pPr>
              <w:pStyle w:val="paragraph"/>
              <w:spacing w:before="0" w:beforeAutospacing="0" w:after="0" w:afterAutospacing="0"/>
              <w:textAlignment w:val="baseline"/>
              <w:rPr>
                <w:noProof/>
                <w:sz w:val="18"/>
                <w:highlight w:val="yellow"/>
              </w:rPr>
            </w:pPr>
          </w:p>
        </w:tc>
      </w:tr>
      <w:tr w:rsidR="00EB245A" w14:paraId="011F8629" w14:textId="77777777" w:rsidTr="006A0208">
        <w:trPr>
          <w:trHeight w:val="313"/>
        </w:trPr>
        <w:tc>
          <w:tcPr>
            <w:tcW w:w="696" w:type="dxa"/>
            <w:shd w:val="clear" w:color="auto" w:fill="C6EFCE"/>
          </w:tcPr>
          <w:p w14:paraId="1DCDD72D" w14:textId="04967AE6"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D12G</w:t>
            </w:r>
          </w:p>
        </w:tc>
        <w:tc>
          <w:tcPr>
            <w:tcW w:w="2069" w:type="dxa"/>
            <w:shd w:val="clear" w:color="auto" w:fill="C6EFCE"/>
          </w:tcPr>
          <w:p w14:paraId="2996568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D1.1.1 Entwicklung und Modernisierung der Infrastruktur hochspezialisierter Pflegezentren und anderer Gesundheitsdienstleister </w:t>
            </w:r>
          </w:p>
        </w:tc>
        <w:tc>
          <w:tcPr>
            <w:tcW w:w="1204" w:type="dxa"/>
            <w:shd w:val="clear" w:color="auto" w:fill="C6EFCE"/>
          </w:tcPr>
          <w:p w14:paraId="7359FBE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Ziel</w:t>
            </w:r>
          </w:p>
        </w:tc>
        <w:tc>
          <w:tcPr>
            <w:tcW w:w="1560" w:type="dxa"/>
            <w:shd w:val="clear" w:color="auto" w:fill="C6EFCE"/>
          </w:tcPr>
          <w:p w14:paraId="449FE34C" w14:textId="7D2B55B3"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r>
              <w:rPr>
                <w:rStyle w:val="normaltextrun"/>
                <w:rFonts w:ascii="Times New Roman" w:hAnsi="Times New Roman"/>
                <w:noProof/>
                <w:color w:val="000000" w:themeColor="text1"/>
                <w:sz w:val="18"/>
              </w:rPr>
              <w:t>T2 – Verträge zwischen Krankenhäusern und dem Gesundheitsministerium über den Erwerb medizinischer Ausrüstung oder über Inf</w:t>
            </w:r>
            <w:r>
              <w:rPr>
                <w:rStyle w:val="normaltextrun"/>
                <w:rFonts w:ascii="Times New Roman" w:hAnsi="Times New Roman"/>
                <w:noProof/>
                <w:color w:val="000000" w:themeColor="text1"/>
                <w:sz w:val="18"/>
              </w:rPr>
              <w:t xml:space="preserve">rastrukturinvestitionen </w:t>
            </w:r>
          </w:p>
        </w:tc>
        <w:tc>
          <w:tcPr>
            <w:tcW w:w="1842" w:type="dxa"/>
            <w:shd w:val="clear" w:color="auto" w:fill="C6EFCE"/>
          </w:tcPr>
          <w:p w14:paraId="6012895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134" w:type="dxa"/>
            <w:shd w:val="clear" w:color="auto" w:fill="C6EFCE"/>
          </w:tcPr>
          <w:p w14:paraId="6F6CD65B"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Anzahl</w:t>
            </w:r>
          </w:p>
        </w:tc>
        <w:tc>
          <w:tcPr>
            <w:tcW w:w="1418" w:type="dxa"/>
            <w:shd w:val="clear" w:color="auto" w:fill="C6EFCE"/>
          </w:tcPr>
          <w:p w14:paraId="54532059" w14:textId="1E9A34E0"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59</w:t>
            </w:r>
          </w:p>
        </w:tc>
        <w:tc>
          <w:tcPr>
            <w:tcW w:w="850" w:type="dxa"/>
            <w:shd w:val="clear" w:color="auto" w:fill="C6EFCE"/>
          </w:tcPr>
          <w:p w14:paraId="58573FDA" w14:textId="1CEB25A2" w:rsidR="00EB245A" w:rsidRDefault="006021EE">
            <w:pPr>
              <w:pStyle w:val="P68B1DB1-Normal012"/>
              <w:spacing w:after="0" w:line="240" w:lineRule="auto"/>
              <w:jc w:val="right"/>
              <w:rPr>
                <w:rFonts w:eastAsia="Times New Roman" w:cs="Times New Roman"/>
                <w:noProof/>
                <w:color w:val="006100"/>
              </w:rPr>
            </w:pPr>
            <w:r>
              <w:rPr>
                <w:noProof/>
              </w:rPr>
              <w:t xml:space="preserve">133 </w:t>
            </w:r>
          </w:p>
        </w:tc>
        <w:tc>
          <w:tcPr>
            <w:tcW w:w="851" w:type="dxa"/>
            <w:shd w:val="clear" w:color="auto" w:fill="C6EFCE"/>
          </w:tcPr>
          <w:p w14:paraId="32FC2616" w14:textId="040F6A6F" w:rsidR="00EB245A" w:rsidRDefault="006021EE">
            <w:pPr>
              <w:pStyle w:val="P68B1DB1-Normal012"/>
              <w:spacing w:after="0" w:line="240" w:lineRule="auto"/>
              <w:jc w:val="center"/>
              <w:rPr>
                <w:rFonts w:eastAsia="Times New Roman" w:cs="Times New Roman"/>
                <w:noProof/>
                <w:color w:val="006100"/>
              </w:rPr>
            </w:pPr>
            <w:r>
              <w:rPr>
                <w:noProof/>
              </w:rPr>
              <w:t>Q2</w:t>
            </w:r>
          </w:p>
        </w:tc>
        <w:tc>
          <w:tcPr>
            <w:tcW w:w="992" w:type="dxa"/>
            <w:shd w:val="clear" w:color="auto" w:fill="C6EFCE"/>
          </w:tcPr>
          <w:p w14:paraId="3F4625D3" w14:textId="5E72C8BD" w:rsidR="00EB245A" w:rsidRDefault="006021EE">
            <w:pPr>
              <w:pStyle w:val="P68B1DB1-Normal012"/>
              <w:spacing w:after="0" w:line="240" w:lineRule="auto"/>
              <w:jc w:val="center"/>
              <w:rPr>
                <w:rFonts w:eastAsia="Times New Roman" w:cs="Times New Roman"/>
                <w:noProof/>
                <w:color w:val="006100"/>
              </w:rPr>
            </w:pPr>
            <w:r>
              <w:rPr>
                <w:noProof/>
              </w:rPr>
              <w:t>2025</w:t>
            </w:r>
          </w:p>
        </w:tc>
        <w:tc>
          <w:tcPr>
            <w:tcW w:w="2835" w:type="dxa"/>
            <w:shd w:val="clear" w:color="auto" w:fill="C6EFCE"/>
          </w:tcPr>
          <w:p w14:paraId="23F00DBA" w14:textId="39A0E8A5" w:rsidR="00EB245A" w:rsidRDefault="006021EE">
            <w:pPr>
              <w:pStyle w:val="paragraph"/>
              <w:spacing w:before="0" w:beforeAutospacing="0" w:after="0" w:afterAutospacing="0"/>
              <w:textAlignment w:val="baseline"/>
              <w:rPr>
                <w:rStyle w:val="normaltextrun"/>
                <w:noProof/>
                <w:color w:val="000000" w:themeColor="text1"/>
                <w:sz w:val="18"/>
              </w:rPr>
            </w:pPr>
            <w:r>
              <w:rPr>
                <w:rStyle w:val="normaltextrun"/>
                <w:noProof/>
                <w:color w:val="000000" w:themeColor="text1"/>
                <w:sz w:val="18"/>
              </w:rPr>
              <w:t xml:space="preserve">Anzahl der unterzeichneten Verträge zwischen dem Krankenhaus und dem Gesundheitsministerium (oder einer anderen vom Ministerium angegebenen Einrichtung) über erworbene medizinische Ausrüstung oder über </w:t>
            </w:r>
            <w:r>
              <w:rPr>
                <w:rStyle w:val="normaltextrun"/>
                <w:noProof/>
                <w:color w:val="000000" w:themeColor="text1"/>
                <w:sz w:val="18"/>
              </w:rPr>
              <w:t>Infrastrukturinvestitionen. </w:t>
            </w:r>
          </w:p>
          <w:p w14:paraId="6971AD0A" w14:textId="3B2A8187" w:rsidR="00EB245A" w:rsidRDefault="006021EE">
            <w:pPr>
              <w:pStyle w:val="paragraph"/>
              <w:spacing w:before="0" w:beforeAutospacing="0" w:after="0" w:afterAutospacing="0"/>
              <w:textAlignment w:val="baseline"/>
              <w:rPr>
                <w:noProof/>
                <w:color w:val="000000" w:themeColor="text1"/>
                <w:sz w:val="18"/>
              </w:rPr>
            </w:pPr>
            <w:r>
              <w:rPr>
                <w:rStyle w:val="normaltextrun"/>
                <w:noProof/>
                <w:color w:val="000000" w:themeColor="text1"/>
                <w:sz w:val="18"/>
              </w:rPr>
              <w:t xml:space="preserve">  </w:t>
            </w:r>
          </w:p>
          <w:p w14:paraId="20E36DAB" w14:textId="47B8AC35" w:rsidR="00EB245A" w:rsidRDefault="00EB245A">
            <w:pPr>
              <w:pStyle w:val="paragraph"/>
              <w:spacing w:before="0" w:beforeAutospacing="0" w:after="0" w:afterAutospacing="0"/>
              <w:textAlignment w:val="baseline"/>
              <w:rPr>
                <w:noProof/>
                <w:sz w:val="18"/>
              </w:rPr>
            </w:pPr>
          </w:p>
        </w:tc>
      </w:tr>
      <w:tr w:rsidR="00EB245A" w14:paraId="5B834A54" w14:textId="77777777" w:rsidTr="006A0208">
        <w:trPr>
          <w:trHeight w:val="313"/>
        </w:trPr>
        <w:tc>
          <w:tcPr>
            <w:tcW w:w="696" w:type="dxa"/>
            <w:shd w:val="clear" w:color="auto" w:fill="C6EFCE"/>
          </w:tcPr>
          <w:p w14:paraId="0DBE0C47" w14:textId="124AA0BA" w:rsidR="00EB245A" w:rsidRDefault="006021EE">
            <w:pPr>
              <w:pStyle w:val="P68B1DB1-Normal011"/>
              <w:pBdr>
                <w:top w:val="nil"/>
                <w:left w:val="nil"/>
                <w:bottom w:val="nil"/>
                <w:right w:val="nil"/>
                <w:between w:val="nil"/>
              </w:pBdr>
              <w:spacing w:after="0" w:line="240" w:lineRule="auto"/>
              <w:jc w:val="center"/>
              <w:rPr>
                <w:rFonts w:cs="Times New Roman"/>
                <w:noProof/>
              </w:rPr>
            </w:pPr>
            <w:r>
              <w:rPr>
                <w:noProof/>
              </w:rPr>
              <w:t>D13G</w:t>
            </w:r>
          </w:p>
        </w:tc>
        <w:tc>
          <w:tcPr>
            <w:tcW w:w="2069" w:type="dxa"/>
            <w:shd w:val="clear" w:color="auto" w:fill="C6EFCE"/>
          </w:tcPr>
          <w:p w14:paraId="4EE9B691" w14:textId="24ABE4F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D1.1.1 Entwicklung und Modernisierung der Infrastruktur hochspezialisierter Pflegezentren und anderer Gesundheitsdienstleister</w:t>
            </w:r>
          </w:p>
        </w:tc>
        <w:tc>
          <w:tcPr>
            <w:tcW w:w="1204" w:type="dxa"/>
            <w:shd w:val="clear" w:color="auto" w:fill="C6EFCE"/>
          </w:tcPr>
          <w:p w14:paraId="717BA7C0"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Ziel</w:t>
            </w:r>
          </w:p>
          <w:p w14:paraId="770DAA0B"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tc>
        <w:tc>
          <w:tcPr>
            <w:tcW w:w="1560" w:type="dxa"/>
            <w:shd w:val="clear" w:color="auto" w:fill="C6EFCE"/>
          </w:tcPr>
          <w:p w14:paraId="2FDF70A7" w14:textId="67943F31" w:rsidR="00EB245A" w:rsidRDefault="006021EE">
            <w:pPr>
              <w:pStyle w:val="paragraph"/>
              <w:spacing w:before="0" w:beforeAutospacing="0" w:after="0" w:afterAutospacing="0"/>
              <w:textAlignment w:val="baseline"/>
              <w:rPr>
                <w:noProof/>
                <w:sz w:val="18"/>
              </w:rPr>
            </w:pPr>
            <w:r>
              <w:rPr>
                <w:rStyle w:val="normaltextrun"/>
                <w:noProof/>
                <w:color w:val="000000" w:themeColor="text1"/>
                <w:sz w:val="18"/>
              </w:rPr>
              <w:t xml:space="preserve">Krankenhäuser mit Infrastrukturinvestitionen oder medizinischer Ausrüstung, die im Zusammenhang mit ihrer Umstrukturierung oder ihrer Einführung in das Nationale Onkologische Netz erworben wurden </w:t>
            </w:r>
          </w:p>
          <w:p w14:paraId="6241723D" w14:textId="29F192E8" w:rsidR="00EB245A" w:rsidRDefault="006021EE">
            <w:pPr>
              <w:pStyle w:val="Normal0"/>
              <w:pBdr>
                <w:top w:val="nil"/>
                <w:left w:val="nil"/>
                <w:bottom w:val="nil"/>
                <w:right w:val="nil"/>
                <w:between w:val="nil"/>
              </w:pBdr>
              <w:spacing w:after="0" w:line="240" w:lineRule="auto"/>
              <w:rPr>
                <w:rStyle w:val="normaltextrun"/>
                <w:rFonts w:ascii="Times New Roman" w:hAnsi="Times New Roman" w:cs="Times New Roman"/>
                <w:noProof/>
                <w:color w:val="000000" w:themeColor="text1"/>
                <w:sz w:val="18"/>
              </w:rPr>
            </w:pPr>
            <w:r>
              <w:rPr>
                <w:rStyle w:val="eop"/>
                <w:rFonts w:ascii="Times New Roman" w:hAnsi="Times New Roman"/>
                <w:noProof/>
                <w:color w:val="000000"/>
                <w:sz w:val="18"/>
              </w:rPr>
              <w:t xml:space="preserve"> </w:t>
            </w:r>
          </w:p>
        </w:tc>
        <w:tc>
          <w:tcPr>
            <w:tcW w:w="1842" w:type="dxa"/>
            <w:shd w:val="clear" w:color="auto" w:fill="C6EFCE"/>
          </w:tcPr>
          <w:p w14:paraId="03C86CF3"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tc>
        <w:tc>
          <w:tcPr>
            <w:tcW w:w="1134" w:type="dxa"/>
            <w:shd w:val="clear" w:color="auto" w:fill="C6EFCE"/>
          </w:tcPr>
          <w:p w14:paraId="339D98C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Anzahl</w:t>
            </w:r>
          </w:p>
          <w:p w14:paraId="3B085123"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tc>
        <w:tc>
          <w:tcPr>
            <w:tcW w:w="1418" w:type="dxa"/>
            <w:shd w:val="clear" w:color="auto" w:fill="C6EFCE"/>
          </w:tcPr>
          <w:p w14:paraId="3FFA3972"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0</w:t>
            </w:r>
          </w:p>
          <w:p w14:paraId="491D81A8" w14:textId="77777777"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rPr>
            </w:pPr>
          </w:p>
        </w:tc>
        <w:tc>
          <w:tcPr>
            <w:tcW w:w="850" w:type="dxa"/>
            <w:shd w:val="clear" w:color="auto" w:fill="C6EFCE"/>
          </w:tcPr>
          <w:p w14:paraId="7D7AA4A0" w14:textId="3D49208E" w:rsidR="00EB245A" w:rsidRDefault="006021EE">
            <w:pPr>
              <w:pStyle w:val="P68B1DB1-Normal012"/>
              <w:spacing w:after="0" w:line="240" w:lineRule="auto"/>
              <w:jc w:val="right"/>
              <w:rPr>
                <w:noProof/>
                <w:color w:val="000000" w:themeColor="text1"/>
              </w:rPr>
            </w:pPr>
            <w:r>
              <w:rPr>
                <w:noProof/>
              </w:rPr>
              <w:t>59</w:t>
            </w:r>
          </w:p>
          <w:p w14:paraId="0C03F0FC" w14:textId="77777777"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rPr>
            </w:pPr>
          </w:p>
        </w:tc>
        <w:tc>
          <w:tcPr>
            <w:tcW w:w="851" w:type="dxa"/>
            <w:shd w:val="clear" w:color="auto" w:fill="C6EFCE"/>
          </w:tcPr>
          <w:p w14:paraId="650A82A3"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Q2</w:t>
            </w:r>
          </w:p>
          <w:p w14:paraId="0E40BD0E" w14:textId="77777777" w:rsidR="00EB245A" w:rsidRDefault="00EB245A">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rPr>
            </w:pPr>
          </w:p>
        </w:tc>
        <w:tc>
          <w:tcPr>
            <w:tcW w:w="992" w:type="dxa"/>
            <w:shd w:val="clear" w:color="auto" w:fill="C6EFCE"/>
          </w:tcPr>
          <w:p w14:paraId="5F429270"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2026</w:t>
            </w:r>
          </w:p>
          <w:p w14:paraId="64A17CD4" w14:textId="77777777" w:rsidR="00EB245A" w:rsidRDefault="00EB245A">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rPr>
            </w:pPr>
          </w:p>
        </w:tc>
        <w:tc>
          <w:tcPr>
            <w:tcW w:w="2835" w:type="dxa"/>
            <w:shd w:val="clear" w:color="auto" w:fill="C6EFCE"/>
          </w:tcPr>
          <w:p w14:paraId="450E1519" w14:textId="68281A6B" w:rsidR="00EB245A" w:rsidRDefault="006021EE">
            <w:pPr>
              <w:pStyle w:val="paragraph"/>
              <w:spacing w:before="0" w:beforeAutospacing="0" w:after="0" w:afterAutospacing="0"/>
              <w:textAlignment w:val="baseline"/>
              <w:rPr>
                <w:rStyle w:val="eop"/>
                <w:noProof/>
                <w:color w:val="000000" w:themeColor="text1"/>
                <w:sz w:val="18"/>
              </w:rPr>
            </w:pPr>
            <w:r>
              <w:rPr>
                <w:rStyle w:val="normaltextrun"/>
                <w:noProof/>
                <w:color w:val="000000" w:themeColor="text1"/>
                <w:sz w:val="18"/>
              </w:rPr>
              <w:t xml:space="preserve">Zahl der Krankenhäuser mit </w:t>
            </w:r>
            <w:r>
              <w:rPr>
                <w:rStyle w:val="normaltextrun"/>
                <w:noProof/>
                <w:color w:val="000000" w:themeColor="text1"/>
                <w:sz w:val="18"/>
              </w:rPr>
              <w:t>abgeschlossenen Infrastrukturinvestitionen oder medizinischer Ausrüstung, die im Zusammenhang mit ihrer Einführung in das nationale Onkologische Netz erworben oder ausgebaut wurden.</w:t>
            </w:r>
          </w:p>
          <w:p w14:paraId="0332E04D" w14:textId="59647F8E" w:rsidR="00EB245A" w:rsidRDefault="006021EE">
            <w:pPr>
              <w:pStyle w:val="paragraph"/>
              <w:spacing w:before="0" w:beforeAutospacing="0" w:after="0" w:afterAutospacing="0"/>
              <w:textAlignment w:val="baseline"/>
              <w:rPr>
                <w:rStyle w:val="eop"/>
                <w:noProof/>
                <w:color w:val="000000" w:themeColor="text1"/>
                <w:sz w:val="18"/>
              </w:rPr>
            </w:pPr>
            <w:r>
              <w:rPr>
                <w:rStyle w:val="normaltextrun"/>
                <w:noProof/>
                <w:color w:val="000000" w:themeColor="text1"/>
                <w:sz w:val="18"/>
              </w:rPr>
              <w:t xml:space="preserve">  </w:t>
            </w:r>
          </w:p>
          <w:p w14:paraId="17F8A9C2" w14:textId="7A856934" w:rsidR="00EB245A" w:rsidRDefault="006021EE">
            <w:pPr>
              <w:pStyle w:val="paragraph"/>
              <w:spacing w:before="0" w:beforeAutospacing="0" w:after="0" w:afterAutospacing="0"/>
              <w:textAlignment w:val="baseline"/>
              <w:rPr>
                <w:rStyle w:val="eop"/>
                <w:noProof/>
                <w:color w:val="000000" w:themeColor="text1"/>
                <w:sz w:val="18"/>
              </w:rPr>
            </w:pPr>
            <w:r>
              <w:rPr>
                <w:rStyle w:val="eop"/>
                <w:noProof/>
                <w:color w:val="000000" w:themeColor="text1"/>
                <w:sz w:val="18"/>
              </w:rPr>
              <w:t>Die Investitionen in die Infrastruktur und die Anschaffung oder Moderni</w:t>
            </w:r>
            <w:r>
              <w:rPr>
                <w:rStyle w:val="eop"/>
                <w:noProof/>
                <w:color w:val="000000" w:themeColor="text1"/>
                <w:sz w:val="18"/>
              </w:rPr>
              <w:t xml:space="preserve">sierung von Ausrüstung im Zusammenhang mit der Einführung von Krankenhäusern in das Nationale Onkologische Netz können ergänzende Investitionen in ambulante Pflegezentren (AOS) umfassen, die mit diesen Krankenhäusern zusammenarbeiten.  </w:t>
            </w:r>
          </w:p>
          <w:p w14:paraId="223EBA71" w14:textId="6D748B9B" w:rsidR="00EB245A" w:rsidRDefault="00EB245A">
            <w:pPr>
              <w:pStyle w:val="paragraph"/>
              <w:spacing w:before="0" w:beforeAutospacing="0" w:after="0" w:afterAutospacing="0"/>
              <w:textAlignment w:val="baseline"/>
              <w:rPr>
                <w:noProof/>
                <w:sz w:val="18"/>
              </w:rPr>
            </w:pPr>
          </w:p>
        </w:tc>
      </w:tr>
      <w:tr w:rsidR="00EB245A" w14:paraId="0203F46C" w14:textId="77777777" w:rsidTr="006A0208">
        <w:trPr>
          <w:trHeight w:val="313"/>
        </w:trPr>
        <w:tc>
          <w:tcPr>
            <w:tcW w:w="696" w:type="dxa"/>
            <w:shd w:val="clear" w:color="auto" w:fill="C6EFCE"/>
          </w:tcPr>
          <w:p w14:paraId="082C48EB" w14:textId="5300BD4C" w:rsidR="00EB245A" w:rsidRDefault="006021EE">
            <w:pPr>
              <w:pStyle w:val="P68B1DB1-Normal011"/>
              <w:spacing w:after="0" w:line="240" w:lineRule="auto"/>
              <w:jc w:val="center"/>
              <w:rPr>
                <w:rFonts w:eastAsia="Times New Roman" w:cs="Times New Roman"/>
                <w:noProof/>
                <w:color w:val="000000" w:themeColor="text1"/>
              </w:rPr>
            </w:pPr>
            <w:r>
              <w:rPr>
                <w:noProof/>
              </w:rPr>
              <w:t>D14G</w:t>
            </w:r>
          </w:p>
        </w:tc>
        <w:tc>
          <w:tcPr>
            <w:tcW w:w="2069" w:type="dxa"/>
            <w:shd w:val="clear" w:color="auto" w:fill="C6EFCE"/>
          </w:tcPr>
          <w:p w14:paraId="560A724C" w14:textId="4CDEAE43"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D1.1.1 Entwicklung und Modernisierung der Infrastruktur hochspezialisierter Pflegezentren und anderer Gesundheitsdienstleister </w:t>
            </w:r>
          </w:p>
        </w:tc>
        <w:tc>
          <w:tcPr>
            <w:tcW w:w="1204" w:type="dxa"/>
            <w:shd w:val="clear" w:color="auto" w:fill="C6EFCE"/>
          </w:tcPr>
          <w:p w14:paraId="302B440B" w14:textId="3FF24891"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Ziel</w:t>
            </w:r>
          </w:p>
        </w:tc>
        <w:tc>
          <w:tcPr>
            <w:tcW w:w="1560" w:type="dxa"/>
            <w:shd w:val="clear" w:color="auto" w:fill="C6EFCE"/>
          </w:tcPr>
          <w:p w14:paraId="4A0384C9" w14:textId="54D4FF60" w:rsidR="00EB245A" w:rsidRDefault="006021EE">
            <w:pPr>
              <w:pStyle w:val="Normal0"/>
              <w:pBdr>
                <w:top w:val="nil"/>
                <w:left w:val="nil"/>
                <w:bottom w:val="nil"/>
                <w:right w:val="nil"/>
                <w:between w:val="nil"/>
              </w:pBdr>
              <w:spacing w:after="0" w:line="240" w:lineRule="auto"/>
              <w:rPr>
                <w:rStyle w:val="eop"/>
                <w:rFonts w:ascii="Times New Roman" w:hAnsi="Times New Roman"/>
                <w:noProof/>
                <w:color w:val="000000" w:themeColor="text1"/>
                <w:sz w:val="18"/>
              </w:rPr>
            </w:pPr>
            <w:r>
              <w:rPr>
                <w:rStyle w:val="eop"/>
                <w:rFonts w:ascii="Times New Roman" w:hAnsi="Times New Roman"/>
                <w:noProof/>
                <w:color w:val="000000" w:themeColor="text1"/>
                <w:sz w:val="18"/>
              </w:rPr>
              <w:t xml:space="preserve">Krankenhäuser mit Infrastrukturinvestitionen oder medizinischer Ausrüstung, die im Zusammenhang mit ihrer Umstrukturierung </w:t>
            </w:r>
            <w:r>
              <w:rPr>
                <w:rStyle w:val="eop"/>
                <w:rFonts w:ascii="Times New Roman" w:hAnsi="Times New Roman"/>
                <w:noProof/>
                <w:color w:val="000000" w:themeColor="text1"/>
                <w:sz w:val="18"/>
              </w:rPr>
              <w:t>oder ihrer Einführung in das nationale kardiologische Netz erworben wurden</w:t>
            </w:r>
          </w:p>
        </w:tc>
        <w:tc>
          <w:tcPr>
            <w:tcW w:w="1842" w:type="dxa"/>
            <w:shd w:val="clear" w:color="auto" w:fill="C6EFCE"/>
          </w:tcPr>
          <w:p w14:paraId="137E181C" w14:textId="3BAB949D"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134" w:type="dxa"/>
            <w:shd w:val="clear" w:color="auto" w:fill="C6EFCE"/>
          </w:tcPr>
          <w:p w14:paraId="04DEF2FD" w14:textId="70FCDA53"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Anzahl</w:t>
            </w:r>
          </w:p>
        </w:tc>
        <w:tc>
          <w:tcPr>
            <w:tcW w:w="1418" w:type="dxa"/>
            <w:shd w:val="clear" w:color="auto" w:fill="C6EFCE"/>
          </w:tcPr>
          <w:p w14:paraId="3940899A" w14:textId="25792984"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0</w:t>
            </w:r>
          </w:p>
        </w:tc>
        <w:tc>
          <w:tcPr>
            <w:tcW w:w="850" w:type="dxa"/>
            <w:shd w:val="clear" w:color="auto" w:fill="C6EFCE"/>
          </w:tcPr>
          <w:p w14:paraId="0E0408DF" w14:textId="518B4633"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 xml:space="preserve">74 </w:t>
            </w:r>
          </w:p>
        </w:tc>
        <w:tc>
          <w:tcPr>
            <w:tcW w:w="851" w:type="dxa"/>
            <w:shd w:val="clear" w:color="auto" w:fill="C6EFCE"/>
          </w:tcPr>
          <w:p w14:paraId="221950D3" w14:textId="0E062EC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Q2</w:t>
            </w:r>
          </w:p>
        </w:tc>
        <w:tc>
          <w:tcPr>
            <w:tcW w:w="992" w:type="dxa"/>
            <w:shd w:val="clear" w:color="auto" w:fill="C6EFCE"/>
          </w:tcPr>
          <w:p w14:paraId="3EDC4CE0" w14:textId="7C8C19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2026</w:t>
            </w:r>
          </w:p>
        </w:tc>
        <w:tc>
          <w:tcPr>
            <w:tcW w:w="2835" w:type="dxa"/>
            <w:shd w:val="clear" w:color="auto" w:fill="C6EFCE"/>
          </w:tcPr>
          <w:p w14:paraId="62B94512" w14:textId="07EFA530" w:rsidR="00EB245A" w:rsidRDefault="006021EE">
            <w:pPr>
              <w:pStyle w:val="paragraph"/>
              <w:spacing w:before="0" w:beforeAutospacing="0" w:after="0" w:afterAutospacing="0"/>
              <w:textAlignment w:val="baseline"/>
              <w:rPr>
                <w:rStyle w:val="eop"/>
                <w:noProof/>
                <w:color w:val="000000" w:themeColor="text1"/>
                <w:sz w:val="18"/>
              </w:rPr>
            </w:pPr>
            <w:r>
              <w:rPr>
                <w:rStyle w:val="normaltextrun"/>
                <w:noProof/>
                <w:color w:val="000000" w:themeColor="text1"/>
                <w:sz w:val="18"/>
              </w:rPr>
              <w:t>Zahl der Krankenhäuser mit abgeschlossenen Infrastrukturinvestitionen oder medizinischer Ausrüstung, die im Zusammenhang mit ihrer Umstrukturierung oder ihrer</w:t>
            </w:r>
            <w:r>
              <w:rPr>
                <w:rStyle w:val="normaltextrun"/>
                <w:noProof/>
                <w:color w:val="000000" w:themeColor="text1"/>
                <w:sz w:val="18"/>
              </w:rPr>
              <w:t xml:space="preserve"> Einführung in das nationale kardiologische Netz erworben oder ausgebaut wurden.</w:t>
            </w:r>
          </w:p>
          <w:p w14:paraId="7332107B" w14:textId="66ACB2C9" w:rsidR="00EB245A" w:rsidRDefault="00EB245A">
            <w:pPr>
              <w:pStyle w:val="paragraph"/>
              <w:spacing w:before="0" w:beforeAutospacing="0" w:after="0" w:afterAutospacing="0"/>
              <w:jc w:val="both"/>
              <w:textAlignment w:val="baseline"/>
              <w:rPr>
                <w:rStyle w:val="eop"/>
                <w:noProof/>
                <w:color w:val="000000" w:themeColor="text1"/>
                <w:sz w:val="18"/>
              </w:rPr>
            </w:pPr>
          </w:p>
        </w:tc>
      </w:tr>
      <w:tr w:rsidR="00EB245A" w14:paraId="0153C413" w14:textId="77777777" w:rsidTr="006A0208">
        <w:trPr>
          <w:trHeight w:val="313"/>
        </w:trPr>
        <w:tc>
          <w:tcPr>
            <w:tcW w:w="696" w:type="dxa"/>
            <w:shd w:val="clear" w:color="auto" w:fill="C6EFCE"/>
          </w:tcPr>
          <w:p w14:paraId="2186202D" w14:textId="17DF56A5"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D15G</w:t>
            </w:r>
          </w:p>
        </w:tc>
        <w:tc>
          <w:tcPr>
            <w:tcW w:w="2069" w:type="dxa"/>
            <w:shd w:val="clear" w:color="auto" w:fill="C6EFCE"/>
          </w:tcPr>
          <w:p w14:paraId="2FEAC11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D1.1.2 Beschleunigung des digitalen Wandels im Gesundheitswesen durch Weiterentwicklung digitaler Gesundheitsdienste</w:t>
            </w:r>
          </w:p>
        </w:tc>
        <w:tc>
          <w:tcPr>
            <w:tcW w:w="1204" w:type="dxa"/>
            <w:shd w:val="clear" w:color="auto" w:fill="C6EFCE"/>
          </w:tcPr>
          <w:p w14:paraId="1F6AA11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560" w:type="dxa"/>
            <w:shd w:val="clear" w:color="auto" w:fill="C6EFCE"/>
          </w:tcPr>
          <w:p w14:paraId="4FAF13AE" w14:textId="6CF0DDA9"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r>
              <w:rPr>
                <w:rStyle w:val="normaltextrun"/>
                <w:rFonts w:ascii="Times New Roman" w:hAnsi="Times New Roman"/>
                <w:noProof/>
                <w:color w:val="000000"/>
                <w:sz w:val="18"/>
              </w:rPr>
              <w:t xml:space="preserve">Einführung neuer elektronischer Dienste, einschließlich:  </w:t>
            </w:r>
            <w:r>
              <w:rPr>
                <w:noProof/>
              </w:rPr>
              <w:t xml:space="preserve">  </w:t>
            </w:r>
            <w:r>
              <w:rPr>
                <w:noProof/>
              </w:rPr>
              <w:br/>
            </w:r>
            <w:r>
              <w:rPr>
                <w:rStyle w:val="normaltextrun"/>
                <w:rFonts w:ascii="Times New Roman" w:hAnsi="Times New Roman"/>
                <w:noProof/>
                <w:color w:val="000000"/>
                <w:sz w:val="18"/>
              </w:rPr>
              <w:t xml:space="preserve">— die Instrumente für die Patientengesundheitsanalyse; </w:t>
            </w:r>
            <w:r>
              <w:rPr>
                <w:noProof/>
              </w:rPr>
              <w:t xml:space="preserve"> </w:t>
            </w:r>
            <w:r>
              <w:rPr>
                <w:noProof/>
              </w:rPr>
              <w:br/>
            </w:r>
            <w:r>
              <w:rPr>
                <w:rStyle w:val="normaltextrun"/>
                <w:rFonts w:ascii="Times New Roman" w:hAnsi="Times New Roman"/>
                <w:noProof/>
                <w:color w:val="000000"/>
                <w:sz w:val="18"/>
              </w:rPr>
              <w:t xml:space="preserve">— Instrument zur Unterstützung der Entscheidungsfindung für Ärzte auf der Grundlage von KI-Algorithmen; und </w:t>
            </w:r>
            <w:r>
              <w:rPr>
                <w:noProof/>
              </w:rPr>
              <w:t xml:space="preserve"> </w:t>
            </w:r>
            <w:r>
              <w:rPr>
                <w:noProof/>
              </w:rPr>
              <w:br/>
              <w:t xml:space="preserve"> </w:t>
            </w:r>
            <w:r>
              <w:rPr>
                <w:rStyle w:val="normaltextrun"/>
                <w:rFonts w:ascii="Times New Roman" w:hAnsi="Times New Roman"/>
                <w:noProof/>
                <w:color w:val="000000"/>
                <w:sz w:val="18"/>
              </w:rPr>
              <w:t>— zentrale Datenbank für me</w:t>
            </w:r>
            <w:r>
              <w:rPr>
                <w:rStyle w:val="normaltextrun"/>
                <w:rFonts w:ascii="Times New Roman" w:hAnsi="Times New Roman"/>
                <w:noProof/>
                <w:color w:val="000000"/>
                <w:sz w:val="18"/>
              </w:rPr>
              <w:t xml:space="preserve">dizinische Daten, die in andere wichtige Gesundheitssysteme integriert sind </w:t>
            </w:r>
          </w:p>
        </w:tc>
        <w:tc>
          <w:tcPr>
            <w:tcW w:w="1842" w:type="dxa"/>
            <w:shd w:val="clear" w:color="auto" w:fill="C6EFCE"/>
          </w:tcPr>
          <w:p w14:paraId="79D8C41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Aufnahme des vollen Betriebs</w:t>
            </w:r>
          </w:p>
        </w:tc>
        <w:tc>
          <w:tcPr>
            <w:tcW w:w="1134" w:type="dxa"/>
            <w:shd w:val="clear" w:color="auto" w:fill="C6EFCE"/>
          </w:tcPr>
          <w:p w14:paraId="541E854E"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418" w:type="dxa"/>
            <w:shd w:val="clear" w:color="auto" w:fill="C6EFCE"/>
          </w:tcPr>
          <w:p w14:paraId="5D7F0055"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850" w:type="dxa"/>
            <w:shd w:val="clear" w:color="auto" w:fill="C6EFCE"/>
          </w:tcPr>
          <w:p w14:paraId="3B4C7F6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851" w:type="dxa"/>
            <w:shd w:val="clear" w:color="auto" w:fill="C6EFCE"/>
          </w:tcPr>
          <w:p w14:paraId="310250E5"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Q1</w:t>
            </w:r>
          </w:p>
        </w:tc>
        <w:tc>
          <w:tcPr>
            <w:tcW w:w="992" w:type="dxa"/>
            <w:shd w:val="clear" w:color="auto" w:fill="C6EFCE"/>
          </w:tcPr>
          <w:p w14:paraId="7456D028"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2026</w:t>
            </w:r>
          </w:p>
        </w:tc>
        <w:tc>
          <w:tcPr>
            <w:tcW w:w="2835" w:type="dxa"/>
            <w:shd w:val="clear" w:color="auto" w:fill="C6EFCE"/>
          </w:tcPr>
          <w:p w14:paraId="22270625" w14:textId="190FE6DA"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r>
              <w:rPr>
                <w:rStyle w:val="normaltextrun"/>
                <w:rFonts w:ascii="Times New Roman" w:hAnsi="Times New Roman"/>
                <w:noProof/>
                <w:color w:val="000000"/>
                <w:sz w:val="18"/>
              </w:rPr>
              <w:t xml:space="preserve">Dienste zur verstärkten Nutzung moderner Technologien und zur Weiterentwicklung elektronischer Gesundheitsdienste werden in Betrieb genommen. Dazu gehören: </w:t>
            </w:r>
            <w:r>
              <w:rPr>
                <w:noProof/>
              </w:rPr>
              <w:t xml:space="preserve">  </w:t>
            </w:r>
            <w:r>
              <w:rPr>
                <w:noProof/>
              </w:rPr>
              <w:br/>
            </w:r>
            <w:r>
              <w:rPr>
                <w:rStyle w:val="normaltextrun"/>
                <w:rFonts w:ascii="Times New Roman" w:hAnsi="Times New Roman"/>
                <w:noProof/>
                <w:color w:val="000000"/>
                <w:sz w:val="18"/>
              </w:rPr>
              <w:t>— Instrumente zur Unterstützung der Analyse des Gesundheitszustands des Patienten;</w:t>
            </w:r>
            <w:r>
              <w:rPr>
                <w:noProof/>
              </w:rPr>
              <w:t xml:space="preserve">  </w:t>
            </w:r>
            <w:r>
              <w:rPr>
                <w:noProof/>
              </w:rPr>
              <w:br/>
            </w:r>
            <w:r>
              <w:rPr>
                <w:rStyle w:val="normaltextrun"/>
                <w:rFonts w:ascii="Times New Roman" w:hAnsi="Times New Roman"/>
                <w:noProof/>
                <w:color w:val="000000"/>
                <w:sz w:val="18"/>
              </w:rPr>
              <w:t>— Instrument</w:t>
            </w:r>
            <w:r>
              <w:rPr>
                <w:rStyle w:val="normaltextrun"/>
                <w:rFonts w:ascii="Times New Roman" w:hAnsi="Times New Roman"/>
                <w:noProof/>
                <w:color w:val="000000"/>
                <w:sz w:val="18"/>
              </w:rPr>
              <w:t>e zur Aggregation von Daten verschiedener Geräte, die medizinische Messungen oder Messungen im Zusammenhang mit der Lebensführung des Patienten durchführen, die dann auf das Internet-Konto des Patienten (IKP) übertragen werden, sowie durch die Durchführung</w:t>
            </w:r>
            <w:r>
              <w:rPr>
                <w:rStyle w:val="normaltextrun"/>
                <w:rFonts w:ascii="Times New Roman" w:hAnsi="Times New Roman"/>
                <w:noProof/>
                <w:color w:val="000000"/>
                <w:sz w:val="18"/>
              </w:rPr>
              <w:t xml:space="preserve"> des Projekts zur Entwicklung von Algorithmen der künstlichen Intelligenz; und </w:t>
            </w:r>
            <w:r>
              <w:rPr>
                <w:noProof/>
              </w:rPr>
              <w:t xml:space="preserve"> </w:t>
            </w:r>
            <w:r>
              <w:rPr>
                <w:noProof/>
              </w:rPr>
              <w:br/>
              <w:t xml:space="preserve"> </w:t>
            </w:r>
            <w:r>
              <w:rPr>
                <w:rStyle w:val="normaltextrun"/>
                <w:rFonts w:ascii="Times New Roman" w:hAnsi="Times New Roman"/>
                <w:noProof/>
                <w:color w:val="000000"/>
                <w:sz w:val="18"/>
              </w:rPr>
              <w:t xml:space="preserve">— Unterstützung des Entscheidungsprozesses des Arztes.  </w:t>
            </w:r>
            <w:r>
              <w:rPr>
                <w:noProof/>
              </w:rPr>
              <w:t xml:space="preserve"> </w:t>
            </w:r>
            <w:r>
              <w:rPr>
                <w:noProof/>
              </w:rPr>
              <w:br/>
            </w:r>
            <w:r>
              <w:rPr>
                <w:rStyle w:val="normaltextrun"/>
                <w:rFonts w:ascii="Times New Roman" w:hAnsi="Times New Roman"/>
                <w:noProof/>
                <w:color w:val="000000"/>
                <w:sz w:val="18"/>
              </w:rPr>
              <w:t>Sie umfasst auch den Aufbau einer zentralen Datenbank für medizinische Daten und die Erstellung und Bereitstellung e</w:t>
            </w:r>
            <w:r>
              <w:rPr>
                <w:rStyle w:val="normaltextrun"/>
                <w:rFonts w:ascii="Times New Roman" w:hAnsi="Times New Roman"/>
                <w:noProof/>
                <w:color w:val="000000"/>
                <w:sz w:val="18"/>
              </w:rPr>
              <w:t xml:space="preserve">iner elektronischen Bank (Repository) medizinischer Daten (medizinische Dokumentation). </w:t>
            </w:r>
          </w:p>
        </w:tc>
      </w:tr>
      <w:tr w:rsidR="00EB245A" w14:paraId="2921DF9E" w14:textId="77777777" w:rsidTr="006A0208">
        <w:trPr>
          <w:trHeight w:val="313"/>
        </w:trPr>
        <w:tc>
          <w:tcPr>
            <w:tcW w:w="696" w:type="dxa"/>
            <w:shd w:val="clear" w:color="auto" w:fill="C6EFCE"/>
          </w:tcPr>
          <w:p w14:paraId="54D2F54B" w14:textId="6E0BA7D1"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D16G</w:t>
            </w:r>
          </w:p>
        </w:tc>
        <w:tc>
          <w:tcPr>
            <w:tcW w:w="2069" w:type="dxa"/>
            <w:shd w:val="clear" w:color="auto" w:fill="C6EFCE"/>
          </w:tcPr>
          <w:p w14:paraId="1C2D1A05"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D1.1.2 Beschleunigung des digitalen Wandels im Gesundheitswesen durch Weiterentwicklung digitaler Gesundheitsdienste</w:t>
            </w:r>
          </w:p>
        </w:tc>
        <w:tc>
          <w:tcPr>
            <w:tcW w:w="1204" w:type="dxa"/>
            <w:shd w:val="clear" w:color="auto" w:fill="C6EFCE"/>
          </w:tcPr>
          <w:p w14:paraId="5995947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560" w:type="dxa"/>
            <w:shd w:val="clear" w:color="auto" w:fill="C6EFCE"/>
          </w:tcPr>
          <w:p w14:paraId="3C43D4FB" w14:textId="65163741"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r>
              <w:rPr>
                <w:rStyle w:val="normaltextrun"/>
                <w:rFonts w:ascii="Times New Roman" w:hAnsi="Times New Roman"/>
                <w:noProof/>
                <w:color w:val="000000"/>
                <w:sz w:val="18"/>
              </w:rPr>
              <w:t xml:space="preserve">Sicherheitseinsatzzentrum (SOC) im Zentrum für elektronische Gesundheitsdienste </w:t>
            </w:r>
          </w:p>
        </w:tc>
        <w:tc>
          <w:tcPr>
            <w:tcW w:w="1842" w:type="dxa"/>
            <w:shd w:val="clear" w:color="auto" w:fill="C6EFCE"/>
          </w:tcPr>
          <w:p w14:paraId="70072D99"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Aufnahme des vollen Betriebs</w:t>
            </w:r>
          </w:p>
        </w:tc>
        <w:tc>
          <w:tcPr>
            <w:tcW w:w="1134" w:type="dxa"/>
            <w:shd w:val="clear" w:color="auto" w:fill="C6EFCE"/>
          </w:tcPr>
          <w:p w14:paraId="2849A64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418" w:type="dxa"/>
            <w:shd w:val="clear" w:color="auto" w:fill="C6EFCE"/>
          </w:tcPr>
          <w:p w14:paraId="49AF2CB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850" w:type="dxa"/>
            <w:shd w:val="clear" w:color="auto" w:fill="C6EFCE"/>
          </w:tcPr>
          <w:p w14:paraId="532BFAF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851" w:type="dxa"/>
            <w:shd w:val="clear" w:color="auto" w:fill="C6EFCE"/>
          </w:tcPr>
          <w:p w14:paraId="3702CC88"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Q4</w:t>
            </w:r>
          </w:p>
        </w:tc>
        <w:tc>
          <w:tcPr>
            <w:tcW w:w="992" w:type="dxa"/>
            <w:shd w:val="clear" w:color="auto" w:fill="C6EFCE"/>
          </w:tcPr>
          <w:p w14:paraId="4E96F877"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2025</w:t>
            </w:r>
          </w:p>
        </w:tc>
        <w:tc>
          <w:tcPr>
            <w:tcW w:w="2835" w:type="dxa"/>
            <w:shd w:val="clear" w:color="auto" w:fill="C6EFCE"/>
          </w:tcPr>
          <w:p w14:paraId="67D6FCAC" w14:textId="1674CD2C"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r>
              <w:rPr>
                <w:rStyle w:val="normaltextrun"/>
                <w:rFonts w:ascii="Times New Roman" w:hAnsi="Times New Roman"/>
                <w:noProof/>
                <w:color w:val="000000"/>
                <w:sz w:val="18"/>
              </w:rPr>
              <w:t>Mit der Maßnahme sollen die IT-Ressourcen des Zentrums für elektronische Gesundheitsdienste gestärkt und an den wachsenden Bedarf im</w:t>
            </w:r>
            <w:r>
              <w:rPr>
                <w:rStyle w:val="normaltextrun"/>
                <w:rFonts w:ascii="Times New Roman" w:hAnsi="Times New Roman"/>
                <w:noProof/>
                <w:color w:val="000000"/>
                <w:sz w:val="18"/>
              </w:rPr>
              <w:t xml:space="preserve"> Bereich der Cybersicherheit angepasst werden, indem </w:t>
            </w:r>
          </w:p>
          <w:p w14:paraId="3F9F4A5B" w14:textId="6F047634"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r>
              <w:rPr>
                <w:rStyle w:val="normaltextrun"/>
                <w:rFonts w:ascii="Times New Roman" w:hAnsi="Times New Roman"/>
                <w:noProof/>
                <w:color w:val="000000"/>
                <w:sz w:val="18"/>
              </w:rPr>
              <w:t xml:space="preserve">— Einführung des integrierten Managementsystems, Ausweitung der Sicherheitssysteme, </w:t>
            </w:r>
          </w:p>
          <w:p w14:paraId="4AD397D1" w14:textId="1A867875"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r>
              <w:rPr>
                <w:rStyle w:val="normaltextrun"/>
                <w:rFonts w:ascii="Times New Roman" w:hAnsi="Times New Roman"/>
                <w:noProof/>
                <w:color w:val="000000"/>
                <w:sz w:val="18"/>
              </w:rPr>
              <w:t xml:space="preserve">— Durchführung eines Sicherheitsprogramms für Entwurfs- und Entwicklungsarbeiten im Bereich der IT-Systeme, </w:t>
            </w:r>
          </w:p>
          <w:p w14:paraId="05D194AD" w14:textId="7EFCDBC6"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rPr>
            </w:pPr>
            <w:r>
              <w:rPr>
                <w:rStyle w:val="normaltextrun"/>
                <w:rFonts w:ascii="Times New Roman" w:hAnsi="Times New Roman"/>
                <w:noProof/>
                <w:color w:val="000000"/>
                <w:sz w:val="18"/>
              </w:rPr>
              <w:t>— Aufbau</w:t>
            </w:r>
            <w:r>
              <w:rPr>
                <w:rStyle w:val="normaltextrun"/>
                <w:rFonts w:ascii="Times New Roman" w:hAnsi="Times New Roman"/>
                <w:noProof/>
                <w:color w:val="000000"/>
                <w:sz w:val="18"/>
              </w:rPr>
              <w:t xml:space="preserve"> des Sicherheitseinsatzzentrums im Zentrum für elektronische Gesundheitsdienste. </w:t>
            </w:r>
          </w:p>
        </w:tc>
      </w:tr>
      <w:tr w:rsidR="00EB245A" w14:paraId="75577E9C" w14:textId="77777777" w:rsidTr="006A0208">
        <w:trPr>
          <w:trHeight w:val="313"/>
        </w:trPr>
        <w:tc>
          <w:tcPr>
            <w:tcW w:w="696" w:type="dxa"/>
            <w:shd w:val="clear" w:color="auto" w:fill="C6EFCE"/>
          </w:tcPr>
          <w:p w14:paraId="238CF87A" w14:textId="5031FFC0"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D17G</w:t>
            </w:r>
          </w:p>
        </w:tc>
        <w:tc>
          <w:tcPr>
            <w:tcW w:w="2069" w:type="dxa"/>
            <w:shd w:val="clear" w:color="auto" w:fill="C6EFCE"/>
          </w:tcPr>
          <w:p w14:paraId="236A5FC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D1.1.2 Beschleunigung des digitalen Wandels im Gesundheitswesen durch Weiterentwicklung digitaler Gesundheitsdienste</w:t>
            </w:r>
          </w:p>
        </w:tc>
        <w:tc>
          <w:tcPr>
            <w:tcW w:w="1204" w:type="dxa"/>
            <w:shd w:val="clear" w:color="auto" w:fill="C6EFCE"/>
          </w:tcPr>
          <w:p w14:paraId="79481B0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560" w:type="dxa"/>
            <w:shd w:val="clear" w:color="auto" w:fill="C6EFCE"/>
          </w:tcPr>
          <w:p w14:paraId="0B15E2EF" w14:textId="1D755F09"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r>
              <w:rPr>
                <w:rStyle w:val="normaltextrun"/>
                <w:rFonts w:ascii="Times New Roman" w:hAnsi="Times New Roman"/>
                <w:noProof/>
                <w:color w:val="000000"/>
                <w:sz w:val="18"/>
              </w:rPr>
              <w:t xml:space="preserve">Zentrum für digitale medizinische Dokumentation </w:t>
            </w:r>
          </w:p>
        </w:tc>
        <w:tc>
          <w:tcPr>
            <w:tcW w:w="1842" w:type="dxa"/>
            <w:shd w:val="clear" w:color="auto" w:fill="C6EFCE"/>
          </w:tcPr>
          <w:p w14:paraId="6966198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Aufnahme des vollen Betriebs</w:t>
            </w:r>
          </w:p>
        </w:tc>
        <w:tc>
          <w:tcPr>
            <w:tcW w:w="1134" w:type="dxa"/>
            <w:shd w:val="clear" w:color="auto" w:fill="C6EFCE"/>
          </w:tcPr>
          <w:p w14:paraId="489253F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418" w:type="dxa"/>
            <w:shd w:val="clear" w:color="auto" w:fill="C6EFCE"/>
          </w:tcPr>
          <w:p w14:paraId="25212160"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850" w:type="dxa"/>
            <w:shd w:val="clear" w:color="auto" w:fill="C6EFCE"/>
          </w:tcPr>
          <w:p w14:paraId="4634E8B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851" w:type="dxa"/>
            <w:shd w:val="clear" w:color="auto" w:fill="C6EFCE"/>
          </w:tcPr>
          <w:p w14:paraId="35B5C190" w14:textId="07D2D67F"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Q3</w:t>
            </w:r>
          </w:p>
        </w:tc>
        <w:tc>
          <w:tcPr>
            <w:tcW w:w="992" w:type="dxa"/>
            <w:shd w:val="clear" w:color="auto" w:fill="C6EFCE"/>
          </w:tcPr>
          <w:p w14:paraId="06937799" w14:textId="278D292F"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2025</w:t>
            </w:r>
          </w:p>
        </w:tc>
        <w:tc>
          <w:tcPr>
            <w:tcW w:w="2835" w:type="dxa"/>
            <w:shd w:val="clear" w:color="auto" w:fill="C6EFCE"/>
          </w:tcPr>
          <w:p w14:paraId="71FA2F02" w14:textId="72CEA32B"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r>
              <w:rPr>
                <w:rStyle w:val="normaltextrun"/>
                <w:rFonts w:ascii="Times New Roman" w:hAnsi="Times New Roman"/>
                <w:noProof/>
                <w:color w:val="000000"/>
                <w:sz w:val="18"/>
              </w:rPr>
              <w:t xml:space="preserve">Es wird ein Zentrum für die Digitalisierung medizinischer Dokumentation eingerichtet, dessen Hauptaufgabe darin besteht, medizinische Unterlagen in verwendbare elektronische Patientenakten (HER) zu strukturieren und zu übertragen. </w:t>
            </w:r>
          </w:p>
        </w:tc>
      </w:tr>
      <w:tr w:rsidR="00EB245A" w14:paraId="28A3F1F0" w14:textId="77777777" w:rsidTr="006A0208">
        <w:trPr>
          <w:trHeight w:val="313"/>
        </w:trPr>
        <w:tc>
          <w:tcPr>
            <w:tcW w:w="696" w:type="dxa"/>
            <w:shd w:val="clear" w:color="auto" w:fill="C6EFCE"/>
          </w:tcPr>
          <w:p w14:paraId="77A01D7C" w14:textId="292D4849"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D18G</w:t>
            </w:r>
          </w:p>
        </w:tc>
        <w:tc>
          <w:tcPr>
            <w:tcW w:w="2069" w:type="dxa"/>
            <w:shd w:val="clear" w:color="auto" w:fill="C6EFCE"/>
          </w:tcPr>
          <w:p w14:paraId="40DF9D90"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D1.1.2 </w:t>
            </w:r>
            <w:r>
              <w:rPr>
                <w:noProof/>
              </w:rPr>
              <w:t>Beschleunigung des digitalen Wandels im Gesundheitswesen durch Weiterentwicklung digitaler Gesundheitsdienste</w:t>
            </w:r>
          </w:p>
        </w:tc>
        <w:tc>
          <w:tcPr>
            <w:tcW w:w="1204" w:type="dxa"/>
            <w:shd w:val="clear" w:color="auto" w:fill="C6EFCE"/>
          </w:tcPr>
          <w:p w14:paraId="0CCDDE6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Ziel</w:t>
            </w:r>
          </w:p>
        </w:tc>
        <w:tc>
          <w:tcPr>
            <w:tcW w:w="1560" w:type="dxa"/>
            <w:shd w:val="clear" w:color="auto" w:fill="C6EFCE"/>
          </w:tcPr>
          <w:p w14:paraId="367307F4" w14:textId="30C34820"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r>
              <w:rPr>
                <w:rStyle w:val="normaltextrun"/>
                <w:rFonts w:ascii="Times New Roman" w:hAnsi="Times New Roman"/>
                <w:noProof/>
                <w:color w:val="000000"/>
                <w:sz w:val="18"/>
              </w:rPr>
              <w:t xml:space="preserve">Geschichte der Interaktion der Patienten mit der Gesundheitsversorgung in digitalisierten medizinischen Einrichtungen  </w:t>
            </w:r>
          </w:p>
        </w:tc>
        <w:tc>
          <w:tcPr>
            <w:tcW w:w="1842" w:type="dxa"/>
            <w:shd w:val="clear" w:color="auto" w:fill="C6EFCE"/>
          </w:tcPr>
          <w:p w14:paraId="27ED360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134" w:type="dxa"/>
            <w:shd w:val="clear" w:color="auto" w:fill="C6EFCE"/>
          </w:tcPr>
          <w:p w14:paraId="6F8564BC" w14:textId="44651A38"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(Prozent)</w:t>
            </w:r>
          </w:p>
        </w:tc>
        <w:tc>
          <w:tcPr>
            <w:tcW w:w="1418" w:type="dxa"/>
            <w:shd w:val="clear" w:color="auto" w:fill="C6EFCE"/>
          </w:tcPr>
          <w:p w14:paraId="0DB21CA6"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0</w:t>
            </w:r>
          </w:p>
        </w:tc>
        <w:tc>
          <w:tcPr>
            <w:tcW w:w="850" w:type="dxa"/>
            <w:shd w:val="clear" w:color="auto" w:fill="C6EFCE"/>
          </w:tcPr>
          <w:p w14:paraId="219897CE"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30</w:t>
            </w:r>
          </w:p>
        </w:tc>
        <w:tc>
          <w:tcPr>
            <w:tcW w:w="851" w:type="dxa"/>
            <w:shd w:val="clear" w:color="auto" w:fill="C6EFCE"/>
          </w:tcPr>
          <w:p w14:paraId="624F58CE"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Q1</w:t>
            </w:r>
          </w:p>
        </w:tc>
        <w:tc>
          <w:tcPr>
            <w:tcW w:w="992" w:type="dxa"/>
            <w:shd w:val="clear" w:color="auto" w:fill="C6EFCE"/>
          </w:tcPr>
          <w:p w14:paraId="7499A3EA"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2026</w:t>
            </w:r>
          </w:p>
        </w:tc>
        <w:tc>
          <w:tcPr>
            <w:tcW w:w="2835" w:type="dxa"/>
            <w:shd w:val="clear" w:color="auto" w:fill="C6EFCE"/>
          </w:tcPr>
          <w:p w14:paraId="3234264A" w14:textId="48C74CF5"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r>
              <w:rPr>
                <w:rStyle w:val="normaltextrun"/>
                <w:rFonts w:ascii="Times New Roman" w:hAnsi="Times New Roman"/>
                <w:noProof/>
                <w:color w:val="000000" w:themeColor="text1"/>
                <w:sz w:val="18"/>
              </w:rPr>
              <w:t>Anteil an der Geschichte der Interaktion der Patienten mit der Gesundheitsversorgung</w:t>
            </w:r>
            <w:r>
              <w:rPr>
                <w:noProof/>
              </w:rPr>
              <w:t xml:space="preserve">  </w:t>
            </w:r>
            <w:r>
              <w:rPr>
                <w:noProof/>
              </w:rPr>
              <w:br/>
            </w:r>
            <w:r>
              <w:rPr>
                <w:rStyle w:val="normaltextrun"/>
                <w:rFonts w:ascii="Times New Roman" w:hAnsi="Times New Roman"/>
                <w:noProof/>
                <w:color w:val="000000" w:themeColor="text1"/>
                <w:sz w:val="18"/>
              </w:rPr>
              <w:t>in medizinischen Einrichtungen digitalisiert, um die digitale Darstellung der Dokumente in der individuellen elektronischen Patientenakte (EHR) mit einer strukturi</w:t>
            </w:r>
            <w:r>
              <w:rPr>
                <w:rStyle w:val="normaltextrun"/>
                <w:rFonts w:ascii="Times New Roman" w:hAnsi="Times New Roman"/>
                <w:noProof/>
                <w:color w:val="000000" w:themeColor="text1"/>
                <w:sz w:val="18"/>
              </w:rPr>
              <w:t>erten Darstellung der Daten zu ermöglichen, die eine weitere Verarbeitung ermöglicht. </w:t>
            </w:r>
            <w:r>
              <w:rPr>
                <w:rStyle w:val="normaltextrun"/>
                <w:rFonts w:ascii="Times New Roman" w:hAnsi="Times New Roman"/>
                <w:noProof/>
                <w:sz w:val="18"/>
              </w:rPr>
              <w:t xml:space="preserve"> </w:t>
            </w:r>
            <w:r>
              <w:rPr>
                <w:noProof/>
              </w:rPr>
              <w:t xml:space="preserve"> </w:t>
            </w:r>
            <w:r>
              <w:rPr>
                <w:noProof/>
              </w:rPr>
              <w:br/>
            </w:r>
            <w:r>
              <w:rPr>
                <w:rStyle w:val="normaltextrun"/>
                <w:rFonts w:ascii="Times New Roman" w:hAnsi="Times New Roman"/>
                <w:noProof/>
                <w:color w:val="000000" w:themeColor="text1"/>
                <w:sz w:val="18"/>
              </w:rPr>
              <w:t xml:space="preserve">Das Ziel bezieht sich auf die von den Gesundheitseinrichtungen aufbewahrten Papierfassungen.  </w:t>
            </w:r>
          </w:p>
        </w:tc>
      </w:tr>
      <w:tr w:rsidR="00EB245A" w14:paraId="30CE0A47" w14:textId="77777777" w:rsidTr="006A0208">
        <w:trPr>
          <w:trHeight w:val="313"/>
        </w:trPr>
        <w:tc>
          <w:tcPr>
            <w:tcW w:w="696" w:type="dxa"/>
            <w:shd w:val="clear" w:color="auto" w:fill="C6EFCE"/>
          </w:tcPr>
          <w:p w14:paraId="01687A06" w14:textId="493AE2B3"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D19G</w:t>
            </w:r>
          </w:p>
        </w:tc>
        <w:tc>
          <w:tcPr>
            <w:tcW w:w="2069" w:type="dxa"/>
            <w:shd w:val="clear" w:color="auto" w:fill="C6EFCE"/>
          </w:tcPr>
          <w:p w14:paraId="7E7B527E"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D1.1.2 Beschleunigung des digitalen Wandels im Gesundheitswesen </w:t>
            </w:r>
            <w:r>
              <w:rPr>
                <w:noProof/>
              </w:rPr>
              <w:t>durch Weiterentwicklung digitaler Gesundheitsdienste</w:t>
            </w:r>
          </w:p>
        </w:tc>
        <w:tc>
          <w:tcPr>
            <w:tcW w:w="1204" w:type="dxa"/>
            <w:shd w:val="clear" w:color="auto" w:fill="C6EFCE"/>
          </w:tcPr>
          <w:p w14:paraId="3710F48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Ziel</w:t>
            </w:r>
          </w:p>
        </w:tc>
        <w:tc>
          <w:tcPr>
            <w:tcW w:w="1560" w:type="dxa"/>
            <w:shd w:val="clear" w:color="auto" w:fill="C6EFCE"/>
          </w:tcPr>
          <w:p w14:paraId="17D4D6CC" w14:textId="3B44EE21"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r>
              <w:rPr>
                <w:rStyle w:val="normaltextrun"/>
                <w:rFonts w:ascii="Times New Roman" w:hAnsi="Times New Roman"/>
                <w:noProof/>
                <w:color w:val="000000"/>
                <w:sz w:val="18"/>
              </w:rPr>
              <w:t xml:space="preserve">T1 – digitalisierte medizinische Dokumente  </w:t>
            </w:r>
          </w:p>
        </w:tc>
        <w:tc>
          <w:tcPr>
            <w:tcW w:w="1842" w:type="dxa"/>
            <w:shd w:val="clear" w:color="auto" w:fill="C6EFCE"/>
          </w:tcPr>
          <w:p w14:paraId="7F48A2E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134" w:type="dxa"/>
            <w:shd w:val="clear" w:color="auto" w:fill="C6EFCE"/>
          </w:tcPr>
          <w:p w14:paraId="5710CF33" w14:textId="0FA0CA27" w:rsidR="00EB245A" w:rsidRDefault="00EB245A">
            <w:pPr>
              <w:pStyle w:val="Normal0"/>
              <w:spacing w:after="0" w:line="240" w:lineRule="auto"/>
              <w:rPr>
                <w:rFonts w:ascii="Times New Roman" w:eastAsia="Times New Roman" w:hAnsi="Times New Roman" w:cs="Times New Roman"/>
                <w:noProof/>
                <w:color w:val="006100"/>
                <w:sz w:val="18"/>
              </w:rPr>
            </w:pPr>
          </w:p>
          <w:p w14:paraId="6CE92DFE" w14:textId="77777777" w:rsidR="00EB245A" w:rsidRDefault="006021EE">
            <w:pPr>
              <w:pStyle w:val="P68B1DB1-Normal012"/>
              <w:spacing w:after="0" w:line="240" w:lineRule="auto"/>
              <w:rPr>
                <w:rFonts w:eastAsia="Times New Roman" w:cs="Times New Roman"/>
                <w:noProof/>
                <w:color w:val="006100"/>
              </w:rPr>
            </w:pPr>
            <w:r>
              <w:rPr>
                <w:noProof/>
              </w:rPr>
              <w:t>Anzahl</w:t>
            </w:r>
          </w:p>
          <w:p w14:paraId="7933AD2D" w14:textId="23BAE668" w:rsidR="00EB245A" w:rsidRDefault="00EB245A">
            <w:pPr>
              <w:pStyle w:val="Normal0"/>
              <w:spacing w:after="0" w:line="240" w:lineRule="auto"/>
              <w:rPr>
                <w:rFonts w:ascii="Times New Roman" w:hAnsi="Times New Roman"/>
                <w:noProof/>
                <w:color w:val="000000" w:themeColor="text1"/>
                <w:sz w:val="18"/>
              </w:rPr>
            </w:pPr>
          </w:p>
        </w:tc>
        <w:tc>
          <w:tcPr>
            <w:tcW w:w="1418" w:type="dxa"/>
            <w:shd w:val="clear" w:color="auto" w:fill="C6EFCE"/>
          </w:tcPr>
          <w:p w14:paraId="0FA5DB3D" w14:textId="2677F7FC" w:rsidR="00EB245A" w:rsidRDefault="006021EE">
            <w:pPr>
              <w:pStyle w:val="P68B1DB1-Normal012"/>
              <w:spacing w:after="0" w:line="240" w:lineRule="auto"/>
              <w:jc w:val="right"/>
              <w:rPr>
                <w:rFonts w:eastAsia="Times New Roman" w:cs="Times New Roman"/>
                <w:noProof/>
                <w:color w:val="006100"/>
              </w:rPr>
            </w:pPr>
            <w:r>
              <w:rPr>
                <w:noProof/>
              </w:rPr>
              <w:t>9</w:t>
            </w:r>
          </w:p>
        </w:tc>
        <w:tc>
          <w:tcPr>
            <w:tcW w:w="850" w:type="dxa"/>
            <w:shd w:val="clear" w:color="auto" w:fill="C6EFCE"/>
          </w:tcPr>
          <w:p w14:paraId="60DA3216" w14:textId="637152C4" w:rsidR="00EB245A" w:rsidRDefault="006021EE">
            <w:pPr>
              <w:pStyle w:val="P68B1DB1-Normal012"/>
              <w:spacing w:after="0" w:line="240" w:lineRule="auto"/>
              <w:jc w:val="right"/>
              <w:rPr>
                <w:rFonts w:eastAsia="Times New Roman" w:cs="Times New Roman"/>
                <w:noProof/>
                <w:color w:val="006100"/>
              </w:rPr>
            </w:pPr>
            <w:r>
              <w:rPr>
                <w:noProof/>
              </w:rPr>
              <w:t>12</w:t>
            </w:r>
          </w:p>
        </w:tc>
        <w:tc>
          <w:tcPr>
            <w:tcW w:w="851" w:type="dxa"/>
            <w:shd w:val="clear" w:color="auto" w:fill="C6EFCE"/>
          </w:tcPr>
          <w:p w14:paraId="3BF43DB5" w14:textId="3E7B8141"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Q1</w:t>
            </w:r>
          </w:p>
        </w:tc>
        <w:tc>
          <w:tcPr>
            <w:tcW w:w="992" w:type="dxa"/>
            <w:shd w:val="clear" w:color="auto" w:fill="C6EFCE"/>
          </w:tcPr>
          <w:p w14:paraId="4373604A" w14:textId="231A8085"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2025</w:t>
            </w:r>
          </w:p>
        </w:tc>
        <w:tc>
          <w:tcPr>
            <w:tcW w:w="2835" w:type="dxa"/>
            <w:shd w:val="clear" w:color="auto" w:fill="C6EFCE"/>
          </w:tcPr>
          <w:p w14:paraId="2B8EB0BF" w14:textId="0D810957" w:rsidR="00EB245A" w:rsidRDefault="006021EE">
            <w:pPr>
              <w:pStyle w:val="Normal0"/>
              <w:spacing w:after="0" w:line="240" w:lineRule="auto"/>
              <w:rPr>
                <w:rFonts w:ascii="Times New Roman" w:eastAsia="Times New Roman" w:hAnsi="Times New Roman" w:cs="Times New Roman"/>
                <w:noProof/>
                <w:color w:val="006100"/>
                <w:sz w:val="18"/>
              </w:rPr>
            </w:pPr>
            <w:r>
              <w:rPr>
                <w:rStyle w:val="normaltextrun"/>
                <w:rFonts w:ascii="Times New Roman" w:hAnsi="Times New Roman"/>
                <w:noProof/>
                <w:color w:val="000000" w:themeColor="text1"/>
                <w:sz w:val="18"/>
              </w:rPr>
              <w:t xml:space="preserve">Neue medizinische Dokumente werden digitalisiert, einschließlich Unterlagen über die onkologische Behandlung, die Informationen </w:t>
            </w:r>
            <w:r>
              <w:rPr>
                <w:rStyle w:val="normaltextrun"/>
                <w:rFonts w:ascii="Times New Roman" w:hAnsi="Times New Roman"/>
                <w:noProof/>
                <w:color w:val="000000" w:themeColor="text1"/>
                <w:sz w:val="18"/>
              </w:rPr>
              <w:t>über Patienten enthalten.</w:t>
            </w:r>
            <w:r>
              <w:rPr>
                <w:noProof/>
              </w:rPr>
              <w:t xml:space="preserve"> </w:t>
            </w:r>
          </w:p>
        </w:tc>
      </w:tr>
      <w:tr w:rsidR="00EB245A" w14:paraId="0AEC7F2D" w14:textId="77777777" w:rsidTr="006A0208">
        <w:trPr>
          <w:trHeight w:val="313"/>
        </w:trPr>
        <w:tc>
          <w:tcPr>
            <w:tcW w:w="696" w:type="dxa"/>
            <w:shd w:val="clear" w:color="auto" w:fill="C6EFCE"/>
          </w:tcPr>
          <w:p w14:paraId="11F852C4" w14:textId="7317C01F"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D20G</w:t>
            </w:r>
          </w:p>
        </w:tc>
        <w:tc>
          <w:tcPr>
            <w:tcW w:w="2069" w:type="dxa"/>
            <w:shd w:val="clear" w:color="auto" w:fill="C6EFCE"/>
          </w:tcPr>
          <w:p w14:paraId="5643A4D0"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D1.1.2 Beschleunigung des digitalen Wandels im Gesundheitswesen durch Weiterentwicklung digitaler Gesundheitsdienste</w:t>
            </w:r>
          </w:p>
        </w:tc>
        <w:tc>
          <w:tcPr>
            <w:tcW w:w="1204" w:type="dxa"/>
            <w:shd w:val="clear" w:color="auto" w:fill="C6EFCE"/>
          </w:tcPr>
          <w:p w14:paraId="3359C64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Ziel</w:t>
            </w:r>
          </w:p>
        </w:tc>
        <w:tc>
          <w:tcPr>
            <w:tcW w:w="1560" w:type="dxa"/>
            <w:shd w:val="clear" w:color="auto" w:fill="C6EFCE"/>
          </w:tcPr>
          <w:p w14:paraId="1BC281A2" w14:textId="127AC0A0"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r>
              <w:rPr>
                <w:rStyle w:val="normaltextrun"/>
                <w:rFonts w:ascii="Times New Roman" w:hAnsi="Times New Roman"/>
                <w:noProof/>
                <w:color w:val="000000"/>
                <w:sz w:val="18"/>
              </w:rPr>
              <w:t xml:space="preserve">T2 – digitalisierte medizinische Dokumente  </w:t>
            </w:r>
          </w:p>
        </w:tc>
        <w:tc>
          <w:tcPr>
            <w:tcW w:w="1842" w:type="dxa"/>
            <w:shd w:val="clear" w:color="auto" w:fill="C6EFCE"/>
          </w:tcPr>
          <w:p w14:paraId="3137074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134" w:type="dxa"/>
            <w:shd w:val="clear" w:color="auto" w:fill="C6EFCE"/>
          </w:tcPr>
          <w:p w14:paraId="4A14FAA0" w14:textId="2A5003CE" w:rsidR="00EB245A" w:rsidRDefault="00EB245A">
            <w:pPr>
              <w:pStyle w:val="Normal0"/>
              <w:spacing w:after="0" w:line="240" w:lineRule="auto"/>
              <w:rPr>
                <w:rFonts w:ascii="Times New Roman" w:eastAsia="Times New Roman" w:hAnsi="Times New Roman" w:cs="Times New Roman"/>
                <w:noProof/>
                <w:color w:val="006100"/>
                <w:sz w:val="18"/>
              </w:rPr>
            </w:pPr>
          </w:p>
          <w:p w14:paraId="4322B8E0" w14:textId="77777777" w:rsidR="00EB245A" w:rsidRDefault="006021EE">
            <w:pPr>
              <w:pStyle w:val="P68B1DB1-Normal012"/>
              <w:spacing w:after="0" w:line="240" w:lineRule="auto"/>
              <w:rPr>
                <w:rFonts w:eastAsia="Times New Roman" w:cs="Times New Roman"/>
                <w:noProof/>
                <w:color w:val="006100"/>
              </w:rPr>
            </w:pPr>
            <w:r>
              <w:rPr>
                <w:noProof/>
              </w:rPr>
              <w:t>Anzahl</w:t>
            </w:r>
          </w:p>
          <w:p w14:paraId="3D007973" w14:textId="3D0D9763" w:rsidR="00EB245A" w:rsidRDefault="00EB245A">
            <w:pPr>
              <w:pStyle w:val="Normal0"/>
              <w:spacing w:after="0" w:line="240" w:lineRule="auto"/>
              <w:rPr>
                <w:rFonts w:ascii="Times New Roman" w:hAnsi="Times New Roman"/>
                <w:noProof/>
                <w:color w:val="000000" w:themeColor="text1"/>
                <w:sz w:val="18"/>
              </w:rPr>
            </w:pPr>
          </w:p>
        </w:tc>
        <w:tc>
          <w:tcPr>
            <w:tcW w:w="1418" w:type="dxa"/>
            <w:shd w:val="clear" w:color="auto" w:fill="C6EFCE"/>
          </w:tcPr>
          <w:p w14:paraId="18E8C380" w14:textId="5AAECE53" w:rsidR="00EB245A" w:rsidRDefault="006021EE">
            <w:pPr>
              <w:pStyle w:val="P68B1DB1-Normal012"/>
              <w:spacing w:after="0" w:line="240" w:lineRule="auto"/>
              <w:jc w:val="right"/>
              <w:rPr>
                <w:rFonts w:eastAsia="Times New Roman" w:cs="Times New Roman"/>
                <w:noProof/>
                <w:color w:val="006100"/>
              </w:rPr>
            </w:pPr>
            <w:r>
              <w:rPr>
                <w:noProof/>
              </w:rPr>
              <w:t>12</w:t>
            </w:r>
          </w:p>
        </w:tc>
        <w:tc>
          <w:tcPr>
            <w:tcW w:w="850" w:type="dxa"/>
            <w:shd w:val="clear" w:color="auto" w:fill="C6EFCE"/>
          </w:tcPr>
          <w:p w14:paraId="3F48C20F" w14:textId="7F2E33D8" w:rsidR="00EB245A" w:rsidRDefault="006021EE">
            <w:pPr>
              <w:pStyle w:val="P68B1DB1-Normal012"/>
              <w:spacing w:after="0" w:line="240" w:lineRule="auto"/>
              <w:jc w:val="right"/>
              <w:rPr>
                <w:rFonts w:eastAsia="Times New Roman" w:cs="Times New Roman"/>
                <w:noProof/>
                <w:color w:val="006100"/>
              </w:rPr>
            </w:pPr>
            <w:r>
              <w:rPr>
                <w:noProof/>
              </w:rPr>
              <w:t>18</w:t>
            </w:r>
          </w:p>
        </w:tc>
        <w:tc>
          <w:tcPr>
            <w:tcW w:w="851" w:type="dxa"/>
            <w:shd w:val="clear" w:color="auto" w:fill="C6EFCE"/>
          </w:tcPr>
          <w:p w14:paraId="50B8EFB1"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Q1</w:t>
            </w:r>
          </w:p>
        </w:tc>
        <w:tc>
          <w:tcPr>
            <w:tcW w:w="992" w:type="dxa"/>
            <w:shd w:val="clear" w:color="auto" w:fill="C6EFCE"/>
          </w:tcPr>
          <w:p w14:paraId="68368DD7"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2026</w:t>
            </w:r>
          </w:p>
        </w:tc>
        <w:tc>
          <w:tcPr>
            <w:tcW w:w="2835" w:type="dxa"/>
            <w:shd w:val="clear" w:color="auto" w:fill="C6EFCE"/>
          </w:tcPr>
          <w:p w14:paraId="5C786572" w14:textId="2A87E2AD" w:rsidR="00EB245A" w:rsidRDefault="006021EE">
            <w:pPr>
              <w:pStyle w:val="Normal0"/>
              <w:spacing w:after="0" w:line="240" w:lineRule="auto"/>
              <w:rPr>
                <w:rFonts w:ascii="Times New Roman" w:eastAsia="Times New Roman" w:hAnsi="Times New Roman" w:cs="Times New Roman"/>
                <w:noProof/>
                <w:color w:val="006100"/>
                <w:sz w:val="18"/>
              </w:rPr>
            </w:pPr>
            <w:r>
              <w:rPr>
                <w:rStyle w:val="normaltextrun"/>
                <w:rFonts w:ascii="Times New Roman" w:hAnsi="Times New Roman"/>
                <w:noProof/>
                <w:color w:val="000000" w:themeColor="text1"/>
                <w:sz w:val="18"/>
              </w:rPr>
              <w:t xml:space="preserve">Neue medizinische Dokumente werden digitalisiert, einschließlich Unterlagen über die onkologische Behandlung, die Informationen über Patienten enthalten. </w:t>
            </w:r>
          </w:p>
        </w:tc>
      </w:tr>
      <w:tr w:rsidR="00EB245A" w14:paraId="5F48FFF7" w14:textId="77777777" w:rsidTr="006A0208">
        <w:trPr>
          <w:trHeight w:val="313"/>
        </w:trPr>
        <w:tc>
          <w:tcPr>
            <w:tcW w:w="696" w:type="dxa"/>
            <w:shd w:val="clear" w:color="auto" w:fill="C6EFCE"/>
          </w:tcPr>
          <w:p w14:paraId="324D8258" w14:textId="71324FF5"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D21G</w:t>
            </w:r>
          </w:p>
        </w:tc>
        <w:tc>
          <w:tcPr>
            <w:tcW w:w="2069" w:type="dxa"/>
            <w:shd w:val="clear" w:color="auto" w:fill="C6EFCE"/>
          </w:tcPr>
          <w:p w14:paraId="08ECAEB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D1.1.2 Beschleunigung des digitalen Wandels im Gesundheitswesen durch Weiterentwicklung </w:t>
            </w:r>
            <w:r>
              <w:rPr>
                <w:noProof/>
              </w:rPr>
              <w:t>digitaler Gesundheitsdienste</w:t>
            </w:r>
          </w:p>
        </w:tc>
        <w:tc>
          <w:tcPr>
            <w:tcW w:w="1204" w:type="dxa"/>
            <w:shd w:val="clear" w:color="auto" w:fill="C6EFCE"/>
          </w:tcPr>
          <w:p w14:paraId="380174F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Ziel</w:t>
            </w:r>
          </w:p>
        </w:tc>
        <w:tc>
          <w:tcPr>
            <w:tcW w:w="1560" w:type="dxa"/>
            <w:shd w:val="clear" w:color="auto" w:fill="C6EFCE"/>
          </w:tcPr>
          <w:p w14:paraId="1A0E3DE0" w14:textId="49B8D077"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r>
              <w:rPr>
                <w:rStyle w:val="normaltextrun"/>
                <w:rFonts w:ascii="Times New Roman" w:hAnsi="Times New Roman"/>
                <w:noProof/>
                <w:color w:val="000000"/>
                <w:sz w:val="18"/>
              </w:rPr>
              <w:t>Zentrale/regionale Gesundheitsdienstleister, die mit der zentralen Datenbank für medizinische Daten verbunden sind, und zentrale/regionale Gesundheitsdienstleister, die mit dem KI-gestützten Instrument zur Unterstützung de</w:t>
            </w:r>
            <w:r>
              <w:rPr>
                <w:rStyle w:val="normaltextrun"/>
                <w:rFonts w:ascii="Times New Roman" w:hAnsi="Times New Roman"/>
                <w:noProof/>
                <w:color w:val="000000"/>
                <w:sz w:val="18"/>
              </w:rPr>
              <w:t xml:space="preserve">r Entscheidungsfindung ausgestattet sind </w:t>
            </w:r>
          </w:p>
        </w:tc>
        <w:tc>
          <w:tcPr>
            <w:tcW w:w="1842" w:type="dxa"/>
            <w:shd w:val="clear" w:color="auto" w:fill="C6EFCE"/>
          </w:tcPr>
          <w:p w14:paraId="6152B5C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134" w:type="dxa"/>
            <w:shd w:val="clear" w:color="auto" w:fill="C6EFCE"/>
          </w:tcPr>
          <w:p w14:paraId="4686C8D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(Prozent)</w:t>
            </w:r>
          </w:p>
        </w:tc>
        <w:tc>
          <w:tcPr>
            <w:tcW w:w="1418" w:type="dxa"/>
            <w:shd w:val="clear" w:color="auto" w:fill="C6EFCE"/>
          </w:tcPr>
          <w:p w14:paraId="3F941064"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0</w:t>
            </w:r>
          </w:p>
        </w:tc>
        <w:tc>
          <w:tcPr>
            <w:tcW w:w="850" w:type="dxa"/>
            <w:shd w:val="clear" w:color="auto" w:fill="C6EFCE"/>
          </w:tcPr>
          <w:p w14:paraId="46B40F80"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30</w:t>
            </w:r>
          </w:p>
        </w:tc>
        <w:tc>
          <w:tcPr>
            <w:tcW w:w="851" w:type="dxa"/>
            <w:shd w:val="clear" w:color="auto" w:fill="C6EFCE"/>
          </w:tcPr>
          <w:p w14:paraId="0F8E741A"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Q1</w:t>
            </w:r>
          </w:p>
        </w:tc>
        <w:tc>
          <w:tcPr>
            <w:tcW w:w="992" w:type="dxa"/>
            <w:shd w:val="clear" w:color="auto" w:fill="C6EFCE"/>
          </w:tcPr>
          <w:p w14:paraId="7B684899"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2026</w:t>
            </w:r>
          </w:p>
        </w:tc>
        <w:tc>
          <w:tcPr>
            <w:tcW w:w="2835" w:type="dxa"/>
            <w:shd w:val="clear" w:color="auto" w:fill="C6EFCE"/>
          </w:tcPr>
          <w:p w14:paraId="48166FE3" w14:textId="3A0FCE68" w:rsidR="00EB245A" w:rsidRDefault="006021EE">
            <w:pPr>
              <w:pStyle w:val="paragraph"/>
              <w:spacing w:before="0" w:beforeAutospacing="0" w:after="0" w:afterAutospacing="0"/>
              <w:textAlignment w:val="baseline"/>
              <w:rPr>
                <w:noProof/>
                <w:sz w:val="18"/>
              </w:rPr>
            </w:pPr>
            <w:r>
              <w:rPr>
                <w:rStyle w:val="normaltextrun"/>
                <w:noProof/>
                <w:color w:val="000000" w:themeColor="text1"/>
                <w:sz w:val="18"/>
              </w:rPr>
              <w:t xml:space="preserve">30 % der Gesundheitsdienstleister (auf zentraler oder regionaler Ebene) sind an die zentrale elektronische Datenbank für medizinische Daten angeschlossen. </w:t>
            </w:r>
          </w:p>
          <w:p w14:paraId="3F3BE604" w14:textId="4B7A13E6"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r>
              <w:rPr>
                <w:rStyle w:val="normaltextrun"/>
                <w:rFonts w:ascii="Times New Roman" w:hAnsi="Times New Roman"/>
                <w:noProof/>
                <w:color w:val="000000"/>
                <w:sz w:val="18"/>
              </w:rPr>
              <w:t xml:space="preserve">30 % der Gesundheitsdienstleister (auf zentraler oder regionaler Ebene) werden mit dem KI-gestützten Instrument zur Unterstützung der Entscheidungsfindung ausgestattet.   </w:t>
            </w:r>
          </w:p>
        </w:tc>
      </w:tr>
      <w:tr w:rsidR="00EB245A" w14:paraId="30B106E8" w14:textId="77777777" w:rsidTr="006A0208">
        <w:trPr>
          <w:trHeight w:val="313"/>
        </w:trPr>
        <w:tc>
          <w:tcPr>
            <w:tcW w:w="696" w:type="dxa"/>
            <w:shd w:val="clear" w:color="auto" w:fill="C6EFCE"/>
          </w:tcPr>
          <w:p w14:paraId="013F9C16" w14:textId="32325D05"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D22G</w:t>
            </w:r>
          </w:p>
        </w:tc>
        <w:tc>
          <w:tcPr>
            <w:tcW w:w="2069" w:type="dxa"/>
            <w:shd w:val="clear" w:color="auto" w:fill="C6EFCE"/>
          </w:tcPr>
          <w:p w14:paraId="227979B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D1.1.2 Beschleunigung des digitalen Wandels im Gesundheitswesen durch </w:t>
            </w:r>
            <w:r>
              <w:rPr>
                <w:noProof/>
              </w:rPr>
              <w:t>Weiterentwicklung digitaler Gesundheitsdienste</w:t>
            </w:r>
          </w:p>
        </w:tc>
        <w:tc>
          <w:tcPr>
            <w:tcW w:w="1204" w:type="dxa"/>
            <w:shd w:val="clear" w:color="auto" w:fill="C6EFCE"/>
          </w:tcPr>
          <w:p w14:paraId="1EA3F18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Ziel</w:t>
            </w:r>
          </w:p>
        </w:tc>
        <w:tc>
          <w:tcPr>
            <w:tcW w:w="1560" w:type="dxa"/>
            <w:shd w:val="clear" w:color="auto" w:fill="C6EFCE"/>
          </w:tcPr>
          <w:p w14:paraId="413F8284" w14:textId="05C673A1"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r>
              <w:rPr>
                <w:rStyle w:val="normaltextrun"/>
                <w:rFonts w:ascii="Times New Roman" w:hAnsi="Times New Roman"/>
                <w:noProof/>
                <w:color w:val="000000"/>
                <w:sz w:val="18"/>
              </w:rPr>
              <w:t xml:space="preserve">Erwachsene Patienten, die unter das Tool für Patientengesundheitsanalyse fallen </w:t>
            </w:r>
          </w:p>
        </w:tc>
        <w:tc>
          <w:tcPr>
            <w:tcW w:w="1842" w:type="dxa"/>
            <w:shd w:val="clear" w:color="auto" w:fill="C6EFCE"/>
          </w:tcPr>
          <w:p w14:paraId="45C46E1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134" w:type="dxa"/>
            <w:shd w:val="clear" w:color="auto" w:fill="C6EFCE"/>
          </w:tcPr>
          <w:p w14:paraId="4066589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(Prozent)</w:t>
            </w:r>
          </w:p>
        </w:tc>
        <w:tc>
          <w:tcPr>
            <w:tcW w:w="1418" w:type="dxa"/>
            <w:shd w:val="clear" w:color="auto" w:fill="C6EFCE"/>
          </w:tcPr>
          <w:p w14:paraId="46400BC5"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0</w:t>
            </w:r>
          </w:p>
        </w:tc>
        <w:tc>
          <w:tcPr>
            <w:tcW w:w="850" w:type="dxa"/>
            <w:shd w:val="clear" w:color="auto" w:fill="C6EFCE"/>
          </w:tcPr>
          <w:p w14:paraId="7DAAF832"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70</w:t>
            </w:r>
          </w:p>
        </w:tc>
        <w:tc>
          <w:tcPr>
            <w:tcW w:w="851" w:type="dxa"/>
            <w:shd w:val="clear" w:color="auto" w:fill="C6EFCE"/>
          </w:tcPr>
          <w:p w14:paraId="410BF90F"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Q1</w:t>
            </w:r>
          </w:p>
        </w:tc>
        <w:tc>
          <w:tcPr>
            <w:tcW w:w="992" w:type="dxa"/>
            <w:shd w:val="clear" w:color="auto" w:fill="C6EFCE"/>
          </w:tcPr>
          <w:p w14:paraId="3D38FA58"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2026</w:t>
            </w:r>
          </w:p>
        </w:tc>
        <w:tc>
          <w:tcPr>
            <w:tcW w:w="2835" w:type="dxa"/>
            <w:shd w:val="clear" w:color="auto" w:fill="C6EFCE"/>
          </w:tcPr>
          <w:p w14:paraId="51B2F0A7" w14:textId="6BEF31B4"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r>
              <w:rPr>
                <w:rStyle w:val="normaltextrun"/>
                <w:rFonts w:ascii="Times New Roman" w:hAnsi="Times New Roman"/>
                <w:noProof/>
                <w:color w:val="000000"/>
                <w:sz w:val="18"/>
              </w:rPr>
              <w:t xml:space="preserve">70 % der erwachsenen Patienten werden durch das Tool für Patientengesundheitsanalyse abgedeckt. </w:t>
            </w:r>
          </w:p>
        </w:tc>
      </w:tr>
      <w:tr w:rsidR="00EB245A" w14:paraId="4D97DF95" w14:textId="77777777" w:rsidTr="006A0208">
        <w:trPr>
          <w:trHeight w:val="313"/>
        </w:trPr>
        <w:tc>
          <w:tcPr>
            <w:tcW w:w="696" w:type="dxa"/>
            <w:shd w:val="clear" w:color="auto" w:fill="C6EFCE"/>
          </w:tcPr>
          <w:p w14:paraId="6696E785" w14:textId="51275BC3"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D23G</w:t>
            </w:r>
          </w:p>
        </w:tc>
        <w:tc>
          <w:tcPr>
            <w:tcW w:w="2069" w:type="dxa"/>
            <w:shd w:val="clear" w:color="auto" w:fill="C6EFCE"/>
          </w:tcPr>
          <w:p w14:paraId="2D994AAB"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D2.1 Schaffung der richtigen Voraussetzungen für eine Erhöhung des medizinischen Personals</w:t>
            </w:r>
          </w:p>
        </w:tc>
        <w:tc>
          <w:tcPr>
            <w:tcW w:w="1204" w:type="dxa"/>
            <w:shd w:val="clear" w:color="auto" w:fill="C6EFCE"/>
          </w:tcPr>
          <w:p w14:paraId="2DFF2B75"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560" w:type="dxa"/>
            <w:shd w:val="clear" w:color="auto" w:fill="C6EFCE"/>
          </w:tcPr>
          <w:p w14:paraId="02CEA90B" w14:textId="4956737C"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r>
              <w:rPr>
                <w:rStyle w:val="normaltextrun"/>
                <w:rFonts w:ascii="Times New Roman" w:hAnsi="Times New Roman"/>
                <w:noProof/>
                <w:color w:val="000000"/>
                <w:sz w:val="18"/>
              </w:rPr>
              <w:t xml:space="preserve">Änderung des Gesetzes über Hochschulbildung und Wissenschaft sowie über die Berufe von </w:t>
            </w:r>
            <w:r>
              <w:rPr>
                <w:rStyle w:val="normaltextrun"/>
                <w:rFonts w:ascii="Times New Roman" w:hAnsi="Times New Roman"/>
                <w:noProof/>
                <w:color w:val="000000"/>
                <w:sz w:val="18"/>
              </w:rPr>
              <w:t xml:space="preserve">Physiker und Zahnärzten, um eine Rechtsgrundlage für die finanzielle Unterstützung ab dem akademischen Jahr 2021/2022 für Studierende im Medizinbereich in Polen zu schaffen  </w:t>
            </w:r>
          </w:p>
        </w:tc>
        <w:tc>
          <w:tcPr>
            <w:tcW w:w="1842" w:type="dxa"/>
            <w:shd w:val="clear" w:color="auto" w:fill="C6EFCE"/>
          </w:tcPr>
          <w:p w14:paraId="73AE6613" w14:textId="781B2ABF"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Bestimmung in der Änderung des Gesetzes über Hochschulbildung und Wissenschaft so</w:t>
            </w:r>
            <w:r>
              <w:rPr>
                <w:noProof/>
              </w:rPr>
              <w:t>wie über die Berufe von Physiker und Zahnärzten, um eine Rechtsgrundlage für die finanzielle Unterstützung ab dem akademischen Jahr 2021/2022 für Studierende im Bereich Medizin in Polen auf Hochschulebene (einschließlich Studierende, die ihr Studium vor de</w:t>
            </w:r>
            <w:r>
              <w:rPr>
                <w:noProof/>
              </w:rPr>
              <w:t>m akademischen Jahr 2021/2022 aufgenommen haben) zu schaffen, und deren Inkrafttreten</w:t>
            </w:r>
          </w:p>
        </w:tc>
        <w:tc>
          <w:tcPr>
            <w:tcW w:w="1134" w:type="dxa"/>
            <w:shd w:val="clear" w:color="auto" w:fill="C6EFCE"/>
          </w:tcPr>
          <w:p w14:paraId="3C347B81"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418" w:type="dxa"/>
            <w:shd w:val="clear" w:color="auto" w:fill="C6EFCE"/>
          </w:tcPr>
          <w:p w14:paraId="548DED9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850" w:type="dxa"/>
            <w:shd w:val="clear" w:color="auto" w:fill="C6EFCE"/>
          </w:tcPr>
          <w:p w14:paraId="5D54FA79"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851" w:type="dxa"/>
            <w:shd w:val="clear" w:color="auto" w:fill="C6EFCE"/>
          </w:tcPr>
          <w:p w14:paraId="622A3A40"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Q4</w:t>
            </w:r>
          </w:p>
        </w:tc>
        <w:tc>
          <w:tcPr>
            <w:tcW w:w="992" w:type="dxa"/>
            <w:shd w:val="clear" w:color="auto" w:fill="C6EFCE"/>
          </w:tcPr>
          <w:p w14:paraId="7351E708"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2021</w:t>
            </w:r>
          </w:p>
        </w:tc>
        <w:tc>
          <w:tcPr>
            <w:tcW w:w="2835" w:type="dxa"/>
            <w:shd w:val="clear" w:color="auto" w:fill="C6EFCE"/>
          </w:tcPr>
          <w:p w14:paraId="5636F4F3" w14:textId="2BC030FC"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r>
              <w:rPr>
                <w:rStyle w:val="normaltextrun"/>
                <w:rFonts w:ascii="Times New Roman" w:hAnsi="Times New Roman"/>
                <w:noProof/>
                <w:color w:val="000000" w:themeColor="text1"/>
                <w:sz w:val="18"/>
              </w:rPr>
              <w:t>Das Gesetz tritt in Kraft und sieht die Möglichkeit vor, eine finanzielle Unterstützung in Form eines Darlehens für Studierende mit bezahltem Medizinstudium</w:t>
            </w:r>
            <w:r>
              <w:rPr>
                <w:rStyle w:val="normaltextrun"/>
                <w:rFonts w:ascii="Times New Roman" w:hAnsi="Times New Roman"/>
                <w:noProof/>
                <w:color w:val="000000" w:themeColor="text1"/>
                <w:sz w:val="18"/>
              </w:rPr>
              <w:t xml:space="preserve"> auf Hochschulebene in Anspruch zu nehmen. Der Studierende hat die Möglichkeit, die vorzeitige Rückzahlung des Darlehens oder eine Verlängerung seiner Kreditlaufzeit zu beantragen.  </w:t>
            </w:r>
            <w:r>
              <w:rPr>
                <w:rStyle w:val="scxw147420095"/>
                <w:rFonts w:ascii="Times New Roman" w:hAnsi="Times New Roman"/>
                <w:noProof/>
                <w:sz w:val="18"/>
              </w:rPr>
              <w:t xml:space="preserve"> </w:t>
            </w:r>
            <w:r>
              <w:rPr>
                <w:noProof/>
              </w:rPr>
              <w:t xml:space="preserve">  </w:t>
            </w:r>
            <w:r>
              <w:rPr>
                <w:noProof/>
              </w:rPr>
              <w:br/>
            </w:r>
            <w:r>
              <w:rPr>
                <w:rStyle w:val="normaltextrun"/>
                <w:rFonts w:ascii="Times New Roman" w:hAnsi="Times New Roman"/>
                <w:noProof/>
                <w:color w:val="000000" w:themeColor="text1"/>
                <w:sz w:val="18"/>
              </w:rPr>
              <w:t xml:space="preserve">Nach Erfüllung bestimmter im Gesetz festgelegter Bedingungen kann der Student einen teilweisen oder vollständigen Erlass des Studiendarlehens beantragen.  </w:t>
            </w:r>
            <w:r>
              <w:rPr>
                <w:noProof/>
              </w:rPr>
              <w:t xml:space="preserve"> </w:t>
            </w:r>
            <w:r>
              <w:rPr>
                <w:noProof/>
              </w:rPr>
              <w:br/>
            </w:r>
            <w:r>
              <w:rPr>
                <w:rStyle w:val="normaltextrun"/>
                <w:rFonts w:ascii="Times New Roman" w:hAnsi="Times New Roman"/>
                <w:noProof/>
                <w:color w:val="000000" w:themeColor="text1"/>
                <w:sz w:val="18"/>
              </w:rPr>
              <w:t>Studierende, die die Unterstützung in Anspruch nehmen, können einen vollständigen Erlass des Darleh</w:t>
            </w:r>
            <w:r>
              <w:rPr>
                <w:rStyle w:val="normaltextrun"/>
                <w:rFonts w:ascii="Times New Roman" w:hAnsi="Times New Roman"/>
                <w:noProof/>
                <w:color w:val="000000" w:themeColor="text1"/>
                <w:sz w:val="18"/>
              </w:rPr>
              <w:t xml:space="preserve">ens beantragen, wenn sie folgende Bedingungen erfüllen: </w:t>
            </w:r>
            <w:r>
              <w:rPr>
                <w:noProof/>
              </w:rPr>
              <w:t xml:space="preserve"> </w:t>
            </w:r>
            <w:r>
              <w:rPr>
                <w:noProof/>
              </w:rPr>
              <w:br/>
            </w:r>
            <w:r>
              <w:rPr>
                <w:rStyle w:val="normaltextrun"/>
                <w:rFonts w:ascii="Times New Roman" w:hAnsi="Times New Roman"/>
                <w:noProof/>
                <w:color w:val="000000" w:themeColor="text1"/>
                <w:sz w:val="18"/>
              </w:rPr>
              <w:t>— nach Abschluss mindestens zehn Jahre innerhalb von zwölf aufeinanderfolgenden Jahren ab dem Zeitpunkt des Abschlusses in Einrichtungen arbeiten, die im Hoheitsgebiet der Republik Polen medizinisch</w:t>
            </w:r>
            <w:r>
              <w:rPr>
                <w:rStyle w:val="normaltextrun"/>
                <w:rFonts w:ascii="Times New Roman" w:hAnsi="Times New Roman"/>
                <w:noProof/>
                <w:color w:val="000000" w:themeColor="text1"/>
                <w:sz w:val="18"/>
              </w:rPr>
              <w:t>e Tätigkeiten ausüben und aus öffentlichen Mitteln finanzierte Gesundheitsdienstleistungen erbringen, und</w:t>
            </w:r>
            <w:r>
              <w:rPr>
                <w:rStyle w:val="normaltextrun"/>
                <w:rFonts w:ascii="Times New Roman" w:hAnsi="Times New Roman"/>
                <w:noProof/>
                <w:sz w:val="18"/>
              </w:rPr>
              <w:t xml:space="preserve"> </w:t>
            </w:r>
            <w:r>
              <w:rPr>
                <w:noProof/>
              </w:rPr>
              <w:t xml:space="preserve"> </w:t>
            </w:r>
            <w:r>
              <w:rPr>
                <w:noProof/>
              </w:rPr>
              <w:br/>
              <w:t xml:space="preserve"> </w:t>
            </w:r>
            <w:r>
              <w:rPr>
                <w:rStyle w:val="normaltextrun"/>
                <w:rFonts w:ascii="Times New Roman" w:hAnsi="Times New Roman"/>
                <w:noProof/>
                <w:color w:val="000000" w:themeColor="text1"/>
                <w:sz w:val="18"/>
              </w:rPr>
              <w:t>— den Titel eines Facharztes innerhalb des genannten Zeitraums in einem als prioritär anerkannten medizinischen Bereich am Tag des Beginns der Spez</w:t>
            </w:r>
            <w:r>
              <w:rPr>
                <w:rStyle w:val="normaltextrun"/>
                <w:rFonts w:ascii="Times New Roman" w:hAnsi="Times New Roman"/>
                <w:noProof/>
                <w:color w:val="000000" w:themeColor="text1"/>
                <w:sz w:val="18"/>
              </w:rPr>
              <w:t xml:space="preserve">ialisierungsausbildung durch den Arzt erwerben. </w:t>
            </w:r>
            <w:r>
              <w:rPr>
                <w:noProof/>
              </w:rPr>
              <w:t xml:space="preserve"> </w:t>
            </w:r>
            <w:r>
              <w:rPr>
                <w:noProof/>
              </w:rPr>
              <w:br/>
            </w:r>
            <w:r>
              <w:rPr>
                <w:rStyle w:val="normaltextrun"/>
                <w:rFonts w:ascii="Times New Roman" w:hAnsi="Times New Roman"/>
                <w:noProof/>
                <w:color w:val="000000" w:themeColor="text1"/>
                <w:sz w:val="18"/>
              </w:rPr>
              <w:t>Eine Person, die diese beiden Bedingungen erfüllt, muss das Darlehen für ein medizinisches Studium nicht zurückzahlen. Die genauen Bedingungen und das Verfahren für die Kündigung des Darlehens werden in dem</w:t>
            </w:r>
            <w:r>
              <w:rPr>
                <w:rStyle w:val="normaltextrun"/>
                <w:rFonts w:ascii="Times New Roman" w:hAnsi="Times New Roman"/>
                <w:noProof/>
                <w:color w:val="000000" w:themeColor="text1"/>
                <w:sz w:val="18"/>
              </w:rPr>
              <w:t xml:space="preserve"> Rechtsakt festgelegt. </w:t>
            </w:r>
          </w:p>
        </w:tc>
      </w:tr>
      <w:tr w:rsidR="00EB245A" w14:paraId="0FEBA561" w14:textId="77777777" w:rsidTr="006A0208">
        <w:trPr>
          <w:trHeight w:val="313"/>
        </w:trPr>
        <w:tc>
          <w:tcPr>
            <w:tcW w:w="696" w:type="dxa"/>
            <w:shd w:val="clear" w:color="auto" w:fill="C6EFCE"/>
          </w:tcPr>
          <w:p w14:paraId="40805059" w14:textId="6DF82499"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D24G</w:t>
            </w:r>
          </w:p>
        </w:tc>
        <w:tc>
          <w:tcPr>
            <w:tcW w:w="2069" w:type="dxa"/>
            <w:shd w:val="clear" w:color="auto" w:fill="C6EFCE"/>
          </w:tcPr>
          <w:p w14:paraId="088F39B1"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D2.1 Schaffung der richtigen Voraussetzungen für eine Erhöhung des medizinischen Personals</w:t>
            </w:r>
          </w:p>
        </w:tc>
        <w:tc>
          <w:tcPr>
            <w:tcW w:w="1204" w:type="dxa"/>
            <w:shd w:val="clear" w:color="auto" w:fill="C6EFCE"/>
          </w:tcPr>
          <w:p w14:paraId="7CECD32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Ziel</w:t>
            </w:r>
          </w:p>
        </w:tc>
        <w:tc>
          <w:tcPr>
            <w:tcW w:w="1560" w:type="dxa"/>
            <w:shd w:val="clear" w:color="auto" w:fill="C6EFCE"/>
          </w:tcPr>
          <w:p w14:paraId="3E4CA140" w14:textId="5CDF426D"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r>
              <w:rPr>
                <w:rStyle w:val="normaltextrun"/>
                <w:rFonts w:ascii="Times New Roman" w:hAnsi="Times New Roman"/>
                <w:noProof/>
                <w:color w:val="000000" w:themeColor="text1"/>
                <w:sz w:val="18"/>
              </w:rPr>
              <w:t xml:space="preserve">Zahl der Studierenden an medizinischen Universitäten, die finanzielle Unterstützung gemäß dem Gesetz über Hochschulbildung und </w:t>
            </w:r>
            <w:r>
              <w:rPr>
                <w:rStyle w:val="normaltextrun"/>
                <w:rFonts w:ascii="Times New Roman" w:hAnsi="Times New Roman"/>
                <w:noProof/>
                <w:color w:val="000000" w:themeColor="text1"/>
                <w:sz w:val="18"/>
              </w:rPr>
              <w:t xml:space="preserve">Wissenschaft und über die Berufe von Physiker und Zahnärzten erhalten haben  </w:t>
            </w:r>
          </w:p>
        </w:tc>
        <w:tc>
          <w:tcPr>
            <w:tcW w:w="1842" w:type="dxa"/>
            <w:shd w:val="clear" w:color="auto" w:fill="C6EFCE"/>
          </w:tcPr>
          <w:p w14:paraId="2C321B3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134" w:type="dxa"/>
            <w:shd w:val="clear" w:color="auto" w:fill="C6EFCE"/>
          </w:tcPr>
          <w:p w14:paraId="0BD69BC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Anzahl</w:t>
            </w:r>
          </w:p>
        </w:tc>
        <w:tc>
          <w:tcPr>
            <w:tcW w:w="1418" w:type="dxa"/>
            <w:shd w:val="clear" w:color="auto" w:fill="C6EFCE"/>
          </w:tcPr>
          <w:p w14:paraId="562729E8"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0</w:t>
            </w:r>
          </w:p>
        </w:tc>
        <w:tc>
          <w:tcPr>
            <w:tcW w:w="850" w:type="dxa"/>
            <w:shd w:val="clear" w:color="auto" w:fill="C6EFCE"/>
          </w:tcPr>
          <w:p w14:paraId="71AE6B87" w14:textId="510E3F7D"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9947</w:t>
            </w:r>
          </w:p>
        </w:tc>
        <w:tc>
          <w:tcPr>
            <w:tcW w:w="851" w:type="dxa"/>
            <w:shd w:val="clear" w:color="auto" w:fill="C6EFCE"/>
          </w:tcPr>
          <w:p w14:paraId="47A9D4CD"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Q2</w:t>
            </w:r>
          </w:p>
        </w:tc>
        <w:tc>
          <w:tcPr>
            <w:tcW w:w="992" w:type="dxa"/>
            <w:shd w:val="clear" w:color="auto" w:fill="C6EFCE"/>
          </w:tcPr>
          <w:p w14:paraId="1AEDEA92"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2026</w:t>
            </w:r>
          </w:p>
        </w:tc>
        <w:tc>
          <w:tcPr>
            <w:tcW w:w="2835" w:type="dxa"/>
            <w:shd w:val="clear" w:color="auto" w:fill="C6EFCE"/>
          </w:tcPr>
          <w:p w14:paraId="4E39AB12" w14:textId="5000F9AE"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r>
              <w:rPr>
                <w:rStyle w:val="normaltextrun"/>
                <w:rFonts w:ascii="Times New Roman" w:hAnsi="Times New Roman"/>
                <w:noProof/>
                <w:color w:val="000000" w:themeColor="text1"/>
                <w:sz w:val="18"/>
              </w:rPr>
              <w:t xml:space="preserve">9947 Studierende müssen auf der Grundlage der Änderung des Gesetzes über Hochschulbildung und Wissenschaft und über die Berufe von Physiker und Zahnärzten finanzielle Unterstützung in Form eines Darlehens für bezahltes polnisches Studium im Medizinbereich </w:t>
            </w:r>
            <w:r>
              <w:rPr>
                <w:rStyle w:val="normaltextrun"/>
                <w:rFonts w:ascii="Times New Roman" w:hAnsi="Times New Roman"/>
                <w:noProof/>
                <w:color w:val="000000" w:themeColor="text1"/>
                <w:sz w:val="18"/>
              </w:rPr>
              <w:t xml:space="preserve">erhalten haben.  </w:t>
            </w:r>
          </w:p>
        </w:tc>
      </w:tr>
      <w:tr w:rsidR="00EB245A" w14:paraId="02DD8C33" w14:textId="77777777" w:rsidTr="006A0208">
        <w:trPr>
          <w:trHeight w:val="313"/>
        </w:trPr>
        <w:tc>
          <w:tcPr>
            <w:tcW w:w="696" w:type="dxa"/>
            <w:shd w:val="clear" w:color="auto" w:fill="C6EFCE"/>
          </w:tcPr>
          <w:p w14:paraId="60F564E8" w14:textId="63A0FCD6"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D25G</w:t>
            </w:r>
          </w:p>
        </w:tc>
        <w:tc>
          <w:tcPr>
            <w:tcW w:w="2069" w:type="dxa"/>
            <w:shd w:val="clear" w:color="auto" w:fill="C6EFCE"/>
          </w:tcPr>
          <w:p w14:paraId="4742A30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D2.1 Schaffung der richtigen Voraussetzungen für eine Erhöhung des medizinischen Personals</w:t>
            </w:r>
          </w:p>
        </w:tc>
        <w:tc>
          <w:tcPr>
            <w:tcW w:w="1204" w:type="dxa"/>
            <w:shd w:val="clear" w:color="auto" w:fill="C6EFCE"/>
          </w:tcPr>
          <w:p w14:paraId="64444FF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560" w:type="dxa"/>
            <w:shd w:val="clear" w:color="auto" w:fill="C6EFCE"/>
          </w:tcPr>
          <w:p w14:paraId="680B2CEB" w14:textId="6D550F43"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r>
              <w:rPr>
                <w:rStyle w:val="normaltextrun"/>
                <w:rFonts w:ascii="Times New Roman" w:hAnsi="Times New Roman"/>
                <w:noProof/>
                <w:color w:val="000000"/>
                <w:sz w:val="18"/>
              </w:rPr>
              <w:t xml:space="preserve">Inkrafttreten des Gesetzes über den Beruf der Sanitäter und die Selbstverwaltung der Sanitäter, mit dem die Möglichkeit eingeführt wird, Programme des zweiten Zyklus im Bereich der Vorbereitung des Sanitätsberufs einzurichten  </w:t>
            </w:r>
          </w:p>
        </w:tc>
        <w:tc>
          <w:tcPr>
            <w:tcW w:w="1842" w:type="dxa"/>
            <w:shd w:val="clear" w:color="auto" w:fill="C6EFCE"/>
          </w:tcPr>
          <w:p w14:paraId="1B1B0BD3" w14:textId="3F53E428"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Bestimmung des Gesetzes über</w:t>
            </w:r>
            <w:r>
              <w:rPr>
                <w:noProof/>
              </w:rPr>
              <w:t xml:space="preserve"> den Beruf des Sanitätsarztes und die Selbstverwaltung von Sanitätern, aus der hervorgeht, dass es in Kraft tritt</w:t>
            </w:r>
          </w:p>
        </w:tc>
        <w:tc>
          <w:tcPr>
            <w:tcW w:w="1134" w:type="dxa"/>
            <w:shd w:val="clear" w:color="auto" w:fill="C6EFCE"/>
          </w:tcPr>
          <w:p w14:paraId="6FCE0CFE"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418" w:type="dxa"/>
            <w:shd w:val="clear" w:color="auto" w:fill="C6EFCE"/>
          </w:tcPr>
          <w:p w14:paraId="6E4FF05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850" w:type="dxa"/>
            <w:shd w:val="clear" w:color="auto" w:fill="C6EFCE"/>
          </w:tcPr>
          <w:p w14:paraId="2209894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851" w:type="dxa"/>
            <w:shd w:val="clear" w:color="auto" w:fill="C6EFCE"/>
          </w:tcPr>
          <w:p w14:paraId="0D7DCDA0" w14:textId="4AC122FE"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Q3</w:t>
            </w:r>
          </w:p>
        </w:tc>
        <w:tc>
          <w:tcPr>
            <w:tcW w:w="992" w:type="dxa"/>
            <w:shd w:val="clear" w:color="auto" w:fill="C6EFCE"/>
          </w:tcPr>
          <w:p w14:paraId="22C3637E"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2022</w:t>
            </w:r>
          </w:p>
        </w:tc>
        <w:tc>
          <w:tcPr>
            <w:tcW w:w="2835" w:type="dxa"/>
            <w:shd w:val="clear" w:color="auto" w:fill="C6EFCE"/>
          </w:tcPr>
          <w:p w14:paraId="14738A08" w14:textId="1D60F9BE" w:rsidR="00EB245A" w:rsidRDefault="006021EE">
            <w:pPr>
              <w:pStyle w:val="Normal0"/>
              <w:spacing w:after="0" w:line="240" w:lineRule="auto"/>
              <w:rPr>
                <w:rFonts w:ascii="Times New Roman" w:eastAsia="Times New Roman" w:hAnsi="Times New Roman" w:cs="Times New Roman"/>
                <w:noProof/>
                <w:color w:val="006100"/>
                <w:sz w:val="18"/>
              </w:rPr>
            </w:pPr>
            <w:r>
              <w:rPr>
                <w:rStyle w:val="normaltextrun"/>
                <w:rFonts w:ascii="Times New Roman" w:hAnsi="Times New Roman"/>
                <w:noProof/>
                <w:color w:val="000000" w:themeColor="text1"/>
                <w:sz w:val="18"/>
              </w:rPr>
              <w:t xml:space="preserve">Um die Kompetenzen der Sanitäter zu verbessern, tritt ein Rechtsakt in Kraft und ermöglicht die Einrichtung von Programmen des zweiten Zyklus im Bereich der Sanität, definiert als zweijährige Studiengänge, die mit dem Erwerb eines Masterabschlusses enden. </w:t>
            </w:r>
            <w:r>
              <w:rPr>
                <w:rStyle w:val="normaltextrun"/>
                <w:rFonts w:ascii="Times New Roman" w:hAnsi="Times New Roman"/>
                <w:noProof/>
                <w:color w:val="000000" w:themeColor="text1"/>
                <w:sz w:val="18"/>
              </w:rPr>
              <w:t xml:space="preserve">Der Erwerb des Master-Abschlusses ermöglicht es den Sanitätern, zusätzliche Qualifikationen zu erwerben, die in eine höhere Einstufung in der Gehaltskategorie umgesetzt werden sollen. </w:t>
            </w:r>
          </w:p>
        </w:tc>
      </w:tr>
      <w:tr w:rsidR="00EB245A" w14:paraId="24E958F2" w14:textId="77777777" w:rsidTr="006A0208">
        <w:trPr>
          <w:trHeight w:val="850"/>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3E5FE62" w14:textId="3210964E"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D26G</w:t>
            </w:r>
          </w:p>
        </w:tc>
        <w:tc>
          <w:tcPr>
            <w:tcW w:w="20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4DFD59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D2.1 Schaffung der richtigen Voraussetzungen für eine Erhöhung </w:t>
            </w:r>
            <w:r>
              <w:rPr>
                <w:noProof/>
              </w:rPr>
              <w:t>des medizinischen Personals</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9DDF0E5"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Ziel</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75C22CD" w14:textId="6E683859"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r>
              <w:rPr>
                <w:rStyle w:val="normaltextrun"/>
                <w:rFonts w:ascii="Times New Roman" w:hAnsi="Times New Roman"/>
                <w:noProof/>
                <w:color w:val="000000"/>
                <w:sz w:val="18"/>
              </w:rPr>
              <w:t xml:space="preserve">Zahl der Sanitäter, die ihren Masterabschluss abgeschlossen haben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2E7769E"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143B7F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Anzahl</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3F4A41"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8F8D6AF" w14:textId="0ED12035"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1250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36EF573"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C334BF4"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9EFAAF5" w14:textId="6BA6EB03"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r>
              <w:rPr>
                <w:rStyle w:val="normaltextrun"/>
                <w:rFonts w:ascii="Times New Roman" w:hAnsi="Times New Roman"/>
                <w:noProof/>
                <w:color w:val="000000" w:themeColor="text1"/>
                <w:sz w:val="18"/>
              </w:rPr>
              <w:t xml:space="preserve">1250 Sanitäter müssen ihr zweites Studium im medizinischen Notfall abgeschlossen haben. </w:t>
            </w:r>
          </w:p>
        </w:tc>
      </w:tr>
      <w:tr w:rsidR="00EB245A" w14:paraId="1D3DE6FA" w14:textId="77777777" w:rsidTr="006A0208">
        <w:trPr>
          <w:trHeight w:val="313"/>
        </w:trPr>
        <w:tc>
          <w:tcPr>
            <w:tcW w:w="696" w:type="dxa"/>
            <w:shd w:val="clear" w:color="auto" w:fill="C6EFCE"/>
          </w:tcPr>
          <w:p w14:paraId="50B4F369" w14:textId="4162EBC7"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D27G</w:t>
            </w:r>
          </w:p>
        </w:tc>
        <w:tc>
          <w:tcPr>
            <w:tcW w:w="2069" w:type="dxa"/>
            <w:shd w:val="clear" w:color="auto" w:fill="C6EFCE"/>
          </w:tcPr>
          <w:p w14:paraId="2B41DFD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D2.1 Schaffung der richtigen </w:t>
            </w:r>
            <w:r>
              <w:rPr>
                <w:noProof/>
              </w:rPr>
              <w:t>Voraussetzungen für eine Erhöhung des medizinischen Personals</w:t>
            </w:r>
          </w:p>
        </w:tc>
        <w:tc>
          <w:tcPr>
            <w:tcW w:w="1204" w:type="dxa"/>
            <w:shd w:val="clear" w:color="auto" w:fill="C6EFCE"/>
          </w:tcPr>
          <w:p w14:paraId="02F459E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560" w:type="dxa"/>
            <w:shd w:val="clear" w:color="auto" w:fill="C6EFCE"/>
          </w:tcPr>
          <w:p w14:paraId="217FD1DD" w14:textId="57696ADE"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r>
              <w:rPr>
                <w:rStyle w:val="normaltextrun"/>
                <w:rFonts w:ascii="Times New Roman" w:hAnsi="Times New Roman"/>
                <w:noProof/>
                <w:color w:val="000000" w:themeColor="text1"/>
                <w:sz w:val="18"/>
              </w:rPr>
              <w:t xml:space="preserve">Inkrafttreten von Rechtsakten zur Verbesserung der Attraktivität medizinischer Berufe und der Arbeitsbedingungen von medizinischen Fachkräften </w:t>
            </w:r>
          </w:p>
        </w:tc>
        <w:tc>
          <w:tcPr>
            <w:tcW w:w="1842" w:type="dxa"/>
            <w:shd w:val="clear" w:color="auto" w:fill="C6EFCE"/>
          </w:tcPr>
          <w:p w14:paraId="199D6A0D" w14:textId="02A2BD9E"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Bestimmungen in den Rechtsakten, aus d</w:t>
            </w:r>
            <w:r>
              <w:rPr>
                <w:noProof/>
              </w:rPr>
              <w:t xml:space="preserve">enen ihr Inkrafttreten hervorgeht </w:t>
            </w:r>
          </w:p>
        </w:tc>
        <w:tc>
          <w:tcPr>
            <w:tcW w:w="1134" w:type="dxa"/>
            <w:shd w:val="clear" w:color="auto" w:fill="C6EFCE"/>
          </w:tcPr>
          <w:p w14:paraId="7A4AC70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418" w:type="dxa"/>
            <w:shd w:val="clear" w:color="auto" w:fill="C6EFCE"/>
          </w:tcPr>
          <w:p w14:paraId="247833C9"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 xml:space="preserve"> </w:t>
            </w:r>
          </w:p>
        </w:tc>
        <w:tc>
          <w:tcPr>
            <w:tcW w:w="850" w:type="dxa"/>
            <w:shd w:val="clear" w:color="auto" w:fill="C6EFCE"/>
          </w:tcPr>
          <w:p w14:paraId="330658F9"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 xml:space="preserve"> </w:t>
            </w:r>
          </w:p>
        </w:tc>
        <w:tc>
          <w:tcPr>
            <w:tcW w:w="851" w:type="dxa"/>
            <w:shd w:val="clear" w:color="auto" w:fill="C6EFCE"/>
          </w:tcPr>
          <w:p w14:paraId="638E572A"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Q4</w:t>
            </w:r>
          </w:p>
        </w:tc>
        <w:tc>
          <w:tcPr>
            <w:tcW w:w="992" w:type="dxa"/>
            <w:shd w:val="clear" w:color="auto" w:fill="C6EFCE"/>
          </w:tcPr>
          <w:p w14:paraId="2765A413"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2022</w:t>
            </w:r>
          </w:p>
        </w:tc>
        <w:tc>
          <w:tcPr>
            <w:tcW w:w="2835" w:type="dxa"/>
            <w:shd w:val="clear" w:color="auto" w:fill="C6EFCE"/>
          </w:tcPr>
          <w:p w14:paraId="3C252123" w14:textId="2C59AD90" w:rsidR="00EB245A" w:rsidRDefault="006021EE">
            <w:pPr>
              <w:pStyle w:val="Normal0"/>
              <w:spacing w:after="0" w:line="240" w:lineRule="auto"/>
              <w:rPr>
                <w:rFonts w:ascii="Times New Roman" w:eastAsia="Times New Roman" w:hAnsi="Times New Roman" w:cs="Times New Roman"/>
                <w:noProof/>
                <w:color w:val="006100"/>
                <w:sz w:val="18"/>
              </w:rPr>
            </w:pPr>
            <w:r w:rsidRPr="006A0208">
              <w:rPr>
                <w:rFonts w:ascii="Times New Roman" w:hAnsi="Times New Roman" w:cs="Times New Roman"/>
                <w:noProof/>
                <w:sz w:val="18"/>
                <w:szCs w:val="18"/>
              </w:rPr>
              <w:t xml:space="preserve">Ein Paket von Rechtsakten tritt in Kraft und umfasst eine Verordnung über die berufliche Befähigung von Ärzten und Zahnärzten, eine Änderung des Gesetzes über den Beruf des Arztes und des Zahnarztes, eine </w:t>
            </w:r>
            <w:r w:rsidRPr="006A0208">
              <w:rPr>
                <w:rFonts w:ascii="Times New Roman" w:hAnsi="Times New Roman" w:cs="Times New Roman"/>
                <w:noProof/>
                <w:sz w:val="18"/>
                <w:szCs w:val="18"/>
              </w:rPr>
              <w:t>Änderung der Verordnung über das Postgraduiertenpraktikum für Ärzte und Zahnärzte, eine Änderung der Verordnung über den Grundlehrplan für die Ausbildung in Berufen der beruflichen Bildung, eine Änderung des Gesetzes über die Methode zur Bestimmung des nie</w:t>
            </w:r>
            <w:r w:rsidRPr="006A0208">
              <w:rPr>
                <w:rFonts w:ascii="Times New Roman" w:hAnsi="Times New Roman" w:cs="Times New Roman"/>
                <w:noProof/>
                <w:sz w:val="18"/>
                <w:szCs w:val="18"/>
              </w:rPr>
              <w:t>drigsten Grundgehalts bestimmter Beschäftigter, die in Gesundheitseinrichtungen tätig sind, einschließlich Bestimmungen über</w:t>
            </w:r>
            <w:r w:rsidRPr="006A0208">
              <w:rPr>
                <w:rStyle w:val="normaltextrun"/>
                <w:rFonts w:ascii="Times New Roman" w:hAnsi="Times New Roman" w:cs="Times New Roman"/>
                <w:noProof/>
                <w:sz w:val="18"/>
                <w:szCs w:val="18"/>
              </w:rPr>
              <w:t xml:space="preserve"> </w:t>
            </w:r>
            <w:r w:rsidRPr="006A0208">
              <w:rPr>
                <w:rStyle w:val="normaltextrun"/>
                <w:rFonts w:ascii="Times New Roman" w:hAnsi="Times New Roman" w:cs="Times New Roman"/>
                <w:noProof/>
                <w:color w:val="000000" w:themeColor="text1"/>
                <w:sz w:val="18"/>
                <w:szCs w:val="18"/>
              </w:rPr>
              <w:t xml:space="preserve"> </w:t>
            </w:r>
            <w:r w:rsidRPr="006A0208">
              <w:rPr>
                <w:rFonts w:ascii="Times New Roman" w:hAnsi="Times New Roman" w:cs="Times New Roman"/>
                <w:noProof/>
                <w:sz w:val="18"/>
                <w:szCs w:val="18"/>
              </w:rPr>
              <w:t xml:space="preserve"> </w:t>
            </w:r>
            <w:r w:rsidRPr="006A0208">
              <w:rPr>
                <w:rFonts w:ascii="Times New Roman" w:hAnsi="Times New Roman" w:cs="Times New Roman"/>
                <w:noProof/>
                <w:sz w:val="18"/>
                <w:szCs w:val="18"/>
              </w:rPr>
              <w:br/>
            </w:r>
            <w:r>
              <w:rPr>
                <w:rStyle w:val="normaltextrun"/>
                <w:rFonts w:ascii="Times New Roman" w:hAnsi="Times New Roman"/>
                <w:noProof/>
                <w:color w:val="000000" w:themeColor="text1"/>
                <w:sz w:val="18"/>
              </w:rPr>
              <w:t xml:space="preserve">1) Erhöhung der Flexibilität des postgraduierten Medizinstudiums durch die Einführung zertifizierter medizinischer Kompetenzen, </w:t>
            </w:r>
            <w:r>
              <w:rPr>
                <w:rStyle w:val="normaltextrun"/>
                <w:rFonts w:ascii="Times New Roman" w:hAnsi="Times New Roman"/>
                <w:noProof/>
                <w:color w:val="000000" w:themeColor="text1"/>
                <w:sz w:val="18"/>
              </w:rPr>
              <w:t>die die Ablegung der Spezialisierungsprüfung nach Abschluss des vorletzten Jahres der Spezialisierungsausbildung und die Änderung des Postgraduiertenpraktikums ermöglichen;</w:t>
            </w:r>
            <w:r>
              <w:rPr>
                <w:rStyle w:val="normaltextrun"/>
                <w:noProof/>
              </w:rPr>
              <w:t xml:space="preserve"> </w:t>
            </w:r>
            <w:r>
              <w:rPr>
                <w:rStyle w:val="normaltextrun"/>
                <w:rFonts w:ascii="Times New Roman" w:hAnsi="Times New Roman"/>
                <w:noProof/>
                <w:color w:val="000000" w:themeColor="text1"/>
                <w:sz w:val="18"/>
              </w:rPr>
              <w:t xml:space="preserve"> </w:t>
            </w:r>
            <w:r>
              <w:rPr>
                <w:noProof/>
              </w:rPr>
              <w:t xml:space="preserve"> </w:t>
            </w:r>
            <w:r>
              <w:rPr>
                <w:noProof/>
              </w:rPr>
              <w:br/>
              <w:t xml:space="preserve"> </w:t>
            </w:r>
            <w:r>
              <w:rPr>
                <w:rStyle w:val="normaltextrun"/>
                <w:rFonts w:ascii="Times New Roman" w:hAnsi="Times New Roman"/>
                <w:noProof/>
                <w:color w:val="000000" w:themeColor="text1"/>
                <w:sz w:val="18"/>
              </w:rPr>
              <w:t xml:space="preserve">2) Einführung eines zentralen Systems für die Qualifizierung und Zuweisung von </w:t>
            </w:r>
            <w:r>
              <w:rPr>
                <w:rStyle w:val="normaltextrun"/>
                <w:rFonts w:ascii="Times New Roman" w:hAnsi="Times New Roman"/>
                <w:noProof/>
                <w:color w:val="000000" w:themeColor="text1"/>
                <w:sz w:val="18"/>
              </w:rPr>
              <w:t>Spezialisierungsplätzen,</w:t>
            </w:r>
            <w:r>
              <w:rPr>
                <w:rStyle w:val="normaltextrun"/>
                <w:noProof/>
              </w:rPr>
              <w:t xml:space="preserve"> </w:t>
            </w:r>
            <w:r>
              <w:rPr>
                <w:rStyle w:val="normaltextrun"/>
                <w:rFonts w:ascii="Times New Roman" w:hAnsi="Times New Roman"/>
                <w:noProof/>
                <w:color w:val="000000" w:themeColor="text1"/>
                <w:sz w:val="18"/>
              </w:rPr>
              <w:t xml:space="preserve"> </w:t>
            </w:r>
            <w:r>
              <w:rPr>
                <w:noProof/>
              </w:rPr>
              <w:t xml:space="preserve"> </w:t>
            </w:r>
            <w:r>
              <w:rPr>
                <w:noProof/>
              </w:rPr>
              <w:br/>
              <w:t xml:space="preserve"> </w:t>
            </w:r>
            <w:r>
              <w:rPr>
                <w:rStyle w:val="normaltextrun"/>
                <w:rFonts w:ascii="Times New Roman" w:hAnsi="Times New Roman"/>
                <w:noProof/>
                <w:color w:val="000000" w:themeColor="text1"/>
                <w:sz w:val="18"/>
              </w:rPr>
              <w:t xml:space="preserve">3. Ärztinnen und Ärzte durch die Einführung von Fachausbildungskursen im Bereich der operativen Hilfe für Krankenschwestern und Krankenpfleger, </w:t>
            </w:r>
            <w:r>
              <w:rPr>
                <w:noProof/>
              </w:rPr>
              <w:t xml:space="preserve"> </w:t>
            </w:r>
            <w:r>
              <w:rPr>
                <w:noProof/>
              </w:rPr>
              <w:br/>
              <w:t xml:space="preserve"> </w:t>
            </w:r>
            <w:r>
              <w:rPr>
                <w:rStyle w:val="normaltextrun"/>
                <w:rFonts w:ascii="Times New Roman" w:hAnsi="Times New Roman"/>
                <w:noProof/>
                <w:color w:val="000000" w:themeColor="text1"/>
                <w:sz w:val="18"/>
              </w:rPr>
              <w:t>4. Aktualisierung des niedrigsten Grundgehalts der Beschäftigten im Gesundheitsw</w:t>
            </w:r>
            <w:r>
              <w:rPr>
                <w:rStyle w:val="normaltextrun"/>
                <w:rFonts w:ascii="Times New Roman" w:hAnsi="Times New Roman"/>
                <w:noProof/>
                <w:color w:val="000000" w:themeColor="text1"/>
                <w:sz w:val="18"/>
              </w:rPr>
              <w:t>esen durch Anhebung der Arbeitszeiten für alle im Gesetz vom 8. Juni 2017 genannten Berufsgruppen und eine Vorverlegung der Anforderung, dass alle medizinischen Einrichtungen die gesetzlich garantierten Grundgehälter für medizinisches Personal einhalten mü</w:t>
            </w:r>
            <w:r>
              <w:rPr>
                <w:rStyle w:val="normaltextrun"/>
                <w:rFonts w:ascii="Times New Roman" w:hAnsi="Times New Roman"/>
                <w:noProof/>
                <w:color w:val="000000" w:themeColor="text1"/>
                <w:sz w:val="18"/>
              </w:rPr>
              <w:t xml:space="preserve">ssen: Ärzte, Zahnärzte, Ärzte in Ausbildung und Zahnarzt, Krankenschwestern, Hebammen, Labordiagnostiker, Physiotherapeuten, Apotheker und andere medizinische Fachkräfte sowie </w:t>
            </w:r>
            <w:r>
              <w:rPr>
                <w:noProof/>
              </w:rPr>
              <w:t xml:space="preserve"> </w:t>
            </w:r>
            <w:r>
              <w:rPr>
                <w:noProof/>
              </w:rPr>
              <w:br/>
              <w:t xml:space="preserve"> </w:t>
            </w:r>
            <w:r>
              <w:rPr>
                <w:rStyle w:val="normaltextrun"/>
                <w:rFonts w:ascii="Times New Roman" w:hAnsi="Times New Roman"/>
                <w:noProof/>
                <w:color w:val="000000" w:themeColor="text1"/>
                <w:sz w:val="18"/>
              </w:rPr>
              <w:t xml:space="preserve">5) Übertragung einiger Kompetenzen von Krankenschwestern/Krankenpflegern auf </w:t>
            </w:r>
            <w:r>
              <w:rPr>
                <w:rStyle w:val="normaltextrun"/>
                <w:rFonts w:ascii="Times New Roman" w:hAnsi="Times New Roman"/>
                <w:noProof/>
                <w:color w:val="000000" w:themeColor="text1"/>
                <w:sz w:val="18"/>
              </w:rPr>
              <w:t xml:space="preserve">medizinische Pflegekräfte. </w:t>
            </w:r>
          </w:p>
        </w:tc>
      </w:tr>
      <w:tr w:rsidR="00EB245A" w14:paraId="74629431" w14:textId="77777777" w:rsidTr="006A0208">
        <w:trPr>
          <w:trHeight w:val="313"/>
        </w:trPr>
        <w:tc>
          <w:tcPr>
            <w:tcW w:w="696" w:type="dxa"/>
            <w:shd w:val="clear" w:color="auto" w:fill="C6EFCE"/>
          </w:tcPr>
          <w:p w14:paraId="2FFB8B9D" w14:textId="0AFC090A"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D28G</w:t>
            </w:r>
          </w:p>
        </w:tc>
        <w:tc>
          <w:tcPr>
            <w:tcW w:w="2069" w:type="dxa"/>
            <w:shd w:val="clear" w:color="auto" w:fill="C6EFCE"/>
          </w:tcPr>
          <w:p w14:paraId="04286F1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D2.1 Schaffung der richtigen Voraussetzungen für eine Erhöhung des medizinischen Personals</w:t>
            </w:r>
          </w:p>
        </w:tc>
        <w:tc>
          <w:tcPr>
            <w:tcW w:w="1204" w:type="dxa"/>
            <w:shd w:val="clear" w:color="auto" w:fill="C6EFCE"/>
          </w:tcPr>
          <w:p w14:paraId="674DC5D1"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Ziel</w:t>
            </w:r>
          </w:p>
        </w:tc>
        <w:tc>
          <w:tcPr>
            <w:tcW w:w="1560" w:type="dxa"/>
            <w:shd w:val="clear" w:color="auto" w:fill="C6EFCE"/>
          </w:tcPr>
          <w:p w14:paraId="3FADA98F" w14:textId="749CB07A"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r>
              <w:rPr>
                <w:rStyle w:val="normaltextrun"/>
                <w:rFonts w:ascii="Times New Roman" w:hAnsi="Times New Roman"/>
                <w:noProof/>
                <w:color w:val="000000"/>
                <w:sz w:val="18"/>
              </w:rPr>
              <w:t xml:space="preserve">Zahl der Ärzte und Zahnärzte, die eine Bescheinigung über ihre medizinische Fachkompetenz erhalten haben  </w:t>
            </w:r>
          </w:p>
        </w:tc>
        <w:tc>
          <w:tcPr>
            <w:tcW w:w="1842" w:type="dxa"/>
            <w:shd w:val="clear" w:color="auto" w:fill="C6EFCE"/>
          </w:tcPr>
          <w:p w14:paraId="5614715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134" w:type="dxa"/>
            <w:shd w:val="clear" w:color="auto" w:fill="C6EFCE"/>
          </w:tcPr>
          <w:p w14:paraId="07CA32F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Anzahl</w:t>
            </w:r>
          </w:p>
        </w:tc>
        <w:tc>
          <w:tcPr>
            <w:tcW w:w="1418" w:type="dxa"/>
            <w:shd w:val="clear" w:color="auto" w:fill="C6EFCE"/>
          </w:tcPr>
          <w:p w14:paraId="37047F10"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0</w:t>
            </w:r>
          </w:p>
        </w:tc>
        <w:tc>
          <w:tcPr>
            <w:tcW w:w="850" w:type="dxa"/>
            <w:shd w:val="clear" w:color="auto" w:fill="C6EFCE"/>
          </w:tcPr>
          <w:p w14:paraId="1DEE1267" w14:textId="04219E6E"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54000</w:t>
            </w:r>
          </w:p>
        </w:tc>
        <w:tc>
          <w:tcPr>
            <w:tcW w:w="851" w:type="dxa"/>
            <w:shd w:val="clear" w:color="auto" w:fill="C6EFCE"/>
          </w:tcPr>
          <w:p w14:paraId="523348DD" w14:textId="43302F7D"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Q2</w:t>
            </w:r>
          </w:p>
        </w:tc>
        <w:tc>
          <w:tcPr>
            <w:tcW w:w="992" w:type="dxa"/>
            <w:shd w:val="clear" w:color="auto" w:fill="C6EFCE"/>
          </w:tcPr>
          <w:p w14:paraId="526E180C" w14:textId="2A9AA1BB"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2026</w:t>
            </w:r>
          </w:p>
        </w:tc>
        <w:tc>
          <w:tcPr>
            <w:tcW w:w="2835" w:type="dxa"/>
            <w:shd w:val="clear" w:color="auto" w:fill="C6EFCE"/>
          </w:tcPr>
          <w:p w14:paraId="6998F739" w14:textId="39EB1050"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r>
              <w:rPr>
                <w:rStyle w:val="normaltextrun"/>
                <w:rFonts w:ascii="Times New Roman" w:hAnsi="Times New Roman"/>
                <w:noProof/>
                <w:color w:val="000000"/>
                <w:sz w:val="18"/>
              </w:rPr>
              <w:t>54000 Ärzte und Zahnärzte erhalten eine Bescheinigung, aus der ihre zusätzliche medizinische Fachkompetenz hervorgeht. Das Befähigungsnachweis wird von einer nationalen wissenschaftlichen Gesellschaft oder einem staatlichen Forschungsinstitut ausgest</w:t>
            </w:r>
            <w:r>
              <w:rPr>
                <w:rStyle w:val="normaltextrun"/>
                <w:rFonts w:ascii="Times New Roman" w:hAnsi="Times New Roman"/>
                <w:noProof/>
                <w:color w:val="000000"/>
                <w:sz w:val="18"/>
              </w:rPr>
              <w:t xml:space="preserve">ellt, das einer bestimmten beruflichen Qualifikation entspricht, und in das Register eingetragen, das vom Direktor des Medizinischen Zentrums für Postgraduiertenausbildung geführt wird.  </w:t>
            </w:r>
          </w:p>
        </w:tc>
      </w:tr>
      <w:tr w:rsidR="00EB245A" w14:paraId="0B684F56" w14:textId="77777777" w:rsidTr="006A0208">
        <w:trPr>
          <w:trHeight w:val="313"/>
        </w:trPr>
        <w:tc>
          <w:tcPr>
            <w:tcW w:w="696" w:type="dxa"/>
            <w:shd w:val="clear" w:color="auto" w:fill="C6EFCE"/>
          </w:tcPr>
          <w:p w14:paraId="6F789D83" w14:textId="01F36CA6"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D29G</w:t>
            </w:r>
          </w:p>
        </w:tc>
        <w:tc>
          <w:tcPr>
            <w:tcW w:w="2069" w:type="dxa"/>
            <w:shd w:val="clear" w:color="auto" w:fill="C6EFCE"/>
          </w:tcPr>
          <w:p w14:paraId="09147DC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D2.1.1 Investitionen im Zusammenhang mit der Modernisierung und Nachrüstung von Lehreinrichtungen im Hinblick auf die Anhebung der Zulassungsbeschränkungen für medizinische Studien</w:t>
            </w:r>
          </w:p>
        </w:tc>
        <w:tc>
          <w:tcPr>
            <w:tcW w:w="1204" w:type="dxa"/>
            <w:shd w:val="clear" w:color="auto" w:fill="C6EFCE"/>
          </w:tcPr>
          <w:p w14:paraId="5F01984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560" w:type="dxa"/>
            <w:shd w:val="clear" w:color="auto" w:fill="C6EFCE"/>
          </w:tcPr>
          <w:p w14:paraId="3DFCDAD6" w14:textId="4A431C7C"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r>
              <w:rPr>
                <w:rStyle w:val="normaltextrun"/>
                <w:rFonts w:ascii="Times New Roman" w:hAnsi="Times New Roman"/>
                <w:noProof/>
                <w:color w:val="000000" w:themeColor="text1"/>
                <w:sz w:val="18"/>
              </w:rPr>
              <w:t xml:space="preserve">Inkrafttreten eines Rechtsakts zur Schaffung eines Systems von </w:t>
            </w:r>
            <w:r>
              <w:rPr>
                <w:rStyle w:val="normaltextrun"/>
                <w:rFonts w:ascii="Times New Roman" w:hAnsi="Times New Roman"/>
                <w:noProof/>
                <w:color w:val="000000" w:themeColor="text1"/>
                <w:sz w:val="18"/>
              </w:rPr>
              <w:t xml:space="preserve">Anreizen für die Aufnahme und Fortsetzung von Studien an ausgewählten medizinischen Fakultäten durch Stipendien, Studienfinanzierung und Mentoring </w:t>
            </w:r>
          </w:p>
        </w:tc>
        <w:tc>
          <w:tcPr>
            <w:tcW w:w="1842" w:type="dxa"/>
            <w:shd w:val="clear" w:color="auto" w:fill="C6EFCE"/>
          </w:tcPr>
          <w:p w14:paraId="508CBEEF" w14:textId="765D6B91"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Bestimmung des Rechtsakts, aus der hervorgeht, dass er in Kraft tritt</w:t>
            </w:r>
          </w:p>
        </w:tc>
        <w:tc>
          <w:tcPr>
            <w:tcW w:w="1134" w:type="dxa"/>
            <w:shd w:val="clear" w:color="auto" w:fill="C6EFCE"/>
          </w:tcPr>
          <w:p w14:paraId="4D701FE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418" w:type="dxa"/>
            <w:shd w:val="clear" w:color="auto" w:fill="C6EFCE"/>
          </w:tcPr>
          <w:p w14:paraId="54774FB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850" w:type="dxa"/>
            <w:shd w:val="clear" w:color="auto" w:fill="C6EFCE"/>
          </w:tcPr>
          <w:p w14:paraId="656676E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851" w:type="dxa"/>
            <w:shd w:val="clear" w:color="auto" w:fill="C6EFCE"/>
          </w:tcPr>
          <w:p w14:paraId="7A637709"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Q2</w:t>
            </w:r>
          </w:p>
        </w:tc>
        <w:tc>
          <w:tcPr>
            <w:tcW w:w="992" w:type="dxa"/>
            <w:shd w:val="clear" w:color="auto" w:fill="C6EFCE"/>
          </w:tcPr>
          <w:p w14:paraId="1C1FF508"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2022</w:t>
            </w:r>
          </w:p>
        </w:tc>
        <w:tc>
          <w:tcPr>
            <w:tcW w:w="2835" w:type="dxa"/>
            <w:shd w:val="clear" w:color="auto" w:fill="C6EFCE"/>
          </w:tcPr>
          <w:p w14:paraId="38FF936F" w14:textId="119A6110" w:rsidR="00EB245A" w:rsidRDefault="006021EE">
            <w:pPr>
              <w:pStyle w:val="Normal0"/>
              <w:pBdr>
                <w:top w:val="nil"/>
                <w:left w:val="nil"/>
                <w:bottom w:val="nil"/>
                <w:right w:val="nil"/>
                <w:between w:val="nil"/>
              </w:pBdr>
              <w:spacing w:after="0" w:line="240" w:lineRule="auto"/>
              <w:rPr>
                <w:rFonts w:ascii="Times New Roman" w:hAnsi="Times New Roman" w:cs="Times New Roman"/>
                <w:noProof/>
                <w:color w:val="000000" w:themeColor="text1"/>
                <w:sz w:val="18"/>
              </w:rPr>
            </w:pPr>
            <w:r>
              <w:rPr>
                <w:rStyle w:val="normaltextrun"/>
                <w:rFonts w:ascii="Times New Roman" w:hAnsi="Times New Roman"/>
                <w:noProof/>
                <w:color w:val="000000" w:themeColor="text1"/>
                <w:sz w:val="18"/>
              </w:rPr>
              <w:t xml:space="preserve">Der Rechtsakt, mit dem ein befristetes Anreizsystem eingeführt wird, um die Attraktivität medizinischer Studien zu erhöhen, sieht die Möglichkeit vor, </w:t>
            </w:r>
            <w:r>
              <w:rPr>
                <w:noProof/>
              </w:rPr>
              <w:t xml:space="preserve">  </w:t>
            </w:r>
            <w:r>
              <w:rPr>
                <w:noProof/>
              </w:rPr>
              <w:br/>
            </w:r>
            <w:r>
              <w:rPr>
                <w:rStyle w:val="normaltextrun"/>
                <w:rFonts w:ascii="Times New Roman" w:hAnsi="Times New Roman"/>
                <w:noProof/>
                <w:color w:val="000000" w:themeColor="text1"/>
                <w:sz w:val="18"/>
              </w:rPr>
              <w:t>— Gewährung von Stipendien, Kofinanzierung bezahlter Studien und Finanzierung der Betreuung von Kranke</w:t>
            </w:r>
            <w:r>
              <w:rPr>
                <w:rStyle w:val="normaltextrun"/>
                <w:rFonts w:ascii="Times New Roman" w:hAnsi="Times New Roman"/>
                <w:noProof/>
                <w:color w:val="000000" w:themeColor="text1"/>
                <w:sz w:val="18"/>
              </w:rPr>
              <w:t>nschwestern, Hebammen und medizinischen Notfalldiensten; und</w:t>
            </w:r>
            <w:r>
              <w:rPr>
                <w:noProof/>
              </w:rPr>
              <w:t xml:space="preserve"> </w:t>
            </w:r>
            <w:r>
              <w:rPr>
                <w:noProof/>
              </w:rPr>
              <w:br/>
              <w:t xml:space="preserve"> </w:t>
            </w:r>
            <w:r>
              <w:rPr>
                <w:rStyle w:val="normaltextrun"/>
                <w:rFonts w:ascii="Times New Roman" w:hAnsi="Times New Roman"/>
                <w:noProof/>
                <w:color w:val="000000" w:themeColor="text1"/>
                <w:sz w:val="18"/>
              </w:rPr>
              <w:t xml:space="preserve">— Gewährung von Stipendien für Studierende in den Bereichen Medizin, Medizin und Zahnmedizin, medizinische Analyse sowie Pharmazie und Physiotherapie. </w:t>
            </w:r>
            <w:r>
              <w:rPr>
                <w:noProof/>
              </w:rPr>
              <w:t xml:space="preserve"> </w:t>
            </w:r>
            <w:r>
              <w:rPr>
                <w:noProof/>
              </w:rPr>
              <w:br/>
            </w:r>
            <w:r>
              <w:rPr>
                <w:rStyle w:val="normaltextrun"/>
                <w:rFonts w:ascii="Times New Roman" w:hAnsi="Times New Roman"/>
                <w:noProof/>
                <w:color w:val="000000" w:themeColor="text1"/>
                <w:sz w:val="18"/>
              </w:rPr>
              <w:t>Der Rechtsakt zur Einführung des Systems</w:t>
            </w:r>
            <w:r>
              <w:rPr>
                <w:rStyle w:val="normaltextrun"/>
                <w:rFonts w:ascii="Times New Roman" w:hAnsi="Times New Roman"/>
                <w:noProof/>
                <w:color w:val="000000" w:themeColor="text1"/>
                <w:sz w:val="18"/>
              </w:rPr>
              <w:t xml:space="preserve"> enthält die Verpflichtung, die Leistung des Systems am Ende des ARF-Zeitraums zu überprüfen und die Auswirkungen des umgesetzten Anreizsystems auf die Zahl der Schüler im Bildungswesen zu analysieren, um über seine mögliche Wiederaufnahme zu entscheiden. </w:t>
            </w:r>
          </w:p>
        </w:tc>
      </w:tr>
      <w:tr w:rsidR="00EB245A" w14:paraId="1628D8B8" w14:textId="77777777" w:rsidTr="006A0208">
        <w:trPr>
          <w:trHeight w:val="313"/>
        </w:trPr>
        <w:tc>
          <w:tcPr>
            <w:tcW w:w="696" w:type="dxa"/>
            <w:shd w:val="clear" w:color="auto" w:fill="C6EFCE"/>
          </w:tcPr>
          <w:p w14:paraId="1685C624" w14:textId="729BCFA1"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D30G</w:t>
            </w:r>
          </w:p>
        </w:tc>
        <w:tc>
          <w:tcPr>
            <w:tcW w:w="2069" w:type="dxa"/>
            <w:shd w:val="clear" w:color="auto" w:fill="C6EFCE"/>
          </w:tcPr>
          <w:p w14:paraId="6F974A8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D2.1.1 Investitionen im Zusammenhang mit der Modernisierung und Nachrüstung von Lehreinrichtungen im Hinblick auf die Anhebung der Zulassungsbeschränkungen für medizinische Studien</w:t>
            </w:r>
          </w:p>
        </w:tc>
        <w:tc>
          <w:tcPr>
            <w:tcW w:w="1204" w:type="dxa"/>
            <w:shd w:val="clear" w:color="auto" w:fill="C6EFCE"/>
          </w:tcPr>
          <w:p w14:paraId="45ED5700"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Ziel</w:t>
            </w:r>
          </w:p>
        </w:tc>
        <w:tc>
          <w:tcPr>
            <w:tcW w:w="1560" w:type="dxa"/>
            <w:shd w:val="clear" w:color="auto" w:fill="C6EFCE"/>
          </w:tcPr>
          <w:p w14:paraId="225D49DA" w14:textId="3270FAD2"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r>
              <w:rPr>
                <w:rStyle w:val="normaltextrun"/>
                <w:rFonts w:ascii="Times New Roman" w:hAnsi="Times New Roman"/>
                <w:noProof/>
                <w:color w:val="000000"/>
                <w:sz w:val="18"/>
              </w:rPr>
              <w:t xml:space="preserve">Zahl der Studierenden von Krankenpflege, Hebammen, </w:t>
            </w:r>
            <w:r>
              <w:rPr>
                <w:rStyle w:val="normaltextrun"/>
                <w:rFonts w:ascii="Times New Roman" w:hAnsi="Times New Roman"/>
                <w:noProof/>
                <w:color w:val="000000"/>
                <w:sz w:val="18"/>
              </w:rPr>
              <w:t xml:space="preserve">medizinischen Notfalldiensten, Medizin, Zahnmedizin, medizinischen Analytik, Physiotherapie und Pharmazie, die ein Stipendium erhalten haben, sowie der Studierenden oder Absolventen von Krankenpflege, Hebammen, medizinischen Notfalldiensten, die durch ein </w:t>
            </w:r>
            <w:r>
              <w:rPr>
                <w:rStyle w:val="normaltextrun"/>
                <w:rFonts w:ascii="Times New Roman" w:hAnsi="Times New Roman"/>
                <w:noProof/>
                <w:color w:val="000000"/>
                <w:sz w:val="18"/>
              </w:rPr>
              <w:t xml:space="preserve">Stipendium, eine Kofinanzierung oder ein Mentoring abgedeckt sind </w:t>
            </w:r>
          </w:p>
        </w:tc>
        <w:tc>
          <w:tcPr>
            <w:tcW w:w="1842" w:type="dxa"/>
            <w:shd w:val="clear" w:color="auto" w:fill="C6EFCE"/>
          </w:tcPr>
          <w:p w14:paraId="0D5A4599"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134" w:type="dxa"/>
            <w:shd w:val="clear" w:color="auto" w:fill="C6EFCE"/>
          </w:tcPr>
          <w:p w14:paraId="7F113AA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Anzahl</w:t>
            </w:r>
          </w:p>
        </w:tc>
        <w:tc>
          <w:tcPr>
            <w:tcW w:w="1418" w:type="dxa"/>
            <w:shd w:val="clear" w:color="auto" w:fill="C6EFCE"/>
          </w:tcPr>
          <w:p w14:paraId="68C27B80"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0</w:t>
            </w:r>
          </w:p>
        </w:tc>
        <w:tc>
          <w:tcPr>
            <w:tcW w:w="850" w:type="dxa"/>
            <w:shd w:val="clear" w:color="auto" w:fill="C6EFCE"/>
          </w:tcPr>
          <w:p w14:paraId="4578083D" w14:textId="13D7E5F1"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25400</w:t>
            </w:r>
          </w:p>
        </w:tc>
        <w:tc>
          <w:tcPr>
            <w:tcW w:w="851" w:type="dxa"/>
            <w:shd w:val="clear" w:color="auto" w:fill="C6EFCE"/>
          </w:tcPr>
          <w:p w14:paraId="0F5698A8"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Q2</w:t>
            </w:r>
          </w:p>
        </w:tc>
        <w:tc>
          <w:tcPr>
            <w:tcW w:w="992" w:type="dxa"/>
            <w:shd w:val="clear" w:color="auto" w:fill="C6EFCE"/>
          </w:tcPr>
          <w:p w14:paraId="3F3B07BA"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2026</w:t>
            </w:r>
          </w:p>
        </w:tc>
        <w:tc>
          <w:tcPr>
            <w:tcW w:w="2835" w:type="dxa"/>
            <w:shd w:val="clear" w:color="auto" w:fill="C6EFCE"/>
          </w:tcPr>
          <w:p w14:paraId="71AC6EAD" w14:textId="114936DA" w:rsidR="00EB245A" w:rsidRDefault="006021EE">
            <w:pPr>
              <w:pStyle w:val="paragraph"/>
              <w:spacing w:before="0" w:beforeAutospacing="0" w:after="0" w:afterAutospacing="0"/>
              <w:textAlignment w:val="baseline"/>
              <w:rPr>
                <w:rStyle w:val="scxw147420095"/>
                <w:noProof/>
                <w:color w:val="000000" w:themeColor="text1"/>
                <w:sz w:val="18"/>
              </w:rPr>
            </w:pPr>
            <w:r>
              <w:rPr>
                <w:noProof/>
                <w:color w:val="000000" w:themeColor="text1"/>
                <w:sz w:val="18"/>
              </w:rPr>
              <w:t xml:space="preserve">25400 Studierende und Hochschulabsolventen müssen Unterstützung auf der Grundlage des „Systems von Anreizen zur Aufnahme und Fortsetzung eines Studiums in </w:t>
            </w:r>
            <w:r>
              <w:rPr>
                <w:noProof/>
                <w:color w:val="000000" w:themeColor="text1"/>
                <w:sz w:val="18"/>
              </w:rPr>
              <w:t xml:space="preserve">ausgewählten medizinischen Fakultäten durch Stipendien, Studienfinanzierung und Mentoring“ erhalten haben, und zwar in Form von mindestens einer der folgenden Formen: </w:t>
            </w:r>
            <w:r>
              <w:rPr>
                <w:noProof/>
              </w:rPr>
              <w:t xml:space="preserve">  </w:t>
            </w:r>
            <w:r>
              <w:rPr>
                <w:noProof/>
              </w:rPr>
              <w:br/>
            </w:r>
            <w:r>
              <w:rPr>
                <w:rStyle w:val="normaltextrun"/>
                <w:noProof/>
                <w:color w:val="000000" w:themeColor="text1"/>
                <w:sz w:val="18"/>
              </w:rPr>
              <w:t xml:space="preserve">— ein Stipendium für einen abgeschlossenen dreijährigen Studienzyklus, Kofinanzierung </w:t>
            </w:r>
            <w:r>
              <w:rPr>
                <w:rStyle w:val="normaltextrun"/>
                <w:noProof/>
                <w:color w:val="000000" w:themeColor="text1"/>
                <w:sz w:val="18"/>
              </w:rPr>
              <w:t xml:space="preserve">für einen abgeschlossenen ersten Studienzyklus oder einen Mentor, für Krankenpflege-, Hebammen- und Krankenpflegestudenten oder </w:t>
            </w:r>
          </w:p>
          <w:p w14:paraId="3D8DBB06" w14:textId="0123E484" w:rsidR="00EB245A" w:rsidRDefault="006021EE">
            <w:pPr>
              <w:pStyle w:val="paragraph"/>
              <w:spacing w:before="0" w:beforeAutospacing="0" w:after="0" w:afterAutospacing="0"/>
              <w:textAlignment w:val="baseline"/>
              <w:rPr>
                <w:noProof/>
                <w:sz w:val="18"/>
              </w:rPr>
            </w:pPr>
            <w:r>
              <w:rPr>
                <w:noProof/>
                <w:sz w:val="18"/>
              </w:rPr>
              <w:t>— Einstellung eines Mentors für Absolventen von Krankenpflege-, Hebammen- und Sanitätsstudiengängen oder</w:t>
            </w:r>
            <w:r>
              <w:rPr>
                <w:noProof/>
              </w:rPr>
              <w:t xml:space="preserve">  </w:t>
            </w:r>
            <w:r>
              <w:rPr>
                <w:noProof/>
              </w:rPr>
              <w:br/>
            </w:r>
            <w:r>
              <w:rPr>
                <w:rStyle w:val="normaltextrun"/>
                <w:noProof/>
                <w:color w:val="000000" w:themeColor="text1"/>
                <w:sz w:val="18"/>
              </w:rPr>
              <w:t>— ein Stipendium für</w:t>
            </w:r>
            <w:r>
              <w:rPr>
                <w:rStyle w:val="normaltextrun"/>
                <w:noProof/>
                <w:color w:val="000000" w:themeColor="text1"/>
                <w:sz w:val="18"/>
              </w:rPr>
              <w:t xml:space="preserve"> einen dreijährigen Studienaufenthalt für Studierende in den Bereichen Medizin, Zahnheilkunde, Medizinanalytiker, Physiotherapie und Pharmazie. </w:t>
            </w:r>
            <w:r>
              <w:rPr>
                <w:noProof/>
              </w:rPr>
              <w:t xml:space="preserve"> </w:t>
            </w:r>
            <w:r>
              <w:rPr>
                <w:noProof/>
              </w:rPr>
              <w:br/>
            </w:r>
            <w:r>
              <w:rPr>
                <w:rStyle w:val="eop"/>
                <w:noProof/>
                <w:color w:val="000000" w:themeColor="text1"/>
                <w:sz w:val="18"/>
              </w:rPr>
              <w:t xml:space="preserve"> </w:t>
            </w:r>
          </w:p>
          <w:p w14:paraId="39497298" w14:textId="2EBDDE23"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r>
              <w:rPr>
                <w:rStyle w:val="normaltextrun"/>
                <w:rFonts w:ascii="Times New Roman" w:hAnsi="Times New Roman"/>
                <w:noProof/>
                <w:color w:val="000000"/>
                <w:sz w:val="18"/>
              </w:rPr>
              <w:t xml:space="preserve">4400 Studierende erhalten eine Kofinanzierung des Studiums im Einklang mit den vorstehenden Ausführungen.  </w:t>
            </w:r>
            <w:r>
              <w:rPr>
                <w:noProof/>
              </w:rPr>
              <w:t xml:space="preserve">  </w:t>
            </w:r>
            <w:r>
              <w:rPr>
                <w:noProof/>
              </w:rPr>
              <w:br/>
            </w:r>
            <w:r>
              <w:rPr>
                <w:rStyle w:val="normaltextrun"/>
                <w:rFonts w:ascii="Times New Roman" w:hAnsi="Times New Roman"/>
                <w:noProof/>
                <w:color w:val="000000"/>
                <w:sz w:val="18"/>
              </w:rPr>
              <w:t xml:space="preserve">6000 Studierende erhalten ein Stipendium gemäß den vorstehenden Vorgaben. </w:t>
            </w:r>
            <w:r>
              <w:rPr>
                <w:noProof/>
              </w:rPr>
              <w:t xml:space="preserve"> </w:t>
            </w:r>
            <w:r>
              <w:rPr>
                <w:noProof/>
              </w:rPr>
              <w:br/>
            </w:r>
            <w:r>
              <w:rPr>
                <w:rStyle w:val="normaltextrun"/>
                <w:rFonts w:ascii="Times New Roman" w:hAnsi="Times New Roman"/>
                <w:noProof/>
                <w:color w:val="000000"/>
                <w:sz w:val="18"/>
              </w:rPr>
              <w:t>Mindestens 15000 Studierende oder Absolventinnen/Absolventinnen/Absolventinnen/Absolventinnen/Absolventinnen/Absolventinnen/Absolventinnen/Absolventinnen/Absolventinnen/Absolven</w:t>
            </w:r>
            <w:r>
              <w:rPr>
                <w:rStyle w:val="normaltextrun"/>
                <w:rFonts w:ascii="Times New Roman" w:hAnsi="Times New Roman"/>
                <w:noProof/>
                <w:color w:val="000000"/>
                <w:sz w:val="18"/>
              </w:rPr>
              <w:t xml:space="preserve">tinnen/Absolvent  </w:t>
            </w:r>
          </w:p>
        </w:tc>
      </w:tr>
      <w:tr w:rsidR="00EB245A" w14:paraId="74AA8EDF" w14:textId="77777777" w:rsidTr="006A0208">
        <w:trPr>
          <w:trHeight w:val="567"/>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886912" w14:textId="5E793D96"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D31G</w:t>
            </w:r>
          </w:p>
        </w:tc>
        <w:tc>
          <w:tcPr>
            <w:tcW w:w="20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436FD4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D2.1.1 Investitionen im Zusammenhang mit der Modernisierung und Nachrüstung von Lehreinrichtungen im Hinblick auf die Anhebung der Zulassungsbeschränkungen für medizinische Studien</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6DFB465"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Ziel</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B695AE" w14:textId="27C32DF0"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r>
              <w:rPr>
                <w:rStyle w:val="normaltextrun"/>
                <w:rFonts w:ascii="Times New Roman" w:hAnsi="Times New Roman"/>
                <w:noProof/>
                <w:color w:val="000000"/>
                <w:sz w:val="18"/>
              </w:rPr>
              <w:t xml:space="preserve">Zahl der modernisierten </w:t>
            </w:r>
            <w:r>
              <w:rPr>
                <w:rStyle w:val="normaltextrun"/>
                <w:rFonts w:ascii="Times New Roman" w:hAnsi="Times New Roman"/>
                <w:noProof/>
                <w:color w:val="000000"/>
                <w:sz w:val="18"/>
              </w:rPr>
              <w:t>Unterrichtseinrichtungen für die vorklinische Bildung (einschließlich medizinischer Simulationszentren), angepasste Einrichtungen der klinischen Basis für den Unterricht in zentralen klinischen Krankenhäusern, modernisierte Bibliotheksinfrastrukturen und S</w:t>
            </w:r>
            <w:r>
              <w:rPr>
                <w:rStyle w:val="normaltextrun"/>
                <w:rFonts w:ascii="Times New Roman" w:hAnsi="Times New Roman"/>
                <w:noProof/>
                <w:color w:val="000000"/>
                <w:sz w:val="18"/>
              </w:rPr>
              <w:t xml:space="preserve">tudentenheime an medizinischen Universitäten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D464CE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8076B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Anzahl</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846B226"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790F9D"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212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FBA80E"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68E366D"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4E919A9" w14:textId="77777777" w:rsidR="00EB245A" w:rsidRDefault="006021EE">
            <w:pPr>
              <w:pStyle w:val="paragraph"/>
              <w:spacing w:before="0" w:beforeAutospacing="0" w:after="0" w:afterAutospacing="0"/>
              <w:textAlignment w:val="baseline"/>
              <w:rPr>
                <w:noProof/>
                <w:sz w:val="18"/>
              </w:rPr>
            </w:pPr>
            <w:r>
              <w:rPr>
                <w:rStyle w:val="normaltextrun"/>
                <w:noProof/>
                <w:color w:val="000000"/>
                <w:sz w:val="18"/>
              </w:rPr>
              <w:t xml:space="preserve">212 Projekte werden abgeschlossen, darunter: </w:t>
            </w:r>
            <w:r>
              <w:rPr>
                <w:noProof/>
              </w:rPr>
              <w:t xml:space="preserve">  </w:t>
            </w:r>
            <w:r>
              <w:rPr>
                <w:noProof/>
              </w:rPr>
              <w:br/>
            </w:r>
            <w:r>
              <w:rPr>
                <w:rStyle w:val="normaltextrun"/>
                <w:noProof/>
                <w:color w:val="000000"/>
                <w:sz w:val="18"/>
              </w:rPr>
              <w:t xml:space="preserve">— Renovierung, Nachrüstung der didaktischen Grundlage für die vorklinische Bildung und Schaffung neuer Einrichtungen (einschließlich medizinischer Simulationszentren). 140 Einrichtungen werden unterstützt (einschließlich des Baus neuer Einrichtungen); </w:t>
            </w:r>
          </w:p>
          <w:p w14:paraId="5D8A53C4" w14:textId="77777777" w:rsidR="00EB245A" w:rsidRDefault="006021EE">
            <w:pPr>
              <w:pStyle w:val="paragraph"/>
              <w:spacing w:before="0" w:beforeAutospacing="0" w:after="0" w:afterAutospacing="0"/>
              <w:textAlignment w:val="baseline"/>
              <w:rPr>
                <w:noProof/>
                <w:sz w:val="18"/>
              </w:rPr>
            </w:pPr>
            <w:r>
              <w:rPr>
                <w:rStyle w:val="normaltextrun"/>
                <w:noProof/>
                <w:color w:val="000000"/>
                <w:sz w:val="18"/>
              </w:rPr>
              <w:t>— M</w:t>
            </w:r>
            <w:r>
              <w:rPr>
                <w:rStyle w:val="normaltextrun"/>
                <w:noProof/>
                <w:color w:val="000000"/>
                <w:sz w:val="18"/>
              </w:rPr>
              <w:t>odernisierung oder Schaffung einer klinischen Basis für die Ausbildung von Studierenden in zentralen klinischen Krankenhäusern (Anpassung des Betriebs dieser Basis an epidemiologische Risikobedingungen, Verbindung zwischen Kliniken in anderen medizinischen</w:t>
            </w:r>
            <w:r>
              <w:rPr>
                <w:rStyle w:val="normaltextrun"/>
                <w:noProof/>
                <w:color w:val="000000"/>
                <w:sz w:val="18"/>
              </w:rPr>
              <w:t xml:space="preserve"> Einrichtungen und zentralen klinischen Krankenhäusern, Entwicklung notwendiger Kliniken in Defizitbereichen wie Infektionskrankheiten und Onkologie). 42 Einrichtungen werden unterstützt; </w:t>
            </w:r>
          </w:p>
          <w:p w14:paraId="1EBC6B35" w14:textId="454BEAA3" w:rsidR="00EB245A" w:rsidRDefault="006021EE">
            <w:pPr>
              <w:pStyle w:val="paragraph"/>
              <w:spacing w:before="0" w:beforeAutospacing="0" w:after="0" w:afterAutospacing="0"/>
              <w:textAlignment w:val="baseline"/>
              <w:rPr>
                <w:noProof/>
                <w:sz w:val="18"/>
              </w:rPr>
            </w:pPr>
            <w:r>
              <w:rPr>
                <w:rStyle w:val="normaltextrun"/>
                <w:noProof/>
                <w:color w:val="000000"/>
                <w:sz w:val="18"/>
              </w:rPr>
              <w:t>Renovierung von Bibliotheken an medizinischen Universitäten, um ein</w:t>
            </w:r>
            <w:r>
              <w:rPr>
                <w:rStyle w:val="normaltextrun"/>
                <w:noProof/>
                <w:color w:val="000000"/>
                <w:sz w:val="18"/>
              </w:rPr>
              <w:t xml:space="preserve">e kontaktfreie Nutzung der Bibliotheksressourcen und sicherer Orte für Selbststudium zu gewährleisten. 3 Projekte zur Renovierung von Bibliotheken werden unterstützt; und </w:t>
            </w:r>
            <w:r>
              <w:rPr>
                <w:noProof/>
              </w:rPr>
              <w:t xml:space="preserve">  </w:t>
            </w:r>
            <w:r>
              <w:rPr>
                <w:noProof/>
              </w:rPr>
              <w:br/>
            </w:r>
            <w:r>
              <w:rPr>
                <w:rStyle w:val="normaltextrun"/>
                <w:noProof/>
                <w:color w:val="000000"/>
                <w:sz w:val="18"/>
              </w:rPr>
              <w:t xml:space="preserve">— Renovierung von Studentenheimen an medizinischen Universitäten zur Anpassung an </w:t>
            </w:r>
            <w:r>
              <w:rPr>
                <w:rStyle w:val="normaltextrun"/>
                <w:noProof/>
                <w:color w:val="000000"/>
                <w:sz w:val="18"/>
              </w:rPr>
              <w:t xml:space="preserve">den Bedarf, der sich aus den Hygieneanforderungen ergibt. 27 Projekte zur Renovierung von Studentenheimen werden unterstützt.  </w:t>
            </w:r>
          </w:p>
          <w:p w14:paraId="3D69A466" w14:textId="77777777" w:rsidR="00EB245A" w:rsidRDefault="006021EE">
            <w:pPr>
              <w:pStyle w:val="paragraph"/>
              <w:spacing w:before="0" w:beforeAutospacing="0" w:after="0" w:afterAutospacing="0"/>
              <w:textAlignment w:val="baseline"/>
              <w:rPr>
                <w:noProof/>
                <w:sz w:val="18"/>
              </w:rPr>
            </w:pPr>
            <w:r>
              <w:rPr>
                <w:rStyle w:val="eop"/>
                <w:noProof/>
                <w:color w:val="000000"/>
                <w:sz w:val="18"/>
              </w:rPr>
              <w:t xml:space="preserve"> </w:t>
            </w:r>
          </w:p>
          <w:p w14:paraId="18D4B639" w14:textId="77777777" w:rsidR="00EB245A" w:rsidRDefault="006021EE">
            <w:pPr>
              <w:pStyle w:val="paragraph"/>
              <w:spacing w:before="0" w:beforeAutospacing="0" w:after="0" w:afterAutospacing="0"/>
              <w:textAlignment w:val="baseline"/>
              <w:rPr>
                <w:noProof/>
                <w:sz w:val="18"/>
              </w:rPr>
            </w:pPr>
            <w:r>
              <w:rPr>
                <w:rStyle w:val="normaltextrun"/>
                <w:noProof/>
                <w:color w:val="000000"/>
                <w:sz w:val="18"/>
              </w:rPr>
              <w:t>Der Erwerb von Grundstücken ist nicht abgedeckt. Die Projekte werden auf der Grundlage von Ausschreibungen oder offenen Zuschu</w:t>
            </w:r>
            <w:r>
              <w:rPr>
                <w:rStyle w:val="normaltextrun"/>
                <w:noProof/>
                <w:color w:val="000000"/>
                <w:sz w:val="18"/>
              </w:rPr>
              <w:t xml:space="preserve">sswettbewerben durchgeführt. Die Auswahl der Empfänger erfolgt auf transparente und objektive Weise. </w:t>
            </w:r>
          </w:p>
          <w:p w14:paraId="335F6207" w14:textId="77777777" w:rsidR="00EB245A" w:rsidRDefault="006021EE">
            <w:pPr>
              <w:pStyle w:val="paragraph"/>
              <w:spacing w:before="0" w:beforeAutospacing="0" w:after="0" w:afterAutospacing="0"/>
              <w:textAlignment w:val="baseline"/>
              <w:rPr>
                <w:noProof/>
                <w:sz w:val="18"/>
              </w:rPr>
            </w:pPr>
            <w:r>
              <w:rPr>
                <w:rStyle w:val="eop"/>
                <w:noProof/>
                <w:color w:val="000000"/>
                <w:sz w:val="18"/>
              </w:rPr>
              <w:t xml:space="preserve"> </w:t>
            </w:r>
          </w:p>
          <w:p w14:paraId="7D6EAF54" w14:textId="59E60A16"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r>
              <w:rPr>
                <w:rStyle w:val="normaltextrun"/>
                <w:rFonts w:ascii="Times New Roman" w:hAnsi="Times New Roman"/>
                <w:noProof/>
                <w:color w:val="000000"/>
                <w:sz w:val="18"/>
              </w:rPr>
              <w:t xml:space="preserve">Jede Finanzhilfevereinbarung enthält den erhaltenen finanziellen Betrag und die Einzelheiten des Projekts. </w:t>
            </w:r>
          </w:p>
        </w:tc>
      </w:tr>
      <w:tr w:rsidR="00EB245A" w14:paraId="52BFD005" w14:textId="77777777" w:rsidTr="006A0208">
        <w:trPr>
          <w:trHeight w:val="313"/>
        </w:trPr>
        <w:tc>
          <w:tcPr>
            <w:tcW w:w="696" w:type="dxa"/>
            <w:shd w:val="clear" w:color="auto" w:fill="C6EFCE"/>
          </w:tcPr>
          <w:p w14:paraId="71777008" w14:textId="6C3C9C33"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D32G</w:t>
            </w:r>
          </w:p>
        </w:tc>
        <w:tc>
          <w:tcPr>
            <w:tcW w:w="2069" w:type="dxa"/>
            <w:shd w:val="clear" w:color="auto" w:fill="C6EFCE"/>
          </w:tcPr>
          <w:p w14:paraId="45FA3F6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D3.1 Steigerung der Effizienz und </w:t>
            </w:r>
            <w:r>
              <w:rPr>
                <w:noProof/>
              </w:rPr>
              <w:t>Qualität des Gesundheitssystems durch Unterstützung des polnischen Forschungs- und Entwicklungspotenzials auf dem Gebiet der Medizin- und Gesundheitswissenschaften</w:t>
            </w:r>
          </w:p>
        </w:tc>
        <w:tc>
          <w:tcPr>
            <w:tcW w:w="1204" w:type="dxa"/>
            <w:shd w:val="clear" w:color="auto" w:fill="C6EFCE"/>
          </w:tcPr>
          <w:p w14:paraId="1EDA711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560" w:type="dxa"/>
            <w:shd w:val="clear" w:color="auto" w:fill="C6EFCE"/>
          </w:tcPr>
          <w:p w14:paraId="59B9E84F" w14:textId="1D782987"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r>
              <w:rPr>
                <w:rStyle w:val="normaltextrun"/>
                <w:rFonts w:ascii="Times New Roman" w:hAnsi="Times New Roman"/>
                <w:noProof/>
                <w:color w:val="000000"/>
                <w:sz w:val="18"/>
              </w:rPr>
              <w:t xml:space="preserve">Inkrafttreten des Gesetzes über klinische Prüfungen von Humanarzneimitteln </w:t>
            </w:r>
          </w:p>
        </w:tc>
        <w:tc>
          <w:tcPr>
            <w:tcW w:w="1842" w:type="dxa"/>
            <w:shd w:val="clear" w:color="auto" w:fill="C6EFCE"/>
          </w:tcPr>
          <w:p w14:paraId="26850E5C" w14:textId="54D0853E"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Best</w:t>
            </w:r>
            <w:r>
              <w:rPr>
                <w:noProof/>
              </w:rPr>
              <w:t xml:space="preserve">immung des Gesetzes über sein Inkrafttreten </w:t>
            </w:r>
          </w:p>
        </w:tc>
        <w:tc>
          <w:tcPr>
            <w:tcW w:w="1134" w:type="dxa"/>
            <w:shd w:val="clear" w:color="auto" w:fill="C6EFCE"/>
          </w:tcPr>
          <w:p w14:paraId="5373853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418" w:type="dxa"/>
            <w:shd w:val="clear" w:color="auto" w:fill="C6EFCE"/>
          </w:tcPr>
          <w:p w14:paraId="5BE9AB8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850" w:type="dxa"/>
            <w:shd w:val="clear" w:color="auto" w:fill="C6EFCE"/>
          </w:tcPr>
          <w:p w14:paraId="08FC9E8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851" w:type="dxa"/>
            <w:shd w:val="clear" w:color="auto" w:fill="C6EFCE"/>
          </w:tcPr>
          <w:p w14:paraId="4E1F1B21"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Q4</w:t>
            </w:r>
          </w:p>
        </w:tc>
        <w:tc>
          <w:tcPr>
            <w:tcW w:w="992" w:type="dxa"/>
            <w:shd w:val="clear" w:color="auto" w:fill="C6EFCE"/>
          </w:tcPr>
          <w:p w14:paraId="3A69788C"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2022</w:t>
            </w:r>
          </w:p>
        </w:tc>
        <w:tc>
          <w:tcPr>
            <w:tcW w:w="2835" w:type="dxa"/>
            <w:shd w:val="clear" w:color="auto" w:fill="C6EFCE"/>
          </w:tcPr>
          <w:p w14:paraId="376649D6" w14:textId="49439A9F" w:rsidR="00EB245A" w:rsidRDefault="006021EE">
            <w:pPr>
              <w:pStyle w:val="paragraph"/>
              <w:spacing w:before="0" w:beforeAutospacing="0" w:after="0" w:afterAutospacing="0"/>
              <w:textAlignment w:val="baseline"/>
              <w:rPr>
                <w:noProof/>
                <w:sz w:val="18"/>
              </w:rPr>
            </w:pPr>
            <w:r>
              <w:rPr>
                <w:rStyle w:val="normaltextrun"/>
                <w:noProof/>
                <w:color w:val="000000"/>
                <w:sz w:val="18"/>
              </w:rPr>
              <w:t xml:space="preserve">Das Gesetz über klinische Prüfungen von Humanarzneimitteln tritt in Kraft und umfasst:  </w:t>
            </w:r>
            <w:r>
              <w:rPr>
                <w:noProof/>
              </w:rPr>
              <w:t xml:space="preserve">  </w:t>
            </w:r>
            <w:r>
              <w:rPr>
                <w:noProof/>
              </w:rPr>
              <w:br/>
            </w:r>
            <w:r>
              <w:rPr>
                <w:rStyle w:val="normaltextrun"/>
                <w:noProof/>
                <w:color w:val="000000"/>
                <w:sz w:val="18"/>
              </w:rPr>
              <w:t xml:space="preserve">— transparente Regeln und </w:t>
            </w:r>
            <w:r>
              <w:rPr>
                <w:noProof/>
              </w:rPr>
              <w:t xml:space="preserve"> </w:t>
            </w:r>
            <w:r>
              <w:rPr>
                <w:noProof/>
              </w:rPr>
              <w:br/>
              <w:t xml:space="preserve"> </w:t>
            </w:r>
            <w:r>
              <w:rPr>
                <w:rStyle w:val="normaltextrun"/>
                <w:noProof/>
                <w:color w:val="000000"/>
                <w:sz w:val="18"/>
              </w:rPr>
              <w:t xml:space="preserve">— Zusätzliche Einrichtungen und Mechanismen zur Förderung klinischer Prüfungen in Polen und zur Verbesserung der Qualität und Straffung klinischer Prüfungen in Polen.  </w:t>
            </w:r>
          </w:p>
          <w:p w14:paraId="239C8723" w14:textId="2C110A9B" w:rsidR="00EB245A" w:rsidRDefault="006021EE">
            <w:pPr>
              <w:pStyle w:val="paragraph"/>
              <w:spacing w:before="0" w:beforeAutospacing="0" w:after="0" w:afterAutospacing="0"/>
              <w:textAlignment w:val="baseline"/>
              <w:rPr>
                <w:noProof/>
                <w:color w:val="006100"/>
                <w:sz w:val="18"/>
              </w:rPr>
            </w:pPr>
            <w:r>
              <w:rPr>
                <w:rStyle w:val="normaltextrun"/>
                <w:noProof/>
                <w:color w:val="000000"/>
                <w:sz w:val="18"/>
              </w:rPr>
              <w:t>Mit diesem Gesetz wird auch der Rechtsrahmen für den biomedizinischen Sektor im Allgeme</w:t>
            </w:r>
            <w:r>
              <w:rPr>
                <w:rStyle w:val="normaltextrun"/>
                <w:noProof/>
                <w:color w:val="000000"/>
                <w:sz w:val="18"/>
              </w:rPr>
              <w:t xml:space="preserve">inen in Polen, einschließlich Forschung und Entwicklung, aktualisiert, soweit eine solche Aktualisierung im Strategischen Plan der Regierung für die Entwicklung des biomedizinischen Sektors in Polen für notwendig erachtet wird. </w:t>
            </w:r>
          </w:p>
        </w:tc>
      </w:tr>
      <w:tr w:rsidR="00EB245A" w14:paraId="03F7DDD2" w14:textId="77777777" w:rsidTr="006A0208">
        <w:trPr>
          <w:trHeight w:val="313"/>
        </w:trPr>
        <w:tc>
          <w:tcPr>
            <w:tcW w:w="696" w:type="dxa"/>
            <w:shd w:val="clear" w:color="auto" w:fill="C6EFCE"/>
          </w:tcPr>
          <w:p w14:paraId="79B6DC27" w14:textId="62AC941F"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D33G</w:t>
            </w:r>
          </w:p>
        </w:tc>
        <w:tc>
          <w:tcPr>
            <w:tcW w:w="2069" w:type="dxa"/>
            <w:shd w:val="clear" w:color="auto" w:fill="C6EFCE"/>
          </w:tcPr>
          <w:p w14:paraId="1BC6E36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D3.1 Steigerung der </w:t>
            </w:r>
            <w:r>
              <w:rPr>
                <w:noProof/>
              </w:rPr>
              <w:t>Effizienz und Qualität des Gesundheitssystems durch Unterstützung des polnischen Forschungs- und Entwicklungspotenzials auf dem Gebiet der Medizin- und Gesundheitswissenschaften</w:t>
            </w:r>
          </w:p>
        </w:tc>
        <w:tc>
          <w:tcPr>
            <w:tcW w:w="1204" w:type="dxa"/>
            <w:shd w:val="clear" w:color="auto" w:fill="C6EFCE"/>
          </w:tcPr>
          <w:p w14:paraId="5E453D8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560" w:type="dxa"/>
            <w:shd w:val="clear" w:color="auto" w:fill="C6EFCE"/>
          </w:tcPr>
          <w:p w14:paraId="2E42DBAD" w14:textId="4E2FF723"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r>
              <w:rPr>
                <w:rStyle w:val="normaltextrun"/>
                <w:rFonts w:ascii="Times New Roman" w:hAnsi="Times New Roman"/>
                <w:noProof/>
                <w:color w:val="000000"/>
                <w:sz w:val="18"/>
              </w:rPr>
              <w:t>Inkrafttreten oder Umsetzung der im Strategieplan der Regierung fü</w:t>
            </w:r>
            <w:r>
              <w:rPr>
                <w:rStyle w:val="normaltextrun"/>
                <w:rFonts w:ascii="Times New Roman" w:hAnsi="Times New Roman"/>
                <w:noProof/>
                <w:color w:val="000000"/>
                <w:sz w:val="18"/>
              </w:rPr>
              <w:t xml:space="preserve">r die Entwicklung des biomedizinischen Sektors festgelegten Schlüsselmaßnahmen im Einklang mit dem im Strategieplan festgelegten Zeitplan </w:t>
            </w:r>
          </w:p>
        </w:tc>
        <w:tc>
          <w:tcPr>
            <w:tcW w:w="1842" w:type="dxa"/>
            <w:shd w:val="clear" w:color="auto" w:fill="C6EFCE"/>
          </w:tcPr>
          <w:p w14:paraId="7114167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Bestimmungen in den zugrunde liegenden Dokumenten über ihr Inkrafttreten oder ihre Umsetzung, je nach Art der im Stra</w:t>
            </w:r>
            <w:r>
              <w:rPr>
                <w:noProof/>
              </w:rPr>
              <w:t xml:space="preserve">tegieplan festgelegten Leitaktionen </w:t>
            </w:r>
          </w:p>
        </w:tc>
        <w:tc>
          <w:tcPr>
            <w:tcW w:w="1134" w:type="dxa"/>
            <w:shd w:val="clear" w:color="auto" w:fill="C6EFCE"/>
          </w:tcPr>
          <w:p w14:paraId="73A03760"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418" w:type="dxa"/>
            <w:shd w:val="clear" w:color="auto" w:fill="C6EFCE"/>
          </w:tcPr>
          <w:p w14:paraId="24813A6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850" w:type="dxa"/>
            <w:shd w:val="clear" w:color="auto" w:fill="C6EFCE"/>
          </w:tcPr>
          <w:p w14:paraId="6EB7940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851" w:type="dxa"/>
            <w:shd w:val="clear" w:color="auto" w:fill="C6EFCE"/>
          </w:tcPr>
          <w:p w14:paraId="4FA61C73" w14:textId="12ED777F"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Q4</w:t>
            </w:r>
          </w:p>
        </w:tc>
        <w:tc>
          <w:tcPr>
            <w:tcW w:w="992" w:type="dxa"/>
            <w:shd w:val="clear" w:color="auto" w:fill="C6EFCE"/>
          </w:tcPr>
          <w:p w14:paraId="552515F6"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2022</w:t>
            </w:r>
          </w:p>
        </w:tc>
        <w:tc>
          <w:tcPr>
            <w:tcW w:w="2835" w:type="dxa"/>
            <w:shd w:val="clear" w:color="auto" w:fill="C6EFCE"/>
          </w:tcPr>
          <w:p w14:paraId="001F98EC" w14:textId="408854F0"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r>
              <w:rPr>
                <w:rStyle w:val="normaltextrun"/>
                <w:rFonts w:ascii="Times New Roman" w:hAnsi="Times New Roman"/>
                <w:noProof/>
                <w:color w:val="000000"/>
                <w:sz w:val="18"/>
              </w:rPr>
              <w:t xml:space="preserve">Maßnahmen, die im Strategieplan als „Schlüsselmaßnahmen“ ausgewiesen sind, treten in Kraft oder werden im Einklang mit dem im Strategieplan enthaltenen Zeitplan und in dem im Strategieplan festgelegten </w:t>
            </w:r>
            <w:r>
              <w:rPr>
                <w:rStyle w:val="normaltextrun"/>
                <w:rFonts w:ascii="Times New Roman" w:hAnsi="Times New Roman"/>
                <w:noProof/>
                <w:color w:val="000000"/>
                <w:sz w:val="18"/>
              </w:rPr>
              <w:t>Umfang durchgeführt. Die Annahme des Strategieplans selbst in Form einer Entschließung des Ministerrats findet 2022 statt. Zu den Leitaktionen gehören die Gestaltung des Managementsystems für die Entwicklung des Sektors, zunächst die Vergabe von Wettbewerb</w:t>
            </w:r>
            <w:r>
              <w:rPr>
                <w:rStyle w:val="normaltextrun"/>
                <w:rFonts w:ascii="Times New Roman" w:hAnsi="Times New Roman"/>
                <w:noProof/>
                <w:color w:val="000000"/>
                <w:sz w:val="18"/>
              </w:rPr>
              <w:t xml:space="preserve">en in prioritären Bereichen und die ständige Überwachung des polnischen biomedizinischen Marktes. </w:t>
            </w:r>
          </w:p>
        </w:tc>
      </w:tr>
      <w:tr w:rsidR="00EB245A" w14:paraId="20435E28" w14:textId="77777777" w:rsidTr="006A0208">
        <w:trPr>
          <w:trHeight w:val="313"/>
        </w:trPr>
        <w:tc>
          <w:tcPr>
            <w:tcW w:w="696" w:type="dxa"/>
            <w:shd w:val="clear" w:color="auto" w:fill="C6EFCE"/>
          </w:tcPr>
          <w:p w14:paraId="22AF83E7" w14:textId="11BB59E2"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D34G</w:t>
            </w:r>
          </w:p>
        </w:tc>
        <w:tc>
          <w:tcPr>
            <w:tcW w:w="2069" w:type="dxa"/>
            <w:shd w:val="clear" w:color="auto" w:fill="C6EFCE"/>
          </w:tcPr>
          <w:p w14:paraId="5261DEA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D3.1.1 Umfassende Entwicklung der Forschung auf dem Gebiet der Medizin- und Gesundheitswissenschaften </w:t>
            </w:r>
          </w:p>
        </w:tc>
        <w:tc>
          <w:tcPr>
            <w:tcW w:w="1204" w:type="dxa"/>
            <w:shd w:val="clear" w:color="auto" w:fill="C6EFCE"/>
          </w:tcPr>
          <w:p w14:paraId="78E2078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560" w:type="dxa"/>
            <w:shd w:val="clear" w:color="auto" w:fill="C6EFCE"/>
          </w:tcPr>
          <w:p w14:paraId="7D9F5668" w14:textId="0764485B"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r>
              <w:rPr>
                <w:rStyle w:val="normaltextrun"/>
                <w:rFonts w:ascii="Times New Roman" w:hAnsi="Times New Roman"/>
                <w:noProof/>
                <w:color w:val="000000"/>
                <w:sz w:val="18"/>
              </w:rPr>
              <w:t xml:space="preserve">Inbetriebnahme einer elektronischen Plattform für das polnische Netz für klinische Prüfungen  </w:t>
            </w:r>
          </w:p>
        </w:tc>
        <w:tc>
          <w:tcPr>
            <w:tcW w:w="1842" w:type="dxa"/>
            <w:shd w:val="clear" w:color="auto" w:fill="C6EFCE"/>
          </w:tcPr>
          <w:p w14:paraId="0AC783AD" w14:textId="2D3872C6"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Inbetriebnahme der Plattform für das polnische Netz für klinische Prüfungen </w:t>
            </w:r>
          </w:p>
        </w:tc>
        <w:tc>
          <w:tcPr>
            <w:tcW w:w="1134" w:type="dxa"/>
            <w:shd w:val="clear" w:color="auto" w:fill="C6EFCE"/>
          </w:tcPr>
          <w:p w14:paraId="51F5F09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418" w:type="dxa"/>
            <w:shd w:val="clear" w:color="auto" w:fill="C6EFCE"/>
          </w:tcPr>
          <w:p w14:paraId="066B52B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850" w:type="dxa"/>
            <w:shd w:val="clear" w:color="auto" w:fill="C6EFCE"/>
          </w:tcPr>
          <w:p w14:paraId="0D4C31B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851" w:type="dxa"/>
            <w:shd w:val="clear" w:color="auto" w:fill="C6EFCE"/>
          </w:tcPr>
          <w:p w14:paraId="019399AE"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Q4</w:t>
            </w:r>
          </w:p>
        </w:tc>
        <w:tc>
          <w:tcPr>
            <w:tcW w:w="992" w:type="dxa"/>
            <w:shd w:val="clear" w:color="auto" w:fill="C6EFCE"/>
          </w:tcPr>
          <w:p w14:paraId="49C06588"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2022</w:t>
            </w:r>
          </w:p>
        </w:tc>
        <w:tc>
          <w:tcPr>
            <w:tcW w:w="2835" w:type="dxa"/>
            <w:shd w:val="clear" w:color="auto" w:fill="C6EFCE"/>
          </w:tcPr>
          <w:p w14:paraId="2F5F1A62" w14:textId="7C037167" w:rsidR="00EB245A" w:rsidRDefault="006021EE">
            <w:pPr>
              <w:pStyle w:val="Normal0"/>
              <w:spacing w:after="0" w:line="240" w:lineRule="auto"/>
              <w:rPr>
                <w:rFonts w:ascii="Times New Roman" w:eastAsia="Times New Roman" w:hAnsi="Times New Roman" w:cs="Times New Roman"/>
                <w:noProof/>
                <w:color w:val="006100"/>
                <w:sz w:val="18"/>
              </w:rPr>
            </w:pPr>
            <w:r>
              <w:rPr>
                <w:rStyle w:val="normaltextrun"/>
                <w:rFonts w:ascii="Times New Roman" w:hAnsi="Times New Roman"/>
                <w:noProof/>
                <w:color w:val="000000" w:themeColor="text1"/>
                <w:sz w:val="18"/>
              </w:rPr>
              <w:t xml:space="preserve">Die elektronische Plattform wird in Betrieb genommen. Die Plattform </w:t>
            </w:r>
            <w:r>
              <w:rPr>
                <w:rStyle w:val="normaltextrun"/>
                <w:rFonts w:ascii="Times New Roman" w:hAnsi="Times New Roman"/>
                <w:noProof/>
                <w:color w:val="000000" w:themeColor="text1"/>
                <w:sz w:val="18"/>
              </w:rPr>
              <w:t>umfasst Instrumente zur Koordinierung des Netzwerkbetriebs, eine Suchmaschine zur Ermittlung klinischer Prüfungen, eine Website mit der oben genannten Suchmaschine für Patienten, die die Möglichkeit zur Teilnahme an klinischen Prüfungen suchen, und eine Su</w:t>
            </w:r>
            <w:r>
              <w:rPr>
                <w:rStyle w:val="normaltextrun"/>
                <w:rFonts w:ascii="Times New Roman" w:hAnsi="Times New Roman"/>
                <w:noProof/>
                <w:color w:val="000000" w:themeColor="text1"/>
                <w:sz w:val="18"/>
              </w:rPr>
              <w:t xml:space="preserve">chmaschine für Fachkräfte, die klinische Prüfungen entwickeln oder durchführen. </w:t>
            </w:r>
          </w:p>
        </w:tc>
      </w:tr>
      <w:tr w:rsidR="00EB245A" w14:paraId="7E077E3A" w14:textId="77777777" w:rsidTr="006A0208">
        <w:trPr>
          <w:trHeight w:val="313"/>
        </w:trPr>
        <w:tc>
          <w:tcPr>
            <w:tcW w:w="696" w:type="dxa"/>
            <w:shd w:val="clear" w:color="auto" w:fill="C6EFCE"/>
          </w:tcPr>
          <w:p w14:paraId="3A7F104C" w14:textId="4ACAC49C"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D36G</w:t>
            </w:r>
          </w:p>
        </w:tc>
        <w:tc>
          <w:tcPr>
            <w:tcW w:w="2069" w:type="dxa"/>
            <w:shd w:val="clear" w:color="auto" w:fill="C6EFCE"/>
          </w:tcPr>
          <w:p w14:paraId="0A522A0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D3.1.1 Umfassende Entwicklung der Forschung auf dem Gebiet der Medizin- und Gesundheitswissenschaften </w:t>
            </w:r>
          </w:p>
        </w:tc>
        <w:tc>
          <w:tcPr>
            <w:tcW w:w="1204" w:type="dxa"/>
            <w:shd w:val="clear" w:color="auto" w:fill="C6EFCE"/>
          </w:tcPr>
          <w:p w14:paraId="15EAB80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Ziel</w:t>
            </w:r>
          </w:p>
        </w:tc>
        <w:tc>
          <w:tcPr>
            <w:tcW w:w="1560" w:type="dxa"/>
            <w:shd w:val="clear" w:color="auto" w:fill="C6EFCE"/>
          </w:tcPr>
          <w:p w14:paraId="3E5CD168" w14:textId="75907FDD"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r>
              <w:rPr>
                <w:rStyle w:val="normaltextrun"/>
                <w:rFonts w:ascii="Times New Roman" w:hAnsi="Times New Roman"/>
                <w:noProof/>
                <w:color w:val="000000"/>
                <w:sz w:val="18"/>
              </w:rPr>
              <w:t xml:space="preserve">Zahl der finanzierten Projekte für Forschungseinheiten und Unternehmer im biomedizinischen Sektor </w:t>
            </w:r>
          </w:p>
        </w:tc>
        <w:tc>
          <w:tcPr>
            <w:tcW w:w="1842" w:type="dxa"/>
            <w:shd w:val="clear" w:color="auto" w:fill="C6EFCE"/>
          </w:tcPr>
          <w:p w14:paraId="285D5BE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134" w:type="dxa"/>
            <w:shd w:val="clear" w:color="auto" w:fill="C6EFCE"/>
          </w:tcPr>
          <w:p w14:paraId="77E2DDE5"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Anzahl</w:t>
            </w:r>
          </w:p>
        </w:tc>
        <w:tc>
          <w:tcPr>
            <w:tcW w:w="1418" w:type="dxa"/>
            <w:shd w:val="clear" w:color="auto" w:fill="C6EFCE"/>
          </w:tcPr>
          <w:p w14:paraId="687C6CF4"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0</w:t>
            </w:r>
          </w:p>
        </w:tc>
        <w:tc>
          <w:tcPr>
            <w:tcW w:w="850" w:type="dxa"/>
            <w:shd w:val="clear" w:color="auto" w:fill="C6EFCE"/>
          </w:tcPr>
          <w:p w14:paraId="0AAF667E" w14:textId="260FE8F9"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60</w:t>
            </w:r>
          </w:p>
        </w:tc>
        <w:tc>
          <w:tcPr>
            <w:tcW w:w="851" w:type="dxa"/>
            <w:shd w:val="clear" w:color="auto" w:fill="C6EFCE"/>
          </w:tcPr>
          <w:p w14:paraId="791C77DD"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Q2</w:t>
            </w:r>
          </w:p>
        </w:tc>
        <w:tc>
          <w:tcPr>
            <w:tcW w:w="992" w:type="dxa"/>
            <w:shd w:val="clear" w:color="auto" w:fill="C6EFCE"/>
          </w:tcPr>
          <w:p w14:paraId="3E61268E"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2026</w:t>
            </w:r>
          </w:p>
        </w:tc>
        <w:tc>
          <w:tcPr>
            <w:tcW w:w="2835" w:type="dxa"/>
            <w:shd w:val="clear" w:color="auto" w:fill="C6EFCE"/>
          </w:tcPr>
          <w:p w14:paraId="6779E37F" w14:textId="2C69F141" w:rsidR="00EB245A" w:rsidRDefault="006021EE">
            <w:pPr>
              <w:pStyle w:val="paragraph"/>
              <w:spacing w:before="0" w:beforeAutospacing="0" w:after="0" w:afterAutospacing="0"/>
              <w:textAlignment w:val="baseline"/>
              <w:rPr>
                <w:noProof/>
                <w:sz w:val="18"/>
              </w:rPr>
            </w:pPr>
            <w:r>
              <w:rPr>
                <w:rStyle w:val="normaltextrun"/>
                <w:noProof/>
                <w:color w:val="000000" w:themeColor="text1"/>
                <w:sz w:val="18"/>
              </w:rPr>
              <w:t xml:space="preserve">Abschlussberichte über mindestens 60 geförderte Projekte werden genehmigt. Im Einklang mit dem Strategieplan für die Entwicklung des </w:t>
            </w:r>
            <w:r>
              <w:rPr>
                <w:rStyle w:val="normaltextrun"/>
                <w:noProof/>
                <w:color w:val="000000" w:themeColor="text1"/>
                <w:sz w:val="18"/>
              </w:rPr>
              <w:t xml:space="preserve">biomedizinischen Sektors in Polen werden Forschungseinheiten und Unternehmer im Bereich pharmazeutische Innovationen, Medizinprodukte und IT-Lösungen unterstützt.  </w:t>
            </w:r>
            <w:r>
              <w:rPr>
                <w:noProof/>
              </w:rPr>
              <w:t xml:space="preserve">  </w:t>
            </w:r>
            <w:r>
              <w:rPr>
                <w:noProof/>
              </w:rPr>
              <w:br/>
            </w:r>
            <w:r>
              <w:rPr>
                <w:rStyle w:val="normaltextrun"/>
                <w:noProof/>
                <w:color w:val="000000" w:themeColor="text1"/>
                <w:sz w:val="18"/>
              </w:rPr>
              <w:t>Der Schwerpunkt der Wettbewerbe liegt auf Forschung und Entwicklung in Bezug auf Produkti</w:t>
            </w:r>
            <w:r>
              <w:rPr>
                <w:rStyle w:val="normaltextrun"/>
                <w:noProof/>
                <w:color w:val="000000" w:themeColor="text1"/>
                <w:sz w:val="18"/>
              </w:rPr>
              <w:t xml:space="preserve">nnovationen wie Arzneimittel, die Entwicklung und/oder Verbesserung von Medizinprodukten, auch für mobile Anwendungen, sowie die Entwicklung von IKT-Instrumenten für medizinische und gesundheitliche Zwecke.  </w:t>
            </w:r>
          </w:p>
          <w:p w14:paraId="38012948" w14:textId="7C332B53" w:rsidR="00EB245A" w:rsidRDefault="006021EE">
            <w:pPr>
              <w:pStyle w:val="Normal0"/>
              <w:spacing w:after="0" w:line="240" w:lineRule="auto"/>
              <w:rPr>
                <w:rFonts w:ascii="Times New Roman" w:eastAsia="Times New Roman" w:hAnsi="Times New Roman" w:cs="Times New Roman"/>
                <w:noProof/>
                <w:color w:val="006100"/>
                <w:sz w:val="18"/>
              </w:rPr>
            </w:pPr>
            <w:r>
              <w:rPr>
                <w:rStyle w:val="normaltextrun"/>
                <w:rFonts w:ascii="Times New Roman" w:hAnsi="Times New Roman"/>
                <w:noProof/>
                <w:color w:val="000000" w:themeColor="text1"/>
                <w:sz w:val="18"/>
              </w:rPr>
              <w:t>Die Projekte werden im Rahmen offener Zuschussw</w:t>
            </w:r>
            <w:r>
              <w:rPr>
                <w:rStyle w:val="normaltextrun"/>
                <w:rFonts w:ascii="Times New Roman" w:hAnsi="Times New Roman"/>
                <w:noProof/>
                <w:color w:val="000000" w:themeColor="text1"/>
                <w:sz w:val="18"/>
              </w:rPr>
              <w:t>ettbewerbe ausgewählt. </w:t>
            </w:r>
            <w:r>
              <w:rPr>
                <w:rStyle w:val="normaltextrun"/>
                <w:rFonts w:ascii="Times New Roman" w:hAnsi="Times New Roman"/>
                <w:noProof/>
                <w:sz w:val="18"/>
              </w:rPr>
              <w:t xml:space="preserve"> </w:t>
            </w:r>
            <w:r>
              <w:rPr>
                <w:noProof/>
              </w:rPr>
              <w:t xml:space="preserve">  </w:t>
            </w:r>
            <w:r>
              <w:rPr>
                <w:noProof/>
              </w:rPr>
              <w:br/>
            </w:r>
            <w:r>
              <w:rPr>
                <w:rStyle w:val="normaltextrun"/>
                <w:rFonts w:ascii="Times New Roman" w:hAnsi="Times New Roman"/>
                <w:noProof/>
                <w:color w:val="000000" w:themeColor="text1"/>
                <w:sz w:val="18"/>
              </w:rPr>
              <w:t xml:space="preserve">Jede Finanzhilfevereinbarung enthält den gewährten finanziellen Betrag und die Einzelheiten des Projekts.  </w:t>
            </w:r>
          </w:p>
        </w:tc>
      </w:tr>
      <w:tr w:rsidR="00EB245A" w14:paraId="1E04069A" w14:textId="77777777" w:rsidTr="006A0208">
        <w:trPr>
          <w:trHeight w:val="313"/>
        </w:trPr>
        <w:tc>
          <w:tcPr>
            <w:tcW w:w="696" w:type="dxa"/>
            <w:shd w:val="clear" w:color="auto" w:fill="C6EFCE"/>
          </w:tcPr>
          <w:p w14:paraId="63E8C4AE" w14:textId="5FE57733" w:rsidR="00EB245A" w:rsidRDefault="006021EE">
            <w:pPr>
              <w:pStyle w:val="P68B1DB1-Normal011"/>
              <w:pBdr>
                <w:top w:val="nil"/>
                <w:left w:val="nil"/>
                <w:bottom w:val="nil"/>
                <w:right w:val="nil"/>
                <w:between w:val="nil"/>
              </w:pBdr>
              <w:spacing w:after="0" w:line="240" w:lineRule="auto"/>
              <w:jc w:val="center"/>
              <w:rPr>
                <w:rFonts w:eastAsia="Times New Roman" w:cs="Times New Roman"/>
                <w:b/>
                <w:noProof/>
                <w:color w:val="000000"/>
              </w:rPr>
            </w:pPr>
            <w:r>
              <w:rPr>
                <w:noProof/>
              </w:rPr>
              <w:t>D37G</w:t>
            </w:r>
          </w:p>
        </w:tc>
        <w:tc>
          <w:tcPr>
            <w:tcW w:w="2069" w:type="dxa"/>
            <w:shd w:val="clear" w:color="auto" w:fill="C6EFCE"/>
          </w:tcPr>
          <w:p w14:paraId="30935DC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D3.1.1 Umfassende Entwicklung der Forschung auf dem Gebiet der Medizin- und Gesundheitswissenschaften </w:t>
            </w:r>
          </w:p>
        </w:tc>
        <w:tc>
          <w:tcPr>
            <w:tcW w:w="1204" w:type="dxa"/>
            <w:shd w:val="clear" w:color="auto" w:fill="C6EFCE"/>
          </w:tcPr>
          <w:p w14:paraId="1E8961D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Ziel</w:t>
            </w:r>
          </w:p>
        </w:tc>
        <w:tc>
          <w:tcPr>
            <w:tcW w:w="1560" w:type="dxa"/>
            <w:shd w:val="clear" w:color="auto" w:fill="C6EFCE"/>
          </w:tcPr>
          <w:p w14:paraId="0B681316" w14:textId="6AEBBAC7"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r>
              <w:rPr>
                <w:rStyle w:val="normaltextrun"/>
                <w:rFonts w:ascii="Times New Roman" w:hAnsi="Times New Roman"/>
                <w:noProof/>
                <w:color w:val="000000"/>
                <w:sz w:val="18"/>
              </w:rPr>
              <w:t xml:space="preserve">Anzahl der geschaffenen Zentren sowie Entwicklung und Modernisierung bestehender Zentren zur Unterstützung klinischer Prüfungen  </w:t>
            </w:r>
          </w:p>
        </w:tc>
        <w:tc>
          <w:tcPr>
            <w:tcW w:w="1842" w:type="dxa"/>
            <w:shd w:val="clear" w:color="auto" w:fill="C6EFCE"/>
          </w:tcPr>
          <w:p w14:paraId="4B8697E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134" w:type="dxa"/>
            <w:shd w:val="clear" w:color="auto" w:fill="C6EFCE"/>
          </w:tcPr>
          <w:p w14:paraId="503467AE"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Anzahl</w:t>
            </w:r>
          </w:p>
        </w:tc>
        <w:tc>
          <w:tcPr>
            <w:tcW w:w="1418" w:type="dxa"/>
            <w:shd w:val="clear" w:color="auto" w:fill="C6EFCE"/>
          </w:tcPr>
          <w:p w14:paraId="5E8FBDAF" w14:textId="5212016B"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0</w:t>
            </w:r>
          </w:p>
        </w:tc>
        <w:tc>
          <w:tcPr>
            <w:tcW w:w="850" w:type="dxa"/>
            <w:shd w:val="clear" w:color="auto" w:fill="C6EFCE"/>
          </w:tcPr>
          <w:p w14:paraId="5E431150" w14:textId="17CD3FDD"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28</w:t>
            </w:r>
          </w:p>
        </w:tc>
        <w:tc>
          <w:tcPr>
            <w:tcW w:w="851" w:type="dxa"/>
            <w:shd w:val="clear" w:color="auto" w:fill="C6EFCE"/>
          </w:tcPr>
          <w:p w14:paraId="22E20490"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Q2</w:t>
            </w:r>
          </w:p>
        </w:tc>
        <w:tc>
          <w:tcPr>
            <w:tcW w:w="992" w:type="dxa"/>
            <w:shd w:val="clear" w:color="auto" w:fill="C6EFCE"/>
          </w:tcPr>
          <w:p w14:paraId="5F4A7F67"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2026</w:t>
            </w:r>
          </w:p>
        </w:tc>
        <w:tc>
          <w:tcPr>
            <w:tcW w:w="2835" w:type="dxa"/>
            <w:shd w:val="clear" w:color="auto" w:fill="C6EFCE"/>
          </w:tcPr>
          <w:p w14:paraId="7887E858" w14:textId="35AA29C6" w:rsidR="00EB245A" w:rsidRDefault="006021EE">
            <w:pPr>
              <w:pStyle w:val="paragraph"/>
              <w:spacing w:before="0" w:beforeAutospacing="0" w:after="0" w:afterAutospacing="0"/>
              <w:textAlignment w:val="baseline"/>
              <w:rPr>
                <w:rStyle w:val="normaltextrun"/>
                <w:noProof/>
              </w:rPr>
            </w:pPr>
            <w:r>
              <w:rPr>
                <w:rStyle w:val="normaltextrun"/>
                <w:noProof/>
                <w:color w:val="000000" w:themeColor="text1"/>
                <w:sz w:val="18"/>
              </w:rPr>
              <w:t>Die Einrichtung von zehn zusätzlichen Zentren zur Unterstützung klinischer Prüfungen (CTSC) ist abzuschließen und 18 bestehende CTSC zu unterstützen. Sie müssen in der Struktur der Gesundheitseinrichtungen angesiedelt sein und eine zentrale Rolle bei der p</w:t>
            </w:r>
            <w:r>
              <w:rPr>
                <w:rStyle w:val="normaltextrun"/>
                <w:noProof/>
                <w:color w:val="000000" w:themeColor="text1"/>
                <w:sz w:val="18"/>
              </w:rPr>
              <w:t>rofessionellen Unterstützung (von Krankenhausseite) für Einrichtungen der klinischen Forschung und Sponsoren klinischer Prüfungen (pharmazeutische Unternehmen) spielen, um Verhandlungen, die Auftragsvergabe und den Beginn klinischer Prüfungen zu fördern. </w:t>
            </w:r>
            <w:r>
              <w:rPr>
                <w:rStyle w:val="normaltextrun"/>
                <w:noProof/>
              </w:rPr>
              <w:t xml:space="preserve"> </w:t>
            </w:r>
          </w:p>
          <w:p w14:paraId="20C1DFFA" w14:textId="77777777" w:rsidR="00EB245A" w:rsidRDefault="00EB245A">
            <w:pPr>
              <w:pStyle w:val="paragraph"/>
              <w:spacing w:before="0" w:beforeAutospacing="0" w:after="0" w:afterAutospacing="0"/>
              <w:textAlignment w:val="baseline"/>
              <w:rPr>
                <w:rStyle w:val="normaltextrun"/>
                <w:noProof/>
                <w:color w:val="000000" w:themeColor="text1"/>
                <w:sz w:val="18"/>
              </w:rPr>
            </w:pPr>
          </w:p>
          <w:p w14:paraId="27EEB64A" w14:textId="23A43475" w:rsidR="00EB245A" w:rsidRDefault="006021EE">
            <w:pPr>
              <w:pStyle w:val="paragraph"/>
              <w:spacing w:before="0" w:beforeAutospacing="0" w:after="0" w:afterAutospacing="0"/>
              <w:textAlignment w:val="baseline"/>
              <w:rPr>
                <w:rStyle w:val="normaltextrun"/>
                <w:noProof/>
                <w:color w:val="000000" w:themeColor="text1"/>
                <w:sz w:val="18"/>
              </w:rPr>
            </w:pPr>
            <w:r>
              <w:rPr>
                <w:rStyle w:val="normaltextrun"/>
                <w:noProof/>
                <w:color w:val="000000" w:themeColor="text1"/>
                <w:sz w:val="18"/>
              </w:rPr>
              <w:t>Darüber hinaus erhalten bestehende CTSC die Möglichkeit, Finanzmittel für ausgewählte Tätigkeiten im Zusammenhang mit Folgendem zu beantragen:</w:t>
            </w:r>
          </w:p>
          <w:p w14:paraId="3E5DD7CC" w14:textId="63F461A2" w:rsidR="00EB245A" w:rsidRDefault="006021EE">
            <w:pPr>
              <w:pStyle w:val="paragraph"/>
              <w:spacing w:before="0" w:beforeAutospacing="0" w:after="0" w:afterAutospacing="0"/>
              <w:rPr>
                <w:rStyle w:val="normaltextrun"/>
                <w:noProof/>
              </w:rPr>
            </w:pPr>
            <w:r>
              <w:rPr>
                <w:rStyle w:val="normaltextrun"/>
                <w:noProof/>
                <w:color w:val="000000" w:themeColor="text1"/>
                <w:sz w:val="18"/>
              </w:rPr>
              <w:t>— allgemeine und berufliche Bildung für mindestens 1 von 3 Empfängergruppen: Managementteams, Wissenschaftler u</w:t>
            </w:r>
            <w:r>
              <w:rPr>
                <w:rStyle w:val="normaltextrun"/>
                <w:noProof/>
                <w:color w:val="000000" w:themeColor="text1"/>
                <w:sz w:val="18"/>
              </w:rPr>
              <w:t>nd Patienten,</w:t>
            </w:r>
            <w:r>
              <w:rPr>
                <w:noProof/>
              </w:rPr>
              <w:t xml:space="preserve"> </w:t>
            </w:r>
            <w:r>
              <w:rPr>
                <w:noProof/>
              </w:rPr>
              <w:br/>
            </w:r>
            <w:r>
              <w:rPr>
                <w:rStyle w:val="normaltextrun"/>
                <w:noProof/>
                <w:color w:val="000000" w:themeColor="text1"/>
                <w:sz w:val="18"/>
              </w:rPr>
              <w:t>— Vorbereitung von CTSC auf dezentrale Forschung (nach dem patientenzentrierten Ansatz),</w:t>
            </w:r>
            <w:r>
              <w:rPr>
                <w:noProof/>
              </w:rPr>
              <w:t xml:space="preserve"> </w:t>
            </w:r>
            <w:r>
              <w:rPr>
                <w:noProof/>
              </w:rPr>
              <w:br/>
              <w:t xml:space="preserve"> </w:t>
            </w:r>
            <w:r>
              <w:rPr>
                <w:rStyle w:val="normaltextrun"/>
                <w:noProof/>
                <w:color w:val="000000" w:themeColor="text1"/>
                <w:sz w:val="18"/>
              </w:rPr>
              <w:t>— Förderung klinischer Prüfungen in der Gesellschaft,</w:t>
            </w:r>
            <w:r>
              <w:rPr>
                <w:noProof/>
              </w:rPr>
              <w:t xml:space="preserve"> </w:t>
            </w:r>
            <w:r>
              <w:rPr>
                <w:noProof/>
              </w:rPr>
              <w:br/>
              <w:t xml:space="preserve"> </w:t>
            </w:r>
            <w:r>
              <w:rPr>
                <w:rStyle w:val="normaltextrun"/>
                <w:noProof/>
                <w:color w:val="000000" w:themeColor="text1"/>
                <w:sz w:val="18"/>
              </w:rPr>
              <w:t>— Entwicklung von IT-Systemen,</w:t>
            </w:r>
            <w:r>
              <w:rPr>
                <w:noProof/>
              </w:rPr>
              <w:t xml:space="preserve"> </w:t>
            </w:r>
            <w:r>
              <w:rPr>
                <w:noProof/>
              </w:rPr>
              <w:br/>
              <w:t xml:space="preserve"> </w:t>
            </w:r>
            <w:r>
              <w:rPr>
                <w:rStyle w:val="normaltextrun"/>
                <w:noProof/>
                <w:color w:val="000000" w:themeColor="text1"/>
                <w:sz w:val="18"/>
              </w:rPr>
              <w:t>— Modernisierung oder Anpassung bestehender Infrastrukturen,</w:t>
            </w:r>
            <w:r>
              <w:rPr>
                <w:noProof/>
              </w:rPr>
              <w:t xml:space="preserve"> </w:t>
            </w:r>
            <w:r>
              <w:rPr>
                <w:noProof/>
              </w:rPr>
              <w:br/>
              <w:t xml:space="preserve"> </w:t>
            </w:r>
            <w:r>
              <w:rPr>
                <w:rStyle w:val="normaltextrun"/>
                <w:noProof/>
                <w:color w:val="000000" w:themeColor="text1"/>
                <w:sz w:val="18"/>
              </w:rPr>
              <w:t>— Entwicklung neuer Prozesse und Verfahren sowie Änderung der Organisationsstruktur der Institutionen und der Arbeitnehmervergütung.</w:t>
            </w:r>
            <w:r>
              <w:rPr>
                <w:noProof/>
              </w:rPr>
              <w:t xml:space="preserve"> </w:t>
            </w:r>
            <w:r>
              <w:rPr>
                <w:noProof/>
              </w:rPr>
              <w:br/>
              <w:t xml:space="preserve">  </w:t>
            </w:r>
            <w:r>
              <w:rPr>
                <w:noProof/>
              </w:rPr>
              <w:br/>
            </w:r>
            <w:r>
              <w:rPr>
                <w:rStyle w:val="normaltextrun"/>
                <w:noProof/>
                <w:color w:val="000000" w:themeColor="text1"/>
                <w:sz w:val="18"/>
              </w:rPr>
              <w:t xml:space="preserve">Jede Finanzhilfevereinbarung enthält den gewährten finanziellen Betrag und die Einzelheiten des Projekts. </w:t>
            </w:r>
            <w:r>
              <w:rPr>
                <w:rStyle w:val="normaltextrun"/>
                <w:noProof/>
                <w:color w:val="000000" w:themeColor="text1"/>
              </w:rPr>
              <w:t xml:space="preserve"> </w:t>
            </w:r>
          </w:p>
        </w:tc>
      </w:tr>
      <w:tr w:rsidR="00EB245A" w14:paraId="7E9EA640" w14:textId="77777777" w:rsidTr="006A0208">
        <w:trPr>
          <w:trHeight w:val="313"/>
        </w:trPr>
        <w:tc>
          <w:tcPr>
            <w:tcW w:w="696" w:type="dxa"/>
            <w:shd w:val="clear" w:color="auto" w:fill="C6EFCE"/>
          </w:tcPr>
          <w:p w14:paraId="3EB5F183" w14:textId="40F18AFA" w:rsidR="00EB245A" w:rsidRDefault="006021EE">
            <w:pPr>
              <w:pStyle w:val="P68B1DB1-Normal011"/>
              <w:pBdr>
                <w:top w:val="nil"/>
                <w:left w:val="nil"/>
                <w:bottom w:val="nil"/>
                <w:right w:val="nil"/>
                <w:between w:val="nil"/>
              </w:pBdr>
              <w:spacing w:after="0" w:line="240" w:lineRule="auto"/>
              <w:jc w:val="center"/>
              <w:rPr>
                <w:noProof/>
              </w:rPr>
            </w:pPr>
            <w:r>
              <w:rPr>
                <w:noProof/>
              </w:rPr>
              <w:t>D38G</w:t>
            </w:r>
          </w:p>
        </w:tc>
        <w:tc>
          <w:tcPr>
            <w:tcW w:w="2069" w:type="dxa"/>
            <w:shd w:val="clear" w:color="auto" w:fill="C6EFCE"/>
          </w:tcPr>
          <w:p w14:paraId="64FF0B33" w14:textId="2C0E7579" w:rsidR="00EB245A" w:rsidRDefault="006021EE">
            <w:pPr>
              <w:pStyle w:val="P68B1DB1-Normal012"/>
              <w:pBdr>
                <w:top w:val="nil"/>
                <w:left w:val="nil"/>
                <w:bottom w:val="nil"/>
                <w:right w:val="nil"/>
                <w:between w:val="nil"/>
              </w:pBdr>
              <w:spacing w:after="0" w:line="240" w:lineRule="auto"/>
              <w:rPr>
                <w:noProof/>
              </w:rPr>
            </w:pPr>
            <w:r>
              <w:rPr>
                <w:noProof/>
              </w:rPr>
              <w:t>D4.1.1 Entwicklung der Langzeitpflege durch Modernisierung der Infrastruktur medizinischer Einrichtungen auf Bezirksebene</w:t>
            </w:r>
          </w:p>
        </w:tc>
        <w:tc>
          <w:tcPr>
            <w:tcW w:w="1204" w:type="dxa"/>
            <w:shd w:val="clear" w:color="auto" w:fill="C6EFCE"/>
          </w:tcPr>
          <w:p w14:paraId="275D90D9" w14:textId="4974C943" w:rsidR="00EB245A" w:rsidRDefault="006021EE">
            <w:pPr>
              <w:pStyle w:val="P68B1DB1-Normal012"/>
              <w:pBdr>
                <w:top w:val="nil"/>
                <w:left w:val="nil"/>
                <w:bottom w:val="nil"/>
                <w:right w:val="nil"/>
                <w:between w:val="nil"/>
              </w:pBdr>
              <w:spacing w:after="0" w:line="240" w:lineRule="auto"/>
              <w:rPr>
                <w:noProof/>
              </w:rPr>
            </w:pPr>
            <w:r>
              <w:rPr>
                <w:noProof/>
              </w:rPr>
              <w:t>Meilenstein</w:t>
            </w:r>
          </w:p>
        </w:tc>
        <w:tc>
          <w:tcPr>
            <w:tcW w:w="1560" w:type="dxa"/>
            <w:shd w:val="clear" w:color="auto" w:fill="C6EFCE"/>
          </w:tcPr>
          <w:p w14:paraId="4B8AAF32" w14:textId="2059F83E" w:rsidR="00EB245A" w:rsidRDefault="006021EE">
            <w:pPr>
              <w:pStyle w:val="Normal0"/>
              <w:pBdr>
                <w:top w:val="nil"/>
                <w:left w:val="nil"/>
                <w:bottom w:val="nil"/>
                <w:right w:val="nil"/>
                <w:between w:val="nil"/>
              </w:pBdr>
              <w:spacing w:after="0" w:line="240" w:lineRule="auto"/>
              <w:rPr>
                <w:rStyle w:val="normaltextrun"/>
                <w:rFonts w:ascii="Times New Roman" w:hAnsi="Times New Roman"/>
                <w:noProof/>
                <w:color w:val="000000"/>
                <w:sz w:val="18"/>
              </w:rPr>
            </w:pPr>
            <w:r>
              <w:rPr>
                <w:rStyle w:val="normaltextrun"/>
                <w:rFonts w:ascii="Times New Roman" w:hAnsi="Times New Roman"/>
                <w:noProof/>
                <w:color w:val="000000" w:themeColor="text1"/>
                <w:sz w:val="18"/>
              </w:rPr>
              <w:t xml:space="preserve">Liste der Bezirkskrankenhäuser, die für die zusätzliche Unterstützung für die Schaffung von Langzeitbetten und Geriatriebetten auf der Grundlage spezifischer Auswahlkriterien ausgewählt wurden </w:t>
            </w:r>
          </w:p>
        </w:tc>
        <w:tc>
          <w:tcPr>
            <w:tcW w:w="1842" w:type="dxa"/>
            <w:shd w:val="clear" w:color="auto" w:fill="C6EFCE"/>
          </w:tcPr>
          <w:p w14:paraId="226FED41" w14:textId="36952164" w:rsidR="00EB245A" w:rsidRDefault="006021EE">
            <w:pPr>
              <w:pStyle w:val="P68B1DB1-Normal012"/>
              <w:pBdr>
                <w:top w:val="nil"/>
                <w:left w:val="nil"/>
                <w:bottom w:val="nil"/>
                <w:right w:val="nil"/>
                <w:between w:val="nil"/>
              </w:pBdr>
              <w:spacing w:after="0" w:line="240" w:lineRule="auto"/>
              <w:rPr>
                <w:noProof/>
              </w:rPr>
            </w:pPr>
            <w:r>
              <w:rPr>
                <w:noProof/>
              </w:rPr>
              <w:t>Veröffentlichung der Liste ausgewählter Krankenhäuser</w:t>
            </w:r>
          </w:p>
        </w:tc>
        <w:tc>
          <w:tcPr>
            <w:tcW w:w="1134" w:type="dxa"/>
            <w:shd w:val="clear" w:color="auto" w:fill="C6EFCE"/>
          </w:tcPr>
          <w:p w14:paraId="3AED9328" w14:textId="122EBC04" w:rsidR="00EB245A" w:rsidRDefault="006021EE">
            <w:pPr>
              <w:pStyle w:val="P68B1DB1-Normal012"/>
              <w:pBdr>
                <w:top w:val="nil"/>
                <w:left w:val="nil"/>
                <w:bottom w:val="nil"/>
                <w:right w:val="nil"/>
                <w:between w:val="nil"/>
              </w:pBdr>
              <w:spacing w:after="0" w:line="240" w:lineRule="auto"/>
              <w:rPr>
                <w:noProof/>
              </w:rPr>
            </w:pPr>
            <w:r>
              <w:rPr>
                <w:noProof/>
              </w:rPr>
              <w:t xml:space="preserve"> </w:t>
            </w:r>
          </w:p>
        </w:tc>
        <w:tc>
          <w:tcPr>
            <w:tcW w:w="1418" w:type="dxa"/>
            <w:shd w:val="clear" w:color="auto" w:fill="C6EFCE"/>
          </w:tcPr>
          <w:p w14:paraId="47333661" w14:textId="25EFB242" w:rsidR="00EB245A" w:rsidRDefault="006021EE">
            <w:pPr>
              <w:pStyle w:val="P68B1DB1-Normal012"/>
              <w:pBdr>
                <w:top w:val="nil"/>
                <w:left w:val="nil"/>
                <w:bottom w:val="nil"/>
                <w:right w:val="nil"/>
                <w:between w:val="nil"/>
              </w:pBdr>
              <w:spacing w:after="0" w:line="240" w:lineRule="auto"/>
              <w:jc w:val="right"/>
              <w:rPr>
                <w:noProof/>
              </w:rPr>
            </w:pPr>
            <w:r>
              <w:rPr>
                <w:noProof/>
              </w:rPr>
              <w:t xml:space="preserve"> </w:t>
            </w:r>
          </w:p>
        </w:tc>
        <w:tc>
          <w:tcPr>
            <w:tcW w:w="850" w:type="dxa"/>
            <w:shd w:val="clear" w:color="auto" w:fill="C6EFCE"/>
          </w:tcPr>
          <w:p w14:paraId="12BA00B5" w14:textId="7796486B" w:rsidR="00EB245A" w:rsidRDefault="006021EE">
            <w:pPr>
              <w:pStyle w:val="P68B1DB1-Normal012"/>
              <w:pBdr>
                <w:top w:val="nil"/>
                <w:left w:val="nil"/>
                <w:bottom w:val="nil"/>
                <w:right w:val="nil"/>
                <w:between w:val="nil"/>
              </w:pBdr>
              <w:spacing w:after="0" w:line="240" w:lineRule="auto"/>
              <w:jc w:val="right"/>
              <w:rPr>
                <w:noProof/>
              </w:rPr>
            </w:pPr>
            <w:r>
              <w:rPr>
                <w:noProof/>
              </w:rPr>
              <w:t xml:space="preserve"> </w:t>
            </w:r>
          </w:p>
        </w:tc>
        <w:tc>
          <w:tcPr>
            <w:tcW w:w="851" w:type="dxa"/>
            <w:shd w:val="clear" w:color="auto" w:fill="C6EFCE"/>
          </w:tcPr>
          <w:p w14:paraId="04B9CE97" w14:textId="5B6524C9" w:rsidR="00EB245A" w:rsidRDefault="006021EE">
            <w:pPr>
              <w:pStyle w:val="P68B1DB1-Normal012"/>
              <w:pBdr>
                <w:top w:val="nil"/>
                <w:left w:val="nil"/>
                <w:bottom w:val="nil"/>
                <w:right w:val="nil"/>
                <w:between w:val="nil"/>
              </w:pBdr>
              <w:spacing w:after="0" w:line="240" w:lineRule="auto"/>
              <w:jc w:val="center"/>
              <w:rPr>
                <w:noProof/>
              </w:rPr>
            </w:pPr>
            <w:r>
              <w:rPr>
                <w:noProof/>
              </w:rPr>
              <w:t>Q2</w:t>
            </w:r>
          </w:p>
        </w:tc>
        <w:tc>
          <w:tcPr>
            <w:tcW w:w="992" w:type="dxa"/>
            <w:shd w:val="clear" w:color="auto" w:fill="C6EFCE"/>
          </w:tcPr>
          <w:p w14:paraId="6737181F" w14:textId="1F1C43D4" w:rsidR="00EB245A" w:rsidRDefault="006021EE">
            <w:pPr>
              <w:pStyle w:val="P68B1DB1-Normal012"/>
              <w:pBdr>
                <w:top w:val="nil"/>
                <w:left w:val="nil"/>
                <w:bottom w:val="nil"/>
                <w:right w:val="nil"/>
                <w:between w:val="nil"/>
              </w:pBdr>
              <w:spacing w:after="0" w:line="240" w:lineRule="auto"/>
              <w:jc w:val="center"/>
              <w:rPr>
                <w:noProof/>
              </w:rPr>
            </w:pPr>
            <w:r>
              <w:rPr>
                <w:noProof/>
              </w:rPr>
              <w:t>2024</w:t>
            </w:r>
          </w:p>
        </w:tc>
        <w:tc>
          <w:tcPr>
            <w:tcW w:w="2835" w:type="dxa"/>
            <w:shd w:val="clear" w:color="auto" w:fill="C6EFCE"/>
          </w:tcPr>
          <w:p w14:paraId="315E5A6A" w14:textId="11A0145A" w:rsidR="00EB245A" w:rsidRDefault="006021EE">
            <w:pPr>
              <w:pStyle w:val="Normal0"/>
              <w:pBdr>
                <w:top w:val="nil"/>
                <w:left w:val="nil"/>
                <w:bottom w:val="nil"/>
                <w:right w:val="nil"/>
                <w:between w:val="nil"/>
              </w:pBdr>
              <w:spacing w:after="0" w:line="240" w:lineRule="auto"/>
              <w:rPr>
                <w:rStyle w:val="normaltextrun"/>
                <w:rFonts w:ascii="Times New Roman" w:hAnsi="Times New Roman"/>
                <w:noProof/>
                <w:color w:val="000000" w:themeColor="text1"/>
                <w:sz w:val="18"/>
              </w:rPr>
            </w:pPr>
            <w:r>
              <w:rPr>
                <w:rStyle w:val="normaltextrun"/>
                <w:rFonts w:ascii="Times New Roman" w:hAnsi="Times New Roman"/>
                <w:noProof/>
                <w:color w:val="000000" w:themeColor="text1"/>
                <w:sz w:val="18"/>
              </w:rPr>
              <w:t xml:space="preserve">Es wird eine Liste der Bezirkskrankenhäuser bereitgestellt, die für eine zusätzliche Unterstützung für die Schaffung von Langzeit- und Geriatriebetten ausgewählt wurden. </w:t>
            </w:r>
          </w:p>
          <w:p w14:paraId="6FFFD77D" w14:textId="0E45DFCE" w:rsidR="00EB245A" w:rsidRDefault="00EB245A">
            <w:pPr>
              <w:pStyle w:val="Normal0"/>
              <w:pBdr>
                <w:top w:val="nil"/>
                <w:left w:val="nil"/>
                <w:bottom w:val="nil"/>
                <w:right w:val="nil"/>
                <w:between w:val="nil"/>
              </w:pBdr>
              <w:spacing w:after="0" w:line="240" w:lineRule="auto"/>
              <w:rPr>
                <w:rStyle w:val="normaltextrun"/>
                <w:rFonts w:ascii="Times New Roman" w:hAnsi="Times New Roman"/>
                <w:noProof/>
                <w:color w:val="000000" w:themeColor="text1"/>
                <w:sz w:val="18"/>
              </w:rPr>
            </w:pPr>
          </w:p>
          <w:p w14:paraId="2CC93F9F" w14:textId="7AD9545F" w:rsidR="00EB245A" w:rsidRDefault="006021EE">
            <w:pPr>
              <w:pStyle w:val="Normal0"/>
              <w:pBdr>
                <w:top w:val="nil"/>
                <w:left w:val="nil"/>
                <w:bottom w:val="nil"/>
                <w:right w:val="nil"/>
                <w:between w:val="nil"/>
              </w:pBdr>
              <w:spacing w:after="0" w:line="240" w:lineRule="auto"/>
              <w:rPr>
                <w:rStyle w:val="normaltextrun"/>
                <w:rFonts w:ascii="Times New Roman" w:hAnsi="Times New Roman"/>
                <w:noProof/>
                <w:color w:val="000000" w:themeColor="text1"/>
                <w:sz w:val="18"/>
              </w:rPr>
            </w:pPr>
            <w:r>
              <w:rPr>
                <w:rStyle w:val="normaltextrun"/>
                <w:rFonts w:ascii="Times New Roman" w:hAnsi="Times New Roman"/>
                <w:noProof/>
                <w:color w:val="000000" w:themeColor="text1"/>
                <w:sz w:val="18"/>
              </w:rPr>
              <w:t>Die Auswahl erfolgt auf der Grundlage klarer und transparenter Kriterien. Dies</w:t>
            </w:r>
            <w:r>
              <w:rPr>
                <w:rStyle w:val="normaltextrun"/>
                <w:rFonts w:ascii="Times New Roman" w:hAnsi="Times New Roman"/>
                <w:noProof/>
                <w:color w:val="000000" w:themeColor="text1"/>
                <w:sz w:val="18"/>
              </w:rPr>
              <w:t xml:space="preserve">e Kriterien umfassen die örtlichen Bedingungen für </w:t>
            </w:r>
            <w:r>
              <w:rPr>
                <w:noProof/>
              </w:rPr>
              <w:t xml:space="preserve">  </w:t>
            </w:r>
            <w:r>
              <w:rPr>
                <w:noProof/>
              </w:rPr>
              <w:br/>
            </w:r>
            <w:r>
              <w:rPr>
                <w:rStyle w:val="normaltextrun"/>
                <w:rFonts w:ascii="Times New Roman" w:hAnsi="Times New Roman"/>
                <w:noProof/>
                <w:color w:val="000000" w:themeColor="text1"/>
                <w:sz w:val="18"/>
              </w:rPr>
              <w:t xml:space="preserve">— demografische Entwicklung, </w:t>
            </w:r>
            <w:r>
              <w:rPr>
                <w:noProof/>
              </w:rPr>
              <w:t xml:space="preserve"> </w:t>
            </w:r>
            <w:r>
              <w:rPr>
                <w:noProof/>
              </w:rPr>
              <w:br/>
              <w:t xml:space="preserve"> </w:t>
            </w:r>
            <w:r>
              <w:rPr>
                <w:rStyle w:val="normaltextrun"/>
                <w:rFonts w:ascii="Times New Roman" w:hAnsi="Times New Roman"/>
                <w:noProof/>
                <w:color w:val="000000" w:themeColor="text1"/>
                <w:sz w:val="18"/>
              </w:rPr>
              <w:t xml:space="preserve">— Bevölkerungsdichte, </w:t>
            </w:r>
            <w:r>
              <w:rPr>
                <w:noProof/>
              </w:rPr>
              <w:t xml:space="preserve"> </w:t>
            </w:r>
            <w:r>
              <w:rPr>
                <w:noProof/>
              </w:rPr>
              <w:br/>
              <w:t xml:space="preserve"> </w:t>
            </w:r>
            <w:r>
              <w:rPr>
                <w:rStyle w:val="normaltextrun"/>
                <w:rFonts w:ascii="Times New Roman" w:hAnsi="Times New Roman"/>
                <w:noProof/>
                <w:color w:val="000000" w:themeColor="text1"/>
                <w:sz w:val="18"/>
              </w:rPr>
              <w:t xml:space="preserve">— Pflegebedarf, </w:t>
            </w:r>
            <w:r>
              <w:rPr>
                <w:noProof/>
              </w:rPr>
              <w:t xml:space="preserve"> </w:t>
            </w:r>
            <w:r>
              <w:rPr>
                <w:noProof/>
              </w:rPr>
              <w:br/>
              <w:t xml:space="preserve"> </w:t>
            </w:r>
            <w:r>
              <w:rPr>
                <w:rStyle w:val="normaltextrun"/>
                <w:rFonts w:ascii="Times New Roman" w:hAnsi="Times New Roman"/>
                <w:noProof/>
                <w:color w:val="000000" w:themeColor="text1"/>
                <w:sz w:val="18"/>
              </w:rPr>
              <w:t xml:space="preserve">— Sättigung von Langzeitpflege/Getreideleistungen, </w:t>
            </w:r>
            <w:r>
              <w:rPr>
                <w:noProof/>
              </w:rPr>
              <w:t xml:space="preserve"> </w:t>
            </w:r>
            <w:r>
              <w:rPr>
                <w:noProof/>
              </w:rPr>
              <w:br/>
              <w:t xml:space="preserve"> </w:t>
            </w:r>
            <w:r>
              <w:rPr>
                <w:rStyle w:val="normaltextrun"/>
                <w:rFonts w:ascii="Times New Roman" w:hAnsi="Times New Roman"/>
                <w:noProof/>
                <w:color w:val="000000" w:themeColor="text1"/>
                <w:sz w:val="18"/>
              </w:rPr>
              <w:t xml:space="preserve">— Qualität der Pflege und </w:t>
            </w:r>
            <w:r>
              <w:rPr>
                <w:noProof/>
              </w:rPr>
              <w:t xml:space="preserve"> </w:t>
            </w:r>
            <w:r>
              <w:rPr>
                <w:noProof/>
              </w:rPr>
              <w:br/>
              <w:t xml:space="preserve"> </w:t>
            </w:r>
            <w:r>
              <w:rPr>
                <w:rStyle w:val="normaltextrun"/>
                <w:rFonts w:ascii="Times New Roman" w:hAnsi="Times New Roman"/>
                <w:noProof/>
                <w:color w:val="000000" w:themeColor="text1"/>
                <w:sz w:val="18"/>
              </w:rPr>
              <w:t>— Einhaltung von Umstrukturierungsplänen od</w:t>
            </w:r>
            <w:r>
              <w:rPr>
                <w:rStyle w:val="normaltextrun"/>
                <w:rFonts w:ascii="Times New Roman" w:hAnsi="Times New Roman"/>
                <w:noProof/>
                <w:color w:val="000000" w:themeColor="text1"/>
                <w:sz w:val="18"/>
              </w:rPr>
              <w:t>er gleichwertigen Unterlagen für ein bestimmtes Krankenhaus.</w:t>
            </w:r>
          </w:p>
          <w:p w14:paraId="26D447D8" w14:textId="04C56431" w:rsidR="00EB245A" w:rsidRDefault="00EB245A">
            <w:pPr>
              <w:pStyle w:val="Normal0"/>
              <w:pBdr>
                <w:top w:val="nil"/>
                <w:left w:val="nil"/>
                <w:bottom w:val="nil"/>
                <w:right w:val="nil"/>
                <w:between w:val="nil"/>
              </w:pBdr>
              <w:spacing w:after="0" w:line="240" w:lineRule="auto"/>
              <w:rPr>
                <w:rStyle w:val="normaltextrun"/>
                <w:rFonts w:ascii="Times New Roman" w:hAnsi="Times New Roman"/>
                <w:noProof/>
                <w:color w:val="000000" w:themeColor="text1"/>
                <w:sz w:val="18"/>
              </w:rPr>
            </w:pPr>
          </w:p>
          <w:p w14:paraId="24972599" w14:textId="74E0DD41" w:rsidR="00EB245A" w:rsidRDefault="006021EE">
            <w:pPr>
              <w:pStyle w:val="Normal0"/>
              <w:pBdr>
                <w:top w:val="nil"/>
                <w:left w:val="nil"/>
                <w:bottom w:val="nil"/>
                <w:right w:val="nil"/>
                <w:between w:val="nil"/>
              </w:pBdr>
              <w:spacing w:after="0" w:line="240" w:lineRule="auto"/>
              <w:rPr>
                <w:rStyle w:val="normaltextrun"/>
                <w:rFonts w:ascii="Times New Roman" w:hAnsi="Times New Roman" w:cs="Times New Roman"/>
                <w:noProof/>
                <w:color w:val="000000"/>
                <w:sz w:val="18"/>
              </w:rPr>
            </w:pPr>
            <w:r>
              <w:rPr>
                <w:rStyle w:val="normaltextrun"/>
                <w:rFonts w:ascii="Times New Roman" w:hAnsi="Times New Roman"/>
                <w:noProof/>
                <w:color w:val="000000" w:themeColor="text1"/>
                <w:sz w:val="18"/>
              </w:rPr>
              <w:t>Ein gleichwertiges Dokument muss mindestens Folgendes enthalten: Informationen über Maßnahmen zur Gewährleistung einer soliden Finanzlage des</w:t>
            </w:r>
          </w:p>
          <w:p w14:paraId="558A119B" w14:textId="77777777" w:rsidR="00EB245A" w:rsidRDefault="006021EE">
            <w:pPr>
              <w:pStyle w:val="Normal0"/>
              <w:pBdr>
                <w:top w:val="nil"/>
                <w:left w:val="nil"/>
                <w:bottom w:val="nil"/>
                <w:right w:val="nil"/>
                <w:between w:val="nil"/>
              </w:pBdr>
              <w:spacing w:after="0" w:line="240" w:lineRule="auto"/>
              <w:rPr>
                <w:rStyle w:val="normaltextrun"/>
                <w:rFonts w:ascii="Times New Roman" w:hAnsi="Times New Roman" w:cs="Times New Roman"/>
                <w:noProof/>
                <w:color w:val="000000"/>
                <w:sz w:val="18"/>
              </w:rPr>
            </w:pPr>
            <w:r>
              <w:rPr>
                <w:rStyle w:val="normaltextrun"/>
                <w:rFonts w:ascii="Times New Roman" w:hAnsi="Times New Roman"/>
                <w:noProof/>
                <w:color w:val="000000" w:themeColor="text1"/>
                <w:sz w:val="18"/>
              </w:rPr>
              <w:t>betroffenes Krankenhaus, einschließlich Einzelheiten</w:t>
            </w:r>
            <w:r>
              <w:rPr>
                <w:rStyle w:val="normaltextrun"/>
                <w:rFonts w:ascii="Times New Roman" w:hAnsi="Times New Roman"/>
                <w:noProof/>
                <w:color w:val="000000" w:themeColor="text1"/>
                <w:sz w:val="18"/>
              </w:rPr>
              <w:t xml:space="preserve"> zur Art dieser Maßnahmen, zum Zeitplan, zu den Kosten und den erwarteten Kosten</w:t>
            </w:r>
          </w:p>
          <w:p w14:paraId="47A54FFA" w14:textId="2CD25BE6" w:rsidR="00EB245A" w:rsidRDefault="006021EE">
            <w:pPr>
              <w:pStyle w:val="paragraph"/>
              <w:spacing w:before="0" w:beforeAutospacing="0" w:after="0" w:afterAutospacing="0"/>
              <w:textAlignment w:val="baseline"/>
              <w:rPr>
                <w:rStyle w:val="normaltextrun"/>
                <w:noProof/>
                <w:color w:val="000000" w:themeColor="text1"/>
                <w:sz w:val="18"/>
              </w:rPr>
            </w:pPr>
            <w:r>
              <w:rPr>
                <w:rStyle w:val="normaltextrun"/>
                <w:noProof/>
                <w:color w:val="000000" w:themeColor="text1"/>
                <w:sz w:val="18"/>
              </w:rPr>
              <w:t>finanzielle Ergebnisse, die für die Durchführung dieser Maßnahmen zuständige Stelle und die Überwachungsmodalitäten.</w:t>
            </w:r>
          </w:p>
        </w:tc>
      </w:tr>
      <w:tr w:rsidR="00EB245A" w14:paraId="2342D831" w14:textId="77777777" w:rsidTr="006A0208">
        <w:trPr>
          <w:trHeight w:val="313"/>
        </w:trPr>
        <w:tc>
          <w:tcPr>
            <w:tcW w:w="696" w:type="dxa"/>
            <w:shd w:val="clear" w:color="auto" w:fill="C6EFCE"/>
          </w:tcPr>
          <w:p w14:paraId="1B39394E" w14:textId="5CDAEE09" w:rsidR="00EB245A" w:rsidRDefault="006021EE">
            <w:pPr>
              <w:pStyle w:val="P68B1DB1-Normal011"/>
              <w:pBdr>
                <w:top w:val="nil"/>
                <w:left w:val="nil"/>
                <w:bottom w:val="nil"/>
                <w:right w:val="nil"/>
                <w:between w:val="nil"/>
              </w:pBdr>
              <w:spacing w:after="0" w:line="240" w:lineRule="auto"/>
              <w:jc w:val="center"/>
              <w:rPr>
                <w:noProof/>
              </w:rPr>
            </w:pPr>
            <w:r>
              <w:rPr>
                <w:noProof/>
              </w:rPr>
              <w:t>D39G</w:t>
            </w:r>
          </w:p>
        </w:tc>
        <w:tc>
          <w:tcPr>
            <w:tcW w:w="2069" w:type="dxa"/>
            <w:shd w:val="clear" w:color="auto" w:fill="C6EFCE"/>
          </w:tcPr>
          <w:p w14:paraId="7D582399" w14:textId="5ED9A037" w:rsidR="00EB245A" w:rsidRDefault="006021EE">
            <w:pPr>
              <w:pStyle w:val="P68B1DB1-Normal012"/>
              <w:pBdr>
                <w:top w:val="nil"/>
                <w:left w:val="nil"/>
                <w:bottom w:val="nil"/>
                <w:right w:val="nil"/>
                <w:between w:val="nil"/>
              </w:pBdr>
              <w:spacing w:after="0" w:line="240" w:lineRule="auto"/>
              <w:rPr>
                <w:noProof/>
              </w:rPr>
            </w:pPr>
            <w:r>
              <w:rPr>
                <w:noProof/>
              </w:rPr>
              <w:t xml:space="preserve">D4.1.1 Entwicklung der Langzeitpflege durch </w:t>
            </w:r>
            <w:r>
              <w:rPr>
                <w:noProof/>
              </w:rPr>
              <w:t>Modernisierung der Infrastruktur medizinischer Einrichtungen auf Bezirksebene</w:t>
            </w:r>
          </w:p>
        </w:tc>
        <w:tc>
          <w:tcPr>
            <w:tcW w:w="1204" w:type="dxa"/>
            <w:shd w:val="clear" w:color="auto" w:fill="C6EFCE"/>
          </w:tcPr>
          <w:p w14:paraId="395AA29D" w14:textId="25FDA0F0" w:rsidR="00EB245A" w:rsidRDefault="006021EE">
            <w:pPr>
              <w:pStyle w:val="P68B1DB1-Normal012"/>
              <w:pBdr>
                <w:top w:val="nil"/>
                <w:left w:val="nil"/>
                <w:bottom w:val="nil"/>
                <w:right w:val="nil"/>
                <w:between w:val="nil"/>
              </w:pBdr>
              <w:spacing w:after="0" w:line="240" w:lineRule="auto"/>
              <w:rPr>
                <w:noProof/>
              </w:rPr>
            </w:pPr>
            <w:r>
              <w:rPr>
                <w:noProof/>
              </w:rPr>
              <w:t>Ziel</w:t>
            </w:r>
          </w:p>
        </w:tc>
        <w:tc>
          <w:tcPr>
            <w:tcW w:w="1560" w:type="dxa"/>
            <w:shd w:val="clear" w:color="auto" w:fill="C6EFCE"/>
          </w:tcPr>
          <w:p w14:paraId="651D2897" w14:textId="0E13CB57" w:rsidR="00EB245A" w:rsidRDefault="006021EE">
            <w:pPr>
              <w:pStyle w:val="Normal0"/>
              <w:pBdr>
                <w:top w:val="nil"/>
                <w:left w:val="nil"/>
                <w:bottom w:val="nil"/>
                <w:right w:val="nil"/>
                <w:between w:val="nil"/>
              </w:pBdr>
              <w:spacing w:after="0" w:line="240" w:lineRule="auto"/>
              <w:rPr>
                <w:rStyle w:val="normaltextrun"/>
                <w:rFonts w:ascii="Times New Roman" w:hAnsi="Times New Roman"/>
                <w:noProof/>
                <w:color w:val="000000" w:themeColor="text1"/>
                <w:sz w:val="18"/>
              </w:rPr>
            </w:pPr>
            <w:r>
              <w:rPr>
                <w:rStyle w:val="normaltextrun"/>
                <w:rFonts w:ascii="Times New Roman" w:hAnsi="Times New Roman"/>
                <w:noProof/>
                <w:color w:val="000000"/>
                <w:sz w:val="18"/>
              </w:rPr>
              <w:t>Unterzeichnete Verträge zwischen Bezirkskrankenhäusern und dem Gesundheitsministerium (oder einer anderen vom Ministerium benannten Einrichtung) über die Investitionsförderu</w:t>
            </w:r>
            <w:r>
              <w:rPr>
                <w:rStyle w:val="normaltextrun"/>
                <w:rFonts w:ascii="Times New Roman" w:hAnsi="Times New Roman"/>
                <w:noProof/>
                <w:color w:val="000000"/>
                <w:sz w:val="18"/>
              </w:rPr>
              <w:t xml:space="preserve">ng in die Einrichtung von Langzeitpflege- und Geriatriestationen/-zentren </w:t>
            </w:r>
          </w:p>
        </w:tc>
        <w:tc>
          <w:tcPr>
            <w:tcW w:w="1842" w:type="dxa"/>
            <w:shd w:val="clear" w:color="auto" w:fill="C6EFCE"/>
          </w:tcPr>
          <w:p w14:paraId="2AAB149B" w14:textId="286C8C44" w:rsidR="00EB245A" w:rsidRDefault="006021EE">
            <w:pPr>
              <w:pStyle w:val="P68B1DB1-Normal012"/>
              <w:pBdr>
                <w:top w:val="nil"/>
                <w:left w:val="nil"/>
                <w:bottom w:val="nil"/>
                <w:right w:val="nil"/>
                <w:between w:val="nil"/>
              </w:pBdr>
              <w:spacing w:after="0" w:line="240" w:lineRule="auto"/>
              <w:rPr>
                <w:noProof/>
              </w:rPr>
            </w:pPr>
            <w:r>
              <w:rPr>
                <w:noProof/>
              </w:rPr>
              <w:t xml:space="preserve"> </w:t>
            </w:r>
          </w:p>
        </w:tc>
        <w:tc>
          <w:tcPr>
            <w:tcW w:w="1134" w:type="dxa"/>
            <w:shd w:val="clear" w:color="auto" w:fill="C6EFCE"/>
          </w:tcPr>
          <w:p w14:paraId="0042396E" w14:textId="674DE75D" w:rsidR="00EB245A" w:rsidRDefault="006021EE">
            <w:pPr>
              <w:pStyle w:val="P68B1DB1-Normal012"/>
              <w:pBdr>
                <w:top w:val="nil"/>
                <w:left w:val="nil"/>
                <w:bottom w:val="nil"/>
                <w:right w:val="nil"/>
                <w:between w:val="nil"/>
              </w:pBdr>
              <w:spacing w:after="0" w:line="240" w:lineRule="auto"/>
              <w:rPr>
                <w:noProof/>
              </w:rPr>
            </w:pPr>
            <w:r>
              <w:rPr>
                <w:noProof/>
              </w:rPr>
              <w:t>Anzahl</w:t>
            </w:r>
          </w:p>
        </w:tc>
        <w:tc>
          <w:tcPr>
            <w:tcW w:w="1418" w:type="dxa"/>
            <w:shd w:val="clear" w:color="auto" w:fill="C6EFCE"/>
          </w:tcPr>
          <w:p w14:paraId="07A1F081" w14:textId="32B1D2BF" w:rsidR="00EB245A" w:rsidRDefault="006021EE">
            <w:pPr>
              <w:pStyle w:val="P68B1DB1-Normal012"/>
              <w:pBdr>
                <w:top w:val="nil"/>
                <w:left w:val="nil"/>
                <w:bottom w:val="nil"/>
                <w:right w:val="nil"/>
                <w:between w:val="nil"/>
              </w:pBdr>
              <w:spacing w:after="0" w:line="240" w:lineRule="auto"/>
              <w:jc w:val="right"/>
              <w:rPr>
                <w:noProof/>
              </w:rPr>
            </w:pPr>
            <w:r>
              <w:rPr>
                <w:noProof/>
              </w:rPr>
              <w:t>0</w:t>
            </w:r>
          </w:p>
        </w:tc>
        <w:tc>
          <w:tcPr>
            <w:tcW w:w="850" w:type="dxa"/>
            <w:shd w:val="clear" w:color="auto" w:fill="C6EFCE"/>
          </w:tcPr>
          <w:p w14:paraId="6A943989" w14:textId="157B5876" w:rsidR="00EB245A" w:rsidRDefault="006021EE">
            <w:pPr>
              <w:pStyle w:val="P68B1DB1-Normal012"/>
              <w:pBdr>
                <w:top w:val="nil"/>
                <w:left w:val="nil"/>
                <w:bottom w:val="nil"/>
                <w:right w:val="nil"/>
                <w:between w:val="nil"/>
              </w:pBdr>
              <w:spacing w:after="0" w:line="240" w:lineRule="auto"/>
              <w:jc w:val="center"/>
              <w:rPr>
                <w:noProof/>
                <w:highlight w:val="yellow"/>
              </w:rPr>
            </w:pPr>
            <w:r>
              <w:rPr>
                <w:noProof/>
              </w:rPr>
              <w:t>76</w:t>
            </w:r>
          </w:p>
        </w:tc>
        <w:tc>
          <w:tcPr>
            <w:tcW w:w="851" w:type="dxa"/>
            <w:shd w:val="clear" w:color="auto" w:fill="C6EFCE"/>
          </w:tcPr>
          <w:p w14:paraId="53703F96" w14:textId="63A7C68B" w:rsidR="00EB245A" w:rsidRDefault="006021EE">
            <w:pPr>
              <w:pStyle w:val="P68B1DB1-Normal012"/>
              <w:pBdr>
                <w:top w:val="nil"/>
                <w:left w:val="nil"/>
                <w:bottom w:val="nil"/>
                <w:right w:val="nil"/>
                <w:between w:val="nil"/>
              </w:pBdr>
              <w:spacing w:after="0" w:line="240" w:lineRule="auto"/>
              <w:jc w:val="center"/>
              <w:rPr>
                <w:noProof/>
              </w:rPr>
            </w:pPr>
            <w:r>
              <w:rPr>
                <w:noProof/>
              </w:rPr>
              <w:t>Q4</w:t>
            </w:r>
          </w:p>
        </w:tc>
        <w:tc>
          <w:tcPr>
            <w:tcW w:w="992" w:type="dxa"/>
            <w:shd w:val="clear" w:color="auto" w:fill="C6EFCE"/>
          </w:tcPr>
          <w:p w14:paraId="14442D98" w14:textId="40D8D502" w:rsidR="00EB245A" w:rsidRDefault="006021EE">
            <w:pPr>
              <w:pStyle w:val="P68B1DB1-Normal012"/>
              <w:pBdr>
                <w:top w:val="nil"/>
                <w:left w:val="nil"/>
                <w:bottom w:val="nil"/>
                <w:right w:val="nil"/>
                <w:between w:val="nil"/>
              </w:pBdr>
              <w:spacing w:after="0" w:line="240" w:lineRule="auto"/>
              <w:jc w:val="center"/>
              <w:rPr>
                <w:noProof/>
              </w:rPr>
            </w:pPr>
            <w:r>
              <w:rPr>
                <w:noProof/>
              </w:rPr>
              <w:t>2024</w:t>
            </w:r>
          </w:p>
        </w:tc>
        <w:tc>
          <w:tcPr>
            <w:tcW w:w="2835" w:type="dxa"/>
            <w:shd w:val="clear" w:color="auto" w:fill="C6EFCE"/>
          </w:tcPr>
          <w:p w14:paraId="4FAA3787" w14:textId="01AA52C4" w:rsidR="00EB245A" w:rsidRDefault="006021EE">
            <w:pPr>
              <w:pStyle w:val="paragraph"/>
              <w:spacing w:before="0" w:beforeAutospacing="0" w:after="0" w:afterAutospacing="0"/>
              <w:textAlignment w:val="baseline"/>
              <w:rPr>
                <w:noProof/>
                <w:sz w:val="18"/>
              </w:rPr>
            </w:pPr>
            <w:r>
              <w:rPr>
                <w:rStyle w:val="normaltextrun"/>
                <w:noProof/>
                <w:color w:val="000000" w:themeColor="text1"/>
                <w:sz w:val="18"/>
              </w:rPr>
              <w:t xml:space="preserve">Verträge über Investitionstätigkeiten werden zwischen dem Krankenhaus und dem Gesundheitsministerium (oder einer anderen vom Ministerium benannten Einrichtung) unterzeichnet. </w:t>
            </w:r>
          </w:p>
          <w:p w14:paraId="2A98D425" w14:textId="2D4123C2" w:rsidR="00EB245A" w:rsidRDefault="006021EE">
            <w:pPr>
              <w:pStyle w:val="Normal0"/>
              <w:pBdr>
                <w:top w:val="nil"/>
                <w:left w:val="nil"/>
                <w:bottom w:val="nil"/>
                <w:right w:val="nil"/>
                <w:between w:val="nil"/>
              </w:pBdr>
              <w:spacing w:after="0" w:line="240" w:lineRule="auto"/>
              <w:rPr>
                <w:rStyle w:val="normaltextrun"/>
                <w:rFonts w:ascii="Times New Roman" w:hAnsi="Times New Roman"/>
                <w:noProof/>
                <w:color w:val="000000"/>
                <w:sz w:val="18"/>
              </w:rPr>
            </w:pPr>
            <w:r>
              <w:rPr>
                <w:rStyle w:val="normaltextrun"/>
                <w:rFonts w:ascii="Times New Roman" w:hAnsi="Times New Roman"/>
                <w:noProof/>
                <w:color w:val="000000" w:themeColor="text1"/>
                <w:sz w:val="18"/>
              </w:rPr>
              <w:t xml:space="preserve">Die Verträge beruhen auf transparenten und klaren Bestimmungen und tragen zum Ziel der Entwicklung von Langzeitpflege- und Geriatriesdiensten bei. </w:t>
            </w:r>
          </w:p>
          <w:p w14:paraId="1D44E2F4" w14:textId="27FA7155" w:rsidR="00EB245A" w:rsidRDefault="00EB245A">
            <w:pPr>
              <w:pStyle w:val="Normal0"/>
              <w:pBdr>
                <w:top w:val="nil"/>
                <w:left w:val="nil"/>
                <w:bottom w:val="nil"/>
                <w:right w:val="nil"/>
                <w:between w:val="nil"/>
              </w:pBdr>
              <w:spacing w:after="0" w:line="240" w:lineRule="auto"/>
              <w:rPr>
                <w:rStyle w:val="normaltextrun"/>
                <w:rFonts w:ascii="Times New Roman" w:hAnsi="Times New Roman"/>
                <w:noProof/>
                <w:color w:val="000000"/>
                <w:sz w:val="18"/>
              </w:rPr>
            </w:pPr>
          </w:p>
          <w:p w14:paraId="1695DA5E" w14:textId="0BC51332" w:rsidR="00EB245A" w:rsidRDefault="006021EE">
            <w:pPr>
              <w:pStyle w:val="Normal0"/>
              <w:pBdr>
                <w:top w:val="nil"/>
                <w:left w:val="nil"/>
                <w:bottom w:val="nil"/>
                <w:right w:val="nil"/>
                <w:between w:val="nil"/>
              </w:pBdr>
              <w:spacing w:after="0" w:line="240" w:lineRule="auto"/>
              <w:rPr>
                <w:rStyle w:val="normaltextrun"/>
                <w:rFonts w:ascii="Times New Roman" w:hAnsi="Times New Roman"/>
                <w:noProof/>
                <w:color w:val="000000" w:themeColor="text1"/>
                <w:sz w:val="18"/>
              </w:rPr>
            </w:pPr>
            <w:r>
              <w:rPr>
                <w:rStyle w:val="normaltextrun"/>
                <w:rFonts w:ascii="Times New Roman" w:hAnsi="Times New Roman"/>
                <w:noProof/>
                <w:color w:val="000000"/>
                <w:sz w:val="18"/>
              </w:rPr>
              <w:t>Mit der Investition werden notwendige Bau- oder Renovierungsarbeiten und der Erwerb der entsprechenden Ausr</w:t>
            </w:r>
            <w:r>
              <w:rPr>
                <w:rStyle w:val="normaltextrun"/>
                <w:rFonts w:ascii="Times New Roman" w:hAnsi="Times New Roman"/>
                <w:noProof/>
                <w:color w:val="000000"/>
                <w:sz w:val="18"/>
              </w:rPr>
              <w:t xml:space="preserve">üstung unterstützt.   </w:t>
            </w:r>
          </w:p>
        </w:tc>
      </w:tr>
      <w:tr w:rsidR="00EB245A" w14:paraId="208A08E5" w14:textId="77777777" w:rsidTr="006A0208">
        <w:trPr>
          <w:trHeight w:val="313"/>
        </w:trPr>
        <w:tc>
          <w:tcPr>
            <w:tcW w:w="696" w:type="dxa"/>
            <w:shd w:val="clear" w:color="auto" w:fill="C6EFCE"/>
          </w:tcPr>
          <w:p w14:paraId="42EB7D0A" w14:textId="5323C8F4" w:rsidR="00EB245A" w:rsidRDefault="006021EE">
            <w:pPr>
              <w:pStyle w:val="P68B1DB1-Normal011"/>
              <w:pBdr>
                <w:top w:val="nil"/>
                <w:left w:val="nil"/>
                <w:bottom w:val="nil"/>
                <w:right w:val="nil"/>
                <w:between w:val="nil"/>
              </w:pBdr>
              <w:spacing w:after="0" w:line="240" w:lineRule="auto"/>
              <w:jc w:val="center"/>
              <w:rPr>
                <w:noProof/>
              </w:rPr>
            </w:pPr>
            <w:r>
              <w:rPr>
                <w:noProof/>
              </w:rPr>
              <w:t>D40G</w:t>
            </w:r>
          </w:p>
        </w:tc>
        <w:tc>
          <w:tcPr>
            <w:tcW w:w="2069" w:type="dxa"/>
            <w:shd w:val="clear" w:color="auto" w:fill="C6EFCE"/>
          </w:tcPr>
          <w:p w14:paraId="5F28B1FC" w14:textId="472FB84C" w:rsidR="00EB245A" w:rsidRDefault="006021EE">
            <w:pPr>
              <w:pStyle w:val="P68B1DB1-Normal012"/>
              <w:pBdr>
                <w:top w:val="nil"/>
                <w:left w:val="nil"/>
                <w:bottom w:val="nil"/>
                <w:right w:val="nil"/>
                <w:between w:val="nil"/>
              </w:pBdr>
              <w:spacing w:after="0" w:line="240" w:lineRule="auto"/>
              <w:rPr>
                <w:noProof/>
                <w:color w:val="000000" w:themeColor="text1"/>
              </w:rPr>
            </w:pPr>
            <w:r>
              <w:rPr>
                <w:noProof/>
              </w:rPr>
              <w:t>D4.1.1 Entwicklung der Langzeitpflege durch Modernisierung der Infrastruktur medizinischer Einrichtungen auf Bezirksebene</w:t>
            </w:r>
          </w:p>
        </w:tc>
        <w:tc>
          <w:tcPr>
            <w:tcW w:w="1204" w:type="dxa"/>
            <w:shd w:val="clear" w:color="auto" w:fill="C6EFCE"/>
          </w:tcPr>
          <w:p w14:paraId="37410A15" w14:textId="10F3128E" w:rsidR="00EB245A" w:rsidRDefault="006021EE">
            <w:pPr>
              <w:pStyle w:val="P68B1DB1-Normal012"/>
              <w:pBdr>
                <w:top w:val="nil"/>
                <w:left w:val="nil"/>
                <w:bottom w:val="nil"/>
                <w:right w:val="nil"/>
                <w:between w:val="nil"/>
              </w:pBdr>
              <w:spacing w:after="0" w:line="240" w:lineRule="auto"/>
              <w:rPr>
                <w:noProof/>
              </w:rPr>
            </w:pPr>
            <w:r>
              <w:rPr>
                <w:noProof/>
              </w:rPr>
              <w:t>Ziel</w:t>
            </w:r>
          </w:p>
        </w:tc>
        <w:tc>
          <w:tcPr>
            <w:tcW w:w="1560" w:type="dxa"/>
            <w:shd w:val="clear" w:color="auto" w:fill="C6EFCE"/>
          </w:tcPr>
          <w:p w14:paraId="552C92EE" w14:textId="581B7C5E" w:rsidR="00EB245A" w:rsidRDefault="006021EE">
            <w:pPr>
              <w:pStyle w:val="Normal0"/>
              <w:pBdr>
                <w:top w:val="nil"/>
                <w:left w:val="nil"/>
                <w:bottom w:val="nil"/>
                <w:right w:val="nil"/>
                <w:between w:val="nil"/>
              </w:pBdr>
              <w:spacing w:after="0" w:line="240" w:lineRule="auto"/>
              <w:rPr>
                <w:rStyle w:val="normaltextrun"/>
                <w:rFonts w:ascii="Times New Roman" w:hAnsi="Times New Roman"/>
                <w:noProof/>
                <w:color w:val="000000"/>
                <w:sz w:val="18"/>
              </w:rPr>
            </w:pPr>
            <w:r>
              <w:rPr>
                <w:rStyle w:val="normaltextrun"/>
                <w:rFonts w:ascii="Times New Roman" w:hAnsi="Times New Roman"/>
                <w:noProof/>
                <w:color w:val="000000"/>
                <w:sz w:val="18"/>
              </w:rPr>
              <w:t xml:space="preserve">Abgeschlossene Projekte zur Entwicklung der Langzeitpflege und der geriatrischen Versorgung in Bezirkskrankenhäusern </w:t>
            </w:r>
          </w:p>
        </w:tc>
        <w:tc>
          <w:tcPr>
            <w:tcW w:w="1842" w:type="dxa"/>
            <w:shd w:val="clear" w:color="auto" w:fill="C6EFCE"/>
          </w:tcPr>
          <w:p w14:paraId="2A0DA35B" w14:textId="317F177D" w:rsidR="00EB245A" w:rsidRDefault="006021EE">
            <w:pPr>
              <w:pStyle w:val="P68B1DB1-Normal012"/>
              <w:pBdr>
                <w:top w:val="nil"/>
                <w:left w:val="nil"/>
                <w:bottom w:val="nil"/>
                <w:right w:val="nil"/>
                <w:between w:val="nil"/>
              </w:pBdr>
              <w:spacing w:after="0" w:line="240" w:lineRule="auto"/>
              <w:rPr>
                <w:noProof/>
              </w:rPr>
            </w:pPr>
            <w:r>
              <w:rPr>
                <w:noProof/>
              </w:rPr>
              <w:t xml:space="preserve"> </w:t>
            </w:r>
          </w:p>
        </w:tc>
        <w:tc>
          <w:tcPr>
            <w:tcW w:w="1134" w:type="dxa"/>
            <w:shd w:val="clear" w:color="auto" w:fill="C6EFCE"/>
          </w:tcPr>
          <w:p w14:paraId="6840AD4D" w14:textId="73B4DB1E" w:rsidR="00EB245A" w:rsidRDefault="006021EE">
            <w:pPr>
              <w:pStyle w:val="P68B1DB1-Normal012"/>
              <w:pBdr>
                <w:top w:val="nil"/>
                <w:left w:val="nil"/>
                <w:bottom w:val="nil"/>
                <w:right w:val="nil"/>
                <w:between w:val="nil"/>
              </w:pBdr>
              <w:spacing w:after="0" w:line="240" w:lineRule="auto"/>
              <w:rPr>
                <w:noProof/>
              </w:rPr>
            </w:pPr>
            <w:r>
              <w:rPr>
                <w:noProof/>
              </w:rPr>
              <w:t>Anzahl</w:t>
            </w:r>
          </w:p>
        </w:tc>
        <w:tc>
          <w:tcPr>
            <w:tcW w:w="1418" w:type="dxa"/>
            <w:shd w:val="clear" w:color="auto" w:fill="C6EFCE"/>
          </w:tcPr>
          <w:p w14:paraId="14455B9C" w14:textId="7C46FD63" w:rsidR="00EB245A" w:rsidRDefault="006021EE">
            <w:pPr>
              <w:pStyle w:val="P68B1DB1-Normal012"/>
              <w:pBdr>
                <w:top w:val="nil"/>
                <w:left w:val="nil"/>
                <w:bottom w:val="nil"/>
                <w:right w:val="nil"/>
                <w:between w:val="nil"/>
              </w:pBdr>
              <w:spacing w:after="0" w:line="240" w:lineRule="auto"/>
              <w:jc w:val="right"/>
              <w:rPr>
                <w:noProof/>
              </w:rPr>
            </w:pPr>
            <w:r>
              <w:rPr>
                <w:noProof/>
              </w:rPr>
              <w:t>0</w:t>
            </w:r>
          </w:p>
        </w:tc>
        <w:tc>
          <w:tcPr>
            <w:tcW w:w="850" w:type="dxa"/>
            <w:shd w:val="clear" w:color="auto" w:fill="C6EFCE"/>
          </w:tcPr>
          <w:p w14:paraId="43D83415" w14:textId="7ED0289F" w:rsidR="00EB245A" w:rsidRDefault="006021EE">
            <w:pPr>
              <w:pStyle w:val="P68B1DB1-Normal012"/>
              <w:pBdr>
                <w:top w:val="nil"/>
                <w:left w:val="nil"/>
                <w:bottom w:val="nil"/>
                <w:right w:val="nil"/>
                <w:between w:val="nil"/>
              </w:pBdr>
              <w:spacing w:after="0" w:line="240" w:lineRule="auto"/>
              <w:jc w:val="center"/>
              <w:rPr>
                <w:noProof/>
                <w:highlight w:val="yellow"/>
              </w:rPr>
            </w:pPr>
            <w:r>
              <w:rPr>
                <w:noProof/>
              </w:rPr>
              <w:t>76</w:t>
            </w:r>
          </w:p>
        </w:tc>
        <w:tc>
          <w:tcPr>
            <w:tcW w:w="851" w:type="dxa"/>
            <w:shd w:val="clear" w:color="auto" w:fill="C6EFCE"/>
          </w:tcPr>
          <w:p w14:paraId="5852DD3F" w14:textId="571793BE" w:rsidR="00EB245A" w:rsidRDefault="006021EE">
            <w:pPr>
              <w:pStyle w:val="P68B1DB1-Normal012"/>
              <w:pBdr>
                <w:top w:val="nil"/>
                <w:left w:val="nil"/>
                <w:bottom w:val="nil"/>
                <w:right w:val="nil"/>
                <w:between w:val="nil"/>
              </w:pBdr>
              <w:spacing w:after="0" w:line="240" w:lineRule="auto"/>
              <w:jc w:val="center"/>
              <w:rPr>
                <w:noProof/>
              </w:rPr>
            </w:pPr>
            <w:r>
              <w:rPr>
                <w:noProof/>
              </w:rPr>
              <w:t>Q2</w:t>
            </w:r>
          </w:p>
        </w:tc>
        <w:tc>
          <w:tcPr>
            <w:tcW w:w="992" w:type="dxa"/>
            <w:shd w:val="clear" w:color="auto" w:fill="C6EFCE"/>
          </w:tcPr>
          <w:p w14:paraId="7DFEAEFF" w14:textId="3E8BD4C3" w:rsidR="00EB245A" w:rsidRDefault="006021EE">
            <w:pPr>
              <w:pStyle w:val="P68B1DB1-Normal012"/>
              <w:pBdr>
                <w:top w:val="nil"/>
                <w:left w:val="nil"/>
                <w:bottom w:val="nil"/>
                <w:right w:val="nil"/>
                <w:between w:val="nil"/>
              </w:pBdr>
              <w:spacing w:after="0" w:line="240" w:lineRule="auto"/>
              <w:jc w:val="center"/>
              <w:rPr>
                <w:noProof/>
              </w:rPr>
            </w:pPr>
            <w:r>
              <w:rPr>
                <w:noProof/>
              </w:rPr>
              <w:t>2026</w:t>
            </w:r>
          </w:p>
        </w:tc>
        <w:tc>
          <w:tcPr>
            <w:tcW w:w="2835" w:type="dxa"/>
            <w:shd w:val="clear" w:color="auto" w:fill="C6EFCE"/>
          </w:tcPr>
          <w:p w14:paraId="156E1688" w14:textId="463391ED" w:rsidR="00EB245A" w:rsidRDefault="006021EE">
            <w:pPr>
              <w:pStyle w:val="paragraph"/>
              <w:spacing w:before="0" w:beforeAutospacing="0" w:after="0" w:afterAutospacing="0"/>
              <w:textAlignment w:val="baseline"/>
              <w:rPr>
                <w:noProof/>
                <w:color w:val="000000"/>
                <w:sz w:val="18"/>
              </w:rPr>
            </w:pPr>
            <w:r>
              <w:rPr>
                <w:rStyle w:val="normaltextrun"/>
                <w:noProof/>
                <w:color w:val="000000" w:themeColor="text1"/>
                <w:sz w:val="18"/>
              </w:rPr>
              <w:t xml:space="preserve">Investitionsvorhaben, die auf der Grundlage unterzeichneter Verträge durchgeführt werden, werden abgeschlossen.  </w:t>
            </w:r>
          </w:p>
          <w:p w14:paraId="2E8C692B" w14:textId="4465AAE9" w:rsidR="00EB245A" w:rsidRDefault="006021EE">
            <w:pPr>
              <w:pStyle w:val="paragraph"/>
              <w:spacing w:before="0" w:beforeAutospacing="0" w:after="0" w:afterAutospacing="0"/>
              <w:textAlignment w:val="baseline"/>
              <w:rPr>
                <w:rStyle w:val="normaltextrun"/>
                <w:noProof/>
                <w:color w:val="000000"/>
                <w:sz w:val="18"/>
              </w:rPr>
            </w:pPr>
            <w:r>
              <w:rPr>
                <w:rStyle w:val="normaltextrun"/>
                <w:noProof/>
                <w:color w:val="000000"/>
                <w:sz w:val="18"/>
              </w:rPr>
              <w:t>Die Projekte tragen zum Ziel der Entwicklung der Langzeitpflege und der geriatrischen Versorgung in Bezirkskrankenhäusern bei, indem sie deren Verfügbarkeit erhöhen, einen umfassenden Zugang fördern und die Qualität verbessern. Mit den Projekten werden not</w:t>
            </w:r>
            <w:r>
              <w:rPr>
                <w:rStyle w:val="normaltextrun"/>
                <w:noProof/>
                <w:color w:val="000000"/>
                <w:sz w:val="18"/>
              </w:rPr>
              <w:t xml:space="preserve">wendige Bau- oder Renovierungsarbeiten und der Erwerb der entsprechenden Ausrüstung unterstützt. </w:t>
            </w:r>
          </w:p>
        </w:tc>
      </w:tr>
    </w:tbl>
    <w:p w14:paraId="74E797DC"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i/>
          <w:noProof/>
          <w:color w:val="4F81BD"/>
          <w:sz w:val="24"/>
        </w:rPr>
        <w:sectPr w:rsidR="00EB245A" w:rsidSect="005E6922">
          <w:headerReference w:type="even" r:id="rId109"/>
          <w:headerReference w:type="default" r:id="rId110"/>
          <w:footerReference w:type="even" r:id="rId111"/>
          <w:footerReference w:type="default" r:id="rId112"/>
          <w:headerReference w:type="first" r:id="rId113"/>
          <w:footerReference w:type="first" r:id="rId114"/>
          <w:pgSz w:w="16839" w:h="11907" w:orient="landscape"/>
          <w:pgMar w:top="1134" w:right="1134" w:bottom="1134" w:left="1134" w:header="567" w:footer="567" w:gutter="0"/>
          <w:cols w:space="720"/>
          <w:docGrid w:linePitch="299"/>
        </w:sectPr>
      </w:pPr>
    </w:p>
    <w:p w14:paraId="187F72A2" w14:textId="35541E12" w:rsidR="00EB245A" w:rsidRDefault="006021E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i/>
          <w:noProof/>
          <w:color w:val="000000"/>
          <w:sz w:val="24"/>
        </w:rPr>
      </w:pPr>
      <w:r>
        <w:rPr>
          <w:rFonts w:ascii="Times New Roman" w:hAnsi="Times New Roman"/>
          <w:b/>
          <w:noProof/>
          <w:color w:val="000000" w:themeColor="text1"/>
          <w:sz w:val="24"/>
        </w:rPr>
        <w:t xml:space="preserve">D.3. </w:t>
      </w:r>
      <w:r>
        <w:rPr>
          <w:noProof/>
        </w:rPr>
        <w:t xml:space="preserve"> </w:t>
      </w:r>
      <w:r>
        <w:rPr>
          <w:rFonts w:ascii="Times New Roman" w:hAnsi="Times New Roman"/>
          <w:b/>
          <w:noProof/>
          <w:color w:val="000000" w:themeColor="text1"/>
          <w:sz w:val="24"/>
        </w:rPr>
        <w:t>Beschreibung der Reformen und Investitionen (Darlehen)</w:t>
      </w:r>
    </w:p>
    <w:p w14:paraId="25AF7EAE"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i/>
          <w:noProof/>
          <w:color w:val="000000"/>
          <w:sz w:val="24"/>
        </w:rPr>
      </w:pPr>
    </w:p>
    <w:p w14:paraId="5128C476" w14:textId="77777777" w:rsidR="00EB245A" w:rsidRDefault="006021EE">
      <w:pPr>
        <w:pStyle w:val="P68B1DB1-Normal015"/>
        <w:pBdr>
          <w:top w:val="nil"/>
          <w:left w:val="nil"/>
          <w:bottom w:val="nil"/>
          <w:right w:val="nil"/>
          <w:between w:val="nil"/>
        </w:pBdr>
        <w:spacing w:before="120" w:after="120" w:line="240" w:lineRule="auto"/>
        <w:jc w:val="both"/>
        <w:rPr>
          <w:rFonts w:eastAsia="Times New Roman" w:cs="Times New Roman"/>
          <w:noProof/>
          <w:color w:val="000000"/>
        </w:rPr>
      </w:pPr>
      <w:r>
        <w:rPr>
          <w:noProof/>
        </w:rPr>
        <w:t xml:space="preserve">D1.2 Steigerung der Effizienz, </w:t>
      </w:r>
      <w:r>
        <w:rPr>
          <w:noProof/>
        </w:rPr>
        <w:t>Verfügbarkeit und Qualität der Langzeitpflegedienste der Gesundheitsdienstleister auf Bezirksebene</w:t>
      </w:r>
    </w:p>
    <w:p w14:paraId="60932A32" w14:textId="27E8C06C" w:rsidR="00EB245A" w:rsidRDefault="006021EE">
      <w:pPr>
        <w:pStyle w:val="P68B1DB1-Normal06"/>
        <w:pBdr>
          <w:top w:val="nil"/>
          <w:left w:val="nil"/>
          <w:bottom w:val="nil"/>
          <w:right w:val="nil"/>
          <w:between w:val="nil"/>
        </w:pBdr>
        <w:spacing w:before="120" w:after="0" w:line="240" w:lineRule="auto"/>
        <w:jc w:val="both"/>
        <w:rPr>
          <w:rFonts w:eastAsia="Times New Roman" w:cs="Times New Roman"/>
          <w:noProof/>
          <w:color w:val="000000"/>
        </w:rPr>
      </w:pPr>
      <w:r>
        <w:rPr>
          <w:noProof/>
        </w:rPr>
        <w:t>Ziel der Reform ist es, die Umwandlung von Bezirkskliniken in Langzeitpflege- und Geriatriestationen oder -zentren zu unterstützen. Die Reform stützt sich re</w:t>
      </w:r>
      <w:r>
        <w:rPr>
          <w:noProof/>
        </w:rPr>
        <w:t>chtlich auf einen speziellen Rechtsakt, der auf den Schlussfolgerungen einer Überprüfung des Potenzials für die Einrichtung von Langzeitpflege- und Geriatrieversorgungseinheiten/Zentren in Bezirkskliniken in Polen aufbaut. Die Reform steht auch im Einklang</w:t>
      </w:r>
      <w:r>
        <w:rPr>
          <w:noProof/>
        </w:rPr>
        <w:t xml:space="preserve"> mit der vom Gesundheitsministerium ausgearbeiteten Deinstitutionalisierungsstrategie (Anhang zum „Strategischen Rahmen für die Entwicklung des Gesundheitssystems in Polen 2021–2027 – Gesunde Zukunft“).</w:t>
      </w:r>
    </w:p>
    <w:p w14:paraId="1E819EF6" w14:textId="77CD26D5" w:rsidR="00EB245A" w:rsidRDefault="006021EE">
      <w:pPr>
        <w:pStyle w:val="P68B1DB1-Normal06"/>
        <w:pBdr>
          <w:top w:val="nil"/>
          <w:left w:val="nil"/>
          <w:bottom w:val="nil"/>
          <w:right w:val="nil"/>
          <w:between w:val="nil"/>
        </w:pBdr>
        <w:spacing w:before="120" w:after="120" w:line="240" w:lineRule="auto"/>
        <w:jc w:val="both"/>
        <w:rPr>
          <w:rStyle w:val="normaltextrun"/>
          <w:noProof/>
          <w:color w:val="000000"/>
          <w:sz w:val="18"/>
        </w:rPr>
      </w:pPr>
      <w:r>
        <w:rPr>
          <w:noProof/>
        </w:rPr>
        <w:t xml:space="preserve">Die Umsetzung der Reform muss bis zum 30. September </w:t>
      </w:r>
      <w:r>
        <w:rPr>
          <w:noProof/>
        </w:rPr>
        <w:t>2022 abgeschlossen sein.</w:t>
      </w:r>
    </w:p>
    <w:p w14:paraId="2633CEB9"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rPr>
      </w:pPr>
    </w:p>
    <w:p w14:paraId="65BE1F1D" w14:textId="77777777" w:rsidR="00EB245A" w:rsidRDefault="00EB245A">
      <w:pPr>
        <w:pStyle w:val="Normal0"/>
        <w:pBdr>
          <w:top w:val="nil"/>
          <w:left w:val="nil"/>
          <w:bottom w:val="nil"/>
          <w:right w:val="nil"/>
          <w:between w:val="nil"/>
        </w:pBdr>
        <w:spacing w:after="0" w:line="240" w:lineRule="auto"/>
        <w:jc w:val="both"/>
        <w:rPr>
          <w:rFonts w:ascii="Times New Roman" w:eastAsia="Times New Roman" w:hAnsi="Times New Roman" w:cs="Times New Roman"/>
          <w:noProof/>
          <w:color w:val="000000"/>
          <w:sz w:val="24"/>
        </w:rPr>
      </w:pPr>
    </w:p>
    <w:p w14:paraId="6AFAB436" w14:textId="77777777" w:rsidR="00EB245A" w:rsidRDefault="00EB245A">
      <w:pPr>
        <w:pStyle w:val="Normal0"/>
        <w:pBdr>
          <w:top w:val="nil"/>
          <w:left w:val="nil"/>
          <w:bottom w:val="nil"/>
          <w:right w:val="nil"/>
          <w:between w:val="nil"/>
        </w:pBdr>
        <w:spacing w:before="120" w:after="120" w:line="240" w:lineRule="auto"/>
        <w:ind w:left="284" w:hanging="284"/>
        <w:jc w:val="both"/>
        <w:rPr>
          <w:rFonts w:ascii="Times New Roman" w:eastAsia="Times New Roman" w:hAnsi="Times New Roman" w:cs="Times New Roman"/>
          <w:noProof/>
          <w:color w:val="000000"/>
          <w:sz w:val="24"/>
          <w:u w:val="single"/>
        </w:rPr>
      </w:pPr>
    </w:p>
    <w:p w14:paraId="74DCF38B"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rPr>
        <w:sectPr w:rsidR="00EB245A" w:rsidSect="005E6922">
          <w:headerReference w:type="even" r:id="rId115"/>
          <w:headerReference w:type="default" r:id="rId116"/>
          <w:footerReference w:type="even" r:id="rId117"/>
          <w:footerReference w:type="default" r:id="rId118"/>
          <w:headerReference w:type="first" r:id="rId119"/>
          <w:footerReference w:type="first" r:id="rId120"/>
          <w:pgSz w:w="11907" w:h="16839"/>
          <w:pgMar w:top="1134" w:right="1134" w:bottom="1134" w:left="1134" w:header="567" w:footer="567" w:gutter="0"/>
          <w:cols w:space="720"/>
          <w:docGrid w:linePitch="299"/>
        </w:sectPr>
      </w:pPr>
    </w:p>
    <w:p w14:paraId="042C5D41" w14:textId="3DBA5EEE" w:rsidR="00EB245A" w:rsidRDefault="006021E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rPr>
      </w:pPr>
      <w:r>
        <w:rPr>
          <w:rFonts w:ascii="Times New Roman" w:hAnsi="Times New Roman"/>
          <w:b/>
          <w:noProof/>
          <w:color w:val="000000" w:themeColor="text1"/>
          <w:sz w:val="24"/>
        </w:rPr>
        <w:t xml:space="preserve">D.4. </w:t>
      </w:r>
      <w:r>
        <w:rPr>
          <w:noProof/>
        </w:rPr>
        <w:t xml:space="preserve"> </w:t>
      </w:r>
      <w:r>
        <w:rPr>
          <w:rFonts w:ascii="Times New Roman" w:hAnsi="Times New Roman"/>
          <w:b/>
          <w:noProof/>
          <w:color w:val="000000" w:themeColor="text1"/>
          <w:sz w:val="24"/>
        </w:rPr>
        <w:t>Etappenziele, Zielwerte, Indikatoren und Zeitplan für die Überwachung und Durchführung (Darlehen)</w:t>
      </w:r>
    </w:p>
    <w:tbl>
      <w:tblPr>
        <w:tblW w:w="15309"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709"/>
        <w:gridCol w:w="1985"/>
        <w:gridCol w:w="1275"/>
        <w:gridCol w:w="1701"/>
        <w:gridCol w:w="1843"/>
        <w:gridCol w:w="1134"/>
        <w:gridCol w:w="1418"/>
        <w:gridCol w:w="850"/>
        <w:gridCol w:w="851"/>
        <w:gridCol w:w="708"/>
        <w:gridCol w:w="2835"/>
      </w:tblGrid>
      <w:tr w:rsidR="00EB245A" w14:paraId="41B1E524" w14:textId="77777777" w:rsidTr="0065049F">
        <w:trPr>
          <w:trHeight w:val="873"/>
          <w:tblHeader/>
        </w:trPr>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3F16C5A5" w14:textId="259D0D59"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Lfd. Nr. Nr.</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160E4090"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Verbundene Maßnahme (Reform oder Investition)</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1BB03AA8"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Etappenziel/Zielwert</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43775D93"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Namen</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7E8E68DE" w14:textId="77777777" w:rsidR="00EB245A" w:rsidRDefault="006021EE">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rPr>
            </w:pPr>
            <w:r>
              <w:rPr>
                <w:rFonts w:ascii="Times New Roman" w:hAnsi="Times New Roman"/>
                <w:b/>
                <w:noProof/>
                <w:color w:val="000000" w:themeColor="text1"/>
                <w:sz w:val="18"/>
              </w:rPr>
              <w:t>Etappenziel/Zielwert</w:t>
            </w:r>
            <w:r>
              <w:rPr>
                <w:noProof/>
              </w:rPr>
              <w:t xml:space="preserve">  </w:t>
            </w:r>
            <w:r>
              <w:rPr>
                <w:noProof/>
              </w:rPr>
              <w:br/>
            </w:r>
            <w:r>
              <w:rPr>
                <w:rFonts w:ascii="Times New Roman" w:hAnsi="Times New Roman"/>
                <w:b/>
                <w:noProof/>
                <w:color w:val="000000" w:themeColor="text1"/>
                <w:sz w:val="18"/>
              </w:rPr>
              <w:t>(für Etappenziele)</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0BDFEBE5" w14:textId="77777777" w:rsidR="00EB245A" w:rsidRDefault="006021EE">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rPr>
            </w:pPr>
            <w:r>
              <w:rPr>
                <w:rFonts w:ascii="Times New Roman" w:hAnsi="Times New Roman"/>
                <w:b/>
                <w:noProof/>
                <w:color w:val="000000" w:themeColor="text1"/>
                <w:sz w:val="18"/>
              </w:rPr>
              <w:t>Qualitative Indikatoren (für Etappenziele)</w:t>
            </w:r>
            <w:r>
              <w:rPr>
                <w:noProof/>
              </w:rPr>
              <w:t xml:space="preserve">  </w:t>
            </w:r>
            <w:r>
              <w:rPr>
                <w:noProof/>
              </w:rPr>
              <w:br/>
            </w:r>
            <w:r>
              <w:rPr>
                <w:rFonts w:ascii="Times New Roman" w:hAnsi="Times New Roman"/>
                <w:b/>
                <w:noProof/>
                <w:color w:val="000000" w:themeColor="text1"/>
                <w:sz w:val="18"/>
              </w:rPr>
              <w:t>(für Ziele)</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50367129"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 xml:space="preserve">Vorläufiger Zeitplan für die Fertigstellung </w:t>
            </w:r>
          </w:p>
        </w:tc>
        <w:tc>
          <w:tcPr>
            <w:tcW w:w="28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26E10174"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Beschreibung der einzelnen Etappenziele und Zielvorgaben</w:t>
            </w:r>
          </w:p>
        </w:tc>
      </w:tr>
      <w:tr w:rsidR="0065049F" w14:paraId="7C60732D" w14:textId="77777777" w:rsidTr="0065049F">
        <w:trPr>
          <w:trHeight w:val="687"/>
        </w:trPr>
        <w:tc>
          <w:tcPr>
            <w:tcW w:w="709" w:type="dxa"/>
            <w:vMerge/>
            <w:vAlign w:val="center"/>
          </w:tcPr>
          <w:p w14:paraId="4D2E12B8"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985" w:type="dxa"/>
            <w:vMerge/>
            <w:vAlign w:val="center"/>
          </w:tcPr>
          <w:p w14:paraId="308F224F"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275" w:type="dxa"/>
            <w:vMerge/>
            <w:vAlign w:val="center"/>
          </w:tcPr>
          <w:p w14:paraId="5E6D6F63"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701" w:type="dxa"/>
            <w:vMerge/>
            <w:vAlign w:val="center"/>
          </w:tcPr>
          <w:p w14:paraId="7B969857"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843" w:type="dxa"/>
            <w:vMerge/>
            <w:vAlign w:val="center"/>
          </w:tcPr>
          <w:p w14:paraId="0FE634FD"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46FC7D89"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Maßeinheit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7E5D7B35"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 xml:space="preserve">Ausgangslage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32489BEF"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Ziel</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31CCBDDF"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Viertel</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5252C6C6"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Jahre</w:t>
            </w:r>
          </w:p>
        </w:tc>
        <w:tc>
          <w:tcPr>
            <w:tcW w:w="2835" w:type="dxa"/>
            <w:vMerge/>
            <w:vAlign w:val="center"/>
          </w:tcPr>
          <w:p w14:paraId="62A1F980"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r>
      <w:tr w:rsidR="0065049F" w14:paraId="41CB191C" w14:textId="77777777" w:rsidTr="0065049F">
        <w:trPr>
          <w:trHeight w:val="313"/>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15E2E81" w14:textId="011ADA44"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D1L</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19F041"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D1.2 Steigerung der Effizienz, Verfügbarkeit und Qualität der Langzeitpflegedienste der Gesundheitsdienstleister auf Bezirksebene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570380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C6B6AC6" w14:textId="433605CA"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r>
              <w:rPr>
                <w:rStyle w:val="normaltextrun"/>
                <w:rFonts w:ascii="Times New Roman" w:hAnsi="Times New Roman"/>
                <w:noProof/>
                <w:color w:val="000000" w:themeColor="text1"/>
                <w:sz w:val="18"/>
              </w:rPr>
              <w:t xml:space="preserve">Überprüfung des Potenzials für die Einrichtung von Langzeitpflege- und geriatrischen Pflegeeinheiten/Zentren in Bezirkskliniken in Polen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989BA5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Veröffentlichung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B6071E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A24BB67"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C1FA51D"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467D810" w14:textId="3A39116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D5D9FA"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2665BB" w14:textId="3BA91C8E" w:rsidR="00EB245A" w:rsidRDefault="006021EE">
            <w:pPr>
              <w:pStyle w:val="paragraph"/>
              <w:spacing w:before="0" w:beforeAutospacing="0" w:after="0" w:afterAutospacing="0"/>
              <w:textAlignment w:val="baseline"/>
              <w:rPr>
                <w:noProof/>
                <w:sz w:val="18"/>
              </w:rPr>
            </w:pPr>
            <w:r>
              <w:rPr>
                <w:rStyle w:val="normaltextrun"/>
                <w:noProof/>
                <w:color w:val="000000" w:themeColor="text1"/>
                <w:sz w:val="18"/>
              </w:rPr>
              <w:t xml:space="preserve">Veröffentlichung einer Überprüfung im Rahmen der im Rahmen der Komponente A </w:t>
            </w:r>
            <w:r>
              <w:rPr>
                <w:rStyle w:val="normaltextrun"/>
                <w:noProof/>
                <w:color w:val="000000" w:themeColor="text1"/>
                <w:sz w:val="18"/>
              </w:rPr>
              <w:t>vorgesehenen strategischen Gesamtanalyse der Langzeitpflege in Polen über das Potenzial für die Einrichtung von Langzeitpflege- und geriatrischen Pflegeeinheiten/Zentren in Bezirkskliniken (einschließlich transformativer Teile von Bezirkskliniken). Bei der</w:t>
            </w:r>
            <w:r>
              <w:rPr>
                <w:rStyle w:val="normaltextrun"/>
                <w:noProof/>
                <w:color w:val="000000" w:themeColor="text1"/>
                <w:sz w:val="18"/>
              </w:rPr>
              <w:t xml:space="preserve"> Überprüfung wird insbesondere untersucht, wie </w:t>
            </w:r>
            <w:r>
              <w:rPr>
                <w:noProof/>
              </w:rPr>
              <w:t xml:space="preserve">  </w:t>
            </w:r>
            <w:r>
              <w:rPr>
                <w:noProof/>
              </w:rPr>
              <w:br/>
            </w:r>
            <w:r>
              <w:rPr>
                <w:rStyle w:val="normaltextrun"/>
                <w:noProof/>
                <w:color w:val="000000" w:themeColor="text1"/>
                <w:sz w:val="18"/>
              </w:rPr>
              <w:t xml:space="preserve">— die Verfügbarkeit von Langzeitpflegediensten zu erhöhen, indem festgestellte Lücken bei der Langzeitpflege, insbesondere auf Bezirksebene, geschlossen werden; </w:t>
            </w:r>
            <w:r>
              <w:rPr>
                <w:noProof/>
              </w:rPr>
              <w:t xml:space="preserve"> </w:t>
            </w:r>
            <w:r>
              <w:rPr>
                <w:noProof/>
              </w:rPr>
              <w:br/>
            </w:r>
            <w:r>
              <w:rPr>
                <w:rStyle w:val="normaltextrun"/>
                <w:noProof/>
                <w:color w:val="000000" w:themeColor="text1"/>
                <w:sz w:val="18"/>
              </w:rPr>
              <w:t xml:space="preserve">— Ungleichheiten beim Zugang zur Langzeitpflege beseitigen; </w:t>
            </w:r>
            <w:r>
              <w:rPr>
                <w:noProof/>
              </w:rPr>
              <w:t xml:space="preserve"> </w:t>
            </w:r>
            <w:r>
              <w:rPr>
                <w:noProof/>
              </w:rPr>
              <w:br/>
            </w:r>
            <w:r>
              <w:rPr>
                <w:rStyle w:val="normaltextrun"/>
                <w:noProof/>
                <w:color w:val="000000" w:themeColor="text1"/>
                <w:sz w:val="18"/>
              </w:rPr>
              <w:t xml:space="preserve">— Verbesserung der Arbeitsbedingungen für medizinisches Personal; und </w:t>
            </w:r>
            <w:r>
              <w:rPr>
                <w:noProof/>
              </w:rPr>
              <w:t xml:space="preserve"> </w:t>
            </w:r>
            <w:r>
              <w:rPr>
                <w:noProof/>
              </w:rPr>
              <w:br/>
              <w:t xml:space="preserve"> </w:t>
            </w:r>
            <w:r>
              <w:rPr>
                <w:rStyle w:val="normaltextrun"/>
                <w:noProof/>
                <w:color w:val="000000" w:themeColor="text1"/>
                <w:sz w:val="18"/>
              </w:rPr>
              <w:t xml:space="preserve">— Verbesserung der Qualität der Langzeitpflege. </w:t>
            </w:r>
          </w:p>
        </w:tc>
      </w:tr>
      <w:tr w:rsidR="0065049F" w14:paraId="131C4A67" w14:textId="77777777" w:rsidTr="0065049F">
        <w:trPr>
          <w:trHeight w:val="313"/>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17E941" w14:textId="23165E11"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D2L</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557744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D1.2 Steigerung der Effizienz, Verfügbarkeit und Qualität der </w:t>
            </w:r>
            <w:r>
              <w:rPr>
                <w:noProof/>
              </w:rPr>
              <w:t>Langzeitpflegedienste der Gesundheitsdienstleister auf Bezirksebene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CC04E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189877" w14:textId="7889D554"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r>
              <w:rPr>
                <w:rStyle w:val="normaltextrun"/>
                <w:rFonts w:ascii="Times New Roman" w:hAnsi="Times New Roman"/>
                <w:noProof/>
                <w:color w:val="000000" w:themeColor="text1"/>
                <w:sz w:val="18"/>
              </w:rPr>
              <w:t>Inkrafttreten eines Gesetzgebungsakts zur Unterstützung der Einrichtung von Langzeitpflege- und Geriatriestationen/-zentren in Bezirkskrankenhäusern auf der Grundlage der Ergeb</w:t>
            </w:r>
            <w:r>
              <w:rPr>
                <w:rStyle w:val="normaltextrun"/>
                <w:rFonts w:ascii="Times New Roman" w:hAnsi="Times New Roman"/>
                <w:noProof/>
                <w:color w:val="000000" w:themeColor="text1"/>
                <w:sz w:val="18"/>
              </w:rPr>
              <w:t xml:space="preserve">nisse der Überprüfung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867AEB2" w14:textId="30ABEAE8"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Bestimmung des Rechtsakts über das Inkrafttreten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41CB72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8AA7D2D"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A23B7E"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02FF158"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3062E1" w14:textId="211A4A05"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0000" w:themeColor="text1"/>
              </w:rPr>
            </w:pPr>
            <w:r>
              <w:rPr>
                <w:noProof/>
              </w:rPr>
              <w:t>2022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C181F5B" w14:textId="69C609EF" w:rsidR="00EB245A" w:rsidRDefault="006021EE">
            <w:pPr>
              <w:pStyle w:val="Normal0"/>
              <w:pBdr>
                <w:top w:val="nil"/>
                <w:left w:val="nil"/>
                <w:bottom w:val="nil"/>
                <w:right w:val="nil"/>
                <w:between w:val="nil"/>
              </w:pBdr>
              <w:spacing w:after="0" w:line="240" w:lineRule="auto"/>
              <w:rPr>
                <w:rStyle w:val="eop"/>
                <w:rFonts w:ascii="Times New Roman" w:hAnsi="Times New Roman" w:cs="Times New Roman"/>
                <w:noProof/>
                <w:color w:val="000000" w:themeColor="text1"/>
                <w:sz w:val="18"/>
              </w:rPr>
            </w:pPr>
            <w:r>
              <w:rPr>
                <w:rStyle w:val="normaltextrun"/>
                <w:rFonts w:ascii="Times New Roman" w:hAnsi="Times New Roman"/>
                <w:noProof/>
                <w:color w:val="000000" w:themeColor="text1"/>
                <w:sz w:val="18"/>
              </w:rPr>
              <w:t xml:space="preserve">Inkrafttreten eines Gesetzgebungsakts auf der Grundlage der Ergebnisse der Überprüfung des Potenzials für die Einrichtung von Langzeitpflege- und geriatrischen </w:t>
            </w:r>
            <w:r>
              <w:rPr>
                <w:rStyle w:val="normaltextrun"/>
                <w:rFonts w:ascii="Times New Roman" w:hAnsi="Times New Roman"/>
                <w:noProof/>
                <w:color w:val="000000" w:themeColor="text1"/>
                <w:sz w:val="18"/>
              </w:rPr>
              <w:t>Pflegeeinheiten/Zentren in Bezirkskliniken in Polen. In dem Rechtsakt wird festgelegt, wie die Unterstützung für die Einrichtung von Langzeitpflegeeinheiten und Geriatrie und/oder Zentren in Bezirkskrankenhäusern die Versorgung u. a. älterer Menschen auf l</w:t>
            </w:r>
            <w:r>
              <w:rPr>
                <w:rStyle w:val="normaltextrun"/>
                <w:rFonts w:ascii="Times New Roman" w:hAnsi="Times New Roman"/>
                <w:noProof/>
                <w:color w:val="000000" w:themeColor="text1"/>
                <w:sz w:val="18"/>
              </w:rPr>
              <w:t xml:space="preserve">okaler Ebene verbessern soll.  </w:t>
            </w:r>
          </w:p>
          <w:p w14:paraId="323CC72B" w14:textId="2C80CC6E"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Der Rechtsakt steht im Einklang mit dem „Strategischen Rahmen für die Entwicklung des Gesundheitssystems in Polen 2021–2027 – Gesunde Zukunft“.</w:t>
            </w:r>
          </w:p>
        </w:tc>
      </w:tr>
    </w:tbl>
    <w:p w14:paraId="299D8616" w14:textId="78AD8A7C"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i/>
          <w:noProof/>
          <w:color w:val="4F81BD"/>
          <w:sz w:val="24"/>
        </w:rPr>
        <w:sectPr w:rsidR="00EB245A" w:rsidSect="005E6922">
          <w:headerReference w:type="even" r:id="rId121"/>
          <w:headerReference w:type="default" r:id="rId122"/>
          <w:footerReference w:type="even" r:id="rId123"/>
          <w:footerReference w:type="default" r:id="rId124"/>
          <w:headerReference w:type="first" r:id="rId125"/>
          <w:footerReference w:type="first" r:id="rId126"/>
          <w:pgSz w:w="16839" w:h="11907" w:orient="landscape"/>
          <w:pgMar w:top="1134" w:right="1134" w:bottom="1134" w:left="1134" w:header="567" w:footer="567" w:gutter="0"/>
          <w:cols w:space="720"/>
          <w:docGrid w:linePitch="299"/>
        </w:sectPr>
      </w:pPr>
    </w:p>
    <w:p w14:paraId="59A5EB6B" w14:textId="77777777" w:rsidR="00EB245A" w:rsidRDefault="006021EE">
      <w:pPr>
        <w:pStyle w:val="P68B1DB1-Normal019"/>
        <w:keepNext/>
        <w:pBdr>
          <w:top w:val="nil"/>
          <w:left w:val="nil"/>
          <w:bottom w:val="nil"/>
          <w:right w:val="nil"/>
          <w:between w:val="nil"/>
        </w:pBdr>
        <w:tabs>
          <w:tab w:val="left" w:pos="850"/>
        </w:tabs>
        <w:spacing w:before="360" w:after="120" w:line="240" w:lineRule="auto"/>
        <w:ind w:left="850" w:hanging="850"/>
        <w:jc w:val="both"/>
        <w:rPr>
          <w:rFonts w:eastAsia="Times New Roman" w:cs="Times New Roman"/>
          <w:noProof/>
        </w:rPr>
      </w:pPr>
      <w:r>
        <w:rPr>
          <w:noProof/>
        </w:rPr>
        <w:t xml:space="preserve">E. KOMPONENTE E: </w:t>
      </w:r>
      <w:r>
        <w:rPr>
          <w:noProof/>
        </w:rPr>
        <w:t>GRÜNE, INTELLIGENTE MOBILITÄT</w:t>
      </w:r>
    </w:p>
    <w:p w14:paraId="5A9030EE" w14:textId="61AFBE22" w:rsidR="00EB245A" w:rsidRDefault="006021EE">
      <w:pPr>
        <w:pStyle w:val="P68B1DB1-Normal06"/>
        <w:pBdr>
          <w:top w:val="nil"/>
          <w:left w:val="nil"/>
          <w:bottom w:val="nil"/>
          <w:right w:val="nil"/>
          <w:between w:val="nil"/>
        </w:pBdr>
        <w:spacing w:after="120" w:line="240" w:lineRule="auto"/>
        <w:jc w:val="both"/>
        <w:rPr>
          <w:rFonts w:eastAsia="Times New Roman" w:cs="Times New Roman"/>
          <w:noProof/>
          <w:color w:val="000000"/>
        </w:rPr>
      </w:pPr>
      <w:r>
        <w:rPr>
          <w:noProof/>
        </w:rPr>
        <w:t>Die Komponente des polnischen Aufbau- und Resilienzplans befasst sich in erster Linie mit den Herausforderungen des polnischen Verkehrssektors in Bezug auf Dekarbonisierung und Luftverschmutzung. Seit 1990 sind die verkehrsbed</w:t>
      </w:r>
      <w:r>
        <w:rPr>
          <w:noProof/>
        </w:rPr>
        <w:t>ingten Emissionen um 214 % gestiegen, was in erster Linie auf einen deutlichen Anstieg des Straßenverkehrs zurückzuführen ist. Zwischen 2005 und 2019 hat sich der Straßenverkehr fast verdreifacht, während der entsprechende Anstieg im Schienenverkehr ledigl</w:t>
      </w:r>
      <w:r>
        <w:rPr>
          <w:noProof/>
        </w:rPr>
        <w:t>ich 9 % betrug. Mit der Komponente werden Synergien zwischen der Dekarbonisierungsagenda und der Industrieagenda angestrebt. Angesichts der anhaltend hohen Zahl der Verkehrstoten im Land ist die Straßenverkehrssicherheit eine weitere Herausforderung, mit d</w:t>
      </w:r>
      <w:r>
        <w:rPr>
          <w:noProof/>
        </w:rPr>
        <w:t>er sich die Komponente befasst. Die Komponente betrifft auch den Ausschluss bestimmter Gebiete von einem tragfähigen öffentlichen Verkehrsangebot.</w:t>
      </w:r>
    </w:p>
    <w:p w14:paraId="7724F607" w14:textId="176D7A83" w:rsidR="00EB245A" w:rsidRDefault="006021EE">
      <w:pPr>
        <w:pStyle w:val="P68B1DB1-Normal06"/>
        <w:pBdr>
          <w:top w:val="nil"/>
          <w:left w:val="nil"/>
          <w:bottom w:val="nil"/>
          <w:right w:val="nil"/>
          <w:between w:val="nil"/>
        </w:pBdr>
        <w:spacing w:before="120" w:after="120" w:line="257" w:lineRule="auto"/>
        <w:jc w:val="both"/>
        <w:rPr>
          <w:rFonts w:eastAsia="Times New Roman" w:cs="Times New Roman"/>
          <w:noProof/>
          <w:color w:val="000000"/>
        </w:rPr>
      </w:pPr>
      <w:r>
        <w:rPr>
          <w:noProof/>
        </w:rPr>
        <w:t xml:space="preserve">Hauptziel der Komponente ist daher die Einführung von Reformen und Investitionen zur Förderung eines </w:t>
      </w:r>
      <w:r>
        <w:rPr>
          <w:noProof/>
        </w:rPr>
        <w:t xml:space="preserve">nachhaltigen Verkehrs durch den öffentlichen Nahverkehr, umweltfreundliche Fahrzeuge und die entsprechende Infrastruktur, die Verlagerung von der Straße auf die Schiene und den intermodalen Verkehr. Die Straßenverkehrssicherheit wird durch ein umfassendes </w:t>
      </w:r>
      <w:r>
        <w:rPr>
          <w:noProof/>
        </w:rPr>
        <w:t>Paket von Reformen und Investitionen zur Erhöhung der Sicherheit bestimmter Straßenabschnitte angestrebt. Investitionen in den öffentlichen Nahverkehr im ländlichen Raum zielen darauf ab, diesen Verkehr zu einer tragfähigen Alternative zu Autos zu machen u</w:t>
      </w:r>
      <w:r>
        <w:rPr>
          <w:noProof/>
        </w:rPr>
        <w:t xml:space="preserve">nd den wirtschaftlichen und sozialen Zusammenhalt und die Inklusion zu stärken. </w:t>
      </w:r>
    </w:p>
    <w:p w14:paraId="30F04CC4" w14:textId="3EBD5C39" w:rsidR="00EB245A" w:rsidRDefault="006021EE">
      <w:pPr>
        <w:pStyle w:val="P68B1DB1-Normal06"/>
        <w:pBdr>
          <w:top w:val="nil"/>
          <w:left w:val="nil"/>
          <w:bottom w:val="nil"/>
          <w:right w:val="nil"/>
          <w:between w:val="nil"/>
        </w:pBdr>
        <w:spacing w:before="120" w:after="120" w:line="257" w:lineRule="auto"/>
        <w:jc w:val="both"/>
        <w:rPr>
          <w:rFonts w:eastAsia="Times New Roman" w:cs="Times New Roman"/>
          <w:noProof/>
          <w:color w:val="000000"/>
        </w:rPr>
      </w:pPr>
      <w:r>
        <w:rPr>
          <w:noProof/>
        </w:rPr>
        <w:t>Die Komponente trägt zur Umsetzung der länderspezifischen Empfehlung bei, die investitionsbezogene Wirtschaftspolitik unter Berücksichtigung regionaler Unterschiede auf Innova</w:t>
      </w:r>
      <w:r>
        <w:rPr>
          <w:noProof/>
        </w:rPr>
        <w:t>tion, Verkehr, insbesondere auf Nachhaltigkeit, digitale und Energieinfrastruktur, Gesundheitsversorgung und saubere Energie auszurichten (länderspezifische Empfehlung 3 2019) und Investitionen auf den ökologischen und digitalen Wandel, insbesondere digita</w:t>
      </w:r>
      <w:r>
        <w:rPr>
          <w:noProof/>
        </w:rPr>
        <w:t>le Infrastruktur, saubere und effiziente Energieerzeugung und -nutzung sowie nachhaltigen Verkehr zu konzentrieren, die zur schrittweisen Dekarbonisierung der Wirtschaft, auch in Kohleregionen, beitragen sollen (länderspezifische Empfehlung 3 2020).</w:t>
      </w:r>
    </w:p>
    <w:p w14:paraId="79BCFB91" w14:textId="14DBE99C" w:rsidR="00EB245A" w:rsidRDefault="006021EE">
      <w:pPr>
        <w:pStyle w:val="P68B1DB1-Normal06"/>
        <w:pBdr>
          <w:top w:val="nil"/>
          <w:left w:val="nil"/>
          <w:bottom w:val="nil"/>
          <w:right w:val="nil"/>
          <w:between w:val="nil"/>
        </w:pBdr>
        <w:spacing w:before="120" w:after="120" w:line="257" w:lineRule="auto"/>
        <w:jc w:val="both"/>
        <w:rPr>
          <w:rFonts w:eastAsia="Times New Roman" w:cs="Times New Roman"/>
          <w:noProof/>
          <w:color w:val="000000"/>
        </w:rPr>
      </w:pPr>
      <w:r>
        <w:rPr>
          <w:noProof/>
        </w:rPr>
        <w:t>Es ist</w:t>
      </w:r>
      <w:r>
        <w:rPr>
          <w:noProof/>
        </w:rPr>
        <w:t xml:space="preserve"> davon auszugehen, dass keine Maßnahme in dieser Komponente die Umweltziele im Sinne des Artikels 17 der Verordnung (EU) 2020/852 erheblich beeinträchtigt, wobei die Beschreibung der im Aufbau- und Resilienzplan dargelegten Maßnahmen und Abhilfemaßnahmen i</w:t>
      </w:r>
      <w:r>
        <w:rPr>
          <w:noProof/>
        </w:rPr>
        <w:t>m Einklang mit den Technischen Leitlinien für die Vermeidung erheblicher Beeinträchtigungen im Zusammenhang mit der Vermeidung erheblicher Beeinträchtigungen (2021/C 58/01) zu berücksichtigen ist. Alle im Rahmen dieser Komponente finanzierten Investitionsp</w:t>
      </w:r>
      <w:r>
        <w:rPr>
          <w:noProof/>
        </w:rPr>
        <w:t>rojekte, für die eine Entscheidung über die Umweltverträglichkeitsprüfung (UVP) erforderlich ist, müssen der Richtlinie 2011/92/EU in der durch die Richtlinie 2014/52/EU geänderten Fassung entsprechen. Insbesondere müssen alle neuen Projekte, die einer UVP</w:t>
      </w:r>
      <w:r>
        <w:rPr>
          <w:noProof/>
        </w:rPr>
        <w:t xml:space="preserve"> bedürfen, nach dem</w:t>
      </w:r>
      <w:r>
        <w:rPr>
          <w:i/>
          <w:noProof/>
        </w:rPr>
        <w:t xml:space="preserve"> Gesetz über die Bereitstellung von Informationen über die Umwelt und ihren Schutz, die Beteiligung der Öffentlichkeit an Umweltschutz und Umweltverträglichkeitsprüfungen in der durch das Gesetz vom 30. März 2021 zur Änderung dieses Gese</w:t>
      </w:r>
      <w:r>
        <w:rPr>
          <w:i/>
          <w:noProof/>
        </w:rPr>
        <w:t>tzes und bestimmter anderer Gesetze geänderten Fassung genehmigt werden</w:t>
      </w:r>
      <w:r>
        <w:rPr>
          <w:noProof/>
        </w:rPr>
        <w:t xml:space="preserve">. Die Bestimmungen der „Leitlinien für Abhilfemaßnahmen für Projekte, die aus EU-Fonds kofinanziert werden und von dem Vertragsverletzungsverfahren 2016/2046 betroffen sind“, die Polen </w:t>
      </w:r>
      <w:r>
        <w:rPr>
          <w:noProof/>
        </w:rPr>
        <w:t>am 23. Februar 2021 übermittelt wurden (Az. Ares(2021)1423319), sind bei der Durchführung aller Investitionsvorhaben zu berücksichtigen, für die vor dem Inkrafttreten des Gesetzes vom 30. März 2021 eine Umweltentscheidung oder eine Bau- oder Entwicklungsge</w:t>
      </w:r>
      <w:r>
        <w:rPr>
          <w:noProof/>
        </w:rPr>
        <w:t>nehmigung beantragt oder erteilt wurde.</w:t>
      </w:r>
    </w:p>
    <w:p w14:paraId="47EE4D1F" w14:textId="77777777" w:rsidR="00EB245A" w:rsidRDefault="006021EE">
      <w:pPr>
        <w:pStyle w:val="Normal0"/>
        <w:pageBreakBefore/>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themeColor="text1"/>
          <w:sz w:val="24"/>
        </w:rPr>
      </w:pPr>
      <w:r>
        <w:rPr>
          <w:rFonts w:ascii="Times New Roman" w:hAnsi="Times New Roman"/>
          <w:b/>
          <w:noProof/>
          <w:color w:val="000000" w:themeColor="text1"/>
          <w:sz w:val="24"/>
        </w:rPr>
        <w:t xml:space="preserve">E.1. </w:t>
      </w:r>
      <w:r>
        <w:rPr>
          <w:noProof/>
        </w:rPr>
        <w:t xml:space="preserve"> </w:t>
      </w:r>
      <w:r>
        <w:rPr>
          <w:rFonts w:ascii="Times New Roman" w:hAnsi="Times New Roman"/>
          <w:b/>
          <w:noProof/>
          <w:color w:val="000000" w:themeColor="text1"/>
          <w:sz w:val="24"/>
        </w:rPr>
        <w:t>Beschreibung der Reformen und Investitionen für nicht rückzahlbare finanzielle Unterstützung</w:t>
      </w:r>
    </w:p>
    <w:p w14:paraId="5EF90BB6" w14:textId="77777777" w:rsidR="00EB245A" w:rsidRDefault="006021EE">
      <w:pPr>
        <w:pStyle w:val="P68B1DB1-Normal015"/>
        <w:pBdr>
          <w:top w:val="nil"/>
          <w:left w:val="nil"/>
          <w:bottom w:val="nil"/>
          <w:right w:val="nil"/>
          <w:between w:val="nil"/>
        </w:pBdr>
        <w:spacing w:before="120" w:after="120" w:line="240" w:lineRule="auto"/>
        <w:jc w:val="both"/>
        <w:rPr>
          <w:rFonts w:eastAsia="Times New Roman" w:cs="Times New Roman"/>
          <w:noProof/>
          <w:color w:val="000000"/>
        </w:rPr>
      </w:pPr>
      <w:r>
        <w:rPr>
          <w:noProof/>
        </w:rPr>
        <w:t>E1.1 Steigerung der Nutzung umweltfreundlicher Verkehrsmittel</w:t>
      </w:r>
    </w:p>
    <w:p w14:paraId="5C208F1C" w14:textId="5DBB35D9" w:rsidR="00EB245A" w:rsidRDefault="006021EE">
      <w:pPr>
        <w:pStyle w:val="P68B1DB1-Normal06"/>
        <w:pBdr>
          <w:top w:val="nil"/>
          <w:left w:val="nil"/>
          <w:bottom w:val="nil"/>
          <w:right w:val="nil"/>
          <w:between w:val="nil"/>
        </w:pBdr>
        <w:spacing w:before="120" w:after="120" w:line="240" w:lineRule="auto"/>
        <w:jc w:val="both"/>
        <w:rPr>
          <w:noProof/>
        </w:rPr>
      </w:pPr>
      <w:r>
        <w:rPr>
          <w:noProof/>
        </w:rPr>
        <w:t xml:space="preserve">Diese Maßnahme besteht aus einer Reform und einer Investition. </w:t>
      </w:r>
    </w:p>
    <w:p w14:paraId="6E223EAA" w14:textId="5E01AD35"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Ziel der Reform ist es, die verkehrsbedingten Treibhausgas- und Luftschadstoffemissionen zu verringern und den Anteil alternativer Kraftstoffe durch ein breites Spektrum regulatorischer und ni</w:t>
      </w:r>
      <w:r>
        <w:rPr>
          <w:noProof/>
        </w:rPr>
        <w:t>chtregulatorischer Maßnahmen zu erhöhen, die im Rahmen einer umfassenden langfristigen verkehrsbedingten Dekarbonisierungsstrategie ergriffen werden.</w:t>
      </w:r>
    </w:p>
    <w:p w14:paraId="013C6093" w14:textId="39529D1A" w:rsidR="00EB245A" w:rsidRDefault="006021EE">
      <w:pPr>
        <w:pStyle w:val="P68B1DB1-Normal06"/>
        <w:spacing w:before="120" w:after="120" w:line="240" w:lineRule="auto"/>
        <w:jc w:val="both"/>
        <w:rPr>
          <w:rFonts w:eastAsia="Times New Roman" w:cs="Times New Roman"/>
          <w:noProof/>
          <w:color w:val="000000"/>
        </w:rPr>
      </w:pPr>
      <w:r>
        <w:rPr>
          <w:noProof/>
        </w:rPr>
        <w:t>Erstens soll dieses Ziel erreicht werden, indem Betreiber und Veranstalter öffentlicher Verkehrsmittel ver</w:t>
      </w:r>
      <w:r>
        <w:rPr>
          <w:noProof/>
        </w:rPr>
        <w:t xml:space="preserve">pflichtet werden, ab dem 1. Januar 2026 ausschließlich emissionsfreie Busse in Städten mit mehr als 100,000 Einwohnern zu erwerben. </w:t>
      </w:r>
    </w:p>
    <w:p w14:paraId="037F87AE" w14:textId="0B5C7797"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 xml:space="preserve">Zweitens soll die Nutzung umweltfreundlicher Verkehrsmittel durch eine Reihe von Maßnahmen gefördert werden, mit denen die </w:t>
      </w:r>
      <w:r>
        <w:rPr>
          <w:noProof/>
        </w:rPr>
        <w:t>lokalen Behörden bei der Aufstellung und Umsetzung von Plänen für nachhaltige urbane Mobilität unterstützt werden. Es wird eine angemessen ausgestattete Verwaltungsstruktur eingerichtet, um die Entwicklung lokaler Pläne für nachhaltige urbane Mobilität tec</w:t>
      </w:r>
      <w:r>
        <w:rPr>
          <w:noProof/>
        </w:rPr>
        <w:t xml:space="preserve">hnisch und finanziell zu unterstützen. Die Fortschritte werden anhand eines klar definierten Ziels überwacht. </w:t>
      </w:r>
    </w:p>
    <w:p w14:paraId="121B5272" w14:textId="19261A2F" w:rsidR="00EB245A" w:rsidRDefault="006021EE">
      <w:pPr>
        <w:pStyle w:val="P68B1DB1-Normal06"/>
        <w:spacing w:before="120" w:after="120" w:line="240" w:lineRule="auto"/>
        <w:jc w:val="both"/>
        <w:rPr>
          <w:rFonts w:eastAsia="Times New Roman" w:cs="Times New Roman"/>
          <w:noProof/>
          <w:color w:val="000000"/>
        </w:rPr>
      </w:pPr>
      <w:r>
        <w:rPr>
          <w:noProof/>
        </w:rPr>
        <w:t>Das dritte Element dieser Reform besteht in der Einführung einer Zulassungsgebühr und einer Umweltgebühr für emissionsrelevante Fahrzeuge im Eink</w:t>
      </w:r>
      <w:r>
        <w:rPr>
          <w:noProof/>
        </w:rPr>
        <w:t xml:space="preserve">lang mit dem Verursacherprinzip. Die Auswirkungen dieser Reform in Verbindung mit anderen Maßnahmen auf die Einführung sauberer Fahrzeuge werden anhand eines spezifischen Ziels für die Erhöhung des Anteils von Elektrofahrzeugen gemessen. </w:t>
      </w:r>
    </w:p>
    <w:p w14:paraId="27F045BF" w14:textId="733582F3"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rPr>
      </w:pPr>
      <w:r>
        <w:rPr>
          <w:noProof/>
        </w:rPr>
        <w:t>Außerdem wird ein</w:t>
      </w:r>
      <w:r>
        <w:rPr>
          <w:noProof/>
        </w:rPr>
        <w:t xml:space="preserve"> spezifisches Ziel für die Zahl der aus dem öffentlichen Busverkehrsfonds geförderten Buslinien festgelegt, um die Verfügbarkeit öffentlicher Verkehrsmittel zu fördern. </w:t>
      </w:r>
    </w:p>
    <w:p w14:paraId="7414DF17" w14:textId="7193BED3" w:rsidR="00EB245A" w:rsidRDefault="006021EE">
      <w:pPr>
        <w:spacing w:after="0" w:line="240" w:lineRule="auto"/>
        <w:jc w:val="both"/>
        <w:rPr>
          <w:rFonts w:ascii="Times New Roman" w:eastAsia="Times New Roman" w:hAnsi="Times New Roman" w:cs="Times New Roman"/>
          <w:noProof/>
          <w:sz w:val="24"/>
        </w:rPr>
      </w:pPr>
      <w:r>
        <w:rPr>
          <w:rStyle w:val="normaltextrun"/>
          <w:rFonts w:ascii="Times New Roman" w:hAnsi="Times New Roman"/>
          <w:noProof/>
          <w:sz w:val="24"/>
        </w:rPr>
        <w:t>Das Investitionselement dieser Maßnahme besteht in einer Zuschussregelung zur Förderun</w:t>
      </w:r>
      <w:r>
        <w:rPr>
          <w:rStyle w:val="normaltextrun"/>
          <w:rFonts w:ascii="Times New Roman" w:hAnsi="Times New Roman"/>
          <w:noProof/>
          <w:sz w:val="24"/>
        </w:rPr>
        <w:t>g des Erwerbs emissionsfreier Fahrzeuge (Klasse M1). Natürliche Personen und Einzelunternehmer kommen für eine Förderung in Betracht. Mit einer Mittelausstattung von 373 750 000 EUR werden im Rahmen der Regelung mindestens 40,000 Erwerbe gefördert.</w:t>
      </w:r>
    </w:p>
    <w:p w14:paraId="530096B1" w14:textId="36760506" w:rsidR="00EB245A" w:rsidRDefault="006021EE">
      <w:pPr>
        <w:pStyle w:val="P68B1DB1-Normal015"/>
        <w:pBdr>
          <w:top w:val="nil"/>
          <w:left w:val="nil"/>
          <w:bottom w:val="nil"/>
          <w:right w:val="nil"/>
          <w:between w:val="nil"/>
        </w:pBdr>
        <w:spacing w:before="120" w:after="120" w:line="240" w:lineRule="auto"/>
        <w:jc w:val="both"/>
        <w:rPr>
          <w:noProof/>
        </w:rPr>
      </w:pPr>
      <w:r>
        <w:rPr>
          <w:noProof/>
        </w:rPr>
        <w:t xml:space="preserve">E1.1.1 </w:t>
      </w:r>
      <w:r>
        <w:rPr>
          <w:noProof/>
        </w:rPr>
        <w:t>Unterstützung einer CO2-armen Wirtschaft</w:t>
      </w:r>
    </w:p>
    <w:p w14:paraId="2E791449" w14:textId="23243934" w:rsidR="00EB245A" w:rsidRDefault="006021EE">
      <w:pPr>
        <w:pStyle w:val="P68B1DB1-Normal06"/>
        <w:spacing w:before="120" w:after="120" w:line="240" w:lineRule="auto"/>
        <w:jc w:val="both"/>
        <w:rPr>
          <w:rFonts w:eastAsia="Times New Roman" w:cs="Times New Roman"/>
          <w:noProof/>
          <w:color w:val="000000"/>
        </w:rPr>
      </w:pPr>
      <w:r>
        <w:rPr>
          <w:noProof/>
        </w:rPr>
        <w:t>Das allgemeine Ziel der Investition besteht darin, zur Entwicklung einer CO2-armen und CO2-freien Wirtschaft beizutragen, indem die Industrie in den Bereichen saubere</w:t>
      </w:r>
      <w:r>
        <w:rPr>
          <w:noProof/>
        </w:rPr>
        <w:t xml:space="preserve"> Mobilität und Energie unterstützt wird. Das spezifische Ziel der Investition besteht darin, das Potenzial ausgewählter Sektoren zur Entwicklung CO2-freier und CO2-armer Produktlösungen zu erhöhen.</w:t>
      </w:r>
    </w:p>
    <w:p w14:paraId="4D459ABC" w14:textId="23010A33" w:rsidR="00EB245A" w:rsidRDefault="006021EE">
      <w:pPr>
        <w:pStyle w:val="P68B1DB1-Normal06"/>
        <w:spacing w:before="120" w:after="120" w:line="240" w:lineRule="auto"/>
        <w:jc w:val="both"/>
        <w:rPr>
          <w:rFonts w:eastAsia="Times New Roman" w:cs="Times New Roman"/>
          <w:noProof/>
        </w:rPr>
      </w:pPr>
      <w:r>
        <w:rPr>
          <w:noProof/>
        </w:rPr>
        <w:t xml:space="preserve">Diese Ziele werden durch die Einrichtung eines speziellen </w:t>
      </w:r>
      <w:r>
        <w:rPr>
          <w:noProof/>
        </w:rPr>
        <w:t>Finanzinstruments (Fonds) für die oben genannten Industrieprojekte verfolgt. Geförderte Produkte und Technologien können insbesondere Forschungs- und Innovationsprozesse, Technologietransfer und Zusammenarbeit zwischen Unternehmen mit Schwerpunkt auf einer</w:t>
      </w:r>
      <w:r>
        <w:rPr>
          <w:noProof/>
        </w:rPr>
        <w:t xml:space="preserve"> CO2-armen Wirtschaft mit Schwerpunkt auf emissionsarmen und emissionsfreien innovativen Lösungen im Bereich der nachhaltigen Mobilität und emissionsfreier und emissionsarmer Energiequellen umfassen. </w:t>
      </w:r>
    </w:p>
    <w:p w14:paraId="26DC2845" w14:textId="7C59E9DC" w:rsidR="00EB245A" w:rsidRDefault="006021EE">
      <w:pPr>
        <w:pStyle w:val="P68B1DB1-Normal06"/>
        <w:spacing w:before="120" w:after="120" w:line="240" w:lineRule="auto"/>
        <w:jc w:val="both"/>
        <w:rPr>
          <w:rFonts w:eastAsia="Times New Roman" w:cs="Times New Roman"/>
          <w:noProof/>
        </w:rPr>
      </w:pPr>
      <w:r>
        <w:rPr>
          <w:noProof/>
        </w:rPr>
        <w:t>Dieser Fonds wird zusammen mit seiner Anlagestrategie b</w:t>
      </w:r>
      <w:r>
        <w:rPr>
          <w:noProof/>
        </w:rPr>
        <w:t xml:space="preserve">is zum 30. Juni 2022 eingerichtet. </w:t>
      </w:r>
    </w:p>
    <w:p w14:paraId="577E048B" w14:textId="5F89CCF5" w:rsidR="00EB245A" w:rsidRDefault="006021EE">
      <w:pPr>
        <w:pStyle w:val="P68B1DB1-Normal06"/>
        <w:spacing w:before="120" w:after="120" w:line="240" w:lineRule="auto"/>
        <w:jc w:val="both"/>
        <w:rPr>
          <w:rFonts w:eastAsia="Times New Roman" w:cs="Times New Roman"/>
          <w:noProof/>
        </w:rPr>
      </w:pPr>
      <w:r>
        <w:rPr>
          <w:noProof/>
        </w:rPr>
        <w:t>Um sicherzustellen, dass die Maßnahme den Technischen Leitlinien für die „Vermeidung erheblicher Beeinträchtigungen“ (2021/C 58/01) entspricht, schließen die Auswahlkriterien für das Finanzinstrument folgende Liste von T</w:t>
      </w:r>
      <w:r>
        <w:rPr>
          <w:noProof/>
        </w:rPr>
        <w:t>ätigkeiten aus: I) Tätigkeiten im Zusammenhang mit fossilen Brennstoffen, einschließlich nachgelagerter Verwendung; II) Tätigkeiten im Rahmen des EU-Emissionshandelssystems (EHS), bei denen projizierte Treibhausgasemissionen erreicht werden, die nicht unte</w:t>
      </w:r>
      <w:r>
        <w:rPr>
          <w:noProof/>
        </w:rPr>
        <w:t xml:space="preserve">r den einschlägigen Benchmarks liegen; III) Tätigkeiten im Zusammenhang mit Abfalldeponien, Verbrennungsanlagen und Anlagen zur mechanisch-biologischen Behandlung; und iv) Tätigkeiten, bei denen die langfristige Beseitigung von Abfällen der Umwelt schaden </w:t>
      </w:r>
      <w:r>
        <w:rPr>
          <w:noProof/>
        </w:rPr>
        <w:t>kann. In der Leistungsbeschreibung wird darüber hinaus vorgeschrieben, dass nur Tätigkeiten ausgewählt werden dürfen, die mit den einschlägigen Umweltvorschriften der EU und der Mitgliedstaaten im Einklang stehen.</w:t>
      </w:r>
    </w:p>
    <w:p w14:paraId="2CB2F711" w14:textId="1B10E9D5" w:rsidR="00EB245A" w:rsidRDefault="006021EE">
      <w:pPr>
        <w:pStyle w:val="P68B1DB1-Normal018"/>
        <w:spacing w:before="120" w:after="120" w:line="240" w:lineRule="auto"/>
        <w:jc w:val="both"/>
        <w:rPr>
          <w:noProof/>
        </w:rPr>
      </w:pPr>
      <w:r>
        <w:rPr>
          <w:noProof/>
        </w:rPr>
        <w:t>Diese Maßnahme wird durch die Maßnahme E3.</w:t>
      </w:r>
      <w:r>
        <w:rPr>
          <w:noProof/>
        </w:rPr>
        <w:t>1.1 „Fazilität zur Förderung einer CO2-armen Wirtschaft“ ergänzt.</w:t>
      </w:r>
    </w:p>
    <w:p w14:paraId="4A7069F5" w14:textId="7219C6D6" w:rsidR="00EB245A" w:rsidRDefault="006021EE">
      <w:pPr>
        <w:pStyle w:val="P68B1DB1-Normal015"/>
        <w:spacing w:before="120" w:after="120" w:line="240" w:lineRule="auto"/>
        <w:jc w:val="both"/>
        <w:rPr>
          <w:rFonts w:eastAsia="Times New Roman" w:cs="Times New Roman"/>
          <w:noProof/>
        </w:rPr>
      </w:pPr>
      <w:r>
        <w:rPr>
          <w:noProof/>
        </w:rPr>
        <w:t>E1.1.2 emissionsfreier und emissionsarmer öffentlicher Verkehr (Busse)</w:t>
      </w:r>
    </w:p>
    <w:p w14:paraId="63ED9FAD" w14:textId="77777777"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 xml:space="preserve">Ziel der Investition ist es, den öffentlichen Verkehr sauberer zu machen und seine Attraktivität gegenüber </w:t>
      </w:r>
      <w:r>
        <w:rPr>
          <w:noProof/>
        </w:rPr>
        <w:t>Privatfahrzeugen zu erhöhen.</w:t>
      </w:r>
    </w:p>
    <w:p w14:paraId="6163D786" w14:textId="02125A97" w:rsidR="00EB245A" w:rsidRDefault="006021EE">
      <w:pPr>
        <w:pStyle w:val="P68B1DB1-Normal06"/>
        <w:spacing w:before="120" w:after="120" w:line="240" w:lineRule="auto"/>
        <w:jc w:val="both"/>
        <w:rPr>
          <w:rFonts w:eastAsia="Times New Roman" w:cs="Times New Roman"/>
          <w:noProof/>
        </w:rPr>
      </w:pPr>
      <w:r>
        <w:rPr>
          <w:noProof/>
        </w:rPr>
        <w:t>Die Investition besteht im Erwerb von 579 emissionsfreien und emissionsarmen Bussen für den Fernverkehr bis zum 31. August 2026.</w:t>
      </w:r>
    </w:p>
    <w:p w14:paraId="036B6B03" w14:textId="00A8AF06"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Die erworbenen Fahrzeuge müssen den kollektiven Verkehr in Gebieten außerhalb der Stadt ermögliche</w:t>
      </w:r>
      <w:r>
        <w:rPr>
          <w:noProof/>
        </w:rPr>
        <w:t>n, die bisher vom Verkehr ausgeschlossen sind. Für den Antrieb emissionsfreier und emissionsarmer Busse sind verschiedene Arten von Technologien vorgesehen (elektrische Batterien, klassische Hybridgeräte und Plug-in, für Gas: einschließlich LNG, LPG, CNG u</w:t>
      </w:r>
      <w:r>
        <w:rPr>
          <w:noProof/>
        </w:rPr>
        <w:t xml:space="preserve">nd anderer Typen, die alle der EURO-VI-Norm entsprechen). </w:t>
      </w:r>
    </w:p>
    <w:p w14:paraId="15C78039" w14:textId="77777777" w:rsidR="00EB245A" w:rsidRDefault="00EB245A">
      <w:pPr>
        <w:pStyle w:val="Normal0"/>
        <w:pBdr>
          <w:top w:val="nil"/>
          <w:left w:val="nil"/>
          <w:bottom w:val="nil"/>
          <w:right w:val="nil"/>
          <w:between w:val="nil"/>
        </w:pBdr>
        <w:spacing w:before="120" w:after="0" w:line="240" w:lineRule="auto"/>
        <w:jc w:val="both"/>
        <w:rPr>
          <w:rFonts w:ascii="Times New Roman" w:eastAsia="Times New Roman" w:hAnsi="Times New Roman" w:cs="Times New Roman"/>
          <w:noProof/>
          <w:color w:val="000000"/>
          <w:sz w:val="24"/>
        </w:rPr>
      </w:pPr>
    </w:p>
    <w:p w14:paraId="2F5D6B87" w14:textId="77777777" w:rsidR="00EB245A" w:rsidRDefault="006021EE">
      <w:pPr>
        <w:pStyle w:val="P68B1DB1-Normal015"/>
        <w:pBdr>
          <w:top w:val="nil"/>
          <w:left w:val="nil"/>
          <w:bottom w:val="nil"/>
          <w:right w:val="nil"/>
          <w:between w:val="nil"/>
        </w:pBdr>
        <w:spacing w:before="120" w:after="120" w:line="240" w:lineRule="auto"/>
        <w:jc w:val="both"/>
        <w:rPr>
          <w:rFonts w:eastAsia="Times New Roman" w:cs="Times New Roman"/>
          <w:noProof/>
          <w:color w:val="000000"/>
        </w:rPr>
      </w:pPr>
      <w:r>
        <w:rPr>
          <w:noProof/>
        </w:rPr>
        <w:t>E2.1 Stärkung der Wettbewerbsfähigkeit des Eisenbahnsektors</w:t>
      </w:r>
    </w:p>
    <w:p w14:paraId="4D1E3AEC" w14:textId="20B80FF8"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Die Modernisierung der Eisenbahnen erfolgt durch eine Kombination aus Reformen und Investitionen. Ziel der Reform ist es, die Widerstand</w:t>
      </w:r>
      <w:r>
        <w:rPr>
          <w:noProof/>
        </w:rPr>
        <w:t xml:space="preserve">sfähigkeit der Eisenbahnunternehmen zu stärken und die Wettbewerbsfähigkeit und Effizienz des Eisenbahnsektors im polnischen Verkehrssektor zu steigern. </w:t>
      </w:r>
    </w:p>
    <w:p w14:paraId="36082E90" w14:textId="37D380D4" w:rsidR="00EB245A" w:rsidRDefault="006021EE">
      <w:pPr>
        <w:pStyle w:val="P68B1DB1-Normal06"/>
        <w:pBdr>
          <w:top w:val="nil"/>
          <w:left w:val="nil"/>
          <w:bottom w:val="nil"/>
          <w:right w:val="nil"/>
          <w:between w:val="nil"/>
        </w:pBdr>
        <w:spacing w:before="120" w:after="120" w:line="240" w:lineRule="auto"/>
        <w:jc w:val="both"/>
        <w:rPr>
          <w:noProof/>
          <w:color w:val="000000"/>
        </w:rPr>
      </w:pPr>
      <w:r>
        <w:rPr>
          <w:noProof/>
        </w:rPr>
        <w:t>Dies soll durch die Festlegung von Prioritäten für den intermodalen Verkehr und die Verbesserung der Kapazität zur Planung und Durchführung von Schienenverkehrsprojekten erreicht werden. Dies soll auch dadurch erreicht werden, dass die Infrastrukturbetreib</w:t>
      </w:r>
      <w:r>
        <w:rPr>
          <w:noProof/>
        </w:rPr>
        <w:t>er in die Lage versetzt werden, die Entgelte für den Zugang zur Infrastruktur zu senken und die Infrastrukturbetreiber für die Ermäßigung dieser Entgelte zu entschädigen.</w:t>
      </w:r>
    </w:p>
    <w:p w14:paraId="6393CA3E" w14:textId="50E9316E" w:rsidR="00EB245A" w:rsidRDefault="006021EE">
      <w:pPr>
        <w:pStyle w:val="P68B1DB1-Normal06"/>
        <w:spacing w:before="120" w:after="120" w:line="240" w:lineRule="auto"/>
        <w:jc w:val="both"/>
        <w:rPr>
          <w:rFonts w:eastAsia="Times New Roman" w:cs="Times New Roman"/>
          <w:noProof/>
        </w:rPr>
      </w:pPr>
      <w:r>
        <w:rPr>
          <w:noProof/>
        </w:rPr>
        <w:t>Die Reform wird bis zum 31. Dezember 2022 abgeschlossen.</w:t>
      </w:r>
    </w:p>
    <w:p w14:paraId="116CAAAD" w14:textId="047B2958" w:rsidR="00EB245A" w:rsidRDefault="006021EE">
      <w:pPr>
        <w:pStyle w:val="P68B1DB1-Normal06"/>
        <w:spacing w:before="120" w:after="120" w:line="240" w:lineRule="auto"/>
        <w:jc w:val="both"/>
        <w:rPr>
          <w:rFonts w:eastAsia="Times New Roman" w:cs="Times New Roman"/>
          <w:noProof/>
          <w:color w:val="000000"/>
        </w:rPr>
      </w:pPr>
      <w:r>
        <w:rPr>
          <w:noProof/>
        </w:rPr>
        <w:t>Die Lebensfähigkeit der Schi</w:t>
      </w:r>
      <w:r>
        <w:rPr>
          <w:noProof/>
        </w:rPr>
        <w:t>ene im Vergleich zu anderen Verkehrsträgern wird auch dadurch verbessert, dass das Mautsystem auf weitere 1 400 km Autobahnen und Schnellstraßen ausgeweitet wird.</w:t>
      </w:r>
    </w:p>
    <w:p w14:paraId="4874FEEC" w14:textId="281CBAE5" w:rsidR="00EB245A" w:rsidRDefault="00EB245A">
      <w:pPr>
        <w:pStyle w:val="Normal0"/>
        <w:pBdr>
          <w:top w:val="nil"/>
          <w:left w:val="nil"/>
          <w:bottom w:val="nil"/>
          <w:right w:val="nil"/>
          <w:between w:val="nil"/>
        </w:pBdr>
        <w:spacing w:before="120" w:after="0" w:line="240" w:lineRule="auto"/>
        <w:jc w:val="both"/>
        <w:rPr>
          <w:rFonts w:ascii="Times New Roman" w:eastAsia="Times New Roman" w:hAnsi="Times New Roman" w:cs="Times New Roman"/>
          <w:noProof/>
          <w:color w:val="000000" w:themeColor="text1"/>
          <w:sz w:val="24"/>
        </w:rPr>
      </w:pPr>
    </w:p>
    <w:p w14:paraId="44158554" w14:textId="4AC5398A" w:rsidR="00EB245A" w:rsidRDefault="006021EE">
      <w:pPr>
        <w:pStyle w:val="P68B1DB1-Normal015"/>
        <w:pBdr>
          <w:top w:val="nil"/>
          <w:left w:val="nil"/>
          <w:bottom w:val="nil"/>
          <w:right w:val="nil"/>
          <w:between w:val="nil"/>
        </w:pBdr>
        <w:spacing w:before="120" w:after="120" w:line="240" w:lineRule="auto"/>
        <w:jc w:val="both"/>
        <w:rPr>
          <w:rFonts w:eastAsia="Times New Roman" w:cs="Times New Roman"/>
          <w:noProof/>
          <w:color w:val="000000"/>
        </w:rPr>
      </w:pPr>
      <w:r>
        <w:rPr>
          <w:noProof/>
        </w:rPr>
        <w:t>E2.1.1 Eisenbahnstrecken</w:t>
      </w:r>
    </w:p>
    <w:p w14:paraId="0B17624C" w14:textId="54CDCAAC"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rPr>
      </w:pPr>
      <w:r>
        <w:rPr>
          <w:noProof/>
        </w:rPr>
        <w:t>Ziel dieser Investition ist es, die Kapazität und Geschwindigkeit s</w:t>
      </w:r>
      <w:r>
        <w:rPr>
          <w:noProof/>
        </w:rPr>
        <w:t>owohl im Güter- als auch im Personenverkehr zu erhöhen.</w:t>
      </w:r>
    </w:p>
    <w:p w14:paraId="0AC9D3D3" w14:textId="09D91B00"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 xml:space="preserve">Die Investition besteht in der Fertigstellung der Arbeiten auf 500 km Eisenbahnstrecken, von denen 250 km Strecken wiederbelebt werden sollen. </w:t>
      </w:r>
    </w:p>
    <w:p w14:paraId="5101B52C" w14:textId="77777777" w:rsidR="00EB245A" w:rsidRDefault="00EB245A">
      <w:pPr>
        <w:pStyle w:val="Normal0"/>
        <w:pBdr>
          <w:top w:val="nil"/>
          <w:left w:val="nil"/>
          <w:bottom w:val="nil"/>
          <w:right w:val="nil"/>
          <w:between w:val="nil"/>
        </w:pBdr>
        <w:spacing w:before="120" w:after="0" w:line="240" w:lineRule="auto"/>
        <w:jc w:val="both"/>
        <w:rPr>
          <w:rFonts w:ascii="Times New Roman" w:eastAsia="Times New Roman" w:hAnsi="Times New Roman" w:cs="Times New Roman"/>
          <w:noProof/>
          <w:color w:val="000000"/>
          <w:sz w:val="24"/>
        </w:rPr>
      </w:pPr>
    </w:p>
    <w:p w14:paraId="494BBFDA" w14:textId="77777777" w:rsidR="00EB245A" w:rsidRDefault="006021EE">
      <w:pPr>
        <w:pStyle w:val="P68B1DB1-Normal015"/>
        <w:pBdr>
          <w:top w:val="nil"/>
          <w:left w:val="nil"/>
          <w:bottom w:val="nil"/>
          <w:right w:val="nil"/>
          <w:between w:val="nil"/>
        </w:pBdr>
        <w:spacing w:before="120" w:after="120" w:line="240" w:lineRule="auto"/>
        <w:jc w:val="both"/>
        <w:rPr>
          <w:rFonts w:eastAsia="Times New Roman" w:cs="Times New Roman"/>
          <w:noProof/>
          <w:color w:val="000000"/>
        </w:rPr>
      </w:pPr>
      <w:r>
        <w:rPr>
          <w:noProof/>
        </w:rPr>
        <w:t>E2.1.2 Schienenfahrzeuge für den Personenverkehr</w:t>
      </w:r>
    </w:p>
    <w:p w14:paraId="527914F9" w14:textId="044AF52E"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 xml:space="preserve">Die Investition zielt darauf ab, die Attraktivität und Rentabilität des Schienenverkehrs zu erhöhen. </w:t>
      </w:r>
    </w:p>
    <w:p w14:paraId="2BD60BAC" w14:textId="322F89C7" w:rsidR="00EB245A" w:rsidRDefault="006021EE">
      <w:pPr>
        <w:pStyle w:val="P68B1DB1-Normal06"/>
        <w:spacing w:before="120" w:after="120" w:line="240" w:lineRule="auto"/>
        <w:jc w:val="both"/>
        <w:rPr>
          <w:rFonts w:eastAsia="Times New Roman" w:cs="Times New Roman"/>
          <w:noProof/>
          <w:color w:val="000000"/>
        </w:rPr>
      </w:pPr>
      <w:r>
        <w:rPr>
          <w:noProof/>
        </w:rPr>
        <w:t>Dies wird durch den Erwerb von Fahrzeugeinheiten für den Fern- und Regionalverkehr erreicht. Die Fahrzeuge müssen emissionsfrei/elektrisch sein und mit de</w:t>
      </w:r>
      <w:r>
        <w:rPr>
          <w:noProof/>
        </w:rPr>
        <w:t xml:space="preserve">m Europäischen Eisenbahnverkehrsleitsystem ausgerüstet sein: 77 Einheiten für Regionalstrecken und 304 Einheiten (56 neue Lokomotiven und 248 modernisierte Wagen) für Fernstrecken (im Rahmen von öffentlichen Dienstleistungsaufträgen). </w:t>
      </w:r>
    </w:p>
    <w:p w14:paraId="3C8EC45C" w14:textId="77777777" w:rsidR="00EB245A" w:rsidRDefault="00EB245A">
      <w:pPr>
        <w:pStyle w:val="Normal0"/>
        <w:pBdr>
          <w:top w:val="nil"/>
          <w:left w:val="nil"/>
          <w:bottom w:val="nil"/>
          <w:right w:val="nil"/>
          <w:between w:val="nil"/>
        </w:pBdr>
        <w:spacing w:before="120" w:after="0" w:line="240" w:lineRule="auto"/>
        <w:jc w:val="both"/>
        <w:rPr>
          <w:rFonts w:ascii="Times New Roman" w:eastAsia="Times New Roman" w:hAnsi="Times New Roman" w:cs="Times New Roman"/>
          <w:noProof/>
          <w:color w:val="000000"/>
          <w:sz w:val="24"/>
        </w:rPr>
      </w:pPr>
    </w:p>
    <w:p w14:paraId="12BBF11E" w14:textId="77777777" w:rsidR="00EB245A" w:rsidRDefault="006021EE">
      <w:pPr>
        <w:pStyle w:val="P68B1DB1-Normal015"/>
        <w:pBdr>
          <w:top w:val="nil"/>
          <w:left w:val="nil"/>
          <w:bottom w:val="nil"/>
          <w:right w:val="nil"/>
          <w:between w:val="nil"/>
        </w:pBdr>
        <w:spacing w:before="120" w:after="120" w:line="240" w:lineRule="auto"/>
        <w:jc w:val="both"/>
        <w:rPr>
          <w:rFonts w:eastAsia="Times New Roman" w:cs="Times New Roman"/>
          <w:noProof/>
          <w:color w:val="000000"/>
        </w:rPr>
      </w:pPr>
      <w:r>
        <w:rPr>
          <w:noProof/>
        </w:rPr>
        <w:t xml:space="preserve">E2.1.3 Intermodale </w:t>
      </w:r>
      <w:r>
        <w:rPr>
          <w:noProof/>
        </w:rPr>
        <w:t>Projekte</w:t>
      </w:r>
    </w:p>
    <w:p w14:paraId="095D56F7" w14:textId="64C5728E"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Die Investition zielt darauf ab, den intermodalen Verkehr durch angemessene Investitionen zu unterstützen.</w:t>
      </w:r>
    </w:p>
    <w:p w14:paraId="76380612" w14:textId="25AB34A7"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 xml:space="preserve">Die Investition besteht in der Erhöhung der Kapazität intermodaler Umschlagterminals mit Schwerpunkt auf Schienen-Straßen-Terminals und der </w:t>
      </w:r>
      <w:r>
        <w:rPr>
          <w:noProof/>
        </w:rPr>
        <w:t>Lieferung von Rollmaterial. Die entsprechenden Finanzierungsvereinbarungen werden bis zum 31. Dezember 2024 unterzeichnet. Die Auswirkungen der Investition werden an einem Ziel gemessen, das als relative Erhöhung der Umschlagkapazität von Terminals, die im</w:t>
      </w:r>
      <w:r>
        <w:rPr>
          <w:noProof/>
        </w:rPr>
        <w:t xml:space="preserve"> Rahmen des Aufbau- und Resilienzplans unterstützt werden, formuliert ist.</w:t>
      </w:r>
    </w:p>
    <w:p w14:paraId="13A756E7" w14:textId="77777777" w:rsidR="00EB245A" w:rsidRDefault="006021EE">
      <w:pPr>
        <w:pStyle w:val="P68B1DB1-Normal015"/>
        <w:pBdr>
          <w:top w:val="nil"/>
          <w:left w:val="nil"/>
          <w:bottom w:val="nil"/>
          <w:right w:val="nil"/>
          <w:between w:val="nil"/>
        </w:pBdr>
        <w:spacing w:before="120" w:after="120" w:line="240" w:lineRule="auto"/>
        <w:jc w:val="both"/>
        <w:rPr>
          <w:rFonts w:eastAsia="Times New Roman" w:cs="Times New Roman"/>
          <w:noProof/>
          <w:color w:val="000000"/>
        </w:rPr>
      </w:pPr>
      <w:r>
        <w:rPr>
          <w:noProof/>
        </w:rPr>
        <w:t>E2.2 Verbesserung der Verkehrssicherheit</w:t>
      </w:r>
    </w:p>
    <w:p w14:paraId="25D296D1" w14:textId="0DF08094"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Die Reform zielt darauf ab, die Verkehrssicherheit zu erhöhen, wobei der Schwerpunkt auf der Sicherheit schutzbedürftiger Verkehrsnutzer lie</w:t>
      </w:r>
      <w:r>
        <w:rPr>
          <w:noProof/>
        </w:rPr>
        <w:t xml:space="preserve">gt. </w:t>
      </w:r>
    </w:p>
    <w:p w14:paraId="59CE4329" w14:textId="248218F0"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Die Reform besteht aus einer Reihe von Gesetzesänderungen, mit denen Fußgänger an Kreuzungen Vorrang erhalten, eine einheitliche Geschwindigkeit in bebauten Gebieten und ein Mindestabstand zwischen Fahrzeugen eingeführt werden. Diese Gesetzesänderunge</w:t>
      </w:r>
      <w:r>
        <w:rPr>
          <w:noProof/>
        </w:rPr>
        <w:t>n sollten bis zum 31. Dezember 2021 in Kraft treten. Die Fortschritte bei der Reform werden im Einklang mit den EU-Zielen für die Straßenverkehrssicherheit im Hinblick auf einen relativen Rückgang der Zahl der Verkehrstoten und Schwerverletzten verfolgt.</w:t>
      </w:r>
    </w:p>
    <w:p w14:paraId="02725E73"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themeColor="text1"/>
          <w:sz w:val="24"/>
          <w:u w:val="single"/>
        </w:rPr>
      </w:pPr>
    </w:p>
    <w:p w14:paraId="6D4FEDDE" w14:textId="34C4F186" w:rsidR="00EB245A" w:rsidRDefault="006021EE">
      <w:pPr>
        <w:pStyle w:val="P68B1DB1-Normal015"/>
        <w:pageBreakBefore/>
        <w:pBdr>
          <w:top w:val="nil"/>
          <w:left w:val="nil"/>
          <w:bottom w:val="nil"/>
          <w:right w:val="nil"/>
          <w:between w:val="nil"/>
        </w:pBdr>
        <w:spacing w:before="120" w:after="120" w:line="240" w:lineRule="auto"/>
        <w:jc w:val="both"/>
        <w:rPr>
          <w:rFonts w:eastAsia="Times New Roman" w:cs="Times New Roman"/>
          <w:noProof/>
          <w:color w:val="000000"/>
        </w:rPr>
      </w:pPr>
      <w:r>
        <w:rPr>
          <w:noProof/>
        </w:rPr>
        <w:t>E2.2.1 Investitionen in die Verkehrssicherheit</w:t>
      </w:r>
    </w:p>
    <w:p w14:paraId="32F57F18" w14:textId="2E038056"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 xml:space="preserve">Die Investition zielt darauf ab, die Straßenverkehrssicherheit zu erhöhen. </w:t>
      </w:r>
    </w:p>
    <w:p w14:paraId="38284F94" w14:textId="352A8961"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rPr>
      </w:pPr>
      <w:r>
        <w:rPr>
          <w:noProof/>
        </w:rPr>
        <w:t>Diese Investition besteht in der Modernisierung von 305 gefährlichen Straßenschwarz-Hotspots, 90 km Länge von Ringstraßen zur Beseiti</w:t>
      </w:r>
      <w:r>
        <w:rPr>
          <w:noProof/>
        </w:rPr>
        <w:t xml:space="preserve">gung von Sicherheitsschwarz-/Hotspots und 128 automatischen Straßenüberwachungsgeräten. </w:t>
      </w:r>
    </w:p>
    <w:p w14:paraId="1BFB6461" w14:textId="6307AA97"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Die Investitionen müssen bis zum 30. Juni 2026 abgeschlossen sein.</w:t>
      </w:r>
    </w:p>
    <w:p w14:paraId="66FDCF4E" w14:textId="77777777" w:rsidR="00EB245A" w:rsidRDefault="00EB245A">
      <w:pPr>
        <w:pStyle w:val="Normal0"/>
        <w:pBdr>
          <w:top w:val="nil"/>
          <w:left w:val="nil"/>
          <w:bottom w:val="nil"/>
          <w:right w:val="nil"/>
          <w:between w:val="nil"/>
        </w:pBdr>
        <w:spacing w:before="120" w:after="0" w:line="240" w:lineRule="auto"/>
        <w:jc w:val="both"/>
        <w:rPr>
          <w:rFonts w:ascii="Times New Roman" w:eastAsia="Times New Roman" w:hAnsi="Times New Roman" w:cs="Times New Roman"/>
          <w:noProof/>
          <w:color w:val="000000"/>
          <w:sz w:val="24"/>
        </w:rPr>
      </w:pPr>
    </w:p>
    <w:p w14:paraId="0E7E0800" w14:textId="77777777" w:rsidR="00EB245A" w:rsidRDefault="006021EE">
      <w:pPr>
        <w:pStyle w:val="P68B1DB1-Normal015"/>
        <w:pBdr>
          <w:top w:val="nil"/>
          <w:left w:val="nil"/>
          <w:bottom w:val="nil"/>
          <w:right w:val="nil"/>
          <w:between w:val="nil"/>
        </w:pBdr>
        <w:spacing w:before="120" w:after="120" w:line="240" w:lineRule="auto"/>
        <w:jc w:val="both"/>
        <w:rPr>
          <w:rFonts w:eastAsia="Times New Roman" w:cs="Times New Roman"/>
          <w:noProof/>
          <w:color w:val="000000"/>
        </w:rPr>
      </w:pPr>
      <w:r>
        <w:rPr>
          <w:noProof/>
        </w:rPr>
        <w:t>E2.2.2 Digitalisierung des Verkehrs</w:t>
      </w:r>
    </w:p>
    <w:p w14:paraId="3BEE236D" w14:textId="44C92085" w:rsidR="00EB245A" w:rsidRDefault="006021EE">
      <w:pPr>
        <w:pStyle w:val="P68B1DB1-Normal06"/>
        <w:pBdr>
          <w:top w:val="nil"/>
          <w:left w:val="nil"/>
          <w:bottom w:val="nil"/>
          <w:right w:val="nil"/>
          <w:between w:val="nil"/>
        </w:pBdr>
        <w:spacing w:before="120" w:after="120" w:line="240" w:lineRule="auto"/>
        <w:jc w:val="both"/>
        <w:rPr>
          <w:rFonts w:eastAsia="Times New Roman" w:cs="Times New Roman"/>
          <w:noProof/>
          <w:color w:val="000000"/>
        </w:rPr>
      </w:pPr>
      <w:r>
        <w:rPr>
          <w:noProof/>
        </w:rPr>
        <w:t xml:space="preserve">Ziel der Maßnahme ist es, den Schienenverkehr und den öffentlichen Verkehr durch die Einführung digitaler Lösungen attraktiver und effizienter zu machen. </w:t>
      </w:r>
    </w:p>
    <w:p w14:paraId="54065544" w14:textId="4FFCCB3E" w:rsidR="00EB245A" w:rsidRDefault="006021EE">
      <w:pPr>
        <w:pStyle w:val="P68B1DB1-Normal06"/>
        <w:pBdr>
          <w:top w:val="nil"/>
          <w:left w:val="nil"/>
          <w:bottom w:val="nil"/>
          <w:right w:val="nil"/>
          <w:between w:val="nil"/>
        </w:pBdr>
        <w:spacing w:after="0" w:line="240" w:lineRule="auto"/>
        <w:jc w:val="both"/>
        <w:rPr>
          <w:rFonts w:eastAsia="Times New Roman" w:cs="Times New Roman"/>
          <w:noProof/>
          <w:color w:val="000000"/>
        </w:rPr>
      </w:pPr>
      <w:r>
        <w:rPr>
          <w:noProof/>
        </w:rPr>
        <w:t>Die Maßnahme umfasst Investitionen in:</w:t>
      </w:r>
    </w:p>
    <w:p w14:paraId="36FFD098" w14:textId="7A16530D" w:rsidR="00EB245A" w:rsidRDefault="006021EE">
      <w:pPr>
        <w:pStyle w:val="P68B1DB1-Normal06"/>
        <w:numPr>
          <w:ilvl w:val="0"/>
          <w:numId w:val="17"/>
        </w:numPr>
        <w:spacing w:after="0" w:line="240" w:lineRule="auto"/>
        <w:jc w:val="both"/>
        <w:rPr>
          <w:rFonts w:eastAsia="Times New Roman" w:cs="Times New Roman"/>
          <w:noProof/>
          <w:color w:val="000000"/>
        </w:rPr>
      </w:pPr>
      <w:r>
        <w:rPr>
          <w:noProof/>
        </w:rPr>
        <w:t xml:space="preserve">Erwerb und Installation von 144 fahrzeugseitigen </w:t>
      </w:r>
      <w:r>
        <w:rPr>
          <w:noProof/>
        </w:rPr>
        <w:t>ERTMS-Ausrüstungen;</w:t>
      </w:r>
    </w:p>
    <w:p w14:paraId="0FEDA9E8" w14:textId="68D7679B" w:rsidR="00EB245A" w:rsidRDefault="006021EE">
      <w:pPr>
        <w:pStyle w:val="P68B1DB1-Normal06"/>
        <w:numPr>
          <w:ilvl w:val="0"/>
          <w:numId w:val="17"/>
        </w:numPr>
        <w:spacing w:after="0" w:line="240" w:lineRule="auto"/>
        <w:jc w:val="both"/>
        <w:rPr>
          <w:rFonts w:eastAsia="Times New Roman" w:cs="Times New Roman"/>
          <w:noProof/>
        </w:rPr>
      </w:pPr>
      <w:r>
        <w:rPr>
          <w:noProof/>
        </w:rPr>
        <w:t>installierte Einrichtungen für die automatische Steuerung, die es ermöglichen, bestimmte Eisenbahnbereiche von örtlichen Verkehrsleitstellen an 43 Bahnhöfen zu verwalten;</w:t>
      </w:r>
    </w:p>
    <w:p w14:paraId="0391A202" w14:textId="2AAEA357" w:rsidR="00EB245A" w:rsidRDefault="006021EE">
      <w:pPr>
        <w:pStyle w:val="P68B1DB1-Normal06"/>
        <w:numPr>
          <w:ilvl w:val="0"/>
          <w:numId w:val="17"/>
        </w:numPr>
        <w:spacing w:after="0" w:line="240" w:lineRule="auto"/>
        <w:jc w:val="both"/>
        <w:rPr>
          <w:rFonts w:eastAsia="Times New Roman" w:cs="Times New Roman"/>
          <w:noProof/>
          <w:color w:val="000000"/>
        </w:rPr>
      </w:pPr>
      <w:r>
        <w:rPr>
          <w:noProof/>
        </w:rPr>
        <w:t>Modernisierung der Bahnübergänge an 102 Standorten (einschließlic</w:t>
      </w:r>
      <w:r>
        <w:rPr>
          <w:noProof/>
        </w:rPr>
        <w:t>h Tore, Schall- und Lichtsicherheitssysteme);</w:t>
      </w:r>
    </w:p>
    <w:p w14:paraId="32A41DEA" w14:textId="2D469751" w:rsidR="00EB245A" w:rsidRDefault="006021EE">
      <w:pPr>
        <w:pStyle w:val="P68B1DB1-Normal06"/>
        <w:numPr>
          <w:ilvl w:val="0"/>
          <w:numId w:val="17"/>
        </w:numPr>
        <w:spacing w:after="0" w:line="240" w:lineRule="auto"/>
        <w:jc w:val="both"/>
        <w:rPr>
          <w:noProof/>
        </w:rPr>
      </w:pPr>
      <w:r>
        <w:rPr>
          <w:noProof/>
        </w:rPr>
        <w:t>Bau von 42 SDIPs (Dynamic Passenger Information Systems).</w:t>
      </w:r>
    </w:p>
    <w:p w14:paraId="0CCC0888" w14:textId="77777777" w:rsidR="00EB245A" w:rsidRDefault="00EB245A">
      <w:pPr>
        <w:pStyle w:val="Normal0"/>
        <w:pBdr>
          <w:top w:val="nil"/>
          <w:left w:val="nil"/>
          <w:bottom w:val="nil"/>
          <w:right w:val="nil"/>
          <w:between w:val="nil"/>
        </w:pBdr>
        <w:spacing w:after="0" w:line="240" w:lineRule="auto"/>
        <w:jc w:val="both"/>
        <w:rPr>
          <w:rFonts w:ascii="Times New Roman" w:eastAsia="Times New Roman" w:hAnsi="Times New Roman" w:cs="Times New Roman"/>
          <w:noProof/>
          <w:color w:val="000000"/>
          <w:sz w:val="24"/>
        </w:rPr>
      </w:pPr>
    </w:p>
    <w:p w14:paraId="7C11670D" w14:textId="72E74C9E" w:rsidR="00EB245A" w:rsidRDefault="006021EE">
      <w:pPr>
        <w:pStyle w:val="P68B1DB1-Normal06"/>
        <w:spacing w:after="0" w:line="240" w:lineRule="auto"/>
        <w:jc w:val="both"/>
        <w:rPr>
          <w:rFonts w:eastAsia="Times New Roman" w:cs="Times New Roman"/>
          <w:noProof/>
          <w:color w:val="000000"/>
        </w:rPr>
      </w:pPr>
      <w:r>
        <w:rPr>
          <w:noProof/>
        </w:rPr>
        <w:t>Die Maßnahme muss bis zum 31. August 2026 abgeschlossen sein.</w:t>
      </w:r>
    </w:p>
    <w:p w14:paraId="10AD3B2E" w14:textId="77777777" w:rsidR="00EB245A" w:rsidRDefault="00EB245A">
      <w:pPr>
        <w:pStyle w:val="Normal0"/>
        <w:pBdr>
          <w:top w:val="nil"/>
          <w:left w:val="nil"/>
          <w:bottom w:val="nil"/>
          <w:right w:val="nil"/>
          <w:between w:val="nil"/>
        </w:pBdr>
        <w:spacing w:after="0" w:line="240" w:lineRule="auto"/>
        <w:jc w:val="both"/>
        <w:rPr>
          <w:rFonts w:ascii="Times New Roman" w:eastAsia="Times New Roman" w:hAnsi="Times New Roman" w:cs="Times New Roman"/>
          <w:noProof/>
          <w:color w:val="000000"/>
          <w:sz w:val="24"/>
        </w:rPr>
        <w:sectPr w:rsidR="00EB245A" w:rsidSect="005E6922">
          <w:headerReference w:type="even" r:id="rId127"/>
          <w:headerReference w:type="default" r:id="rId128"/>
          <w:footerReference w:type="even" r:id="rId129"/>
          <w:footerReference w:type="default" r:id="rId130"/>
          <w:headerReference w:type="first" r:id="rId131"/>
          <w:footerReference w:type="first" r:id="rId132"/>
          <w:pgSz w:w="11907" w:h="16839"/>
          <w:pgMar w:top="1134" w:right="1134" w:bottom="1134" w:left="1134" w:header="567" w:footer="567" w:gutter="0"/>
          <w:cols w:space="720"/>
          <w:docGrid w:linePitch="299"/>
        </w:sectPr>
      </w:pPr>
    </w:p>
    <w:p w14:paraId="4A990D24" w14:textId="2E8A5347" w:rsidR="00EB245A" w:rsidRDefault="006021EE">
      <w:pPr>
        <w:pStyle w:val="Normal0"/>
        <w:pBdr>
          <w:top w:val="nil"/>
          <w:left w:val="nil"/>
          <w:bottom w:val="nil"/>
          <w:right w:val="nil"/>
          <w:between w:val="nil"/>
        </w:pBdr>
        <w:spacing w:after="0" w:line="240" w:lineRule="auto"/>
        <w:jc w:val="both"/>
        <w:rPr>
          <w:rFonts w:ascii="Times New Roman" w:eastAsia="Times New Roman" w:hAnsi="Times New Roman" w:cs="Times New Roman"/>
          <w:noProof/>
          <w:color w:val="000000"/>
          <w:sz w:val="24"/>
        </w:rPr>
      </w:pPr>
      <w:r>
        <w:rPr>
          <w:rFonts w:ascii="Times New Roman" w:hAnsi="Times New Roman"/>
          <w:b/>
          <w:noProof/>
          <w:color w:val="000000"/>
          <w:sz w:val="24"/>
        </w:rPr>
        <w:t xml:space="preserve">E.2 </w:t>
      </w:r>
      <w:r>
        <w:rPr>
          <w:noProof/>
        </w:rPr>
        <w:t xml:space="preserve"> </w:t>
      </w:r>
      <w:r>
        <w:rPr>
          <w:rFonts w:ascii="Times New Roman" w:hAnsi="Times New Roman"/>
          <w:b/>
          <w:noProof/>
          <w:color w:val="000000"/>
          <w:sz w:val="24"/>
        </w:rPr>
        <w:t xml:space="preserve">Etappenziele, Zielwerte, </w:t>
      </w:r>
      <w:r>
        <w:rPr>
          <w:rFonts w:ascii="Times New Roman" w:hAnsi="Times New Roman"/>
          <w:b/>
          <w:noProof/>
          <w:color w:val="000000"/>
          <w:sz w:val="24"/>
        </w:rPr>
        <w:t>Indikatoren und Zeitplan für die Überwachung und Durchführung der nicht rückzahlbaren finanziellen Unterstützung</w:t>
      </w:r>
    </w:p>
    <w:p w14:paraId="128A8B0E" w14:textId="1326CAD4" w:rsidR="00EB245A" w:rsidRDefault="00EB245A">
      <w:pPr>
        <w:pStyle w:val="Normal0"/>
        <w:pBdr>
          <w:top w:val="nil"/>
          <w:left w:val="nil"/>
          <w:bottom w:val="nil"/>
          <w:right w:val="nil"/>
          <w:between w:val="nil"/>
        </w:pBdr>
        <w:spacing w:after="0" w:line="240" w:lineRule="auto"/>
        <w:jc w:val="both"/>
        <w:rPr>
          <w:rFonts w:ascii="Times New Roman" w:eastAsia="Times New Roman" w:hAnsi="Times New Roman" w:cs="Times New Roman"/>
          <w:noProof/>
          <w:color w:val="000000"/>
          <w:sz w:val="24"/>
        </w:rPr>
      </w:pPr>
    </w:p>
    <w:tbl>
      <w:tblPr>
        <w:tblW w:w="1545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655"/>
        <w:gridCol w:w="1280"/>
        <w:gridCol w:w="1184"/>
        <w:gridCol w:w="1872"/>
        <w:gridCol w:w="1955"/>
        <w:gridCol w:w="1134"/>
        <w:gridCol w:w="1418"/>
        <w:gridCol w:w="992"/>
        <w:gridCol w:w="992"/>
        <w:gridCol w:w="851"/>
        <w:gridCol w:w="3118"/>
      </w:tblGrid>
      <w:tr w:rsidR="00EB245A" w14:paraId="3AECB42C" w14:textId="77777777" w:rsidTr="00FA2520">
        <w:trPr>
          <w:trHeight w:val="705"/>
          <w:tblHeader/>
        </w:trPr>
        <w:tc>
          <w:tcPr>
            <w:tcW w:w="655" w:type="dxa"/>
            <w:vMerge w:val="restart"/>
            <w:shd w:val="clear" w:color="auto" w:fill="BDD7EE"/>
            <w:vAlign w:val="center"/>
          </w:tcPr>
          <w:p w14:paraId="082BC4BA" w14:textId="75C6C4A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Lfd. Nr. Nr.</w:t>
            </w:r>
          </w:p>
        </w:tc>
        <w:tc>
          <w:tcPr>
            <w:tcW w:w="1280" w:type="dxa"/>
            <w:vMerge w:val="restart"/>
            <w:shd w:val="clear" w:color="auto" w:fill="BDD7EE"/>
            <w:vAlign w:val="center"/>
          </w:tcPr>
          <w:p w14:paraId="170A6B5D"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Verbundene Maßnahme (Reform oder Investition)</w:t>
            </w:r>
          </w:p>
        </w:tc>
        <w:tc>
          <w:tcPr>
            <w:tcW w:w="1184" w:type="dxa"/>
            <w:vMerge w:val="restart"/>
            <w:shd w:val="clear" w:color="auto" w:fill="BDD7EE"/>
            <w:vAlign w:val="center"/>
          </w:tcPr>
          <w:p w14:paraId="31F2519E"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Etappenziel/Zielwert</w:t>
            </w:r>
          </w:p>
        </w:tc>
        <w:tc>
          <w:tcPr>
            <w:tcW w:w="1872" w:type="dxa"/>
            <w:vMerge w:val="restart"/>
            <w:shd w:val="clear" w:color="auto" w:fill="BDD7EE"/>
            <w:vAlign w:val="center"/>
          </w:tcPr>
          <w:p w14:paraId="5EDE3703"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Namen</w:t>
            </w:r>
          </w:p>
        </w:tc>
        <w:tc>
          <w:tcPr>
            <w:tcW w:w="1955" w:type="dxa"/>
            <w:vMerge w:val="restart"/>
            <w:shd w:val="clear" w:color="auto" w:fill="BDD7EE"/>
            <w:vAlign w:val="center"/>
          </w:tcPr>
          <w:p w14:paraId="5C11EE00" w14:textId="77777777" w:rsidR="00EB245A" w:rsidRDefault="006021EE">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rPr>
            </w:pPr>
            <w:r>
              <w:rPr>
                <w:rFonts w:ascii="Times New Roman" w:hAnsi="Times New Roman"/>
                <w:b/>
                <w:noProof/>
                <w:color w:val="000000" w:themeColor="text1"/>
                <w:sz w:val="18"/>
              </w:rPr>
              <w:t>Etappenziel/Zielwert</w:t>
            </w:r>
            <w:r>
              <w:rPr>
                <w:noProof/>
              </w:rPr>
              <w:t xml:space="preserve">  </w:t>
            </w:r>
            <w:r>
              <w:rPr>
                <w:noProof/>
              </w:rPr>
              <w:br/>
            </w:r>
            <w:r>
              <w:rPr>
                <w:rFonts w:ascii="Times New Roman" w:hAnsi="Times New Roman"/>
                <w:b/>
                <w:noProof/>
                <w:color w:val="000000" w:themeColor="text1"/>
                <w:sz w:val="18"/>
              </w:rPr>
              <w:t>(für Etappenziele)</w:t>
            </w:r>
          </w:p>
        </w:tc>
        <w:tc>
          <w:tcPr>
            <w:tcW w:w="3544" w:type="dxa"/>
            <w:gridSpan w:val="3"/>
            <w:shd w:val="clear" w:color="auto" w:fill="BDD7EE"/>
            <w:vAlign w:val="center"/>
          </w:tcPr>
          <w:p w14:paraId="1B96B1E6" w14:textId="77777777" w:rsidR="00EB245A" w:rsidRDefault="006021EE">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rPr>
            </w:pPr>
            <w:r>
              <w:rPr>
                <w:rFonts w:ascii="Times New Roman" w:hAnsi="Times New Roman"/>
                <w:b/>
                <w:noProof/>
                <w:color w:val="000000" w:themeColor="text1"/>
                <w:sz w:val="18"/>
              </w:rPr>
              <w:t xml:space="preserve">Qualitative </w:t>
            </w:r>
            <w:r>
              <w:rPr>
                <w:rFonts w:ascii="Times New Roman" w:hAnsi="Times New Roman"/>
                <w:b/>
                <w:noProof/>
                <w:color w:val="000000" w:themeColor="text1"/>
                <w:sz w:val="18"/>
              </w:rPr>
              <w:t>Indikatoren (für Etappenziele)</w:t>
            </w:r>
            <w:r>
              <w:rPr>
                <w:noProof/>
              </w:rPr>
              <w:t xml:space="preserve">  </w:t>
            </w:r>
            <w:r>
              <w:rPr>
                <w:noProof/>
              </w:rPr>
              <w:br/>
            </w:r>
            <w:r>
              <w:rPr>
                <w:rFonts w:ascii="Times New Roman" w:hAnsi="Times New Roman"/>
                <w:b/>
                <w:noProof/>
                <w:color w:val="000000" w:themeColor="text1"/>
                <w:sz w:val="18"/>
              </w:rPr>
              <w:t>(für Ziele)</w:t>
            </w:r>
          </w:p>
        </w:tc>
        <w:tc>
          <w:tcPr>
            <w:tcW w:w="1843" w:type="dxa"/>
            <w:gridSpan w:val="2"/>
            <w:shd w:val="clear" w:color="auto" w:fill="BDD7EE"/>
            <w:vAlign w:val="center"/>
          </w:tcPr>
          <w:p w14:paraId="79F0030E"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Vorläufiger Zeitplan für die Fertigstellung</w:t>
            </w:r>
          </w:p>
        </w:tc>
        <w:tc>
          <w:tcPr>
            <w:tcW w:w="3118" w:type="dxa"/>
            <w:vMerge w:val="restart"/>
            <w:shd w:val="clear" w:color="auto" w:fill="BDD7EE"/>
            <w:vAlign w:val="center"/>
          </w:tcPr>
          <w:p w14:paraId="370146CB"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Beschreibung der einzelnen Etappenziele und Zielvorgaben</w:t>
            </w:r>
          </w:p>
          <w:p w14:paraId="4DAC6CA9" w14:textId="02775A9A" w:rsidR="00EB245A" w:rsidRDefault="00EB245A">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rPr>
            </w:pPr>
          </w:p>
        </w:tc>
      </w:tr>
      <w:tr w:rsidR="00EB245A" w14:paraId="154BEFBD" w14:textId="77777777" w:rsidTr="00FA2520">
        <w:trPr>
          <w:trHeight w:val="559"/>
        </w:trPr>
        <w:tc>
          <w:tcPr>
            <w:tcW w:w="655" w:type="dxa"/>
            <w:vMerge/>
            <w:vAlign w:val="center"/>
          </w:tcPr>
          <w:p w14:paraId="3859399C" w14:textId="77777777" w:rsidR="00EB245A" w:rsidRDefault="00EB245A">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rPr>
            </w:pPr>
          </w:p>
        </w:tc>
        <w:tc>
          <w:tcPr>
            <w:tcW w:w="1280" w:type="dxa"/>
            <w:vMerge/>
            <w:vAlign w:val="center"/>
          </w:tcPr>
          <w:p w14:paraId="5203E758" w14:textId="77777777" w:rsidR="00EB245A" w:rsidRDefault="00EB245A">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rPr>
            </w:pPr>
          </w:p>
        </w:tc>
        <w:tc>
          <w:tcPr>
            <w:tcW w:w="1184" w:type="dxa"/>
            <w:vMerge/>
            <w:vAlign w:val="center"/>
          </w:tcPr>
          <w:p w14:paraId="7ACEF45B" w14:textId="77777777" w:rsidR="00EB245A" w:rsidRDefault="00EB245A">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rPr>
            </w:pPr>
          </w:p>
        </w:tc>
        <w:tc>
          <w:tcPr>
            <w:tcW w:w="1872" w:type="dxa"/>
            <w:vMerge/>
            <w:vAlign w:val="center"/>
          </w:tcPr>
          <w:p w14:paraId="70813BA5" w14:textId="77777777" w:rsidR="00EB245A" w:rsidRDefault="00EB245A">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rPr>
            </w:pPr>
          </w:p>
        </w:tc>
        <w:tc>
          <w:tcPr>
            <w:tcW w:w="1955" w:type="dxa"/>
            <w:vMerge/>
            <w:vAlign w:val="center"/>
          </w:tcPr>
          <w:p w14:paraId="28DA1B0F" w14:textId="77777777" w:rsidR="00EB245A" w:rsidRDefault="00EB245A">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themeColor="text1"/>
                <w:sz w:val="18"/>
              </w:rPr>
            </w:pPr>
          </w:p>
        </w:tc>
        <w:tc>
          <w:tcPr>
            <w:tcW w:w="1134" w:type="dxa"/>
            <w:shd w:val="clear" w:color="auto" w:fill="BDD7EE"/>
            <w:vAlign w:val="center"/>
          </w:tcPr>
          <w:p w14:paraId="50150F9F" w14:textId="16795758"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color w:val="000000" w:themeColor="text1"/>
              </w:rPr>
            </w:pPr>
            <w:r>
              <w:rPr>
                <w:noProof/>
              </w:rPr>
              <w:t>Maßeinheit</w:t>
            </w:r>
          </w:p>
        </w:tc>
        <w:tc>
          <w:tcPr>
            <w:tcW w:w="1418" w:type="dxa"/>
            <w:shd w:val="clear" w:color="auto" w:fill="BDD7EE"/>
            <w:vAlign w:val="center"/>
          </w:tcPr>
          <w:p w14:paraId="53052DDD" w14:textId="48E4D7DC"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color w:val="000000" w:themeColor="text1"/>
              </w:rPr>
            </w:pPr>
            <w:r>
              <w:rPr>
                <w:noProof/>
              </w:rPr>
              <w:t xml:space="preserve">Ausgangslage </w:t>
            </w:r>
          </w:p>
        </w:tc>
        <w:tc>
          <w:tcPr>
            <w:tcW w:w="992" w:type="dxa"/>
            <w:shd w:val="clear" w:color="auto" w:fill="BDD7EE"/>
            <w:vAlign w:val="center"/>
          </w:tcPr>
          <w:p w14:paraId="524CDA80" w14:textId="0E39E486"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color w:val="000000" w:themeColor="text1"/>
              </w:rPr>
            </w:pPr>
            <w:r>
              <w:rPr>
                <w:noProof/>
              </w:rPr>
              <w:t xml:space="preserve">Ziel </w:t>
            </w:r>
          </w:p>
        </w:tc>
        <w:tc>
          <w:tcPr>
            <w:tcW w:w="992" w:type="dxa"/>
            <w:shd w:val="clear" w:color="auto" w:fill="BDD7EE"/>
            <w:vAlign w:val="center"/>
          </w:tcPr>
          <w:p w14:paraId="69674859" w14:textId="5C01C69A"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Viertel</w:t>
            </w:r>
          </w:p>
        </w:tc>
        <w:tc>
          <w:tcPr>
            <w:tcW w:w="851" w:type="dxa"/>
            <w:shd w:val="clear" w:color="auto" w:fill="BDD7EE"/>
            <w:vAlign w:val="center"/>
          </w:tcPr>
          <w:p w14:paraId="49A964DC" w14:textId="5397BA66"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Jahre</w:t>
            </w:r>
          </w:p>
        </w:tc>
        <w:tc>
          <w:tcPr>
            <w:tcW w:w="3118" w:type="dxa"/>
            <w:vMerge/>
            <w:vAlign w:val="center"/>
          </w:tcPr>
          <w:p w14:paraId="3A4F7518" w14:textId="02EC98AA" w:rsidR="00EB245A" w:rsidRDefault="00EB245A">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rPr>
            </w:pPr>
          </w:p>
        </w:tc>
      </w:tr>
      <w:tr w:rsidR="00EB245A" w14:paraId="2FEBB4B5" w14:textId="77777777" w:rsidTr="00FA2520">
        <w:trPr>
          <w:trHeight w:val="300"/>
        </w:trPr>
        <w:tc>
          <w:tcPr>
            <w:tcW w:w="655" w:type="dxa"/>
            <w:shd w:val="clear" w:color="auto" w:fill="C6EFCE"/>
          </w:tcPr>
          <w:p w14:paraId="5970A88E" w14:textId="300DE05E" w:rsidR="00EB245A" w:rsidRDefault="006021EE">
            <w:pPr>
              <w:pStyle w:val="P68B1DB1-Normal011"/>
              <w:spacing w:after="0" w:line="240" w:lineRule="auto"/>
              <w:jc w:val="center"/>
              <w:rPr>
                <w:rFonts w:cs="Times New Roman"/>
                <w:noProof/>
              </w:rPr>
            </w:pPr>
            <w:r>
              <w:rPr>
                <w:noProof/>
              </w:rPr>
              <w:t>E1G</w:t>
            </w:r>
          </w:p>
        </w:tc>
        <w:tc>
          <w:tcPr>
            <w:tcW w:w="1280" w:type="dxa"/>
            <w:shd w:val="clear" w:color="auto" w:fill="C6EFCE"/>
          </w:tcPr>
          <w:p w14:paraId="74207730"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E1.1 Steigerung der Nutzung umweltfreundlicher </w:t>
            </w:r>
            <w:r>
              <w:rPr>
                <w:noProof/>
              </w:rPr>
              <w:t>Verkehrsmittel</w:t>
            </w:r>
          </w:p>
        </w:tc>
        <w:tc>
          <w:tcPr>
            <w:tcW w:w="1184" w:type="dxa"/>
            <w:shd w:val="clear" w:color="auto" w:fill="C6EFCE"/>
          </w:tcPr>
          <w:p w14:paraId="71803CD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872" w:type="dxa"/>
            <w:shd w:val="clear" w:color="auto" w:fill="C6EFCE"/>
          </w:tcPr>
          <w:p w14:paraId="0C76425A" w14:textId="2E734B1A" w:rsidR="00EB245A" w:rsidRDefault="006021EE">
            <w:pPr>
              <w:pStyle w:val="P68B1DB1-Normal012"/>
              <w:spacing w:after="0" w:line="240" w:lineRule="auto"/>
              <w:rPr>
                <w:rFonts w:eastAsia="Times New Roman" w:cs="Times New Roman"/>
                <w:noProof/>
                <w:color w:val="006100"/>
              </w:rPr>
            </w:pPr>
            <w:r>
              <w:rPr>
                <w:noProof/>
              </w:rPr>
              <w:t xml:space="preserve">Inkrafttreten eines Gesetzes, mit dem Betreiber und Veranstalter öffentlicher Verkehrsmittel verpflichtet werden, ab dem 1. Januar 2026 ausschließlich emissionsfreie Busse in Städten mit mehr als 100,000 Einwohnern zu erwerben </w:t>
            </w:r>
          </w:p>
        </w:tc>
        <w:tc>
          <w:tcPr>
            <w:tcW w:w="1955" w:type="dxa"/>
            <w:shd w:val="clear" w:color="auto" w:fill="C6EFCE"/>
          </w:tcPr>
          <w:p w14:paraId="6661B5CF" w14:textId="756A164E"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B</w:t>
            </w:r>
            <w:r>
              <w:rPr>
                <w:noProof/>
              </w:rPr>
              <w:t>estimmung in einem Gesetz, aus dem hervorgeht, dass es in Kraft tritt</w:t>
            </w:r>
          </w:p>
        </w:tc>
        <w:tc>
          <w:tcPr>
            <w:tcW w:w="1134" w:type="dxa"/>
            <w:shd w:val="clear" w:color="auto" w:fill="C6EFCE"/>
          </w:tcPr>
          <w:p w14:paraId="2DA5FC3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418" w:type="dxa"/>
            <w:shd w:val="clear" w:color="auto" w:fill="C6EFCE"/>
          </w:tcPr>
          <w:p w14:paraId="43EC8E6B"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992" w:type="dxa"/>
            <w:shd w:val="clear" w:color="auto" w:fill="C6EFCE"/>
          </w:tcPr>
          <w:p w14:paraId="09BF9065"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992" w:type="dxa"/>
            <w:shd w:val="clear" w:color="auto" w:fill="C6EFCE"/>
          </w:tcPr>
          <w:p w14:paraId="046AE39D" w14:textId="3728BDF2" w:rsidR="00EB245A" w:rsidRDefault="006021EE">
            <w:pPr>
              <w:pStyle w:val="P68B1DB1-Normal012"/>
              <w:spacing w:after="0" w:line="240" w:lineRule="auto"/>
              <w:jc w:val="center"/>
              <w:rPr>
                <w:noProof/>
                <w:color w:val="000000" w:themeColor="text1"/>
              </w:rPr>
            </w:pPr>
            <w:r>
              <w:rPr>
                <w:noProof/>
              </w:rPr>
              <w:t>Q1</w:t>
            </w:r>
          </w:p>
        </w:tc>
        <w:tc>
          <w:tcPr>
            <w:tcW w:w="851" w:type="dxa"/>
            <w:shd w:val="clear" w:color="auto" w:fill="C6EFCE"/>
          </w:tcPr>
          <w:p w14:paraId="0B3299D8" w14:textId="257ACE37" w:rsidR="00EB245A" w:rsidRDefault="006021EE">
            <w:pPr>
              <w:pStyle w:val="P68B1DB1-Normal012"/>
              <w:spacing w:after="0" w:line="240" w:lineRule="auto"/>
              <w:jc w:val="center"/>
              <w:rPr>
                <w:noProof/>
                <w:color w:val="000000" w:themeColor="text1"/>
              </w:rPr>
            </w:pPr>
            <w:r>
              <w:rPr>
                <w:noProof/>
              </w:rPr>
              <w:t>2026</w:t>
            </w:r>
          </w:p>
        </w:tc>
        <w:tc>
          <w:tcPr>
            <w:tcW w:w="3118" w:type="dxa"/>
            <w:shd w:val="clear" w:color="auto" w:fill="C6EFCE"/>
          </w:tcPr>
          <w:p w14:paraId="4D754A46" w14:textId="12970581" w:rsidR="00EB245A" w:rsidRDefault="006021EE">
            <w:pPr>
              <w:pStyle w:val="P68B1DB1-Normal012"/>
              <w:spacing w:after="0" w:line="240" w:lineRule="auto"/>
              <w:rPr>
                <w:noProof/>
                <w:color w:val="000000" w:themeColor="text1"/>
              </w:rPr>
            </w:pPr>
            <w:r>
              <w:rPr>
                <w:noProof/>
              </w:rPr>
              <w:t>Mit dem Gesetz werden Betreiber und Veranstalter öffentlicher Verkehrsmittel in Städten mit mehr als 100,000 Einwohnern rechtlich verpflichtet, ab dem 1. Januar 2026 aussch</w:t>
            </w:r>
            <w:r>
              <w:rPr>
                <w:noProof/>
              </w:rPr>
              <w:t>ließlich emissionsfreie Busse zu erwerben.</w:t>
            </w:r>
          </w:p>
        </w:tc>
      </w:tr>
      <w:tr w:rsidR="00EB245A" w14:paraId="301AE423" w14:textId="77777777" w:rsidTr="00FA2520">
        <w:trPr>
          <w:trHeight w:val="300"/>
        </w:trPr>
        <w:tc>
          <w:tcPr>
            <w:tcW w:w="655" w:type="dxa"/>
            <w:shd w:val="clear" w:color="auto" w:fill="C6EFCE"/>
          </w:tcPr>
          <w:p w14:paraId="3A8D7CCB" w14:textId="636B49D8" w:rsidR="00EB245A" w:rsidRDefault="006021EE">
            <w:pPr>
              <w:pStyle w:val="P68B1DB1-Normal011"/>
              <w:pBdr>
                <w:top w:val="nil"/>
                <w:left w:val="nil"/>
                <w:bottom w:val="nil"/>
                <w:right w:val="nil"/>
                <w:between w:val="nil"/>
              </w:pBdr>
              <w:spacing w:after="0" w:line="240" w:lineRule="auto"/>
              <w:jc w:val="center"/>
              <w:rPr>
                <w:rFonts w:eastAsia="Times New Roman" w:cs="Times New Roman"/>
                <w:b/>
                <w:noProof/>
                <w:color w:val="000000"/>
              </w:rPr>
            </w:pPr>
            <w:r>
              <w:rPr>
                <w:noProof/>
              </w:rPr>
              <w:t>E2G</w:t>
            </w:r>
          </w:p>
        </w:tc>
        <w:tc>
          <w:tcPr>
            <w:tcW w:w="1280" w:type="dxa"/>
            <w:shd w:val="clear" w:color="auto" w:fill="C6EFCE"/>
          </w:tcPr>
          <w:p w14:paraId="53101CC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E1.1 Steigerung der Nutzung umweltfreundlicher Verkehrsmittel</w:t>
            </w:r>
          </w:p>
        </w:tc>
        <w:tc>
          <w:tcPr>
            <w:tcW w:w="1184" w:type="dxa"/>
            <w:shd w:val="clear" w:color="auto" w:fill="C6EFCE"/>
          </w:tcPr>
          <w:p w14:paraId="5D4BBE0E"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Meilenstein</w:t>
            </w:r>
          </w:p>
        </w:tc>
        <w:tc>
          <w:tcPr>
            <w:tcW w:w="1872" w:type="dxa"/>
            <w:shd w:val="clear" w:color="auto" w:fill="C6EFCE"/>
          </w:tcPr>
          <w:p w14:paraId="06B0DDF8" w14:textId="5C41450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Maßnahmen zur Unterstützung der Entwicklung von Plänen für nachhaltige urbane Mobilität (SUMP) und Annahme von Anreizen für die </w:t>
            </w:r>
            <w:r>
              <w:rPr>
                <w:noProof/>
              </w:rPr>
              <w:t>Umsetzung der Pläne für nachhaltige urbane Mobilität, die dem Infrastrukturministerium technische und finanzielle Unterstützung für alle funktionalen städtischen Gebiete bieten</w:t>
            </w:r>
          </w:p>
        </w:tc>
        <w:tc>
          <w:tcPr>
            <w:tcW w:w="1955" w:type="dxa"/>
            <w:shd w:val="clear" w:color="auto" w:fill="C6EFCE"/>
          </w:tcPr>
          <w:p w14:paraId="140229D3" w14:textId="6118AF20"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Bestimmung über das Inkrafttreten</w:t>
            </w:r>
          </w:p>
        </w:tc>
        <w:tc>
          <w:tcPr>
            <w:tcW w:w="1134" w:type="dxa"/>
            <w:shd w:val="clear" w:color="auto" w:fill="C6EFCE"/>
          </w:tcPr>
          <w:p w14:paraId="6DD623C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1418" w:type="dxa"/>
            <w:shd w:val="clear" w:color="auto" w:fill="C6EFCE"/>
          </w:tcPr>
          <w:p w14:paraId="7EBE26A0"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992" w:type="dxa"/>
            <w:shd w:val="clear" w:color="auto" w:fill="C6EFCE"/>
          </w:tcPr>
          <w:p w14:paraId="58821F00"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w:t>
            </w:r>
          </w:p>
        </w:tc>
        <w:tc>
          <w:tcPr>
            <w:tcW w:w="992" w:type="dxa"/>
            <w:shd w:val="clear" w:color="auto" w:fill="C6EFCE"/>
          </w:tcPr>
          <w:p w14:paraId="08601BD2"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Q1</w:t>
            </w:r>
          </w:p>
        </w:tc>
        <w:tc>
          <w:tcPr>
            <w:tcW w:w="851" w:type="dxa"/>
            <w:shd w:val="clear" w:color="auto" w:fill="C6EFCE"/>
          </w:tcPr>
          <w:p w14:paraId="57AA7494"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2023</w:t>
            </w:r>
          </w:p>
        </w:tc>
        <w:tc>
          <w:tcPr>
            <w:tcW w:w="3118" w:type="dxa"/>
            <w:shd w:val="clear" w:color="auto" w:fill="C6EFCE"/>
          </w:tcPr>
          <w:p w14:paraId="6E4FDF8D" w14:textId="2A1801D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Einführung von Maßnahmen zur Unterstützung der Entwicklung und Umsetzung von Plänen für nachhaltige urbane Mobilität, </w:t>
            </w:r>
          </w:p>
          <w:p w14:paraId="06332424" w14:textId="1DD2C949" w:rsidR="00EB245A" w:rsidRDefault="006021EE">
            <w:pPr>
              <w:pStyle w:val="P68B1DB1-Normal012"/>
              <w:pBdr>
                <w:top w:val="nil"/>
                <w:left w:val="nil"/>
                <w:bottom w:val="nil"/>
                <w:right w:val="nil"/>
                <w:between w:val="nil"/>
              </w:pBdr>
              <w:spacing w:after="120" w:line="240" w:lineRule="auto"/>
              <w:rPr>
                <w:rFonts w:cs="Times New Roman"/>
                <w:noProof/>
              </w:rPr>
            </w:pPr>
            <w:r>
              <w:rPr>
                <w:noProof/>
              </w:rPr>
              <w:t>Zu diesen Maßnahmen gehören:</w:t>
            </w:r>
          </w:p>
          <w:p w14:paraId="05531A12" w14:textId="3A80C6E4" w:rsidR="00EB245A" w:rsidRDefault="006021EE">
            <w:pPr>
              <w:pStyle w:val="P68B1DB1-Normal012"/>
              <w:numPr>
                <w:ilvl w:val="0"/>
                <w:numId w:val="13"/>
              </w:numPr>
              <w:pBdr>
                <w:top w:val="nil"/>
                <w:left w:val="nil"/>
                <w:bottom w:val="nil"/>
                <w:right w:val="nil"/>
                <w:between w:val="nil"/>
              </w:pBdr>
              <w:spacing w:after="120" w:line="240" w:lineRule="auto"/>
              <w:ind w:left="357" w:hanging="357"/>
              <w:rPr>
                <w:rFonts w:eastAsia="Times New Roman" w:cs="Times New Roman"/>
                <w:noProof/>
                <w:color w:val="000000" w:themeColor="text1"/>
              </w:rPr>
            </w:pPr>
            <w:r>
              <w:rPr>
                <w:noProof/>
              </w:rPr>
              <w:t xml:space="preserve">eine neue Struktur für die Unterstützung der Umsetzung der SUMP mit einem SUMP-Lenkungsausschuss, um die Entwicklung und Umsetzung von SUMP zu fördern. </w:t>
            </w:r>
          </w:p>
          <w:p w14:paraId="5399DAF6" w14:textId="036C8C1D" w:rsidR="00EB245A" w:rsidRDefault="006021EE">
            <w:pPr>
              <w:pStyle w:val="P68B1DB1-Normal012"/>
              <w:numPr>
                <w:ilvl w:val="0"/>
                <w:numId w:val="13"/>
              </w:numPr>
              <w:pBdr>
                <w:top w:val="nil"/>
                <w:left w:val="nil"/>
                <w:bottom w:val="nil"/>
                <w:right w:val="nil"/>
                <w:between w:val="nil"/>
              </w:pBdr>
              <w:spacing w:after="120" w:line="240" w:lineRule="auto"/>
              <w:ind w:left="357" w:hanging="357"/>
              <w:rPr>
                <w:rFonts w:eastAsia="Times New Roman" w:cs="Times New Roman"/>
                <w:noProof/>
                <w:color w:val="000000" w:themeColor="text1"/>
              </w:rPr>
            </w:pPr>
            <w:r>
              <w:rPr>
                <w:noProof/>
              </w:rPr>
              <w:t>ein SUMP-Kompetenzzentrum innerhalb des Infrastrukturministeriums, das die lokalen Gebietskörperschafte</w:t>
            </w:r>
            <w:r>
              <w:rPr>
                <w:noProof/>
              </w:rPr>
              <w:t xml:space="preserve">n beratend und finanziell unterstützt. </w:t>
            </w:r>
          </w:p>
          <w:p w14:paraId="6EF33324" w14:textId="61FD5E21" w:rsidR="00EB245A" w:rsidRDefault="006021EE">
            <w:pPr>
              <w:pStyle w:val="P68B1DB1-Normal012"/>
              <w:numPr>
                <w:ilvl w:val="0"/>
                <w:numId w:val="13"/>
              </w:numPr>
              <w:spacing w:after="120" w:line="240" w:lineRule="auto"/>
              <w:ind w:left="357" w:hanging="357"/>
              <w:rPr>
                <w:rFonts w:eastAsia="Times New Roman" w:cs="Times New Roman"/>
                <w:noProof/>
                <w:color w:val="000000" w:themeColor="text1"/>
              </w:rPr>
            </w:pPr>
            <w:r>
              <w:rPr>
                <w:noProof/>
              </w:rPr>
              <w:t xml:space="preserve">Bevollmächtigter für SUMP im Ministerium für Infrastruktur. </w:t>
            </w:r>
          </w:p>
          <w:p w14:paraId="45046772" w14:textId="494C9E25"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Der neue Rahmen ermöglicht die Bereitstellung angemessener technischer und finanzieller Unterstützung für Einrichtungen, die an der Ausarbeitung der Pläne </w:t>
            </w:r>
            <w:r>
              <w:rPr>
                <w:noProof/>
              </w:rPr>
              <w:t>für nachhaltige urbane Mobilität interessiert sind, und verbessert die von der Zentralverwaltung in diesem Bereich durchgeführten Tätigkeiten.</w:t>
            </w:r>
          </w:p>
        </w:tc>
      </w:tr>
      <w:tr w:rsidR="00EB245A" w14:paraId="3A7B49F2" w14:textId="77777777" w:rsidTr="00FA2520">
        <w:trPr>
          <w:trHeight w:val="300"/>
        </w:trPr>
        <w:tc>
          <w:tcPr>
            <w:tcW w:w="655" w:type="dxa"/>
            <w:shd w:val="clear" w:color="auto" w:fill="C6EFCE"/>
          </w:tcPr>
          <w:p w14:paraId="719026AC" w14:textId="1B5BCA9C"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E3G</w:t>
            </w:r>
          </w:p>
        </w:tc>
        <w:tc>
          <w:tcPr>
            <w:tcW w:w="1280" w:type="dxa"/>
            <w:shd w:val="clear" w:color="auto" w:fill="C6EFCE"/>
          </w:tcPr>
          <w:p w14:paraId="01F40B3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E1.1 Steigerung der Nutzung umweltfreundlicher Verkehrsmittel</w:t>
            </w:r>
          </w:p>
        </w:tc>
        <w:tc>
          <w:tcPr>
            <w:tcW w:w="1184" w:type="dxa"/>
            <w:shd w:val="clear" w:color="auto" w:fill="C6EFCE"/>
          </w:tcPr>
          <w:p w14:paraId="11D0FCF9"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872" w:type="dxa"/>
            <w:shd w:val="clear" w:color="auto" w:fill="C6EFCE"/>
          </w:tcPr>
          <w:p w14:paraId="3768E220" w14:textId="491E34DC"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Inkrafttreten eines Rechtsakts zur</w:t>
            </w:r>
            <w:r>
              <w:rPr>
                <w:noProof/>
              </w:rPr>
              <w:t xml:space="preserve"> Einführung einer Zulassungsgebühr für emissionsrelevante Fahrzeuge im Einklang mit dem Verursacherprinzip</w:t>
            </w:r>
          </w:p>
        </w:tc>
        <w:tc>
          <w:tcPr>
            <w:tcW w:w="1955" w:type="dxa"/>
            <w:shd w:val="clear" w:color="auto" w:fill="C6EFCE"/>
          </w:tcPr>
          <w:p w14:paraId="20B73554" w14:textId="26DEC2CD"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Bestimmung des Rechtsakts, aus der hervorgeht, dass er in Kraft tritt</w:t>
            </w:r>
          </w:p>
        </w:tc>
        <w:tc>
          <w:tcPr>
            <w:tcW w:w="1134" w:type="dxa"/>
            <w:shd w:val="clear" w:color="auto" w:fill="C6EFCE"/>
          </w:tcPr>
          <w:p w14:paraId="42428921"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418" w:type="dxa"/>
            <w:shd w:val="clear" w:color="auto" w:fill="C6EFCE"/>
          </w:tcPr>
          <w:p w14:paraId="07F3DC0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992" w:type="dxa"/>
            <w:shd w:val="clear" w:color="auto" w:fill="C6EFCE"/>
          </w:tcPr>
          <w:p w14:paraId="2AF4030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992" w:type="dxa"/>
            <w:shd w:val="clear" w:color="auto" w:fill="C6EFCE"/>
          </w:tcPr>
          <w:p w14:paraId="27D0EB88"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Q4</w:t>
            </w:r>
          </w:p>
        </w:tc>
        <w:tc>
          <w:tcPr>
            <w:tcW w:w="851" w:type="dxa"/>
            <w:shd w:val="clear" w:color="auto" w:fill="C6EFCE"/>
          </w:tcPr>
          <w:p w14:paraId="158CB8CB"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2024</w:t>
            </w:r>
          </w:p>
        </w:tc>
        <w:tc>
          <w:tcPr>
            <w:tcW w:w="3118" w:type="dxa"/>
            <w:shd w:val="clear" w:color="auto" w:fill="C6EFCE"/>
          </w:tcPr>
          <w:p w14:paraId="0074C99A" w14:textId="02FD8AAF" w:rsidR="00EB245A" w:rsidRDefault="006021EE">
            <w:pPr>
              <w:pStyle w:val="P68B1DB1-Normal012"/>
              <w:spacing w:after="0" w:line="240" w:lineRule="auto"/>
              <w:rPr>
                <w:rFonts w:eastAsia="Times New Roman" w:cs="Times New Roman"/>
                <w:noProof/>
                <w:color w:val="000000" w:themeColor="text1"/>
              </w:rPr>
            </w:pPr>
            <w:r>
              <w:rPr>
                <w:noProof/>
              </w:rPr>
              <w:t xml:space="preserve">Mit einem Rechtsakt werden finanzielle und steuerliche Maßnahmen </w:t>
            </w:r>
            <w:r>
              <w:rPr>
                <w:noProof/>
              </w:rPr>
              <w:t>eingeführt, die die Nachfrage nach saubereren Fahrzeugen ankurbeln, einschließlich höherer Zulassungsgebühren für Verbrennungsmotoren, und Maßnahmen zur beschleunigten Abschreibung von Elektrofahrzeugen. Die Gebühr richtet sich nach den CO2- und/oder NOx-E</w:t>
            </w:r>
            <w:r>
              <w:rPr>
                <w:noProof/>
              </w:rPr>
              <w:t xml:space="preserve">missionen. Die Einnahmen aus Gebühren werden zur Verringerung negativer externer Verkehrseffekte und zur Entwicklung emissionsarmer öffentlicher Verkehrsmittel sowohl in städtischen als auch in ländlichen Gebieten verwendet. </w:t>
            </w:r>
          </w:p>
        </w:tc>
      </w:tr>
      <w:tr w:rsidR="00EB245A" w14:paraId="118F0ABD" w14:textId="77777777" w:rsidTr="00FA2520">
        <w:trPr>
          <w:trHeight w:val="1430"/>
        </w:trPr>
        <w:tc>
          <w:tcPr>
            <w:tcW w:w="655" w:type="dxa"/>
            <w:shd w:val="clear" w:color="auto" w:fill="C6EFCE"/>
          </w:tcPr>
          <w:p w14:paraId="079D9DBF" w14:textId="2B787BFE" w:rsidR="00EB245A" w:rsidRDefault="006021EE">
            <w:pPr>
              <w:pStyle w:val="P68B1DB1-Normal011"/>
              <w:spacing w:line="240" w:lineRule="auto"/>
              <w:jc w:val="center"/>
              <w:rPr>
                <w:rFonts w:cs="Times New Roman"/>
                <w:noProof/>
              </w:rPr>
            </w:pPr>
            <w:r>
              <w:rPr>
                <w:noProof/>
              </w:rPr>
              <w:t>E4G</w:t>
            </w:r>
          </w:p>
        </w:tc>
        <w:tc>
          <w:tcPr>
            <w:tcW w:w="1280" w:type="dxa"/>
            <w:shd w:val="clear" w:color="auto" w:fill="C6EFCE"/>
          </w:tcPr>
          <w:p w14:paraId="3C186A2B" w14:textId="77777777" w:rsidR="00EB245A" w:rsidRDefault="006021EE">
            <w:pPr>
              <w:pStyle w:val="P68B1DB1-Normal012"/>
              <w:spacing w:after="0" w:line="240" w:lineRule="auto"/>
              <w:rPr>
                <w:rFonts w:eastAsia="Times New Roman" w:cs="Times New Roman"/>
                <w:noProof/>
                <w:color w:val="006100"/>
              </w:rPr>
            </w:pPr>
            <w:r>
              <w:rPr>
                <w:noProof/>
              </w:rPr>
              <w:t xml:space="preserve">E1.1 Steigerung der </w:t>
            </w:r>
            <w:r>
              <w:rPr>
                <w:noProof/>
              </w:rPr>
              <w:t>Nutzung umweltfreundlicher Verkehrsmittel</w:t>
            </w:r>
          </w:p>
          <w:p w14:paraId="3FD9042A" w14:textId="77777777" w:rsidR="00EB245A" w:rsidRDefault="00EB245A">
            <w:pPr>
              <w:pStyle w:val="Normal0"/>
              <w:spacing w:line="240" w:lineRule="auto"/>
              <w:rPr>
                <w:rFonts w:ascii="Times New Roman" w:eastAsia="Times New Roman" w:hAnsi="Times New Roman" w:cs="Times New Roman"/>
                <w:noProof/>
                <w:color w:val="000000" w:themeColor="text1"/>
                <w:sz w:val="18"/>
              </w:rPr>
            </w:pPr>
          </w:p>
        </w:tc>
        <w:tc>
          <w:tcPr>
            <w:tcW w:w="1184" w:type="dxa"/>
            <w:shd w:val="clear" w:color="auto" w:fill="C6EFCE"/>
          </w:tcPr>
          <w:p w14:paraId="168773B0" w14:textId="77777777" w:rsidR="00EB245A" w:rsidRDefault="006021EE">
            <w:pPr>
              <w:pStyle w:val="P68B1DB1-Normal012"/>
              <w:spacing w:line="240" w:lineRule="auto"/>
              <w:rPr>
                <w:rFonts w:eastAsia="Times New Roman" w:cs="Times New Roman"/>
                <w:noProof/>
                <w:color w:val="000000" w:themeColor="text1"/>
              </w:rPr>
            </w:pPr>
            <w:r>
              <w:rPr>
                <w:noProof/>
              </w:rPr>
              <w:t>Meilenstein</w:t>
            </w:r>
          </w:p>
        </w:tc>
        <w:tc>
          <w:tcPr>
            <w:tcW w:w="1872" w:type="dxa"/>
            <w:shd w:val="clear" w:color="auto" w:fill="C6EFCE"/>
          </w:tcPr>
          <w:p w14:paraId="79707620" w14:textId="3105914F" w:rsidR="00EB245A" w:rsidRDefault="006021EE">
            <w:pPr>
              <w:pStyle w:val="P68B1DB1-Normal012"/>
              <w:spacing w:line="240" w:lineRule="auto"/>
              <w:rPr>
                <w:rFonts w:eastAsia="Times New Roman" w:cs="Times New Roman"/>
                <w:noProof/>
                <w:color w:val="006100"/>
              </w:rPr>
            </w:pPr>
            <w:r>
              <w:rPr>
                <w:noProof/>
              </w:rPr>
              <w:t>Inkrafttreten eines Rechtsakts zur Einführung einer Umweltgebühr für emissionsrelevante Fahrzeuge im Einklang mit dem Verursacherprinzip</w:t>
            </w:r>
          </w:p>
        </w:tc>
        <w:tc>
          <w:tcPr>
            <w:tcW w:w="1955" w:type="dxa"/>
            <w:shd w:val="clear" w:color="auto" w:fill="C6EFCE"/>
          </w:tcPr>
          <w:p w14:paraId="7E3E625C" w14:textId="6573CC05" w:rsidR="00EB245A" w:rsidRDefault="006021EE">
            <w:pPr>
              <w:pStyle w:val="P68B1DB1-Normal012"/>
              <w:spacing w:line="240" w:lineRule="auto"/>
              <w:rPr>
                <w:rFonts w:eastAsia="Times New Roman" w:cs="Times New Roman"/>
                <w:noProof/>
                <w:color w:val="000000" w:themeColor="text1"/>
              </w:rPr>
            </w:pPr>
            <w:r>
              <w:rPr>
                <w:noProof/>
              </w:rPr>
              <w:t xml:space="preserve">Bestimmung des Rechtsakts, aus der hervorgeht, dass er in Kraft </w:t>
            </w:r>
            <w:r>
              <w:rPr>
                <w:noProof/>
              </w:rPr>
              <w:t>tritt</w:t>
            </w:r>
          </w:p>
        </w:tc>
        <w:tc>
          <w:tcPr>
            <w:tcW w:w="1134" w:type="dxa"/>
            <w:shd w:val="clear" w:color="auto" w:fill="C6EFCE"/>
          </w:tcPr>
          <w:p w14:paraId="052D4810" w14:textId="77777777" w:rsidR="00EB245A" w:rsidRDefault="00EB245A">
            <w:pPr>
              <w:pStyle w:val="Normal0"/>
              <w:spacing w:line="240" w:lineRule="auto"/>
              <w:rPr>
                <w:rFonts w:ascii="Times New Roman" w:eastAsia="Times New Roman" w:hAnsi="Times New Roman" w:cs="Times New Roman"/>
                <w:noProof/>
                <w:color w:val="000000" w:themeColor="text1"/>
                <w:sz w:val="18"/>
              </w:rPr>
            </w:pPr>
          </w:p>
        </w:tc>
        <w:tc>
          <w:tcPr>
            <w:tcW w:w="1418" w:type="dxa"/>
            <w:shd w:val="clear" w:color="auto" w:fill="C6EFCE"/>
          </w:tcPr>
          <w:p w14:paraId="62D3F89E" w14:textId="77777777" w:rsidR="00EB245A" w:rsidRDefault="00EB245A">
            <w:pPr>
              <w:pStyle w:val="Normal0"/>
              <w:spacing w:line="240" w:lineRule="auto"/>
              <w:rPr>
                <w:rFonts w:ascii="Times New Roman" w:eastAsia="Times New Roman" w:hAnsi="Times New Roman" w:cs="Times New Roman"/>
                <w:noProof/>
                <w:color w:val="000000" w:themeColor="text1"/>
                <w:sz w:val="18"/>
              </w:rPr>
            </w:pPr>
          </w:p>
        </w:tc>
        <w:tc>
          <w:tcPr>
            <w:tcW w:w="992" w:type="dxa"/>
            <w:shd w:val="clear" w:color="auto" w:fill="C6EFCE"/>
          </w:tcPr>
          <w:p w14:paraId="2780AF0D" w14:textId="77777777" w:rsidR="00EB245A" w:rsidRDefault="00EB245A">
            <w:pPr>
              <w:pStyle w:val="Normal0"/>
              <w:spacing w:line="240" w:lineRule="auto"/>
              <w:rPr>
                <w:rFonts w:ascii="Times New Roman" w:eastAsia="Times New Roman" w:hAnsi="Times New Roman" w:cs="Times New Roman"/>
                <w:noProof/>
                <w:color w:val="000000" w:themeColor="text1"/>
                <w:sz w:val="18"/>
              </w:rPr>
            </w:pPr>
          </w:p>
        </w:tc>
        <w:tc>
          <w:tcPr>
            <w:tcW w:w="992" w:type="dxa"/>
            <w:shd w:val="clear" w:color="auto" w:fill="C6EFCE"/>
          </w:tcPr>
          <w:p w14:paraId="24397BE4" w14:textId="1BA3946F" w:rsidR="00EB245A" w:rsidRDefault="006021EE">
            <w:pPr>
              <w:pStyle w:val="P68B1DB1-Normal012"/>
              <w:spacing w:line="240" w:lineRule="auto"/>
              <w:jc w:val="center"/>
              <w:rPr>
                <w:rFonts w:eastAsia="Times New Roman" w:cs="Times New Roman"/>
                <w:noProof/>
                <w:color w:val="000000" w:themeColor="text1"/>
              </w:rPr>
            </w:pPr>
            <w:r>
              <w:rPr>
                <w:noProof/>
              </w:rPr>
              <w:t>Q1</w:t>
            </w:r>
          </w:p>
        </w:tc>
        <w:tc>
          <w:tcPr>
            <w:tcW w:w="851" w:type="dxa"/>
            <w:shd w:val="clear" w:color="auto" w:fill="C6EFCE"/>
          </w:tcPr>
          <w:p w14:paraId="3DD47E7B" w14:textId="77777777" w:rsidR="00EB245A" w:rsidRDefault="006021EE">
            <w:pPr>
              <w:pStyle w:val="P68B1DB1-Normal012"/>
              <w:spacing w:line="240" w:lineRule="auto"/>
              <w:jc w:val="center"/>
              <w:rPr>
                <w:rFonts w:eastAsia="Times New Roman" w:cs="Times New Roman"/>
                <w:noProof/>
                <w:color w:val="000000" w:themeColor="text1"/>
              </w:rPr>
            </w:pPr>
            <w:r>
              <w:rPr>
                <w:noProof/>
              </w:rPr>
              <w:t>2026</w:t>
            </w:r>
          </w:p>
        </w:tc>
        <w:tc>
          <w:tcPr>
            <w:tcW w:w="3118" w:type="dxa"/>
            <w:shd w:val="clear" w:color="auto" w:fill="C6EFCE"/>
          </w:tcPr>
          <w:p w14:paraId="46FC4A0D" w14:textId="21EC3B7C" w:rsidR="00EB245A" w:rsidRDefault="006021EE">
            <w:pPr>
              <w:pStyle w:val="P68B1DB1-Default33"/>
              <w:rPr>
                <w:noProof/>
              </w:rPr>
            </w:pPr>
            <w:r>
              <w:rPr>
                <w:noProof/>
              </w:rPr>
              <w:t>Es wird eine Umweltgebühr für Verbrennungsmotoren (Klassen M1 und N1) für Unternehmer eingeführt, die mit den CO2- und NOx-Emissionen eines Fahrzeugs korreliert, wobei geeignete Näherungswerte verwendet werden können. Die Umweltgebühr gilt</w:t>
            </w:r>
            <w:r>
              <w:rPr>
                <w:noProof/>
              </w:rPr>
              <w:t xml:space="preserve"> ab dem 1. Quartal 2026. Eine Ausnahme wegen Geringfügigkeit für Unternehmer mit nur einem Fahrzeug ist möglich.  Die Einnahmen aus der Gebühr werden zur Verringerung negativer externer Effekte des Verkehrs und zur Entwicklung emissionsarmer öffentlicher V</w:t>
            </w:r>
            <w:r>
              <w:rPr>
                <w:noProof/>
              </w:rPr>
              <w:t>erkehrsmittel sowohl in städtischen als auch in ländlichen Gebieten verwendet.</w:t>
            </w:r>
          </w:p>
        </w:tc>
      </w:tr>
      <w:tr w:rsidR="00EB245A" w14:paraId="050B72CC" w14:textId="77777777" w:rsidTr="00FA2520">
        <w:trPr>
          <w:trHeight w:val="1430"/>
        </w:trPr>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120A303" w14:textId="7E284C32" w:rsidR="00EB245A" w:rsidRDefault="006021EE">
            <w:pPr>
              <w:pStyle w:val="P68B1DB1-Normal011"/>
              <w:spacing w:line="240" w:lineRule="auto"/>
              <w:jc w:val="center"/>
              <w:rPr>
                <w:noProof/>
              </w:rPr>
            </w:pPr>
            <w:r>
              <w:rPr>
                <w:noProof/>
              </w:rPr>
              <w:t>E4aG</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C1A8C52" w14:textId="2A30082C" w:rsidR="00EB245A" w:rsidRDefault="006021EE">
            <w:pPr>
              <w:pStyle w:val="P68B1DB1-Normal012"/>
              <w:spacing w:after="0" w:line="240" w:lineRule="auto"/>
              <w:rPr>
                <w:noProof/>
                <w:color w:val="000000" w:themeColor="text1"/>
              </w:rPr>
            </w:pPr>
            <w:r>
              <w:rPr>
                <w:noProof/>
              </w:rPr>
              <w:t>E1.1 Steigerung der Nutzung umweltfreundlicher Verkehrsmittel</w:t>
            </w:r>
          </w:p>
        </w:tc>
        <w:tc>
          <w:tcPr>
            <w:tcW w:w="11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18604A6" w14:textId="5997DF99" w:rsidR="00EB245A" w:rsidRDefault="006021EE">
            <w:pPr>
              <w:pStyle w:val="P68B1DB1-Normal012"/>
              <w:spacing w:after="0" w:line="240" w:lineRule="auto"/>
              <w:rPr>
                <w:noProof/>
                <w:color w:val="000000" w:themeColor="text1"/>
              </w:rPr>
            </w:pPr>
            <w:r>
              <w:rPr>
                <w:noProof/>
              </w:rPr>
              <w:t>Meilenstein</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6D2CA6" w14:textId="1B7355DB" w:rsidR="00EB245A" w:rsidRDefault="006021EE">
            <w:pPr>
              <w:pStyle w:val="P68B1DB1-Normal012"/>
              <w:spacing w:line="240" w:lineRule="auto"/>
              <w:rPr>
                <w:noProof/>
                <w:color w:val="000000" w:themeColor="text1"/>
              </w:rPr>
            </w:pPr>
            <w:r>
              <w:rPr>
                <w:noProof/>
              </w:rPr>
              <w:t>Start des Zuschussprogramms</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05695B4" w14:textId="01BDCD8D" w:rsidR="00EB245A" w:rsidRDefault="006021EE">
            <w:pPr>
              <w:pStyle w:val="P68B1DB1-Normal012"/>
              <w:spacing w:line="240" w:lineRule="auto"/>
              <w:rPr>
                <w:noProof/>
                <w:color w:val="000000" w:themeColor="text1"/>
              </w:rPr>
            </w:pPr>
            <w:r>
              <w:rPr>
                <w:noProof/>
              </w:rPr>
              <w:t>Inbetriebnahme der Zuschussregelung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4B9D31D" w14:textId="77777777" w:rsidR="00EB245A" w:rsidRDefault="00EB245A">
            <w:pPr>
              <w:pStyle w:val="Normal0"/>
              <w:spacing w:line="240" w:lineRule="auto"/>
              <w:rPr>
                <w:rFonts w:ascii="Times New Roman" w:eastAsia="Times New Roman" w:hAnsi="Times New Roman" w:cs="Times New Roman"/>
                <w:noProof/>
                <w:color w:val="000000" w:themeColor="text1"/>
                <w:sz w:val="1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7E4C645" w14:textId="77777777" w:rsidR="00EB245A" w:rsidRDefault="00EB245A">
            <w:pPr>
              <w:pStyle w:val="Normal0"/>
              <w:spacing w:line="240" w:lineRule="auto"/>
              <w:rPr>
                <w:rFonts w:ascii="Times New Roman" w:eastAsia="Times New Roman" w:hAnsi="Times New Roman" w:cs="Times New Roman"/>
                <w:noProof/>
                <w:color w:val="000000" w:themeColor="text1"/>
                <w:sz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9718E4" w14:textId="77777777" w:rsidR="00EB245A" w:rsidRDefault="00EB245A">
            <w:pPr>
              <w:pStyle w:val="Normal0"/>
              <w:spacing w:line="240" w:lineRule="auto"/>
              <w:rPr>
                <w:rFonts w:ascii="Times New Roman" w:eastAsia="Times New Roman" w:hAnsi="Times New Roman" w:cs="Times New Roman"/>
                <w:noProof/>
                <w:color w:val="000000" w:themeColor="text1"/>
                <w:sz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A2CE59" w14:textId="4464E5E8" w:rsidR="00EB245A" w:rsidRDefault="006021EE">
            <w:pPr>
              <w:pStyle w:val="P68B1DB1-Normal012"/>
              <w:spacing w:line="240" w:lineRule="auto"/>
              <w:jc w:val="center"/>
              <w:rPr>
                <w:noProof/>
                <w:color w:val="000000" w:themeColor="text1"/>
              </w:rPr>
            </w:pPr>
            <w:r>
              <w:rPr>
                <w:noProof/>
              </w:rPr>
              <w:t>Q4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1D31F46" w14:textId="6DD4C155" w:rsidR="00EB245A" w:rsidRDefault="006021EE">
            <w:pPr>
              <w:pStyle w:val="P68B1DB1-Normal012"/>
              <w:spacing w:line="240" w:lineRule="auto"/>
              <w:jc w:val="center"/>
              <w:rPr>
                <w:noProof/>
                <w:color w:val="000000" w:themeColor="text1"/>
              </w:rPr>
            </w:pPr>
            <w:r>
              <w:rPr>
                <w:noProof/>
              </w:rPr>
              <w:t>2024</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91B0F3F" w14:textId="162F238F" w:rsidR="00EB245A" w:rsidRDefault="006021EE">
            <w:pPr>
              <w:pStyle w:val="P68B1DB1-paragraph32"/>
              <w:spacing w:before="0" w:beforeAutospacing="0" w:after="0" w:afterAutospacing="0"/>
              <w:jc w:val="both"/>
              <w:rPr>
                <w:noProof/>
              </w:rPr>
            </w:pPr>
            <w:r>
              <w:rPr>
                <w:noProof/>
              </w:rPr>
              <w:t xml:space="preserve">Es muss eine </w:t>
            </w:r>
            <w:r>
              <w:rPr>
                <w:noProof/>
              </w:rPr>
              <w:t>Zuschussregelung mit einer Mittelausstattung von 373 750 000 EUR zur Unterstützung des Kaufs, der Miete oder des Leasings emissionsfreier Elektrofahrzeuge der Klasse M1 bestehen.</w:t>
            </w:r>
          </w:p>
          <w:p w14:paraId="15AE6675" w14:textId="42AE176F" w:rsidR="00EB245A" w:rsidRDefault="006021EE">
            <w:pPr>
              <w:pStyle w:val="P68B1DB1-paragraph32"/>
              <w:spacing w:before="0" w:beforeAutospacing="0" w:after="0" w:afterAutospacing="0"/>
              <w:jc w:val="both"/>
              <w:rPr>
                <w:noProof/>
              </w:rPr>
            </w:pPr>
            <w:r>
              <w:rPr>
                <w:noProof/>
              </w:rPr>
              <w:t>Der erforderliche Rahmen zur Festlegung der anwendbaren Bedingungen und Verfa</w:t>
            </w:r>
            <w:r>
              <w:rPr>
                <w:noProof/>
              </w:rPr>
              <w:t>hren ist vorhanden:</w:t>
            </w:r>
          </w:p>
          <w:p w14:paraId="546D99CA" w14:textId="2B91921C" w:rsidR="00EB245A" w:rsidRDefault="006021EE">
            <w:pPr>
              <w:pStyle w:val="P68B1DB1-Default33"/>
              <w:numPr>
                <w:ilvl w:val="0"/>
                <w:numId w:val="93"/>
              </w:numPr>
              <w:rPr>
                <w:noProof/>
                <w:color w:val="000000" w:themeColor="text1"/>
              </w:rPr>
            </w:pPr>
            <w:r>
              <w:rPr>
                <w:noProof/>
              </w:rPr>
              <w:t xml:space="preserve">Das System wird vom Nationalen Fonds für Umweltschutz und Wasserwirtschaft verwaltet. </w:t>
            </w:r>
          </w:p>
          <w:p w14:paraId="604C2E5D" w14:textId="0FB64FDC" w:rsidR="00EB245A" w:rsidRDefault="006021EE">
            <w:pPr>
              <w:pStyle w:val="P68B1DB1-Default33"/>
              <w:numPr>
                <w:ilvl w:val="0"/>
                <w:numId w:val="93"/>
              </w:numPr>
              <w:rPr>
                <w:noProof/>
                <w:color w:val="000000" w:themeColor="text1"/>
              </w:rPr>
            </w:pPr>
            <w:r>
              <w:rPr>
                <w:noProof/>
              </w:rPr>
              <w:t xml:space="preserve">Die Unterstützung wird in Form von Zuschüssen für natürliche Personen und Einzelunternehmer gewährt. </w:t>
            </w:r>
          </w:p>
          <w:p w14:paraId="0BB1C802" w14:textId="60227686" w:rsidR="00EB245A" w:rsidRDefault="006021EE">
            <w:pPr>
              <w:pStyle w:val="P68B1DB1-Default33"/>
              <w:numPr>
                <w:ilvl w:val="0"/>
                <w:numId w:val="93"/>
              </w:numPr>
              <w:rPr>
                <w:noProof/>
                <w:color w:val="000000" w:themeColor="text1"/>
              </w:rPr>
            </w:pPr>
            <w:r>
              <w:rPr>
                <w:noProof/>
              </w:rPr>
              <w:t>Die Höhe der Unterstützung darf die ursprünglic</w:t>
            </w:r>
            <w:r>
              <w:rPr>
                <w:noProof/>
              </w:rPr>
              <w:t>he Gebühr im Falle des Leasings oder der langfristigen Vermietung nicht übersteigen.  </w:t>
            </w:r>
          </w:p>
          <w:p w14:paraId="3E529E3D" w14:textId="2529D716" w:rsidR="00EB245A" w:rsidRDefault="006021EE">
            <w:pPr>
              <w:pStyle w:val="P68B1DB1-Default33"/>
              <w:numPr>
                <w:ilvl w:val="0"/>
                <w:numId w:val="93"/>
              </w:numPr>
              <w:rPr>
                <w:noProof/>
                <w:color w:val="000000" w:themeColor="text1"/>
              </w:rPr>
            </w:pPr>
            <w:r>
              <w:rPr>
                <w:noProof/>
              </w:rPr>
              <w:t>Sind gebrauchte Fahrzeuge förderfähig, muss eine Subvention für den Erwerb eines gebrauchten emissionsfreien Fahrzeugs einen Teil des Preises abdecken.  </w:t>
            </w:r>
          </w:p>
          <w:p w14:paraId="028D55C4" w14:textId="2AD8EBCF" w:rsidR="00EB245A" w:rsidRDefault="006021EE">
            <w:pPr>
              <w:pStyle w:val="P68B1DB1-Default33"/>
              <w:numPr>
                <w:ilvl w:val="0"/>
                <w:numId w:val="93"/>
              </w:numPr>
              <w:rPr>
                <w:noProof/>
                <w:color w:val="000000" w:themeColor="text1"/>
              </w:rPr>
            </w:pPr>
            <w:r>
              <w:rPr>
                <w:noProof/>
              </w:rPr>
              <w:t>Die Unterstützu</w:t>
            </w:r>
            <w:r>
              <w:rPr>
                <w:noProof/>
              </w:rPr>
              <w:t>ng beträgt höchstens 40 000 PLN für eine natürliche Person oder eine Person mit Einzelunternehmerschaft.  </w:t>
            </w:r>
          </w:p>
          <w:p w14:paraId="5CC0FEA5" w14:textId="4CA7A4E2" w:rsidR="00EB245A" w:rsidRDefault="006021EE">
            <w:pPr>
              <w:pStyle w:val="P68B1DB1-Default33"/>
              <w:numPr>
                <w:ilvl w:val="0"/>
                <w:numId w:val="93"/>
              </w:numPr>
              <w:rPr>
                <w:noProof/>
                <w:color w:val="000000" w:themeColor="text1"/>
              </w:rPr>
            </w:pPr>
            <w:r>
              <w:rPr>
                <w:noProof/>
              </w:rPr>
              <w:t xml:space="preserve">Der Preisschwellenwert für geförderte Fahrzeuge wird mit dem Ziel festgelegt, dass nur erschwingliche Fahrzeuge förderfähig sind.  </w:t>
            </w:r>
          </w:p>
          <w:p w14:paraId="031FFE3F" w14:textId="566D4EC9" w:rsidR="00EB245A" w:rsidRDefault="006021EE">
            <w:pPr>
              <w:pStyle w:val="P68B1DB1-Default33"/>
              <w:numPr>
                <w:ilvl w:val="0"/>
                <w:numId w:val="93"/>
              </w:numPr>
              <w:rPr>
                <w:noProof/>
                <w:color w:val="000000" w:themeColor="text1"/>
              </w:rPr>
            </w:pPr>
            <w:r>
              <w:rPr>
                <w:noProof/>
              </w:rPr>
              <w:t>Sind gebrauchte F</w:t>
            </w:r>
            <w:r>
              <w:rPr>
                <w:noProof/>
              </w:rPr>
              <w:t>ahrzeuge förderfähig, so ist das Höchstalter der unterstützten Fahrzeuge anzugeben.</w:t>
            </w:r>
          </w:p>
          <w:p w14:paraId="34B39B3F" w14:textId="3A74694F" w:rsidR="00EB245A" w:rsidRDefault="006021EE">
            <w:pPr>
              <w:pStyle w:val="P68B1DB1-Default33"/>
              <w:numPr>
                <w:ilvl w:val="0"/>
                <w:numId w:val="93"/>
              </w:numPr>
              <w:rPr>
                <w:noProof/>
                <w:color w:val="000000" w:themeColor="text1"/>
              </w:rPr>
            </w:pPr>
            <w:r>
              <w:rPr>
                <w:noProof/>
              </w:rPr>
              <w:t>Die Regelung sieht eine erhebliche Erhöhung der Unterstützung („Bonus“) für Antragsteller, die eine gültige Abwrackbescheinigung vorlegen, und für Antragsteller aus Haushal</w:t>
            </w:r>
            <w:r>
              <w:rPr>
                <w:noProof/>
              </w:rPr>
              <w:t>ten mit niedrigem Einkommen vor.  </w:t>
            </w:r>
          </w:p>
          <w:p w14:paraId="0B638C56" w14:textId="433216DA" w:rsidR="00EB245A" w:rsidRDefault="006021EE">
            <w:pPr>
              <w:pStyle w:val="P68B1DB1-Default33"/>
              <w:rPr>
                <w:noProof/>
              </w:rPr>
            </w:pPr>
            <w:r>
              <w:rPr>
                <w:noProof/>
              </w:rPr>
              <w:t>Der Nationale Fonds für Umweltschutz und Wasserwirtschaft veröffentlicht eine Aufforderung zur Einreichung von Bewerbungen.</w:t>
            </w:r>
          </w:p>
        </w:tc>
      </w:tr>
      <w:tr w:rsidR="00EB245A" w14:paraId="6A12C11A" w14:textId="77777777" w:rsidTr="00FA2520">
        <w:trPr>
          <w:trHeight w:val="1430"/>
        </w:trPr>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E85A3D3" w14:textId="6E1E4163" w:rsidR="00EB245A" w:rsidRDefault="006021EE">
            <w:pPr>
              <w:pStyle w:val="P68B1DB1-Normal011"/>
              <w:spacing w:line="240" w:lineRule="auto"/>
              <w:jc w:val="center"/>
              <w:rPr>
                <w:noProof/>
              </w:rPr>
            </w:pPr>
            <w:r>
              <w:rPr>
                <w:noProof/>
              </w:rPr>
              <w:t>E4bG</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EAAC0B" w14:textId="2F7CC8A7" w:rsidR="00EB245A" w:rsidRDefault="006021EE">
            <w:pPr>
              <w:pStyle w:val="P68B1DB1-Normal012"/>
              <w:spacing w:after="0" w:line="240" w:lineRule="auto"/>
              <w:rPr>
                <w:rFonts w:eastAsia="Times New Roman" w:cs="Times New Roman"/>
                <w:noProof/>
                <w:color w:val="000000" w:themeColor="text1"/>
              </w:rPr>
            </w:pPr>
            <w:r>
              <w:rPr>
                <w:noProof/>
              </w:rPr>
              <w:t>E1.1 Steigerung der Nutzung umweltfreundlicher Verkehrsmittel</w:t>
            </w:r>
          </w:p>
        </w:tc>
        <w:tc>
          <w:tcPr>
            <w:tcW w:w="11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0D70C65" w14:textId="3166E2F8" w:rsidR="00EB245A" w:rsidRDefault="006021EE">
            <w:pPr>
              <w:pStyle w:val="Normal0"/>
              <w:spacing w:line="240" w:lineRule="auto"/>
              <w:rPr>
                <w:rFonts w:ascii="Times New Roman" w:hAnsi="Times New Roman"/>
                <w:noProof/>
                <w:color w:val="000000" w:themeColor="text1"/>
                <w:sz w:val="18"/>
              </w:rPr>
            </w:pPr>
            <w:r>
              <w:rPr>
                <w:rStyle w:val="normaltextrun"/>
                <w:rFonts w:ascii="Times New Roman" w:hAnsi="Times New Roman"/>
                <w:noProof/>
                <w:sz w:val="18"/>
              </w:rPr>
              <w:t>Ziel</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50355D6" w14:textId="76A50252" w:rsidR="00EB245A" w:rsidRDefault="006021EE">
            <w:pPr>
              <w:pStyle w:val="Normal0"/>
              <w:spacing w:line="240" w:lineRule="auto"/>
              <w:rPr>
                <w:rFonts w:ascii="Times New Roman" w:hAnsi="Times New Roman"/>
                <w:noProof/>
                <w:color w:val="000000" w:themeColor="text1"/>
                <w:sz w:val="18"/>
              </w:rPr>
            </w:pPr>
            <w:r>
              <w:rPr>
                <w:rStyle w:val="normaltextrun"/>
                <w:rFonts w:ascii="Times New Roman" w:hAnsi="Times New Roman"/>
                <w:noProof/>
                <w:sz w:val="18"/>
              </w:rPr>
              <w:t xml:space="preserve">Mit den Endbegünstigten unterzeichnete rechtliche Vereinbarungen </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C00AFBC" w14:textId="33570498" w:rsidR="00EB245A" w:rsidRDefault="006021EE">
            <w:pPr>
              <w:pStyle w:val="Normal0"/>
              <w:spacing w:line="240" w:lineRule="auto"/>
              <w:rPr>
                <w:rFonts w:ascii="Times New Roman" w:hAnsi="Times New Roman"/>
                <w:noProof/>
                <w:color w:val="000000" w:themeColor="text1"/>
                <w:sz w:val="18"/>
              </w:rPr>
            </w:pPr>
            <w:r>
              <w:rPr>
                <w:rStyle w:val="eop"/>
                <w:rFonts w:ascii="Times New Roman" w:hAnsi="Times New Roman"/>
                <w:noProof/>
                <w:sz w:val="18"/>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1629398" w14:textId="2C57F7FD" w:rsidR="00EB245A" w:rsidRDefault="006021EE">
            <w:pPr>
              <w:pStyle w:val="Normal0"/>
              <w:spacing w:line="240" w:lineRule="auto"/>
              <w:rPr>
                <w:rFonts w:ascii="Times New Roman" w:eastAsia="Times New Roman" w:hAnsi="Times New Roman" w:cs="Times New Roman"/>
                <w:noProof/>
                <w:color w:val="000000" w:themeColor="text1"/>
                <w:sz w:val="18"/>
              </w:rPr>
            </w:pPr>
            <w:r>
              <w:rPr>
                <w:rStyle w:val="normaltextrun"/>
                <w:rFonts w:ascii="Times New Roman" w:hAnsi="Times New Roman"/>
                <w:noProof/>
                <w:sz w:val="18"/>
              </w:rPr>
              <w:t xml:space="preserve">Prozentsatz (%)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DC4EEF5" w14:textId="45D1644D" w:rsidR="00EB245A" w:rsidRDefault="006021EE">
            <w:pPr>
              <w:pStyle w:val="Normal0"/>
              <w:spacing w:line="240" w:lineRule="auto"/>
              <w:rPr>
                <w:rFonts w:ascii="Times New Roman" w:eastAsia="Times New Roman" w:hAnsi="Times New Roman" w:cs="Times New Roman"/>
                <w:noProof/>
                <w:color w:val="000000" w:themeColor="text1"/>
                <w:sz w:val="18"/>
              </w:rPr>
            </w:pPr>
            <w:r>
              <w:rPr>
                <w:rStyle w:val="normaltextrun"/>
                <w:rFonts w:ascii="Times New Roman" w:hAnsi="Times New Roman"/>
                <w:noProof/>
                <w:sz w:val="18"/>
              </w:rPr>
              <w:t xml:space="preserve">0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7100471" w14:textId="507130BE" w:rsidR="00EB245A" w:rsidRDefault="006021EE">
            <w:pPr>
              <w:pStyle w:val="Normal0"/>
              <w:spacing w:line="240" w:lineRule="auto"/>
              <w:rPr>
                <w:rFonts w:ascii="Times New Roman" w:eastAsia="Times New Roman" w:hAnsi="Times New Roman" w:cs="Times New Roman"/>
                <w:noProof/>
                <w:color w:val="000000" w:themeColor="text1"/>
                <w:sz w:val="18"/>
              </w:rPr>
            </w:pPr>
            <w:r>
              <w:rPr>
                <w:rStyle w:val="normaltextrun"/>
                <w:rFonts w:ascii="Times New Roman" w:hAnsi="Times New Roman"/>
                <w:noProof/>
                <w:sz w:val="18"/>
              </w:rPr>
              <w:t xml:space="preserve">25 %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C876247" w14:textId="2167D2D3" w:rsidR="00EB245A" w:rsidRDefault="006021EE">
            <w:pPr>
              <w:pStyle w:val="Normal0"/>
              <w:spacing w:line="240" w:lineRule="auto"/>
              <w:jc w:val="center"/>
              <w:rPr>
                <w:rFonts w:ascii="Times New Roman" w:hAnsi="Times New Roman"/>
                <w:noProof/>
                <w:color w:val="000000" w:themeColor="text1"/>
                <w:sz w:val="18"/>
              </w:rPr>
            </w:pPr>
            <w:r>
              <w:rPr>
                <w:rStyle w:val="normaltextrun"/>
                <w:rFonts w:ascii="Times New Roman" w:hAnsi="Times New Roman"/>
                <w:noProof/>
                <w:sz w:val="18"/>
              </w:rPr>
              <w:t xml:space="preserve">Q2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0D227F8" w14:textId="270FAE6A" w:rsidR="00EB245A" w:rsidRDefault="006021EE">
            <w:pPr>
              <w:pStyle w:val="Normal0"/>
              <w:spacing w:line="240" w:lineRule="auto"/>
              <w:jc w:val="center"/>
              <w:rPr>
                <w:rFonts w:ascii="Times New Roman" w:hAnsi="Times New Roman"/>
                <w:noProof/>
                <w:color w:val="000000" w:themeColor="text1"/>
                <w:sz w:val="18"/>
              </w:rPr>
            </w:pPr>
            <w:r>
              <w:rPr>
                <w:rStyle w:val="normaltextrun"/>
                <w:rFonts w:ascii="Times New Roman" w:hAnsi="Times New Roman"/>
                <w:noProof/>
                <w:sz w:val="18"/>
              </w:rPr>
              <w:t xml:space="preserve">2025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9541768" w14:textId="346DFB4F" w:rsidR="00EB245A" w:rsidRDefault="006021EE">
            <w:pPr>
              <w:pStyle w:val="Default"/>
              <w:rPr>
                <w:noProof/>
                <w:sz w:val="18"/>
              </w:rPr>
            </w:pPr>
            <w:r>
              <w:rPr>
                <w:rStyle w:val="normaltextrun"/>
                <w:noProof/>
                <w:sz w:val="18"/>
              </w:rPr>
              <w:t>Der Nationale Fonds für Umweltschutz und Wasserwirtschaft oder andere Einrichtungen, an die der Nationale Fonds für Umweltschutz und Wasserwirtschaft im</w:t>
            </w:r>
            <w:r>
              <w:rPr>
                <w:rStyle w:val="normaltextrun"/>
                <w:noProof/>
                <w:sz w:val="18"/>
              </w:rPr>
              <w:t xml:space="preserve"> Rahmen einer Vereinbarung Mittel überweist (z. B. Bank- oder Leasingeinrichtungen), müssen mit den Endbegünstigten rechtliche Finanzhilfevereinbarungen über einen Betrag geschlossen haben, der erforderlich ist, um mindestens 25 % des Budgets für die Zusch</w:t>
            </w:r>
            <w:r>
              <w:rPr>
                <w:rStyle w:val="normaltextrun"/>
                <w:noProof/>
                <w:sz w:val="18"/>
              </w:rPr>
              <w:t>ussregelung zu verwenden, und die entsprechende Unterstützung wird an die Begünstigten ausgezahlt.</w:t>
            </w:r>
          </w:p>
        </w:tc>
      </w:tr>
      <w:tr w:rsidR="00EB245A" w14:paraId="655424ED" w14:textId="77777777" w:rsidTr="00FA2520">
        <w:trPr>
          <w:trHeight w:val="545"/>
        </w:trPr>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0542DE" w14:textId="053AAAB5" w:rsidR="00EB245A" w:rsidRDefault="006021EE">
            <w:pPr>
              <w:pStyle w:val="P68B1DB1-Normal011"/>
              <w:spacing w:line="240" w:lineRule="auto"/>
              <w:jc w:val="center"/>
              <w:rPr>
                <w:noProof/>
              </w:rPr>
            </w:pPr>
            <w:r>
              <w:rPr>
                <w:noProof/>
              </w:rPr>
              <w:t>E4cG</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6E2FF50" w14:textId="5EA178F5" w:rsidR="00EB245A" w:rsidRDefault="006021EE">
            <w:pPr>
              <w:pStyle w:val="P68B1DB1-Normal012"/>
              <w:spacing w:after="0" w:line="240" w:lineRule="auto"/>
              <w:rPr>
                <w:noProof/>
                <w:color w:val="000000" w:themeColor="text1"/>
              </w:rPr>
            </w:pPr>
            <w:r>
              <w:rPr>
                <w:noProof/>
              </w:rPr>
              <w:t xml:space="preserve">E1.1. Verstärkte Nutzung umweltfreundlicher Verkehrsmittel </w:t>
            </w:r>
          </w:p>
        </w:tc>
        <w:tc>
          <w:tcPr>
            <w:tcW w:w="11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697088" w14:textId="76ACB6B7" w:rsidR="00EB245A" w:rsidRDefault="006021EE">
            <w:pPr>
              <w:pStyle w:val="Normal0"/>
              <w:spacing w:line="240" w:lineRule="auto"/>
              <w:rPr>
                <w:rFonts w:ascii="Times New Roman" w:hAnsi="Times New Roman"/>
                <w:noProof/>
                <w:color w:val="000000" w:themeColor="text1"/>
                <w:sz w:val="18"/>
              </w:rPr>
            </w:pPr>
            <w:r>
              <w:rPr>
                <w:rStyle w:val="normaltextrun"/>
                <w:rFonts w:ascii="Times New Roman" w:hAnsi="Times New Roman"/>
                <w:noProof/>
                <w:sz w:val="18"/>
              </w:rPr>
              <w:t>Ziel</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10F14C2" w14:textId="59A2413F" w:rsidR="00EB245A" w:rsidRDefault="006021EE">
            <w:pPr>
              <w:pStyle w:val="Normal0"/>
              <w:spacing w:line="240" w:lineRule="auto"/>
              <w:rPr>
                <w:rFonts w:ascii="Times New Roman" w:hAnsi="Times New Roman"/>
                <w:noProof/>
                <w:color w:val="000000" w:themeColor="text1"/>
                <w:sz w:val="18"/>
              </w:rPr>
            </w:pPr>
            <w:r>
              <w:rPr>
                <w:rStyle w:val="normaltextrun"/>
                <w:rFonts w:ascii="Times New Roman" w:hAnsi="Times New Roman"/>
                <w:noProof/>
                <w:sz w:val="18"/>
              </w:rPr>
              <w:t xml:space="preserve">Mit den Endbegünstigten unterzeichnete rechtliche Vereinbarungen </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A9C19FD" w14:textId="77777777" w:rsidR="00EB245A" w:rsidRDefault="00EB245A">
            <w:pPr>
              <w:pStyle w:val="Normal0"/>
              <w:spacing w:line="240" w:lineRule="auto"/>
              <w:rPr>
                <w:rFonts w:ascii="Times New Roman" w:hAnsi="Times New Roman"/>
                <w:noProof/>
                <w:color w:val="000000" w:themeColor="text1"/>
                <w:sz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19DCBA4" w14:textId="40ADE64D" w:rsidR="00EB245A" w:rsidRDefault="006021EE">
            <w:pPr>
              <w:pStyle w:val="Normal0"/>
              <w:spacing w:line="240" w:lineRule="auto"/>
              <w:rPr>
                <w:rFonts w:ascii="Times New Roman" w:eastAsia="Times New Roman" w:hAnsi="Times New Roman" w:cs="Times New Roman"/>
                <w:noProof/>
                <w:color w:val="000000" w:themeColor="text1"/>
                <w:sz w:val="18"/>
              </w:rPr>
            </w:pPr>
            <w:r>
              <w:rPr>
                <w:rStyle w:val="normaltextrun"/>
                <w:rFonts w:ascii="Times New Roman" w:hAnsi="Times New Roman"/>
                <w:noProof/>
                <w:sz w:val="18"/>
              </w:rPr>
              <w:t xml:space="preserve">Prozentsatz (%)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9A1184" w14:textId="64203D27" w:rsidR="00EB245A" w:rsidRDefault="006021EE">
            <w:pPr>
              <w:pStyle w:val="Normal0"/>
              <w:spacing w:line="240" w:lineRule="auto"/>
              <w:rPr>
                <w:rFonts w:ascii="Times New Roman" w:eastAsia="Times New Roman" w:hAnsi="Times New Roman" w:cs="Times New Roman"/>
                <w:noProof/>
                <w:color w:val="000000" w:themeColor="text1"/>
                <w:sz w:val="18"/>
              </w:rPr>
            </w:pPr>
            <w:r>
              <w:rPr>
                <w:rStyle w:val="normaltextrun"/>
                <w:rFonts w:ascii="Times New Roman" w:hAnsi="Times New Roman"/>
                <w:noProof/>
                <w:sz w:val="18"/>
              </w:rPr>
              <w:t xml:space="preserve">25 %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A9EE4F8" w14:textId="58FFF3FD" w:rsidR="00EB245A" w:rsidRDefault="006021EE">
            <w:pPr>
              <w:pStyle w:val="Normal0"/>
              <w:spacing w:line="240" w:lineRule="auto"/>
              <w:rPr>
                <w:rFonts w:ascii="Times New Roman" w:eastAsia="Times New Roman" w:hAnsi="Times New Roman" w:cs="Times New Roman"/>
                <w:noProof/>
                <w:color w:val="000000" w:themeColor="text1"/>
                <w:sz w:val="18"/>
              </w:rPr>
            </w:pPr>
            <w:r>
              <w:rPr>
                <w:rStyle w:val="normaltextrun"/>
                <w:rFonts w:ascii="Times New Roman" w:hAnsi="Times New Roman"/>
                <w:noProof/>
                <w:sz w:val="18"/>
              </w:rPr>
              <w:t xml:space="preserve">100 %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CC2ED36" w14:textId="299EB3B9" w:rsidR="00EB245A" w:rsidRDefault="006021EE">
            <w:pPr>
              <w:pStyle w:val="Normal0"/>
              <w:spacing w:line="240" w:lineRule="auto"/>
              <w:jc w:val="center"/>
              <w:rPr>
                <w:rFonts w:ascii="Times New Roman" w:hAnsi="Times New Roman"/>
                <w:noProof/>
                <w:color w:val="000000" w:themeColor="text1"/>
                <w:sz w:val="18"/>
              </w:rPr>
            </w:pPr>
            <w:r>
              <w:rPr>
                <w:rStyle w:val="normaltextrun"/>
                <w:rFonts w:ascii="Times New Roman" w:hAnsi="Times New Roman"/>
                <w:noProof/>
                <w:sz w:val="18"/>
              </w:rPr>
              <w:t>Q2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1318C4" w14:textId="5E12CD12" w:rsidR="00EB245A" w:rsidRDefault="006021EE">
            <w:pPr>
              <w:pStyle w:val="Normal0"/>
              <w:spacing w:line="240" w:lineRule="auto"/>
              <w:jc w:val="center"/>
              <w:rPr>
                <w:rFonts w:ascii="Times New Roman" w:hAnsi="Times New Roman"/>
                <w:noProof/>
                <w:color w:val="000000" w:themeColor="text1"/>
                <w:sz w:val="18"/>
              </w:rPr>
            </w:pPr>
            <w:r>
              <w:rPr>
                <w:rStyle w:val="normaltextrun"/>
                <w:rFonts w:ascii="Times New Roman" w:hAnsi="Times New Roman"/>
                <w:noProof/>
                <w:sz w:val="18"/>
              </w:rPr>
              <w:t>2026</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0AA037A" w14:textId="73AA301C" w:rsidR="00EB245A" w:rsidRDefault="006021EE">
            <w:pPr>
              <w:pStyle w:val="Default"/>
              <w:rPr>
                <w:noProof/>
                <w:sz w:val="18"/>
              </w:rPr>
            </w:pPr>
            <w:r>
              <w:rPr>
                <w:rStyle w:val="normaltextrun"/>
                <w:noProof/>
                <w:sz w:val="18"/>
              </w:rPr>
              <w:t>Der Nationale Fonds für Umweltschutz und Wasserwirtschaft oder andere Einrichtungen, an die der Nationale Fonds für Umweltschutz und Wasserwirtschaft im Rahmen einer Vereinbarung Mittel überweist (z. B. Bank- oder Leasingeinrichtungen)</w:t>
            </w:r>
            <w:r>
              <w:rPr>
                <w:rStyle w:val="normaltextrun"/>
                <w:noProof/>
                <w:sz w:val="18"/>
              </w:rPr>
              <w:t>, müssen mit den Endbegünstigten rechtliche Finanzhilfevereinbarungen über einen Betrag geschlossen haben, der erforderlich ist, um 100 % des Budgets für die Zuschussregelung zu verwenden, und die entsprechende Unterstützung wird an die Begünstigten ausgez</w:t>
            </w:r>
            <w:r>
              <w:rPr>
                <w:rStyle w:val="normaltextrun"/>
                <w:noProof/>
                <w:sz w:val="18"/>
              </w:rPr>
              <w:t xml:space="preserve">ahlt. </w:t>
            </w:r>
          </w:p>
        </w:tc>
      </w:tr>
      <w:tr w:rsidR="00EB245A" w14:paraId="1436708A" w14:textId="77777777" w:rsidTr="00FA2520">
        <w:trPr>
          <w:trHeight w:val="300"/>
        </w:trPr>
        <w:tc>
          <w:tcPr>
            <w:tcW w:w="655" w:type="dxa"/>
            <w:shd w:val="clear" w:color="auto" w:fill="C6EFCE"/>
          </w:tcPr>
          <w:p w14:paraId="735021F9" w14:textId="6471A22E"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E5G</w:t>
            </w:r>
          </w:p>
        </w:tc>
        <w:tc>
          <w:tcPr>
            <w:tcW w:w="1280" w:type="dxa"/>
            <w:shd w:val="clear" w:color="auto" w:fill="C6EFCE"/>
          </w:tcPr>
          <w:p w14:paraId="2CBFB1C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E1.1 Steigerung der Nutzung umweltfreundlicher Verkehrsmittel</w:t>
            </w:r>
          </w:p>
        </w:tc>
        <w:tc>
          <w:tcPr>
            <w:tcW w:w="1184" w:type="dxa"/>
            <w:shd w:val="clear" w:color="auto" w:fill="C6EFCE"/>
          </w:tcPr>
          <w:p w14:paraId="50BB12E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Ziel</w:t>
            </w:r>
          </w:p>
        </w:tc>
        <w:tc>
          <w:tcPr>
            <w:tcW w:w="1872" w:type="dxa"/>
            <w:shd w:val="clear" w:color="auto" w:fill="C6EFCE"/>
          </w:tcPr>
          <w:p w14:paraId="334DF1F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Städte mit neuen Plänen für nachhaltige urbane Mobilität</w:t>
            </w:r>
          </w:p>
        </w:tc>
        <w:tc>
          <w:tcPr>
            <w:tcW w:w="1955" w:type="dxa"/>
            <w:shd w:val="clear" w:color="auto" w:fill="C6EFCE"/>
          </w:tcPr>
          <w:p w14:paraId="2BCF74AB"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134" w:type="dxa"/>
            <w:shd w:val="clear" w:color="auto" w:fill="C6EFCE"/>
          </w:tcPr>
          <w:p w14:paraId="51D37CA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Anzahl</w:t>
            </w:r>
          </w:p>
        </w:tc>
        <w:tc>
          <w:tcPr>
            <w:tcW w:w="1418" w:type="dxa"/>
            <w:shd w:val="clear" w:color="auto" w:fill="C6EFCE"/>
          </w:tcPr>
          <w:p w14:paraId="5589E8F7"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0</w:t>
            </w:r>
          </w:p>
        </w:tc>
        <w:tc>
          <w:tcPr>
            <w:tcW w:w="992" w:type="dxa"/>
            <w:shd w:val="clear" w:color="auto" w:fill="C6EFCE"/>
          </w:tcPr>
          <w:p w14:paraId="2E98577D"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30</w:t>
            </w:r>
          </w:p>
        </w:tc>
        <w:tc>
          <w:tcPr>
            <w:tcW w:w="992" w:type="dxa"/>
            <w:shd w:val="clear" w:color="auto" w:fill="C6EFCE"/>
          </w:tcPr>
          <w:p w14:paraId="26F42D03"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Q2</w:t>
            </w:r>
          </w:p>
        </w:tc>
        <w:tc>
          <w:tcPr>
            <w:tcW w:w="851" w:type="dxa"/>
            <w:shd w:val="clear" w:color="auto" w:fill="C6EFCE"/>
          </w:tcPr>
          <w:p w14:paraId="55C1A902"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2025</w:t>
            </w:r>
          </w:p>
        </w:tc>
        <w:tc>
          <w:tcPr>
            <w:tcW w:w="3118" w:type="dxa"/>
            <w:shd w:val="clear" w:color="auto" w:fill="C6EFCE"/>
          </w:tcPr>
          <w:p w14:paraId="4BDAD4AD" w14:textId="0FD194E1"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Das quantitative Ziel bezieht sich auf die Zahl der Städte, die einen neuen Plan für nachhaltige urbane Mobilität im Einklang mit dem SUMP-Konzept in der neuen Mitteilung über den EU-Rahmen für urbane Mobilität aus dem Jahr 2021 annehmen. </w:t>
            </w:r>
          </w:p>
        </w:tc>
      </w:tr>
      <w:tr w:rsidR="00EB245A" w14:paraId="20C80965" w14:textId="77777777" w:rsidTr="00FA2520">
        <w:trPr>
          <w:trHeight w:val="300"/>
        </w:trPr>
        <w:tc>
          <w:tcPr>
            <w:tcW w:w="655" w:type="dxa"/>
            <w:shd w:val="clear" w:color="auto" w:fill="C6EFCE"/>
          </w:tcPr>
          <w:p w14:paraId="4E8DAD35" w14:textId="74A8DDE0"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E6G</w:t>
            </w:r>
          </w:p>
        </w:tc>
        <w:tc>
          <w:tcPr>
            <w:tcW w:w="1280" w:type="dxa"/>
            <w:shd w:val="clear" w:color="auto" w:fill="C6EFCE"/>
          </w:tcPr>
          <w:p w14:paraId="03BABFF0"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E1.1 </w:t>
            </w:r>
            <w:r>
              <w:rPr>
                <w:noProof/>
              </w:rPr>
              <w:t>Steigerung der Nutzung umweltfreundlicher Verkehrsmittel</w:t>
            </w:r>
          </w:p>
        </w:tc>
        <w:tc>
          <w:tcPr>
            <w:tcW w:w="1184" w:type="dxa"/>
            <w:shd w:val="clear" w:color="auto" w:fill="C6EFCE"/>
          </w:tcPr>
          <w:p w14:paraId="1DF7FC3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Ziel</w:t>
            </w:r>
          </w:p>
        </w:tc>
        <w:tc>
          <w:tcPr>
            <w:tcW w:w="1872" w:type="dxa"/>
            <w:shd w:val="clear" w:color="auto" w:fill="C6EFCE"/>
          </w:tcPr>
          <w:p w14:paraId="6311C8B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Buslinien, die aus dem öffentlichen Busverkehrsfonds unterstützt werden</w:t>
            </w:r>
          </w:p>
        </w:tc>
        <w:tc>
          <w:tcPr>
            <w:tcW w:w="1955" w:type="dxa"/>
            <w:shd w:val="clear" w:color="auto" w:fill="C6EFCE"/>
          </w:tcPr>
          <w:p w14:paraId="57BA78F1"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134" w:type="dxa"/>
            <w:shd w:val="clear" w:color="auto" w:fill="C6EFCE"/>
          </w:tcPr>
          <w:p w14:paraId="799A060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Anzahl</w:t>
            </w:r>
          </w:p>
        </w:tc>
        <w:tc>
          <w:tcPr>
            <w:tcW w:w="1418" w:type="dxa"/>
            <w:shd w:val="clear" w:color="auto" w:fill="C6EFCE"/>
          </w:tcPr>
          <w:p w14:paraId="2B7B82DE"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0</w:t>
            </w:r>
          </w:p>
        </w:tc>
        <w:tc>
          <w:tcPr>
            <w:tcW w:w="992" w:type="dxa"/>
            <w:shd w:val="clear" w:color="auto" w:fill="C6EFCE"/>
          </w:tcPr>
          <w:p w14:paraId="6D59599C" w14:textId="0B90285E"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4500</w:t>
            </w:r>
          </w:p>
        </w:tc>
        <w:tc>
          <w:tcPr>
            <w:tcW w:w="992" w:type="dxa"/>
            <w:shd w:val="clear" w:color="auto" w:fill="C6EFCE"/>
          </w:tcPr>
          <w:p w14:paraId="71E3E68E"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Q4</w:t>
            </w:r>
          </w:p>
        </w:tc>
        <w:tc>
          <w:tcPr>
            <w:tcW w:w="851" w:type="dxa"/>
            <w:shd w:val="clear" w:color="auto" w:fill="C6EFCE"/>
          </w:tcPr>
          <w:p w14:paraId="28FC7A3A"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2024</w:t>
            </w:r>
          </w:p>
        </w:tc>
        <w:tc>
          <w:tcPr>
            <w:tcW w:w="3118" w:type="dxa"/>
            <w:shd w:val="clear" w:color="auto" w:fill="C6EFCE"/>
          </w:tcPr>
          <w:p w14:paraId="224FD06B" w14:textId="4FE766AF"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Das Ziel bezieht sich auf die Zahl der Buslinien, die aus dem öffentlichen Busverkehrsfonds </w:t>
            </w:r>
            <w:r>
              <w:rPr>
                <w:noProof/>
              </w:rPr>
              <w:t>unterstützt werden. Der Fonds unterstützt den öffentlichen Verkehr, der zur Verringerung des Individualverkehrs und damit zur Verringerung der negativen Auswirkungen des Verkehrs auf die Umwelt beiträgt. </w:t>
            </w:r>
          </w:p>
        </w:tc>
      </w:tr>
      <w:tr w:rsidR="00EB245A" w14:paraId="687168AA" w14:textId="77777777" w:rsidTr="00FA2520">
        <w:trPr>
          <w:trHeight w:val="300"/>
        </w:trPr>
        <w:tc>
          <w:tcPr>
            <w:tcW w:w="655" w:type="dxa"/>
            <w:shd w:val="clear" w:color="auto" w:fill="C6EFCE"/>
          </w:tcPr>
          <w:p w14:paraId="5803CAFC" w14:textId="0D54C96C"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E7G</w:t>
            </w:r>
          </w:p>
        </w:tc>
        <w:tc>
          <w:tcPr>
            <w:tcW w:w="1280" w:type="dxa"/>
            <w:shd w:val="clear" w:color="auto" w:fill="C6EFCE"/>
          </w:tcPr>
          <w:p w14:paraId="30A3253B"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E1.1 Steigerung der Nutzung umweltfreundlicher</w:t>
            </w:r>
            <w:r>
              <w:rPr>
                <w:noProof/>
              </w:rPr>
              <w:t xml:space="preserve"> Verkehrsmittel</w:t>
            </w:r>
          </w:p>
        </w:tc>
        <w:tc>
          <w:tcPr>
            <w:tcW w:w="1184" w:type="dxa"/>
            <w:shd w:val="clear" w:color="auto" w:fill="C6EFCE"/>
          </w:tcPr>
          <w:p w14:paraId="3674509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Ziel</w:t>
            </w:r>
          </w:p>
        </w:tc>
        <w:tc>
          <w:tcPr>
            <w:tcW w:w="1872" w:type="dxa"/>
            <w:shd w:val="clear" w:color="auto" w:fill="C6EFCE"/>
          </w:tcPr>
          <w:p w14:paraId="6CFC3D1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Neue emissionsfreie Fahrzeuge</w:t>
            </w:r>
          </w:p>
        </w:tc>
        <w:tc>
          <w:tcPr>
            <w:tcW w:w="1955" w:type="dxa"/>
            <w:shd w:val="clear" w:color="auto" w:fill="C6EFCE"/>
          </w:tcPr>
          <w:p w14:paraId="723D716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134" w:type="dxa"/>
            <w:shd w:val="clear" w:color="auto" w:fill="C6EFCE"/>
          </w:tcPr>
          <w:p w14:paraId="173F8A4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(Prozent)</w:t>
            </w:r>
          </w:p>
        </w:tc>
        <w:tc>
          <w:tcPr>
            <w:tcW w:w="1418" w:type="dxa"/>
            <w:shd w:val="clear" w:color="auto" w:fill="C6EFCE"/>
          </w:tcPr>
          <w:p w14:paraId="05AF4EEF"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0</w:t>
            </w:r>
          </w:p>
        </w:tc>
        <w:tc>
          <w:tcPr>
            <w:tcW w:w="992" w:type="dxa"/>
            <w:shd w:val="clear" w:color="auto" w:fill="C6EFCE"/>
          </w:tcPr>
          <w:p w14:paraId="60525613"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100</w:t>
            </w:r>
          </w:p>
        </w:tc>
        <w:tc>
          <w:tcPr>
            <w:tcW w:w="992" w:type="dxa"/>
            <w:shd w:val="clear" w:color="auto" w:fill="C6EFCE"/>
          </w:tcPr>
          <w:p w14:paraId="051C146A"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Q2</w:t>
            </w:r>
          </w:p>
        </w:tc>
        <w:tc>
          <w:tcPr>
            <w:tcW w:w="851" w:type="dxa"/>
            <w:shd w:val="clear" w:color="auto" w:fill="C6EFCE"/>
          </w:tcPr>
          <w:p w14:paraId="51B05968"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2026</w:t>
            </w:r>
          </w:p>
        </w:tc>
        <w:tc>
          <w:tcPr>
            <w:tcW w:w="3118" w:type="dxa"/>
            <w:shd w:val="clear" w:color="auto" w:fill="C6EFCE"/>
          </w:tcPr>
          <w:p w14:paraId="017E8E55" w14:textId="10DB9F49"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Ziel ist es, den Anteil neuer emissionsfreier Fahrzeuge (Autos/Busse und schwere Nutzfahrzeuge) um mindestens 100 % zu erhöhen.</w:t>
            </w:r>
          </w:p>
          <w:p w14:paraId="2C139F5C" w14:textId="77777777" w:rsidR="00EB245A" w:rsidRDefault="00EB245A">
            <w:pPr>
              <w:pStyle w:val="Normal0"/>
              <w:pBdr>
                <w:top w:val="nil"/>
                <w:left w:val="nil"/>
                <w:bottom w:val="nil"/>
                <w:right w:val="nil"/>
                <w:between w:val="nil"/>
              </w:pBdr>
              <w:spacing w:after="0" w:line="240" w:lineRule="auto"/>
              <w:rPr>
                <w:rFonts w:ascii="Times New Roman" w:hAnsi="Times New Roman"/>
                <w:noProof/>
                <w:color w:val="000000" w:themeColor="text1"/>
                <w:sz w:val="18"/>
              </w:rPr>
            </w:pPr>
          </w:p>
          <w:p w14:paraId="65B11663" w14:textId="4F01FB0E"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Ende 2020 belief sich die Zahl der in Polen zugelassenen Elektrofahrzeuge auf 10041. </w:t>
            </w:r>
          </w:p>
          <w:p w14:paraId="2C4A422A" w14:textId="5281A4B9"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Ausgehend von dieser Zahl bedeutet dies, dass die Zahl der Elektrofahrzeuge am Ende des zweiten Quartals 2026 mindestens 20082 betragen muss.</w:t>
            </w:r>
          </w:p>
        </w:tc>
      </w:tr>
      <w:tr w:rsidR="00EB245A" w14:paraId="49ABCA20" w14:textId="77777777" w:rsidTr="00FA2520">
        <w:trPr>
          <w:trHeight w:val="300"/>
        </w:trPr>
        <w:tc>
          <w:tcPr>
            <w:tcW w:w="655" w:type="dxa"/>
            <w:shd w:val="clear" w:color="auto" w:fill="C6EFCE"/>
          </w:tcPr>
          <w:p w14:paraId="61407E9D" w14:textId="711EFD11" w:rsidR="00EB245A" w:rsidRDefault="006021EE">
            <w:pPr>
              <w:pStyle w:val="P68B1DB1-Normal011"/>
              <w:spacing w:after="0" w:line="240" w:lineRule="auto"/>
              <w:jc w:val="center"/>
              <w:rPr>
                <w:rFonts w:eastAsia="Times New Roman" w:cs="Times New Roman"/>
                <w:noProof/>
                <w:color w:val="006100"/>
              </w:rPr>
            </w:pPr>
            <w:r>
              <w:rPr>
                <w:noProof/>
              </w:rPr>
              <w:t>E8G</w:t>
            </w:r>
          </w:p>
        </w:tc>
        <w:tc>
          <w:tcPr>
            <w:tcW w:w="1280" w:type="dxa"/>
            <w:shd w:val="clear" w:color="auto" w:fill="C6EFCE"/>
          </w:tcPr>
          <w:p w14:paraId="4D07DE7C" w14:textId="18E8019C" w:rsidR="00EB245A" w:rsidRDefault="006021EE">
            <w:pPr>
              <w:pStyle w:val="P68B1DB1-Normal012"/>
              <w:spacing w:after="0" w:line="240" w:lineRule="auto"/>
              <w:rPr>
                <w:rFonts w:eastAsia="Times New Roman" w:cs="Times New Roman"/>
                <w:noProof/>
                <w:color w:val="006100"/>
              </w:rPr>
            </w:pPr>
            <w:r>
              <w:rPr>
                <w:noProof/>
              </w:rPr>
              <w:t xml:space="preserve">E1.1.1 Unterstützung </w:t>
            </w:r>
            <w:r>
              <w:rPr>
                <w:noProof/>
              </w:rPr>
              <w:t>einer CO2-armen Wirtschaft</w:t>
            </w:r>
          </w:p>
        </w:tc>
        <w:tc>
          <w:tcPr>
            <w:tcW w:w="1184" w:type="dxa"/>
            <w:shd w:val="clear" w:color="auto" w:fill="C6EFCE"/>
          </w:tcPr>
          <w:p w14:paraId="0E6D5DE3" w14:textId="441CCC52" w:rsidR="00EB245A" w:rsidRDefault="006021EE">
            <w:pPr>
              <w:pStyle w:val="P68B1DB1-Normal012"/>
              <w:spacing w:after="0" w:line="240" w:lineRule="auto"/>
              <w:rPr>
                <w:rFonts w:eastAsia="Times New Roman" w:cs="Times New Roman"/>
                <w:noProof/>
                <w:color w:val="006100"/>
              </w:rPr>
            </w:pPr>
            <w:r>
              <w:rPr>
                <w:noProof/>
              </w:rPr>
              <w:t>Meilenstein</w:t>
            </w:r>
          </w:p>
        </w:tc>
        <w:tc>
          <w:tcPr>
            <w:tcW w:w="1872" w:type="dxa"/>
            <w:shd w:val="clear" w:color="auto" w:fill="C6EFCE"/>
          </w:tcPr>
          <w:p w14:paraId="50CAAB55" w14:textId="1B22DCDA" w:rsidR="00EB245A" w:rsidRDefault="006021EE">
            <w:pPr>
              <w:pStyle w:val="P68B1DB1-Normal012"/>
              <w:spacing w:after="0" w:line="240" w:lineRule="auto"/>
              <w:rPr>
                <w:rFonts w:eastAsia="Times New Roman" w:cs="Times New Roman"/>
                <w:noProof/>
                <w:color w:val="006100"/>
              </w:rPr>
            </w:pPr>
            <w:r>
              <w:rPr>
                <w:noProof/>
              </w:rPr>
              <w:t>Schaffung eines Finanzierungsinstruments (Fonds) für emissionsfreie/emissionsarme Mobilität und Energie</w:t>
            </w:r>
          </w:p>
        </w:tc>
        <w:tc>
          <w:tcPr>
            <w:tcW w:w="1955" w:type="dxa"/>
            <w:shd w:val="clear" w:color="auto" w:fill="C6EFCE"/>
          </w:tcPr>
          <w:p w14:paraId="703438A4" w14:textId="47E8FF3C" w:rsidR="00EB245A" w:rsidRDefault="006021EE">
            <w:pPr>
              <w:pStyle w:val="P68B1DB1-Normal012"/>
              <w:spacing w:after="0" w:line="240" w:lineRule="auto"/>
              <w:rPr>
                <w:rFonts w:eastAsia="Times New Roman" w:cs="Times New Roman"/>
                <w:noProof/>
                <w:color w:val="006100"/>
              </w:rPr>
            </w:pPr>
            <w:r>
              <w:rPr>
                <w:noProof/>
              </w:rPr>
              <w:t>Genehmigung und Registrierung des Fonds, Genehmigung der Anlagestrategie durch die Leitungsgremien des Fonds</w:t>
            </w:r>
          </w:p>
        </w:tc>
        <w:tc>
          <w:tcPr>
            <w:tcW w:w="1134" w:type="dxa"/>
            <w:shd w:val="clear" w:color="auto" w:fill="C6EFCE"/>
          </w:tcPr>
          <w:p w14:paraId="7CB19870" w14:textId="60225ACF" w:rsidR="00EB245A" w:rsidRDefault="00EB245A">
            <w:pPr>
              <w:pStyle w:val="Normal0"/>
              <w:spacing w:after="0" w:line="240" w:lineRule="auto"/>
              <w:rPr>
                <w:rFonts w:ascii="Times New Roman" w:eastAsia="Times New Roman" w:hAnsi="Times New Roman" w:cs="Times New Roman"/>
                <w:noProof/>
                <w:color w:val="006100"/>
                <w:sz w:val="18"/>
              </w:rPr>
            </w:pPr>
          </w:p>
        </w:tc>
        <w:tc>
          <w:tcPr>
            <w:tcW w:w="1418" w:type="dxa"/>
            <w:shd w:val="clear" w:color="auto" w:fill="C6EFCE"/>
          </w:tcPr>
          <w:p w14:paraId="33215A22" w14:textId="56C875F5" w:rsidR="00EB245A" w:rsidRDefault="00EB245A">
            <w:pPr>
              <w:pStyle w:val="Normal0"/>
              <w:spacing w:after="0" w:line="240" w:lineRule="auto"/>
              <w:jc w:val="right"/>
              <w:rPr>
                <w:rFonts w:ascii="Times New Roman" w:eastAsia="Times New Roman" w:hAnsi="Times New Roman" w:cs="Times New Roman"/>
                <w:noProof/>
                <w:color w:val="006100"/>
                <w:sz w:val="18"/>
              </w:rPr>
            </w:pPr>
          </w:p>
        </w:tc>
        <w:tc>
          <w:tcPr>
            <w:tcW w:w="992" w:type="dxa"/>
            <w:shd w:val="clear" w:color="auto" w:fill="C6EFCE"/>
          </w:tcPr>
          <w:p w14:paraId="4542BD0F" w14:textId="7DE74098" w:rsidR="00EB245A" w:rsidRDefault="00EB245A">
            <w:pPr>
              <w:pStyle w:val="Normal0"/>
              <w:spacing w:after="0" w:line="240" w:lineRule="auto"/>
              <w:jc w:val="right"/>
              <w:rPr>
                <w:rFonts w:ascii="Times New Roman" w:eastAsia="Times New Roman" w:hAnsi="Times New Roman" w:cs="Times New Roman"/>
                <w:noProof/>
                <w:color w:val="006100"/>
                <w:sz w:val="18"/>
              </w:rPr>
            </w:pPr>
          </w:p>
        </w:tc>
        <w:tc>
          <w:tcPr>
            <w:tcW w:w="992" w:type="dxa"/>
            <w:shd w:val="clear" w:color="auto" w:fill="C6EFCE"/>
          </w:tcPr>
          <w:p w14:paraId="3A8966E0" w14:textId="73E0D696" w:rsidR="00EB245A" w:rsidRDefault="006021EE">
            <w:pPr>
              <w:pStyle w:val="Normal0"/>
              <w:spacing w:after="0" w:line="240" w:lineRule="auto"/>
              <w:jc w:val="center"/>
              <w:rPr>
                <w:rFonts w:ascii="Times New Roman" w:eastAsia="Times New Roman" w:hAnsi="Times New Roman" w:cs="Times New Roman"/>
                <w:noProof/>
                <w:color w:val="006100"/>
                <w:sz w:val="18"/>
              </w:rPr>
            </w:pPr>
            <w:r>
              <w:rPr>
                <w:rStyle w:val="eop"/>
                <w:rFonts w:ascii="Times New Roman" w:hAnsi="Times New Roman"/>
                <w:noProof/>
                <w:sz w:val="18"/>
              </w:rPr>
              <w:t xml:space="preserve"> </w:t>
            </w:r>
            <w:r>
              <w:rPr>
                <w:rFonts w:ascii="Times New Roman" w:hAnsi="Times New Roman"/>
                <w:noProof/>
                <w:color w:val="000000" w:themeColor="text1"/>
                <w:sz w:val="18"/>
              </w:rPr>
              <w:t>Q2</w:t>
            </w:r>
          </w:p>
        </w:tc>
        <w:tc>
          <w:tcPr>
            <w:tcW w:w="851" w:type="dxa"/>
            <w:shd w:val="clear" w:color="auto" w:fill="C6EFCE"/>
          </w:tcPr>
          <w:p w14:paraId="0054E802" w14:textId="31874646" w:rsidR="00EB245A" w:rsidRDefault="006021EE">
            <w:pPr>
              <w:pStyle w:val="Normal0"/>
              <w:spacing w:after="0" w:line="240" w:lineRule="auto"/>
              <w:jc w:val="center"/>
              <w:rPr>
                <w:rFonts w:ascii="Times New Roman" w:eastAsia="Times New Roman" w:hAnsi="Times New Roman" w:cs="Times New Roman"/>
                <w:noProof/>
                <w:color w:val="006100"/>
                <w:sz w:val="18"/>
              </w:rPr>
            </w:pPr>
            <w:r>
              <w:rPr>
                <w:rStyle w:val="eop"/>
                <w:rFonts w:ascii="Times New Roman" w:hAnsi="Times New Roman"/>
                <w:noProof/>
                <w:sz w:val="18"/>
              </w:rPr>
              <w:t xml:space="preserve"> </w:t>
            </w:r>
            <w:r>
              <w:rPr>
                <w:rFonts w:ascii="Times New Roman" w:hAnsi="Times New Roman"/>
                <w:noProof/>
                <w:color w:val="000000" w:themeColor="text1"/>
                <w:sz w:val="18"/>
              </w:rPr>
              <w:t>2022</w:t>
            </w:r>
          </w:p>
        </w:tc>
        <w:tc>
          <w:tcPr>
            <w:tcW w:w="3118" w:type="dxa"/>
            <w:shd w:val="clear" w:color="auto" w:fill="C6EFCE"/>
          </w:tcPr>
          <w:p w14:paraId="01366D99" w14:textId="36C1BCD5" w:rsidR="00EB245A" w:rsidRDefault="006021EE">
            <w:pPr>
              <w:pStyle w:val="P68B1DB1-Normal13"/>
              <w:spacing w:after="0" w:line="240" w:lineRule="auto"/>
              <w:rPr>
                <w:rFonts w:cs="Times New Roman"/>
                <w:noProof/>
              </w:rPr>
            </w:pPr>
            <w:r>
              <w:rPr>
                <w:noProof/>
              </w:rPr>
              <w:t>Einrichtung des Finanzinstruments („Fonds“) zur Unterstützung der emissionsarmen Wirtschaft in Polen, einschließlich der entsprechenden Investitionsstrategie/-politik. Letztere werden von den Leitungsgremien des Fonds angenommen und stehen im Eink</w:t>
            </w:r>
            <w:r>
              <w:rPr>
                <w:noProof/>
              </w:rPr>
              <w:t>lang mit den Leitlinien der Kommission vom 22. Januar 2021 zu Finanzierungsinstrumenten, einschließlich Auswahlkriterien, um die Einhaltung der Technischen Leitlinien für die „Vermeidung erheblicher Beeinträchtigungen“ (2021/C 58/01) der im Rahmen dieser M</w:t>
            </w:r>
            <w:r>
              <w:rPr>
                <w:noProof/>
              </w:rPr>
              <w:t>aßnahme unterstützten Transaktionen durch die Verwendung von Nachhaltigkeitsprüfungen, eine Ausschlussliste und die Anforderung der Einhaltung der einschlägigen EU- und nationalen Umweltvorschriften sicherzustellen. Insbesondere wird sichergestellt, dass d</w:t>
            </w:r>
            <w:r>
              <w:rPr>
                <w:noProof/>
              </w:rPr>
              <w:t>ie geförderten Investitionen mit Artikel 6 Absatz 3 und Artikel 12 der Habitat-Richtlinie und Artikel 5 der Vogelschutzrichtlinie im Einklang stehen, und erforderlichenfalls wird eine Umweltverträglichkeitsprüfung (UVP) oder ein Screening gemäß der UVP-Ric</w:t>
            </w:r>
            <w:r>
              <w:rPr>
                <w:noProof/>
              </w:rPr>
              <w:t>htlinie durchgeführt. Aus dem Fonds werden Finanzierungsinstrumente (Eigenkapital oder Fremdkapital) für Investitionsprojekte im Zusammenhang mit Forschungs- und Innovationsprozessen, Technologietransfer und Zusammenarbeit zwischen Unternehmen mit Schwerpu</w:t>
            </w:r>
            <w:r>
              <w:rPr>
                <w:noProof/>
              </w:rPr>
              <w:t xml:space="preserve">nkt auf der CO2-armen Wirtschaft, der Resilienz und der Anpassung an den Klimawandel bereitgestellt, wobei der Schwerpunkt auf emissionsarmen und emissionsfreien innovativen Lösungen im Bereich der nachhaltigen Mobilität und emissionsfreier/emissionsarmer </w:t>
            </w:r>
            <w:r>
              <w:rPr>
                <w:noProof/>
              </w:rPr>
              <w:t>Energiequellen (ausgenommen komprimiertes Erdgas und Flüssigerdgas) liegt, die in erster Linie von KMU und Midcap-Unternehmen umgesetzt werden. Die Verwaltung des Fonds wird einem Fondsverwalter übertragen, der im Wege einer offenen Ausschreibung ausgewähl</w:t>
            </w:r>
            <w:r>
              <w:rPr>
                <w:noProof/>
              </w:rPr>
              <w:t>t wird. Der Fonds-Investitionsausschuss wird eingerichtet und ist dafür zuständig, Projekte von Endempfängern (Investoren) auf Vorschlag des Fondsverwalters auf der Grundlage des Marktbedarfs auf offene und marktkonforme Weise zu genehmigen. Die Struktur d</w:t>
            </w:r>
            <w:r>
              <w:rPr>
                <w:noProof/>
              </w:rPr>
              <w:t>es Fonds muss es ermöglichen, private Mittel zu mobilisieren. Mit den zugrunde liegenden Rechtsakten wird sichergestellt, dass Rückflüsse (d. h. Zinsen auf das Darlehen, Eigenkapitalrendite oder zurückgezahlter Kapitalbetrag, abzüglich der damit verbundene</w:t>
            </w:r>
            <w:r>
              <w:rPr>
                <w:noProof/>
              </w:rPr>
              <w:t>n Kosten) im Zusammenhang mit diesen Instrumenten für dieselben politischen Ziele, auch für die Zeit nach 2026, oder für die Rückzahlung der Darlehen aus der Aufbau- und Resilienzfazilität verwendet werden.</w:t>
            </w:r>
          </w:p>
        </w:tc>
      </w:tr>
      <w:tr w:rsidR="00EB245A" w14:paraId="0556F8AB" w14:textId="77777777" w:rsidTr="00FA2520">
        <w:trPr>
          <w:trHeight w:val="300"/>
        </w:trPr>
        <w:tc>
          <w:tcPr>
            <w:tcW w:w="655" w:type="dxa"/>
            <w:shd w:val="clear" w:color="auto" w:fill="C6EFCE"/>
          </w:tcPr>
          <w:p w14:paraId="02F50A30" w14:textId="7A2E299D" w:rsidR="00EB245A" w:rsidRDefault="006021EE">
            <w:pPr>
              <w:pStyle w:val="P68B1DB1-Normal011"/>
              <w:pBdr>
                <w:top w:val="nil"/>
                <w:left w:val="nil"/>
                <w:bottom w:val="nil"/>
                <w:right w:val="nil"/>
                <w:between w:val="nil"/>
              </w:pBdr>
              <w:spacing w:after="0" w:line="240" w:lineRule="auto"/>
              <w:jc w:val="center"/>
              <w:rPr>
                <w:rFonts w:cs="Times New Roman"/>
                <w:noProof/>
              </w:rPr>
            </w:pPr>
            <w:r>
              <w:rPr>
                <w:noProof/>
              </w:rPr>
              <w:t>E13G</w:t>
            </w:r>
          </w:p>
        </w:tc>
        <w:tc>
          <w:tcPr>
            <w:tcW w:w="1280" w:type="dxa"/>
            <w:shd w:val="clear" w:color="auto" w:fill="C6EFCE"/>
          </w:tcPr>
          <w:p w14:paraId="0D947742" w14:textId="0F39A595"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E1.1.2 emissionsfreier und emissionsarmer </w:t>
            </w:r>
            <w:r>
              <w:rPr>
                <w:noProof/>
              </w:rPr>
              <w:t>öffentlicher Verkehr (Busse)</w:t>
            </w:r>
          </w:p>
        </w:tc>
        <w:tc>
          <w:tcPr>
            <w:tcW w:w="1184" w:type="dxa"/>
            <w:shd w:val="clear" w:color="auto" w:fill="C6EFCE"/>
          </w:tcPr>
          <w:p w14:paraId="13AFCBB7" w14:textId="31920D96"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Meilenstein</w:t>
            </w:r>
          </w:p>
        </w:tc>
        <w:tc>
          <w:tcPr>
            <w:tcW w:w="1872" w:type="dxa"/>
            <w:shd w:val="clear" w:color="auto" w:fill="C6EFCE"/>
          </w:tcPr>
          <w:p w14:paraId="5A26E074" w14:textId="4B1FFFC5"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Emissionsfreie und emissionsarme Fahrzeuge: Auswahl der Begünstigten</w:t>
            </w:r>
          </w:p>
        </w:tc>
        <w:tc>
          <w:tcPr>
            <w:tcW w:w="1955" w:type="dxa"/>
            <w:shd w:val="clear" w:color="auto" w:fill="C6EFCE"/>
          </w:tcPr>
          <w:p w14:paraId="207DAC17" w14:textId="5754189E"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Unterzeichnete Verträge </w:t>
            </w:r>
          </w:p>
        </w:tc>
        <w:tc>
          <w:tcPr>
            <w:tcW w:w="1134" w:type="dxa"/>
            <w:shd w:val="clear" w:color="auto" w:fill="C6EFCE"/>
          </w:tcPr>
          <w:p w14:paraId="103FC20E"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tc>
        <w:tc>
          <w:tcPr>
            <w:tcW w:w="1418" w:type="dxa"/>
            <w:shd w:val="clear" w:color="auto" w:fill="C6EFCE"/>
          </w:tcPr>
          <w:p w14:paraId="79044270" w14:textId="77777777"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rPr>
            </w:pPr>
          </w:p>
        </w:tc>
        <w:tc>
          <w:tcPr>
            <w:tcW w:w="992" w:type="dxa"/>
            <w:shd w:val="clear" w:color="auto" w:fill="C6EFCE"/>
          </w:tcPr>
          <w:p w14:paraId="3375BB19" w14:textId="77777777"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rPr>
            </w:pPr>
          </w:p>
        </w:tc>
        <w:tc>
          <w:tcPr>
            <w:tcW w:w="992" w:type="dxa"/>
            <w:shd w:val="clear" w:color="auto" w:fill="C6EFCE"/>
          </w:tcPr>
          <w:p w14:paraId="46978406" w14:textId="504137F8"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Q3</w:t>
            </w:r>
          </w:p>
        </w:tc>
        <w:tc>
          <w:tcPr>
            <w:tcW w:w="851" w:type="dxa"/>
            <w:shd w:val="clear" w:color="auto" w:fill="C6EFCE"/>
          </w:tcPr>
          <w:p w14:paraId="3DB0C122" w14:textId="710D0560"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2024</w:t>
            </w:r>
          </w:p>
        </w:tc>
        <w:tc>
          <w:tcPr>
            <w:tcW w:w="3118" w:type="dxa"/>
            <w:shd w:val="clear" w:color="auto" w:fill="C6EFCE"/>
          </w:tcPr>
          <w:p w14:paraId="78441E4D" w14:textId="1030B51C" w:rsidR="00EB245A" w:rsidRDefault="006021EE">
            <w:pPr>
              <w:pStyle w:val="P68B1DB1-Normal13"/>
              <w:spacing w:after="120" w:line="240" w:lineRule="auto"/>
              <w:rPr>
                <w:rFonts w:eastAsia="Times New Roman" w:cs="Times New Roman"/>
                <w:noProof/>
                <w:color w:val="000000"/>
              </w:rPr>
            </w:pPr>
            <w:r>
              <w:rPr>
                <w:noProof/>
              </w:rPr>
              <w:t xml:space="preserve">Mit den ausgewählten begünstigten Stellen (lokale Behörden oder Betreiber eines öffentlichen Dienstes) werden </w:t>
            </w:r>
            <w:r>
              <w:rPr>
                <w:noProof/>
              </w:rPr>
              <w:t>Verträge über 579 neue emissionsfreie und emissionsarme Busse unterzeichnet.</w:t>
            </w:r>
          </w:p>
          <w:p w14:paraId="684B6AC7" w14:textId="2D08F1A8" w:rsidR="00EB245A" w:rsidRDefault="006021EE">
            <w:pPr>
              <w:pStyle w:val="P68B1DB1-Normal13"/>
              <w:spacing w:after="120" w:line="240" w:lineRule="auto"/>
              <w:rPr>
                <w:rFonts w:eastAsia="Times New Roman" w:cs="Times New Roman"/>
                <w:noProof/>
                <w:color w:val="000000"/>
              </w:rPr>
            </w:pPr>
            <w:r>
              <w:rPr>
                <w:noProof/>
              </w:rPr>
              <w:t>Die begünstigten Stellen werden im Wege transparenter und wettbewerbsorientierter Aufforderungen ausgewählt, die allen lokalen Gebietskörperschaften und Betreibern öffentlicher Di</w:t>
            </w:r>
            <w:r>
              <w:rPr>
                <w:noProof/>
              </w:rPr>
              <w:t xml:space="preserve">enste für emissionsfreien und emissionsarmen Verkehr in nichtstädtischen Gebieten offen stehen. </w:t>
            </w:r>
          </w:p>
          <w:p w14:paraId="42C58705" w14:textId="37A0A29A" w:rsidR="00EB245A" w:rsidRDefault="006021EE">
            <w:pPr>
              <w:pStyle w:val="P68B1DB1-Normal012"/>
              <w:spacing w:after="0" w:line="240" w:lineRule="auto"/>
              <w:rPr>
                <w:noProof/>
                <w:color w:val="000000" w:themeColor="text1"/>
              </w:rPr>
            </w:pPr>
            <w:r>
              <w:rPr>
                <w:noProof/>
              </w:rPr>
              <w:t>Die Kriterien für die Auswahl der begünstigten Einrichtungen spiegeln insbesondere den Bedarf an umweltfreundlichen öffentlichen Verkehrsmitteln und die Auswir</w:t>
            </w:r>
            <w:r>
              <w:rPr>
                <w:noProof/>
              </w:rPr>
              <w:t>kungen auf die Verringerung der Emissionen (insbesondere für emissionsfreien städtischen Verkehr) und die Verkehrsüberlastung, die Unterstützung ausgeschlossener Verkehrsgebiete und Projekte zur Unterstützung/Gewährleistung der Verkehrsintegration (Schiene</w:t>
            </w:r>
            <w:r>
              <w:rPr>
                <w:noProof/>
              </w:rPr>
              <w:t xml:space="preserve">, Stadt, Nicht-Stadtverkehr) wider. </w:t>
            </w:r>
          </w:p>
          <w:p w14:paraId="22DF6643" w14:textId="77777777" w:rsidR="00EB245A" w:rsidRDefault="00EB245A">
            <w:pPr>
              <w:pStyle w:val="Normal0"/>
              <w:spacing w:after="0" w:line="240" w:lineRule="auto"/>
              <w:rPr>
                <w:rFonts w:ascii="Times New Roman" w:hAnsi="Times New Roman"/>
                <w:noProof/>
                <w:color w:val="000000" w:themeColor="text1"/>
                <w:sz w:val="18"/>
              </w:rPr>
            </w:pPr>
          </w:p>
          <w:p w14:paraId="40EDFEDB" w14:textId="3E60CE84" w:rsidR="00EB245A" w:rsidRDefault="006021EE">
            <w:pPr>
              <w:pStyle w:val="P68B1DB1-Normal012"/>
              <w:spacing w:after="0" w:line="240" w:lineRule="auto"/>
              <w:rPr>
                <w:rFonts w:eastAsia="Times New Roman" w:cs="Times New Roman"/>
                <w:noProof/>
                <w:color w:val="000000" w:themeColor="text1"/>
              </w:rPr>
            </w:pPr>
            <w:r>
              <w:rPr>
                <w:noProof/>
              </w:rPr>
              <w:t>Eine ausgewogene Verteilung der Fahrzeuge im Land wird durch offene Aufforderungen zur Einreichung von Vorschlägen gefördert, bei denen jede förderfähige Behörde einen Antrag einreichen kann.</w:t>
            </w:r>
          </w:p>
        </w:tc>
      </w:tr>
      <w:tr w:rsidR="00EB245A" w14:paraId="3FFA96FA" w14:textId="77777777" w:rsidTr="00FA2520">
        <w:trPr>
          <w:trHeight w:val="1795"/>
        </w:trPr>
        <w:tc>
          <w:tcPr>
            <w:tcW w:w="655" w:type="dxa"/>
            <w:shd w:val="clear" w:color="auto" w:fill="C6EFCE"/>
          </w:tcPr>
          <w:p w14:paraId="7389E98A" w14:textId="038E6789"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E14G</w:t>
            </w:r>
          </w:p>
        </w:tc>
        <w:tc>
          <w:tcPr>
            <w:tcW w:w="1280" w:type="dxa"/>
            <w:shd w:val="clear" w:color="auto" w:fill="C6EFCE"/>
          </w:tcPr>
          <w:p w14:paraId="5B53C09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E1.1.2 </w:t>
            </w:r>
            <w:r>
              <w:rPr>
                <w:noProof/>
              </w:rPr>
              <w:t>emissionsfreier und emissionsarmer öffentlicher Verkehr (Busse)</w:t>
            </w:r>
          </w:p>
        </w:tc>
        <w:tc>
          <w:tcPr>
            <w:tcW w:w="1184" w:type="dxa"/>
            <w:shd w:val="clear" w:color="auto" w:fill="C6EFCE"/>
          </w:tcPr>
          <w:p w14:paraId="7ED6796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Ziel</w:t>
            </w:r>
          </w:p>
        </w:tc>
        <w:tc>
          <w:tcPr>
            <w:tcW w:w="1872" w:type="dxa"/>
            <w:shd w:val="clear" w:color="auto" w:fill="C6EFCE"/>
          </w:tcPr>
          <w:p w14:paraId="667798B0"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Neue emissionsfreie und emissionsarme Fahrzeuge in Betrieb</w:t>
            </w:r>
          </w:p>
        </w:tc>
        <w:tc>
          <w:tcPr>
            <w:tcW w:w="1955" w:type="dxa"/>
            <w:shd w:val="clear" w:color="auto" w:fill="C6EFCE"/>
          </w:tcPr>
          <w:p w14:paraId="3C7A12C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highlight w:val="yellow"/>
              </w:rPr>
            </w:pPr>
            <w:r>
              <w:rPr>
                <w:noProof/>
              </w:rPr>
              <w:t xml:space="preserve"> </w:t>
            </w:r>
          </w:p>
        </w:tc>
        <w:tc>
          <w:tcPr>
            <w:tcW w:w="1134" w:type="dxa"/>
            <w:shd w:val="clear" w:color="auto" w:fill="C6EFCE"/>
          </w:tcPr>
          <w:p w14:paraId="7AABAAB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Anzahl</w:t>
            </w:r>
          </w:p>
        </w:tc>
        <w:tc>
          <w:tcPr>
            <w:tcW w:w="1418" w:type="dxa"/>
            <w:shd w:val="clear" w:color="auto" w:fill="C6EFCE"/>
          </w:tcPr>
          <w:p w14:paraId="3DEAE328"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0</w:t>
            </w:r>
          </w:p>
        </w:tc>
        <w:tc>
          <w:tcPr>
            <w:tcW w:w="992" w:type="dxa"/>
            <w:shd w:val="clear" w:color="auto" w:fill="C6EFCE"/>
          </w:tcPr>
          <w:p w14:paraId="609BEE78" w14:textId="346948B5"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0000" w:themeColor="text1"/>
              </w:rPr>
            </w:pPr>
            <w:r>
              <w:rPr>
                <w:noProof/>
              </w:rPr>
              <w:t>579</w:t>
            </w:r>
          </w:p>
        </w:tc>
        <w:tc>
          <w:tcPr>
            <w:tcW w:w="992" w:type="dxa"/>
            <w:shd w:val="clear" w:color="auto" w:fill="C6EFCE"/>
          </w:tcPr>
          <w:p w14:paraId="2FB3EB5E" w14:textId="288AC6F6" w:rsidR="00EB245A" w:rsidRDefault="006021EE">
            <w:pPr>
              <w:pStyle w:val="P68B1DB1-Normal012"/>
              <w:spacing w:after="0" w:line="240" w:lineRule="auto"/>
              <w:jc w:val="center"/>
              <w:rPr>
                <w:rFonts w:eastAsia="Times New Roman" w:cs="Times New Roman"/>
                <w:noProof/>
                <w:color w:val="006100"/>
              </w:rPr>
            </w:pPr>
            <w:r>
              <w:rPr>
                <w:noProof/>
              </w:rPr>
              <w:t>Q3</w:t>
            </w:r>
          </w:p>
        </w:tc>
        <w:tc>
          <w:tcPr>
            <w:tcW w:w="851" w:type="dxa"/>
            <w:shd w:val="clear" w:color="auto" w:fill="C6EFCE"/>
          </w:tcPr>
          <w:p w14:paraId="404CF87C"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2026</w:t>
            </w:r>
          </w:p>
        </w:tc>
        <w:tc>
          <w:tcPr>
            <w:tcW w:w="3118" w:type="dxa"/>
            <w:shd w:val="clear" w:color="auto" w:fill="C6EFCE"/>
          </w:tcPr>
          <w:p w14:paraId="34CCE194" w14:textId="6EFF9D1D" w:rsidR="00EB245A" w:rsidRDefault="006021EE">
            <w:pPr>
              <w:pStyle w:val="P68B1DB1-Normal13"/>
              <w:spacing w:after="120" w:line="240" w:lineRule="auto"/>
              <w:rPr>
                <w:rFonts w:eastAsia="Times New Roman" w:cs="Times New Roman"/>
                <w:noProof/>
                <w:color w:val="000000"/>
              </w:rPr>
            </w:pPr>
            <w:r>
              <w:rPr>
                <w:noProof/>
              </w:rPr>
              <w:t xml:space="preserve">Neue emissionsfreie und emissionsarme Busse im Sinne der Beschreibung der Maßnahme werden im Rahmen von </w:t>
            </w:r>
            <w:r>
              <w:rPr>
                <w:noProof/>
              </w:rPr>
              <w:t>Verträgen geliefert, die durch diese Investition für den öffentlichen Nahverkehr und den ländlichen Nahverkehr finanziert werden.</w:t>
            </w:r>
          </w:p>
          <w:p w14:paraId="77B86680" w14:textId="765C1403" w:rsidR="00EB245A" w:rsidRDefault="006021EE">
            <w:pPr>
              <w:pStyle w:val="P68B1DB1-Normal34"/>
              <w:spacing w:after="0" w:line="240" w:lineRule="auto"/>
              <w:rPr>
                <w:rFonts w:ascii="Times New Roman" w:eastAsia="Times New Roman" w:hAnsi="Times New Roman" w:cs="Times New Roman"/>
                <w:noProof/>
                <w:color w:val="000000" w:themeColor="text1"/>
              </w:rPr>
            </w:pPr>
            <w:r>
              <w:rPr>
                <w:rFonts w:ascii="Times New Roman" w:hAnsi="Times New Roman"/>
                <w:noProof/>
                <w:color w:val="000000" w:themeColor="text1"/>
              </w:rPr>
              <w:t>Die Zahl der emissionsarmen Busse darf 363 Einheiten nicht überschreiten</w:t>
            </w:r>
            <w:r>
              <w:rPr>
                <w:noProof/>
              </w:rPr>
              <w:t>.</w:t>
            </w:r>
          </w:p>
        </w:tc>
      </w:tr>
      <w:tr w:rsidR="00EB245A" w14:paraId="63AD4AE5" w14:textId="77777777" w:rsidTr="00FA2520">
        <w:trPr>
          <w:trHeight w:val="300"/>
        </w:trPr>
        <w:tc>
          <w:tcPr>
            <w:tcW w:w="655" w:type="dxa"/>
            <w:shd w:val="clear" w:color="auto" w:fill="C6EFCE"/>
          </w:tcPr>
          <w:p w14:paraId="4BDA9431" w14:textId="2AEB5ED0"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E15G</w:t>
            </w:r>
          </w:p>
        </w:tc>
        <w:tc>
          <w:tcPr>
            <w:tcW w:w="1280" w:type="dxa"/>
            <w:shd w:val="clear" w:color="auto" w:fill="C6EFCE"/>
          </w:tcPr>
          <w:p w14:paraId="160E0470" w14:textId="29ABD4F8"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E2.1 Stärkung der Wettbewerbsfähigkeit des </w:t>
            </w:r>
            <w:r>
              <w:rPr>
                <w:noProof/>
              </w:rPr>
              <w:t>Eisenbahnsektors</w:t>
            </w:r>
          </w:p>
        </w:tc>
        <w:tc>
          <w:tcPr>
            <w:tcW w:w="1184" w:type="dxa"/>
            <w:shd w:val="clear" w:color="auto" w:fill="C6EFCE"/>
          </w:tcPr>
          <w:p w14:paraId="1BAB73C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872" w:type="dxa"/>
            <w:shd w:val="clear" w:color="auto" w:fill="C6EFCE"/>
          </w:tcPr>
          <w:p w14:paraId="68C50A65" w14:textId="699B6776"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Inkrafttreten eines Gesetzes zur Änderung des Eisenbahnverkehrsgesetzes, mit dem die Resilienz der Eisenbahnunternehmen sichergestellt wird. Ministerieller Beschluss über die Festlegung von Prioritäten für den intermodalen Verk</w:t>
            </w:r>
            <w:r>
              <w:rPr>
                <w:noProof/>
              </w:rPr>
              <w:t>ehr und über die Beseitigung von Engpässen zur Stärkung der Kapazitäten der Eisenbahnen</w:t>
            </w:r>
          </w:p>
        </w:tc>
        <w:tc>
          <w:tcPr>
            <w:tcW w:w="1955" w:type="dxa"/>
            <w:shd w:val="clear" w:color="auto" w:fill="C6EFCE"/>
          </w:tcPr>
          <w:p w14:paraId="68F33769" w14:textId="58FDA7FD"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Bestimmung des Gesetzes zur Änderung des Eisenbahnverkehrsgesetzes über dessen Inkrafttreten und Annahme eines Beschlusses des Ministers für Infrastruktur über Engpäss</w:t>
            </w:r>
            <w:r>
              <w:rPr>
                <w:noProof/>
              </w:rPr>
              <w:t>e.</w:t>
            </w:r>
          </w:p>
        </w:tc>
        <w:tc>
          <w:tcPr>
            <w:tcW w:w="1134" w:type="dxa"/>
            <w:shd w:val="clear" w:color="auto" w:fill="C6EFCE"/>
          </w:tcPr>
          <w:p w14:paraId="556E7CAA"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 xml:space="preserve"> </w:t>
            </w:r>
          </w:p>
        </w:tc>
        <w:tc>
          <w:tcPr>
            <w:tcW w:w="1418" w:type="dxa"/>
            <w:shd w:val="clear" w:color="auto" w:fill="C6EFCE"/>
          </w:tcPr>
          <w:p w14:paraId="316F37B8"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 xml:space="preserve"> </w:t>
            </w:r>
          </w:p>
        </w:tc>
        <w:tc>
          <w:tcPr>
            <w:tcW w:w="992" w:type="dxa"/>
            <w:shd w:val="clear" w:color="auto" w:fill="C6EFCE"/>
          </w:tcPr>
          <w:p w14:paraId="4045EC78"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 xml:space="preserve"> </w:t>
            </w:r>
          </w:p>
        </w:tc>
        <w:tc>
          <w:tcPr>
            <w:tcW w:w="992" w:type="dxa"/>
            <w:shd w:val="clear" w:color="auto" w:fill="C6EFCE"/>
          </w:tcPr>
          <w:p w14:paraId="02278CDB"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Q4</w:t>
            </w:r>
          </w:p>
        </w:tc>
        <w:tc>
          <w:tcPr>
            <w:tcW w:w="851" w:type="dxa"/>
            <w:shd w:val="clear" w:color="auto" w:fill="C6EFCE"/>
          </w:tcPr>
          <w:p w14:paraId="51843498"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2022</w:t>
            </w:r>
          </w:p>
        </w:tc>
        <w:tc>
          <w:tcPr>
            <w:tcW w:w="3118" w:type="dxa"/>
            <w:shd w:val="clear" w:color="auto" w:fill="C6EFCE"/>
          </w:tcPr>
          <w:p w14:paraId="07107456" w14:textId="3A8FBD8B" w:rsidR="00EB245A" w:rsidRDefault="006021EE">
            <w:pPr>
              <w:pStyle w:val="P68B1DB1-Normal012"/>
              <w:spacing w:after="0" w:line="240" w:lineRule="auto"/>
              <w:rPr>
                <w:rFonts w:eastAsia="Times New Roman" w:cs="Times New Roman"/>
                <w:noProof/>
                <w:color w:val="006100"/>
              </w:rPr>
            </w:pPr>
            <w:r>
              <w:rPr>
                <w:noProof/>
              </w:rPr>
              <w:t xml:space="preserve">Ein Rechtsakt zur Änderung des Eisenbahnverkehrsgesetzes soll es den Infrastrukturbetreibern ermöglichen, die Entgelte für den Zugang zur Infrastruktur zu senken und die Infrastrukturbetreiber für die Ermäßigung der Entgelte zu </w:t>
            </w:r>
            <w:r>
              <w:rPr>
                <w:noProof/>
              </w:rPr>
              <w:t>entschädigen. Die Entwicklung des intermodalen Verkehrs wird durch folgende Maßnahmen gefördert: Planung, Koordinierung von Programmen, Innovation, Investitionen, die zu einer Steigerung der intermodalen Kapazität führen, sowie Einrichtung einer intermodal</w:t>
            </w:r>
            <w:r>
              <w:rPr>
                <w:noProof/>
              </w:rPr>
              <w:t>en Einheit im Infrastrukturministerium. Der Status des Netzes wird unter besonderer Berücksichtigung von Engpässen analysiert, und der Infrastrukturminister entscheidet über die Prioritäten für die Beseitigung von Engpässen, die zu einer Erhöhung der Eisen</w:t>
            </w:r>
            <w:r>
              <w:rPr>
                <w:noProof/>
              </w:rPr>
              <w:t>bahnkapazität führen.</w:t>
            </w:r>
          </w:p>
        </w:tc>
      </w:tr>
      <w:tr w:rsidR="00EB245A" w14:paraId="713DE6F4" w14:textId="77777777" w:rsidTr="00FA2520">
        <w:trPr>
          <w:trHeight w:val="300"/>
        </w:trPr>
        <w:tc>
          <w:tcPr>
            <w:tcW w:w="655" w:type="dxa"/>
            <w:shd w:val="clear" w:color="auto" w:fill="C6EFCE"/>
          </w:tcPr>
          <w:p w14:paraId="66A632B1" w14:textId="22A12CDD"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E16G</w:t>
            </w:r>
          </w:p>
        </w:tc>
        <w:tc>
          <w:tcPr>
            <w:tcW w:w="1280" w:type="dxa"/>
            <w:shd w:val="clear" w:color="auto" w:fill="C6EFCE"/>
          </w:tcPr>
          <w:p w14:paraId="16E0AFE9" w14:textId="238C836D"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E2.1 Stärkung der Wettbewerbsfähigkeit des Eisenbahnsektors</w:t>
            </w:r>
          </w:p>
        </w:tc>
        <w:tc>
          <w:tcPr>
            <w:tcW w:w="1184" w:type="dxa"/>
            <w:shd w:val="clear" w:color="auto" w:fill="C6EFCE"/>
          </w:tcPr>
          <w:p w14:paraId="693219D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Ziel</w:t>
            </w:r>
          </w:p>
        </w:tc>
        <w:tc>
          <w:tcPr>
            <w:tcW w:w="1872" w:type="dxa"/>
            <w:shd w:val="clear" w:color="auto" w:fill="C6EFCE"/>
          </w:tcPr>
          <w:p w14:paraId="63DDC601"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Einführung eines Mautsystems auf neuen Straßen </w:t>
            </w:r>
          </w:p>
        </w:tc>
        <w:tc>
          <w:tcPr>
            <w:tcW w:w="1955" w:type="dxa"/>
            <w:shd w:val="clear" w:color="auto" w:fill="C6EFCE"/>
          </w:tcPr>
          <w:p w14:paraId="0343352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134" w:type="dxa"/>
            <w:shd w:val="clear" w:color="auto" w:fill="C6EFCE"/>
          </w:tcPr>
          <w:p w14:paraId="29ACEA3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Kilometer</w:t>
            </w:r>
          </w:p>
        </w:tc>
        <w:tc>
          <w:tcPr>
            <w:tcW w:w="1418" w:type="dxa"/>
            <w:shd w:val="clear" w:color="auto" w:fill="C6EFCE"/>
          </w:tcPr>
          <w:p w14:paraId="6CED564F"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0</w:t>
            </w:r>
          </w:p>
        </w:tc>
        <w:tc>
          <w:tcPr>
            <w:tcW w:w="992" w:type="dxa"/>
            <w:shd w:val="clear" w:color="auto" w:fill="C6EFCE"/>
          </w:tcPr>
          <w:p w14:paraId="6BF47E81" w14:textId="016D8A84"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1400</w:t>
            </w:r>
          </w:p>
        </w:tc>
        <w:tc>
          <w:tcPr>
            <w:tcW w:w="992" w:type="dxa"/>
            <w:shd w:val="clear" w:color="auto" w:fill="C6EFCE"/>
          </w:tcPr>
          <w:p w14:paraId="5477E878" w14:textId="7C167DB0"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Q4</w:t>
            </w:r>
          </w:p>
        </w:tc>
        <w:tc>
          <w:tcPr>
            <w:tcW w:w="851" w:type="dxa"/>
            <w:shd w:val="clear" w:color="auto" w:fill="C6EFCE"/>
          </w:tcPr>
          <w:p w14:paraId="1762CA94" w14:textId="7F5BB871" w:rsidR="00EB245A" w:rsidRDefault="006021EE">
            <w:pPr>
              <w:pStyle w:val="P68B1DB1-Normal012"/>
              <w:spacing w:after="0" w:line="240" w:lineRule="auto"/>
              <w:jc w:val="center"/>
              <w:rPr>
                <w:rFonts w:eastAsia="Times New Roman" w:cs="Times New Roman"/>
                <w:noProof/>
                <w:color w:val="006100"/>
              </w:rPr>
            </w:pPr>
            <w:r>
              <w:rPr>
                <w:noProof/>
              </w:rPr>
              <w:t xml:space="preserve"> 2024</w:t>
            </w:r>
          </w:p>
        </w:tc>
        <w:tc>
          <w:tcPr>
            <w:tcW w:w="3118" w:type="dxa"/>
            <w:shd w:val="clear" w:color="auto" w:fill="C6EFCE"/>
          </w:tcPr>
          <w:p w14:paraId="7BE00AE0"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Länge neuer Straßen, die einem Mautsystem unterliegen und sowohl Autobahnen als auch </w:t>
            </w:r>
            <w:r>
              <w:rPr>
                <w:noProof/>
              </w:rPr>
              <w:t>Schnellstraßen umfassen.</w:t>
            </w:r>
          </w:p>
        </w:tc>
      </w:tr>
      <w:tr w:rsidR="00EB245A" w14:paraId="0BC780DC" w14:textId="77777777" w:rsidTr="00FA2520">
        <w:trPr>
          <w:trHeight w:val="300"/>
        </w:trPr>
        <w:tc>
          <w:tcPr>
            <w:tcW w:w="655" w:type="dxa"/>
            <w:shd w:val="clear" w:color="auto" w:fill="C6EFCE"/>
          </w:tcPr>
          <w:p w14:paraId="0D5B2726" w14:textId="1C42ED92"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E17G</w:t>
            </w:r>
          </w:p>
        </w:tc>
        <w:tc>
          <w:tcPr>
            <w:tcW w:w="1280" w:type="dxa"/>
            <w:shd w:val="clear" w:color="auto" w:fill="C6EFCE"/>
          </w:tcPr>
          <w:p w14:paraId="077D9E10" w14:textId="7ADEEE9D"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E2.1.1 Eisenbahnstrecken</w:t>
            </w:r>
          </w:p>
        </w:tc>
        <w:tc>
          <w:tcPr>
            <w:tcW w:w="1184" w:type="dxa"/>
            <w:shd w:val="clear" w:color="auto" w:fill="C6EFCE"/>
          </w:tcPr>
          <w:p w14:paraId="49181850"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872" w:type="dxa"/>
            <w:shd w:val="clear" w:color="auto" w:fill="C6EFCE"/>
          </w:tcPr>
          <w:p w14:paraId="6632026D" w14:textId="7EF5CEB1"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Unterzeichnung der Verträge im Anschluss an offene und wettbewerbliche Ausschreibungen</w:t>
            </w:r>
          </w:p>
        </w:tc>
        <w:tc>
          <w:tcPr>
            <w:tcW w:w="1955" w:type="dxa"/>
            <w:shd w:val="clear" w:color="auto" w:fill="C6EFCE"/>
          </w:tcPr>
          <w:p w14:paraId="43A1D4BA" w14:textId="5CC73F10"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Unterzeichnete Verträge </w:t>
            </w:r>
          </w:p>
        </w:tc>
        <w:tc>
          <w:tcPr>
            <w:tcW w:w="1134" w:type="dxa"/>
            <w:shd w:val="clear" w:color="auto" w:fill="C6EFCE"/>
          </w:tcPr>
          <w:p w14:paraId="3777E23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418" w:type="dxa"/>
            <w:shd w:val="clear" w:color="auto" w:fill="C6EFCE"/>
          </w:tcPr>
          <w:p w14:paraId="5CD0C122"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 xml:space="preserve"> </w:t>
            </w:r>
          </w:p>
        </w:tc>
        <w:tc>
          <w:tcPr>
            <w:tcW w:w="992" w:type="dxa"/>
            <w:shd w:val="clear" w:color="auto" w:fill="C6EFCE"/>
          </w:tcPr>
          <w:p w14:paraId="76CC0FB2"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 xml:space="preserve"> </w:t>
            </w:r>
          </w:p>
        </w:tc>
        <w:tc>
          <w:tcPr>
            <w:tcW w:w="992" w:type="dxa"/>
            <w:shd w:val="clear" w:color="auto" w:fill="C6EFCE"/>
          </w:tcPr>
          <w:p w14:paraId="3F0C8C6B" w14:textId="035EC6E2"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Q4</w:t>
            </w:r>
          </w:p>
        </w:tc>
        <w:tc>
          <w:tcPr>
            <w:tcW w:w="851" w:type="dxa"/>
            <w:shd w:val="clear" w:color="auto" w:fill="C6EFCE"/>
          </w:tcPr>
          <w:p w14:paraId="2641C54D" w14:textId="7EDA57EA"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2024</w:t>
            </w:r>
          </w:p>
        </w:tc>
        <w:tc>
          <w:tcPr>
            <w:tcW w:w="3118" w:type="dxa"/>
            <w:shd w:val="clear" w:color="auto" w:fill="C6EFCE"/>
          </w:tcPr>
          <w:p w14:paraId="168AC211" w14:textId="12ABF40C" w:rsidR="00EB245A" w:rsidRDefault="006021EE">
            <w:pPr>
              <w:pStyle w:val="P68B1DB1-Normal012"/>
              <w:spacing w:after="0" w:line="240" w:lineRule="auto"/>
              <w:rPr>
                <w:noProof/>
                <w:color w:val="000000" w:themeColor="text1"/>
              </w:rPr>
            </w:pPr>
            <w:r>
              <w:rPr>
                <w:noProof/>
              </w:rPr>
              <w:t xml:space="preserve">Es werden Verträge über die Arbeiten auf 500 km Eisenbahnstrecken unterzeichnet, von denen 250 km Strecken wiederbelebt werden sollen. </w:t>
            </w:r>
          </w:p>
          <w:p w14:paraId="6F3DFC92" w14:textId="77777777" w:rsidR="00EB245A" w:rsidRDefault="00EB245A">
            <w:pPr>
              <w:pStyle w:val="Normal0"/>
              <w:spacing w:after="0" w:line="240" w:lineRule="auto"/>
              <w:rPr>
                <w:rFonts w:ascii="Times New Roman" w:hAnsi="Times New Roman"/>
                <w:noProof/>
                <w:color w:val="000000" w:themeColor="text1"/>
                <w:sz w:val="18"/>
              </w:rPr>
            </w:pPr>
          </w:p>
          <w:p w14:paraId="11C56FDA" w14:textId="05E2EB3E" w:rsidR="00EB245A" w:rsidRDefault="006021EE">
            <w:pPr>
              <w:pStyle w:val="P68B1DB1-Normal012"/>
              <w:spacing w:after="0" w:line="240" w:lineRule="auto"/>
              <w:rPr>
                <w:rFonts w:eastAsia="Times New Roman" w:cs="Times New Roman"/>
                <w:noProof/>
                <w:color w:val="006100"/>
              </w:rPr>
            </w:pPr>
            <w:r>
              <w:rPr>
                <w:noProof/>
              </w:rPr>
              <w:t>Auftragnehmer für die Modernisierung der Eisenbahninfrastruktur werden im Rahmen des Vergaberechts nach einem wettbewer</w:t>
            </w:r>
            <w:r>
              <w:rPr>
                <w:noProof/>
              </w:rPr>
              <w:t xml:space="preserve">blichen Modell ausgewählt. </w:t>
            </w:r>
          </w:p>
        </w:tc>
      </w:tr>
      <w:tr w:rsidR="00EB245A" w14:paraId="761B0A68" w14:textId="77777777" w:rsidTr="00FA2520">
        <w:trPr>
          <w:trHeight w:val="300"/>
        </w:trPr>
        <w:tc>
          <w:tcPr>
            <w:tcW w:w="655" w:type="dxa"/>
            <w:shd w:val="clear" w:color="auto" w:fill="C6EFCE"/>
          </w:tcPr>
          <w:p w14:paraId="252A9252" w14:textId="4EA0BC9D"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E18G</w:t>
            </w:r>
          </w:p>
        </w:tc>
        <w:tc>
          <w:tcPr>
            <w:tcW w:w="1280" w:type="dxa"/>
            <w:shd w:val="clear" w:color="auto" w:fill="C6EFCE"/>
          </w:tcPr>
          <w:p w14:paraId="5BFAEB5D" w14:textId="4125D1C1"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E2.1.1 Eisenbahnstrecken</w:t>
            </w:r>
          </w:p>
        </w:tc>
        <w:tc>
          <w:tcPr>
            <w:tcW w:w="1184" w:type="dxa"/>
            <w:shd w:val="clear" w:color="auto" w:fill="C6EFCE"/>
          </w:tcPr>
          <w:p w14:paraId="2003C65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Ziel</w:t>
            </w:r>
          </w:p>
        </w:tc>
        <w:tc>
          <w:tcPr>
            <w:tcW w:w="1872" w:type="dxa"/>
            <w:shd w:val="clear" w:color="auto" w:fill="C6EFCE"/>
          </w:tcPr>
          <w:p w14:paraId="1AE0E88C" w14:textId="6964F151" w:rsidR="00EB245A" w:rsidRDefault="006021EE">
            <w:pPr>
              <w:pStyle w:val="P68B1DB1-Normal012"/>
              <w:spacing w:after="0" w:line="240" w:lineRule="auto"/>
              <w:rPr>
                <w:rFonts w:eastAsia="Times New Roman" w:cs="Times New Roman"/>
                <w:noProof/>
                <w:color w:val="000000" w:themeColor="text1"/>
              </w:rPr>
            </w:pPr>
            <w:r>
              <w:rPr>
                <w:noProof/>
              </w:rPr>
              <w:t>Arbeiten auf 500 km Eisenbahnstrecken, von denen 250 km wiederbelebt werden sollen</w:t>
            </w:r>
          </w:p>
          <w:p w14:paraId="7EB1F2AE" w14:textId="3253ED08" w:rsidR="00EB245A" w:rsidRDefault="00EB245A">
            <w:pPr>
              <w:pStyle w:val="Normal0"/>
              <w:spacing w:after="0" w:line="240" w:lineRule="auto"/>
              <w:rPr>
                <w:rFonts w:ascii="Times New Roman" w:hAnsi="Times New Roman"/>
                <w:noProof/>
                <w:color w:val="000000" w:themeColor="text1"/>
                <w:sz w:val="18"/>
              </w:rPr>
            </w:pPr>
          </w:p>
        </w:tc>
        <w:tc>
          <w:tcPr>
            <w:tcW w:w="1955" w:type="dxa"/>
            <w:shd w:val="clear" w:color="auto" w:fill="C6EFCE"/>
          </w:tcPr>
          <w:p w14:paraId="78BD240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134" w:type="dxa"/>
            <w:shd w:val="clear" w:color="auto" w:fill="C6EFCE"/>
          </w:tcPr>
          <w:p w14:paraId="4ADA8BF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Anzahl</w:t>
            </w:r>
          </w:p>
        </w:tc>
        <w:tc>
          <w:tcPr>
            <w:tcW w:w="1418" w:type="dxa"/>
            <w:shd w:val="clear" w:color="auto" w:fill="C6EFCE"/>
          </w:tcPr>
          <w:p w14:paraId="55059D96"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0</w:t>
            </w:r>
          </w:p>
        </w:tc>
        <w:tc>
          <w:tcPr>
            <w:tcW w:w="992" w:type="dxa"/>
            <w:shd w:val="clear" w:color="auto" w:fill="C6EFCE"/>
          </w:tcPr>
          <w:p w14:paraId="526CA199" w14:textId="7B5B1712"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500</w:t>
            </w:r>
          </w:p>
        </w:tc>
        <w:tc>
          <w:tcPr>
            <w:tcW w:w="992" w:type="dxa"/>
            <w:shd w:val="clear" w:color="auto" w:fill="C6EFCE"/>
          </w:tcPr>
          <w:p w14:paraId="15D07981" w14:textId="56F9156F"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Q3</w:t>
            </w:r>
          </w:p>
        </w:tc>
        <w:tc>
          <w:tcPr>
            <w:tcW w:w="851" w:type="dxa"/>
            <w:shd w:val="clear" w:color="auto" w:fill="C6EFCE"/>
          </w:tcPr>
          <w:p w14:paraId="76C682F1"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2026</w:t>
            </w:r>
          </w:p>
        </w:tc>
        <w:tc>
          <w:tcPr>
            <w:tcW w:w="3118" w:type="dxa"/>
            <w:shd w:val="clear" w:color="auto" w:fill="C6EFCE"/>
          </w:tcPr>
          <w:p w14:paraId="0F7161B3" w14:textId="463BE7B3" w:rsidR="00EB245A" w:rsidRDefault="006021EE">
            <w:pPr>
              <w:pStyle w:val="P68B1DB1-Normal012"/>
              <w:spacing w:after="0" w:line="240" w:lineRule="auto"/>
              <w:rPr>
                <w:rFonts w:eastAsia="Times New Roman" w:cs="Times New Roman"/>
                <w:noProof/>
                <w:color w:val="006100"/>
              </w:rPr>
            </w:pPr>
            <w:r>
              <w:rPr>
                <w:noProof/>
              </w:rPr>
              <w:t xml:space="preserve">Die Arbeiten auf 500 km Eisenbahnstrecken sind abzuschließen, wovon 250 km Strecken </w:t>
            </w:r>
            <w:r>
              <w:rPr>
                <w:noProof/>
              </w:rPr>
              <w:t>wiederbelebt werden müssen.</w:t>
            </w:r>
          </w:p>
          <w:p w14:paraId="6AE87DB1" w14:textId="72C89E0C" w:rsidR="00EB245A" w:rsidRDefault="00EB245A">
            <w:pPr>
              <w:pStyle w:val="Normal0"/>
              <w:spacing w:after="0" w:line="240" w:lineRule="auto"/>
              <w:rPr>
                <w:rFonts w:ascii="Times New Roman" w:hAnsi="Times New Roman"/>
                <w:noProof/>
                <w:color w:val="000000" w:themeColor="text1"/>
                <w:sz w:val="18"/>
              </w:rPr>
            </w:pPr>
          </w:p>
        </w:tc>
      </w:tr>
      <w:tr w:rsidR="00EB245A" w14:paraId="305D0382" w14:textId="77777777" w:rsidTr="00FA2520">
        <w:trPr>
          <w:trHeight w:val="300"/>
        </w:trPr>
        <w:tc>
          <w:tcPr>
            <w:tcW w:w="655" w:type="dxa"/>
            <w:shd w:val="clear" w:color="auto" w:fill="C6EFCE"/>
          </w:tcPr>
          <w:p w14:paraId="679FA2EE" w14:textId="3545DFA6" w:rsidR="00EB245A" w:rsidRDefault="006021EE">
            <w:pPr>
              <w:pStyle w:val="P68B1DB1-Normal011"/>
              <w:spacing w:line="240" w:lineRule="auto"/>
              <w:jc w:val="center"/>
              <w:rPr>
                <w:noProof/>
              </w:rPr>
            </w:pPr>
            <w:r>
              <w:rPr>
                <w:noProof/>
              </w:rPr>
              <w:t>E18aG</w:t>
            </w:r>
          </w:p>
        </w:tc>
        <w:tc>
          <w:tcPr>
            <w:tcW w:w="1280" w:type="dxa"/>
            <w:shd w:val="clear" w:color="auto" w:fill="C6EFCE"/>
          </w:tcPr>
          <w:p w14:paraId="14F4D7D0" w14:textId="61FDD0FB" w:rsidR="00EB245A" w:rsidRDefault="006021EE">
            <w:pPr>
              <w:pStyle w:val="P68B1DB1-Normal012"/>
              <w:spacing w:after="0" w:line="240" w:lineRule="auto"/>
              <w:rPr>
                <w:rFonts w:eastAsia="Times New Roman" w:cs="Times New Roman"/>
                <w:noProof/>
                <w:color w:val="006100"/>
              </w:rPr>
            </w:pPr>
            <w:r>
              <w:rPr>
                <w:noProof/>
              </w:rPr>
              <w:t>E2.1.1 Eisenbahnstrecken</w:t>
            </w:r>
          </w:p>
        </w:tc>
        <w:tc>
          <w:tcPr>
            <w:tcW w:w="1184" w:type="dxa"/>
            <w:shd w:val="clear" w:color="auto" w:fill="C6EFCE"/>
          </w:tcPr>
          <w:p w14:paraId="67757EA5" w14:textId="77777777" w:rsidR="00EB245A" w:rsidRDefault="006021EE">
            <w:pPr>
              <w:pStyle w:val="P68B1DB1-Normal012"/>
              <w:spacing w:after="0" w:line="240" w:lineRule="auto"/>
              <w:rPr>
                <w:rFonts w:eastAsia="Times New Roman" w:cs="Times New Roman"/>
                <w:noProof/>
                <w:color w:val="006100"/>
              </w:rPr>
            </w:pPr>
            <w:r>
              <w:rPr>
                <w:noProof/>
              </w:rPr>
              <w:t>Ziel</w:t>
            </w:r>
          </w:p>
          <w:p w14:paraId="3E34B13B" w14:textId="781EA2D1" w:rsidR="00EB245A" w:rsidRDefault="00EB245A">
            <w:pPr>
              <w:pStyle w:val="Normal0"/>
              <w:spacing w:line="240" w:lineRule="auto"/>
              <w:rPr>
                <w:rFonts w:ascii="Times New Roman" w:hAnsi="Times New Roman"/>
                <w:noProof/>
                <w:color w:val="000000" w:themeColor="text1"/>
                <w:sz w:val="18"/>
              </w:rPr>
            </w:pPr>
          </w:p>
        </w:tc>
        <w:tc>
          <w:tcPr>
            <w:tcW w:w="1872" w:type="dxa"/>
            <w:shd w:val="clear" w:color="auto" w:fill="C6EFCE"/>
          </w:tcPr>
          <w:p w14:paraId="7B44930C" w14:textId="64964C7A" w:rsidR="00EB245A" w:rsidRDefault="006021EE">
            <w:pPr>
              <w:pStyle w:val="P68B1DB1-Normal012"/>
              <w:spacing w:line="240" w:lineRule="auto"/>
              <w:rPr>
                <w:noProof/>
                <w:color w:val="000000" w:themeColor="text1"/>
              </w:rPr>
            </w:pPr>
            <w:r>
              <w:rPr>
                <w:noProof/>
              </w:rPr>
              <w:t>Beseitigung von 180 Engpässen (einschließlich Bahnübergängen)</w:t>
            </w:r>
          </w:p>
          <w:p w14:paraId="3A5FF7EE" w14:textId="359F3368" w:rsidR="00EB245A" w:rsidRDefault="00EB245A">
            <w:pPr>
              <w:pStyle w:val="Normal0"/>
              <w:spacing w:line="240" w:lineRule="auto"/>
              <w:rPr>
                <w:rFonts w:ascii="Times New Roman" w:hAnsi="Times New Roman"/>
                <w:noProof/>
                <w:color w:val="000000" w:themeColor="text1"/>
                <w:sz w:val="18"/>
              </w:rPr>
            </w:pPr>
          </w:p>
        </w:tc>
        <w:tc>
          <w:tcPr>
            <w:tcW w:w="1955" w:type="dxa"/>
            <w:shd w:val="clear" w:color="auto" w:fill="C6EFCE"/>
          </w:tcPr>
          <w:p w14:paraId="599C35D7" w14:textId="4F7412CD" w:rsidR="00EB245A" w:rsidRDefault="00EB245A">
            <w:pPr>
              <w:pStyle w:val="Normal0"/>
              <w:spacing w:line="240" w:lineRule="auto"/>
              <w:rPr>
                <w:rFonts w:ascii="Times New Roman" w:hAnsi="Times New Roman"/>
                <w:noProof/>
                <w:color w:val="000000" w:themeColor="text1"/>
                <w:sz w:val="18"/>
              </w:rPr>
            </w:pPr>
          </w:p>
        </w:tc>
        <w:tc>
          <w:tcPr>
            <w:tcW w:w="1134" w:type="dxa"/>
            <w:shd w:val="clear" w:color="auto" w:fill="C6EFCE"/>
          </w:tcPr>
          <w:p w14:paraId="2E382ED0" w14:textId="0FEFC08C" w:rsidR="00EB245A" w:rsidRDefault="006021EE">
            <w:pPr>
              <w:pStyle w:val="P68B1DB1-Normal012"/>
              <w:spacing w:line="240" w:lineRule="auto"/>
              <w:rPr>
                <w:noProof/>
                <w:color w:val="000000" w:themeColor="text1"/>
              </w:rPr>
            </w:pPr>
            <w:r>
              <w:rPr>
                <w:noProof/>
              </w:rPr>
              <w:t>Anzahl</w:t>
            </w:r>
          </w:p>
        </w:tc>
        <w:tc>
          <w:tcPr>
            <w:tcW w:w="1418" w:type="dxa"/>
            <w:shd w:val="clear" w:color="auto" w:fill="C6EFCE"/>
          </w:tcPr>
          <w:p w14:paraId="7CA39BCF" w14:textId="5A1C8A38" w:rsidR="00EB245A" w:rsidRDefault="006021EE">
            <w:pPr>
              <w:pStyle w:val="P68B1DB1-Normal012"/>
              <w:spacing w:line="240" w:lineRule="auto"/>
              <w:jc w:val="center"/>
              <w:rPr>
                <w:noProof/>
                <w:color w:val="000000" w:themeColor="text1"/>
              </w:rPr>
            </w:pPr>
            <w:r>
              <w:rPr>
                <w:noProof/>
              </w:rPr>
              <w:t>0</w:t>
            </w:r>
          </w:p>
        </w:tc>
        <w:tc>
          <w:tcPr>
            <w:tcW w:w="992" w:type="dxa"/>
            <w:shd w:val="clear" w:color="auto" w:fill="C6EFCE"/>
          </w:tcPr>
          <w:p w14:paraId="07E96435" w14:textId="4BFA2DAE" w:rsidR="00EB245A" w:rsidRDefault="006021EE">
            <w:pPr>
              <w:pStyle w:val="P68B1DB1-Normal012"/>
              <w:spacing w:line="240" w:lineRule="auto"/>
              <w:jc w:val="right"/>
              <w:rPr>
                <w:noProof/>
                <w:color w:val="000000" w:themeColor="text1"/>
              </w:rPr>
            </w:pPr>
            <w:r>
              <w:rPr>
                <w:noProof/>
              </w:rPr>
              <w:t>180</w:t>
            </w:r>
          </w:p>
        </w:tc>
        <w:tc>
          <w:tcPr>
            <w:tcW w:w="992" w:type="dxa"/>
            <w:shd w:val="clear" w:color="auto" w:fill="C6EFCE"/>
          </w:tcPr>
          <w:p w14:paraId="48CD676D" w14:textId="72F1A6ED" w:rsidR="00EB245A" w:rsidRDefault="006021EE">
            <w:pPr>
              <w:pStyle w:val="P68B1DB1-Normal012"/>
              <w:spacing w:line="240" w:lineRule="auto"/>
              <w:jc w:val="center"/>
              <w:rPr>
                <w:noProof/>
                <w:color w:val="000000" w:themeColor="text1"/>
              </w:rPr>
            </w:pPr>
            <w:r>
              <w:rPr>
                <w:noProof/>
              </w:rPr>
              <w:t>Q3</w:t>
            </w:r>
          </w:p>
        </w:tc>
        <w:tc>
          <w:tcPr>
            <w:tcW w:w="851" w:type="dxa"/>
            <w:shd w:val="clear" w:color="auto" w:fill="C6EFCE"/>
          </w:tcPr>
          <w:p w14:paraId="50D66634" w14:textId="7A86F060" w:rsidR="00EB245A" w:rsidRDefault="006021EE">
            <w:pPr>
              <w:pStyle w:val="P68B1DB1-Normal012"/>
              <w:spacing w:line="240" w:lineRule="auto"/>
              <w:jc w:val="center"/>
              <w:rPr>
                <w:noProof/>
                <w:color w:val="000000" w:themeColor="text1"/>
              </w:rPr>
            </w:pPr>
            <w:r>
              <w:rPr>
                <w:noProof/>
              </w:rPr>
              <w:t>2026</w:t>
            </w:r>
          </w:p>
        </w:tc>
        <w:tc>
          <w:tcPr>
            <w:tcW w:w="3118" w:type="dxa"/>
            <w:shd w:val="clear" w:color="auto" w:fill="C6EFCE"/>
          </w:tcPr>
          <w:p w14:paraId="2A661799" w14:textId="70910306" w:rsidR="00EB245A" w:rsidRDefault="006021EE">
            <w:pPr>
              <w:pStyle w:val="P68B1DB1-Normal012"/>
              <w:spacing w:line="240" w:lineRule="auto"/>
              <w:rPr>
                <w:noProof/>
                <w:color w:val="000000" w:themeColor="text1"/>
              </w:rPr>
            </w:pPr>
            <w:r>
              <w:rPr>
                <w:noProof/>
              </w:rPr>
              <w:t>Die Arbeiten zur Beseitigung von 180 Engpässen, einschließlich Bahnübergängen, sind abzuschließen.</w:t>
            </w:r>
          </w:p>
        </w:tc>
      </w:tr>
      <w:tr w:rsidR="00EB245A" w14:paraId="3E963BA6" w14:textId="77777777" w:rsidTr="00FA2520">
        <w:trPr>
          <w:trHeight w:val="300"/>
        </w:trPr>
        <w:tc>
          <w:tcPr>
            <w:tcW w:w="655" w:type="dxa"/>
            <w:shd w:val="clear" w:color="auto" w:fill="C6EFCE"/>
          </w:tcPr>
          <w:p w14:paraId="3E4741B9" w14:textId="0770A892"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E19G</w:t>
            </w:r>
          </w:p>
        </w:tc>
        <w:tc>
          <w:tcPr>
            <w:tcW w:w="1280" w:type="dxa"/>
            <w:shd w:val="clear" w:color="auto" w:fill="C6EFCE"/>
          </w:tcPr>
          <w:p w14:paraId="332B5D3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E2.1.2 Schienenfahrzeuge für den Personenverkehr</w:t>
            </w:r>
          </w:p>
        </w:tc>
        <w:tc>
          <w:tcPr>
            <w:tcW w:w="1184" w:type="dxa"/>
            <w:shd w:val="clear" w:color="auto" w:fill="C6EFCE"/>
          </w:tcPr>
          <w:p w14:paraId="26B9D3C9"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872" w:type="dxa"/>
            <w:shd w:val="clear" w:color="auto" w:fill="C6EFCE"/>
          </w:tcPr>
          <w:p w14:paraId="22058B5A" w14:textId="5D1BAF9D"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Unterzeichnung von Verträgen über Fahrzeuge im Personenverkehr</w:t>
            </w:r>
          </w:p>
        </w:tc>
        <w:tc>
          <w:tcPr>
            <w:tcW w:w="1955" w:type="dxa"/>
            <w:shd w:val="clear" w:color="auto" w:fill="C6EFCE"/>
          </w:tcPr>
          <w:p w14:paraId="11040A48" w14:textId="4EB5B692"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Unterzeichnete Verträge</w:t>
            </w:r>
          </w:p>
        </w:tc>
        <w:tc>
          <w:tcPr>
            <w:tcW w:w="1134" w:type="dxa"/>
            <w:shd w:val="clear" w:color="auto" w:fill="C6EFCE"/>
          </w:tcPr>
          <w:p w14:paraId="6E15FBF9"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418" w:type="dxa"/>
            <w:shd w:val="clear" w:color="auto" w:fill="C6EFCE"/>
          </w:tcPr>
          <w:p w14:paraId="0AC27F05" w14:textId="6772BC3D"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 xml:space="preserve"> </w:t>
            </w:r>
          </w:p>
        </w:tc>
        <w:tc>
          <w:tcPr>
            <w:tcW w:w="992" w:type="dxa"/>
            <w:shd w:val="clear" w:color="auto" w:fill="C6EFCE"/>
          </w:tcPr>
          <w:p w14:paraId="055F0112" w14:textId="37AC6473" w:rsidR="00EB245A" w:rsidRDefault="00EB245A">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rPr>
            </w:pPr>
          </w:p>
        </w:tc>
        <w:tc>
          <w:tcPr>
            <w:tcW w:w="992" w:type="dxa"/>
            <w:shd w:val="clear" w:color="auto" w:fill="C6EFCE"/>
          </w:tcPr>
          <w:p w14:paraId="41B561BE" w14:textId="03D4AA48" w:rsidR="00EB245A" w:rsidRDefault="006021EE">
            <w:pPr>
              <w:pStyle w:val="P68B1DB1-Normal012"/>
              <w:spacing w:after="0" w:line="240" w:lineRule="auto"/>
              <w:jc w:val="center"/>
              <w:rPr>
                <w:rFonts w:eastAsia="Times New Roman" w:cs="Times New Roman"/>
                <w:noProof/>
                <w:color w:val="006100"/>
              </w:rPr>
            </w:pPr>
            <w:r>
              <w:rPr>
                <w:noProof/>
              </w:rPr>
              <w:t>Q4</w:t>
            </w:r>
          </w:p>
        </w:tc>
        <w:tc>
          <w:tcPr>
            <w:tcW w:w="851" w:type="dxa"/>
            <w:shd w:val="clear" w:color="auto" w:fill="C6EFCE"/>
          </w:tcPr>
          <w:p w14:paraId="53ECD6F9" w14:textId="4753FBE8"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2024</w:t>
            </w:r>
          </w:p>
        </w:tc>
        <w:tc>
          <w:tcPr>
            <w:tcW w:w="3118" w:type="dxa"/>
            <w:shd w:val="clear" w:color="auto" w:fill="C6EFCE"/>
          </w:tcPr>
          <w:p w14:paraId="60397205" w14:textId="10954554" w:rsidR="00EB245A" w:rsidRDefault="006021EE">
            <w:pPr>
              <w:pStyle w:val="P68B1DB1-Normal012"/>
              <w:spacing w:after="0" w:line="240" w:lineRule="auto"/>
              <w:rPr>
                <w:noProof/>
                <w:color w:val="000000" w:themeColor="text1"/>
              </w:rPr>
            </w:pPr>
            <w:r>
              <w:rPr>
                <w:noProof/>
              </w:rPr>
              <w:t xml:space="preserve">Die Projekte werden im Rahmen einer wettbewerbsorientierten und offenen Aufforderung zur Einreichung von Vorschlägen ausgewählt. Nach der Aufforderung zur Einreichung von Vorschlägen werden die Verträge mit ausgewählten Begünstigten über die Lieferung von </w:t>
            </w:r>
            <w:r>
              <w:rPr>
                <w:noProof/>
              </w:rPr>
              <w:t xml:space="preserve">77 emissionsfreien/elektrischen und ERTMS-Ausrüstungen für den regionalen Schienenpersonenverkehr unterzeichnet. </w:t>
            </w:r>
          </w:p>
          <w:p w14:paraId="49F9C159" w14:textId="77777777" w:rsidR="00EB245A" w:rsidRDefault="00EB245A">
            <w:pPr>
              <w:pStyle w:val="Normal0"/>
              <w:spacing w:after="0" w:line="240" w:lineRule="auto"/>
              <w:rPr>
                <w:rFonts w:ascii="Times New Roman" w:hAnsi="Times New Roman"/>
                <w:noProof/>
                <w:color w:val="000000" w:themeColor="text1"/>
                <w:sz w:val="18"/>
              </w:rPr>
            </w:pPr>
          </w:p>
          <w:p w14:paraId="5CDD8882" w14:textId="0D0312ED" w:rsidR="00EB245A" w:rsidRDefault="006021EE">
            <w:pPr>
              <w:pStyle w:val="P68B1DB1-Normal011"/>
              <w:spacing w:after="0" w:line="240" w:lineRule="auto"/>
              <w:rPr>
                <w:rFonts w:eastAsia="Times New Roman" w:cs="Times New Roman"/>
                <w:noProof/>
                <w:color w:val="006100"/>
              </w:rPr>
            </w:pPr>
            <w:r>
              <w:rPr>
                <w:noProof/>
                <w:color w:val="000000" w:themeColor="text1"/>
              </w:rPr>
              <w:t>Weitere 304 elektrische Fahrzeuge  (56 neue Lokomotiven und 248 modernisierte Wagen) unterliegen Verträgen, die mit der nationalen polnischen</w:t>
            </w:r>
            <w:r>
              <w:rPr>
                <w:noProof/>
                <w:color w:val="000000" w:themeColor="text1"/>
              </w:rPr>
              <w:t xml:space="preserve"> Eisenbahngesellschaft PKP IC – Betreiber von Fernzügen – unterzeichnet werden.</w:t>
            </w:r>
          </w:p>
        </w:tc>
      </w:tr>
      <w:tr w:rsidR="00EB245A" w14:paraId="516B4C97" w14:textId="77777777" w:rsidTr="00FA2520">
        <w:trPr>
          <w:trHeight w:val="929"/>
        </w:trPr>
        <w:tc>
          <w:tcPr>
            <w:tcW w:w="655" w:type="dxa"/>
            <w:shd w:val="clear" w:color="auto" w:fill="C6EFCE"/>
          </w:tcPr>
          <w:p w14:paraId="049C487D" w14:textId="79419392" w:rsidR="00EB245A" w:rsidRDefault="006021EE">
            <w:pPr>
              <w:pStyle w:val="P68B1DB1-Normal011"/>
              <w:spacing w:line="240" w:lineRule="auto"/>
              <w:jc w:val="center"/>
              <w:rPr>
                <w:rFonts w:cs="Times New Roman"/>
                <w:noProof/>
              </w:rPr>
            </w:pPr>
            <w:r>
              <w:rPr>
                <w:noProof/>
              </w:rPr>
              <w:t>E19aG</w:t>
            </w:r>
          </w:p>
        </w:tc>
        <w:tc>
          <w:tcPr>
            <w:tcW w:w="1280" w:type="dxa"/>
            <w:shd w:val="clear" w:color="auto" w:fill="C6EFCE"/>
          </w:tcPr>
          <w:p w14:paraId="76B94BFC" w14:textId="09F3666B"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E2.1.2 Schienenfahrzeuge für den Personenverkehr</w:t>
            </w:r>
          </w:p>
        </w:tc>
        <w:tc>
          <w:tcPr>
            <w:tcW w:w="1184" w:type="dxa"/>
            <w:shd w:val="clear" w:color="auto" w:fill="C6EFCE"/>
          </w:tcPr>
          <w:p w14:paraId="372DA257" w14:textId="10938C43" w:rsidR="00EB245A" w:rsidRDefault="006021EE">
            <w:pPr>
              <w:pStyle w:val="P68B1DB1-Normal012"/>
              <w:spacing w:line="240" w:lineRule="auto"/>
              <w:rPr>
                <w:rFonts w:eastAsia="Times New Roman" w:cs="Times New Roman"/>
                <w:noProof/>
                <w:color w:val="000000" w:themeColor="text1"/>
              </w:rPr>
            </w:pPr>
            <w:r>
              <w:rPr>
                <w:noProof/>
              </w:rPr>
              <w:t>Ziel</w:t>
            </w:r>
          </w:p>
        </w:tc>
        <w:tc>
          <w:tcPr>
            <w:tcW w:w="1872" w:type="dxa"/>
            <w:shd w:val="clear" w:color="auto" w:fill="C6EFCE"/>
          </w:tcPr>
          <w:p w14:paraId="66255581" w14:textId="1B37A412"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Elektrische und mit ERTMS ausgestattete Fahrzeuge, die für Schienenfernstrecken geliefert werden</w:t>
            </w:r>
          </w:p>
        </w:tc>
        <w:tc>
          <w:tcPr>
            <w:tcW w:w="1955" w:type="dxa"/>
            <w:shd w:val="clear" w:color="auto" w:fill="C6EFCE"/>
          </w:tcPr>
          <w:p w14:paraId="5BB04A8D" w14:textId="0EB2274C" w:rsidR="00EB245A" w:rsidRDefault="00EB245A">
            <w:pPr>
              <w:pStyle w:val="Normal0"/>
              <w:spacing w:line="240" w:lineRule="auto"/>
              <w:rPr>
                <w:rFonts w:ascii="Times New Roman" w:eastAsia="Times New Roman" w:hAnsi="Times New Roman" w:cs="Times New Roman"/>
                <w:noProof/>
                <w:color w:val="000000" w:themeColor="text1"/>
                <w:sz w:val="18"/>
              </w:rPr>
            </w:pPr>
          </w:p>
        </w:tc>
        <w:tc>
          <w:tcPr>
            <w:tcW w:w="1134" w:type="dxa"/>
            <w:shd w:val="clear" w:color="auto" w:fill="C6EFCE"/>
          </w:tcPr>
          <w:p w14:paraId="4E2F6858" w14:textId="493FD407" w:rsidR="00EB245A" w:rsidRDefault="006021EE">
            <w:pPr>
              <w:pStyle w:val="P68B1DB1-Normal012"/>
              <w:spacing w:line="240" w:lineRule="auto"/>
              <w:rPr>
                <w:rFonts w:eastAsia="Times New Roman" w:cs="Times New Roman"/>
                <w:noProof/>
                <w:color w:val="000000" w:themeColor="text1"/>
              </w:rPr>
            </w:pPr>
            <w:r>
              <w:rPr>
                <w:noProof/>
              </w:rPr>
              <w:t>Anzahl</w:t>
            </w:r>
          </w:p>
        </w:tc>
        <w:tc>
          <w:tcPr>
            <w:tcW w:w="1418" w:type="dxa"/>
            <w:shd w:val="clear" w:color="auto" w:fill="C6EFCE"/>
          </w:tcPr>
          <w:p w14:paraId="36408533" w14:textId="1BB1202E" w:rsidR="00EB245A" w:rsidRDefault="006021EE">
            <w:pPr>
              <w:pStyle w:val="P68B1DB1-Normal012"/>
              <w:spacing w:line="240" w:lineRule="auto"/>
              <w:jc w:val="center"/>
              <w:rPr>
                <w:rFonts w:eastAsia="Times New Roman" w:cs="Times New Roman"/>
                <w:noProof/>
                <w:color w:val="000000" w:themeColor="text1"/>
              </w:rPr>
            </w:pPr>
            <w:r>
              <w:rPr>
                <w:noProof/>
              </w:rPr>
              <w:t>0</w:t>
            </w:r>
          </w:p>
        </w:tc>
        <w:tc>
          <w:tcPr>
            <w:tcW w:w="992" w:type="dxa"/>
            <w:shd w:val="clear" w:color="auto" w:fill="C6EFCE"/>
          </w:tcPr>
          <w:p w14:paraId="59407743" w14:textId="499171B2" w:rsidR="00EB245A" w:rsidRDefault="006021EE">
            <w:pPr>
              <w:pStyle w:val="P68B1DB1-Normal012"/>
              <w:spacing w:line="240" w:lineRule="auto"/>
              <w:jc w:val="right"/>
              <w:rPr>
                <w:noProof/>
                <w:color w:val="000000" w:themeColor="text1"/>
              </w:rPr>
            </w:pPr>
            <w:r>
              <w:rPr>
                <w:noProof/>
              </w:rPr>
              <w:t>160</w:t>
            </w:r>
          </w:p>
        </w:tc>
        <w:tc>
          <w:tcPr>
            <w:tcW w:w="992" w:type="dxa"/>
            <w:shd w:val="clear" w:color="auto" w:fill="C6EFCE"/>
          </w:tcPr>
          <w:p w14:paraId="2F4409D5" w14:textId="2AF2BADE" w:rsidR="00EB245A" w:rsidRDefault="006021EE">
            <w:pPr>
              <w:pStyle w:val="P68B1DB1-Normal012"/>
              <w:spacing w:line="240" w:lineRule="auto"/>
              <w:jc w:val="center"/>
              <w:rPr>
                <w:rFonts w:eastAsia="Times New Roman" w:cs="Times New Roman"/>
                <w:noProof/>
                <w:color w:val="000000" w:themeColor="text1"/>
              </w:rPr>
            </w:pPr>
            <w:r>
              <w:rPr>
                <w:noProof/>
              </w:rPr>
              <w:t>Q2</w:t>
            </w:r>
          </w:p>
        </w:tc>
        <w:tc>
          <w:tcPr>
            <w:tcW w:w="851" w:type="dxa"/>
            <w:shd w:val="clear" w:color="auto" w:fill="C6EFCE"/>
          </w:tcPr>
          <w:p w14:paraId="47715760" w14:textId="2E15CA1C" w:rsidR="00EB245A" w:rsidRDefault="006021EE">
            <w:pPr>
              <w:pStyle w:val="P68B1DB1-Normal012"/>
              <w:spacing w:line="240" w:lineRule="auto"/>
              <w:jc w:val="center"/>
              <w:rPr>
                <w:rFonts w:eastAsia="Times New Roman" w:cs="Times New Roman"/>
                <w:noProof/>
                <w:color w:val="000000" w:themeColor="text1"/>
              </w:rPr>
            </w:pPr>
            <w:r>
              <w:rPr>
                <w:noProof/>
              </w:rPr>
              <w:t>2025</w:t>
            </w:r>
          </w:p>
        </w:tc>
        <w:tc>
          <w:tcPr>
            <w:tcW w:w="3118" w:type="dxa"/>
            <w:shd w:val="clear" w:color="auto" w:fill="C6EFCE"/>
          </w:tcPr>
          <w:p w14:paraId="119F1387" w14:textId="61E14C43" w:rsidR="00EB245A" w:rsidRDefault="006021EE">
            <w:pPr>
              <w:pStyle w:val="P68B1DB1-Normal012"/>
              <w:spacing w:line="240" w:lineRule="auto"/>
              <w:rPr>
                <w:rFonts w:eastAsia="Times New Roman" w:cs="Times New Roman"/>
                <w:noProof/>
                <w:color w:val="000000" w:themeColor="text1"/>
              </w:rPr>
            </w:pPr>
            <w:r>
              <w:rPr>
                <w:noProof/>
              </w:rPr>
              <w:t>Es sind 10 neue Lokomotiven und 150 modernisierte Wagen für Fernstrecken zu liefern.</w:t>
            </w:r>
          </w:p>
        </w:tc>
      </w:tr>
      <w:tr w:rsidR="00EB245A" w14:paraId="06565939" w14:textId="77777777" w:rsidTr="00FA2520">
        <w:trPr>
          <w:trHeight w:val="300"/>
        </w:trPr>
        <w:tc>
          <w:tcPr>
            <w:tcW w:w="655" w:type="dxa"/>
            <w:shd w:val="clear" w:color="auto" w:fill="C6EFCE"/>
          </w:tcPr>
          <w:p w14:paraId="5C8738AC" w14:textId="07FF9673"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E20G</w:t>
            </w:r>
          </w:p>
        </w:tc>
        <w:tc>
          <w:tcPr>
            <w:tcW w:w="1280" w:type="dxa"/>
            <w:shd w:val="clear" w:color="auto" w:fill="C6EFCE"/>
          </w:tcPr>
          <w:p w14:paraId="6C8075A9"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E2.1.2 Schienenfahrzeuge für den Personenverkehr</w:t>
            </w:r>
          </w:p>
        </w:tc>
        <w:tc>
          <w:tcPr>
            <w:tcW w:w="1184" w:type="dxa"/>
            <w:shd w:val="clear" w:color="auto" w:fill="C6EFCE"/>
          </w:tcPr>
          <w:p w14:paraId="570E7F9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Ziel</w:t>
            </w:r>
          </w:p>
        </w:tc>
        <w:tc>
          <w:tcPr>
            <w:tcW w:w="1872" w:type="dxa"/>
            <w:shd w:val="clear" w:color="auto" w:fill="C6EFCE"/>
          </w:tcPr>
          <w:p w14:paraId="7432032B" w14:textId="3F6CEACE"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Neue elektrische und mit ERTMS ausgestattete Fahrzeuge für Regional- und Fernbahnstrecken</w:t>
            </w:r>
          </w:p>
        </w:tc>
        <w:tc>
          <w:tcPr>
            <w:tcW w:w="1955" w:type="dxa"/>
            <w:shd w:val="clear" w:color="auto" w:fill="C6EFCE"/>
          </w:tcPr>
          <w:p w14:paraId="1768167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134" w:type="dxa"/>
            <w:shd w:val="clear" w:color="auto" w:fill="C6EFCE"/>
          </w:tcPr>
          <w:p w14:paraId="7C769DF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Anzahl</w:t>
            </w:r>
          </w:p>
        </w:tc>
        <w:tc>
          <w:tcPr>
            <w:tcW w:w="1418" w:type="dxa"/>
            <w:shd w:val="clear" w:color="auto" w:fill="C6EFCE"/>
          </w:tcPr>
          <w:p w14:paraId="55B3BC3C" w14:textId="5078B9DA" w:rsidR="00EB245A" w:rsidRDefault="006021EE">
            <w:pPr>
              <w:pStyle w:val="P68B1DB1-Normal012"/>
              <w:spacing w:after="0" w:line="240" w:lineRule="auto"/>
              <w:jc w:val="right"/>
              <w:rPr>
                <w:rFonts w:eastAsia="Times New Roman" w:cs="Times New Roman"/>
                <w:noProof/>
                <w:color w:val="000000" w:themeColor="text1"/>
              </w:rPr>
            </w:pPr>
            <w:r>
              <w:rPr>
                <w:noProof/>
              </w:rPr>
              <w:t>160</w:t>
            </w:r>
          </w:p>
        </w:tc>
        <w:tc>
          <w:tcPr>
            <w:tcW w:w="992" w:type="dxa"/>
            <w:shd w:val="clear" w:color="auto" w:fill="C6EFCE"/>
          </w:tcPr>
          <w:p w14:paraId="0898F794" w14:textId="62B43515"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381</w:t>
            </w:r>
          </w:p>
        </w:tc>
        <w:tc>
          <w:tcPr>
            <w:tcW w:w="992" w:type="dxa"/>
            <w:shd w:val="clear" w:color="auto" w:fill="C6EFCE"/>
          </w:tcPr>
          <w:p w14:paraId="16176451"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Q2</w:t>
            </w:r>
          </w:p>
        </w:tc>
        <w:tc>
          <w:tcPr>
            <w:tcW w:w="851" w:type="dxa"/>
            <w:shd w:val="clear" w:color="auto" w:fill="C6EFCE"/>
          </w:tcPr>
          <w:p w14:paraId="46FD8213"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2026</w:t>
            </w:r>
          </w:p>
        </w:tc>
        <w:tc>
          <w:tcPr>
            <w:tcW w:w="3118" w:type="dxa"/>
            <w:shd w:val="clear" w:color="auto" w:fill="C6EFCE"/>
          </w:tcPr>
          <w:p w14:paraId="4A38C37B" w14:textId="66A5C24D" w:rsidR="00EB245A" w:rsidRDefault="006021EE">
            <w:pPr>
              <w:pStyle w:val="P68B1DB1-Normal011"/>
              <w:spacing w:after="0" w:line="240" w:lineRule="auto"/>
              <w:rPr>
                <w:rFonts w:eastAsia="Times New Roman" w:cs="Times New Roman"/>
                <w:noProof/>
              </w:rPr>
            </w:pPr>
            <w:r>
              <w:rPr>
                <w:noProof/>
              </w:rPr>
              <w:t>Anzahl der neuen Fahrzeugeinheiten für den Fern- und Regionalverkehr, die nach ihrem Bau</w:t>
            </w:r>
            <w:r>
              <w:rPr>
                <w:strike/>
                <w:noProof/>
              </w:rPr>
              <w:t xml:space="preserve"> </w:t>
            </w:r>
            <w:r>
              <w:rPr>
                <w:noProof/>
              </w:rPr>
              <w:t xml:space="preserve">vorläufig angenommen wurden (technische Abnahme). </w:t>
            </w:r>
          </w:p>
          <w:p w14:paraId="0B05B553" w14:textId="3FBB0330" w:rsidR="00EB245A" w:rsidRDefault="006021EE">
            <w:pPr>
              <w:pStyle w:val="P68B1DB1-Normal011"/>
              <w:spacing w:after="0" w:line="240" w:lineRule="auto"/>
              <w:rPr>
                <w:rFonts w:eastAsia="Times New Roman" w:cs="Times New Roman"/>
                <w:noProof/>
              </w:rPr>
            </w:pPr>
            <w:r>
              <w:rPr>
                <w:noProof/>
              </w:rPr>
              <w:t xml:space="preserve">Die Fahrzeuge müssen emissionsfrei/elektrisch sein, den DNSH-Grundsätzen entsprechen (z. B. emissionsfreie </w:t>
            </w:r>
            <w:r>
              <w:rPr>
                <w:noProof/>
              </w:rPr>
              <w:t>Fahrzeuge) und mit ERTMS ausgerüstet sein. Es gibt 77 Einheiten für Regionalstrecken und 304 Einheiten (56 neue Lokomotiven und 248 modernisierte Wagen) für Fernstrecken (im Rahmen öffentlicher Dienstleistungsaufträge).</w:t>
            </w:r>
          </w:p>
          <w:p w14:paraId="798A05FB" w14:textId="047614F1" w:rsidR="00EB245A" w:rsidRDefault="006021EE">
            <w:pPr>
              <w:pStyle w:val="P68B1DB1-Normal012"/>
              <w:spacing w:after="0" w:line="240" w:lineRule="auto"/>
              <w:rPr>
                <w:noProof/>
                <w:color w:val="000000" w:themeColor="text1"/>
              </w:rPr>
            </w:pPr>
            <w:r>
              <w:rPr>
                <w:noProof/>
              </w:rPr>
              <w:t>Der öffentliche Dienstleistungsauftr</w:t>
            </w:r>
            <w:r>
              <w:rPr>
                <w:noProof/>
              </w:rPr>
              <w:t>ag sieht vor, dass das rollende Material am Ende des öffentlichen Dienstleistungsauftrags an die zuständige Behörde oder den nächsten Betreiber (zum Marktpreis abzüglich der Beihilfe) übergeben wird.</w:t>
            </w:r>
          </w:p>
        </w:tc>
      </w:tr>
      <w:tr w:rsidR="00EB245A" w14:paraId="408782DD" w14:textId="77777777" w:rsidTr="00FA2520">
        <w:trPr>
          <w:trHeight w:val="300"/>
        </w:trPr>
        <w:tc>
          <w:tcPr>
            <w:tcW w:w="655" w:type="dxa"/>
            <w:shd w:val="clear" w:color="auto" w:fill="C6EFCE"/>
          </w:tcPr>
          <w:p w14:paraId="7AE99E28" w14:textId="733B7019"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E21G</w:t>
            </w:r>
          </w:p>
        </w:tc>
        <w:tc>
          <w:tcPr>
            <w:tcW w:w="1280" w:type="dxa"/>
            <w:shd w:val="clear" w:color="auto" w:fill="C6EFCE"/>
          </w:tcPr>
          <w:p w14:paraId="3F7BF6DE"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E2.1.3 Intermodale Projekte</w:t>
            </w:r>
          </w:p>
        </w:tc>
        <w:tc>
          <w:tcPr>
            <w:tcW w:w="1184" w:type="dxa"/>
            <w:shd w:val="clear" w:color="auto" w:fill="C6EFCE"/>
          </w:tcPr>
          <w:p w14:paraId="06625BB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872" w:type="dxa"/>
            <w:shd w:val="clear" w:color="auto" w:fill="C6EFCE"/>
          </w:tcPr>
          <w:p w14:paraId="627A33FF" w14:textId="38E6C108"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Unterzeichnung von Verträgen für Projekte im Bereich des intermodalen Verkehrs</w:t>
            </w:r>
          </w:p>
        </w:tc>
        <w:tc>
          <w:tcPr>
            <w:tcW w:w="1955" w:type="dxa"/>
            <w:shd w:val="clear" w:color="auto" w:fill="C6EFCE"/>
          </w:tcPr>
          <w:p w14:paraId="28F6E653" w14:textId="4958505D"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 xml:space="preserve"> Unterzeichnete Verträge</w:t>
            </w:r>
          </w:p>
        </w:tc>
        <w:tc>
          <w:tcPr>
            <w:tcW w:w="1134" w:type="dxa"/>
            <w:shd w:val="clear" w:color="auto" w:fill="C6EFCE"/>
          </w:tcPr>
          <w:p w14:paraId="3BB54FD9"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418" w:type="dxa"/>
            <w:shd w:val="clear" w:color="auto" w:fill="C6EFCE"/>
          </w:tcPr>
          <w:p w14:paraId="50835483"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992" w:type="dxa"/>
            <w:shd w:val="clear" w:color="auto" w:fill="C6EFCE"/>
          </w:tcPr>
          <w:p w14:paraId="415990F0"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 xml:space="preserve"> </w:t>
            </w:r>
          </w:p>
        </w:tc>
        <w:tc>
          <w:tcPr>
            <w:tcW w:w="992" w:type="dxa"/>
            <w:shd w:val="clear" w:color="auto" w:fill="C6EFCE"/>
          </w:tcPr>
          <w:p w14:paraId="0239B9F7" w14:textId="6072DF11"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Q4</w:t>
            </w:r>
          </w:p>
        </w:tc>
        <w:tc>
          <w:tcPr>
            <w:tcW w:w="851" w:type="dxa"/>
            <w:shd w:val="clear" w:color="auto" w:fill="C6EFCE"/>
          </w:tcPr>
          <w:p w14:paraId="761C5FC8" w14:textId="6FAE78D0"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2024</w:t>
            </w:r>
          </w:p>
        </w:tc>
        <w:tc>
          <w:tcPr>
            <w:tcW w:w="3118" w:type="dxa"/>
            <w:shd w:val="clear" w:color="auto" w:fill="C6EFCE"/>
          </w:tcPr>
          <w:p w14:paraId="213BE7EE" w14:textId="4A68A61D" w:rsidR="00EB245A" w:rsidRDefault="006021EE">
            <w:pPr>
              <w:pStyle w:val="P68B1DB1-Normal012"/>
              <w:spacing w:after="0" w:line="240" w:lineRule="auto"/>
              <w:rPr>
                <w:rFonts w:eastAsia="Times New Roman" w:cs="Times New Roman"/>
                <w:noProof/>
              </w:rPr>
            </w:pPr>
            <w:r>
              <w:rPr>
                <w:noProof/>
              </w:rPr>
              <w:t xml:space="preserve">Die Projekte werden im Rahmen einer wettbewerbsorientierten und offenen Aufforderung zur Einreichung von Vorschlägen ausgewählt. Nach der </w:t>
            </w:r>
            <w:r>
              <w:rPr>
                <w:noProof/>
              </w:rPr>
              <w:t>Aufforderung zur Einreichung von Vorschlägen werden die Verträge mit ausgewählten Begünstigten zur Unterstützung von fünf intermodalen Terminals und zur Lieferung von 200 Fahrzeugen unterzeichnet, die den technischen Spezifikationen und den DNSH-Grundsätze</w:t>
            </w:r>
            <w:r>
              <w:rPr>
                <w:noProof/>
              </w:rPr>
              <w:t>n (z. B. geräuscharme Bremsen, Nullemissionen) und dem Global System für Mobilkommunikation (für Lokomotiven) entsprechen.</w:t>
            </w:r>
          </w:p>
        </w:tc>
      </w:tr>
      <w:tr w:rsidR="00EB245A" w14:paraId="70B65430" w14:textId="77777777" w:rsidTr="00FA2520">
        <w:trPr>
          <w:trHeight w:val="559"/>
        </w:trPr>
        <w:tc>
          <w:tcPr>
            <w:tcW w:w="655" w:type="dxa"/>
            <w:shd w:val="clear" w:color="auto" w:fill="C6EFCE"/>
          </w:tcPr>
          <w:p w14:paraId="1C9AB277" w14:textId="4A48635F"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E22G</w:t>
            </w:r>
          </w:p>
        </w:tc>
        <w:tc>
          <w:tcPr>
            <w:tcW w:w="1280" w:type="dxa"/>
            <w:shd w:val="clear" w:color="auto" w:fill="C6EFCE"/>
          </w:tcPr>
          <w:p w14:paraId="2F0780E5"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E2.1.3 Intermodale Projekte</w:t>
            </w:r>
          </w:p>
        </w:tc>
        <w:tc>
          <w:tcPr>
            <w:tcW w:w="1184" w:type="dxa"/>
            <w:shd w:val="clear" w:color="auto" w:fill="C6EFCE"/>
          </w:tcPr>
          <w:p w14:paraId="31A1D58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Ziel</w:t>
            </w:r>
          </w:p>
        </w:tc>
        <w:tc>
          <w:tcPr>
            <w:tcW w:w="1872" w:type="dxa"/>
            <w:shd w:val="clear" w:color="auto" w:fill="C6EFCE"/>
          </w:tcPr>
          <w:p w14:paraId="05BA90D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Erhöhung der Umschlagkapazität</w:t>
            </w:r>
          </w:p>
        </w:tc>
        <w:tc>
          <w:tcPr>
            <w:tcW w:w="1955" w:type="dxa"/>
            <w:shd w:val="clear" w:color="auto" w:fill="C6EFCE"/>
          </w:tcPr>
          <w:p w14:paraId="7E19E8D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134" w:type="dxa"/>
            <w:shd w:val="clear" w:color="auto" w:fill="C6EFCE"/>
          </w:tcPr>
          <w:p w14:paraId="24CA8A0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(Prozent)</w:t>
            </w:r>
          </w:p>
        </w:tc>
        <w:tc>
          <w:tcPr>
            <w:tcW w:w="1418" w:type="dxa"/>
            <w:shd w:val="clear" w:color="auto" w:fill="C6EFCE"/>
          </w:tcPr>
          <w:p w14:paraId="223C8E7D" w14:textId="77777777" w:rsidR="00EB245A" w:rsidRDefault="006021EE">
            <w:pPr>
              <w:pStyle w:val="P68B1DB1-Normal012"/>
              <w:pBdr>
                <w:top w:val="nil"/>
                <w:left w:val="nil"/>
                <w:bottom w:val="nil"/>
                <w:right w:val="nil"/>
                <w:between w:val="nil"/>
              </w:pBdr>
              <w:spacing w:after="0"/>
              <w:rPr>
                <w:rFonts w:eastAsia="Times New Roman" w:cs="Times New Roman"/>
                <w:noProof/>
              </w:rPr>
            </w:pPr>
            <w:r>
              <w:rPr>
                <w:noProof/>
              </w:rPr>
              <w:t xml:space="preserve">Ausgangswert 9,1 Mio. TEU/Jahr installierte </w:t>
            </w:r>
            <w:r>
              <w:rPr>
                <w:noProof/>
              </w:rPr>
              <w:t>Kapazität (Ref. 2020) für alle Terminals in Polen</w:t>
            </w:r>
          </w:p>
        </w:tc>
        <w:tc>
          <w:tcPr>
            <w:tcW w:w="992" w:type="dxa"/>
            <w:shd w:val="clear" w:color="auto" w:fill="C6EFCE"/>
          </w:tcPr>
          <w:p w14:paraId="1D0ADF7A"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rPr>
            </w:pPr>
            <w:r>
              <w:rPr>
                <w:noProof/>
              </w:rPr>
              <w:t>5</w:t>
            </w:r>
          </w:p>
        </w:tc>
        <w:tc>
          <w:tcPr>
            <w:tcW w:w="992" w:type="dxa"/>
            <w:shd w:val="clear" w:color="auto" w:fill="C6EFCE"/>
          </w:tcPr>
          <w:p w14:paraId="26574F7D"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Q2</w:t>
            </w:r>
          </w:p>
        </w:tc>
        <w:tc>
          <w:tcPr>
            <w:tcW w:w="851" w:type="dxa"/>
            <w:shd w:val="clear" w:color="auto" w:fill="C6EFCE"/>
          </w:tcPr>
          <w:p w14:paraId="04A1BF75"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2026</w:t>
            </w:r>
          </w:p>
        </w:tc>
        <w:tc>
          <w:tcPr>
            <w:tcW w:w="3118" w:type="dxa"/>
            <w:shd w:val="clear" w:color="auto" w:fill="C6EFCE"/>
          </w:tcPr>
          <w:p w14:paraId="5FCB4135" w14:textId="7B1EAD99"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Erhöhung der Umschlagkapazität von Terminals, die im Rahmen der Aufbau- und Resilienzfazilität unterstützt werden, um mindestens 5 % gegenüber dem Basisszenario (2020).</w:t>
            </w:r>
          </w:p>
        </w:tc>
      </w:tr>
      <w:tr w:rsidR="00EB245A" w14:paraId="6A4403AA" w14:textId="77777777" w:rsidTr="00FA2520">
        <w:trPr>
          <w:trHeight w:val="300"/>
        </w:trPr>
        <w:tc>
          <w:tcPr>
            <w:tcW w:w="655" w:type="dxa"/>
            <w:shd w:val="clear" w:color="auto" w:fill="C6EFCE"/>
          </w:tcPr>
          <w:p w14:paraId="43BC5005" w14:textId="561909C1"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E23G</w:t>
            </w:r>
          </w:p>
        </w:tc>
        <w:tc>
          <w:tcPr>
            <w:tcW w:w="1280" w:type="dxa"/>
            <w:shd w:val="clear" w:color="auto" w:fill="C6EFCE"/>
          </w:tcPr>
          <w:p w14:paraId="7AF4CF70"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E2.2 Verbesserung der</w:t>
            </w:r>
            <w:r>
              <w:rPr>
                <w:noProof/>
              </w:rPr>
              <w:t xml:space="preserve"> Verkehrssicherheit</w:t>
            </w:r>
          </w:p>
        </w:tc>
        <w:tc>
          <w:tcPr>
            <w:tcW w:w="1184" w:type="dxa"/>
            <w:shd w:val="clear" w:color="auto" w:fill="C6EFCE"/>
          </w:tcPr>
          <w:p w14:paraId="099FAEC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872" w:type="dxa"/>
            <w:shd w:val="clear" w:color="auto" w:fill="C6EFCE"/>
          </w:tcPr>
          <w:p w14:paraId="3AEE1799" w14:textId="1C5A28BB"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Inkrafttreten von Rechtsakten, mit denen Folgendes eingeführt wird: Priorität für Fußgänger</w:t>
            </w:r>
            <w:r>
              <w:rPr>
                <w:noProof/>
              </w:rPr>
              <w:t xml:space="preserve"> an Kreuzungen, einheitliche Geschwindigkeit in geschlossenen Gebieten Mindestabstand zwischen Fahrzeugen, Ziele für die Straßenverkehrssicherheit bis 2030 (-50 % Unfalltote)</w:t>
            </w:r>
          </w:p>
        </w:tc>
        <w:tc>
          <w:tcPr>
            <w:tcW w:w="1955" w:type="dxa"/>
            <w:shd w:val="clear" w:color="auto" w:fill="C6EFCE"/>
          </w:tcPr>
          <w:p w14:paraId="4035E194" w14:textId="3C2F7B0B"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Bestimmungen in den Rechtsakten, aus denen das Inkrafttreten hervorgeht</w:t>
            </w:r>
          </w:p>
        </w:tc>
        <w:tc>
          <w:tcPr>
            <w:tcW w:w="1134" w:type="dxa"/>
            <w:shd w:val="clear" w:color="auto" w:fill="C6EFCE"/>
          </w:tcPr>
          <w:p w14:paraId="7BD4DE0D"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 xml:space="preserve"> </w:t>
            </w:r>
          </w:p>
        </w:tc>
        <w:tc>
          <w:tcPr>
            <w:tcW w:w="1418" w:type="dxa"/>
            <w:shd w:val="clear" w:color="auto" w:fill="C6EFCE"/>
          </w:tcPr>
          <w:p w14:paraId="3000EAAB"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 xml:space="preserve"> </w:t>
            </w:r>
          </w:p>
        </w:tc>
        <w:tc>
          <w:tcPr>
            <w:tcW w:w="992" w:type="dxa"/>
            <w:shd w:val="clear" w:color="auto" w:fill="C6EFCE"/>
          </w:tcPr>
          <w:p w14:paraId="50042928"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 xml:space="preserve"> </w:t>
            </w:r>
          </w:p>
        </w:tc>
        <w:tc>
          <w:tcPr>
            <w:tcW w:w="992" w:type="dxa"/>
            <w:shd w:val="clear" w:color="auto" w:fill="C6EFCE"/>
          </w:tcPr>
          <w:p w14:paraId="2C95D6BB" w14:textId="77777777" w:rsidR="00EB245A" w:rsidRDefault="006021EE">
            <w:pPr>
              <w:pStyle w:val="P68B1DB1-Normal012"/>
              <w:spacing w:after="0" w:line="240" w:lineRule="auto"/>
              <w:jc w:val="center"/>
              <w:rPr>
                <w:rFonts w:eastAsia="Times New Roman" w:cs="Times New Roman"/>
                <w:noProof/>
                <w:color w:val="000000" w:themeColor="text1"/>
              </w:rPr>
            </w:pPr>
            <w:r>
              <w:rPr>
                <w:noProof/>
              </w:rPr>
              <w:t>Q4</w:t>
            </w:r>
          </w:p>
        </w:tc>
        <w:tc>
          <w:tcPr>
            <w:tcW w:w="851" w:type="dxa"/>
            <w:shd w:val="clear" w:color="auto" w:fill="C6EFCE"/>
          </w:tcPr>
          <w:p w14:paraId="025EA925"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2021</w:t>
            </w:r>
          </w:p>
        </w:tc>
        <w:tc>
          <w:tcPr>
            <w:tcW w:w="3118" w:type="dxa"/>
            <w:shd w:val="clear" w:color="auto" w:fill="C6EFCE"/>
          </w:tcPr>
          <w:p w14:paraId="54EEB6C8" w14:textId="14E4C6A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Die folgenden Gesetzesänderungen zur Förderung der Straßenverkehrssicherheit werden eingeführt: Vorrang für Fußgänger auf Übergängen, Einführung einer einheitlichen Geschwindigkeitsbegrenzung in städtischen Gebieten (50 km/h) und Mindestentfernung zwi</w:t>
            </w:r>
            <w:r>
              <w:rPr>
                <w:noProof/>
              </w:rPr>
              <w:t>schen Fahrzeugen auf Autobahnen und Schnellstraßen (Hälfte der Geschwindigkeit in Metern). Das Gesamtziel für die Straßenverkehrssicherheit wird im nationalen Programm für die Straßenverkehrssicherheit festgelegt, das darauf abzielt, die Zahl der Verkehrst</w:t>
            </w:r>
            <w:r>
              <w:rPr>
                <w:noProof/>
              </w:rPr>
              <w:t>oten bei Verkehrsunfällen bis 2030 gegenüber 2019 im Einklang mit der Verpflichtung der EU um 50 % zu verringern.</w:t>
            </w:r>
          </w:p>
        </w:tc>
      </w:tr>
      <w:tr w:rsidR="00EB245A" w14:paraId="3A4C7C6D" w14:textId="77777777" w:rsidTr="00FA2520">
        <w:trPr>
          <w:trHeight w:val="300"/>
        </w:trPr>
        <w:tc>
          <w:tcPr>
            <w:tcW w:w="655" w:type="dxa"/>
            <w:shd w:val="clear" w:color="auto" w:fill="C6EFCE"/>
          </w:tcPr>
          <w:p w14:paraId="7BE8521C" w14:textId="19980D94"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E24G</w:t>
            </w:r>
          </w:p>
        </w:tc>
        <w:tc>
          <w:tcPr>
            <w:tcW w:w="1280" w:type="dxa"/>
            <w:shd w:val="clear" w:color="auto" w:fill="C6EFCE"/>
          </w:tcPr>
          <w:p w14:paraId="677C7641" w14:textId="79F18BE6"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E2.2.1 Investitionen in die Verkehrssicherheit</w:t>
            </w:r>
          </w:p>
        </w:tc>
        <w:tc>
          <w:tcPr>
            <w:tcW w:w="1184" w:type="dxa"/>
            <w:shd w:val="clear" w:color="auto" w:fill="C6EFCE"/>
          </w:tcPr>
          <w:p w14:paraId="1F22A6DB"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Ziel</w:t>
            </w:r>
          </w:p>
        </w:tc>
        <w:tc>
          <w:tcPr>
            <w:tcW w:w="1872" w:type="dxa"/>
            <w:shd w:val="clear" w:color="auto" w:fill="C6EFCE"/>
          </w:tcPr>
          <w:p w14:paraId="7778A959" w14:textId="0667721C"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Fertigstellung des Baus von Umgehungsstraßen und Beseitigung von Schwarz-/Hotspots </w:t>
            </w:r>
            <w:r>
              <w:rPr>
                <w:noProof/>
              </w:rPr>
              <w:t>für die Straßenverkehrssicherheit</w:t>
            </w:r>
          </w:p>
        </w:tc>
        <w:tc>
          <w:tcPr>
            <w:tcW w:w="1955" w:type="dxa"/>
            <w:shd w:val="clear" w:color="auto" w:fill="C6EFCE"/>
          </w:tcPr>
          <w:p w14:paraId="75051A5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134" w:type="dxa"/>
            <w:shd w:val="clear" w:color="auto" w:fill="C6EFCE"/>
          </w:tcPr>
          <w:p w14:paraId="7B20D2CD"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Anzahl</w:t>
            </w:r>
          </w:p>
        </w:tc>
        <w:tc>
          <w:tcPr>
            <w:tcW w:w="1418" w:type="dxa"/>
            <w:shd w:val="clear" w:color="auto" w:fill="C6EFCE"/>
          </w:tcPr>
          <w:p w14:paraId="52D73B1F"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0</w:t>
            </w:r>
          </w:p>
        </w:tc>
        <w:tc>
          <w:tcPr>
            <w:tcW w:w="992" w:type="dxa"/>
            <w:shd w:val="clear" w:color="auto" w:fill="C6EFCE"/>
          </w:tcPr>
          <w:p w14:paraId="558CF923" w14:textId="44C08EA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10 km, 125 Schwarz/Hotspots</w:t>
            </w:r>
          </w:p>
        </w:tc>
        <w:tc>
          <w:tcPr>
            <w:tcW w:w="992" w:type="dxa"/>
            <w:shd w:val="clear" w:color="auto" w:fill="C6EFCE"/>
          </w:tcPr>
          <w:p w14:paraId="71AF3573" w14:textId="2A2D6773"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Q4</w:t>
            </w:r>
          </w:p>
        </w:tc>
        <w:tc>
          <w:tcPr>
            <w:tcW w:w="851" w:type="dxa"/>
            <w:shd w:val="clear" w:color="auto" w:fill="C6EFCE"/>
          </w:tcPr>
          <w:p w14:paraId="32553CA6"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2023</w:t>
            </w:r>
          </w:p>
        </w:tc>
        <w:tc>
          <w:tcPr>
            <w:tcW w:w="3118" w:type="dxa"/>
            <w:shd w:val="clear" w:color="auto" w:fill="C6EFCE"/>
          </w:tcPr>
          <w:p w14:paraId="7E7146EB" w14:textId="5BE12362"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Abgeschlossene Investitionen in: 125 gefährliche Schwarz-/Hotspots modernisiert, 10 km Länge der Ringstraßen zur Beseitigung von Sicherheitsschwarz/Hotspots. </w:t>
            </w:r>
          </w:p>
        </w:tc>
      </w:tr>
      <w:tr w:rsidR="00EB245A" w14:paraId="051D5172" w14:textId="77777777" w:rsidTr="00FA2520">
        <w:trPr>
          <w:trHeight w:val="300"/>
        </w:trPr>
        <w:tc>
          <w:tcPr>
            <w:tcW w:w="655" w:type="dxa"/>
            <w:shd w:val="clear" w:color="auto" w:fill="C6EFCE"/>
          </w:tcPr>
          <w:p w14:paraId="6A720608" w14:textId="794D9FC8"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E25G</w:t>
            </w:r>
          </w:p>
        </w:tc>
        <w:tc>
          <w:tcPr>
            <w:tcW w:w="1280" w:type="dxa"/>
            <w:shd w:val="clear" w:color="auto" w:fill="C6EFCE"/>
          </w:tcPr>
          <w:p w14:paraId="0B3FFFC2" w14:textId="7D6A502F"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E2.2.1 </w:t>
            </w:r>
            <w:r>
              <w:rPr>
                <w:noProof/>
              </w:rPr>
              <w:t>Investitionen in die Verkehrssicherheit</w:t>
            </w:r>
          </w:p>
        </w:tc>
        <w:tc>
          <w:tcPr>
            <w:tcW w:w="1184" w:type="dxa"/>
            <w:shd w:val="clear" w:color="auto" w:fill="C6EFCE"/>
          </w:tcPr>
          <w:p w14:paraId="7B2F7030"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Ziel</w:t>
            </w:r>
          </w:p>
        </w:tc>
        <w:tc>
          <w:tcPr>
            <w:tcW w:w="1872" w:type="dxa"/>
            <w:shd w:val="clear" w:color="auto" w:fill="C6EFCE"/>
          </w:tcPr>
          <w:p w14:paraId="2A0BDA3C" w14:textId="28B97C45"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Fertigstellung des Baus von Umgehungsstraßen, Beseitigung von Schwarz-/Hotspots für die Straßenverkehrssicherheit und Installation automatischer Straßenüberwachungsgeräte</w:t>
            </w:r>
          </w:p>
        </w:tc>
        <w:tc>
          <w:tcPr>
            <w:tcW w:w="1955" w:type="dxa"/>
            <w:shd w:val="clear" w:color="auto" w:fill="C6EFCE"/>
          </w:tcPr>
          <w:p w14:paraId="0409B13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134" w:type="dxa"/>
            <w:shd w:val="clear" w:color="auto" w:fill="C6EFCE"/>
          </w:tcPr>
          <w:p w14:paraId="7C68D04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Anzahl</w:t>
            </w:r>
          </w:p>
        </w:tc>
        <w:tc>
          <w:tcPr>
            <w:tcW w:w="1418" w:type="dxa"/>
            <w:shd w:val="clear" w:color="auto" w:fill="C6EFCE"/>
          </w:tcPr>
          <w:p w14:paraId="1CB4E61E"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0</w:t>
            </w:r>
          </w:p>
        </w:tc>
        <w:tc>
          <w:tcPr>
            <w:tcW w:w="992" w:type="dxa"/>
            <w:shd w:val="clear" w:color="auto" w:fill="C6EFCE"/>
          </w:tcPr>
          <w:p w14:paraId="596FFA68" w14:textId="671743A9"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90 km, 305 Schwarz/Hotspots, </w:t>
            </w:r>
            <w:r>
              <w:rPr>
                <w:noProof/>
              </w:rPr>
              <w:t>128 Geräte</w:t>
            </w:r>
          </w:p>
        </w:tc>
        <w:tc>
          <w:tcPr>
            <w:tcW w:w="992" w:type="dxa"/>
            <w:shd w:val="clear" w:color="auto" w:fill="C6EFCE"/>
          </w:tcPr>
          <w:p w14:paraId="45DE5968"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Q2</w:t>
            </w:r>
          </w:p>
        </w:tc>
        <w:tc>
          <w:tcPr>
            <w:tcW w:w="851" w:type="dxa"/>
            <w:shd w:val="clear" w:color="auto" w:fill="C6EFCE"/>
          </w:tcPr>
          <w:p w14:paraId="41066C47"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2026</w:t>
            </w:r>
          </w:p>
        </w:tc>
        <w:tc>
          <w:tcPr>
            <w:tcW w:w="3118" w:type="dxa"/>
            <w:shd w:val="clear" w:color="auto" w:fill="C6EFCE"/>
          </w:tcPr>
          <w:p w14:paraId="200E3AA1" w14:textId="6C08CFE4"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Abgeschlossene Investitionen in: 305 gefährliche Schwarz/Hotspots modernisiert, 90 km lange Ringstraßen zur Beseitigung von Sicherheitsschwarz/Hotspots gebaut, 128 neue automatische Überwachungseinrichtungen installiert.</w:t>
            </w:r>
          </w:p>
        </w:tc>
      </w:tr>
      <w:tr w:rsidR="00EB245A" w14:paraId="7D9C917C" w14:textId="77777777" w:rsidTr="00FA2520">
        <w:trPr>
          <w:trHeight w:val="300"/>
        </w:trPr>
        <w:tc>
          <w:tcPr>
            <w:tcW w:w="655" w:type="dxa"/>
            <w:shd w:val="clear" w:color="auto" w:fill="C6EFCE"/>
          </w:tcPr>
          <w:p w14:paraId="45621186" w14:textId="093F0977" w:rsidR="00EB245A" w:rsidRDefault="006021EE">
            <w:pPr>
              <w:pStyle w:val="P68B1DB1-Normal011"/>
              <w:pBdr>
                <w:top w:val="nil"/>
                <w:left w:val="nil"/>
                <w:bottom w:val="nil"/>
                <w:right w:val="nil"/>
                <w:between w:val="nil"/>
              </w:pBdr>
              <w:spacing w:after="0" w:line="240" w:lineRule="auto"/>
              <w:jc w:val="center"/>
              <w:rPr>
                <w:rFonts w:eastAsia="Times New Roman" w:cs="Times New Roman"/>
                <w:b/>
                <w:noProof/>
                <w:color w:val="000000" w:themeColor="text1"/>
              </w:rPr>
            </w:pPr>
            <w:r>
              <w:rPr>
                <w:noProof/>
              </w:rPr>
              <w:t>E27G</w:t>
            </w:r>
          </w:p>
        </w:tc>
        <w:tc>
          <w:tcPr>
            <w:tcW w:w="1280" w:type="dxa"/>
            <w:shd w:val="clear" w:color="auto" w:fill="C6EFCE"/>
          </w:tcPr>
          <w:p w14:paraId="2BE4006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E2.2.2 </w:t>
            </w:r>
            <w:r>
              <w:rPr>
                <w:noProof/>
              </w:rPr>
              <w:t>Digitalisierung des Verkehrs</w:t>
            </w:r>
          </w:p>
        </w:tc>
        <w:tc>
          <w:tcPr>
            <w:tcW w:w="1184" w:type="dxa"/>
            <w:shd w:val="clear" w:color="auto" w:fill="C6EFCE"/>
          </w:tcPr>
          <w:p w14:paraId="002D1DFB"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Ziel</w:t>
            </w:r>
          </w:p>
        </w:tc>
        <w:tc>
          <w:tcPr>
            <w:tcW w:w="1872" w:type="dxa"/>
            <w:shd w:val="clear" w:color="auto" w:fill="C6EFCE"/>
          </w:tcPr>
          <w:p w14:paraId="61467961" w14:textId="410E267C" w:rsidR="00EB245A" w:rsidRDefault="006021EE">
            <w:pPr>
              <w:pStyle w:val="P68B1DB1-Normal012"/>
              <w:spacing w:after="0" w:line="240" w:lineRule="auto"/>
              <w:rPr>
                <w:rFonts w:eastAsia="Times New Roman" w:cs="Times New Roman"/>
                <w:noProof/>
                <w:color w:val="006100"/>
              </w:rPr>
            </w:pPr>
            <w:r>
              <w:rPr>
                <w:noProof/>
              </w:rPr>
              <w:t xml:space="preserve"> Fertigstellung: 10 SDIP-Standorte, 10 Orte der Fernsteuerung und 30 Bahnübergänge</w:t>
            </w:r>
          </w:p>
        </w:tc>
        <w:tc>
          <w:tcPr>
            <w:tcW w:w="1955" w:type="dxa"/>
            <w:shd w:val="clear" w:color="auto" w:fill="C6EFCE"/>
          </w:tcPr>
          <w:p w14:paraId="10BA626A"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134" w:type="dxa"/>
            <w:shd w:val="clear" w:color="auto" w:fill="C6EFCE"/>
          </w:tcPr>
          <w:p w14:paraId="2847613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Anzahl</w:t>
            </w:r>
          </w:p>
        </w:tc>
        <w:tc>
          <w:tcPr>
            <w:tcW w:w="1418" w:type="dxa"/>
            <w:shd w:val="clear" w:color="auto" w:fill="C6EFCE"/>
          </w:tcPr>
          <w:p w14:paraId="2F23614B"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0</w:t>
            </w:r>
          </w:p>
        </w:tc>
        <w:tc>
          <w:tcPr>
            <w:tcW w:w="992" w:type="dxa"/>
            <w:shd w:val="clear" w:color="auto" w:fill="C6EFCE"/>
          </w:tcPr>
          <w:p w14:paraId="0F02C20D" w14:textId="07398C25" w:rsidR="00EB245A" w:rsidRDefault="006021EE">
            <w:pPr>
              <w:pStyle w:val="P68B1DB1-Normal012"/>
              <w:spacing w:after="0" w:line="240" w:lineRule="auto"/>
              <w:rPr>
                <w:rFonts w:eastAsia="Times New Roman" w:cs="Times New Roman"/>
                <w:noProof/>
                <w:color w:val="006100"/>
              </w:rPr>
            </w:pPr>
            <w:r>
              <w:rPr>
                <w:noProof/>
              </w:rPr>
              <w:t>SDIP: 10 Orte, Kontrolle: 10 Stellen, Bahnübergänge: 30 Standorte</w:t>
            </w:r>
          </w:p>
        </w:tc>
        <w:tc>
          <w:tcPr>
            <w:tcW w:w="992" w:type="dxa"/>
            <w:shd w:val="clear" w:color="auto" w:fill="C6EFCE"/>
          </w:tcPr>
          <w:p w14:paraId="7ACCAC4B"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Q1</w:t>
            </w:r>
          </w:p>
        </w:tc>
        <w:tc>
          <w:tcPr>
            <w:tcW w:w="851" w:type="dxa"/>
            <w:shd w:val="clear" w:color="auto" w:fill="C6EFCE"/>
          </w:tcPr>
          <w:p w14:paraId="5C6F9E64" w14:textId="33086A4B"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2025</w:t>
            </w:r>
          </w:p>
        </w:tc>
        <w:tc>
          <w:tcPr>
            <w:tcW w:w="3118" w:type="dxa"/>
            <w:shd w:val="clear" w:color="auto" w:fill="C6EFCE"/>
          </w:tcPr>
          <w:p w14:paraId="19A501AF" w14:textId="56E74115" w:rsidR="00EB245A" w:rsidRDefault="006021EE">
            <w:pPr>
              <w:pStyle w:val="P68B1DB1-Normal012"/>
              <w:spacing w:after="0" w:line="240" w:lineRule="auto"/>
              <w:rPr>
                <w:rFonts w:eastAsia="Times New Roman" w:cs="Times New Roman"/>
                <w:noProof/>
                <w:color w:val="006100"/>
              </w:rPr>
            </w:pPr>
            <w:r>
              <w:rPr>
                <w:noProof/>
              </w:rPr>
              <w:t xml:space="preserve">Installation des dynamischen </w:t>
            </w:r>
            <w:r>
              <w:rPr>
                <w:noProof/>
              </w:rPr>
              <w:t>Fahrgastinformationssystems (SDIP) an 10 Orten, an 10 Orten für die automatische Steuerung, an denen bestimmte Eisenbahnbereiche von örtlichen Verkehrsleitstellen aus verwaltet werden können, 30 Bahnübergänge für den Einbau automatisch gesteuerter Sicherhe</w:t>
            </w:r>
            <w:r>
              <w:rPr>
                <w:noProof/>
              </w:rPr>
              <w:t xml:space="preserve">itseinrichtungen (Gate, Schall- und Lichtsignalsysteme). </w:t>
            </w:r>
          </w:p>
        </w:tc>
      </w:tr>
      <w:tr w:rsidR="00EB245A" w14:paraId="1236DFBD" w14:textId="77777777" w:rsidTr="00FA2520">
        <w:trPr>
          <w:trHeight w:val="300"/>
        </w:trPr>
        <w:tc>
          <w:tcPr>
            <w:tcW w:w="655" w:type="dxa"/>
            <w:shd w:val="clear" w:color="auto" w:fill="C6EFCE"/>
          </w:tcPr>
          <w:p w14:paraId="6185078C" w14:textId="525ADDD1" w:rsidR="00EB245A" w:rsidRDefault="006021EE">
            <w:pPr>
              <w:pStyle w:val="P68B1DB1-Normal011"/>
              <w:pBdr>
                <w:top w:val="nil"/>
                <w:left w:val="nil"/>
                <w:bottom w:val="nil"/>
                <w:right w:val="nil"/>
                <w:between w:val="nil"/>
              </w:pBdr>
              <w:spacing w:after="0" w:line="240" w:lineRule="auto"/>
              <w:jc w:val="center"/>
              <w:rPr>
                <w:rFonts w:eastAsia="Times New Roman" w:cs="Times New Roman"/>
                <w:b/>
                <w:noProof/>
                <w:color w:val="000000" w:themeColor="text1"/>
              </w:rPr>
            </w:pPr>
            <w:r>
              <w:rPr>
                <w:noProof/>
              </w:rPr>
              <w:t>E28G</w:t>
            </w:r>
          </w:p>
        </w:tc>
        <w:tc>
          <w:tcPr>
            <w:tcW w:w="1280" w:type="dxa"/>
            <w:shd w:val="clear" w:color="auto" w:fill="C6EFCE"/>
          </w:tcPr>
          <w:p w14:paraId="57683C2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E2.2.2 Digitalisierung des Verkehrs</w:t>
            </w:r>
          </w:p>
        </w:tc>
        <w:tc>
          <w:tcPr>
            <w:tcW w:w="1184" w:type="dxa"/>
            <w:shd w:val="clear" w:color="auto" w:fill="C6EFCE"/>
          </w:tcPr>
          <w:p w14:paraId="2DA2DB7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Ziel</w:t>
            </w:r>
          </w:p>
        </w:tc>
        <w:tc>
          <w:tcPr>
            <w:tcW w:w="1872" w:type="dxa"/>
            <w:shd w:val="clear" w:color="auto" w:fill="C6EFCE"/>
          </w:tcPr>
          <w:p w14:paraId="3A75C397" w14:textId="4DC03D48"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Einbau von automatischen Steuerungen, Bahnübergängen, 144 fahrzeugseitigen ERTMS-Einheiten</w:t>
            </w:r>
          </w:p>
        </w:tc>
        <w:tc>
          <w:tcPr>
            <w:tcW w:w="1955" w:type="dxa"/>
            <w:shd w:val="clear" w:color="auto" w:fill="C6EFCE"/>
          </w:tcPr>
          <w:p w14:paraId="57FC361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134" w:type="dxa"/>
            <w:shd w:val="clear" w:color="auto" w:fill="C6EFCE"/>
          </w:tcPr>
          <w:p w14:paraId="31A0E88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Anzahl</w:t>
            </w:r>
          </w:p>
        </w:tc>
        <w:tc>
          <w:tcPr>
            <w:tcW w:w="1418" w:type="dxa"/>
            <w:shd w:val="clear" w:color="auto" w:fill="C6EFCE"/>
          </w:tcPr>
          <w:p w14:paraId="47DB7B1C" w14:textId="62678B98" w:rsidR="00EB245A" w:rsidRDefault="006021EE">
            <w:pPr>
              <w:pStyle w:val="P68B1DB1-Normal012"/>
              <w:spacing w:after="0" w:line="240" w:lineRule="auto"/>
              <w:rPr>
                <w:rFonts w:eastAsia="Times New Roman" w:cs="Times New Roman"/>
                <w:noProof/>
                <w:color w:val="006100"/>
              </w:rPr>
            </w:pPr>
            <w:r>
              <w:rPr>
                <w:noProof/>
              </w:rPr>
              <w:t>ERTMS: 0</w:t>
            </w:r>
          </w:p>
          <w:p w14:paraId="6CF0ABAD" w14:textId="03A2A83F" w:rsidR="00EB245A" w:rsidRDefault="006021EE">
            <w:pPr>
              <w:pStyle w:val="P68B1DB1-Normal012"/>
              <w:spacing w:after="0" w:line="240" w:lineRule="auto"/>
              <w:rPr>
                <w:noProof/>
              </w:rPr>
            </w:pPr>
            <w:r>
              <w:rPr>
                <w:noProof/>
              </w:rPr>
              <w:t xml:space="preserve">SDIP:10 Standorte, </w:t>
            </w:r>
          </w:p>
          <w:p w14:paraId="20F168E2" w14:textId="71A561C7" w:rsidR="00EB245A" w:rsidRDefault="006021EE">
            <w:pPr>
              <w:pStyle w:val="P68B1DB1-Normal012"/>
              <w:spacing w:after="0" w:line="240" w:lineRule="auto"/>
              <w:rPr>
                <w:noProof/>
              </w:rPr>
            </w:pPr>
            <w:r>
              <w:rPr>
                <w:noProof/>
              </w:rPr>
              <w:t xml:space="preserve">Steuerung: 10 Standorte, </w:t>
            </w:r>
          </w:p>
          <w:p w14:paraId="4113B18F" w14:textId="0F49CB7D" w:rsidR="00EB245A" w:rsidRDefault="006021EE">
            <w:pPr>
              <w:pStyle w:val="P68B1DB1-Normal012"/>
              <w:spacing w:after="0" w:line="240" w:lineRule="auto"/>
              <w:rPr>
                <w:noProof/>
              </w:rPr>
            </w:pPr>
            <w:r>
              <w:rPr>
                <w:noProof/>
              </w:rPr>
              <w:t>Bahnübergänge: 30 Standorte</w:t>
            </w:r>
          </w:p>
          <w:p w14:paraId="7D6C811B" w14:textId="33280A81" w:rsidR="00EB245A" w:rsidRDefault="00EB245A">
            <w:pPr>
              <w:pStyle w:val="Normal0"/>
              <w:spacing w:after="0" w:line="240" w:lineRule="auto"/>
              <w:jc w:val="right"/>
              <w:rPr>
                <w:rFonts w:ascii="Times New Roman" w:hAnsi="Times New Roman"/>
                <w:noProof/>
                <w:color w:val="000000" w:themeColor="text1"/>
                <w:sz w:val="18"/>
              </w:rPr>
            </w:pPr>
          </w:p>
        </w:tc>
        <w:tc>
          <w:tcPr>
            <w:tcW w:w="992" w:type="dxa"/>
            <w:shd w:val="clear" w:color="auto" w:fill="C6EFCE"/>
          </w:tcPr>
          <w:p w14:paraId="10DF5915" w14:textId="65AB8126" w:rsidR="00EB245A" w:rsidRDefault="006021EE">
            <w:pPr>
              <w:pStyle w:val="P68B1DB1-Normal012"/>
              <w:spacing w:after="0" w:line="240" w:lineRule="auto"/>
              <w:rPr>
                <w:rFonts w:eastAsia="Times New Roman" w:cs="Times New Roman"/>
                <w:noProof/>
                <w:color w:val="000000" w:themeColor="text1"/>
              </w:rPr>
            </w:pPr>
            <w:r>
              <w:rPr>
                <w:noProof/>
              </w:rPr>
              <w:t>144 fahrzeugseitige ERTMS-Einheiten;42 SDIP</w:t>
            </w:r>
          </w:p>
          <w:p w14:paraId="046E936D" w14:textId="2C215826" w:rsidR="00EB245A" w:rsidRDefault="006021EE">
            <w:pPr>
              <w:pStyle w:val="P68B1DB1-Normal012"/>
              <w:spacing w:after="0" w:line="240" w:lineRule="auto"/>
              <w:rPr>
                <w:noProof/>
              </w:rPr>
            </w:pPr>
            <w:r>
              <w:rPr>
                <w:noProof/>
              </w:rPr>
              <w:t>102 Stellen für Bahnübergänge;</w:t>
            </w:r>
          </w:p>
          <w:p w14:paraId="3AED0841" w14:textId="4F362897" w:rsidR="00EB245A" w:rsidRDefault="006021EE">
            <w:pPr>
              <w:pStyle w:val="P68B1DB1-Normal012"/>
              <w:spacing w:after="0" w:line="240" w:lineRule="auto"/>
              <w:rPr>
                <w:noProof/>
              </w:rPr>
            </w:pPr>
            <w:r>
              <w:rPr>
                <w:noProof/>
              </w:rPr>
              <w:t>43 Orte für die automatische Steuerung</w:t>
            </w:r>
          </w:p>
        </w:tc>
        <w:tc>
          <w:tcPr>
            <w:tcW w:w="992" w:type="dxa"/>
            <w:shd w:val="clear" w:color="auto" w:fill="C6EFCE"/>
          </w:tcPr>
          <w:p w14:paraId="23B6473E" w14:textId="26F530FC" w:rsidR="00EB245A" w:rsidRDefault="006021EE">
            <w:pPr>
              <w:pStyle w:val="P68B1DB1-Normal012"/>
              <w:spacing w:after="0" w:line="240" w:lineRule="auto"/>
              <w:jc w:val="center"/>
              <w:rPr>
                <w:rFonts w:eastAsia="Times New Roman" w:cs="Times New Roman"/>
                <w:noProof/>
                <w:color w:val="006100"/>
              </w:rPr>
            </w:pPr>
            <w:r>
              <w:rPr>
                <w:noProof/>
              </w:rPr>
              <w:t>Q3</w:t>
            </w:r>
          </w:p>
        </w:tc>
        <w:tc>
          <w:tcPr>
            <w:tcW w:w="851" w:type="dxa"/>
            <w:shd w:val="clear" w:color="auto" w:fill="C6EFCE"/>
          </w:tcPr>
          <w:p w14:paraId="4CE95A15"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2026</w:t>
            </w:r>
          </w:p>
        </w:tc>
        <w:tc>
          <w:tcPr>
            <w:tcW w:w="3118" w:type="dxa"/>
            <w:shd w:val="clear" w:color="auto" w:fill="C6EFCE"/>
          </w:tcPr>
          <w:p w14:paraId="341EB148" w14:textId="7F867621"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Abschluss der Arbeiten im Zusammenhang mit: die Installation von 144 </w:t>
            </w:r>
            <w:r>
              <w:rPr>
                <w:noProof/>
              </w:rPr>
              <w:t>ERTMS-Bordeinheiten, die Installation von 42 SDIP, die Modernisierung von Bahnübergängen an 102 Standorten (einschließlich Tore, Schall- und Lichtsicherheitssysteme) und die Einführung einer automatischen Steuerung von Bahnkontrollpunkten an 43 Standorten.</w:t>
            </w:r>
            <w:r>
              <w:rPr>
                <w:noProof/>
              </w:rPr>
              <w:t xml:space="preserve"> </w:t>
            </w:r>
          </w:p>
        </w:tc>
      </w:tr>
    </w:tbl>
    <w:p w14:paraId="048740F3" w14:textId="77777777" w:rsidR="00EB245A" w:rsidRDefault="00EB245A">
      <w:pPr>
        <w:pStyle w:val="Normal0"/>
        <w:pBdr>
          <w:top w:val="nil"/>
          <w:left w:val="nil"/>
          <w:bottom w:val="nil"/>
          <w:right w:val="nil"/>
          <w:between w:val="nil"/>
        </w:pBdr>
        <w:spacing w:before="120" w:after="120" w:line="240" w:lineRule="auto"/>
        <w:ind w:left="709"/>
        <w:jc w:val="both"/>
        <w:rPr>
          <w:rFonts w:ascii="Times New Roman" w:eastAsia="Times New Roman" w:hAnsi="Times New Roman" w:cs="Times New Roman"/>
          <w:i/>
          <w:noProof/>
          <w:color w:val="4F81BD"/>
          <w:sz w:val="24"/>
        </w:rPr>
        <w:sectPr w:rsidR="00EB245A" w:rsidSect="005E6922">
          <w:headerReference w:type="even" r:id="rId133"/>
          <w:headerReference w:type="default" r:id="rId134"/>
          <w:footerReference w:type="even" r:id="rId135"/>
          <w:footerReference w:type="default" r:id="rId136"/>
          <w:headerReference w:type="first" r:id="rId137"/>
          <w:footerReference w:type="first" r:id="rId138"/>
          <w:pgSz w:w="16839" w:h="11907" w:orient="landscape"/>
          <w:pgMar w:top="1134" w:right="1134" w:bottom="1134" w:left="1134" w:header="567" w:footer="567" w:gutter="0"/>
          <w:cols w:space="720"/>
          <w:docGrid w:linePitch="299"/>
        </w:sectPr>
      </w:pPr>
    </w:p>
    <w:p w14:paraId="11251D46" w14:textId="7AEE3E86" w:rsidR="00EB245A" w:rsidRDefault="006021E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rPr>
      </w:pPr>
      <w:r>
        <w:rPr>
          <w:rFonts w:ascii="Times New Roman" w:hAnsi="Times New Roman"/>
          <w:b/>
          <w:noProof/>
          <w:color w:val="000000"/>
          <w:sz w:val="24"/>
        </w:rPr>
        <w:t xml:space="preserve">E.3. </w:t>
      </w:r>
      <w:r>
        <w:rPr>
          <w:noProof/>
        </w:rPr>
        <w:t xml:space="preserve"> </w:t>
      </w:r>
      <w:r>
        <w:rPr>
          <w:rFonts w:ascii="Times New Roman" w:hAnsi="Times New Roman"/>
          <w:b/>
          <w:noProof/>
          <w:color w:val="000000"/>
          <w:sz w:val="24"/>
        </w:rPr>
        <w:t>Beschreibung der Reformen und Investitionen (Darlehen)</w:t>
      </w:r>
    </w:p>
    <w:p w14:paraId="72626263" w14:textId="77777777" w:rsidR="00EB245A" w:rsidRDefault="00EB245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i/>
          <w:noProof/>
          <w:color w:val="000000"/>
          <w:sz w:val="24"/>
        </w:rPr>
      </w:pPr>
    </w:p>
    <w:p w14:paraId="6E24122F" w14:textId="4E6F9F62" w:rsidR="00EB245A" w:rsidRDefault="006021EE">
      <w:pPr>
        <w:pStyle w:val="P68B1DB1-Normal035"/>
        <w:spacing w:before="120" w:after="120" w:line="240" w:lineRule="auto"/>
        <w:jc w:val="both"/>
        <w:rPr>
          <w:rFonts w:eastAsia="Times New Roman" w:cs="Times New Roman"/>
          <w:b/>
          <w:noProof/>
        </w:rPr>
      </w:pPr>
      <w:r>
        <w:rPr>
          <w:b/>
          <w:noProof/>
        </w:rPr>
        <w:t>E1.2 Erhöhung des Anteils emissionsfreier und emissionsarmer Verkehrsmittel, Vermeidung und Verringerung der</w:t>
      </w:r>
      <w:r>
        <w:rPr>
          <w:noProof/>
        </w:rPr>
        <w:t xml:space="preserve"> </w:t>
      </w:r>
      <w:r>
        <w:rPr>
          <w:b/>
          <w:noProof/>
        </w:rPr>
        <w:t xml:space="preserve">negativen </w:t>
      </w:r>
      <w:r>
        <w:rPr>
          <w:b/>
          <w:noProof/>
        </w:rPr>
        <w:t>Auswirkungen des Verkehrs auf die Umwelt</w:t>
      </w:r>
    </w:p>
    <w:p w14:paraId="6EBAFA68" w14:textId="646EBC55" w:rsidR="00EB245A" w:rsidRDefault="006021EE">
      <w:pPr>
        <w:pStyle w:val="P68B1DB1-Normal018"/>
        <w:spacing w:before="120" w:after="120" w:line="240" w:lineRule="auto"/>
        <w:jc w:val="both"/>
        <w:rPr>
          <w:rFonts w:eastAsia="Times New Roman" w:cs="Times New Roman"/>
          <w:noProof/>
        </w:rPr>
      </w:pPr>
      <w:r>
        <w:rPr>
          <w:noProof/>
        </w:rPr>
        <w:t xml:space="preserve">Ziel der Reform ist es, die Auswirkungen des Verkehrs auf Umwelt und Gesundheit zu verringern. </w:t>
      </w:r>
    </w:p>
    <w:p w14:paraId="6C5A6D0D" w14:textId="468B1AE6" w:rsidR="00EB245A" w:rsidRDefault="006021EE">
      <w:pPr>
        <w:pStyle w:val="P68B1DB1-Normal018"/>
        <w:spacing w:before="120" w:after="120" w:line="240" w:lineRule="auto"/>
        <w:jc w:val="both"/>
        <w:rPr>
          <w:rFonts w:eastAsia="Times New Roman" w:cs="Times New Roman"/>
          <w:noProof/>
        </w:rPr>
      </w:pPr>
      <w:r>
        <w:rPr>
          <w:noProof/>
        </w:rPr>
        <w:t>Die Reform besteht darin, die Verpflichtung zur Einrichtung emissionsarmer Verkehrszonen in Städten mit mehr als 100000</w:t>
      </w:r>
      <w:r>
        <w:rPr>
          <w:noProof/>
        </w:rPr>
        <w:t xml:space="preserve"> Einwohnern festzulegen, in denen bestimmte Grenzwerte für die Luftverschmutzung überschritten werden, die in dem Bericht über die Luftqualität festgelegt sind, der bis zum 30. April jedes Jahres von der Generalinspektion für Umweltschutz zu erstellen ist.</w:t>
      </w:r>
      <w:r>
        <w:rPr>
          <w:noProof/>
        </w:rPr>
        <w:t xml:space="preserve"> Diese Zonen werden ab dem 1. Januar des Folgejahres festgelegt. </w:t>
      </w:r>
    </w:p>
    <w:p w14:paraId="51371A77" w14:textId="77777777" w:rsidR="00EB245A" w:rsidRDefault="00EB245A">
      <w:pPr>
        <w:pStyle w:val="Normal0"/>
        <w:spacing w:before="120" w:after="120" w:line="240" w:lineRule="auto"/>
        <w:jc w:val="both"/>
        <w:rPr>
          <w:rFonts w:ascii="Times New Roman" w:eastAsia="Times New Roman" w:hAnsi="Times New Roman" w:cs="Times New Roman"/>
          <w:noProof/>
          <w:sz w:val="24"/>
        </w:rPr>
      </w:pPr>
    </w:p>
    <w:p w14:paraId="32AC85CD" w14:textId="31BED732" w:rsidR="00EB245A" w:rsidRDefault="006021EE">
      <w:pPr>
        <w:pStyle w:val="P68B1DB1-Normal020"/>
        <w:spacing w:before="120" w:after="120" w:line="240" w:lineRule="auto"/>
        <w:jc w:val="both"/>
        <w:rPr>
          <w:rFonts w:eastAsia="Times New Roman" w:cs="Times New Roman"/>
          <w:noProof/>
        </w:rPr>
      </w:pPr>
      <w:r>
        <w:rPr>
          <w:noProof/>
        </w:rPr>
        <w:t>E1.2.1 Emissionsfreie öffentliche Verkehrsmittel in Städten (Straßenbahnen)</w:t>
      </w:r>
    </w:p>
    <w:p w14:paraId="2B26556F" w14:textId="6193C9E9" w:rsidR="00EB245A" w:rsidRDefault="006021EE">
      <w:pPr>
        <w:pStyle w:val="P68B1DB1-Normal018"/>
        <w:spacing w:before="120" w:after="120" w:line="240" w:lineRule="auto"/>
        <w:jc w:val="both"/>
        <w:rPr>
          <w:noProof/>
        </w:rPr>
      </w:pPr>
      <w:r>
        <w:rPr>
          <w:noProof/>
        </w:rPr>
        <w:t xml:space="preserve">Die Investition zielt darauf ab, das Angebot an sauberen öffentlichen Verkehrsmitteln in Städten zu erhöhen. </w:t>
      </w:r>
    </w:p>
    <w:p w14:paraId="0F6202B1" w14:textId="7DB5E01C" w:rsidR="00EB245A" w:rsidRDefault="006021EE">
      <w:pPr>
        <w:pStyle w:val="P68B1DB1-Normal018"/>
        <w:spacing w:before="120" w:after="120" w:line="240" w:lineRule="auto"/>
        <w:jc w:val="both"/>
        <w:rPr>
          <w:noProof/>
        </w:rPr>
      </w:pPr>
      <w:r>
        <w:rPr>
          <w:noProof/>
        </w:rPr>
        <w:t>Die</w:t>
      </w:r>
      <w:r>
        <w:rPr>
          <w:noProof/>
        </w:rPr>
        <w:t xml:space="preserve"> Unterstützung wird vorrangig für Gebiete gewährt, in denen Emissionszonen eingerichtet wurden oder geplant sind.</w:t>
      </w:r>
    </w:p>
    <w:p w14:paraId="59C148DB" w14:textId="456384AA" w:rsidR="00EB245A" w:rsidRDefault="006021EE">
      <w:pPr>
        <w:pStyle w:val="P68B1DB1-Normal018"/>
        <w:spacing w:before="120" w:after="120" w:line="240" w:lineRule="auto"/>
        <w:jc w:val="both"/>
        <w:rPr>
          <w:noProof/>
        </w:rPr>
      </w:pPr>
      <w:r>
        <w:rPr>
          <w:noProof/>
        </w:rPr>
        <w:t>Die Investition besteht im Erwerb von 88 emissionsfreien Schienenfahrzeugen (Straßenbahnen) für den öffentlichen Verkehr in Städten. Sie werde</w:t>
      </w:r>
      <w:r>
        <w:rPr>
          <w:noProof/>
        </w:rPr>
        <w:t>n nach ihrem Bau bis zum 31. August 2026 für zulassungsbereit erklärt.</w:t>
      </w:r>
    </w:p>
    <w:p w14:paraId="732434A0" w14:textId="1C58A33A" w:rsidR="00EB245A" w:rsidRDefault="00EB245A">
      <w:pPr>
        <w:pStyle w:val="Normal0"/>
        <w:spacing w:before="120" w:after="120" w:line="240" w:lineRule="auto"/>
        <w:jc w:val="both"/>
        <w:rPr>
          <w:rFonts w:ascii="Times New Roman" w:hAnsi="Times New Roman"/>
          <w:noProof/>
          <w:sz w:val="24"/>
        </w:rPr>
      </w:pPr>
    </w:p>
    <w:p w14:paraId="54F33E7B" w14:textId="015260CD" w:rsidR="00EB245A" w:rsidRDefault="006021EE">
      <w:pPr>
        <w:pStyle w:val="P68B1DB1-Normal020"/>
        <w:spacing w:before="120" w:after="120" w:line="240" w:lineRule="auto"/>
        <w:jc w:val="both"/>
        <w:rPr>
          <w:rFonts w:eastAsia="Times New Roman" w:cs="Times New Roman"/>
          <w:noProof/>
        </w:rPr>
      </w:pPr>
      <w:r>
        <w:rPr>
          <w:noProof/>
        </w:rPr>
        <w:t>E2.3 Verbesserung der Zugänglichkeit, der Sicherheit und digitaler Lösungen im Verkehrsbereich</w:t>
      </w:r>
    </w:p>
    <w:p w14:paraId="428A23C9" w14:textId="77777777" w:rsidR="00EB245A" w:rsidRDefault="006021EE">
      <w:pPr>
        <w:pStyle w:val="P68B1DB1-Normal018"/>
        <w:spacing w:before="120" w:after="120" w:line="240" w:lineRule="auto"/>
        <w:jc w:val="both"/>
        <w:rPr>
          <w:rFonts w:eastAsia="Times New Roman" w:cs="Times New Roman"/>
          <w:noProof/>
        </w:rPr>
      </w:pPr>
      <w:r>
        <w:rPr>
          <w:noProof/>
        </w:rPr>
        <w:t>Ziel der Reform ist es, die Zugänglichkeit des Verkehrs zu verbessern.</w:t>
      </w:r>
    </w:p>
    <w:p w14:paraId="17440558" w14:textId="42B57783" w:rsidR="00EB245A" w:rsidRDefault="006021EE">
      <w:pPr>
        <w:pStyle w:val="P68B1DB1-Normal018"/>
        <w:spacing w:before="120" w:after="120" w:line="240" w:lineRule="auto"/>
        <w:jc w:val="both"/>
        <w:rPr>
          <w:rFonts w:eastAsia="Times New Roman" w:cs="Times New Roman"/>
          <w:noProof/>
        </w:rPr>
      </w:pPr>
      <w:r>
        <w:rPr>
          <w:noProof/>
        </w:rPr>
        <w:t xml:space="preserve">Sie besteht in </w:t>
      </w:r>
      <w:r>
        <w:rPr>
          <w:noProof/>
        </w:rPr>
        <w:t>einer beschleunigten Umsetzung der Verordnung (EG) Nr. 1371/2007 über die Rechte von Fahrgästen im Eisenbahnverkehr und über die Anpassung des rollenden Materials an Fahrgäste mit eingeschränkter Mobilität. Die Reform tritt am 31. Dezember 2022 in Kraft.</w:t>
      </w:r>
    </w:p>
    <w:p w14:paraId="3C60FD95" w14:textId="69DC6C2C" w:rsidR="00EB245A" w:rsidRDefault="006021EE">
      <w:pPr>
        <w:pStyle w:val="P68B1DB1-Normal018"/>
        <w:spacing w:before="120" w:after="120" w:line="240" w:lineRule="auto"/>
        <w:jc w:val="both"/>
        <w:rPr>
          <w:rFonts w:eastAsia="Times New Roman" w:cs="Times New Roman"/>
          <w:noProof/>
        </w:rPr>
      </w:pPr>
      <w:r>
        <w:rPr>
          <w:noProof/>
        </w:rPr>
        <w:t>D</w:t>
      </w:r>
      <w:r>
        <w:rPr>
          <w:noProof/>
        </w:rPr>
        <w:t>ie Reform umfasst auch einschlägige Bestimmungen zur Aufrüstung nationaler, internationaler und regionaler Fahrzeuge mit Anforderungen für Fahrgäste mit Behinderungen. Die Reform tritt am 30. Juni 2024 in Kraft.</w:t>
      </w:r>
    </w:p>
    <w:p w14:paraId="197285B7" w14:textId="77777777" w:rsidR="00EB245A" w:rsidRDefault="00EB245A">
      <w:pPr>
        <w:pStyle w:val="Normal0"/>
        <w:spacing w:before="120" w:after="120" w:line="240" w:lineRule="auto"/>
        <w:jc w:val="both"/>
        <w:rPr>
          <w:rFonts w:ascii="Times New Roman" w:hAnsi="Times New Roman"/>
          <w:noProof/>
          <w:sz w:val="24"/>
        </w:rPr>
      </w:pPr>
    </w:p>
    <w:p w14:paraId="5605D72C" w14:textId="7AD6C2E0" w:rsidR="00EB245A" w:rsidRDefault="006021EE">
      <w:pPr>
        <w:pStyle w:val="P68B1DB1-Normal36"/>
        <w:spacing w:before="120" w:after="120" w:line="240" w:lineRule="auto"/>
        <w:jc w:val="both"/>
        <w:rPr>
          <w:rFonts w:eastAsia="Times New Roman" w:cs="Times New Roman"/>
          <w:noProof/>
        </w:rPr>
      </w:pPr>
      <w:r>
        <w:rPr>
          <w:noProof/>
        </w:rPr>
        <w:t>E3.1.1 Fazilität zur Unterstützung einer CO</w:t>
      </w:r>
      <w:r>
        <w:rPr>
          <w:noProof/>
        </w:rPr>
        <w:t>2-armen Wirtschaft</w:t>
      </w:r>
    </w:p>
    <w:p w14:paraId="5DBD0708" w14:textId="6480E625" w:rsidR="00EB245A" w:rsidRDefault="006021EE">
      <w:pPr>
        <w:pStyle w:val="P68B1DB1-Normal018"/>
        <w:spacing w:before="120" w:after="120" w:line="240" w:lineRule="auto"/>
        <w:jc w:val="both"/>
        <w:rPr>
          <w:noProof/>
        </w:rPr>
      </w:pPr>
      <w:r>
        <w:rPr>
          <w:noProof/>
        </w:rPr>
        <w:t xml:space="preserve">Diese Investition ergänzt die Maßnahme E1.1.1 „Unterstützung einer CO2-armen Wirtschaft“. </w:t>
      </w:r>
    </w:p>
    <w:p w14:paraId="488B56F1" w14:textId="4D153065" w:rsidR="00EB245A" w:rsidRDefault="006021EE">
      <w:pPr>
        <w:pStyle w:val="P68B1DB1-Normal018"/>
        <w:spacing w:before="120" w:after="120" w:line="240" w:lineRule="auto"/>
        <w:jc w:val="both"/>
        <w:rPr>
          <w:noProof/>
        </w:rPr>
      </w:pPr>
      <w:r>
        <w:rPr>
          <w:noProof/>
        </w:rPr>
        <w:t xml:space="preserve">Das allgemeine Ziel der Investition besteht darin, zur Entwicklung einer CO2-armen und CO2-freien Wirtschaft beizutragen, indem Industrieprojekte </w:t>
      </w:r>
      <w:r>
        <w:rPr>
          <w:noProof/>
        </w:rPr>
        <w:t>in den Bereichen saubere Mobilität und Energie unterstützt werden. Das spezifische Ziel der Investition besteht darin, das Potenzial ausgewählter Sektoren zur Entwicklung CO2-freier und CO2-armer Produktlösungen zu erhöhen.</w:t>
      </w:r>
    </w:p>
    <w:p w14:paraId="37A96C7F" w14:textId="377E02A6" w:rsidR="00EB245A" w:rsidRDefault="006021EE">
      <w:pPr>
        <w:pStyle w:val="P68B1DB1-Normal018"/>
        <w:spacing w:before="120" w:after="120" w:line="240" w:lineRule="auto"/>
        <w:jc w:val="both"/>
        <w:rPr>
          <w:noProof/>
        </w:rPr>
      </w:pPr>
      <w:r>
        <w:rPr>
          <w:noProof/>
        </w:rPr>
        <w:t>Diese Maßnahme besteht aus einer</w:t>
      </w:r>
      <w:r>
        <w:rPr>
          <w:noProof/>
        </w:rPr>
        <w:t xml:space="preserve"> öffentlichen Investition in eine Fazilität, bei der Kapitalbeteiligungen direkt an den privaten Sektor sowie an den öffentlichen Sektor, der ähnliche Tätigkeiten ausübt, bereitgestellt werden. </w:t>
      </w:r>
    </w:p>
    <w:p w14:paraId="40B1C17E" w14:textId="1D8D6566" w:rsidR="00EB245A" w:rsidRDefault="006021EE">
      <w:pPr>
        <w:pStyle w:val="P68B1DB1-Normal018"/>
        <w:spacing w:before="120" w:after="120" w:line="240" w:lineRule="auto"/>
        <w:jc w:val="both"/>
        <w:rPr>
          <w:noProof/>
        </w:rPr>
      </w:pPr>
      <w:r>
        <w:rPr>
          <w:noProof/>
        </w:rPr>
        <w:t>Ziel der Fazilität ist es, zur Steigerung der Produktionskapa</w:t>
      </w:r>
      <w:r>
        <w:rPr>
          <w:noProof/>
        </w:rPr>
        <w:t xml:space="preserve">zität neuer emissionsfreier Fahrzeuge und der Infrastruktur für die Entwicklung der Elektromobilität sowie von Industrieanlagen und innovativen Lösungen für die Erzeugung und Speicherung emissionsfreier Energie beizutragen. </w:t>
      </w:r>
    </w:p>
    <w:p w14:paraId="53F82911" w14:textId="6A35F01A" w:rsidR="00EB245A" w:rsidRDefault="006021EE">
      <w:pPr>
        <w:pStyle w:val="P68B1DB1-Normal018"/>
        <w:spacing w:before="120" w:after="120" w:line="240" w:lineRule="auto"/>
        <w:jc w:val="both"/>
        <w:rPr>
          <w:noProof/>
        </w:rPr>
      </w:pPr>
      <w:r>
        <w:rPr>
          <w:noProof/>
        </w:rPr>
        <w:t>Geförderte Produkte und Technol</w:t>
      </w:r>
      <w:r>
        <w:rPr>
          <w:noProof/>
        </w:rPr>
        <w:t>ogien können insbesondere Forschungs- und Innovationsprozesse, Technologietransfer und Zusammenarbeit zwischen Unternehmen mit Schwerpunkt auf einer CO2-armen Wirtschaft mit Schwerpunkt auf emissionsarmen und emissionsfreien innovativen Lösungen im Bereich</w:t>
      </w:r>
      <w:r>
        <w:rPr>
          <w:noProof/>
        </w:rPr>
        <w:t xml:space="preserve"> der nachhaltigen Mobilität und emissionsfreier und emissionsarmer Energiequellen umfassen. </w:t>
      </w:r>
    </w:p>
    <w:p w14:paraId="4EB5299C" w14:textId="760D4FA9" w:rsidR="00EB245A" w:rsidRDefault="006021EE">
      <w:pPr>
        <w:pStyle w:val="P68B1DB1-Normal018"/>
        <w:spacing w:before="120" w:after="120" w:line="240" w:lineRule="auto"/>
        <w:jc w:val="both"/>
        <w:rPr>
          <w:noProof/>
        </w:rPr>
      </w:pPr>
      <w:r>
        <w:rPr>
          <w:noProof/>
        </w:rPr>
        <w:t>Begünstigte der Unterstützung sind Unternehmen, die CO2-freie Lösungen anbieten und auf dem Markt für alternative Kraftstoffe tätig sind, einschließlich KMU und Mi</w:t>
      </w:r>
      <w:r>
        <w:rPr>
          <w:noProof/>
        </w:rPr>
        <w:t>dcap-Unternehmen. Im Einklang mit dem Grundsatz der Nichtdiskriminierung könnten öffentliche Einrichtungen, die ähnliche Tätigkeiten ausüben wie die privaten Einrichtungen, die von der Finanzierungsregelung profitieren, auch als Endbegünstigte der Finanzie</w:t>
      </w:r>
      <w:r>
        <w:rPr>
          <w:noProof/>
        </w:rPr>
        <w:t xml:space="preserve">rungsregelung akzeptiert werden.  </w:t>
      </w:r>
    </w:p>
    <w:p w14:paraId="7AF50A23" w14:textId="3B6F3CD2" w:rsidR="00EB245A" w:rsidRDefault="006021EE">
      <w:pPr>
        <w:pStyle w:val="P68B1DB1-Normal018"/>
        <w:spacing w:before="120" w:after="120" w:line="240" w:lineRule="auto"/>
        <w:jc w:val="both"/>
        <w:rPr>
          <w:noProof/>
        </w:rPr>
      </w:pPr>
      <w:r>
        <w:rPr>
          <w:noProof/>
        </w:rPr>
        <w:t>Die Fazilität wird vom Nationalen Fonds für Umweltschutz und Wasserwirtschaft (NFOSZ) verwaltet.</w:t>
      </w:r>
    </w:p>
    <w:p w14:paraId="5A87877E" w14:textId="005250A9" w:rsidR="00EB245A" w:rsidRDefault="006021EE">
      <w:pPr>
        <w:pStyle w:val="P68B1DB1-Normal018"/>
        <w:spacing w:before="120" w:after="120" w:line="240" w:lineRule="auto"/>
        <w:jc w:val="both"/>
        <w:rPr>
          <w:noProof/>
        </w:rPr>
      </w:pPr>
      <w:r>
        <w:rPr>
          <w:noProof/>
        </w:rPr>
        <w:t xml:space="preserve">Die endgültige Investitionsentscheidung der Fazilität wird von einem Investitionsausschuss oder einem anderen einschlägigen </w:t>
      </w:r>
      <w:r>
        <w:rPr>
          <w:noProof/>
        </w:rPr>
        <w:t>gleichwertigen Leitungsgremium getroffen und mit der Mehrheit der Stimmen von Mitgliedern, die von der Regierung unabhängig sind, gebilligt.</w:t>
      </w:r>
    </w:p>
    <w:p w14:paraId="51024604" w14:textId="4731C4B9" w:rsidR="00EB245A" w:rsidRDefault="006021EE">
      <w:pPr>
        <w:pStyle w:val="P68B1DB1-Normal018"/>
        <w:spacing w:before="120" w:after="120" w:line="240" w:lineRule="auto"/>
        <w:jc w:val="both"/>
        <w:rPr>
          <w:noProof/>
        </w:rPr>
      </w:pPr>
      <w:r>
        <w:rPr>
          <w:noProof/>
        </w:rPr>
        <w:t>Die Durchführung der Investition muss bis zum 30. Juni 2026 abgeschlossen sein.</w:t>
      </w:r>
    </w:p>
    <w:p w14:paraId="4DEEF1D0" w14:textId="6E7D60B2" w:rsidR="00EB245A" w:rsidRDefault="00EB245A">
      <w:pPr>
        <w:pStyle w:val="LegalNumPar"/>
        <w:numPr>
          <w:ilvl w:val="0"/>
          <w:numId w:val="0"/>
        </w:numPr>
        <w:spacing w:after="160" w:line="259" w:lineRule="auto"/>
        <w:ind w:left="476"/>
        <w:jc w:val="both"/>
        <w:rPr>
          <w:rFonts w:ascii="Times New Roman" w:eastAsia="Times New Roman" w:hAnsi="Times New Roman" w:cs="Times New Roman"/>
          <w:noProof/>
          <w:highlight w:val="magenta"/>
        </w:rPr>
        <w:sectPr w:rsidR="00EB245A" w:rsidSect="00AC709F">
          <w:headerReference w:type="even" r:id="rId139"/>
          <w:headerReference w:type="default" r:id="rId140"/>
          <w:footerReference w:type="even" r:id="rId141"/>
          <w:footerReference w:type="default" r:id="rId142"/>
          <w:headerReference w:type="first" r:id="rId143"/>
          <w:footerReference w:type="first" r:id="rId144"/>
          <w:pgSz w:w="11907" w:h="16839"/>
          <w:pgMar w:top="1134" w:right="1134" w:bottom="1134" w:left="1134" w:header="567" w:footer="567" w:gutter="0"/>
          <w:cols w:space="720"/>
          <w:docGrid w:linePitch="299"/>
        </w:sectPr>
      </w:pPr>
    </w:p>
    <w:p w14:paraId="3BAFCA08" w14:textId="68ADFD37" w:rsidR="00EB245A" w:rsidRDefault="006021EE">
      <w:pPr>
        <w:pStyle w:val="LegalNumPar"/>
        <w:numPr>
          <w:ilvl w:val="0"/>
          <w:numId w:val="0"/>
        </w:numPr>
        <w:spacing w:after="160" w:line="259" w:lineRule="auto"/>
        <w:jc w:val="both"/>
        <w:rPr>
          <w:rFonts w:ascii="Times New Roman" w:hAnsi="Times New Roman" w:cs="Times New Roman"/>
          <w:noProof/>
        </w:rPr>
      </w:pPr>
      <w:r>
        <w:rPr>
          <w:rFonts w:ascii="Times New Roman" w:hAnsi="Times New Roman"/>
          <w:b/>
          <w:noProof/>
          <w:color w:val="000000"/>
        </w:rPr>
        <w:t xml:space="preserve">E.4. </w:t>
      </w:r>
      <w:r>
        <w:rPr>
          <w:noProof/>
        </w:rPr>
        <w:t xml:space="preserve"> </w:t>
      </w:r>
      <w:r>
        <w:rPr>
          <w:rFonts w:ascii="Times New Roman" w:hAnsi="Times New Roman"/>
          <w:b/>
          <w:noProof/>
          <w:color w:val="000000"/>
        </w:rPr>
        <w:t>Etappenziele, Zielwerte, Indikatoren und Zeitplan für die Überwachung und Durchführung (Darlehen)</w:t>
      </w:r>
    </w:p>
    <w:p w14:paraId="49EBF404" w14:textId="4FE12E96" w:rsidR="00EB245A" w:rsidRDefault="00EB245A">
      <w:pPr>
        <w:pStyle w:val="Normal0"/>
        <w:spacing w:before="120" w:after="120" w:line="240" w:lineRule="auto"/>
        <w:jc w:val="both"/>
        <w:rPr>
          <w:rFonts w:ascii="Times New Roman" w:eastAsia="Times New Roman" w:hAnsi="Times New Roman" w:cs="Times New Roman"/>
          <w:noProof/>
          <w:sz w:val="24"/>
        </w:rPr>
      </w:pPr>
    </w:p>
    <w:tbl>
      <w:tblPr>
        <w:tblW w:w="15309"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832"/>
        <w:gridCol w:w="1519"/>
        <w:gridCol w:w="1245"/>
        <w:gridCol w:w="1932"/>
        <w:gridCol w:w="1843"/>
        <w:gridCol w:w="1134"/>
        <w:gridCol w:w="1418"/>
        <w:gridCol w:w="1134"/>
        <w:gridCol w:w="850"/>
        <w:gridCol w:w="709"/>
        <w:gridCol w:w="2693"/>
      </w:tblGrid>
      <w:tr w:rsidR="00EB245A" w14:paraId="1F9F141F" w14:textId="77777777" w:rsidTr="00D03EE2">
        <w:trPr>
          <w:trHeight w:val="696"/>
          <w:tblHeader/>
        </w:trPr>
        <w:tc>
          <w:tcPr>
            <w:tcW w:w="832" w:type="dxa"/>
            <w:vMerge w:val="restart"/>
            <w:shd w:val="clear" w:color="auto" w:fill="BDD7EE"/>
            <w:vAlign w:val="center"/>
          </w:tcPr>
          <w:p w14:paraId="7A18A131" w14:textId="277A02B8"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Lfd. Nr. Nr.</w:t>
            </w:r>
          </w:p>
        </w:tc>
        <w:tc>
          <w:tcPr>
            <w:tcW w:w="1519" w:type="dxa"/>
            <w:vMerge w:val="restart"/>
            <w:shd w:val="clear" w:color="auto" w:fill="BDD7EE"/>
            <w:vAlign w:val="center"/>
          </w:tcPr>
          <w:p w14:paraId="39F6D53D"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Verbundene Maßnahme (Reform oder Investition)</w:t>
            </w:r>
          </w:p>
        </w:tc>
        <w:tc>
          <w:tcPr>
            <w:tcW w:w="1245" w:type="dxa"/>
            <w:vMerge w:val="restart"/>
            <w:shd w:val="clear" w:color="auto" w:fill="BDD7EE"/>
            <w:vAlign w:val="center"/>
          </w:tcPr>
          <w:p w14:paraId="5C73F738"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Etappenziel/Zielwert</w:t>
            </w:r>
          </w:p>
        </w:tc>
        <w:tc>
          <w:tcPr>
            <w:tcW w:w="1932" w:type="dxa"/>
            <w:vMerge w:val="restart"/>
            <w:shd w:val="clear" w:color="auto" w:fill="BDD7EE"/>
            <w:vAlign w:val="center"/>
          </w:tcPr>
          <w:p w14:paraId="029AF2F2"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Namen</w:t>
            </w:r>
          </w:p>
        </w:tc>
        <w:tc>
          <w:tcPr>
            <w:tcW w:w="1843" w:type="dxa"/>
            <w:vMerge w:val="restart"/>
            <w:shd w:val="clear" w:color="auto" w:fill="BDD7EE"/>
            <w:vAlign w:val="center"/>
          </w:tcPr>
          <w:p w14:paraId="46F80E1A" w14:textId="77777777" w:rsidR="00EB245A" w:rsidRDefault="006021EE">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rPr>
            </w:pPr>
            <w:r>
              <w:rPr>
                <w:rFonts w:ascii="Times New Roman" w:hAnsi="Times New Roman"/>
                <w:b/>
                <w:noProof/>
                <w:color w:val="000000"/>
                <w:sz w:val="18"/>
              </w:rPr>
              <w:t>Etappenziel/Zielwert</w:t>
            </w:r>
            <w:r>
              <w:rPr>
                <w:noProof/>
              </w:rPr>
              <w:t xml:space="preserve">  </w:t>
            </w:r>
            <w:r>
              <w:rPr>
                <w:noProof/>
              </w:rPr>
              <w:br/>
            </w:r>
            <w:r>
              <w:rPr>
                <w:rFonts w:ascii="Times New Roman" w:hAnsi="Times New Roman"/>
                <w:b/>
                <w:noProof/>
                <w:color w:val="000000"/>
                <w:sz w:val="18"/>
              </w:rPr>
              <w:t>(für Etappenziele)</w:t>
            </w:r>
          </w:p>
        </w:tc>
        <w:tc>
          <w:tcPr>
            <w:tcW w:w="3686" w:type="dxa"/>
            <w:gridSpan w:val="3"/>
            <w:shd w:val="clear" w:color="auto" w:fill="BDD7EE"/>
            <w:vAlign w:val="center"/>
          </w:tcPr>
          <w:p w14:paraId="7ACC2EDB" w14:textId="77777777" w:rsidR="00EB245A" w:rsidRDefault="006021EE">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rPr>
            </w:pPr>
            <w:r>
              <w:rPr>
                <w:rFonts w:ascii="Times New Roman" w:hAnsi="Times New Roman"/>
                <w:b/>
                <w:noProof/>
                <w:color w:val="000000"/>
                <w:sz w:val="18"/>
              </w:rPr>
              <w:t>Qualitative Indikatoren (für Etappenziele)</w:t>
            </w:r>
            <w:r>
              <w:rPr>
                <w:noProof/>
              </w:rPr>
              <w:t xml:space="preserve">  </w:t>
            </w:r>
            <w:r>
              <w:rPr>
                <w:noProof/>
              </w:rPr>
              <w:br/>
            </w:r>
            <w:r>
              <w:rPr>
                <w:rFonts w:ascii="Times New Roman" w:hAnsi="Times New Roman"/>
                <w:b/>
                <w:noProof/>
                <w:color w:val="000000"/>
                <w:sz w:val="18"/>
              </w:rPr>
              <w:t>(für Ziele)</w:t>
            </w:r>
          </w:p>
        </w:tc>
        <w:tc>
          <w:tcPr>
            <w:tcW w:w="1559" w:type="dxa"/>
            <w:gridSpan w:val="2"/>
            <w:shd w:val="clear" w:color="auto" w:fill="BDD7EE"/>
            <w:vAlign w:val="center"/>
          </w:tcPr>
          <w:p w14:paraId="1706822F"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 xml:space="preserve">Vorläufiger Zeitplan für die Fertigstellung </w:t>
            </w:r>
          </w:p>
        </w:tc>
        <w:tc>
          <w:tcPr>
            <w:tcW w:w="2693" w:type="dxa"/>
            <w:vMerge w:val="restart"/>
            <w:shd w:val="clear" w:color="auto" w:fill="BDD7EE"/>
            <w:vAlign w:val="center"/>
          </w:tcPr>
          <w:p w14:paraId="70683260"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Beschreibung der einzelnen Etappenziele und Zielvorgaben</w:t>
            </w:r>
          </w:p>
        </w:tc>
      </w:tr>
      <w:tr w:rsidR="00EB245A" w14:paraId="6B882257" w14:textId="77777777" w:rsidTr="00D03EE2">
        <w:trPr>
          <w:trHeight w:val="694"/>
        </w:trPr>
        <w:tc>
          <w:tcPr>
            <w:tcW w:w="832" w:type="dxa"/>
            <w:vMerge/>
            <w:vAlign w:val="center"/>
          </w:tcPr>
          <w:p w14:paraId="38AA98D6"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519" w:type="dxa"/>
            <w:vMerge/>
            <w:vAlign w:val="center"/>
          </w:tcPr>
          <w:p w14:paraId="665A1408"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245" w:type="dxa"/>
            <w:vMerge/>
            <w:vAlign w:val="center"/>
          </w:tcPr>
          <w:p w14:paraId="71049383"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932" w:type="dxa"/>
            <w:vMerge/>
            <w:vAlign w:val="center"/>
          </w:tcPr>
          <w:p w14:paraId="4D16AC41"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843" w:type="dxa"/>
            <w:vMerge/>
            <w:vAlign w:val="center"/>
          </w:tcPr>
          <w:p w14:paraId="12A4EA11"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134" w:type="dxa"/>
            <w:shd w:val="clear" w:color="auto" w:fill="BDD7EE"/>
            <w:vAlign w:val="center"/>
          </w:tcPr>
          <w:p w14:paraId="00970CEC"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Maßeinheit</w:t>
            </w:r>
          </w:p>
        </w:tc>
        <w:tc>
          <w:tcPr>
            <w:tcW w:w="1418" w:type="dxa"/>
            <w:shd w:val="clear" w:color="auto" w:fill="BDD7EE"/>
            <w:vAlign w:val="center"/>
          </w:tcPr>
          <w:p w14:paraId="38368833"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 xml:space="preserve">Ausgangslage </w:t>
            </w:r>
          </w:p>
        </w:tc>
        <w:tc>
          <w:tcPr>
            <w:tcW w:w="1134" w:type="dxa"/>
            <w:shd w:val="clear" w:color="auto" w:fill="BDD7EE"/>
            <w:vAlign w:val="center"/>
          </w:tcPr>
          <w:p w14:paraId="25D6BABF"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Ziel</w:t>
            </w:r>
          </w:p>
        </w:tc>
        <w:tc>
          <w:tcPr>
            <w:tcW w:w="850" w:type="dxa"/>
            <w:shd w:val="clear" w:color="auto" w:fill="BDD7EE"/>
            <w:vAlign w:val="center"/>
          </w:tcPr>
          <w:p w14:paraId="07305A30"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Viertel</w:t>
            </w:r>
          </w:p>
        </w:tc>
        <w:tc>
          <w:tcPr>
            <w:tcW w:w="709" w:type="dxa"/>
            <w:shd w:val="clear" w:color="auto" w:fill="BDD7EE"/>
            <w:vAlign w:val="center"/>
          </w:tcPr>
          <w:p w14:paraId="12F5182E"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Jahre</w:t>
            </w:r>
          </w:p>
        </w:tc>
        <w:tc>
          <w:tcPr>
            <w:tcW w:w="2693" w:type="dxa"/>
            <w:vMerge/>
            <w:vAlign w:val="center"/>
          </w:tcPr>
          <w:p w14:paraId="5A1EA135"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r>
      <w:tr w:rsidR="00EB245A" w14:paraId="5AE8B295" w14:textId="77777777" w:rsidTr="00D03EE2">
        <w:trPr>
          <w:trHeight w:val="313"/>
        </w:trPr>
        <w:tc>
          <w:tcPr>
            <w:tcW w:w="832" w:type="dxa"/>
            <w:shd w:val="clear" w:color="auto" w:fill="C6EFCE"/>
          </w:tcPr>
          <w:p w14:paraId="1809B131" w14:textId="02FC6EA0"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E1L</w:t>
            </w:r>
          </w:p>
        </w:tc>
        <w:tc>
          <w:tcPr>
            <w:tcW w:w="1519" w:type="dxa"/>
            <w:shd w:val="clear" w:color="auto" w:fill="C6EFCE"/>
          </w:tcPr>
          <w:p w14:paraId="3D7EC61B" w14:textId="1094F711"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E1.2 Erhöhung des Anteils </w:t>
            </w:r>
            <w:r>
              <w:rPr>
                <w:noProof/>
              </w:rPr>
              <w:t>emissionsfreier und emissionsarmer Verkehrsmittel, Vermeidung und Verringerung der negativen Auswirkungen des Verkehrs auf die Umwelt</w:t>
            </w:r>
          </w:p>
        </w:tc>
        <w:tc>
          <w:tcPr>
            <w:tcW w:w="1245" w:type="dxa"/>
            <w:shd w:val="clear" w:color="auto" w:fill="C6EFCE"/>
          </w:tcPr>
          <w:p w14:paraId="75A6FE2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932" w:type="dxa"/>
            <w:shd w:val="clear" w:color="auto" w:fill="C6EFCE"/>
          </w:tcPr>
          <w:p w14:paraId="0395D45A" w14:textId="1D0A013F"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Inkrafttreten eines Rechtsakts zur Einführung einer Verpflichtung zu Emissionszonen für ausgewählte, am stärks</w:t>
            </w:r>
            <w:r>
              <w:rPr>
                <w:noProof/>
              </w:rPr>
              <w:t xml:space="preserve">ten verschmutzte Städte </w:t>
            </w:r>
          </w:p>
        </w:tc>
        <w:tc>
          <w:tcPr>
            <w:tcW w:w="1843" w:type="dxa"/>
            <w:shd w:val="clear" w:color="auto" w:fill="C6EFCE"/>
          </w:tcPr>
          <w:p w14:paraId="449A821F" w14:textId="032EB61C"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Bestimmung des Rechtsakts, aus der hervorgeht, dass er in Kraft tritt </w:t>
            </w:r>
          </w:p>
        </w:tc>
        <w:tc>
          <w:tcPr>
            <w:tcW w:w="1134" w:type="dxa"/>
            <w:shd w:val="clear" w:color="auto" w:fill="C6EFCE"/>
          </w:tcPr>
          <w:p w14:paraId="3A7B699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418" w:type="dxa"/>
            <w:shd w:val="clear" w:color="auto" w:fill="C6EFCE"/>
          </w:tcPr>
          <w:p w14:paraId="45139D63"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 xml:space="preserve"> </w:t>
            </w:r>
          </w:p>
        </w:tc>
        <w:tc>
          <w:tcPr>
            <w:tcW w:w="1134" w:type="dxa"/>
            <w:shd w:val="clear" w:color="auto" w:fill="C6EFCE"/>
          </w:tcPr>
          <w:p w14:paraId="15E26153"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 xml:space="preserve"> </w:t>
            </w:r>
          </w:p>
        </w:tc>
        <w:tc>
          <w:tcPr>
            <w:tcW w:w="850" w:type="dxa"/>
            <w:shd w:val="clear" w:color="auto" w:fill="C6EFCE"/>
          </w:tcPr>
          <w:p w14:paraId="38E7319B"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Q2</w:t>
            </w:r>
          </w:p>
        </w:tc>
        <w:tc>
          <w:tcPr>
            <w:tcW w:w="709" w:type="dxa"/>
            <w:shd w:val="clear" w:color="auto" w:fill="C6EFCE"/>
          </w:tcPr>
          <w:p w14:paraId="2C9391D6" w14:textId="35FDA602"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2024</w:t>
            </w:r>
          </w:p>
        </w:tc>
        <w:tc>
          <w:tcPr>
            <w:tcW w:w="2693" w:type="dxa"/>
            <w:shd w:val="clear" w:color="auto" w:fill="C6EFCE"/>
          </w:tcPr>
          <w:p w14:paraId="79B13F4D" w14:textId="3AF14873" w:rsidR="00EB245A" w:rsidRDefault="006021EE">
            <w:pPr>
              <w:pStyle w:val="P68B1DB1-Normal011"/>
              <w:spacing w:after="0" w:line="240" w:lineRule="auto"/>
              <w:rPr>
                <w:noProof/>
                <w:color w:val="000000" w:themeColor="text1"/>
              </w:rPr>
            </w:pPr>
            <w:r>
              <w:rPr>
                <w:noProof/>
                <w:color w:val="000000" w:themeColor="text1"/>
              </w:rPr>
              <w:t xml:space="preserve">In dem Rechtsakt wird die Verpflichtung festgelegt, ab dem ersten Quartal 2025 in Städten mit mehr als 100000 Einwohnern, in denen schädliche </w:t>
            </w:r>
            <w:r>
              <w:rPr>
                <w:noProof/>
                <w:color w:val="000000" w:themeColor="text1"/>
              </w:rPr>
              <w:t>Stoffe im Vergleich zu den EU-Schwellenwerten für die Luftverschmutzung überschritten werden, emissionsarme Verkehrszonen einzurichten</w:t>
            </w:r>
            <w:r>
              <w:rPr>
                <w:noProof/>
              </w:rPr>
              <w:t>.</w:t>
            </w:r>
            <w:r>
              <w:rPr>
                <w:noProof/>
                <w:color w:val="000000" w:themeColor="text1"/>
              </w:rPr>
              <w:t xml:space="preserve"> </w:t>
            </w:r>
          </w:p>
          <w:p w14:paraId="5421B134" w14:textId="77777777" w:rsidR="00EB245A" w:rsidRDefault="00EB245A">
            <w:pPr>
              <w:pStyle w:val="Normal0"/>
              <w:spacing w:after="0" w:line="240" w:lineRule="auto"/>
              <w:rPr>
                <w:rFonts w:ascii="Times New Roman" w:hAnsi="Times New Roman"/>
                <w:noProof/>
                <w:color w:val="000000" w:themeColor="text1"/>
                <w:sz w:val="18"/>
              </w:rPr>
            </w:pPr>
          </w:p>
          <w:p w14:paraId="56A4DBF8" w14:textId="0F987341" w:rsidR="00EB245A" w:rsidRDefault="006021EE">
            <w:pPr>
              <w:pStyle w:val="P68B1DB1-Normal012"/>
              <w:spacing w:after="0" w:line="240" w:lineRule="auto"/>
              <w:rPr>
                <w:noProof/>
                <w:color w:val="000000" w:themeColor="text1"/>
              </w:rPr>
            </w:pPr>
            <w:r>
              <w:rPr>
                <w:noProof/>
              </w:rPr>
              <w:t>In</w:t>
            </w:r>
            <w:r>
              <w:rPr>
                <w:noProof/>
              </w:rPr>
              <w:t xml:space="preserve"> dem Rechtsakt wird festgelegt, dass diese Verpflichtung für alle Städte mit mehr als 100000 Einwohnern gilt, die die Grenzwerte für die Luftqualität überschreiten, die in dem Bericht über die Luftqualität festgelegt sind, der bis zum 30. April eines jeden</w:t>
            </w:r>
            <w:r>
              <w:rPr>
                <w:noProof/>
              </w:rPr>
              <w:t xml:space="preserve"> Jahres von der Generalinspektion für Umweltschutz zu erstellen ist, und dass in diesen Städten ab dem 1. Januar des Folgejahres Emissionszonen eingerichtet werden.</w:t>
            </w:r>
          </w:p>
          <w:p w14:paraId="21DF7052" w14:textId="77777777" w:rsidR="00EB245A" w:rsidRDefault="00EB245A">
            <w:pPr>
              <w:pStyle w:val="Normal0"/>
              <w:spacing w:after="0" w:line="240" w:lineRule="auto"/>
              <w:rPr>
                <w:rFonts w:ascii="Times New Roman" w:hAnsi="Times New Roman"/>
                <w:noProof/>
                <w:color w:val="000000" w:themeColor="text1"/>
                <w:sz w:val="18"/>
              </w:rPr>
            </w:pPr>
          </w:p>
          <w:p w14:paraId="47AC91CE" w14:textId="3739AC56" w:rsidR="00EB245A" w:rsidRDefault="006021EE">
            <w:pPr>
              <w:pStyle w:val="P68B1DB1-Normal011"/>
              <w:spacing w:after="0" w:line="240" w:lineRule="auto"/>
              <w:rPr>
                <w:noProof/>
                <w:color w:val="000000" w:themeColor="text1"/>
              </w:rPr>
            </w:pPr>
            <w:r>
              <w:rPr>
                <w:noProof/>
                <w:color w:val="000000" w:themeColor="text1"/>
              </w:rPr>
              <w:t>Mit dem Rechtsakt wird auch  die Möglichkeit der Einführung emissionsarmer Verkehrszonen a</w:t>
            </w:r>
            <w:r>
              <w:rPr>
                <w:noProof/>
                <w:color w:val="000000" w:themeColor="text1"/>
              </w:rPr>
              <w:t xml:space="preserve">uf alle städtischen Gebiete ausgeweitet, unabhängig von der Einwohnerzahl. </w:t>
            </w:r>
          </w:p>
          <w:p w14:paraId="541CECEF" w14:textId="77777777" w:rsidR="00EB245A" w:rsidRDefault="00EB245A">
            <w:pPr>
              <w:pStyle w:val="Normal0"/>
              <w:spacing w:after="0" w:line="240" w:lineRule="auto"/>
              <w:rPr>
                <w:rFonts w:ascii="Times New Roman" w:hAnsi="Times New Roman"/>
                <w:noProof/>
                <w:color w:val="000000" w:themeColor="text1"/>
                <w:sz w:val="18"/>
              </w:rPr>
            </w:pPr>
          </w:p>
          <w:p w14:paraId="7C4AF1D8" w14:textId="5F343B10" w:rsidR="00EB245A" w:rsidRDefault="006021EE">
            <w:pPr>
              <w:pStyle w:val="P68B1DB1-Normal012"/>
              <w:spacing w:after="0" w:line="240" w:lineRule="auto"/>
              <w:rPr>
                <w:noProof/>
                <w:color w:val="000000" w:themeColor="text1"/>
              </w:rPr>
            </w:pPr>
            <w:r>
              <w:rPr>
                <w:noProof/>
              </w:rPr>
              <w:t xml:space="preserve">Nur „emissionsarme“ Personenkraftwagen dürfen in die Zonen einfahren. </w:t>
            </w:r>
          </w:p>
          <w:p w14:paraId="762D500B" w14:textId="0C0EBAF3" w:rsidR="00EB245A" w:rsidRDefault="00EB245A">
            <w:pPr>
              <w:pStyle w:val="Normal0"/>
              <w:spacing w:after="0" w:line="240" w:lineRule="auto"/>
              <w:rPr>
                <w:rFonts w:ascii="Times New Roman" w:eastAsia="Times New Roman" w:hAnsi="Times New Roman" w:cs="Times New Roman"/>
                <w:noProof/>
                <w:color w:val="006100"/>
                <w:sz w:val="18"/>
              </w:rPr>
            </w:pPr>
          </w:p>
        </w:tc>
      </w:tr>
      <w:tr w:rsidR="00EB245A" w14:paraId="1AF38F0C" w14:textId="77777777" w:rsidTr="00D03EE2">
        <w:trPr>
          <w:trHeight w:val="313"/>
        </w:trPr>
        <w:tc>
          <w:tcPr>
            <w:tcW w:w="832" w:type="dxa"/>
            <w:shd w:val="clear" w:color="auto" w:fill="C6EFCE"/>
          </w:tcPr>
          <w:p w14:paraId="2EDAD1BA" w14:textId="292C9F7B"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E2L</w:t>
            </w:r>
          </w:p>
        </w:tc>
        <w:tc>
          <w:tcPr>
            <w:tcW w:w="1519" w:type="dxa"/>
            <w:shd w:val="clear" w:color="auto" w:fill="C6EFCE"/>
          </w:tcPr>
          <w:p w14:paraId="13BD009B" w14:textId="2FEF03BC"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E1.2 Erhöhung des Anteils emissionsfreier und emissionsarmer Verkehrsmittel, Vermeidung und </w:t>
            </w:r>
            <w:r>
              <w:rPr>
                <w:noProof/>
              </w:rPr>
              <w:t>Verringerung der negativen Auswirkungen des Verkehrs auf die Umwelt</w:t>
            </w:r>
          </w:p>
        </w:tc>
        <w:tc>
          <w:tcPr>
            <w:tcW w:w="1245" w:type="dxa"/>
            <w:shd w:val="clear" w:color="auto" w:fill="C6EFCE"/>
          </w:tcPr>
          <w:p w14:paraId="342DB3B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932" w:type="dxa"/>
            <w:shd w:val="clear" w:color="auto" w:fill="C6EFCE"/>
          </w:tcPr>
          <w:p w14:paraId="31F4A5A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Einführung emissionsarmer Verkehrszonen durch die zuständigen kommunalen Behörden</w:t>
            </w:r>
          </w:p>
        </w:tc>
        <w:tc>
          <w:tcPr>
            <w:tcW w:w="1843" w:type="dxa"/>
            <w:shd w:val="clear" w:color="auto" w:fill="C6EFCE"/>
          </w:tcPr>
          <w:p w14:paraId="0F6C2915"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Einführung emissionsarmer Verkehrszonen</w:t>
            </w:r>
          </w:p>
        </w:tc>
        <w:tc>
          <w:tcPr>
            <w:tcW w:w="1134" w:type="dxa"/>
            <w:shd w:val="clear" w:color="auto" w:fill="C6EFCE"/>
          </w:tcPr>
          <w:p w14:paraId="0E1D65A0"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418" w:type="dxa"/>
            <w:shd w:val="clear" w:color="auto" w:fill="C6EFCE"/>
          </w:tcPr>
          <w:p w14:paraId="3CE445B1"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 xml:space="preserve"> </w:t>
            </w:r>
          </w:p>
        </w:tc>
        <w:tc>
          <w:tcPr>
            <w:tcW w:w="1134" w:type="dxa"/>
            <w:shd w:val="clear" w:color="auto" w:fill="C6EFCE"/>
          </w:tcPr>
          <w:p w14:paraId="2354EA0E"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 xml:space="preserve"> </w:t>
            </w:r>
          </w:p>
        </w:tc>
        <w:tc>
          <w:tcPr>
            <w:tcW w:w="850" w:type="dxa"/>
            <w:shd w:val="clear" w:color="auto" w:fill="C6EFCE"/>
          </w:tcPr>
          <w:p w14:paraId="05D26B95" w14:textId="2C26BE24"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0000" w:themeColor="text1"/>
              </w:rPr>
            </w:pPr>
            <w:r>
              <w:rPr>
                <w:noProof/>
              </w:rPr>
              <w:t>Q4</w:t>
            </w:r>
          </w:p>
        </w:tc>
        <w:tc>
          <w:tcPr>
            <w:tcW w:w="709" w:type="dxa"/>
            <w:shd w:val="clear" w:color="auto" w:fill="C6EFCE"/>
          </w:tcPr>
          <w:p w14:paraId="586C9D6F" w14:textId="0CF4BE0E"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2025</w:t>
            </w:r>
          </w:p>
        </w:tc>
        <w:tc>
          <w:tcPr>
            <w:tcW w:w="2693" w:type="dxa"/>
            <w:shd w:val="clear" w:color="auto" w:fill="C6EFCE"/>
          </w:tcPr>
          <w:p w14:paraId="5C2E8B4C" w14:textId="3450CA6E" w:rsidR="00EB245A" w:rsidRDefault="006021EE">
            <w:pPr>
              <w:pStyle w:val="P68B1DB1-Normal012"/>
              <w:spacing w:after="0" w:line="240" w:lineRule="auto"/>
              <w:rPr>
                <w:rFonts w:eastAsia="Times New Roman" w:cs="Times New Roman"/>
                <w:noProof/>
                <w:color w:val="006100"/>
              </w:rPr>
            </w:pPr>
            <w:r>
              <w:rPr>
                <w:noProof/>
              </w:rPr>
              <w:t xml:space="preserve">Die ersten emissionsarmen Verkehrszonen </w:t>
            </w:r>
            <w:r>
              <w:rPr>
                <w:noProof/>
              </w:rPr>
              <w:t>werden bis zum 1. Januar 2026 in Städten mit mehr als 100000 Einwohnern eingerichtet, in denen die Luftqualitätsschwellenwerte überschritten werden, wie aus dem jüngsten Luftqualitätsbericht der Generalinspektion für Umweltschutz, der bis zum 30. April 202</w:t>
            </w:r>
            <w:r>
              <w:rPr>
                <w:noProof/>
              </w:rPr>
              <w:t xml:space="preserve">5 vorliegt, hervorgeht. </w:t>
            </w:r>
          </w:p>
        </w:tc>
      </w:tr>
      <w:tr w:rsidR="00EB245A" w14:paraId="1CA18220" w14:textId="77777777" w:rsidTr="00D03EE2">
        <w:trPr>
          <w:trHeight w:val="313"/>
        </w:trPr>
        <w:tc>
          <w:tcPr>
            <w:tcW w:w="8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28181FF" w14:textId="386FAA13" w:rsidR="00EB245A" w:rsidRDefault="006021EE">
            <w:pPr>
              <w:pStyle w:val="P68B1DB1-Normal011"/>
              <w:pBdr>
                <w:top w:val="nil"/>
                <w:left w:val="nil"/>
                <w:bottom w:val="nil"/>
                <w:right w:val="nil"/>
                <w:between w:val="nil"/>
              </w:pBdr>
              <w:spacing w:after="0" w:line="240" w:lineRule="auto"/>
              <w:jc w:val="center"/>
              <w:rPr>
                <w:rFonts w:cs="Times New Roman"/>
                <w:noProof/>
              </w:rPr>
            </w:pPr>
            <w:r>
              <w:rPr>
                <w:noProof/>
              </w:rPr>
              <w:t>E3L</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672B883" w14:textId="57A91B24"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E1.2.1 Emissionsfreie öffentliche Verkehrsmittel in Städten (Straßenbahnen)</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E2644F"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Meilenstein</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1644F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Neue Straßenbahnen: Auswahl der Begünstigten</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0EC73A" w14:textId="4DE41D54" w:rsidR="00EB245A" w:rsidRDefault="006021EE">
            <w:pPr>
              <w:pStyle w:val="P68B1DB1-Normal012"/>
              <w:pBdr>
                <w:top w:val="nil"/>
                <w:left w:val="nil"/>
                <w:bottom w:val="nil"/>
                <w:right w:val="nil"/>
                <w:between w:val="nil"/>
              </w:pBdr>
              <w:spacing w:after="0" w:line="240" w:lineRule="auto"/>
              <w:rPr>
                <w:rFonts w:eastAsia="Times New Roman" w:cs="Times New Roman"/>
                <w:noProof/>
              </w:rPr>
            </w:pPr>
            <w:r>
              <w:rPr>
                <w:noProof/>
              </w:rPr>
              <w:t>Mit Empfängereinrichtungen unterzeichnete Verträge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8717D39"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38A720" w14:textId="77777777"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1DAA4D5" w14:textId="77777777"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F88B35" w14:textId="0D8314BD"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Q1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32A2B6B" w14:textId="78BF5645"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rPr>
            </w:pPr>
            <w:r>
              <w:rPr>
                <w:noProof/>
              </w:rPr>
              <w:t>2025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EAF47F" w14:textId="70100BA5" w:rsidR="00EB245A" w:rsidRDefault="006021EE">
            <w:pPr>
              <w:pStyle w:val="P68B1DB1-Normal012"/>
              <w:spacing w:after="0" w:line="240" w:lineRule="auto"/>
              <w:rPr>
                <w:rFonts w:eastAsia="Times New Roman" w:cs="Times New Roman"/>
                <w:noProof/>
              </w:rPr>
            </w:pPr>
            <w:r>
              <w:rPr>
                <w:noProof/>
              </w:rPr>
              <w:t xml:space="preserve">Mit begünstigten Stellen </w:t>
            </w:r>
            <w:r>
              <w:rPr>
                <w:noProof/>
              </w:rPr>
              <w:t>(Gemeinden oder Betreiber öffentlicher Dienstleistungen) geschlossene Verträge über den Erwerb und die Inbetriebnahme von 88 Straßenbahnen nach offenen und transparenten wettbewerblichen Aufforderungen.</w:t>
            </w:r>
          </w:p>
          <w:p w14:paraId="36027C7C" w14:textId="061BD349" w:rsidR="00EB245A" w:rsidRDefault="006021EE">
            <w:pPr>
              <w:pStyle w:val="P68B1DB1-Normal13"/>
              <w:spacing w:after="120" w:line="240" w:lineRule="auto"/>
              <w:rPr>
                <w:rFonts w:eastAsia="Times New Roman" w:cs="Times New Roman"/>
                <w:noProof/>
                <w:color w:val="000000"/>
              </w:rPr>
            </w:pPr>
            <w:r>
              <w:rPr>
                <w:noProof/>
              </w:rPr>
              <w:t>Die begünstigten Stellen werden im Wege transparenter</w:t>
            </w:r>
            <w:r>
              <w:rPr>
                <w:noProof/>
              </w:rPr>
              <w:t xml:space="preserve"> und wettbewerbsorientierter Aufforderungen ausgewählt, die allen lokalen Behörden und Betreibern öffentlicher Dienste offen stehen. </w:t>
            </w:r>
          </w:p>
          <w:p w14:paraId="2273758B" w14:textId="74854FF0" w:rsidR="00EB245A" w:rsidRDefault="006021EE">
            <w:pPr>
              <w:pStyle w:val="P68B1DB1-Normal13"/>
              <w:spacing w:after="120" w:line="240" w:lineRule="auto"/>
              <w:rPr>
                <w:rFonts w:eastAsia="Times New Roman" w:cs="Times New Roman"/>
                <w:noProof/>
                <w:color w:val="000000"/>
              </w:rPr>
            </w:pPr>
            <w:r>
              <w:rPr>
                <w:noProof/>
              </w:rPr>
              <w:t>Die Kriterien für die Auswahl der begünstigten Einrichtungen müssen insbesondere dem Bedarf an einem umweltfreundlichen öf</w:t>
            </w:r>
            <w:r>
              <w:rPr>
                <w:noProof/>
              </w:rPr>
              <w:t>fentlichen Verkehr und den Auswirkungen auf die Verringerung der Emissionen und der Verkehrsüberlastung sowie der Reife der Projekte Rechnung tragen. Vorrang haben Gebiete, in denen saubere Verkehrszonen eingerichtet wurden oder vorgesehen sind.</w:t>
            </w:r>
          </w:p>
          <w:p w14:paraId="7CE2BAE5" w14:textId="184ED278" w:rsidR="00EB245A" w:rsidRDefault="006021EE">
            <w:pPr>
              <w:pStyle w:val="P68B1DB1-Normal13"/>
              <w:pBdr>
                <w:top w:val="nil"/>
                <w:left w:val="nil"/>
                <w:bottom w:val="nil"/>
                <w:right w:val="nil"/>
                <w:between w:val="nil"/>
              </w:pBdr>
              <w:spacing w:after="0" w:line="240" w:lineRule="auto"/>
              <w:rPr>
                <w:rFonts w:eastAsia="Times New Roman" w:cs="Times New Roman"/>
                <w:noProof/>
                <w:color w:val="000000"/>
              </w:rPr>
            </w:pPr>
            <w:r>
              <w:rPr>
                <w:noProof/>
              </w:rPr>
              <w:t>Die Mittel werden in fairer und transparenter Weise in Absprache mit den lokalen Gebietskörperschaften zugewiesen und dürfen von den Endempfängern oder den lokalen Gebietskörperschaften in keiner Form an die polnische Regierung zurückgezahlt werden.</w:t>
            </w:r>
          </w:p>
        </w:tc>
      </w:tr>
      <w:tr w:rsidR="00EB245A" w14:paraId="73E48C81" w14:textId="77777777" w:rsidTr="00D03EE2">
        <w:trPr>
          <w:trHeight w:val="313"/>
        </w:trPr>
        <w:tc>
          <w:tcPr>
            <w:tcW w:w="832" w:type="dxa"/>
            <w:shd w:val="clear" w:color="auto" w:fill="C6EFCE"/>
          </w:tcPr>
          <w:p w14:paraId="2434205B" w14:textId="2EDC7352"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E4L</w:t>
            </w:r>
          </w:p>
        </w:tc>
        <w:tc>
          <w:tcPr>
            <w:tcW w:w="1519" w:type="dxa"/>
            <w:shd w:val="clear" w:color="auto" w:fill="C6EFCE"/>
          </w:tcPr>
          <w:p w14:paraId="4DA3FA3F" w14:textId="3705EBDE"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E1.2.1 Emissionsfreie öffentliche Verkehrsmittel in Städten (Straßenbahnen)</w:t>
            </w:r>
          </w:p>
        </w:tc>
        <w:tc>
          <w:tcPr>
            <w:tcW w:w="1245" w:type="dxa"/>
            <w:shd w:val="clear" w:color="auto" w:fill="C6EFCE"/>
          </w:tcPr>
          <w:p w14:paraId="03DB49E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Ziel</w:t>
            </w:r>
          </w:p>
        </w:tc>
        <w:tc>
          <w:tcPr>
            <w:tcW w:w="1932" w:type="dxa"/>
            <w:shd w:val="clear" w:color="auto" w:fill="C6EFCE"/>
          </w:tcPr>
          <w:p w14:paraId="1F47F091" w14:textId="3820E622" w:rsidR="00EB245A" w:rsidRDefault="006021EE">
            <w:pPr>
              <w:pStyle w:val="P68B1DB1-Normal012"/>
              <w:spacing w:after="0" w:line="240" w:lineRule="auto"/>
              <w:rPr>
                <w:rFonts w:eastAsia="Times New Roman" w:cs="Times New Roman"/>
                <w:noProof/>
                <w:color w:val="006100"/>
              </w:rPr>
            </w:pPr>
            <w:r>
              <w:rPr>
                <w:noProof/>
              </w:rPr>
              <w:t>Neue Straßenbahnen für den öffentlichen Nahverkehr</w:t>
            </w:r>
          </w:p>
        </w:tc>
        <w:tc>
          <w:tcPr>
            <w:tcW w:w="1843" w:type="dxa"/>
            <w:shd w:val="clear" w:color="auto" w:fill="C6EFCE"/>
          </w:tcPr>
          <w:p w14:paraId="647B35B7"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134" w:type="dxa"/>
            <w:shd w:val="clear" w:color="auto" w:fill="C6EFCE"/>
          </w:tcPr>
          <w:p w14:paraId="453118F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Anzahl</w:t>
            </w:r>
          </w:p>
        </w:tc>
        <w:tc>
          <w:tcPr>
            <w:tcW w:w="1418" w:type="dxa"/>
            <w:shd w:val="clear" w:color="auto" w:fill="C6EFCE"/>
          </w:tcPr>
          <w:p w14:paraId="6FE745E3" w14:textId="77777777"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0</w:t>
            </w:r>
          </w:p>
        </w:tc>
        <w:tc>
          <w:tcPr>
            <w:tcW w:w="1134" w:type="dxa"/>
            <w:shd w:val="clear" w:color="auto" w:fill="C6EFCE"/>
          </w:tcPr>
          <w:p w14:paraId="344D4C48" w14:textId="5FBE0765" w:rsidR="00EB245A" w:rsidRDefault="006021EE">
            <w:pPr>
              <w:pStyle w:val="P68B1DB1-Normal012"/>
              <w:pBdr>
                <w:top w:val="nil"/>
                <w:left w:val="nil"/>
                <w:bottom w:val="nil"/>
                <w:right w:val="nil"/>
                <w:between w:val="nil"/>
              </w:pBdr>
              <w:spacing w:after="0" w:line="240" w:lineRule="auto"/>
              <w:jc w:val="right"/>
              <w:rPr>
                <w:rFonts w:eastAsia="Times New Roman" w:cs="Times New Roman"/>
                <w:noProof/>
                <w:color w:val="006100"/>
              </w:rPr>
            </w:pPr>
            <w:r>
              <w:rPr>
                <w:noProof/>
              </w:rPr>
              <w:t>88</w:t>
            </w:r>
          </w:p>
        </w:tc>
        <w:tc>
          <w:tcPr>
            <w:tcW w:w="850" w:type="dxa"/>
            <w:shd w:val="clear" w:color="auto" w:fill="C6EFCE"/>
          </w:tcPr>
          <w:p w14:paraId="27F4C1DF" w14:textId="61297134" w:rsidR="00EB245A" w:rsidRDefault="006021EE">
            <w:pPr>
              <w:pStyle w:val="P68B1DB1-Normal012"/>
              <w:spacing w:after="0" w:line="240" w:lineRule="auto"/>
              <w:jc w:val="center"/>
              <w:rPr>
                <w:rFonts w:eastAsia="Times New Roman" w:cs="Times New Roman"/>
                <w:noProof/>
                <w:color w:val="006100"/>
              </w:rPr>
            </w:pPr>
            <w:r>
              <w:rPr>
                <w:noProof/>
              </w:rPr>
              <w:t>Q3</w:t>
            </w:r>
          </w:p>
        </w:tc>
        <w:tc>
          <w:tcPr>
            <w:tcW w:w="709" w:type="dxa"/>
            <w:shd w:val="clear" w:color="auto" w:fill="C6EFCE"/>
          </w:tcPr>
          <w:p w14:paraId="438D2E26"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2026</w:t>
            </w:r>
          </w:p>
        </w:tc>
        <w:tc>
          <w:tcPr>
            <w:tcW w:w="2693" w:type="dxa"/>
            <w:shd w:val="clear" w:color="auto" w:fill="C6EFCE"/>
          </w:tcPr>
          <w:p w14:paraId="2C555F7D" w14:textId="19629206" w:rsidR="00EB245A" w:rsidRDefault="006021EE">
            <w:pPr>
              <w:pStyle w:val="P68B1DB1-Normal26"/>
              <w:rPr>
                <w:rFonts w:eastAsia="Times New Roman" w:cs="Times New Roman"/>
                <w:noProof/>
              </w:rPr>
            </w:pPr>
            <w:r>
              <w:rPr>
                <w:noProof/>
              </w:rPr>
              <w:t xml:space="preserve">Zahl der neuen emissionsfreien Fahrzeuge (Straßenbahnen) für den öffentlichen Verkehr in Städten, die nach ihrem Bau für zulassungsbereit erklärt wurden. </w:t>
            </w:r>
          </w:p>
          <w:p w14:paraId="011EC368" w14:textId="702B8947" w:rsidR="00EB245A" w:rsidRDefault="006021EE">
            <w:pPr>
              <w:pStyle w:val="P68B1DB1-Normal26"/>
              <w:spacing w:after="0" w:line="240" w:lineRule="auto"/>
              <w:rPr>
                <w:rFonts w:eastAsia="Times New Roman" w:cs="Times New Roman"/>
                <w:noProof/>
              </w:rPr>
            </w:pPr>
            <w:r>
              <w:rPr>
                <w:noProof/>
              </w:rPr>
              <w:t>Die Beschaffung von Straßenbahnen erfolgt im Wege offener und wettbewerblicher Ausschreibungen, die v</w:t>
            </w:r>
            <w:r>
              <w:rPr>
                <w:noProof/>
              </w:rPr>
              <w:t>on den begünstigten Stellen verwaltet werden.</w:t>
            </w:r>
          </w:p>
          <w:p w14:paraId="1C5BEDD8" w14:textId="5DC3CD29" w:rsidR="00EB245A" w:rsidRDefault="006021EE">
            <w:pPr>
              <w:pStyle w:val="P68B1DB1-Normal26"/>
              <w:spacing w:after="0" w:line="240" w:lineRule="auto"/>
              <w:rPr>
                <w:rFonts w:eastAsia="Times New Roman" w:cs="Times New Roman"/>
                <w:noProof/>
                <w:color w:val="000000" w:themeColor="text1"/>
              </w:rPr>
            </w:pPr>
            <w:r>
              <w:rPr>
                <w:noProof/>
              </w:rPr>
              <w:t>Die Investition zielt darauf ab, das Angebot an sauberen öffentlichen Verkehrsmitteln in Städten zu erhöhen. Die Unterstützung wird vorrangig für Gebiete gewährt, in denen saubere Verkehrszonen eingerichtet wur</w:t>
            </w:r>
            <w:r>
              <w:rPr>
                <w:noProof/>
              </w:rPr>
              <w:t xml:space="preserve">den oder geplant sind. </w:t>
            </w:r>
          </w:p>
        </w:tc>
      </w:tr>
      <w:tr w:rsidR="00EB245A" w14:paraId="6B973DBF" w14:textId="77777777" w:rsidTr="00D03EE2">
        <w:trPr>
          <w:trHeight w:val="313"/>
        </w:trPr>
        <w:tc>
          <w:tcPr>
            <w:tcW w:w="832" w:type="dxa"/>
            <w:shd w:val="clear" w:color="auto" w:fill="C6EFCE"/>
          </w:tcPr>
          <w:p w14:paraId="4089D9A7" w14:textId="5A40D127"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E5L</w:t>
            </w:r>
          </w:p>
        </w:tc>
        <w:tc>
          <w:tcPr>
            <w:tcW w:w="1519" w:type="dxa"/>
            <w:shd w:val="clear" w:color="auto" w:fill="C6EFCE"/>
          </w:tcPr>
          <w:p w14:paraId="2E8B9C09" w14:textId="793681FB"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E2.3 Verbesserung der Zugänglichkeit, der Sicherheit und digitaler Lösungen im Verkehrsbereich</w:t>
            </w:r>
          </w:p>
        </w:tc>
        <w:tc>
          <w:tcPr>
            <w:tcW w:w="1245" w:type="dxa"/>
            <w:shd w:val="clear" w:color="auto" w:fill="C6EFCE"/>
          </w:tcPr>
          <w:p w14:paraId="46459295"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932" w:type="dxa"/>
            <w:shd w:val="clear" w:color="auto" w:fill="C6EFCE"/>
          </w:tcPr>
          <w:p w14:paraId="463F3072" w14:textId="0EE5C5A8"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Inkrafttreten eines Rechtsakts zur Verbesserung der Fahrgastrechte im Bereich der Anforderungen an Fahrzeuge</w:t>
            </w:r>
          </w:p>
        </w:tc>
        <w:tc>
          <w:tcPr>
            <w:tcW w:w="1843" w:type="dxa"/>
            <w:shd w:val="clear" w:color="auto" w:fill="C6EFCE"/>
          </w:tcPr>
          <w:p w14:paraId="3696FF51" w14:textId="3F6D3A6E"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Bestimmung </w:t>
            </w:r>
            <w:r>
              <w:rPr>
                <w:noProof/>
              </w:rPr>
              <w:t>in den Rechtsakten über das Inkrafttreten</w:t>
            </w:r>
          </w:p>
        </w:tc>
        <w:tc>
          <w:tcPr>
            <w:tcW w:w="1134" w:type="dxa"/>
            <w:shd w:val="clear" w:color="auto" w:fill="C6EFCE"/>
          </w:tcPr>
          <w:p w14:paraId="73FB3412"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418" w:type="dxa"/>
            <w:shd w:val="clear" w:color="auto" w:fill="C6EFCE"/>
          </w:tcPr>
          <w:p w14:paraId="71E6F0A4"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134" w:type="dxa"/>
            <w:shd w:val="clear" w:color="auto" w:fill="C6EFCE"/>
          </w:tcPr>
          <w:p w14:paraId="4CB2E8F3"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850" w:type="dxa"/>
            <w:shd w:val="clear" w:color="auto" w:fill="C6EFCE"/>
          </w:tcPr>
          <w:p w14:paraId="1F5AB4D7" w14:textId="3B256E53"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Q4</w:t>
            </w:r>
          </w:p>
        </w:tc>
        <w:tc>
          <w:tcPr>
            <w:tcW w:w="709" w:type="dxa"/>
            <w:shd w:val="clear" w:color="auto" w:fill="C6EFCE"/>
          </w:tcPr>
          <w:p w14:paraId="171C70B4"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2022</w:t>
            </w:r>
          </w:p>
        </w:tc>
        <w:tc>
          <w:tcPr>
            <w:tcW w:w="2693" w:type="dxa"/>
            <w:shd w:val="clear" w:color="auto" w:fill="C6EFCE"/>
          </w:tcPr>
          <w:p w14:paraId="4AF1946C" w14:textId="0C9C99AC"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Technische und funktionale Standards für Eisenbahninvestitionen werden durch einen Rechtsakt eingeführt, um angemessene Infrastrukturlösungen zu gewährleisten, die den Bedürfnissen von Fahrgästen mit </w:t>
            </w:r>
            <w:r>
              <w:rPr>
                <w:noProof/>
              </w:rPr>
              <w:t xml:space="preserve">eingeschränkter Mobilität entsprechen. Zu diesem Zweck werden mit dem Rechtsakt die einschlägigen nationalen Bestimmungen für Ausnahmen von der Verordnung (EG) Nr. 1371/2007 über die Rechte und Pflichten der Fahrgäste im Eisenbahnverkehr aufgehoben. </w:t>
            </w:r>
          </w:p>
        </w:tc>
      </w:tr>
      <w:tr w:rsidR="00EB245A" w14:paraId="5EE310F6" w14:textId="77777777" w:rsidTr="00D03EE2">
        <w:trPr>
          <w:trHeight w:val="313"/>
        </w:trPr>
        <w:tc>
          <w:tcPr>
            <w:tcW w:w="832" w:type="dxa"/>
            <w:shd w:val="clear" w:color="auto" w:fill="C6EFCE"/>
          </w:tcPr>
          <w:p w14:paraId="72A1D356" w14:textId="70C44B39"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E6L</w:t>
            </w:r>
          </w:p>
        </w:tc>
        <w:tc>
          <w:tcPr>
            <w:tcW w:w="1519" w:type="dxa"/>
            <w:shd w:val="clear" w:color="auto" w:fill="C6EFCE"/>
          </w:tcPr>
          <w:p w14:paraId="3907F100" w14:textId="26062E9C"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E2.3 Verbesserung der Zugänglichkeit, der Sicherheit und digitaler Lösungen im Verkehrsbereich</w:t>
            </w:r>
          </w:p>
        </w:tc>
        <w:tc>
          <w:tcPr>
            <w:tcW w:w="1245" w:type="dxa"/>
            <w:shd w:val="clear" w:color="auto" w:fill="C6EFCE"/>
          </w:tcPr>
          <w:p w14:paraId="435C483C"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932" w:type="dxa"/>
            <w:shd w:val="clear" w:color="auto" w:fill="C6EFCE"/>
          </w:tcPr>
          <w:p w14:paraId="0139338E" w14:textId="70C44B39"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Verpflichtung zur Umrüstung nationaler, internationaler und regionaler Fahrzeuge mit Anforderungen für Fahrgäste mit Behinderungen</w:t>
            </w:r>
          </w:p>
        </w:tc>
        <w:tc>
          <w:tcPr>
            <w:tcW w:w="1843" w:type="dxa"/>
            <w:shd w:val="clear" w:color="auto" w:fill="C6EFCE"/>
          </w:tcPr>
          <w:p w14:paraId="44D61B5A" w14:textId="70C44B39"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Bestimmung im Rech</w:t>
            </w:r>
            <w:r>
              <w:rPr>
                <w:noProof/>
              </w:rPr>
              <w:t>tsakt über das Inkrafttreten</w:t>
            </w:r>
          </w:p>
        </w:tc>
        <w:tc>
          <w:tcPr>
            <w:tcW w:w="1134" w:type="dxa"/>
            <w:shd w:val="clear" w:color="auto" w:fill="C6EFCE"/>
          </w:tcPr>
          <w:p w14:paraId="15A3EF86"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418" w:type="dxa"/>
            <w:shd w:val="clear" w:color="auto" w:fill="C6EFCE"/>
          </w:tcPr>
          <w:p w14:paraId="791C11CE"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134" w:type="dxa"/>
            <w:shd w:val="clear" w:color="auto" w:fill="C6EFCE"/>
          </w:tcPr>
          <w:p w14:paraId="3196B198" w14:textId="77777777" w:rsidR="00EB245A" w:rsidRDefault="006021EE">
            <w:pPr>
              <w:pStyle w:val="P68B1DB1-Normal012"/>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850" w:type="dxa"/>
            <w:shd w:val="clear" w:color="auto" w:fill="C6EFCE"/>
          </w:tcPr>
          <w:p w14:paraId="6B16EA59"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Q2</w:t>
            </w:r>
          </w:p>
        </w:tc>
        <w:tc>
          <w:tcPr>
            <w:tcW w:w="709" w:type="dxa"/>
            <w:shd w:val="clear" w:color="auto" w:fill="C6EFCE"/>
          </w:tcPr>
          <w:p w14:paraId="520C8A10" w14:textId="77777777" w:rsidR="00EB245A" w:rsidRDefault="006021EE">
            <w:pPr>
              <w:pStyle w:val="P68B1DB1-Normal012"/>
              <w:pBdr>
                <w:top w:val="nil"/>
                <w:left w:val="nil"/>
                <w:bottom w:val="nil"/>
                <w:right w:val="nil"/>
                <w:between w:val="nil"/>
              </w:pBdr>
              <w:spacing w:after="0" w:line="240" w:lineRule="auto"/>
              <w:jc w:val="center"/>
              <w:rPr>
                <w:rFonts w:eastAsia="Times New Roman" w:cs="Times New Roman"/>
                <w:noProof/>
                <w:color w:val="006100"/>
              </w:rPr>
            </w:pPr>
            <w:r>
              <w:rPr>
                <w:noProof/>
              </w:rPr>
              <w:t>2024</w:t>
            </w:r>
          </w:p>
        </w:tc>
        <w:tc>
          <w:tcPr>
            <w:tcW w:w="2693" w:type="dxa"/>
            <w:shd w:val="clear" w:color="auto" w:fill="C6EFCE"/>
          </w:tcPr>
          <w:p w14:paraId="7403AB97" w14:textId="0048F5CE" w:rsidR="00EB245A" w:rsidRDefault="006021EE">
            <w:pPr>
              <w:pStyle w:val="P68B1DB1-Normal012"/>
              <w:pBdr>
                <w:top w:val="nil"/>
                <w:left w:val="nil"/>
                <w:bottom w:val="nil"/>
                <w:right w:val="nil"/>
                <w:between w:val="nil"/>
              </w:pBdr>
              <w:spacing w:after="0" w:line="240" w:lineRule="auto"/>
              <w:rPr>
                <w:rFonts w:eastAsia="Times New Roman" w:cs="Times New Roman"/>
                <w:noProof/>
                <w:color w:val="000000" w:themeColor="text1"/>
              </w:rPr>
            </w:pPr>
            <w:r>
              <w:rPr>
                <w:noProof/>
              </w:rPr>
              <w:t xml:space="preserve">Inkrafttreten der einschlägigen Bestimmungen zur Anpassung der Schienenfahrzeuge an die Anforderungen der Fahrgastrechte, Anpassung an Artikel 9 Absatz 3 der Verordnung (EU) 2021/782 (in Bezug auf die erwartete </w:t>
            </w:r>
            <w:r>
              <w:rPr>
                <w:noProof/>
              </w:rPr>
              <w:t xml:space="preserve">Nutzungsdauer des rollenden Materials ist die Modernisierung gerechtfertigt und sinnvoll) für regionale, nationale und internationale Fahrzeuge, die auf Fahrgäste mit Behinderungen umgerüstet werden sollen, und Stärkung der Fahrgastrechte. </w:t>
            </w:r>
          </w:p>
          <w:p w14:paraId="6D928269" w14:textId="0A0A7FC2"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r>
              <w:rPr>
                <w:noProof/>
              </w:rPr>
              <w:t xml:space="preserve">  </w:t>
            </w:r>
            <w:r>
              <w:rPr>
                <w:noProof/>
              </w:rPr>
              <w:br/>
            </w:r>
            <w:r>
              <w:rPr>
                <w:rFonts w:ascii="Times New Roman" w:hAnsi="Times New Roman"/>
                <w:noProof/>
                <w:color w:val="000000" w:themeColor="text1"/>
                <w:sz w:val="18"/>
              </w:rPr>
              <w:t>Für regional</w:t>
            </w:r>
            <w:r>
              <w:rPr>
                <w:rFonts w:ascii="Times New Roman" w:hAnsi="Times New Roman"/>
                <w:noProof/>
                <w:color w:val="000000" w:themeColor="text1"/>
                <w:sz w:val="18"/>
              </w:rPr>
              <w:t>e Fahrzeuge müssen die Anforderungen bis zum zweiten Quartal 2024 und für internationale Fahrzeuge und Fernfahrzeuge ab dem zweiten Quartal 2023 angenommen werden.</w:t>
            </w:r>
          </w:p>
        </w:tc>
      </w:tr>
      <w:tr w:rsidR="00EB245A" w14:paraId="451B1DC8" w14:textId="77777777" w:rsidTr="00D03EE2">
        <w:trPr>
          <w:trHeight w:val="313"/>
        </w:trPr>
        <w:tc>
          <w:tcPr>
            <w:tcW w:w="832" w:type="dxa"/>
            <w:shd w:val="clear" w:color="auto" w:fill="C6EFCE"/>
          </w:tcPr>
          <w:p w14:paraId="357E1EFD" w14:textId="23E91DA6" w:rsidR="00EB245A" w:rsidRDefault="006021EE">
            <w:pPr>
              <w:pStyle w:val="P68B1DB1-Normal26"/>
              <w:spacing w:after="0"/>
              <w:rPr>
                <w:rFonts w:eastAsia="Times New Roman" w:cs="Times New Roman"/>
                <w:noProof/>
              </w:rPr>
            </w:pPr>
            <w:r>
              <w:rPr>
                <w:noProof/>
              </w:rPr>
              <w:t>E7L</w:t>
            </w:r>
          </w:p>
        </w:tc>
        <w:tc>
          <w:tcPr>
            <w:tcW w:w="1519" w:type="dxa"/>
            <w:shd w:val="clear" w:color="auto" w:fill="C6EFCE"/>
          </w:tcPr>
          <w:p w14:paraId="45B841CC" w14:textId="2F664BBF" w:rsidR="00EB245A" w:rsidRDefault="006021EE">
            <w:pPr>
              <w:pStyle w:val="P68B1DB1-Normal26"/>
              <w:spacing w:after="0"/>
              <w:rPr>
                <w:rFonts w:eastAsia="Times New Roman" w:cs="Times New Roman"/>
                <w:noProof/>
              </w:rPr>
            </w:pPr>
            <w:r>
              <w:rPr>
                <w:noProof/>
              </w:rPr>
              <w:t>E3.1.1 Fazilität zur Unterstützung einer CO2-armen Wirtschaft</w:t>
            </w:r>
          </w:p>
        </w:tc>
        <w:tc>
          <w:tcPr>
            <w:tcW w:w="1245" w:type="dxa"/>
            <w:shd w:val="clear" w:color="auto" w:fill="C6EFCE"/>
          </w:tcPr>
          <w:p w14:paraId="069FEF7B" w14:textId="1587411A" w:rsidR="00EB245A" w:rsidRDefault="006021EE">
            <w:pPr>
              <w:pStyle w:val="P68B1DB1-Normal26"/>
              <w:spacing w:after="0"/>
              <w:rPr>
                <w:rFonts w:eastAsia="Times New Roman" w:cs="Times New Roman"/>
                <w:noProof/>
              </w:rPr>
            </w:pPr>
            <w:r>
              <w:rPr>
                <w:noProof/>
              </w:rPr>
              <w:t xml:space="preserve">Meilenstein </w:t>
            </w:r>
          </w:p>
        </w:tc>
        <w:tc>
          <w:tcPr>
            <w:tcW w:w="1932" w:type="dxa"/>
            <w:shd w:val="clear" w:color="auto" w:fill="C6EFCE"/>
          </w:tcPr>
          <w:p w14:paraId="2D3B3DFB" w14:textId="44B314A6" w:rsidR="00EB245A" w:rsidRDefault="006021EE">
            <w:pPr>
              <w:pStyle w:val="P68B1DB1-Normal26"/>
              <w:spacing w:after="0"/>
              <w:rPr>
                <w:rFonts w:eastAsia="Times New Roman" w:cs="Times New Roman"/>
                <w:noProof/>
              </w:rPr>
            </w:pPr>
            <w:r>
              <w:rPr>
                <w:noProof/>
              </w:rPr>
              <w:t xml:space="preserve">Änderungen </w:t>
            </w:r>
            <w:r>
              <w:rPr>
                <w:noProof/>
              </w:rPr>
              <w:t>der Anlagepolitik</w:t>
            </w:r>
          </w:p>
        </w:tc>
        <w:tc>
          <w:tcPr>
            <w:tcW w:w="1843" w:type="dxa"/>
            <w:shd w:val="clear" w:color="auto" w:fill="C6EFCE"/>
          </w:tcPr>
          <w:p w14:paraId="32775D1D" w14:textId="2D6B1707" w:rsidR="00EB245A" w:rsidRDefault="006021EE">
            <w:pPr>
              <w:pStyle w:val="P68B1DB1-Normal26"/>
              <w:spacing w:after="0"/>
              <w:rPr>
                <w:rFonts w:eastAsia="Times New Roman" w:cs="Times New Roman"/>
                <w:noProof/>
              </w:rPr>
            </w:pPr>
            <w:r>
              <w:rPr>
                <w:noProof/>
              </w:rPr>
              <w:t>Inkrafttreten der Änderungen der Anlagepolitik</w:t>
            </w:r>
          </w:p>
        </w:tc>
        <w:tc>
          <w:tcPr>
            <w:tcW w:w="1134" w:type="dxa"/>
            <w:shd w:val="clear" w:color="auto" w:fill="C6EFCE"/>
          </w:tcPr>
          <w:p w14:paraId="671A1D05" w14:textId="0DBEC013" w:rsidR="00EB245A" w:rsidRDefault="00EB245A">
            <w:pPr>
              <w:spacing w:after="0"/>
              <w:rPr>
                <w:rFonts w:ascii="Times New Roman" w:eastAsia="Times New Roman" w:hAnsi="Times New Roman" w:cs="Times New Roman"/>
                <w:noProof/>
                <w:sz w:val="18"/>
              </w:rPr>
            </w:pPr>
          </w:p>
        </w:tc>
        <w:tc>
          <w:tcPr>
            <w:tcW w:w="1418" w:type="dxa"/>
            <w:shd w:val="clear" w:color="auto" w:fill="C6EFCE"/>
          </w:tcPr>
          <w:p w14:paraId="220E196E" w14:textId="5B143CB1" w:rsidR="00EB245A" w:rsidRDefault="00EB245A">
            <w:pPr>
              <w:spacing w:after="0"/>
              <w:rPr>
                <w:rFonts w:ascii="Times New Roman" w:eastAsia="Times New Roman" w:hAnsi="Times New Roman" w:cs="Times New Roman"/>
                <w:noProof/>
                <w:sz w:val="18"/>
              </w:rPr>
            </w:pPr>
          </w:p>
        </w:tc>
        <w:tc>
          <w:tcPr>
            <w:tcW w:w="1134" w:type="dxa"/>
            <w:shd w:val="clear" w:color="auto" w:fill="C6EFCE"/>
          </w:tcPr>
          <w:p w14:paraId="579D12E4" w14:textId="04C67BE2" w:rsidR="00EB245A" w:rsidRDefault="00EB245A">
            <w:pPr>
              <w:spacing w:after="0"/>
              <w:rPr>
                <w:rFonts w:ascii="Times New Roman" w:eastAsia="Times New Roman" w:hAnsi="Times New Roman" w:cs="Times New Roman"/>
                <w:noProof/>
                <w:sz w:val="18"/>
              </w:rPr>
            </w:pPr>
          </w:p>
        </w:tc>
        <w:tc>
          <w:tcPr>
            <w:tcW w:w="850" w:type="dxa"/>
            <w:shd w:val="clear" w:color="auto" w:fill="C6EFCE"/>
          </w:tcPr>
          <w:p w14:paraId="7D22B328" w14:textId="1834D6FA" w:rsidR="00EB245A" w:rsidRDefault="006021EE">
            <w:pPr>
              <w:pStyle w:val="P68B1DB1-Normal26"/>
              <w:spacing w:after="0"/>
              <w:rPr>
                <w:rFonts w:eastAsia="Times New Roman" w:cs="Times New Roman"/>
                <w:noProof/>
              </w:rPr>
            </w:pPr>
            <w:r>
              <w:rPr>
                <w:noProof/>
              </w:rPr>
              <w:t>Q1</w:t>
            </w:r>
          </w:p>
        </w:tc>
        <w:tc>
          <w:tcPr>
            <w:tcW w:w="709" w:type="dxa"/>
            <w:shd w:val="clear" w:color="auto" w:fill="C6EFCE"/>
          </w:tcPr>
          <w:p w14:paraId="6B083FCE" w14:textId="6FEF5D9B" w:rsidR="00EB245A" w:rsidRDefault="006021EE">
            <w:pPr>
              <w:pStyle w:val="P68B1DB1-Normal26"/>
              <w:spacing w:after="0"/>
              <w:rPr>
                <w:rFonts w:eastAsia="Times New Roman" w:cs="Times New Roman"/>
                <w:noProof/>
              </w:rPr>
            </w:pPr>
            <w:r>
              <w:rPr>
                <w:noProof/>
              </w:rPr>
              <w:t>2025</w:t>
            </w:r>
          </w:p>
        </w:tc>
        <w:tc>
          <w:tcPr>
            <w:tcW w:w="2693" w:type="dxa"/>
            <w:shd w:val="clear" w:color="auto" w:fill="C6EFCE"/>
          </w:tcPr>
          <w:p w14:paraId="63A97D3B" w14:textId="637896F0" w:rsidR="00EB245A" w:rsidRDefault="006021EE">
            <w:pPr>
              <w:pStyle w:val="P68B1DB1-Normal26"/>
              <w:spacing w:after="0"/>
              <w:rPr>
                <w:rFonts w:eastAsia="Times New Roman" w:cs="Times New Roman"/>
                <w:noProof/>
              </w:rPr>
            </w:pPr>
            <w:r>
              <w:rPr>
                <w:noProof/>
              </w:rPr>
              <w:t xml:space="preserve">Inkrafttreten der im Etappenziel E8G genannten notwendigen Änderungen der Investitionspolitik des Fonds, um die Übereinstimmung mit der Beschreibung der Maßnahme E3.1.1 Fazilität </w:t>
            </w:r>
            <w:r>
              <w:rPr>
                <w:noProof/>
              </w:rPr>
              <w:t>zur Förderung einer CO2-armen Wirtschaft sicherzustellen.</w:t>
            </w:r>
          </w:p>
        </w:tc>
      </w:tr>
      <w:tr w:rsidR="00EB245A" w14:paraId="3BD56AB6" w14:textId="77777777" w:rsidTr="00D03EE2">
        <w:trPr>
          <w:trHeight w:val="313"/>
        </w:trPr>
        <w:tc>
          <w:tcPr>
            <w:tcW w:w="832" w:type="dxa"/>
            <w:shd w:val="clear" w:color="auto" w:fill="C6EFCE"/>
          </w:tcPr>
          <w:p w14:paraId="0FCEB28A" w14:textId="12FF368D" w:rsidR="00EB245A" w:rsidRDefault="006021EE">
            <w:pPr>
              <w:pStyle w:val="P68B1DB1-Normal26"/>
              <w:spacing w:after="0"/>
              <w:rPr>
                <w:rFonts w:eastAsia="Times New Roman" w:cs="Times New Roman"/>
                <w:noProof/>
              </w:rPr>
            </w:pPr>
            <w:r>
              <w:rPr>
                <w:noProof/>
              </w:rPr>
              <w:t>E8L</w:t>
            </w:r>
          </w:p>
        </w:tc>
        <w:tc>
          <w:tcPr>
            <w:tcW w:w="1519" w:type="dxa"/>
            <w:shd w:val="clear" w:color="auto" w:fill="C6EFCE"/>
          </w:tcPr>
          <w:p w14:paraId="2DEB7B36" w14:textId="5275C398" w:rsidR="00EB245A" w:rsidRDefault="006021EE">
            <w:pPr>
              <w:pStyle w:val="P68B1DB1-Normal26"/>
              <w:spacing w:after="0"/>
              <w:rPr>
                <w:rFonts w:eastAsia="Times New Roman" w:cs="Times New Roman"/>
                <w:noProof/>
              </w:rPr>
            </w:pPr>
            <w:r>
              <w:rPr>
                <w:noProof/>
              </w:rPr>
              <w:t>E3.1.1 Fazilität zur Unterstützung einer CO2-armen Wirtschaft</w:t>
            </w:r>
          </w:p>
        </w:tc>
        <w:tc>
          <w:tcPr>
            <w:tcW w:w="1245" w:type="dxa"/>
            <w:shd w:val="clear" w:color="auto" w:fill="C6EFCE"/>
          </w:tcPr>
          <w:p w14:paraId="611E231F" w14:textId="493E85DF" w:rsidR="00EB245A" w:rsidRDefault="006021EE">
            <w:pPr>
              <w:pStyle w:val="P68B1DB1-Normal26"/>
              <w:spacing w:after="0"/>
              <w:rPr>
                <w:rFonts w:eastAsia="Times New Roman" w:cs="Times New Roman"/>
                <w:noProof/>
              </w:rPr>
            </w:pPr>
            <w:r>
              <w:rPr>
                <w:noProof/>
              </w:rPr>
              <w:t xml:space="preserve">Meilenstein </w:t>
            </w:r>
          </w:p>
        </w:tc>
        <w:tc>
          <w:tcPr>
            <w:tcW w:w="1932" w:type="dxa"/>
            <w:shd w:val="clear" w:color="auto" w:fill="C6EFCE"/>
          </w:tcPr>
          <w:p w14:paraId="76440F8A" w14:textId="3E0FB501" w:rsidR="00EB245A" w:rsidRDefault="006021EE">
            <w:pPr>
              <w:pStyle w:val="P68B1DB1-Normal26"/>
              <w:spacing w:after="0"/>
              <w:rPr>
                <w:rFonts w:eastAsia="Times New Roman" w:cs="Times New Roman"/>
                <w:noProof/>
              </w:rPr>
            </w:pPr>
            <w:r>
              <w:rPr>
                <w:noProof/>
              </w:rPr>
              <w:t>Unterzeichnung der Durchführungsvereinbarung</w:t>
            </w:r>
          </w:p>
        </w:tc>
        <w:tc>
          <w:tcPr>
            <w:tcW w:w="1843" w:type="dxa"/>
            <w:shd w:val="clear" w:color="auto" w:fill="C6EFCE"/>
          </w:tcPr>
          <w:p w14:paraId="1BDA4186" w14:textId="4D70E360" w:rsidR="00EB245A" w:rsidRDefault="006021EE">
            <w:pPr>
              <w:pStyle w:val="P68B1DB1-Normal26"/>
              <w:spacing w:after="0"/>
              <w:rPr>
                <w:rFonts w:eastAsia="Times New Roman" w:cs="Times New Roman"/>
                <w:noProof/>
              </w:rPr>
            </w:pPr>
            <w:r>
              <w:rPr>
                <w:noProof/>
              </w:rPr>
              <w:t>Unterzeichnung der Durchführungsvereinbarung</w:t>
            </w:r>
          </w:p>
        </w:tc>
        <w:tc>
          <w:tcPr>
            <w:tcW w:w="1134" w:type="dxa"/>
            <w:shd w:val="clear" w:color="auto" w:fill="C6EFCE"/>
          </w:tcPr>
          <w:p w14:paraId="2C4A9E3F" w14:textId="2618D085" w:rsidR="00EB245A" w:rsidRDefault="00EB245A">
            <w:pPr>
              <w:spacing w:after="0"/>
              <w:rPr>
                <w:rFonts w:ascii="Times New Roman" w:eastAsia="Times New Roman" w:hAnsi="Times New Roman" w:cs="Times New Roman"/>
                <w:noProof/>
                <w:sz w:val="18"/>
              </w:rPr>
            </w:pPr>
          </w:p>
        </w:tc>
        <w:tc>
          <w:tcPr>
            <w:tcW w:w="1418" w:type="dxa"/>
            <w:shd w:val="clear" w:color="auto" w:fill="C6EFCE"/>
          </w:tcPr>
          <w:p w14:paraId="40C19DB4" w14:textId="538C74D8" w:rsidR="00EB245A" w:rsidRDefault="00EB245A">
            <w:pPr>
              <w:spacing w:after="0"/>
              <w:rPr>
                <w:rFonts w:ascii="Times New Roman" w:eastAsia="Times New Roman" w:hAnsi="Times New Roman" w:cs="Times New Roman"/>
                <w:noProof/>
                <w:sz w:val="18"/>
              </w:rPr>
            </w:pPr>
          </w:p>
        </w:tc>
        <w:tc>
          <w:tcPr>
            <w:tcW w:w="1134" w:type="dxa"/>
            <w:shd w:val="clear" w:color="auto" w:fill="C6EFCE"/>
          </w:tcPr>
          <w:p w14:paraId="30D93901" w14:textId="77A341C8" w:rsidR="00EB245A" w:rsidRDefault="00EB245A">
            <w:pPr>
              <w:spacing w:after="0"/>
              <w:rPr>
                <w:rFonts w:ascii="Times New Roman" w:eastAsia="Times New Roman" w:hAnsi="Times New Roman" w:cs="Times New Roman"/>
                <w:noProof/>
                <w:sz w:val="18"/>
              </w:rPr>
            </w:pPr>
          </w:p>
        </w:tc>
        <w:tc>
          <w:tcPr>
            <w:tcW w:w="850" w:type="dxa"/>
            <w:shd w:val="clear" w:color="auto" w:fill="C6EFCE"/>
          </w:tcPr>
          <w:p w14:paraId="14AD5309" w14:textId="6E98DC2A" w:rsidR="00EB245A" w:rsidRDefault="006021EE">
            <w:pPr>
              <w:pStyle w:val="P68B1DB1-Normal26"/>
              <w:spacing w:after="0"/>
              <w:rPr>
                <w:rFonts w:eastAsia="Times New Roman" w:cs="Times New Roman"/>
                <w:noProof/>
              </w:rPr>
            </w:pPr>
            <w:r>
              <w:rPr>
                <w:noProof/>
              </w:rPr>
              <w:t>Q1</w:t>
            </w:r>
          </w:p>
        </w:tc>
        <w:tc>
          <w:tcPr>
            <w:tcW w:w="709" w:type="dxa"/>
            <w:shd w:val="clear" w:color="auto" w:fill="C6EFCE"/>
          </w:tcPr>
          <w:p w14:paraId="068907F7" w14:textId="5703A5F3" w:rsidR="00EB245A" w:rsidRDefault="006021EE">
            <w:pPr>
              <w:pStyle w:val="P68B1DB1-Normal26"/>
              <w:spacing w:after="0"/>
              <w:rPr>
                <w:rFonts w:eastAsia="Times New Roman" w:cs="Times New Roman"/>
                <w:noProof/>
              </w:rPr>
            </w:pPr>
            <w:r>
              <w:rPr>
                <w:noProof/>
              </w:rPr>
              <w:t>2025</w:t>
            </w:r>
          </w:p>
        </w:tc>
        <w:tc>
          <w:tcPr>
            <w:tcW w:w="2693" w:type="dxa"/>
            <w:shd w:val="clear" w:color="auto" w:fill="C6EFCE"/>
          </w:tcPr>
          <w:p w14:paraId="0D7EAF29" w14:textId="605C8714" w:rsidR="00EB245A" w:rsidRDefault="006021EE">
            <w:pPr>
              <w:pStyle w:val="P68B1DB1-Normal26"/>
              <w:spacing w:after="0"/>
              <w:rPr>
                <w:rFonts w:eastAsia="Times New Roman" w:cs="Times New Roman"/>
                <w:noProof/>
              </w:rPr>
            </w:pPr>
            <w:r>
              <w:rPr>
                <w:noProof/>
              </w:rPr>
              <w:t xml:space="preserve">Unterzeichnung der Durchführungsvereinbarung mit dem Nationalen Fonds für Umweltschutz und Wasserwirtschaft. </w:t>
            </w:r>
          </w:p>
        </w:tc>
      </w:tr>
      <w:tr w:rsidR="00EB245A" w14:paraId="6942CF46" w14:textId="77777777" w:rsidTr="00D03EE2">
        <w:trPr>
          <w:trHeight w:val="313"/>
        </w:trPr>
        <w:tc>
          <w:tcPr>
            <w:tcW w:w="832" w:type="dxa"/>
            <w:shd w:val="clear" w:color="auto" w:fill="C6EFCE"/>
          </w:tcPr>
          <w:p w14:paraId="027F1DBA" w14:textId="64A11D3E" w:rsidR="00EB245A" w:rsidRDefault="006021EE">
            <w:pPr>
              <w:pStyle w:val="P68B1DB1-Normal26"/>
              <w:spacing w:after="0"/>
              <w:rPr>
                <w:rFonts w:eastAsia="Times New Roman" w:cs="Times New Roman"/>
                <w:noProof/>
              </w:rPr>
            </w:pPr>
            <w:r>
              <w:rPr>
                <w:noProof/>
              </w:rPr>
              <w:t>E9L</w:t>
            </w:r>
          </w:p>
        </w:tc>
        <w:tc>
          <w:tcPr>
            <w:tcW w:w="1519" w:type="dxa"/>
            <w:shd w:val="clear" w:color="auto" w:fill="C6EFCE"/>
          </w:tcPr>
          <w:p w14:paraId="738962E3" w14:textId="2FC3B389" w:rsidR="00EB245A" w:rsidRDefault="006021EE">
            <w:pPr>
              <w:pStyle w:val="P68B1DB1-Normal26"/>
              <w:spacing w:after="0"/>
              <w:rPr>
                <w:rFonts w:eastAsia="Times New Roman" w:cs="Times New Roman"/>
                <w:noProof/>
              </w:rPr>
            </w:pPr>
            <w:r>
              <w:rPr>
                <w:noProof/>
              </w:rPr>
              <w:t>E3.1.1 Fazilität zur Unterstützung einer CO2-armen Wirtschaft</w:t>
            </w:r>
          </w:p>
        </w:tc>
        <w:tc>
          <w:tcPr>
            <w:tcW w:w="1245" w:type="dxa"/>
            <w:shd w:val="clear" w:color="auto" w:fill="C6EFCE"/>
          </w:tcPr>
          <w:p w14:paraId="52EFFDD5" w14:textId="63199067" w:rsidR="00EB245A" w:rsidRDefault="006021EE">
            <w:pPr>
              <w:pStyle w:val="P68B1DB1-Normal26"/>
              <w:spacing w:after="0"/>
              <w:rPr>
                <w:rFonts w:eastAsia="Times New Roman" w:cs="Times New Roman"/>
                <w:noProof/>
              </w:rPr>
            </w:pPr>
            <w:r>
              <w:rPr>
                <w:noProof/>
              </w:rPr>
              <w:t>Meilenstein</w:t>
            </w:r>
          </w:p>
        </w:tc>
        <w:tc>
          <w:tcPr>
            <w:tcW w:w="1932" w:type="dxa"/>
            <w:shd w:val="clear" w:color="auto" w:fill="C6EFCE"/>
          </w:tcPr>
          <w:p w14:paraId="2BACEC26" w14:textId="55C956F2" w:rsidR="00EB245A" w:rsidRDefault="006021EE">
            <w:pPr>
              <w:pStyle w:val="P68B1DB1-Normal26"/>
              <w:spacing w:after="0"/>
              <w:rPr>
                <w:rFonts w:eastAsia="Times New Roman" w:cs="Times New Roman"/>
                <w:noProof/>
              </w:rPr>
            </w:pPr>
            <w:r>
              <w:rPr>
                <w:noProof/>
              </w:rPr>
              <w:t xml:space="preserve">Unterschrift des </w:t>
            </w:r>
          </w:p>
          <w:p w14:paraId="1C436B1D" w14:textId="5C03E6C0" w:rsidR="00EB245A" w:rsidRDefault="006021EE">
            <w:pPr>
              <w:pStyle w:val="P68B1DB1-Normal26"/>
              <w:spacing w:after="0"/>
              <w:rPr>
                <w:rFonts w:eastAsia="Times New Roman" w:cs="Times New Roman"/>
                <w:noProof/>
              </w:rPr>
            </w:pPr>
            <w:r>
              <w:rPr>
                <w:noProof/>
              </w:rPr>
              <w:t>Finanzierungsvereinbarungen</w:t>
            </w:r>
          </w:p>
        </w:tc>
        <w:tc>
          <w:tcPr>
            <w:tcW w:w="1843" w:type="dxa"/>
            <w:shd w:val="clear" w:color="auto" w:fill="C6EFCE"/>
          </w:tcPr>
          <w:p w14:paraId="3674335A" w14:textId="0C1A3F1D" w:rsidR="00EB245A" w:rsidRDefault="006021EE">
            <w:pPr>
              <w:pStyle w:val="P68B1DB1-Normal26"/>
              <w:spacing w:after="0"/>
              <w:rPr>
                <w:rFonts w:eastAsia="Times New Roman" w:cs="Times New Roman"/>
                <w:noProof/>
              </w:rPr>
            </w:pPr>
            <w:r>
              <w:rPr>
                <w:noProof/>
              </w:rPr>
              <w:t xml:space="preserve">Unterzeichnung der </w:t>
            </w:r>
            <w:r>
              <w:rPr>
                <w:noProof/>
              </w:rPr>
              <w:t>Finanzierungsvereinbarungen</w:t>
            </w:r>
          </w:p>
        </w:tc>
        <w:tc>
          <w:tcPr>
            <w:tcW w:w="1134" w:type="dxa"/>
            <w:shd w:val="clear" w:color="auto" w:fill="C6EFCE"/>
          </w:tcPr>
          <w:p w14:paraId="76AEE00B" w14:textId="7CF9027D" w:rsidR="00EB245A" w:rsidRDefault="00EB245A">
            <w:pPr>
              <w:spacing w:after="0"/>
              <w:rPr>
                <w:rFonts w:ascii="Times New Roman" w:eastAsia="Times New Roman" w:hAnsi="Times New Roman" w:cs="Times New Roman"/>
                <w:noProof/>
                <w:sz w:val="18"/>
              </w:rPr>
            </w:pPr>
          </w:p>
        </w:tc>
        <w:tc>
          <w:tcPr>
            <w:tcW w:w="1418" w:type="dxa"/>
            <w:shd w:val="clear" w:color="auto" w:fill="C6EFCE"/>
          </w:tcPr>
          <w:p w14:paraId="7AC60C3F" w14:textId="7C1E3254" w:rsidR="00EB245A" w:rsidRDefault="00EB245A">
            <w:pPr>
              <w:spacing w:after="0"/>
              <w:rPr>
                <w:rFonts w:ascii="Times New Roman" w:eastAsia="Times New Roman" w:hAnsi="Times New Roman" w:cs="Times New Roman"/>
                <w:noProof/>
                <w:sz w:val="18"/>
              </w:rPr>
            </w:pPr>
          </w:p>
        </w:tc>
        <w:tc>
          <w:tcPr>
            <w:tcW w:w="1134" w:type="dxa"/>
            <w:shd w:val="clear" w:color="auto" w:fill="C6EFCE"/>
          </w:tcPr>
          <w:p w14:paraId="6F920175" w14:textId="4AACC43C" w:rsidR="00EB245A" w:rsidRDefault="00EB245A">
            <w:pPr>
              <w:spacing w:after="0"/>
              <w:rPr>
                <w:rFonts w:ascii="Times New Roman" w:eastAsia="Times New Roman" w:hAnsi="Times New Roman" w:cs="Times New Roman"/>
                <w:noProof/>
                <w:sz w:val="18"/>
              </w:rPr>
            </w:pPr>
          </w:p>
        </w:tc>
        <w:tc>
          <w:tcPr>
            <w:tcW w:w="850" w:type="dxa"/>
            <w:shd w:val="clear" w:color="auto" w:fill="C6EFCE"/>
          </w:tcPr>
          <w:p w14:paraId="1802C1D4" w14:textId="1A7B9E46" w:rsidR="00EB245A" w:rsidRDefault="006021EE">
            <w:pPr>
              <w:pStyle w:val="P68B1DB1-Normal26"/>
              <w:spacing w:after="0"/>
              <w:rPr>
                <w:rFonts w:eastAsia="Times New Roman" w:cs="Times New Roman"/>
                <w:noProof/>
              </w:rPr>
            </w:pPr>
            <w:r>
              <w:rPr>
                <w:noProof/>
              </w:rPr>
              <w:t>Q4</w:t>
            </w:r>
          </w:p>
        </w:tc>
        <w:tc>
          <w:tcPr>
            <w:tcW w:w="709" w:type="dxa"/>
            <w:shd w:val="clear" w:color="auto" w:fill="C6EFCE"/>
          </w:tcPr>
          <w:p w14:paraId="570229EC" w14:textId="51427DFD" w:rsidR="00EB245A" w:rsidRDefault="006021EE">
            <w:pPr>
              <w:pStyle w:val="P68B1DB1-Normal26"/>
              <w:spacing w:after="0"/>
              <w:rPr>
                <w:rFonts w:eastAsia="Times New Roman" w:cs="Times New Roman"/>
                <w:noProof/>
              </w:rPr>
            </w:pPr>
            <w:r>
              <w:rPr>
                <w:noProof/>
              </w:rPr>
              <w:t>2025</w:t>
            </w:r>
          </w:p>
        </w:tc>
        <w:tc>
          <w:tcPr>
            <w:tcW w:w="2693" w:type="dxa"/>
            <w:shd w:val="clear" w:color="auto" w:fill="C6EFCE"/>
          </w:tcPr>
          <w:p w14:paraId="41CAC141" w14:textId="11199107" w:rsidR="00EB245A" w:rsidRDefault="006021EE">
            <w:pPr>
              <w:pStyle w:val="P68B1DB1-Normal26"/>
              <w:spacing w:after="0"/>
              <w:rPr>
                <w:rFonts w:eastAsia="Times New Roman" w:cs="Times New Roman"/>
                <w:noProof/>
              </w:rPr>
            </w:pPr>
            <w:r>
              <w:rPr>
                <w:noProof/>
              </w:rPr>
              <w:t xml:space="preserve">Unterzeichnung der Finanzierungsvereinbarungen mit den im Einklang mit der Investitionspolitik ausgewählten Endbegünstigten. </w:t>
            </w:r>
          </w:p>
        </w:tc>
      </w:tr>
      <w:tr w:rsidR="00EB245A" w14:paraId="142C2CB8" w14:textId="77777777" w:rsidTr="00D03EE2">
        <w:trPr>
          <w:trHeight w:val="313"/>
        </w:trPr>
        <w:tc>
          <w:tcPr>
            <w:tcW w:w="832" w:type="dxa"/>
            <w:shd w:val="clear" w:color="auto" w:fill="C6EFCE"/>
          </w:tcPr>
          <w:p w14:paraId="228215E8" w14:textId="789E8FE0" w:rsidR="00EB245A" w:rsidRDefault="006021EE">
            <w:pPr>
              <w:pStyle w:val="P68B1DB1-Normal26"/>
              <w:spacing w:after="0"/>
              <w:rPr>
                <w:rFonts w:eastAsia="Times New Roman" w:cs="Times New Roman"/>
                <w:noProof/>
              </w:rPr>
            </w:pPr>
            <w:r>
              <w:rPr>
                <w:noProof/>
              </w:rPr>
              <w:t>E10L</w:t>
            </w:r>
          </w:p>
        </w:tc>
        <w:tc>
          <w:tcPr>
            <w:tcW w:w="1519" w:type="dxa"/>
            <w:shd w:val="clear" w:color="auto" w:fill="C6EFCE"/>
          </w:tcPr>
          <w:p w14:paraId="3FFC2325" w14:textId="76C26D71" w:rsidR="00EB245A" w:rsidRDefault="006021EE">
            <w:pPr>
              <w:pStyle w:val="P68B1DB1-Normal26"/>
              <w:spacing w:after="0"/>
              <w:rPr>
                <w:rFonts w:eastAsia="Times New Roman" w:cs="Times New Roman"/>
                <w:noProof/>
              </w:rPr>
            </w:pPr>
            <w:r>
              <w:rPr>
                <w:noProof/>
              </w:rPr>
              <w:t>E3.1.1 Fazilität zur Unterstützung einer CO2-armen Wirtschaft</w:t>
            </w:r>
          </w:p>
        </w:tc>
        <w:tc>
          <w:tcPr>
            <w:tcW w:w="1245" w:type="dxa"/>
            <w:shd w:val="clear" w:color="auto" w:fill="C6EFCE"/>
          </w:tcPr>
          <w:p w14:paraId="57047498" w14:textId="6482080C" w:rsidR="00EB245A" w:rsidRDefault="006021EE">
            <w:pPr>
              <w:pStyle w:val="P68B1DB1-Normal26"/>
              <w:spacing w:after="0"/>
              <w:rPr>
                <w:rFonts w:eastAsia="Times New Roman" w:cs="Times New Roman"/>
                <w:noProof/>
              </w:rPr>
            </w:pPr>
            <w:r>
              <w:rPr>
                <w:noProof/>
              </w:rPr>
              <w:t>Ziel</w:t>
            </w:r>
          </w:p>
        </w:tc>
        <w:tc>
          <w:tcPr>
            <w:tcW w:w="1932" w:type="dxa"/>
            <w:shd w:val="clear" w:color="auto" w:fill="C6EFCE"/>
          </w:tcPr>
          <w:p w14:paraId="29B53BD3" w14:textId="63752D8A" w:rsidR="00EB245A" w:rsidRDefault="006021EE">
            <w:pPr>
              <w:pStyle w:val="P68B1DB1-Normal26"/>
              <w:spacing w:after="0"/>
              <w:rPr>
                <w:rFonts w:eastAsia="Times New Roman" w:cs="Times New Roman"/>
                <w:noProof/>
              </w:rPr>
            </w:pPr>
            <w:r>
              <w:rPr>
                <w:noProof/>
              </w:rPr>
              <w:t xml:space="preserve">Abschluss von </w:t>
            </w:r>
            <w:r>
              <w:rPr>
                <w:noProof/>
              </w:rPr>
              <w:t>Kapitalbeteiligungen</w:t>
            </w:r>
          </w:p>
        </w:tc>
        <w:tc>
          <w:tcPr>
            <w:tcW w:w="1843" w:type="dxa"/>
            <w:shd w:val="clear" w:color="auto" w:fill="C6EFCE"/>
          </w:tcPr>
          <w:p w14:paraId="79492CC3" w14:textId="02BA164A" w:rsidR="00EB245A" w:rsidRDefault="006021EE">
            <w:pPr>
              <w:pStyle w:val="P68B1DB1-Normal26"/>
              <w:spacing w:after="0"/>
              <w:rPr>
                <w:rFonts w:eastAsia="Times New Roman" w:cs="Times New Roman"/>
                <w:noProof/>
              </w:rPr>
            </w:pPr>
            <w:r>
              <w:rPr>
                <w:noProof/>
              </w:rPr>
              <w:t>Bereitgestellte Mittel</w:t>
            </w:r>
          </w:p>
        </w:tc>
        <w:tc>
          <w:tcPr>
            <w:tcW w:w="1134" w:type="dxa"/>
            <w:shd w:val="clear" w:color="auto" w:fill="C6EFCE"/>
          </w:tcPr>
          <w:p w14:paraId="6E12ECD2" w14:textId="4B47E777" w:rsidR="00EB245A" w:rsidRDefault="006021EE">
            <w:pPr>
              <w:pStyle w:val="P68B1DB1-Normal26"/>
              <w:spacing w:after="0"/>
              <w:rPr>
                <w:rFonts w:eastAsia="Times New Roman" w:cs="Times New Roman"/>
                <w:noProof/>
              </w:rPr>
            </w:pPr>
            <w:r>
              <w:rPr>
                <w:noProof/>
              </w:rPr>
              <w:t>EUR</w:t>
            </w:r>
          </w:p>
        </w:tc>
        <w:tc>
          <w:tcPr>
            <w:tcW w:w="1418" w:type="dxa"/>
            <w:shd w:val="clear" w:color="auto" w:fill="C6EFCE"/>
          </w:tcPr>
          <w:p w14:paraId="70F080D0" w14:textId="094A470C" w:rsidR="00EB245A" w:rsidRDefault="006021EE">
            <w:pPr>
              <w:pStyle w:val="P68B1DB1-Normal26"/>
              <w:spacing w:after="0"/>
              <w:rPr>
                <w:rFonts w:eastAsia="Times New Roman" w:cs="Times New Roman"/>
                <w:noProof/>
              </w:rPr>
            </w:pPr>
            <w:r>
              <w:rPr>
                <w:noProof/>
              </w:rPr>
              <w:t>0</w:t>
            </w:r>
          </w:p>
        </w:tc>
        <w:tc>
          <w:tcPr>
            <w:tcW w:w="1134" w:type="dxa"/>
            <w:shd w:val="clear" w:color="auto" w:fill="C6EFCE"/>
          </w:tcPr>
          <w:p w14:paraId="11B03B78" w14:textId="19070CB9" w:rsidR="00EB245A" w:rsidRDefault="006021EE">
            <w:pPr>
              <w:pStyle w:val="P68B1DB1-Normal26"/>
              <w:spacing w:after="0"/>
              <w:rPr>
                <w:rFonts w:eastAsia="Times New Roman" w:cs="Times New Roman"/>
                <w:noProof/>
              </w:rPr>
            </w:pPr>
            <w:r>
              <w:rPr>
                <w:noProof/>
              </w:rPr>
              <w:t>1113750000</w:t>
            </w:r>
            <w:r>
              <w:rPr>
                <w:noProof/>
                <w:color w:val="000000" w:themeColor="text1"/>
              </w:rPr>
              <w:t xml:space="preserve"> </w:t>
            </w:r>
          </w:p>
        </w:tc>
        <w:tc>
          <w:tcPr>
            <w:tcW w:w="850" w:type="dxa"/>
            <w:shd w:val="clear" w:color="auto" w:fill="C6EFCE"/>
          </w:tcPr>
          <w:p w14:paraId="56B13C82" w14:textId="34B2F5C9" w:rsidR="00EB245A" w:rsidRDefault="006021EE">
            <w:pPr>
              <w:pStyle w:val="P68B1DB1-Normal26"/>
              <w:spacing w:after="0"/>
              <w:rPr>
                <w:rFonts w:eastAsia="Times New Roman" w:cs="Times New Roman"/>
                <w:noProof/>
              </w:rPr>
            </w:pPr>
            <w:r>
              <w:rPr>
                <w:noProof/>
              </w:rPr>
              <w:t>Q2</w:t>
            </w:r>
          </w:p>
        </w:tc>
        <w:tc>
          <w:tcPr>
            <w:tcW w:w="709" w:type="dxa"/>
            <w:shd w:val="clear" w:color="auto" w:fill="C6EFCE"/>
          </w:tcPr>
          <w:p w14:paraId="604F0A15" w14:textId="13E5464A" w:rsidR="00EB245A" w:rsidRDefault="006021EE">
            <w:pPr>
              <w:pStyle w:val="P68B1DB1-Normal26"/>
              <w:spacing w:after="0"/>
              <w:rPr>
                <w:rFonts w:eastAsia="Times New Roman" w:cs="Times New Roman"/>
                <w:noProof/>
              </w:rPr>
            </w:pPr>
            <w:r>
              <w:rPr>
                <w:noProof/>
              </w:rPr>
              <w:t>2026</w:t>
            </w:r>
          </w:p>
        </w:tc>
        <w:tc>
          <w:tcPr>
            <w:tcW w:w="2693" w:type="dxa"/>
            <w:shd w:val="clear" w:color="auto" w:fill="C6EFCE"/>
          </w:tcPr>
          <w:p w14:paraId="1D4B684B" w14:textId="5C6DBDFC" w:rsidR="00EB245A" w:rsidRDefault="006021EE">
            <w:pPr>
              <w:pStyle w:val="P68B1DB1-Normal26"/>
              <w:spacing w:after="0"/>
              <w:rPr>
                <w:rFonts w:eastAsia="Times New Roman" w:cs="Times New Roman"/>
                <w:noProof/>
              </w:rPr>
            </w:pPr>
            <w:r>
              <w:rPr>
                <w:noProof/>
              </w:rPr>
              <w:t>Lieferung von insgesamt 1 113 750 000 EUR</w:t>
            </w:r>
            <w:r>
              <w:rPr>
                <w:noProof/>
                <w:color w:val="000000" w:themeColor="text1"/>
              </w:rPr>
              <w:t xml:space="preserve"> an die Endbegünstigten</w:t>
            </w:r>
            <w:r>
              <w:rPr>
                <w:noProof/>
              </w:rPr>
              <w:t>.</w:t>
            </w:r>
          </w:p>
        </w:tc>
      </w:tr>
    </w:tbl>
    <w:p w14:paraId="02915484" w14:textId="613398FE" w:rsidR="00EB245A" w:rsidRDefault="00EB245A">
      <w:pPr>
        <w:rPr>
          <w:rFonts w:ascii="Times New Roman" w:hAnsi="Times New Roman" w:cs="Times New Roman"/>
          <w:noProof/>
        </w:rPr>
        <w:sectPr w:rsidR="00EB245A" w:rsidSect="005E6922">
          <w:headerReference w:type="even" r:id="rId145"/>
          <w:headerReference w:type="default" r:id="rId146"/>
          <w:footerReference w:type="even" r:id="rId147"/>
          <w:footerReference w:type="default" r:id="rId148"/>
          <w:headerReference w:type="first" r:id="rId149"/>
          <w:footerReference w:type="first" r:id="rId150"/>
          <w:pgSz w:w="16839" w:h="11907" w:orient="landscape"/>
          <w:pgMar w:top="1134" w:right="1134" w:bottom="1134" w:left="1134" w:header="567" w:footer="567" w:gutter="0"/>
          <w:cols w:space="720"/>
          <w:docGrid w:linePitch="299"/>
        </w:sectPr>
      </w:pPr>
    </w:p>
    <w:p w14:paraId="0DB3C905" w14:textId="77777777" w:rsidR="00EB245A" w:rsidRDefault="006021EE">
      <w:pPr>
        <w:pStyle w:val="P68B1DB1-Normal019"/>
        <w:keepNext/>
        <w:spacing w:before="360" w:after="120" w:line="240" w:lineRule="auto"/>
        <w:rPr>
          <w:rFonts w:eastAsia="Times New Roman" w:cs="Times New Roman"/>
          <w:noProof/>
          <w:color w:val="000000" w:themeColor="text1"/>
        </w:rPr>
      </w:pPr>
      <w:r>
        <w:rPr>
          <w:noProof/>
        </w:rPr>
        <w:t xml:space="preserve">F. KOMPONENTE F: „VERBESSERUNG DER QUALITÄT DER </w:t>
      </w:r>
      <w:r>
        <w:rPr>
          <w:noProof/>
        </w:rPr>
        <w:t>INSTITUTIONEN UND DER BEDINGUNGEN FÜR DIE DURCHFÜHRUNG DES AUFBAU- UND RESILIENZPLANS“</w:t>
      </w:r>
    </w:p>
    <w:p w14:paraId="453374C5" w14:textId="77777777" w:rsidR="00EB245A" w:rsidRDefault="006021EE">
      <w:pPr>
        <w:pStyle w:val="P68B1DB1-Normal24"/>
        <w:spacing w:before="120" w:after="120" w:line="240" w:lineRule="auto"/>
        <w:jc w:val="both"/>
        <w:rPr>
          <w:rFonts w:eastAsia="Times New Roman" w:cs="Times New Roman"/>
          <w:noProof/>
          <w:color w:val="000000" w:themeColor="text1"/>
        </w:rPr>
      </w:pPr>
      <w:r>
        <w:rPr>
          <w:noProof/>
        </w:rPr>
        <w:t>Polen steht seit langem vor Herausforderungen im Zusammenhang mit dem Investitionsklima, insbesondere im Hinblick auf das polnische Justizsystem sowie Entscheidungs- und</w:t>
      </w:r>
      <w:r>
        <w:rPr>
          <w:noProof/>
        </w:rPr>
        <w:t xml:space="preserve"> Gesetzgebungsverfahren. </w:t>
      </w:r>
    </w:p>
    <w:p w14:paraId="62138CFF" w14:textId="106942D2" w:rsidR="00EB245A" w:rsidRDefault="006021EE">
      <w:pPr>
        <w:pStyle w:val="P68B1DB1-Normal16"/>
        <w:spacing w:before="120" w:after="120" w:line="240" w:lineRule="auto"/>
        <w:jc w:val="both"/>
        <w:rPr>
          <w:rFonts w:eastAsia="Times New Roman" w:cs="Times New Roman"/>
          <w:noProof/>
          <w:color w:val="498205"/>
          <w:u w:val="single"/>
        </w:rPr>
      </w:pPr>
      <w:r>
        <w:rPr>
          <w:noProof/>
        </w:rPr>
        <w:t>Diese Komponente zielt daher in erster Linie darauf ab, das Investitionsklima zu verbessern und die Voraussetzungen für eine wirksame Umsetzung des polnischen Aufbau- und Resilienzplans zu schaffen. Zu diesem Zweck zielen die Refo</w:t>
      </w:r>
      <w:r>
        <w:rPr>
          <w:noProof/>
        </w:rPr>
        <w:t xml:space="preserve">rmen darauf ab, Stärkung bestimmter Aspekte der Unabhängigkeit und Unparteilichkeit der Gerichte; die Situation der Richter, die von den Entscheidungen der Disziplinarkammer des Obersten Gerichts in Disziplinarsachen und Fällen der richterlichen Immunität </w:t>
      </w:r>
      <w:r>
        <w:rPr>
          <w:noProof/>
        </w:rPr>
        <w:t>betroffen sind, zu beheben, damit diese nach einem positiven Überprüfungsverfahren durch die neue Kammer unverzüglich wieder eingesetzt werden können; die Konsultation der Sozialpartner im Rechtsetzungsprozess zu verbessern; verstärkter Einsatz von Folgena</w:t>
      </w:r>
      <w:r>
        <w:rPr>
          <w:noProof/>
        </w:rPr>
        <w:t>bschätzungen im Rechtsetzungsprozess; Verringerung des Einsatzes beschleunigter Verfahren im Rechtsetzungsprozess; Gewährleistung der ordnungsgemäßen Konsultation der Sozialpartner und Interessenträger bei der Umsetzung des Aufbau- und Resilienzplans, unte</w:t>
      </w:r>
      <w:r>
        <w:rPr>
          <w:noProof/>
        </w:rPr>
        <w:t>r anderem durch die Einsetzung eines Begleitausschusses, und Gewährleistung der Anwendung des Instruments zur Risikobeurteilung von Arachne bei der Umsetzung des Aufbau- und Resilienzplans.</w:t>
      </w:r>
    </w:p>
    <w:p w14:paraId="2314EDE7" w14:textId="77777777" w:rsidR="00EB245A" w:rsidRDefault="006021EE">
      <w:pPr>
        <w:pStyle w:val="P68B1DB1-Normal06"/>
        <w:spacing w:before="120" w:after="120" w:line="240" w:lineRule="auto"/>
        <w:jc w:val="both"/>
        <w:rPr>
          <w:rFonts w:eastAsia="Times New Roman" w:cs="Times New Roman"/>
          <w:noProof/>
        </w:rPr>
      </w:pPr>
      <w:r>
        <w:rPr>
          <w:noProof/>
        </w:rPr>
        <w:t>Die Komponente trägt zur Umsetzung der länderspezifischen Empfehlu</w:t>
      </w:r>
      <w:r>
        <w:rPr>
          <w:noProof/>
        </w:rPr>
        <w:t>ng zur „Verbesserung des Regelungsumfelds, insbesondere durch Stärkung der Rolle der Konsultationen der Sozialpartner und der öffentlichen Konsultationen im Gesetzgebungsprozess“ (länderspezifische Empfehlung 3 von 2019) und zur „Verbesserung des Investiti</w:t>
      </w:r>
      <w:r>
        <w:rPr>
          <w:noProof/>
        </w:rPr>
        <w:t>onsklimas, insbesondere durch die Wahrung der Unabhängigkeit der Justiz“, sowie zur „Gewährleistung wirksamer öffentlicher Konsultationen und der Einbeziehung der Sozialpartner in den politischen Entscheidungsprozess“ (länderspezifische Empfehlung 4 von 20</w:t>
      </w:r>
      <w:r>
        <w:rPr>
          <w:noProof/>
        </w:rPr>
        <w:t>20) bei.</w:t>
      </w:r>
    </w:p>
    <w:p w14:paraId="74F77388" w14:textId="77777777" w:rsidR="00EB245A" w:rsidRDefault="00EB245A">
      <w:pPr>
        <w:spacing w:line="240" w:lineRule="auto"/>
        <w:jc w:val="both"/>
        <w:rPr>
          <w:rFonts w:ascii="Times New Roman" w:eastAsia="Times New Roman" w:hAnsi="Times New Roman" w:cs="Times New Roman"/>
          <w:b/>
          <w:noProof/>
          <w:color w:val="000000" w:themeColor="text1"/>
          <w:sz w:val="24"/>
          <w:u w:val="single"/>
        </w:rPr>
      </w:pPr>
    </w:p>
    <w:p w14:paraId="54182696" w14:textId="3051F563" w:rsidR="00EB245A" w:rsidRDefault="006021EE">
      <w:pPr>
        <w:pStyle w:val="P68B1DB1-Normal14"/>
        <w:spacing w:line="240" w:lineRule="auto"/>
        <w:jc w:val="both"/>
        <w:rPr>
          <w:rFonts w:eastAsia="Times New Roman" w:cs="Times New Roman"/>
          <w:noProof/>
          <w:color w:val="000000" w:themeColor="text1"/>
        </w:rPr>
      </w:pPr>
      <w:r>
        <w:rPr>
          <w:noProof/>
        </w:rPr>
        <w:t>F1 Justiz</w:t>
      </w:r>
    </w:p>
    <w:p w14:paraId="3D8D1DD6" w14:textId="77777777" w:rsidR="00EB245A" w:rsidRDefault="006021EE">
      <w:pPr>
        <w:pStyle w:val="P68B1DB1-Normal24"/>
        <w:spacing w:line="240" w:lineRule="auto"/>
        <w:jc w:val="both"/>
        <w:rPr>
          <w:noProof/>
        </w:rPr>
      </w:pPr>
      <w:r>
        <w:rPr>
          <w:noProof/>
        </w:rPr>
        <w:t>Hauptziel der Reformen ist es, das Niveau des Rechtsschutzes zu erhöhen und das Investitionsklima in Polen zu verbessern sowie das in Artikel 22 der Verordnung (EU) 2021/241 des Europäischen Parlaments und des Rates genannte interne Kon</w:t>
      </w:r>
      <w:r>
        <w:rPr>
          <w:noProof/>
        </w:rPr>
        <w:t>trollsystem zu unterstützen, indem die Garantien für die Unabhängigkeit und Unparteilichkeit der Gerichte gestärkt werden.</w:t>
      </w:r>
    </w:p>
    <w:p w14:paraId="69BE704F" w14:textId="5F8C5C04" w:rsidR="00EB245A" w:rsidRDefault="006021EE">
      <w:pPr>
        <w:pStyle w:val="P68B1DB1-Normal24"/>
        <w:spacing w:line="240" w:lineRule="auto"/>
        <w:jc w:val="both"/>
        <w:rPr>
          <w:noProof/>
        </w:rPr>
      </w:pPr>
      <w:r>
        <w:rPr>
          <w:noProof/>
        </w:rPr>
        <w:t>Die Reform führt zu einer Stärkung der Unabhängigkeit und Unparteilichkeit der Gerichte und Richter, die durch Gesetz im Einklang mit</w:t>
      </w:r>
      <w:r>
        <w:rPr>
          <w:noProof/>
        </w:rPr>
        <w:t xml:space="preserve"> Artikel 19 EUV und dem einschlägigen Besitzstand der EU geschaffen wurden. Nach Artikel 24 Absatz 3 der Verordnung (EU) 2021/241 werden alle anderen Reformen durchgeführt, ohne dieses Ergebnis abzuschwächen und sich negativ auf die nachstehenden Elemente </w:t>
      </w:r>
      <w:r>
        <w:rPr>
          <w:noProof/>
        </w:rPr>
        <w:t>auszuwirken.</w:t>
      </w:r>
    </w:p>
    <w:p w14:paraId="1CED877A" w14:textId="77777777" w:rsidR="00EB245A" w:rsidRDefault="00EB245A">
      <w:pPr>
        <w:spacing w:line="240" w:lineRule="auto"/>
        <w:jc w:val="both"/>
        <w:rPr>
          <w:rFonts w:ascii="Times New Roman" w:hAnsi="Times New Roman"/>
          <w:noProof/>
          <w:sz w:val="24"/>
        </w:rPr>
      </w:pPr>
    </w:p>
    <w:p w14:paraId="49E7712C" w14:textId="5D9C6091" w:rsidR="00EB245A" w:rsidRDefault="006021EE">
      <w:pPr>
        <w:pStyle w:val="P68B1DB1-Normal36"/>
        <w:spacing w:line="240" w:lineRule="auto"/>
        <w:jc w:val="both"/>
        <w:rPr>
          <w:rFonts w:eastAsia="Times New Roman" w:cs="Times New Roman"/>
          <w:noProof/>
          <w:color w:val="000000" w:themeColor="text1"/>
        </w:rPr>
      </w:pPr>
      <w:r>
        <w:rPr>
          <w:noProof/>
        </w:rPr>
        <w:t>F1.1 Reform zur Stärkung der Unabhängigkeit und Unparteilichkeit der Gerichte</w:t>
      </w:r>
    </w:p>
    <w:p w14:paraId="4EED8318" w14:textId="77777777" w:rsidR="00EB245A" w:rsidRDefault="006021EE">
      <w:pPr>
        <w:pStyle w:val="P68B1DB1-Normal24"/>
        <w:spacing w:line="240" w:lineRule="auto"/>
        <w:jc w:val="both"/>
        <w:rPr>
          <w:noProof/>
        </w:rPr>
      </w:pPr>
      <w:r>
        <w:rPr>
          <w:noProof/>
        </w:rPr>
        <w:t>Mit der Reform wird Folgendes erreicht:</w:t>
      </w:r>
    </w:p>
    <w:p w14:paraId="08CB0EF5" w14:textId="77777777" w:rsidR="00EB245A" w:rsidRDefault="006021EE">
      <w:pPr>
        <w:pStyle w:val="P68B1DB1-Normal24"/>
        <w:numPr>
          <w:ilvl w:val="0"/>
          <w:numId w:val="22"/>
        </w:numPr>
        <w:spacing w:line="240" w:lineRule="auto"/>
        <w:jc w:val="both"/>
        <w:rPr>
          <w:noProof/>
        </w:rPr>
      </w:pPr>
      <w:r>
        <w:rPr>
          <w:noProof/>
        </w:rPr>
        <w:t>in allen Rechtssachen, die Richter betreffen, einschließlich Disziplinarverfahren und Aufhebung der richterlichen Immunität,</w:t>
      </w:r>
      <w:r>
        <w:rPr>
          <w:noProof/>
        </w:rPr>
        <w:t xml:space="preserve"> wird der Zuständigkeitsbereich der Kammer des Obersten Gerichts mit Ausnahme der bestehenden Disziplinarkammer festgelegt, die die Anforderungen aus Artikel 19 Absatz 1 EUV erfüllt. Dadurch wird sichergestellt, dass die oben genannten Fälle von einem unab</w:t>
      </w:r>
      <w:r>
        <w:rPr>
          <w:noProof/>
        </w:rPr>
        <w:t>hängigen und unparteiischen, durch Gesetz errichteten Gericht geprüft werden, wobei der Ermessensspielraum zur Bestimmung des in erster Instanz zuständigen Disziplinargerichts in Rechtssachen, die Richter der ordentlichen Gerichtsbarkeit betreffen, begrenz</w:t>
      </w:r>
      <w:r>
        <w:rPr>
          <w:noProof/>
        </w:rPr>
        <w:t xml:space="preserve">t wird; </w:t>
      </w:r>
    </w:p>
    <w:p w14:paraId="71097B4F" w14:textId="77777777" w:rsidR="00EB245A" w:rsidRDefault="006021EE">
      <w:pPr>
        <w:pStyle w:val="P68B1DB1-Normal24"/>
        <w:numPr>
          <w:ilvl w:val="0"/>
          <w:numId w:val="22"/>
        </w:numPr>
        <w:spacing w:line="240" w:lineRule="auto"/>
        <w:jc w:val="both"/>
        <w:rPr>
          <w:noProof/>
        </w:rPr>
      </w:pPr>
      <w:r>
        <w:rPr>
          <w:noProof/>
        </w:rPr>
        <w:t xml:space="preserve">Klarstellung des Umfangs der disziplinarischen Haftung von Richtern, indem sichergestellt wird, dass das Recht der polnischen Gerichte, Vorabentscheidungsersuchen an den EuGH zu richten, nicht eingeschränkt wird. Ein solcher Antrag ist kein Grund </w:t>
      </w:r>
      <w:r>
        <w:rPr>
          <w:noProof/>
        </w:rPr>
        <w:t>für die Einleitung eines Disziplinarverfahrens gegen einen Richter;</w:t>
      </w:r>
    </w:p>
    <w:p w14:paraId="13CC6948" w14:textId="77777777" w:rsidR="00EB245A" w:rsidRDefault="006021EE">
      <w:pPr>
        <w:pStyle w:val="P68B1DB1-Normal24"/>
        <w:numPr>
          <w:ilvl w:val="0"/>
          <w:numId w:val="22"/>
        </w:numPr>
        <w:spacing w:line="240" w:lineRule="auto"/>
        <w:jc w:val="both"/>
        <w:rPr>
          <w:noProof/>
        </w:rPr>
      </w:pPr>
      <w:r>
        <w:rPr>
          <w:noProof/>
        </w:rPr>
        <w:t>die Richter können zwar noch für berufliche Verfehlungen, einschließlich offensichtlicher und schwerwiegender Rechtsverstöße, haftbar gemacht werden, aber feststellen, dass der Inhalt geri</w:t>
      </w:r>
      <w:r>
        <w:rPr>
          <w:noProof/>
        </w:rPr>
        <w:t>chtlicher Entscheidungen nicht als Disziplinarvergehen eingestuft wird,</w:t>
      </w:r>
    </w:p>
    <w:p w14:paraId="23EFB212" w14:textId="77777777" w:rsidR="00EB245A" w:rsidRDefault="006021EE">
      <w:pPr>
        <w:pStyle w:val="P68B1DB1-Normal24"/>
        <w:numPr>
          <w:ilvl w:val="0"/>
          <w:numId w:val="22"/>
        </w:numPr>
        <w:spacing w:line="240" w:lineRule="auto"/>
        <w:jc w:val="both"/>
        <w:rPr>
          <w:rFonts w:eastAsia="Times New Roman"/>
          <w:noProof/>
        </w:rPr>
      </w:pPr>
      <w:r>
        <w:rPr>
          <w:noProof/>
        </w:rPr>
        <w:t>sicherzustellen, dass die Einleitung der Überprüfung im Rahmen des Gerichtsverfahrens, ob ein Richter die Anforderungen an Unabhängigkeit, Unparteilichkeit und „auf Gesetz beruhendes R</w:t>
      </w:r>
      <w:r>
        <w:rPr>
          <w:noProof/>
        </w:rPr>
        <w:t xml:space="preserve">echt“ gemäß Artikel 19 EUV erfüllt, für ein zuständiges Gericht möglich ist, wenn diesbezüglich ernsthafte Zweifel aufkommen, und dass eine solche Überprüfung nicht als Disziplinarvergehen eingestuft wird, </w:t>
      </w:r>
    </w:p>
    <w:p w14:paraId="3D8F17E2" w14:textId="77777777" w:rsidR="00EB245A" w:rsidRDefault="006021EE">
      <w:pPr>
        <w:pStyle w:val="P68B1DB1-Normal24"/>
        <w:numPr>
          <w:ilvl w:val="0"/>
          <w:numId w:val="22"/>
        </w:numPr>
        <w:spacing w:line="240" w:lineRule="auto"/>
        <w:jc w:val="both"/>
        <w:rPr>
          <w:noProof/>
        </w:rPr>
      </w:pPr>
      <w:r>
        <w:rPr>
          <w:noProof/>
        </w:rPr>
        <w:t xml:space="preserve">Stärkung der Verfahrensgarantien und -befugnisse der Parteien in Disziplinarverfahren gegen Richter durch  </w:t>
      </w:r>
    </w:p>
    <w:p w14:paraId="35940D8C" w14:textId="77777777" w:rsidR="00EB245A" w:rsidRDefault="006021EE">
      <w:pPr>
        <w:pStyle w:val="P68B1DB1-Normal24"/>
        <w:spacing w:line="240" w:lineRule="auto"/>
        <w:ind w:left="720"/>
        <w:jc w:val="both"/>
        <w:rPr>
          <w:noProof/>
        </w:rPr>
      </w:pPr>
      <w:r>
        <w:rPr>
          <w:noProof/>
        </w:rPr>
        <w:t>I) sicherzustellen, dass Disziplinarverfahren gegen Richter der ordentlichen Gerichtsbarkeit innerhalb einer angemessenen Frist geprüft werden,</w:t>
      </w:r>
    </w:p>
    <w:p w14:paraId="0BD8828A" w14:textId="5D3897F6" w:rsidR="00EB245A" w:rsidRDefault="006021EE">
      <w:pPr>
        <w:pStyle w:val="P68B1DB1-Normal24"/>
        <w:spacing w:line="240" w:lineRule="auto"/>
        <w:ind w:left="720"/>
        <w:jc w:val="both"/>
        <w:rPr>
          <w:noProof/>
        </w:rPr>
      </w:pPr>
      <w:r>
        <w:rPr>
          <w:noProof/>
        </w:rPr>
        <w:t xml:space="preserve">II) </w:t>
      </w:r>
      <w:r>
        <w:rPr>
          <w:noProof/>
        </w:rPr>
        <w:t>präzisere Vorschriften über die örtliche Zuständigkeit der Gerichte, die Disziplinarfälle prüfen, um sicherzustellen, dass das zuständige Gericht unmittelbar gemäß dem Rechtsakt bestimmt werden kann; und</w:t>
      </w:r>
    </w:p>
    <w:p w14:paraId="0C1490F9" w14:textId="77777777" w:rsidR="00EB245A" w:rsidRDefault="006021EE">
      <w:pPr>
        <w:pStyle w:val="P68B1DB1-Normal24"/>
        <w:spacing w:line="240" w:lineRule="auto"/>
        <w:ind w:left="720"/>
        <w:jc w:val="both"/>
        <w:rPr>
          <w:noProof/>
        </w:rPr>
      </w:pPr>
      <w:r>
        <w:rPr>
          <w:noProof/>
        </w:rPr>
        <w:t>III) Gewährleistung, dass die Bestellung eines Verte</w:t>
      </w:r>
      <w:r>
        <w:rPr>
          <w:noProof/>
        </w:rPr>
        <w:t>idigers in einem Disziplinarverfahren gegen einen Richter innerhalb einer angemessenen Frist erfolgt, sowie eine Frist für die inhaltliche Vorbereitung des Verteidigers auf die Wahrnehmung seiner Aufgaben in dem betreffenden Verfahren. Gleichzeitig setzt d</w:t>
      </w:r>
      <w:r>
        <w:rPr>
          <w:noProof/>
        </w:rPr>
        <w:t>as Gericht das Verfahren im Falle einer hinreichend begründeten Abwesenheit des beschuldigten Richters oder seines Verteidigers aus.</w:t>
      </w:r>
    </w:p>
    <w:p w14:paraId="0C0A53B6" w14:textId="05CB329F" w:rsidR="00EB245A" w:rsidRDefault="006021EE">
      <w:pPr>
        <w:pStyle w:val="P68B1DB1-Normal24"/>
        <w:spacing w:line="240" w:lineRule="auto"/>
        <w:jc w:val="both"/>
        <w:rPr>
          <w:noProof/>
        </w:rPr>
      </w:pPr>
      <w:r>
        <w:rPr>
          <w:noProof/>
        </w:rPr>
        <w:t xml:space="preserve">Die Reform tritt bis Ende des zweiten Quartals 2022 in Kraft. </w:t>
      </w:r>
    </w:p>
    <w:p w14:paraId="5F61C325" w14:textId="77777777" w:rsidR="00EB245A" w:rsidRDefault="00EB245A">
      <w:pPr>
        <w:spacing w:line="240" w:lineRule="auto"/>
        <w:jc w:val="both"/>
        <w:rPr>
          <w:rFonts w:ascii="Times New Roman" w:hAnsi="Times New Roman"/>
          <w:noProof/>
          <w:sz w:val="24"/>
        </w:rPr>
      </w:pPr>
    </w:p>
    <w:p w14:paraId="033A29E3" w14:textId="2D6483A4" w:rsidR="00EB245A" w:rsidRDefault="006021EE">
      <w:pPr>
        <w:pStyle w:val="P68B1DB1-Normal36"/>
        <w:spacing w:line="240" w:lineRule="auto"/>
        <w:jc w:val="both"/>
        <w:rPr>
          <w:noProof/>
        </w:rPr>
      </w:pPr>
      <w:r>
        <w:rPr>
          <w:noProof/>
        </w:rPr>
        <w:t>F1.2 Reform zur Verbesserung der Situation von Richtern, di</w:t>
      </w:r>
      <w:r>
        <w:rPr>
          <w:noProof/>
        </w:rPr>
        <w:t>e von den Entscheidungen der Disziplinarkammer des Obersten Gerichts in Disziplinarsachen und Verfahren der richterlichen Immunität betroffen sind</w:t>
      </w:r>
    </w:p>
    <w:p w14:paraId="6965A8DA" w14:textId="77777777" w:rsidR="00EB245A" w:rsidRDefault="006021EE">
      <w:pPr>
        <w:pStyle w:val="P68B1DB1-Normal24"/>
        <w:spacing w:line="240" w:lineRule="auto"/>
        <w:jc w:val="both"/>
        <w:rPr>
          <w:noProof/>
        </w:rPr>
      </w:pPr>
      <w:r>
        <w:rPr>
          <w:noProof/>
        </w:rPr>
        <w:t>Mit der Reform wird sichergestellt, dass Richter, die von Entscheidungen der Disziplinarkammer des Obersten G</w:t>
      </w:r>
      <w:r>
        <w:rPr>
          <w:noProof/>
        </w:rPr>
        <w:t>erichts betroffen sind, Zugang zur Überprüfung ihrer Rechtssachen haben. Bereits von der Disziplinarkammer entschiedene Fälle werden von einem Gericht überprüft, das die Anforderungen des Artikels 19 Absatz 1 EUV gemäß den auf der Grundlage der oben genann</w:t>
      </w:r>
      <w:r>
        <w:rPr>
          <w:noProof/>
        </w:rPr>
        <w:t>ten Reform zu erlassenden Vorschriften erfüllt. In dem Rechtsakt wird festgelegt, dass die erste Verhandlung des Gerichts, das über diese Rechtssachen entscheidet, innerhalb von drei Monaten nach Eingang des Antrags des Richters, der eine Überprüfung beant</w:t>
      </w:r>
      <w:r>
        <w:rPr>
          <w:noProof/>
        </w:rPr>
        <w:t>ragt, stattfindet und dass die Rechtssachen innerhalb von zwölf Monaten nach Eingang dieses Antrags entschieden werden. Die Rechtssachen, die derzeit noch bei der Disziplinarkammer anhängig sind, werden nach den im Rahmen des oben genannten Verfahrens fest</w:t>
      </w:r>
      <w:r>
        <w:rPr>
          <w:noProof/>
        </w:rPr>
        <w:t>gelegten Regeln dem Gericht zur weiteren Prüfung vorgelegt.</w:t>
      </w:r>
    </w:p>
    <w:p w14:paraId="7C0BA6A9" w14:textId="77777777" w:rsidR="00EB245A" w:rsidRDefault="006021EE">
      <w:pPr>
        <w:pStyle w:val="P68B1DB1-Normal24"/>
        <w:spacing w:line="240" w:lineRule="auto"/>
        <w:jc w:val="both"/>
        <w:rPr>
          <w:noProof/>
        </w:rPr>
      </w:pPr>
      <w:r>
        <w:rPr>
          <w:noProof/>
        </w:rPr>
        <w:t>Die Reform tritt bis Ende des zweiten Quartals 2022 in Kraft.</w:t>
      </w:r>
    </w:p>
    <w:p w14:paraId="66058EB7" w14:textId="77777777" w:rsidR="00EB245A" w:rsidRDefault="006021EE">
      <w:pPr>
        <w:spacing w:line="240" w:lineRule="auto"/>
        <w:jc w:val="both"/>
        <w:rPr>
          <w:rFonts w:ascii="Times New Roman" w:hAnsi="Times New Roman"/>
          <w:noProof/>
          <w:sz w:val="24"/>
        </w:rPr>
      </w:pPr>
      <w:r>
        <w:rPr>
          <w:rFonts w:ascii="Times New Roman" w:hAnsi="Times New Roman"/>
          <w:noProof/>
          <w:sz w:val="24"/>
        </w:rPr>
        <w:t>Beide oben aufgeführten Reformen mit einem Abschlusstermin im zweiten Quartal 2022 müssen vor Einreichung des ersten Zahlungsantrags b</w:t>
      </w:r>
      <w:r>
        <w:rPr>
          <w:rFonts w:ascii="Times New Roman" w:hAnsi="Times New Roman"/>
          <w:noProof/>
          <w:sz w:val="24"/>
        </w:rPr>
        <w:t>ei der Kommission abgeschlossen sein und</w:t>
      </w:r>
      <w:r>
        <w:rPr>
          <w:noProof/>
        </w:rPr>
        <w:t xml:space="preserve"> eine Voraussetzung für eine Zahlung gemäß Artikel 24 der ARF-Verordnung sein. </w:t>
      </w:r>
    </w:p>
    <w:p w14:paraId="7A42FA93" w14:textId="77777777" w:rsidR="00EB245A" w:rsidRDefault="00EB245A">
      <w:pPr>
        <w:spacing w:line="240" w:lineRule="auto"/>
        <w:jc w:val="both"/>
        <w:rPr>
          <w:rFonts w:ascii="Times New Roman" w:hAnsi="Times New Roman"/>
          <w:noProof/>
          <w:sz w:val="24"/>
        </w:rPr>
      </w:pPr>
    </w:p>
    <w:p w14:paraId="7E40DCEA" w14:textId="77777777" w:rsidR="00EB245A" w:rsidRDefault="006021EE">
      <w:pPr>
        <w:pStyle w:val="P68B1DB1-Normal020"/>
        <w:spacing w:before="120" w:after="120" w:line="240" w:lineRule="auto"/>
        <w:jc w:val="both"/>
        <w:rPr>
          <w:rFonts w:eastAsia="Times New Roman" w:cs="Times New Roman"/>
          <w:noProof/>
        </w:rPr>
      </w:pPr>
      <w:r>
        <w:rPr>
          <w:noProof/>
        </w:rPr>
        <w:t>F2.1 Verbesserung des Rechtsetzungsprozesses</w:t>
      </w:r>
    </w:p>
    <w:p w14:paraId="038FDA92" w14:textId="478A30AA" w:rsidR="00EB245A" w:rsidRDefault="006021EE">
      <w:pPr>
        <w:pStyle w:val="P68B1DB1-Normal018"/>
        <w:spacing w:before="120" w:after="120" w:line="240" w:lineRule="auto"/>
        <w:jc w:val="both"/>
        <w:rPr>
          <w:rFonts w:eastAsia="Times New Roman" w:cs="Times New Roman"/>
          <w:noProof/>
        </w:rPr>
      </w:pPr>
      <w:r>
        <w:rPr>
          <w:noProof/>
        </w:rPr>
        <w:t>Ziel der Reform ist die Annahme einer Änderung der Geschäftsordnung des Sejm, des Senats u</w:t>
      </w:r>
      <w:r>
        <w:rPr>
          <w:noProof/>
        </w:rPr>
        <w:t>nd des Ministerrats.</w:t>
      </w:r>
    </w:p>
    <w:p w14:paraId="1B79D249" w14:textId="77777777" w:rsidR="00EB245A" w:rsidRDefault="006021EE">
      <w:pPr>
        <w:rPr>
          <w:rFonts w:ascii="Times New Roman" w:eastAsia="Times New Roman" w:hAnsi="Times New Roman" w:cs="Times New Roman"/>
          <w:noProof/>
          <w:sz w:val="24"/>
        </w:rPr>
      </w:pPr>
      <w:r>
        <w:rPr>
          <w:noProof/>
        </w:rPr>
        <w:br w:type="page"/>
      </w:r>
    </w:p>
    <w:p w14:paraId="40C0BA60" w14:textId="77777777" w:rsidR="00EB245A" w:rsidRDefault="006021EE">
      <w:pPr>
        <w:pStyle w:val="P68B1DB1-Normal06"/>
        <w:spacing w:before="120" w:after="120" w:line="240" w:lineRule="auto"/>
        <w:jc w:val="both"/>
        <w:rPr>
          <w:rFonts w:eastAsia="Times New Roman" w:cs="Times New Roman"/>
          <w:b/>
          <w:noProof/>
        </w:rPr>
      </w:pPr>
      <w:r>
        <w:rPr>
          <w:b/>
          <w:noProof/>
          <w:u w:val="single"/>
        </w:rPr>
        <w:t>F3.1 Verbesserung der Bedingungen für die Durchführung des Aufbau- und Resilienzplans</w:t>
      </w:r>
      <w:r>
        <w:rPr>
          <w:noProof/>
        </w:rPr>
        <w:t xml:space="preserve"> </w:t>
      </w:r>
    </w:p>
    <w:p w14:paraId="3CBADC94" w14:textId="6D0B510A" w:rsidR="00EB245A" w:rsidRDefault="006021EE">
      <w:pPr>
        <w:pStyle w:val="P68B1DB1-Normal24"/>
        <w:spacing w:line="240" w:lineRule="auto"/>
        <w:jc w:val="both"/>
        <w:rPr>
          <w:noProof/>
        </w:rPr>
      </w:pPr>
      <w:r>
        <w:rPr>
          <w:noProof/>
        </w:rPr>
        <w:t xml:space="preserve">Um die ordnungsgemäße Konsultation der Sozialpartner und Interessenträger bei der Umsetzung des Aufbau- und Resilienzplans zu gewährleisten, muss </w:t>
      </w:r>
      <w:r>
        <w:rPr>
          <w:noProof/>
        </w:rPr>
        <w:t>die Reform das Inkrafttreten eines Gesetzgebungsakts zur Einsetzung eines Begleitausschusses umfassen, der sich aus Interessenträgern und Sozialpartnern zusammensetzt, die an der Umsetzung des Aufbau- und Resilienzplans beteiligt sind. Der Begleitausschuss</w:t>
      </w:r>
      <w:r>
        <w:rPr>
          <w:noProof/>
        </w:rPr>
        <w:t xml:space="preserve"> hat die Aufgabe, die wirksame Durchführung des Aufbau- und Resilienzplans zu überwachen. Der Gesetzgebungsakt enthält eine Bestimmung, wonach der Begleitausschuss während der Durchführung des Aufbau- und Resilienzplans rechtlich zu konsultieren ist. Die R</w:t>
      </w:r>
      <w:r>
        <w:rPr>
          <w:noProof/>
        </w:rPr>
        <w:t>eform umfasst auch die Annahme der Leitlinien zur Festlegung der Regeln für die Einbeziehung von Interessenträgern und Sozialpartnern in die Programmplanung, Durchführung, Überwachung und Bewertung des Aufbau- und Resilienzplans.</w:t>
      </w:r>
    </w:p>
    <w:p w14:paraId="2D163FC6" w14:textId="62AD350B" w:rsidR="00EB245A" w:rsidRDefault="006021EE">
      <w:pPr>
        <w:pStyle w:val="P68B1DB1-Normal24"/>
        <w:spacing w:line="240" w:lineRule="auto"/>
        <w:jc w:val="both"/>
        <w:rPr>
          <w:noProof/>
        </w:rPr>
      </w:pPr>
      <w:r>
        <w:rPr>
          <w:noProof/>
        </w:rPr>
        <w:t>Die Reform umfasst auch di</w:t>
      </w:r>
      <w:r>
        <w:rPr>
          <w:noProof/>
        </w:rPr>
        <w:t>e Einrichtung eines Datenspeichersystems gemäß Artikel 22 Absatz 2 Buchstabe d der Verordnung (EU) 2021/241, um die Erhebung, Speicherung und Überwachung von Daten über die Etappenziele und Zielwerte, auch auf der Ebene der Endempfänger, zu ermöglichen. Di</w:t>
      </w:r>
      <w:r>
        <w:rPr>
          <w:noProof/>
        </w:rPr>
        <w:t>e Daten aus diesem Speichersystem fließen in das Arachne-System ein, das bei Prüfungen und Kontrollen zur Verhinderung, Aufdeckung und Behebung von Interessenkonflikten, Betrug, Korruption und Doppelfinanzierung verwendet wird. Dieses Etappenziel muss erre</w:t>
      </w:r>
      <w:r>
        <w:rPr>
          <w:noProof/>
        </w:rPr>
        <w:t>icht sein, bevor der erste Zahlungsantrag bei der Kommission eingereicht wird, und ist eine Voraussetzung für eine Zahlung gemäß Artikel 24 der ARF-Verordnung.</w:t>
      </w:r>
    </w:p>
    <w:p w14:paraId="321BFE6B" w14:textId="509CF93E" w:rsidR="00EB245A" w:rsidRDefault="006021EE">
      <w:pPr>
        <w:pStyle w:val="P68B1DB1-Normal24"/>
        <w:spacing w:line="240" w:lineRule="auto"/>
        <w:jc w:val="both"/>
        <w:rPr>
          <w:noProof/>
        </w:rPr>
      </w:pPr>
      <w:r>
        <w:rPr>
          <w:noProof/>
        </w:rPr>
        <w:t>Schließlich umfasst die Reform auch die Vorbereitung einer Analyse der Arbeitsbelastung zur Stär</w:t>
      </w:r>
      <w:r>
        <w:rPr>
          <w:noProof/>
        </w:rPr>
        <w:t>kung der Verwaltungskapazitäten für die Koordinierung und Umsetzung des Aufbau- und Resilienzplans. Auf der Grundlage dieser Analyse wird die Regierung beschließen, den Organen, die den Aufbau- und Resilienzplan koordinieren und durchführen, zusätzliche St</w:t>
      </w:r>
      <w:r>
        <w:rPr>
          <w:noProof/>
        </w:rPr>
        <w:t>ellen zuzuweisen.</w:t>
      </w:r>
    </w:p>
    <w:p w14:paraId="1CBF0687" w14:textId="755C8E85" w:rsidR="00EB245A" w:rsidRDefault="006021EE">
      <w:pPr>
        <w:pStyle w:val="P68B1DB1-Normal16"/>
        <w:spacing w:after="0" w:line="240" w:lineRule="auto"/>
        <w:rPr>
          <w:rFonts w:eastAsia="Times New Roman" w:cs="Times New Roman"/>
          <w:noProof/>
        </w:rPr>
        <w:sectPr w:rsidR="00EB245A" w:rsidSect="005E6922">
          <w:headerReference w:type="even" r:id="rId151"/>
          <w:headerReference w:type="default" r:id="rId152"/>
          <w:footerReference w:type="even" r:id="rId153"/>
          <w:footerReference w:type="default" r:id="rId154"/>
          <w:headerReference w:type="first" r:id="rId155"/>
          <w:footerReference w:type="first" r:id="rId156"/>
          <w:pgSz w:w="11907" w:h="16839"/>
          <w:pgMar w:top="1134" w:right="1134" w:bottom="1134" w:left="1134" w:header="567" w:footer="567" w:gutter="0"/>
          <w:cols w:space="720"/>
          <w:docGrid w:linePitch="299"/>
        </w:sectPr>
      </w:pPr>
      <w:r>
        <w:rPr>
          <w:noProof/>
        </w:rPr>
        <w:t xml:space="preserve">Die Umsetzung der Reform wird bis zum 30. Juni 2024 abgeschlossen sein. </w:t>
      </w:r>
    </w:p>
    <w:p w14:paraId="029E5672" w14:textId="2DF0CCB8" w:rsidR="00EB245A" w:rsidRDefault="006021EE">
      <w:pPr>
        <w:spacing w:after="0" w:line="240" w:lineRule="auto"/>
        <w:rPr>
          <w:rFonts w:ascii="Times New Roman" w:eastAsia="Times New Roman" w:hAnsi="Times New Roman" w:cs="Times New Roman"/>
          <w:noProof/>
          <w:color w:val="000000" w:themeColor="text1"/>
          <w:sz w:val="24"/>
        </w:rPr>
      </w:pPr>
      <w:r>
        <w:rPr>
          <w:rFonts w:ascii="Times New Roman" w:hAnsi="Times New Roman"/>
          <w:b/>
          <w:noProof/>
          <w:color w:val="000000"/>
          <w:sz w:val="24"/>
        </w:rPr>
        <w:t xml:space="preserve">F.2. </w:t>
      </w:r>
      <w:r>
        <w:rPr>
          <w:noProof/>
        </w:rPr>
        <w:t xml:space="preserve"> </w:t>
      </w:r>
      <w:r>
        <w:rPr>
          <w:rFonts w:ascii="Times New Roman" w:hAnsi="Times New Roman"/>
          <w:b/>
          <w:noProof/>
          <w:color w:val="000000"/>
          <w:sz w:val="24"/>
        </w:rPr>
        <w:t xml:space="preserve">Etappenziele, Zielwerte, Indikatoren und Zeitplan für die Überwachung und Durchführung der nicht </w:t>
      </w:r>
      <w:r>
        <w:rPr>
          <w:rFonts w:ascii="Times New Roman" w:hAnsi="Times New Roman"/>
          <w:b/>
          <w:noProof/>
          <w:color w:val="000000"/>
          <w:sz w:val="24"/>
        </w:rPr>
        <w:t>rückzahlbaren finanziellen Unterstützung</w:t>
      </w:r>
    </w:p>
    <w:p w14:paraId="6858D860" w14:textId="4CCF3291" w:rsidR="00EB245A" w:rsidRDefault="00EB245A">
      <w:pPr>
        <w:spacing w:after="0" w:line="240" w:lineRule="auto"/>
        <w:rPr>
          <w:rFonts w:ascii="Times New Roman" w:eastAsia="Times New Roman" w:hAnsi="Times New Roman" w:cs="Times New Roman"/>
          <w:noProof/>
          <w:color w:val="000000" w:themeColor="text1"/>
          <w:sz w:val="24"/>
        </w:rPr>
      </w:pPr>
    </w:p>
    <w:tbl>
      <w:tblPr>
        <w:tblW w:w="15309"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783"/>
        <w:gridCol w:w="1325"/>
        <w:gridCol w:w="1294"/>
        <w:gridCol w:w="1176"/>
        <w:gridCol w:w="1943"/>
        <w:gridCol w:w="1134"/>
        <w:gridCol w:w="1417"/>
        <w:gridCol w:w="851"/>
        <w:gridCol w:w="1134"/>
        <w:gridCol w:w="1276"/>
        <w:gridCol w:w="2948"/>
        <w:gridCol w:w="28"/>
      </w:tblGrid>
      <w:tr w:rsidR="00EB245A" w14:paraId="44973463" w14:textId="77777777" w:rsidTr="00080E14">
        <w:trPr>
          <w:gridAfter w:val="1"/>
          <w:wAfter w:w="28" w:type="dxa"/>
          <w:trHeight w:val="705"/>
          <w:tblHeader/>
        </w:trPr>
        <w:tc>
          <w:tcPr>
            <w:tcW w:w="783" w:type="dxa"/>
            <w:vMerge w:val="restart"/>
            <w:shd w:val="clear" w:color="auto" w:fill="BDD7EE"/>
            <w:vAlign w:val="center"/>
          </w:tcPr>
          <w:p w14:paraId="672DF965" w14:textId="6B09140D"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Lfd. Nr. Nr.</w:t>
            </w:r>
          </w:p>
        </w:tc>
        <w:tc>
          <w:tcPr>
            <w:tcW w:w="1325" w:type="dxa"/>
            <w:vMerge w:val="restart"/>
            <w:shd w:val="clear" w:color="auto" w:fill="BDD7EE"/>
            <w:vAlign w:val="center"/>
          </w:tcPr>
          <w:p w14:paraId="69C58DDA"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Verbundene Maßnahme (Reform oder Investition)</w:t>
            </w:r>
          </w:p>
        </w:tc>
        <w:tc>
          <w:tcPr>
            <w:tcW w:w="1294" w:type="dxa"/>
            <w:vMerge w:val="restart"/>
            <w:shd w:val="clear" w:color="auto" w:fill="BDD7EE"/>
            <w:vAlign w:val="center"/>
          </w:tcPr>
          <w:p w14:paraId="5ADFCF31"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Etappenziel/Zielwert</w:t>
            </w:r>
          </w:p>
        </w:tc>
        <w:tc>
          <w:tcPr>
            <w:tcW w:w="1176" w:type="dxa"/>
            <w:vMerge w:val="restart"/>
            <w:shd w:val="clear" w:color="auto" w:fill="BDD7EE"/>
            <w:vAlign w:val="center"/>
          </w:tcPr>
          <w:p w14:paraId="571C7353"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Namen</w:t>
            </w:r>
          </w:p>
        </w:tc>
        <w:tc>
          <w:tcPr>
            <w:tcW w:w="1943" w:type="dxa"/>
            <w:vMerge w:val="restart"/>
            <w:shd w:val="clear" w:color="auto" w:fill="BDD7EE"/>
            <w:vAlign w:val="center"/>
          </w:tcPr>
          <w:p w14:paraId="79811FE6" w14:textId="77777777" w:rsidR="00EB245A" w:rsidRDefault="006021EE">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rPr>
            </w:pPr>
            <w:r>
              <w:rPr>
                <w:rFonts w:ascii="Times New Roman" w:hAnsi="Times New Roman"/>
                <w:b/>
                <w:noProof/>
                <w:color w:val="000000"/>
                <w:sz w:val="18"/>
              </w:rPr>
              <w:t>Etappenziel/Zielwert</w:t>
            </w:r>
            <w:r>
              <w:rPr>
                <w:noProof/>
              </w:rPr>
              <w:t xml:space="preserve">  </w:t>
            </w:r>
            <w:r>
              <w:rPr>
                <w:noProof/>
              </w:rPr>
              <w:br/>
            </w:r>
            <w:r>
              <w:rPr>
                <w:rFonts w:ascii="Times New Roman" w:hAnsi="Times New Roman"/>
                <w:b/>
                <w:noProof/>
                <w:color w:val="000000"/>
                <w:sz w:val="18"/>
              </w:rPr>
              <w:t>(für Etappenziele)</w:t>
            </w:r>
          </w:p>
        </w:tc>
        <w:tc>
          <w:tcPr>
            <w:tcW w:w="3402" w:type="dxa"/>
            <w:gridSpan w:val="3"/>
            <w:shd w:val="clear" w:color="auto" w:fill="BDD7EE"/>
            <w:vAlign w:val="center"/>
          </w:tcPr>
          <w:p w14:paraId="69B1B835" w14:textId="77777777" w:rsidR="00EB245A" w:rsidRDefault="006021EE">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rPr>
            </w:pPr>
            <w:r>
              <w:rPr>
                <w:rFonts w:ascii="Times New Roman" w:hAnsi="Times New Roman"/>
                <w:b/>
                <w:noProof/>
                <w:color w:val="000000"/>
                <w:sz w:val="18"/>
              </w:rPr>
              <w:t>Qualitative Indikatoren (für Etappenziele)</w:t>
            </w:r>
            <w:r>
              <w:rPr>
                <w:noProof/>
              </w:rPr>
              <w:t xml:space="preserve">  </w:t>
            </w:r>
            <w:r>
              <w:rPr>
                <w:noProof/>
              </w:rPr>
              <w:br/>
            </w:r>
            <w:r>
              <w:rPr>
                <w:rFonts w:ascii="Times New Roman" w:hAnsi="Times New Roman"/>
                <w:b/>
                <w:noProof/>
                <w:color w:val="000000"/>
                <w:sz w:val="18"/>
              </w:rPr>
              <w:t>(für Ziele)</w:t>
            </w:r>
          </w:p>
        </w:tc>
        <w:tc>
          <w:tcPr>
            <w:tcW w:w="2410" w:type="dxa"/>
            <w:gridSpan w:val="2"/>
            <w:shd w:val="clear" w:color="auto" w:fill="BDD7EE"/>
            <w:vAlign w:val="center"/>
          </w:tcPr>
          <w:p w14:paraId="61F4BA9E"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 xml:space="preserve">Vorläufiger Zeitplan für die Fertigstellung </w:t>
            </w:r>
          </w:p>
        </w:tc>
        <w:tc>
          <w:tcPr>
            <w:tcW w:w="2948" w:type="dxa"/>
            <w:vMerge w:val="restart"/>
            <w:shd w:val="clear" w:color="auto" w:fill="BDD7EE"/>
            <w:vAlign w:val="center"/>
          </w:tcPr>
          <w:p w14:paraId="04A838C9"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Beschreibung der einzelnen Etappenziele und Zielvorgaben</w:t>
            </w:r>
          </w:p>
        </w:tc>
      </w:tr>
      <w:tr w:rsidR="00EB245A" w14:paraId="357BDEDC" w14:textId="77777777" w:rsidTr="00080E14">
        <w:trPr>
          <w:gridAfter w:val="1"/>
          <w:wAfter w:w="28" w:type="dxa"/>
          <w:trHeight w:val="662"/>
        </w:trPr>
        <w:tc>
          <w:tcPr>
            <w:tcW w:w="783" w:type="dxa"/>
            <w:vMerge/>
            <w:vAlign w:val="center"/>
          </w:tcPr>
          <w:p w14:paraId="77C18ABC"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325" w:type="dxa"/>
            <w:vMerge/>
            <w:vAlign w:val="center"/>
          </w:tcPr>
          <w:p w14:paraId="56F44728"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294" w:type="dxa"/>
            <w:vMerge/>
            <w:vAlign w:val="center"/>
          </w:tcPr>
          <w:p w14:paraId="745AA2EB"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176" w:type="dxa"/>
            <w:vMerge/>
            <w:vAlign w:val="center"/>
          </w:tcPr>
          <w:p w14:paraId="542905F5"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943" w:type="dxa"/>
            <w:vMerge/>
            <w:vAlign w:val="center"/>
          </w:tcPr>
          <w:p w14:paraId="44D67A1F"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c>
          <w:tcPr>
            <w:tcW w:w="1134" w:type="dxa"/>
            <w:shd w:val="clear" w:color="auto" w:fill="BDD7EE"/>
            <w:vAlign w:val="center"/>
          </w:tcPr>
          <w:p w14:paraId="7317C33C"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Maßeinheit</w:t>
            </w:r>
          </w:p>
        </w:tc>
        <w:tc>
          <w:tcPr>
            <w:tcW w:w="1417" w:type="dxa"/>
            <w:shd w:val="clear" w:color="auto" w:fill="BDD7EE"/>
            <w:vAlign w:val="center"/>
          </w:tcPr>
          <w:p w14:paraId="71A9DC0A"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 xml:space="preserve">Ausgangslage </w:t>
            </w:r>
          </w:p>
        </w:tc>
        <w:tc>
          <w:tcPr>
            <w:tcW w:w="851" w:type="dxa"/>
            <w:shd w:val="clear" w:color="auto" w:fill="BDD7EE"/>
            <w:vAlign w:val="center"/>
          </w:tcPr>
          <w:p w14:paraId="1C6B6698"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Ziel</w:t>
            </w:r>
          </w:p>
        </w:tc>
        <w:tc>
          <w:tcPr>
            <w:tcW w:w="1134" w:type="dxa"/>
            <w:shd w:val="clear" w:color="auto" w:fill="BDD7EE"/>
            <w:vAlign w:val="center"/>
          </w:tcPr>
          <w:p w14:paraId="5F4B8B8A"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Viertel</w:t>
            </w:r>
          </w:p>
        </w:tc>
        <w:tc>
          <w:tcPr>
            <w:tcW w:w="1276" w:type="dxa"/>
            <w:shd w:val="clear" w:color="auto" w:fill="BDD7EE"/>
            <w:vAlign w:val="center"/>
          </w:tcPr>
          <w:p w14:paraId="7035216B" w14:textId="77777777" w:rsidR="00EB245A" w:rsidRDefault="006021EE">
            <w:pPr>
              <w:pStyle w:val="P68B1DB1-Normal010"/>
              <w:pBdr>
                <w:top w:val="nil"/>
                <w:left w:val="nil"/>
                <w:bottom w:val="nil"/>
                <w:right w:val="nil"/>
                <w:between w:val="nil"/>
              </w:pBdr>
              <w:spacing w:after="0" w:line="240" w:lineRule="auto"/>
              <w:jc w:val="center"/>
              <w:rPr>
                <w:rFonts w:eastAsia="Times New Roman" w:cs="Times New Roman"/>
                <w:noProof/>
              </w:rPr>
            </w:pPr>
            <w:r>
              <w:rPr>
                <w:noProof/>
              </w:rPr>
              <w:t>Jahre</w:t>
            </w:r>
          </w:p>
        </w:tc>
        <w:tc>
          <w:tcPr>
            <w:tcW w:w="2948" w:type="dxa"/>
            <w:vMerge/>
            <w:vAlign w:val="center"/>
          </w:tcPr>
          <w:p w14:paraId="4150027A" w14:textId="77777777" w:rsidR="00EB245A" w:rsidRDefault="00EB245A">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rPr>
            </w:pPr>
          </w:p>
        </w:tc>
      </w:tr>
      <w:tr w:rsidR="00EB245A" w14:paraId="0063B31B" w14:textId="77777777" w:rsidTr="00080E14">
        <w:trPr>
          <w:gridAfter w:val="1"/>
          <w:wAfter w:w="28" w:type="dxa"/>
          <w:trHeight w:val="313"/>
        </w:trPr>
        <w:tc>
          <w:tcPr>
            <w:tcW w:w="783" w:type="dxa"/>
            <w:shd w:val="clear" w:color="auto" w:fill="C6EFCE"/>
          </w:tcPr>
          <w:p w14:paraId="6C215DE9" w14:textId="77777777"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F1G</w:t>
            </w:r>
          </w:p>
        </w:tc>
        <w:tc>
          <w:tcPr>
            <w:tcW w:w="1325" w:type="dxa"/>
            <w:shd w:val="clear" w:color="auto" w:fill="C6EFCE"/>
          </w:tcPr>
          <w:p w14:paraId="04AAAFAD" w14:textId="77777777" w:rsidR="00EB245A" w:rsidRDefault="006021EE">
            <w:pPr>
              <w:pStyle w:val="P68B1DB1-Normal011"/>
              <w:spacing w:line="240" w:lineRule="auto"/>
              <w:rPr>
                <w:rFonts w:cs="Times New Roman"/>
                <w:noProof/>
              </w:rPr>
            </w:pPr>
            <w:r>
              <w:rPr>
                <w:noProof/>
              </w:rPr>
              <w:t>F1.1 Reform zur Stärkung der Unabhängigkeit und Unparteilichkeit der Gerichte</w:t>
            </w:r>
          </w:p>
          <w:p w14:paraId="571C9221" w14:textId="0CCF382C" w:rsidR="00EB245A" w:rsidRDefault="00EB245A">
            <w:pPr>
              <w:pStyle w:val="Normal0"/>
              <w:spacing w:line="240" w:lineRule="auto"/>
              <w:rPr>
                <w:rFonts w:ascii="Times New Roman" w:hAnsi="Times New Roman" w:cs="Times New Roman"/>
                <w:noProof/>
                <w:sz w:val="18"/>
              </w:rPr>
            </w:pPr>
          </w:p>
          <w:p w14:paraId="7E1ED7C6"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p>
        </w:tc>
        <w:tc>
          <w:tcPr>
            <w:tcW w:w="1294" w:type="dxa"/>
            <w:shd w:val="clear" w:color="auto" w:fill="C6EFCE"/>
          </w:tcPr>
          <w:p w14:paraId="0048B454" w14:textId="77777777" w:rsidR="00EB245A" w:rsidRDefault="006021EE">
            <w:pPr>
              <w:pStyle w:val="P68B1DB1-Normal011"/>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176" w:type="dxa"/>
            <w:shd w:val="clear" w:color="auto" w:fill="C6EFCE"/>
          </w:tcPr>
          <w:p w14:paraId="003AB57D" w14:textId="390D8ADD" w:rsidR="00EB245A" w:rsidRDefault="006021EE">
            <w:pPr>
              <w:pStyle w:val="P68B1DB1-Normal011"/>
              <w:spacing w:line="240" w:lineRule="auto"/>
              <w:rPr>
                <w:rFonts w:cs="Times New Roman"/>
                <w:noProof/>
              </w:rPr>
            </w:pPr>
            <w:r>
              <w:rPr>
                <w:noProof/>
              </w:rPr>
              <w:t>Inkrafttreten einer Reform zur Stärkung der Unabhängigkeit und Unparteilichkeit der Gerichte</w:t>
            </w:r>
          </w:p>
          <w:p w14:paraId="67512E03"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p>
        </w:tc>
        <w:tc>
          <w:tcPr>
            <w:tcW w:w="1943" w:type="dxa"/>
            <w:shd w:val="clear" w:color="auto" w:fill="C6EFCE"/>
          </w:tcPr>
          <w:p w14:paraId="0F74C2D5" w14:textId="57950944" w:rsidR="00EB245A" w:rsidRDefault="006021EE">
            <w:pPr>
              <w:pStyle w:val="P68B1DB1-Normal011"/>
              <w:spacing w:after="0" w:line="240" w:lineRule="auto"/>
              <w:rPr>
                <w:rFonts w:cs="Times New Roman"/>
                <w:noProof/>
              </w:rPr>
            </w:pPr>
            <w:r>
              <w:rPr>
                <w:noProof/>
              </w:rPr>
              <w:t>Bestimmung im Rechtsakt über das Inkrafttreten</w:t>
            </w:r>
          </w:p>
          <w:p w14:paraId="305F1ABF" w14:textId="7834B96F"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p>
        </w:tc>
        <w:tc>
          <w:tcPr>
            <w:tcW w:w="1134" w:type="dxa"/>
            <w:shd w:val="clear" w:color="auto" w:fill="C6EFCE"/>
          </w:tcPr>
          <w:p w14:paraId="4B91D44C"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p>
        </w:tc>
        <w:tc>
          <w:tcPr>
            <w:tcW w:w="1417" w:type="dxa"/>
            <w:shd w:val="clear" w:color="auto" w:fill="C6EFCE"/>
          </w:tcPr>
          <w:p w14:paraId="348A4951" w14:textId="77777777"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rPr>
            </w:pPr>
          </w:p>
        </w:tc>
        <w:tc>
          <w:tcPr>
            <w:tcW w:w="851" w:type="dxa"/>
            <w:shd w:val="clear" w:color="auto" w:fill="C6EFCE"/>
          </w:tcPr>
          <w:p w14:paraId="382B7CDF" w14:textId="77777777"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rPr>
            </w:pPr>
          </w:p>
        </w:tc>
        <w:tc>
          <w:tcPr>
            <w:tcW w:w="1134" w:type="dxa"/>
            <w:shd w:val="clear" w:color="auto" w:fill="C6EFCE"/>
          </w:tcPr>
          <w:p w14:paraId="776245AF" w14:textId="77777777"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Q2</w:t>
            </w:r>
          </w:p>
        </w:tc>
        <w:tc>
          <w:tcPr>
            <w:tcW w:w="1276" w:type="dxa"/>
            <w:shd w:val="clear" w:color="auto" w:fill="C6EFCE"/>
          </w:tcPr>
          <w:p w14:paraId="10184024" w14:textId="77777777"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2022</w:t>
            </w:r>
          </w:p>
        </w:tc>
        <w:tc>
          <w:tcPr>
            <w:tcW w:w="2948" w:type="dxa"/>
            <w:shd w:val="clear" w:color="auto" w:fill="C6EFCE"/>
          </w:tcPr>
          <w:p w14:paraId="0D615868" w14:textId="77777777" w:rsidR="00EB245A" w:rsidRDefault="006021EE">
            <w:pPr>
              <w:pStyle w:val="P68B1DB1-Normal26"/>
              <w:spacing w:line="240" w:lineRule="auto"/>
              <w:rPr>
                <w:rFonts w:cs="Times New Roman"/>
                <w:noProof/>
              </w:rPr>
            </w:pPr>
            <w:r>
              <w:rPr>
                <w:noProof/>
              </w:rPr>
              <w:t>Inkrafttreten einer Reform, die</w:t>
            </w:r>
          </w:p>
          <w:p w14:paraId="6A895184" w14:textId="77777777" w:rsidR="00EB245A" w:rsidRDefault="006021EE">
            <w:pPr>
              <w:pStyle w:val="P68B1DB1-Normal26"/>
              <w:numPr>
                <w:ilvl w:val="0"/>
                <w:numId w:val="23"/>
              </w:numPr>
              <w:spacing w:line="240" w:lineRule="auto"/>
              <w:ind w:left="367" w:hanging="353"/>
              <w:rPr>
                <w:rFonts w:cs="Times New Roman"/>
                <w:noProof/>
              </w:rPr>
            </w:pPr>
            <w:r>
              <w:rPr>
                <w:noProof/>
              </w:rPr>
              <w:t xml:space="preserve">in allen Rechtssachen, die Richter betreffen, einschließlich Disziplinarverfahren und Aufhebung der richterlichen Immunität, wird der Zuständigkeitsbereich der Kammer des Obersten Gerichts mit Ausnahme der bestehenden Disziplinarkammer festgelegt, die die </w:t>
            </w:r>
            <w:r>
              <w:rPr>
                <w:noProof/>
              </w:rPr>
              <w:t>Anforderungen aus Artikel 19 Absatz 1 EUV erfüllt. Dadurch wird sichergestellt, dass die oben genannten Fälle von einem unabhängigen und unparteiischen, durch Gesetz errichteten Gericht geprüft werden, wobei der Ermessensspielraum zur Bestimmung des in ers</w:t>
            </w:r>
            <w:r>
              <w:rPr>
                <w:noProof/>
              </w:rPr>
              <w:t xml:space="preserve">ter Instanz zuständigen Disziplinargerichts in Rechtssachen, die Richter der ordentlichen Gerichtsbarkeit betreffen, begrenzt wird; </w:t>
            </w:r>
          </w:p>
          <w:p w14:paraId="31091696" w14:textId="77777777" w:rsidR="00EB245A" w:rsidRDefault="006021EE">
            <w:pPr>
              <w:pStyle w:val="P68B1DB1-Normal26"/>
              <w:numPr>
                <w:ilvl w:val="0"/>
                <w:numId w:val="23"/>
              </w:numPr>
              <w:spacing w:line="240" w:lineRule="auto"/>
              <w:ind w:left="367" w:hanging="353"/>
              <w:rPr>
                <w:rFonts w:cs="Times New Roman"/>
                <w:noProof/>
              </w:rPr>
            </w:pPr>
            <w:r>
              <w:rPr>
                <w:noProof/>
              </w:rPr>
              <w:t>Klarstellung des Umfangs der disziplinarischen Haftung von Richtern, indem sichergestellt wird, dass das Recht der polnisch</w:t>
            </w:r>
            <w:r>
              <w:rPr>
                <w:noProof/>
              </w:rPr>
              <w:t>en Gerichte, Vorabentscheidungsersuchen an den EuGH zu richten, nicht eingeschränkt wird. Ein solcher Antrag ist kein Grund für die Einleitung eines Disziplinarverfahrens gegen einen Richter;</w:t>
            </w:r>
          </w:p>
          <w:p w14:paraId="44B445F8" w14:textId="77777777" w:rsidR="00EB245A" w:rsidRDefault="006021EE">
            <w:pPr>
              <w:pStyle w:val="P68B1DB1-Normal26"/>
              <w:numPr>
                <w:ilvl w:val="0"/>
                <w:numId w:val="23"/>
              </w:numPr>
              <w:spacing w:line="240" w:lineRule="auto"/>
              <w:ind w:left="367" w:hanging="353"/>
              <w:rPr>
                <w:rFonts w:cs="Times New Roman"/>
                <w:noProof/>
              </w:rPr>
            </w:pPr>
            <w:r>
              <w:rPr>
                <w:noProof/>
              </w:rPr>
              <w:t>die Richter können zwar noch für berufliche Verfehlungen, einsch</w:t>
            </w:r>
            <w:r>
              <w:rPr>
                <w:noProof/>
              </w:rPr>
              <w:t>ließlich offensichtlicher und schwerwiegender Rechtsverstöße, haftbar gemacht werden, aber feststellen, dass der Inhalt gerichtlicher Entscheidungen nicht als Disziplinarvergehen eingestuft wird,</w:t>
            </w:r>
          </w:p>
          <w:p w14:paraId="52ED0DE4" w14:textId="77777777" w:rsidR="00EB245A" w:rsidRDefault="006021EE">
            <w:pPr>
              <w:pStyle w:val="P68B1DB1-Normal26"/>
              <w:numPr>
                <w:ilvl w:val="0"/>
                <w:numId w:val="23"/>
              </w:numPr>
              <w:spacing w:line="240" w:lineRule="auto"/>
              <w:ind w:left="367" w:hanging="353"/>
              <w:rPr>
                <w:rFonts w:cs="Times New Roman"/>
                <w:noProof/>
              </w:rPr>
            </w:pPr>
            <w:r>
              <w:rPr>
                <w:noProof/>
              </w:rPr>
              <w:t>sicherzustellen, dass die Einleitung der Überprüfung im Rahm</w:t>
            </w:r>
            <w:r>
              <w:rPr>
                <w:noProof/>
              </w:rPr>
              <w:t>en des Gerichtsverfahrens, ob ein Richter die Anforderungen an Unabhängigkeit, Unparteilichkeit und „auf Gesetz beruhendes Recht“ gemäß Artikel 19 EUV erfüllt, für ein zuständiges Gericht möglich ist, wenn diesbezüglich ernsthafte Zweifel aufkommen, und da</w:t>
            </w:r>
            <w:r>
              <w:rPr>
                <w:noProof/>
              </w:rPr>
              <w:t xml:space="preserve">ss eine solche Überprüfung nicht als Disziplinarvergehen eingestuft wird, </w:t>
            </w:r>
          </w:p>
          <w:p w14:paraId="6B3AB2A6" w14:textId="77777777" w:rsidR="00EB245A" w:rsidRDefault="006021EE">
            <w:pPr>
              <w:pStyle w:val="P68B1DB1-Normal26"/>
              <w:numPr>
                <w:ilvl w:val="0"/>
                <w:numId w:val="23"/>
              </w:numPr>
              <w:spacing w:line="240" w:lineRule="auto"/>
              <w:ind w:left="367" w:hanging="353"/>
              <w:rPr>
                <w:rFonts w:cs="Times New Roman"/>
                <w:noProof/>
              </w:rPr>
            </w:pPr>
            <w:r>
              <w:rPr>
                <w:noProof/>
              </w:rPr>
              <w:t xml:space="preserve">Stärkung der Verfahrensgarantien und -befugnisse der Parteien in Disziplinarverfahren gegen Richter durch  </w:t>
            </w:r>
          </w:p>
          <w:p w14:paraId="239F63FE" w14:textId="28E69876" w:rsidR="00EB245A" w:rsidRDefault="006021EE">
            <w:pPr>
              <w:pStyle w:val="P68B1DB1-ListParagraph37"/>
              <w:numPr>
                <w:ilvl w:val="0"/>
                <w:numId w:val="26"/>
              </w:numPr>
              <w:spacing w:line="240" w:lineRule="auto"/>
              <w:rPr>
                <w:rFonts w:cs="Times New Roman"/>
                <w:noProof/>
              </w:rPr>
            </w:pPr>
            <w:r>
              <w:rPr>
                <w:noProof/>
              </w:rPr>
              <w:t xml:space="preserve">Gewährleistung, dass Disziplinarverfahren gegen Richter der ordentlichen </w:t>
            </w:r>
            <w:r>
              <w:rPr>
                <w:noProof/>
              </w:rPr>
              <w:t>Gerichtsbarkeit innerhalb einer angemessenen Frist geprüft werden,</w:t>
            </w:r>
          </w:p>
          <w:p w14:paraId="32AAA8F8" w14:textId="77777777" w:rsidR="00EB245A" w:rsidRDefault="00EB245A">
            <w:pPr>
              <w:pStyle w:val="ListParagraph"/>
              <w:spacing w:line="240" w:lineRule="auto"/>
              <w:rPr>
                <w:rFonts w:ascii="Times New Roman" w:hAnsi="Times New Roman" w:cs="Times New Roman"/>
                <w:noProof/>
                <w:sz w:val="18"/>
              </w:rPr>
            </w:pPr>
          </w:p>
          <w:p w14:paraId="6B97E0F8" w14:textId="19E8A8B4" w:rsidR="00EB245A" w:rsidRDefault="006021EE">
            <w:pPr>
              <w:pStyle w:val="P68B1DB1-ListParagraph37"/>
              <w:numPr>
                <w:ilvl w:val="0"/>
                <w:numId w:val="26"/>
              </w:numPr>
              <w:spacing w:line="240" w:lineRule="auto"/>
              <w:rPr>
                <w:rFonts w:cs="Times New Roman"/>
                <w:noProof/>
              </w:rPr>
            </w:pPr>
            <w:r>
              <w:rPr>
                <w:noProof/>
              </w:rPr>
              <w:t xml:space="preserve">präzisere Vorschriften über die örtliche Zuständigkeit der Gerichte, die Disziplinarfälle prüfen, um sicherzustellen, dass das zuständige Gericht unmittelbar im Einklang mit dem Rechtsakt </w:t>
            </w:r>
            <w:r>
              <w:rPr>
                <w:noProof/>
              </w:rPr>
              <w:t>bestimmt werden kann; und</w:t>
            </w:r>
          </w:p>
          <w:p w14:paraId="1DB11DF7" w14:textId="77777777" w:rsidR="00EB245A" w:rsidRDefault="00EB245A">
            <w:pPr>
              <w:pStyle w:val="ListParagraph"/>
              <w:spacing w:line="240" w:lineRule="auto"/>
              <w:rPr>
                <w:rFonts w:ascii="Times New Roman" w:hAnsi="Times New Roman" w:cs="Times New Roman"/>
                <w:noProof/>
                <w:sz w:val="18"/>
              </w:rPr>
            </w:pPr>
          </w:p>
          <w:p w14:paraId="45A25A01" w14:textId="0D9CCDF9" w:rsidR="00EB245A" w:rsidRDefault="006021EE">
            <w:pPr>
              <w:pStyle w:val="P68B1DB1-ListParagraph37"/>
              <w:numPr>
                <w:ilvl w:val="0"/>
                <w:numId w:val="26"/>
              </w:numPr>
              <w:spacing w:line="240" w:lineRule="auto"/>
              <w:rPr>
                <w:rFonts w:eastAsia="Times New Roman" w:cs="Times New Roman"/>
                <w:noProof/>
                <w:color w:val="006100"/>
              </w:rPr>
            </w:pPr>
            <w:r>
              <w:rPr>
                <w:noProof/>
              </w:rPr>
              <w:t>Gewährleistung, dass die Bestellung eines Verteidigers in einem Disziplinarverfahren gegen einen Richter innerhalb einer angemessenen Frist erfolgt, und Bereitstellung einer Frist für die inhaltliche Vorbereitung des Verteidigers</w:t>
            </w:r>
            <w:r>
              <w:rPr>
                <w:noProof/>
              </w:rPr>
              <w:t xml:space="preserve"> auf die Wahrnehmung seiner Aufgaben in dem betreffenden Verfahren. Gleichzeitig setzt das Gericht das Verfahren im Falle einer hinreichend begründeten Abwesenheit des beschuldigten Richters oder seines Verteidigers aus.</w:t>
            </w:r>
          </w:p>
        </w:tc>
      </w:tr>
      <w:tr w:rsidR="00EB245A" w14:paraId="3EE52F44" w14:textId="77777777" w:rsidTr="00080E14">
        <w:trPr>
          <w:gridAfter w:val="1"/>
          <w:wAfter w:w="28" w:type="dxa"/>
          <w:trHeight w:val="313"/>
        </w:trPr>
        <w:tc>
          <w:tcPr>
            <w:tcW w:w="783" w:type="dxa"/>
            <w:shd w:val="clear" w:color="auto" w:fill="C6EFCE"/>
          </w:tcPr>
          <w:p w14:paraId="0BDAC504" w14:textId="77777777"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F2G</w:t>
            </w:r>
          </w:p>
        </w:tc>
        <w:tc>
          <w:tcPr>
            <w:tcW w:w="1325" w:type="dxa"/>
            <w:shd w:val="clear" w:color="auto" w:fill="C6EFCE"/>
          </w:tcPr>
          <w:p w14:paraId="62C4D264" w14:textId="5C6E2FE1" w:rsidR="00EB245A" w:rsidRDefault="006021EE">
            <w:pPr>
              <w:pStyle w:val="P68B1DB1-Normal011"/>
              <w:spacing w:after="0" w:line="240" w:lineRule="auto"/>
              <w:rPr>
                <w:rFonts w:cs="Times New Roman"/>
                <w:noProof/>
              </w:rPr>
            </w:pPr>
            <w:r>
              <w:rPr>
                <w:noProof/>
              </w:rPr>
              <w:t>F1.2 Reform zur Verbesserung der Situation von Richtern, die von den Entscheidungen der Disziplinarkammer des Obersten Gerichts in Disziplinarsachen und Verfahren der richterlichen Immunität betroffen sind</w:t>
            </w:r>
          </w:p>
          <w:p w14:paraId="33C8276D"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p>
        </w:tc>
        <w:tc>
          <w:tcPr>
            <w:tcW w:w="1294" w:type="dxa"/>
            <w:shd w:val="clear" w:color="auto" w:fill="C6EFCE"/>
          </w:tcPr>
          <w:p w14:paraId="209D5ABD" w14:textId="77777777" w:rsidR="00EB245A" w:rsidRDefault="006021EE">
            <w:pPr>
              <w:pStyle w:val="P68B1DB1-Normal011"/>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176" w:type="dxa"/>
            <w:shd w:val="clear" w:color="auto" w:fill="C6EFCE"/>
          </w:tcPr>
          <w:p w14:paraId="4FAECBD7" w14:textId="0B914C66" w:rsidR="00EB245A" w:rsidRDefault="006021EE">
            <w:pPr>
              <w:pStyle w:val="P68B1DB1-Normal011"/>
              <w:pBdr>
                <w:top w:val="nil"/>
                <w:left w:val="nil"/>
                <w:bottom w:val="nil"/>
                <w:right w:val="nil"/>
                <w:between w:val="nil"/>
              </w:pBdr>
              <w:spacing w:after="0" w:line="240" w:lineRule="auto"/>
              <w:rPr>
                <w:rFonts w:eastAsia="Times New Roman" w:cs="Times New Roman"/>
                <w:noProof/>
                <w:color w:val="006100"/>
              </w:rPr>
            </w:pPr>
            <w:r>
              <w:rPr>
                <w:noProof/>
              </w:rPr>
              <w:t>Inkrafttreten einer Reform zur Verbes</w:t>
            </w:r>
            <w:r>
              <w:rPr>
                <w:noProof/>
              </w:rPr>
              <w:t xml:space="preserve">serung der Situation von Richtern, die von den Entscheidungen der Disziplinarkammer des Obersten Gerichts in Disziplinarsachen und Verfahren der richterlichen Immunität betroffen sind </w:t>
            </w:r>
          </w:p>
        </w:tc>
        <w:tc>
          <w:tcPr>
            <w:tcW w:w="1943" w:type="dxa"/>
            <w:shd w:val="clear" w:color="auto" w:fill="C6EFCE"/>
          </w:tcPr>
          <w:p w14:paraId="321BA7E7" w14:textId="33CBEFF3" w:rsidR="00EB245A" w:rsidRDefault="006021EE">
            <w:pPr>
              <w:pStyle w:val="P68B1DB1-Normal011"/>
              <w:spacing w:after="0" w:line="240" w:lineRule="auto"/>
              <w:rPr>
                <w:rFonts w:cs="Times New Roman"/>
                <w:noProof/>
              </w:rPr>
            </w:pPr>
            <w:r>
              <w:rPr>
                <w:noProof/>
              </w:rPr>
              <w:t>Bestimmung im Rechtsakt über das Inkrafttreten</w:t>
            </w:r>
          </w:p>
          <w:p w14:paraId="7FCEE65F" w14:textId="3DE73114"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p>
        </w:tc>
        <w:tc>
          <w:tcPr>
            <w:tcW w:w="1134" w:type="dxa"/>
            <w:shd w:val="clear" w:color="auto" w:fill="C6EFCE"/>
          </w:tcPr>
          <w:p w14:paraId="3F68C099"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p>
        </w:tc>
        <w:tc>
          <w:tcPr>
            <w:tcW w:w="1417" w:type="dxa"/>
            <w:shd w:val="clear" w:color="auto" w:fill="C6EFCE"/>
          </w:tcPr>
          <w:p w14:paraId="30B1919D" w14:textId="77777777"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rPr>
            </w:pPr>
          </w:p>
        </w:tc>
        <w:tc>
          <w:tcPr>
            <w:tcW w:w="851" w:type="dxa"/>
            <w:shd w:val="clear" w:color="auto" w:fill="C6EFCE"/>
          </w:tcPr>
          <w:p w14:paraId="272BFA52" w14:textId="77777777"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rPr>
            </w:pPr>
          </w:p>
        </w:tc>
        <w:tc>
          <w:tcPr>
            <w:tcW w:w="1134" w:type="dxa"/>
            <w:shd w:val="clear" w:color="auto" w:fill="C6EFCE"/>
          </w:tcPr>
          <w:p w14:paraId="5D2EDDCD" w14:textId="77777777"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themeColor="text1"/>
              </w:rPr>
            </w:pPr>
            <w:r>
              <w:rPr>
                <w:noProof/>
              </w:rPr>
              <w:t>Q2</w:t>
            </w:r>
          </w:p>
        </w:tc>
        <w:tc>
          <w:tcPr>
            <w:tcW w:w="1276" w:type="dxa"/>
            <w:shd w:val="clear" w:color="auto" w:fill="C6EFCE"/>
          </w:tcPr>
          <w:p w14:paraId="69FFDC49" w14:textId="77777777"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2022</w:t>
            </w:r>
          </w:p>
        </w:tc>
        <w:tc>
          <w:tcPr>
            <w:tcW w:w="2948" w:type="dxa"/>
            <w:shd w:val="clear" w:color="auto" w:fill="C6EFCE"/>
          </w:tcPr>
          <w:p w14:paraId="17B2BC0E" w14:textId="77777777" w:rsidR="00EB245A" w:rsidRDefault="006021EE">
            <w:pPr>
              <w:pStyle w:val="P68B1DB1-Normal011"/>
              <w:pBdr>
                <w:top w:val="nil"/>
                <w:left w:val="nil"/>
                <w:bottom w:val="nil"/>
                <w:right w:val="nil"/>
                <w:between w:val="nil"/>
              </w:pBdr>
              <w:spacing w:after="0" w:line="240" w:lineRule="auto"/>
              <w:rPr>
                <w:rFonts w:eastAsia="Times New Roman" w:cs="Times New Roman"/>
                <w:noProof/>
                <w:color w:val="006100"/>
              </w:rPr>
            </w:pPr>
            <w:r>
              <w:rPr>
                <w:noProof/>
              </w:rPr>
              <w:t xml:space="preserve">Inkrafttreten einer Reform, mit der sichergestellt wird, dass Richter, die von Entscheidungen der Disziplinarkammer des Obersten Gerichts betroffen sind, Zugang zur Überprüfung ihrer Rechtssachen haben. Bereits von der Disziplinarkammer entschiedene Fälle </w:t>
            </w:r>
            <w:r>
              <w:rPr>
                <w:noProof/>
              </w:rPr>
              <w:t>werden von einem Gericht überprüft, das die Anforderungen des Artikels 19 Absatz 1 EUV erfüllt, und zwar im Einklang mit den Vorschriften, die auf der Grundlage des oben genannten Meilensteins F1G zu erlassen sind. In dem Rechtsakt wird festgelegt, dass di</w:t>
            </w:r>
            <w:r>
              <w:rPr>
                <w:noProof/>
              </w:rPr>
              <w:t>e erste Verhandlung des Gerichts, das über diese Rechtssachen entscheidet, innerhalb von drei Monaten nach Eingang des Antrags des Richters, der eine Überprüfung beantragt, stattfindet und dass die Rechtssachen innerhalb von zwölf Monaten nach Eingang dies</w:t>
            </w:r>
            <w:r>
              <w:rPr>
                <w:noProof/>
              </w:rPr>
              <w:t>es Antrags entschieden werden. Die Rechtssachen, die derzeit noch bei der Disziplinarkammer anhängig sind, werden nach den im Rahmen des oben genannten Verfahrens festgelegten Regeln dem Gericht zur weiteren Prüfung vorgelegt.</w:t>
            </w:r>
          </w:p>
        </w:tc>
      </w:tr>
      <w:tr w:rsidR="00EB245A" w14:paraId="0997543D" w14:textId="77777777" w:rsidTr="00080E14">
        <w:trPr>
          <w:gridAfter w:val="1"/>
          <w:wAfter w:w="28" w:type="dxa"/>
          <w:trHeight w:val="313"/>
        </w:trPr>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95316CC" w14:textId="77777777" w:rsidR="00EB245A" w:rsidRDefault="006021EE">
            <w:pPr>
              <w:pStyle w:val="P68B1DB1-Normal011"/>
              <w:pBdr>
                <w:top w:val="nil"/>
                <w:left w:val="nil"/>
                <w:bottom w:val="nil"/>
                <w:right w:val="nil"/>
                <w:between w:val="nil"/>
              </w:pBdr>
              <w:spacing w:after="0" w:line="240" w:lineRule="auto"/>
              <w:jc w:val="center"/>
              <w:rPr>
                <w:rFonts w:cs="Times New Roman"/>
                <w:noProof/>
              </w:rPr>
            </w:pPr>
            <w:r>
              <w:rPr>
                <w:noProof/>
              </w:rPr>
              <w:t>F3G</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1DA23D9" w14:textId="3173D6AF" w:rsidR="00EB245A" w:rsidRDefault="006021EE">
            <w:pPr>
              <w:pStyle w:val="P68B1DB1-Normal011"/>
              <w:pBdr>
                <w:top w:val="nil"/>
                <w:left w:val="nil"/>
                <w:bottom w:val="nil"/>
                <w:right w:val="nil"/>
                <w:between w:val="nil"/>
              </w:pBdr>
              <w:spacing w:after="0" w:line="240" w:lineRule="auto"/>
              <w:rPr>
                <w:rFonts w:eastAsia="Times New Roman" w:cs="Times New Roman"/>
                <w:noProof/>
                <w:color w:val="000000"/>
              </w:rPr>
            </w:pPr>
            <w:r>
              <w:rPr>
                <w:noProof/>
              </w:rPr>
              <w:t>F1.2 Reform zur Verbesserung der Situation von Richtern, die von den Entscheidungen der Disziplinarkammer des Obersten Gerichts in Disziplinarsachen und Verfahren der richterlichen Immunität betroffen sind</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89E3511" w14:textId="77777777" w:rsidR="00EB245A" w:rsidRDefault="006021EE">
            <w:pPr>
              <w:pStyle w:val="P68B1DB1-Normal011"/>
              <w:pBdr>
                <w:top w:val="nil"/>
                <w:left w:val="nil"/>
                <w:bottom w:val="nil"/>
                <w:right w:val="nil"/>
                <w:between w:val="nil"/>
              </w:pBdr>
              <w:spacing w:after="0" w:line="240" w:lineRule="auto"/>
              <w:rPr>
                <w:rFonts w:eastAsia="Times New Roman" w:cs="Times New Roman"/>
                <w:noProof/>
                <w:color w:val="000000"/>
              </w:rPr>
            </w:pPr>
            <w:r>
              <w:rPr>
                <w:noProof/>
              </w:rPr>
              <w:t>Meilenstein</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866A31E" w14:textId="008C3FCC" w:rsidR="00EB245A" w:rsidRDefault="006021EE">
            <w:pPr>
              <w:pStyle w:val="P68B1DB1-Normal011"/>
              <w:pBdr>
                <w:top w:val="nil"/>
                <w:left w:val="nil"/>
                <w:bottom w:val="nil"/>
                <w:right w:val="nil"/>
                <w:between w:val="nil"/>
              </w:pBdr>
              <w:spacing w:after="0" w:line="240" w:lineRule="auto"/>
              <w:rPr>
                <w:rFonts w:eastAsia="Times New Roman" w:cs="Times New Roman"/>
                <w:noProof/>
                <w:color w:val="000000"/>
              </w:rPr>
            </w:pPr>
            <w:r>
              <w:rPr>
                <w:noProof/>
              </w:rPr>
              <w:t xml:space="preserve">Reform zur Verbesserung der Situation </w:t>
            </w:r>
            <w:r>
              <w:rPr>
                <w:noProof/>
              </w:rPr>
              <w:t xml:space="preserve">von Richtern, die von den Entscheidungen der Disziplinarkammer des Obersten Gerichts in Disziplinarsachen und Verfahren der richterlichen Immunität betroffen sind </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48C9CDA" w14:textId="77777777" w:rsidR="00EB245A" w:rsidRDefault="006021EE">
            <w:pPr>
              <w:pStyle w:val="P68B1DB1-Normal011"/>
              <w:pBdr>
                <w:top w:val="nil"/>
                <w:left w:val="nil"/>
                <w:bottom w:val="nil"/>
                <w:right w:val="nil"/>
                <w:between w:val="nil"/>
              </w:pBdr>
              <w:spacing w:after="0" w:line="240" w:lineRule="auto"/>
              <w:rPr>
                <w:rFonts w:eastAsia="Times New Roman" w:cs="Times New Roman"/>
                <w:noProof/>
                <w:color w:val="000000"/>
              </w:rPr>
            </w:pPr>
            <w:r>
              <w:rPr>
                <w:noProof/>
              </w:rPr>
              <w:t>Entschiedene Rechtssachen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6A20B3"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F755423" w14:textId="77777777"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32985C6" w14:textId="77777777"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FDEC93" w14:textId="77777777"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Q4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698FC2" w14:textId="77777777"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0000"/>
              </w:rPr>
            </w:pPr>
            <w:r>
              <w:rPr>
                <w:noProof/>
              </w:rPr>
              <w:t>2023</w:t>
            </w:r>
          </w:p>
        </w:tc>
        <w:tc>
          <w:tcPr>
            <w:tcW w:w="2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BCBC79" w14:textId="77777777" w:rsidR="00EB245A" w:rsidRDefault="006021EE">
            <w:pPr>
              <w:pStyle w:val="P68B1DB1-Normal26"/>
              <w:pBdr>
                <w:top w:val="nil"/>
                <w:left w:val="nil"/>
                <w:bottom w:val="nil"/>
                <w:right w:val="nil"/>
                <w:between w:val="nil"/>
              </w:pBdr>
              <w:spacing w:after="0" w:line="240" w:lineRule="auto"/>
              <w:rPr>
                <w:rFonts w:eastAsia="Times New Roman" w:cs="Times New Roman"/>
                <w:noProof/>
                <w:color w:val="000000"/>
              </w:rPr>
            </w:pPr>
            <w:r>
              <w:rPr>
                <w:noProof/>
              </w:rPr>
              <w:t xml:space="preserve">Über alle gemäß Meilenstein F2G eingeleiteten </w:t>
            </w:r>
            <w:r>
              <w:rPr>
                <w:noProof/>
              </w:rPr>
              <w:t>Überprüfungsfälle wird entschieden, es sei denn, es liegen hinreichend begründete außergewöhnliche Umstände vor.</w:t>
            </w:r>
          </w:p>
        </w:tc>
      </w:tr>
      <w:tr w:rsidR="00EB245A" w14:paraId="7ED83436" w14:textId="77777777" w:rsidTr="00080E14">
        <w:trPr>
          <w:gridAfter w:val="1"/>
          <w:wAfter w:w="28" w:type="dxa"/>
          <w:trHeight w:val="313"/>
        </w:trPr>
        <w:tc>
          <w:tcPr>
            <w:tcW w:w="783" w:type="dxa"/>
            <w:shd w:val="clear" w:color="auto" w:fill="C6EFCE"/>
          </w:tcPr>
          <w:p w14:paraId="0D875951" w14:textId="77777777"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F4G</w:t>
            </w:r>
          </w:p>
        </w:tc>
        <w:tc>
          <w:tcPr>
            <w:tcW w:w="1325" w:type="dxa"/>
            <w:shd w:val="clear" w:color="auto" w:fill="C6EFCE"/>
          </w:tcPr>
          <w:p w14:paraId="1C7A31E6" w14:textId="77777777" w:rsidR="00EB245A" w:rsidRDefault="006021EE">
            <w:pPr>
              <w:pStyle w:val="P68B1DB1-Normal011"/>
              <w:spacing w:after="0" w:line="240" w:lineRule="auto"/>
              <w:rPr>
                <w:rFonts w:cs="Times New Roman"/>
                <w:noProof/>
              </w:rPr>
            </w:pPr>
            <w:r>
              <w:rPr>
                <w:noProof/>
              </w:rPr>
              <w:t>F2.1 Verbesserung des Rechtsetzungsprozesses</w:t>
            </w:r>
          </w:p>
          <w:p w14:paraId="16D9043F"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p>
        </w:tc>
        <w:tc>
          <w:tcPr>
            <w:tcW w:w="1294" w:type="dxa"/>
            <w:shd w:val="clear" w:color="auto" w:fill="C6EFCE"/>
          </w:tcPr>
          <w:p w14:paraId="1E84A780" w14:textId="77777777" w:rsidR="00EB245A" w:rsidRDefault="006021EE">
            <w:pPr>
              <w:pStyle w:val="P68B1DB1-Normal011"/>
              <w:spacing w:after="0" w:line="240" w:lineRule="auto"/>
              <w:rPr>
                <w:rFonts w:cs="Times New Roman"/>
                <w:noProof/>
              </w:rPr>
            </w:pPr>
            <w:r>
              <w:rPr>
                <w:noProof/>
              </w:rPr>
              <w:t>Meilenstein</w:t>
            </w:r>
          </w:p>
          <w:p w14:paraId="621A9F55"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p>
        </w:tc>
        <w:tc>
          <w:tcPr>
            <w:tcW w:w="1176" w:type="dxa"/>
            <w:shd w:val="clear" w:color="auto" w:fill="C6EFCE"/>
          </w:tcPr>
          <w:p w14:paraId="325F64CF" w14:textId="14951658" w:rsidR="00EB245A" w:rsidRDefault="006021EE">
            <w:pPr>
              <w:pStyle w:val="P68B1DB1-Normal011"/>
              <w:pBdr>
                <w:top w:val="nil"/>
                <w:left w:val="nil"/>
                <w:bottom w:val="nil"/>
                <w:right w:val="nil"/>
                <w:between w:val="nil"/>
              </w:pBdr>
              <w:spacing w:after="0" w:line="240" w:lineRule="auto"/>
              <w:rPr>
                <w:rFonts w:eastAsia="Times New Roman" w:cs="Times New Roman"/>
                <w:noProof/>
                <w:color w:val="006100"/>
              </w:rPr>
            </w:pPr>
            <w:r>
              <w:rPr>
                <w:noProof/>
                <w:color w:val="000000" w:themeColor="text1"/>
              </w:rPr>
              <w:t>Inkrafttreten</w:t>
            </w:r>
            <w:r>
              <w:rPr>
                <w:noProof/>
                <w:color w:val="000000" w:themeColor="text1"/>
              </w:rPr>
              <w:t xml:space="preserve"> von Änderungen der Geschäftsordnung des Sejm, des Senats und des Ministerrates</w:t>
            </w:r>
            <w:r>
              <w:rPr>
                <w:noProof/>
              </w:rPr>
              <w:t xml:space="preserve"> </w:t>
            </w:r>
          </w:p>
        </w:tc>
        <w:tc>
          <w:tcPr>
            <w:tcW w:w="1943" w:type="dxa"/>
            <w:shd w:val="clear" w:color="auto" w:fill="C6EFCE"/>
          </w:tcPr>
          <w:p w14:paraId="10AB2661" w14:textId="4072FEE2" w:rsidR="00EB245A" w:rsidRDefault="006021EE">
            <w:pPr>
              <w:pStyle w:val="P68B1DB1-Normal011"/>
              <w:spacing w:after="0" w:line="240" w:lineRule="auto"/>
              <w:rPr>
                <w:rFonts w:cs="Times New Roman"/>
                <w:noProof/>
              </w:rPr>
            </w:pPr>
            <w:r>
              <w:rPr>
                <w:noProof/>
              </w:rPr>
              <w:t>Bestimmungen in den Rechtsakten, aus denen das Inkrafttreten hervorgeht</w:t>
            </w:r>
          </w:p>
          <w:p w14:paraId="10EC0E2A"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p>
        </w:tc>
        <w:tc>
          <w:tcPr>
            <w:tcW w:w="1134" w:type="dxa"/>
            <w:shd w:val="clear" w:color="auto" w:fill="C6EFCE"/>
          </w:tcPr>
          <w:p w14:paraId="4AE81A34"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p>
        </w:tc>
        <w:tc>
          <w:tcPr>
            <w:tcW w:w="1417" w:type="dxa"/>
            <w:shd w:val="clear" w:color="auto" w:fill="C6EFCE"/>
          </w:tcPr>
          <w:p w14:paraId="45421887" w14:textId="77777777"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rPr>
            </w:pPr>
          </w:p>
        </w:tc>
        <w:tc>
          <w:tcPr>
            <w:tcW w:w="851" w:type="dxa"/>
            <w:shd w:val="clear" w:color="auto" w:fill="C6EFCE"/>
          </w:tcPr>
          <w:p w14:paraId="13B3D281" w14:textId="77777777" w:rsidR="00EB245A" w:rsidRDefault="00EB245A">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rPr>
            </w:pPr>
          </w:p>
        </w:tc>
        <w:tc>
          <w:tcPr>
            <w:tcW w:w="1134" w:type="dxa"/>
            <w:shd w:val="clear" w:color="auto" w:fill="C6EFCE"/>
          </w:tcPr>
          <w:p w14:paraId="749F6212" w14:textId="77777777"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Q3</w:t>
            </w:r>
          </w:p>
        </w:tc>
        <w:tc>
          <w:tcPr>
            <w:tcW w:w="1276" w:type="dxa"/>
            <w:shd w:val="clear" w:color="auto" w:fill="C6EFCE"/>
          </w:tcPr>
          <w:p w14:paraId="21824A1F" w14:textId="77777777"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2022</w:t>
            </w:r>
          </w:p>
        </w:tc>
        <w:tc>
          <w:tcPr>
            <w:tcW w:w="2948" w:type="dxa"/>
            <w:shd w:val="clear" w:color="auto" w:fill="C6EFCE"/>
          </w:tcPr>
          <w:p w14:paraId="2B767B6B" w14:textId="305B2DED" w:rsidR="00EB245A" w:rsidRDefault="006021EE">
            <w:pPr>
              <w:pStyle w:val="P68B1DB1-Normal26"/>
              <w:spacing w:after="0" w:line="240" w:lineRule="auto"/>
              <w:rPr>
                <w:rFonts w:eastAsia="Times New Roman" w:cs="Times New Roman"/>
                <w:noProof/>
              </w:rPr>
            </w:pPr>
            <w:r>
              <w:rPr>
                <w:noProof/>
              </w:rPr>
              <w:t xml:space="preserve">Inkrafttreten von Änderungen der Geschäftsordnung des Sejm, mit denen die Anwendung von beschleunigten Verfahren auf gerechtfertigte Fälle beschränkt wird und bei Gesetzesentwürfen, die von den Abgeordneten vorgeschlagen werden, die Anforderung eingeführt </w:t>
            </w:r>
            <w:r>
              <w:rPr>
                <w:noProof/>
              </w:rPr>
              <w:t xml:space="preserve">werden, dass außer in begründeten Fällen eine Folgenabschätzung und öffentliche Konsultation durchgeführt wird.  </w:t>
            </w:r>
          </w:p>
          <w:p w14:paraId="1CB06691" w14:textId="18B33F3A" w:rsidR="00EB245A" w:rsidRDefault="00EB245A">
            <w:pPr>
              <w:spacing w:after="0" w:line="240" w:lineRule="auto"/>
              <w:rPr>
                <w:rFonts w:ascii="Times New Roman" w:eastAsia="Times New Roman" w:hAnsi="Times New Roman" w:cs="Times New Roman"/>
                <w:noProof/>
                <w:sz w:val="18"/>
              </w:rPr>
            </w:pPr>
          </w:p>
          <w:p w14:paraId="768C4424" w14:textId="69A89EFB" w:rsidR="00EB245A" w:rsidRDefault="006021EE">
            <w:pPr>
              <w:pStyle w:val="P68B1DB1-Normal26"/>
              <w:spacing w:after="0" w:line="240" w:lineRule="auto"/>
              <w:rPr>
                <w:rFonts w:eastAsia="Times New Roman" w:cs="Times New Roman"/>
                <w:noProof/>
              </w:rPr>
            </w:pPr>
            <w:r>
              <w:rPr>
                <w:noProof/>
              </w:rPr>
              <w:t xml:space="preserve">Inkrafttreten von Änderungen der Geschäftsordnung der </w:t>
            </w:r>
          </w:p>
          <w:p w14:paraId="279E87E8" w14:textId="21ACB8D3" w:rsidR="00EB245A" w:rsidRDefault="006021EE">
            <w:pPr>
              <w:pStyle w:val="P68B1DB1-Normal26"/>
              <w:spacing w:after="0" w:line="240" w:lineRule="auto"/>
              <w:rPr>
                <w:rFonts w:eastAsia="Times New Roman" w:cs="Times New Roman"/>
                <w:noProof/>
              </w:rPr>
            </w:pPr>
            <w:r>
              <w:rPr>
                <w:noProof/>
              </w:rPr>
              <w:t>Verfahren des Ministerrats, das den Rückgriff auf beschleunigte Verfahren auf gerechtf</w:t>
            </w:r>
            <w:r>
              <w:rPr>
                <w:noProof/>
              </w:rPr>
              <w:t xml:space="preserve">ertigte Fälle beschränkt.  </w:t>
            </w:r>
          </w:p>
          <w:p w14:paraId="79A90CA9" w14:textId="3D97FCFD" w:rsidR="00EB245A" w:rsidRDefault="00EB245A">
            <w:pPr>
              <w:spacing w:after="0" w:line="240" w:lineRule="auto"/>
              <w:rPr>
                <w:rFonts w:ascii="Times New Roman" w:eastAsia="Times New Roman" w:hAnsi="Times New Roman" w:cs="Times New Roman"/>
                <w:noProof/>
                <w:sz w:val="18"/>
              </w:rPr>
            </w:pPr>
          </w:p>
          <w:p w14:paraId="00B89BAF" w14:textId="3A5D641B" w:rsidR="00EB245A" w:rsidRDefault="006021EE">
            <w:pPr>
              <w:pStyle w:val="P68B1DB1-Normal26"/>
              <w:spacing w:after="0" w:line="240" w:lineRule="auto"/>
              <w:rPr>
                <w:rFonts w:eastAsia="Times New Roman" w:cs="Times New Roman"/>
                <w:noProof/>
                <w:color w:val="C239B3"/>
              </w:rPr>
            </w:pPr>
            <w:r>
              <w:rPr>
                <w:noProof/>
              </w:rPr>
              <w:t>Inkrafttreten von Änderungen der Geschäftsordnung des Senats, mit denen für vom Senat vorgeschlagene Gesetzesentwürfe die Anforderung eingeführt wird, dass außer in begründeten Fällen eine Folgenabschätzung durchgeführt wird.</w:t>
            </w:r>
          </w:p>
          <w:p w14:paraId="3BEC99E2" w14:textId="7240DEBB" w:rsidR="00EB245A" w:rsidRDefault="00EB245A">
            <w:pPr>
              <w:pBdr>
                <w:top w:val="nil"/>
                <w:left w:val="nil"/>
                <w:bottom w:val="nil"/>
                <w:right w:val="nil"/>
                <w:between w:val="nil"/>
              </w:pBdr>
              <w:spacing w:after="0" w:line="257" w:lineRule="auto"/>
              <w:rPr>
                <w:rFonts w:ascii="Times New Roman" w:eastAsia="Times New Roman" w:hAnsi="Times New Roman" w:cs="Times New Roman"/>
                <w:b/>
                <w:i/>
                <w:noProof/>
                <w:color w:val="000000" w:themeColor="text1"/>
                <w:sz w:val="18"/>
              </w:rPr>
            </w:pPr>
          </w:p>
        </w:tc>
      </w:tr>
      <w:tr w:rsidR="00EB245A" w14:paraId="72CCB682" w14:textId="77777777" w:rsidTr="00080E14">
        <w:trPr>
          <w:gridAfter w:val="1"/>
          <w:wAfter w:w="28" w:type="dxa"/>
          <w:trHeight w:val="313"/>
        </w:trPr>
        <w:tc>
          <w:tcPr>
            <w:tcW w:w="783" w:type="dxa"/>
            <w:shd w:val="clear" w:color="auto" w:fill="C6EFCE"/>
          </w:tcPr>
          <w:p w14:paraId="4757F5E6" w14:textId="77777777"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F5G</w:t>
            </w:r>
          </w:p>
        </w:tc>
        <w:tc>
          <w:tcPr>
            <w:tcW w:w="1325" w:type="dxa"/>
            <w:shd w:val="clear" w:color="auto" w:fill="C6EFCE"/>
          </w:tcPr>
          <w:p w14:paraId="1481632E" w14:textId="77777777" w:rsidR="00EB245A" w:rsidRDefault="006021EE">
            <w:pPr>
              <w:pStyle w:val="P68B1DB1-Normal011"/>
              <w:pBdr>
                <w:top w:val="nil"/>
                <w:left w:val="nil"/>
                <w:bottom w:val="nil"/>
                <w:right w:val="nil"/>
                <w:between w:val="nil"/>
              </w:pBdr>
              <w:spacing w:after="0" w:line="240" w:lineRule="auto"/>
              <w:rPr>
                <w:rFonts w:eastAsia="Times New Roman" w:cs="Times New Roman"/>
                <w:noProof/>
                <w:color w:val="006100"/>
              </w:rPr>
            </w:pPr>
            <w:r>
              <w:rPr>
                <w:noProof/>
              </w:rPr>
              <w:t>F3.1 Verbesserung der Bedingungen für die Durchführung des Aufbau- und Resilienzplans</w:t>
            </w:r>
          </w:p>
        </w:tc>
        <w:tc>
          <w:tcPr>
            <w:tcW w:w="1294" w:type="dxa"/>
            <w:shd w:val="clear" w:color="auto" w:fill="C6EFCE"/>
          </w:tcPr>
          <w:p w14:paraId="42C6A165" w14:textId="77777777" w:rsidR="00EB245A" w:rsidRDefault="006021EE">
            <w:pPr>
              <w:pStyle w:val="P68B1DB1-Normal011"/>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176" w:type="dxa"/>
            <w:shd w:val="clear" w:color="auto" w:fill="C6EFCE"/>
          </w:tcPr>
          <w:p w14:paraId="592A76AF" w14:textId="30FC3415" w:rsidR="00EB245A" w:rsidRDefault="006021EE">
            <w:pPr>
              <w:pStyle w:val="P68B1DB1-Normal011"/>
              <w:pBdr>
                <w:top w:val="nil"/>
                <w:left w:val="nil"/>
                <w:bottom w:val="nil"/>
                <w:right w:val="nil"/>
                <w:between w:val="nil"/>
              </w:pBdr>
              <w:spacing w:after="0" w:line="240" w:lineRule="auto"/>
              <w:rPr>
                <w:rFonts w:eastAsia="Times New Roman" w:cs="Times New Roman"/>
                <w:noProof/>
                <w:color w:val="006100"/>
              </w:rPr>
            </w:pPr>
            <w:r>
              <w:rPr>
                <w:noProof/>
              </w:rPr>
              <w:t xml:space="preserve">Inkrafttreten eines Rechtsakts, mit dem ein Begleitausschuss eingesetzt wird und mit der Überwachung der wirksamen Durchführung des Aufbau- und </w:t>
            </w:r>
            <w:r>
              <w:rPr>
                <w:noProof/>
              </w:rPr>
              <w:t>Resilienzplans betraut wird</w:t>
            </w:r>
          </w:p>
        </w:tc>
        <w:tc>
          <w:tcPr>
            <w:tcW w:w="1943" w:type="dxa"/>
            <w:shd w:val="clear" w:color="auto" w:fill="C6EFCE"/>
          </w:tcPr>
          <w:p w14:paraId="4D17ECFE" w14:textId="0C6171B6" w:rsidR="00EB245A" w:rsidRDefault="006021EE">
            <w:pPr>
              <w:pStyle w:val="P68B1DB1-Normal011"/>
              <w:pBdr>
                <w:top w:val="nil"/>
                <w:left w:val="nil"/>
                <w:bottom w:val="nil"/>
                <w:right w:val="nil"/>
                <w:between w:val="nil"/>
              </w:pBdr>
              <w:spacing w:after="0" w:line="240" w:lineRule="auto"/>
              <w:rPr>
                <w:rFonts w:eastAsia="Times New Roman" w:cs="Times New Roman"/>
                <w:noProof/>
                <w:color w:val="006100"/>
              </w:rPr>
            </w:pPr>
            <w:r>
              <w:rPr>
                <w:noProof/>
              </w:rPr>
              <w:t>Bestimmung im Rechtsakt über das Inkrafttreten</w:t>
            </w:r>
          </w:p>
        </w:tc>
        <w:tc>
          <w:tcPr>
            <w:tcW w:w="1134" w:type="dxa"/>
            <w:shd w:val="clear" w:color="auto" w:fill="C6EFCE"/>
          </w:tcPr>
          <w:p w14:paraId="29EBA8D0" w14:textId="77777777" w:rsidR="00EB245A" w:rsidRDefault="006021EE">
            <w:pPr>
              <w:pStyle w:val="P68B1DB1-Normal011"/>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417" w:type="dxa"/>
            <w:shd w:val="clear" w:color="auto" w:fill="C6EFCE"/>
          </w:tcPr>
          <w:p w14:paraId="50B7F38D" w14:textId="77777777" w:rsidR="00EB245A" w:rsidRDefault="006021EE">
            <w:pPr>
              <w:pStyle w:val="P68B1DB1-Normal011"/>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851" w:type="dxa"/>
            <w:shd w:val="clear" w:color="auto" w:fill="C6EFCE"/>
          </w:tcPr>
          <w:p w14:paraId="3C0746B5" w14:textId="77777777" w:rsidR="00EB245A" w:rsidRDefault="006021EE">
            <w:pPr>
              <w:pStyle w:val="P68B1DB1-Normal011"/>
              <w:pBdr>
                <w:top w:val="nil"/>
                <w:left w:val="nil"/>
                <w:bottom w:val="nil"/>
                <w:right w:val="nil"/>
                <w:between w:val="nil"/>
              </w:pBdr>
              <w:spacing w:after="0" w:line="240" w:lineRule="auto"/>
              <w:rPr>
                <w:rFonts w:eastAsia="Times New Roman" w:cs="Times New Roman"/>
                <w:noProof/>
                <w:color w:val="006100"/>
              </w:rPr>
            </w:pPr>
            <w:r>
              <w:rPr>
                <w:noProof/>
              </w:rPr>
              <w:t xml:space="preserve"> </w:t>
            </w:r>
          </w:p>
        </w:tc>
        <w:tc>
          <w:tcPr>
            <w:tcW w:w="1134" w:type="dxa"/>
            <w:shd w:val="clear" w:color="auto" w:fill="C6EFCE"/>
          </w:tcPr>
          <w:p w14:paraId="7E306976" w14:textId="77777777"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Q1</w:t>
            </w:r>
          </w:p>
        </w:tc>
        <w:tc>
          <w:tcPr>
            <w:tcW w:w="1276" w:type="dxa"/>
            <w:shd w:val="clear" w:color="auto" w:fill="C6EFCE"/>
          </w:tcPr>
          <w:p w14:paraId="224AE0A9" w14:textId="77777777"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2022</w:t>
            </w:r>
          </w:p>
        </w:tc>
        <w:tc>
          <w:tcPr>
            <w:tcW w:w="2948" w:type="dxa"/>
            <w:shd w:val="clear" w:color="auto" w:fill="C6EFCE"/>
          </w:tcPr>
          <w:p w14:paraId="2D99728F" w14:textId="2F3ED9FF" w:rsidR="00EB245A" w:rsidRDefault="006021EE">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r>
              <w:rPr>
                <w:rFonts w:ascii="Times New Roman" w:hAnsi="Times New Roman"/>
                <w:noProof/>
                <w:sz w:val="18"/>
              </w:rPr>
              <w:t xml:space="preserve">Nach einer öffentlichen Konsultation Inkrafttreten eines Rechtsakts, der </w:t>
            </w:r>
            <w:r>
              <w:rPr>
                <w:noProof/>
              </w:rPr>
              <w:t xml:space="preserve">  </w:t>
            </w:r>
            <w:r>
              <w:rPr>
                <w:noProof/>
              </w:rPr>
              <w:br/>
            </w:r>
            <w:r>
              <w:rPr>
                <w:rFonts w:ascii="Times New Roman" w:hAnsi="Times New Roman"/>
                <w:noProof/>
                <w:sz w:val="18"/>
              </w:rPr>
              <w:t xml:space="preserve">1) Einrichtung eines Begleitausschusses, der die Aufgabe hat, die wirksame Umsetzung des </w:t>
            </w:r>
            <w:r>
              <w:rPr>
                <w:rFonts w:ascii="Times New Roman" w:hAnsi="Times New Roman"/>
                <w:noProof/>
                <w:sz w:val="18"/>
              </w:rPr>
              <w:t>Aufbau- und Resilienzplans zu überwachen, der sich aus Interessenträgern und Sozialpartnern zusammensetzt, die von der Durchführung des Aufbau- und Resilienzplans betroffen sind, einschließlich Vertretern von Organisationen, die die Zivilgesellschaft vertr</w:t>
            </w:r>
            <w:r>
              <w:rPr>
                <w:rFonts w:ascii="Times New Roman" w:hAnsi="Times New Roman"/>
                <w:noProof/>
                <w:sz w:val="18"/>
              </w:rPr>
              <w:t>eten und die Grundrechte und die Nichtdiskriminierung fördern;</w:t>
            </w:r>
            <w:r>
              <w:rPr>
                <w:noProof/>
              </w:rPr>
              <w:t xml:space="preserve">  </w:t>
            </w:r>
            <w:r>
              <w:rPr>
                <w:noProof/>
              </w:rPr>
              <w:br/>
            </w:r>
            <w:r>
              <w:rPr>
                <w:rFonts w:ascii="Times New Roman" w:hAnsi="Times New Roman"/>
                <w:noProof/>
                <w:sz w:val="18"/>
              </w:rPr>
              <w:t>2) Einführung einer rechtlichen Verpflichtung, den Begleitausschuss während der Durchführung des Aufbau- und Resilienzplans zu konsultieren.</w:t>
            </w:r>
          </w:p>
        </w:tc>
      </w:tr>
      <w:tr w:rsidR="00EB245A" w14:paraId="083EAA4B" w14:textId="77777777" w:rsidTr="00080E14">
        <w:trPr>
          <w:gridAfter w:val="1"/>
          <w:wAfter w:w="28" w:type="dxa"/>
          <w:trHeight w:val="313"/>
        </w:trPr>
        <w:tc>
          <w:tcPr>
            <w:tcW w:w="783" w:type="dxa"/>
            <w:shd w:val="clear" w:color="auto" w:fill="C6EFCE"/>
          </w:tcPr>
          <w:p w14:paraId="2E1B4DA4" w14:textId="1C297B31" w:rsidR="00EB245A" w:rsidRDefault="006021EE">
            <w:pPr>
              <w:pStyle w:val="P68B1DB1-Normal011"/>
              <w:spacing w:after="0" w:line="240" w:lineRule="auto"/>
              <w:jc w:val="center"/>
              <w:rPr>
                <w:rFonts w:cs="Times New Roman"/>
                <w:noProof/>
              </w:rPr>
            </w:pPr>
            <w:r>
              <w:rPr>
                <w:noProof/>
              </w:rPr>
              <w:t>F6G</w:t>
            </w:r>
          </w:p>
        </w:tc>
        <w:tc>
          <w:tcPr>
            <w:tcW w:w="1325" w:type="dxa"/>
            <w:shd w:val="clear" w:color="auto" w:fill="C6EFCE"/>
          </w:tcPr>
          <w:p w14:paraId="1321A295" w14:textId="02D828AA" w:rsidR="00EB245A" w:rsidRDefault="006021EE">
            <w:pPr>
              <w:pStyle w:val="P68B1DB1-Normal011"/>
              <w:spacing w:after="0" w:line="240" w:lineRule="auto"/>
              <w:rPr>
                <w:rFonts w:eastAsia="Times New Roman" w:cs="Times New Roman"/>
                <w:noProof/>
              </w:rPr>
            </w:pPr>
            <w:r>
              <w:rPr>
                <w:noProof/>
              </w:rPr>
              <w:t xml:space="preserve">F3.1 Verbesserung der Bedingungen für die </w:t>
            </w:r>
            <w:r>
              <w:rPr>
                <w:noProof/>
              </w:rPr>
              <w:t>Durchführung des Aufbau- und Resilienzplans</w:t>
            </w:r>
          </w:p>
        </w:tc>
        <w:tc>
          <w:tcPr>
            <w:tcW w:w="1294" w:type="dxa"/>
            <w:shd w:val="clear" w:color="auto" w:fill="C6EFCE"/>
          </w:tcPr>
          <w:p w14:paraId="4B6FE8C8" w14:textId="29640821" w:rsidR="00EB245A" w:rsidRDefault="006021EE">
            <w:pPr>
              <w:pStyle w:val="P68B1DB1-Normal011"/>
              <w:spacing w:after="0" w:line="240" w:lineRule="auto"/>
              <w:rPr>
                <w:rFonts w:cs="Times New Roman"/>
                <w:noProof/>
              </w:rPr>
            </w:pPr>
            <w:r>
              <w:rPr>
                <w:noProof/>
              </w:rPr>
              <w:t>Meilenstein</w:t>
            </w:r>
          </w:p>
        </w:tc>
        <w:tc>
          <w:tcPr>
            <w:tcW w:w="1176" w:type="dxa"/>
            <w:shd w:val="clear" w:color="auto" w:fill="C6EFCE"/>
          </w:tcPr>
          <w:p w14:paraId="3EF1DD37" w14:textId="4034963C" w:rsidR="00EB245A" w:rsidRDefault="006021EE">
            <w:pPr>
              <w:pStyle w:val="P68B1DB1-Normal011"/>
              <w:spacing w:after="0" w:line="240" w:lineRule="auto"/>
              <w:rPr>
                <w:rFonts w:eastAsia="Times New Roman" w:cs="Times New Roman"/>
                <w:noProof/>
              </w:rPr>
            </w:pPr>
            <w:r>
              <w:rPr>
                <w:noProof/>
              </w:rPr>
              <w:t>Annahme der Leitlinien durch den für regionale Entwicklung zuständigen Minister zur Festlegung der Regeln für die Einbeziehung von Interessenträgern und Sozialpartnern in die Umsetzung des Aufbau- und</w:t>
            </w:r>
            <w:r>
              <w:rPr>
                <w:noProof/>
              </w:rPr>
              <w:t xml:space="preserve"> Resilienzplans</w:t>
            </w:r>
          </w:p>
        </w:tc>
        <w:tc>
          <w:tcPr>
            <w:tcW w:w="1943" w:type="dxa"/>
            <w:shd w:val="clear" w:color="auto" w:fill="C6EFCE"/>
          </w:tcPr>
          <w:p w14:paraId="14EFF0CF" w14:textId="1BF51CA9" w:rsidR="00EB245A" w:rsidRDefault="006021EE">
            <w:pPr>
              <w:pStyle w:val="P68B1DB1-Normal011"/>
              <w:spacing w:after="0" w:line="240" w:lineRule="auto"/>
              <w:rPr>
                <w:rFonts w:eastAsia="Times New Roman" w:cs="Times New Roman"/>
                <w:noProof/>
              </w:rPr>
            </w:pPr>
            <w:r>
              <w:rPr>
                <w:noProof/>
              </w:rPr>
              <w:t>Veröffentlichung der Leitlinien auf der Website des Ministeriums für Entwicklungsfonds und Regionalpolitik</w:t>
            </w:r>
          </w:p>
        </w:tc>
        <w:tc>
          <w:tcPr>
            <w:tcW w:w="1134" w:type="dxa"/>
            <w:shd w:val="clear" w:color="auto" w:fill="C6EFCE"/>
          </w:tcPr>
          <w:p w14:paraId="111F6BF5" w14:textId="1775E936" w:rsidR="00EB245A" w:rsidRDefault="00EB245A">
            <w:pPr>
              <w:pStyle w:val="Normal0"/>
              <w:spacing w:after="0" w:line="240" w:lineRule="auto"/>
              <w:rPr>
                <w:rFonts w:ascii="Times New Roman" w:hAnsi="Times New Roman" w:cs="Times New Roman"/>
                <w:noProof/>
                <w:sz w:val="18"/>
              </w:rPr>
            </w:pPr>
          </w:p>
        </w:tc>
        <w:tc>
          <w:tcPr>
            <w:tcW w:w="1417" w:type="dxa"/>
            <w:shd w:val="clear" w:color="auto" w:fill="C6EFCE"/>
          </w:tcPr>
          <w:p w14:paraId="25433A50" w14:textId="6309DCA7" w:rsidR="00EB245A" w:rsidRDefault="00EB245A">
            <w:pPr>
              <w:pStyle w:val="Normal0"/>
              <w:spacing w:after="0" w:line="240" w:lineRule="auto"/>
              <w:rPr>
                <w:rFonts w:ascii="Times New Roman" w:hAnsi="Times New Roman" w:cs="Times New Roman"/>
                <w:noProof/>
                <w:sz w:val="18"/>
              </w:rPr>
            </w:pPr>
          </w:p>
        </w:tc>
        <w:tc>
          <w:tcPr>
            <w:tcW w:w="851" w:type="dxa"/>
            <w:shd w:val="clear" w:color="auto" w:fill="C6EFCE"/>
          </w:tcPr>
          <w:p w14:paraId="2945D18B" w14:textId="5E8B62F1" w:rsidR="00EB245A" w:rsidRDefault="00EB245A">
            <w:pPr>
              <w:pStyle w:val="Normal0"/>
              <w:spacing w:after="0" w:line="240" w:lineRule="auto"/>
              <w:rPr>
                <w:rFonts w:ascii="Times New Roman" w:hAnsi="Times New Roman" w:cs="Times New Roman"/>
                <w:noProof/>
                <w:sz w:val="18"/>
              </w:rPr>
            </w:pPr>
          </w:p>
        </w:tc>
        <w:tc>
          <w:tcPr>
            <w:tcW w:w="1134" w:type="dxa"/>
            <w:shd w:val="clear" w:color="auto" w:fill="C6EFCE"/>
          </w:tcPr>
          <w:p w14:paraId="7A68E2F2" w14:textId="7FF5F9F2" w:rsidR="00EB245A" w:rsidRDefault="006021EE">
            <w:pPr>
              <w:pStyle w:val="P68B1DB1-Normal011"/>
              <w:spacing w:after="0" w:line="240" w:lineRule="auto"/>
              <w:jc w:val="center"/>
              <w:rPr>
                <w:rFonts w:cs="Times New Roman"/>
                <w:noProof/>
              </w:rPr>
            </w:pPr>
            <w:r>
              <w:rPr>
                <w:noProof/>
              </w:rPr>
              <w:t>Q2</w:t>
            </w:r>
          </w:p>
        </w:tc>
        <w:tc>
          <w:tcPr>
            <w:tcW w:w="1276" w:type="dxa"/>
            <w:shd w:val="clear" w:color="auto" w:fill="C6EFCE"/>
          </w:tcPr>
          <w:p w14:paraId="265DACC0" w14:textId="7B65909D" w:rsidR="00EB245A" w:rsidRDefault="006021EE">
            <w:pPr>
              <w:pStyle w:val="P68B1DB1-Normal011"/>
              <w:spacing w:after="0" w:line="240" w:lineRule="auto"/>
              <w:jc w:val="center"/>
              <w:rPr>
                <w:rFonts w:cs="Times New Roman"/>
                <w:noProof/>
              </w:rPr>
            </w:pPr>
            <w:r>
              <w:rPr>
                <w:noProof/>
              </w:rPr>
              <w:t>2022</w:t>
            </w:r>
          </w:p>
        </w:tc>
        <w:tc>
          <w:tcPr>
            <w:tcW w:w="2948" w:type="dxa"/>
            <w:shd w:val="clear" w:color="auto" w:fill="C6EFCE"/>
          </w:tcPr>
          <w:p w14:paraId="581741EB" w14:textId="2398E4BB" w:rsidR="00EB245A" w:rsidRDefault="006021EE">
            <w:pPr>
              <w:pStyle w:val="P68B1DB1-Normal26"/>
              <w:spacing w:after="0" w:line="240" w:lineRule="auto"/>
              <w:rPr>
                <w:rFonts w:cs="Times New Roman"/>
                <w:noProof/>
              </w:rPr>
            </w:pPr>
            <w:r>
              <w:rPr>
                <w:noProof/>
              </w:rPr>
              <w:t xml:space="preserve">Annahme der Leitlinien im Anschluss an eine öffentliche Konsultation, um eine wirksame Einbeziehung von Interessenträgern </w:t>
            </w:r>
            <w:r>
              <w:rPr>
                <w:noProof/>
              </w:rPr>
              <w:t>und Sozialpartnern in die Programmplanung, Durchführung, Überwachung und Bewertung des Aufbau- und Resilienzplans sicherzustellen.</w:t>
            </w:r>
          </w:p>
          <w:p w14:paraId="0D0EDDAD" w14:textId="250E2AA4" w:rsidR="00EB245A" w:rsidRDefault="006021EE">
            <w:pPr>
              <w:pStyle w:val="P68B1DB1-Normal26"/>
              <w:spacing w:after="0" w:line="240" w:lineRule="auto"/>
              <w:rPr>
                <w:rFonts w:cs="Times New Roman"/>
                <w:noProof/>
              </w:rPr>
            </w:pPr>
            <w:r>
              <w:rPr>
                <w:noProof/>
              </w:rPr>
              <w:t>Mit den Leitlinien werden die Maßnahmen harmonisiert, die von den für die Durchführung von Reformen und Investitionen im Rahm</w:t>
            </w:r>
            <w:r>
              <w:rPr>
                <w:noProof/>
              </w:rPr>
              <w:t>en des Aufbau- und Resilienzplans zuständigen Institutionen zu ergreifen sind.</w:t>
            </w:r>
          </w:p>
          <w:p w14:paraId="7C2EF047" w14:textId="5D0CC126" w:rsidR="00EB245A" w:rsidRDefault="006021EE">
            <w:pPr>
              <w:pStyle w:val="P68B1DB1-Normal011"/>
              <w:spacing w:after="0" w:line="240" w:lineRule="auto"/>
              <w:rPr>
                <w:rFonts w:eastAsia="Times New Roman" w:cs="Times New Roman"/>
                <w:noProof/>
              </w:rPr>
            </w:pPr>
            <w:r>
              <w:rPr>
                <w:noProof/>
              </w:rPr>
              <w:t>Die Leitlinien umfassen Mechanismen für die Überwachung und Bewertung der Einbeziehung von Interessenträgern und Sozialpartnern.</w:t>
            </w:r>
          </w:p>
        </w:tc>
      </w:tr>
      <w:tr w:rsidR="00EB245A" w14:paraId="3E099210" w14:textId="77777777" w:rsidTr="00080E14">
        <w:trPr>
          <w:gridAfter w:val="1"/>
          <w:wAfter w:w="28" w:type="dxa"/>
          <w:trHeight w:val="313"/>
        </w:trPr>
        <w:tc>
          <w:tcPr>
            <w:tcW w:w="783" w:type="dxa"/>
            <w:shd w:val="clear" w:color="auto" w:fill="C6EFCE"/>
          </w:tcPr>
          <w:p w14:paraId="32827BE9" w14:textId="193DC58F"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F7G</w:t>
            </w:r>
          </w:p>
        </w:tc>
        <w:tc>
          <w:tcPr>
            <w:tcW w:w="1325" w:type="dxa"/>
            <w:shd w:val="clear" w:color="auto" w:fill="C6EFCE"/>
          </w:tcPr>
          <w:p w14:paraId="52D855A9" w14:textId="77777777" w:rsidR="00EB245A" w:rsidRDefault="006021EE">
            <w:pPr>
              <w:pStyle w:val="P68B1DB1-Normal011"/>
              <w:pBdr>
                <w:top w:val="nil"/>
                <w:left w:val="nil"/>
                <w:bottom w:val="nil"/>
                <w:right w:val="nil"/>
                <w:between w:val="nil"/>
              </w:pBdr>
              <w:spacing w:after="0" w:line="240" w:lineRule="auto"/>
              <w:rPr>
                <w:rFonts w:eastAsia="Times New Roman" w:cs="Times New Roman"/>
                <w:noProof/>
                <w:color w:val="006100"/>
              </w:rPr>
            </w:pPr>
            <w:r>
              <w:rPr>
                <w:noProof/>
              </w:rPr>
              <w:t xml:space="preserve">F3.1 Verbesserung der Bedingungen für die </w:t>
            </w:r>
            <w:r>
              <w:rPr>
                <w:noProof/>
              </w:rPr>
              <w:t>Durchführung des Aufbau- und Resilienzplans</w:t>
            </w:r>
          </w:p>
        </w:tc>
        <w:tc>
          <w:tcPr>
            <w:tcW w:w="1294" w:type="dxa"/>
            <w:shd w:val="clear" w:color="auto" w:fill="C6EFCE"/>
          </w:tcPr>
          <w:p w14:paraId="505B2131" w14:textId="77777777" w:rsidR="00EB245A" w:rsidRDefault="006021EE">
            <w:pPr>
              <w:pStyle w:val="P68B1DB1-Normal011"/>
              <w:pBdr>
                <w:top w:val="nil"/>
                <w:left w:val="nil"/>
                <w:bottom w:val="nil"/>
                <w:right w:val="nil"/>
                <w:between w:val="nil"/>
              </w:pBdr>
              <w:spacing w:after="0" w:line="240" w:lineRule="auto"/>
              <w:rPr>
                <w:rFonts w:eastAsia="Times New Roman" w:cs="Times New Roman"/>
                <w:noProof/>
                <w:color w:val="006100"/>
              </w:rPr>
            </w:pPr>
            <w:r>
              <w:rPr>
                <w:noProof/>
              </w:rPr>
              <w:t>Meilenstein</w:t>
            </w:r>
          </w:p>
        </w:tc>
        <w:tc>
          <w:tcPr>
            <w:tcW w:w="1176" w:type="dxa"/>
            <w:shd w:val="clear" w:color="auto" w:fill="C6EFCE"/>
          </w:tcPr>
          <w:p w14:paraId="531524C0" w14:textId="1E6D35CF" w:rsidR="00EB245A" w:rsidRDefault="006021EE">
            <w:pPr>
              <w:pStyle w:val="P68B1DB1-Normal011"/>
              <w:spacing w:after="0" w:line="240" w:lineRule="auto"/>
              <w:rPr>
                <w:rFonts w:cs="Times New Roman"/>
                <w:noProof/>
              </w:rPr>
            </w:pPr>
            <w:r>
              <w:rPr>
                <w:noProof/>
              </w:rPr>
              <w:t>Gewährleistung einer wirksamen Prüfung und Kontrolle im Rahmen der Durchführung der Aufbau- und Resilienzfazilität zum Schutz der finanziellen Interessen der Union</w:t>
            </w:r>
          </w:p>
          <w:p w14:paraId="348C9256" w14:textId="2EA0AFDB" w:rsidR="00EB245A" w:rsidRDefault="00EB245A">
            <w:pPr>
              <w:pStyle w:val="Normal0"/>
              <w:spacing w:after="0" w:line="240" w:lineRule="auto"/>
              <w:rPr>
                <w:rFonts w:ascii="Times New Roman" w:hAnsi="Times New Roman" w:cs="Times New Roman"/>
                <w:noProof/>
                <w:sz w:val="18"/>
              </w:rPr>
            </w:pPr>
          </w:p>
          <w:p w14:paraId="6D2FAC52" w14:textId="77777777" w:rsidR="00EB245A" w:rsidRDefault="00EB245A">
            <w:pPr>
              <w:pStyle w:val="Normal0"/>
              <w:spacing w:after="0" w:line="240" w:lineRule="auto"/>
              <w:rPr>
                <w:rFonts w:ascii="Times New Roman" w:hAnsi="Times New Roman" w:cs="Times New Roman"/>
                <w:noProof/>
                <w:sz w:val="18"/>
              </w:rPr>
            </w:pPr>
          </w:p>
          <w:p w14:paraId="58F2A612" w14:textId="77777777" w:rsidR="00EB245A" w:rsidRDefault="00EB245A">
            <w:pPr>
              <w:pStyle w:val="Normal0"/>
              <w:spacing w:after="0" w:line="240" w:lineRule="auto"/>
              <w:rPr>
                <w:rFonts w:ascii="Times New Roman" w:hAnsi="Times New Roman" w:cs="Times New Roman"/>
                <w:noProof/>
                <w:sz w:val="18"/>
              </w:rPr>
            </w:pPr>
          </w:p>
          <w:p w14:paraId="6FD9EA1C"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p>
        </w:tc>
        <w:tc>
          <w:tcPr>
            <w:tcW w:w="1943" w:type="dxa"/>
            <w:shd w:val="clear" w:color="auto" w:fill="C6EFCE"/>
          </w:tcPr>
          <w:p w14:paraId="473C7D13" w14:textId="27F4525C" w:rsidR="00EB245A" w:rsidRDefault="006021EE">
            <w:pPr>
              <w:pStyle w:val="P68B1DB1-Normal011"/>
              <w:spacing w:after="0" w:line="240" w:lineRule="auto"/>
              <w:rPr>
                <w:rFonts w:cs="Times New Roman"/>
                <w:noProof/>
              </w:rPr>
            </w:pPr>
            <w:r>
              <w:rPr>
                <w:noProof/>
              </w:rPr>
              <w:t xml:space="preserve">Prüfbericht zur Bestätigung der </w:t>
            </w:r>
            <w:r>
              <w:rPr>
                <w:noProof/>
              </w:rPr>
              <w:t>Funktionen des Repository-Systems</w:t>
            </w:r>
          </w:p>
          <w:p w14:paraId="76971213" w14:textId="77777777" w:rsidR="00EB245A" w:rsidRDefault="00EB245A">
            <w:pPr>
              <w:pStyle w:val="Normal0"/>
              <w:spacing w:after="0" w:line="240" w:lineRule="auto"/>
              <w:rPr>
                <w:rFonts w:ascii="Times New Roman" w:hAnsi="Times New Roman" w:cs="Times New Roman"/>
                <w:noProof/>
                <w:sz w:val="18"/>
              </w:rPr>
            </w:pPr>
          </w:p>
          <w:p w14:paraId="1C9D4A61"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p>
        </w:tc>
        <w:tc>
          <w:tcPr>
            <w:tcW w:w="1134" w:type="dxa"/>
            <w:shd w:val="clear" w:color="auto" w:fill="C6EFCE"/>
          </w:tcPr>
          <w:p w14:paraId="593B3F3B"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p>
        </w:tc>
        <w:tc>
          <w:tcPr>
            <w:tcW w:w="1417" w:type="dxa"/>
            <w:shd w:val="clear" w:color="auto" w:fill="C6EFCE"/>
          </w:tcPr>
          <w:p w14:paraId="50F5AC06"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p>
        </w:tc>
        <w:tc>
          <w:tcPr>
            <w:tcW w:w="851" w:type="dxa"/>
            <w:shd w:val="clear" w:color="auto" w:fill="C6EFCE"/>
          </w:tcPr>
          <w:p w14:paraId="7BD54A1A"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rPr>
            </w:pPr>
          </w:p>
        </w:tc>
        <w:tc>
          <w:tcPr>
            <w:tcW w:w="1134" w:type="dxa"/>
            <w:shd w:val="clear" w:color="auto" w:fill="C6EFCE"/>
          </w:tcPr>
          <w:p w14:paraId="4088C52D" w14:textId="77777777"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Q2</w:t>
            </w:r>
          </w:p>
        </w:tc>
        <w:tc>
          <w:tcPr>
            <w:tcW w:w="1276" w:type="dxa"/>
            <w:shd w:val="clear" w:color="auto" w:fill="C6EFCE"/>
          </w:tcPr>
          <w:p w14:paraId="5A012165" w14:textId="77777777"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color w:val="006100"/>
              </w:rPr>
            </w:pPr>
            <w:r>
              <w:rPr>
                <w:noProof/>
              </w:rPr>
              <w:t>2022</w:t>
            </w:r>
          </w:p>
        </w:tc>
        <w:tc>
          <w:tcPr>
            <w:tcW w:w="2948" w:type="dxa"/>
            <w:shd w:val="clear" w:color="auto" w:fill="C6EFCE"/>
          </w:tcPr>
          <w:p w14:paraId="5BEFF486" w14:textId="7F7E392A" w:rsidR="00EB245A" w:rsidRDefault="006021EE">
            <w:pPr>
              <w:pStyle w:val="Normal0"/>
              <w:spacing w:line="240" w:lineRule="auto"/>
              <w:rPr>
                <w:rFonts w:ascii="Times New Roman" w:hAnsi="Times New Roman" w:cs="Times New Roman"/>
                <w:noProof/>
                <w:sz w:val="18"/>
              </w:rPr>
            </w:pPr>
            <w:r>
              <w:rPr>
                <w:rFonts w:ascii="Times New Roman" w:hAnsi="Times New Roman"/>
                <w:noProof/>
                <w:sz w:val="18"/>
              </w:rPr>
              <w:t>Ein Datenspeichersystem zur Überwachung der Umsetzung der ARF muss vorhanden und einsatzbereit sein. Das System muss mindestens die folgenden Funktionen umfassen:</w:t>
            </w:r>
            <w:r>
              <w:rPr>
                <w:noProof/>
              </w:rPr>
              <w:t xml:space="preserve">  </w:t>
            </w:r>
            <w:r>
              <w:rPr>
                <w:noProof/>
              </w:rPr>
              <w:br/>
            </w:r>
            <w:r>
              <w:rPr>
                <w:rFonts w:ascii="Times New Roman" w:hAnsi="Times New Roman"/>
                <w:noProof/>
                <w:sz w:val="18"/>
              </w:rPr>
              <w:t>a) Erhebung von Daten und Überwachung der Er</w:t>
            </w:r>
            <w:r>
              <w:rPr>
                <w:rFonts w:ascii="Times New Roman" w:hAnsi="Times New Roman"/>
                <w:noProof/>
                <w:sz w:val="18"/>
              </w:rPr>
              <w:t>reichung der Etappenziele und Zielwerte;</w:t>
            </w:r>
            <w:r>
              <w:rPr>
                <w:noProof/>
              </w:rPr>
              <w:t xml:space="preserve">  </w:t>
            </w:r>
            <w:r>
              <w:rPr>
                <w:noProof/>
              </w:rPr>
              <w:br/>
            </w:r>
            <w:r>
              <w:rPr>
                <w:rFonts w:ascii="Times New Roman" w:hAnsi="Times New Roman"/>
                <w:noProof/>
                <w:sz w:val="18"/>
              </w:rPr>
              <w:t xml:space="preserve">B) Erhebung, Speicherung und Sicherstellung des Zugangs zu den nach Artikel 22 Absatz 2 Buchstabe d Ziffern i bis iii der ARF-Verordnung erforderlichen Daten. </w:t>
            </w:r>
          </w:p>
          <w:p w14:paraId="4A58C796" w14:textId="77777777" w:rsidR="00EB245A" w:rsidRDefault="006021EE">
            <w:pPr>
              <w:pStyle w:val="P68B1DB1-Normal011"/>
              <w:pBdr>
                <w:top w:val="nil"/>
                <w:left w:val="nil"/>
                <w:bottom w:val="nil"/>
                <w:right w:val="nil"/>
                <w:between w:val="nil"/>
              </w:pBdr>
              <w:spacing w:after="0" w:line="240" w:lineRule="auto"/>
              <w:rPr>
                <w:rFonts w:cs="Times New Roman"/>
                <w:noProof/>
              </w:rPr>
            </w:pPr>
            <w:r>
              <w:rPr>
                <w:noProof/>
              </w:rPr>
              <w:t xml:space="preserve">Der Zugang zu diesen Daten wird allen einschlägigen </w:t>
            </w:r>
            <w:r>
              <w:rPr>
                <w:noProof/>
              </w:rPr>
              <w:t>nationalen und europäischen Stellen für Audit- und Kontrollzwecke gewährt. Die von diesem Datenspeichersystem stammenden Daten fließen vierteljährlich in das Arachne-System ein. Das Arachne-System wird bei Prüfungen und Kontrollen genutzt, um Interessenkon</w:t>
            </w:r>
            <w:r>
              <w:rPr>
                <w:noProof/>
              </w:rPr>
              <w:t>flikte, Betrug, Korruption und Doppelfinanzierung zu verhindern, aufzudecken und zu beheben.</w:t>
            </w:r>
          </w:p>
          <w:p w14:paraId="1F84A062" w14:textId="3339C574" w:rsidR="00EB245A" w:rsidRDefault="00EB245A">
            <w:pPr>
              <w:pStyle w:val="Normal0"/>
              <w:pBdr>
                <w:top w:val="nil"/>
                <w:left w:val="nil"/>
                <w:bottom w:val="nil"/>
                <w:right w:val="nil"/>
                <w:between w:val="nil"/>
              </w:pBdr>
              <w:spacing w:after="0" w:line="240" w:lineRule="auto"/>
              <w:rPr>
                <w:rFonts w:ascii="Times New Roman" w:hAnsi="Times New Roman" w:cs="Times New Roman"/>
                <w:noProof/>
                <w:sz w:val="18"/>
              </w:rPr>
            </w:pPr>
          </w:p>
        </w:tc>
      </w:tr>
      <w:tr w:rsidR="00EB245A" w14:paraId="502380A2" w14:textId="77777777" w:rsidTr="00080E14">
        <w:trPr>
          <w:trHeight w:val="313"/>
        </w:trPr>
        <w:tc>
          <w:tcPr>
            <w:tcW w:w="783" w:type="dxa"/>
            <w:shd w:val="clear" w:color="auto" w:fill="C6EFCE"/>
          </w:tcPr>
          <w:p w14:paraId="4CC72689" w14:textId="3A899FE4" w:rsidR="00EB245A" w:rsidRDefault="006021EE">
            <w:pPr>
              <w:pStyle w:val="P68B1DB1-Normal011"/>
              <w:pBdr>
                <w:top w:val="nil"/>
                <w:left w:val="nil"/>
                <w:bottom w:val="nil"/>
                <w:right w:val="nil"/>
                <w:between w:val="nil"/>
              </w:pBdr>
              <w:spacing w:after="0" w:line="240" w:lineRule="auto"/>
              <w:jc w:val="center"/>
              <w:rPr>
                <w:rFonts w:cs="Times New Roman"/>
                <w:noProof/>
              </w:rPr>
            </w:pPr>
            <w:r>
              <w:rPr>
                <w:noProof/>
              </w:rPr>
              <w:t>F8G</w:t>
            </w:r>
          </w:p>
        </w:tc>
        <w:tc>
          <w:tcPr>
            <w:tcW w:w="1325" w:type="dxa"/>
            <w:shd w:val="clear" w:color="auto" w:fill="C6EFCE"/>
          </w:tcPr>
          <w:p w14:paraId="0F1E226D" w14:textId="328AE84A" w:rsidR="00EB245A" w:rsidRDefault="006021EE">
            <w:pPr>
              <w:pStyle w:val="P68B1DB1-Normal011"/>
              <w:pBdr>
                <w:top w:val="nil"/>
                <w:left w:val="nil"/>
                <w:bottom w:val="nil"/>
                <w:right w:val="nil"/>
                <w:between w:val="nil"/>
              </w:pBdr>
              <w:spacing w:after="0" w:line="240" w:lineRule="auto"/>
              <w:rPr>
                <w:rFonts w:eastAsia="Times New Roman" w:cs="Times New Roman"/>
                <w:noProof/>
              </w:rPr>
            </w:pPr>
            <w:r>
              <w:rPr>
                <w:noProof/>
              </w:rPr>
              <w:t>F3.1 Verbesserung der Bedingungen für die Durchführung des Aufbau- und Resilienzplans</w:t>
            </w:r>
          </w:p>
        </w:tc>
        <w:tc>
          <w:tcPr>
            <w:tcW w:w="1294" w:type="dxa"/>
            <w:shd w:val="clear" w:color="auto" w:fill="C6EFCE"/>
          </w:tcPr>
          <w:p w14:paraId="121B5C1C" w14:textId="7523D98D" w:rsidR="00EB245A" w:rsidRDefault="006021EE">
            <w:pPr>
              <w:pStyle w:val="P68B1DB1-Normal011"/>
              <w:pBdr>
                <w:top w:val="nil"/>
                <w:left w:val="nil"/>
                <w:bottom w:val="nil"/>
                <w:right w:val="nil"/>
                <w:between w:val="nil"/>
              </w:pBdr>
              <w:spacing w:after="0" w:line="240" w:lineRule="auto"/>
              <w:rPr>
                <w:rFonts w:eastAsia="Times New Roman" w:cs="Times New Roman"/>
                <w:noProof/>
              </w:rPr>
            </w:pPr>
            <w:r>
              <w:rPr>
                <w:noProof/>
              </w:rPr>
              <w:t>Meilenstein</w:t>
            </w:r>
          </w:p>
        </w:tc>
        <w:tc>
          <w:tcPr>
            <w:tcW w:w="1176" w:type="dxa"/>
            <w:shd w:val="clear" w:color="auto" w:fill="C6EFCE"/>
          </w:tcPr>
          <w:p w14:paraId="43C4A9C1" w14:textId="1CCC9E8F" w:rsidR="00EB245A" w:rsidRDefault="006021EE">
            <w:pPr>
              <w:pStyle w:val="P68B1DB1-Normal26"/>
              <w:spacing w:after="0" w:line="240" w:lineRule="auto"/>
              <w:rPr>
                <w:rFonts w:eastAsia="Times New Roman" w:cs="Times New Roman"/>
                <w:noProof/>
              </w:rPr>
            </w:pPr>
            <w:r>
              <w:rPr>
                <w:noProof/>
              </w:rPr>
              <w:t xml:space="preserve">Zuweisung zusätzlicher Stellen in den an der Durchführung </w:t>
            </w:r>
            <w:r>
              <w:rPr>
                <w:noProof/>
              </w:rPr>
              <w:t>des Aufbau- und Resilienzplans beteiligten Organen</w:t>
            </w:r>
          </w:p>
          <w:p w14:paraId="3EA94D9A" w14:textId="77777777" w:rsidR="00EB245A" w:rsidRDefault="00EB245A">
            <w:pPr>
              <w:spacing w:after="0" w:line="240" w:lineRule="auto"/>
              <w:rPr>
                <w:rFonts w:ascii="Times New Roman" w:eastAsia="Times New Roman" w:hAnsi="Times New Roman" w:cs="Times New Roman"/>
                <w:noProof/>
                <w:sz w:val="18"/>
              </w:rPr>
            </w:pPr>
          </w:p>
        </w:tc>
        <w:tc>
          <w:tcPr>
            <w:tcW w:w="1943" w:type="dxa"/>
            <w:shd w:val="clear" w:color="auto" w:fill="C6EFCE"/>
          </w:tcPr>
          <w:p w14:paraId="158921D4" w14:textId="5B39AF18" w:rsidR="00EB245A" w:rsidRDefault="006021EE">
            <w:pPr>
              <w:pStyle w:val="P68B1DB1-Normal26"/>
              <w:spacing w:line="240" w:lineRule="auto"/>
              <w:rPr>
                <w:rFonts w:eastAsia="Times New Roman" w:cs="Times New Roman"/>
                <w:noProof/>
              </w:rPr>
            </w:pPr>
            <w:r>
              <w:rPr>
                <w:noProof/>
              </w:rPr>
              <w:t>Eine vom Ministerium für Entwicklungsfonds und Regionalpolitik erstellte Arbeitsbelastungsanalyse und ein Regierungsbeschluss über die Zuweisung zusätzlicher Stellen angenommen</w:t>
            </w:r>
          </w:p>
          <w:p w14:paraId="0012E5F7" w14:textId="77777777" w:rsidR="00EB245A" w:rsidRDefault="00EB245A">
            <w:pPr>
              <w:spacing w:after="0" w:line="240" w:lineRule="auto"/>
              <w:rPr>
                <w:rFonts w:ascii="Times New Roman" w:eastAsia="Times New Roman" w:hAnsi="Times New Roman" w:cs="Times New Roman"/>
                <w:noProof/>
                <w:sz w:val="18"/>
              </w:rPr>
            </w:pPr>
          </w:p>
        </w:tc>
        <w:tc>
          <w:tcPr>
            <w:tcW w:w="1134" w:type="dxa"/>
            <w:shd w:val="clear" w:color="auto" w:fill="C6EFCE"/>
          </w:tcPr>
          <w:p w14:paraId="700CE01D"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sz w:val="18"/>
              </w:rPr>
            </w:pPr>
          </w:p>
        </w:tc>
        <w:tc>
          <w:tcPr>
            <w:tcW w:w="1417" w:type="dxa"/>
            <w:shd w:val="clear" w:color="auto" w:fill="C6EFCE"/>
          </w:tcPr>
          <w:p w14:paraId="38FE98E5"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sz w:val="18"/>
              </w:rPr>
            </w:pPr>
          </w:p>
        </w:tc>
        <w:tc>
          <w:tcPr>
            <w:tcW w:w="851" w:type="dxa"/>
            <w:shd w:val="clear" w:color="auto" w:fill="C6EFCE"/>
          </w:tcPr>
          <w:p w14:paraId="1A3C6116" w14:textId="77777777" w:rsidR="00EB245A" w:rsidRDefault="00EB245A">
            <w:pPr>
              <w:pStyle w:val="Normal0"/>
              <w:pBdr>
                <w:top w:val="nil"/>
                <w:left w:val="nil"/>
                <w:bottom w:val="nil"/>
                <w:right w:val="nil"/>
                <w:between w:val="nil"/>
              </w:pBdr>
              <w:spacing w:after="0" w:line="240" w:lineRule="auto"/>
              <w:rPr>
                <w:rFonts w:ascii="Times New Roman" w:eastAsia="Times New Roman" w:hAnsi="Times New Roman" w:cs="Times New Roman"/>
                <w:noProof/>
                <w:sz w:val="18"/>
              </w:rPr>
            </w:pPr>
          </w:p>
        </w:tc>
        <w:tc>
          <w:tcPr>
            <w:tcW w:w="1134" w:type="dxa"/>
            <w:shd w:val="clear" w:color="auto" w:fill="C6EFCE"/>
          </w:tcPr>
          <w:p w14:paraId="19653EF1" w14:textId="56649779"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rPr>
            </w:pPr>
            <w:r>
              <w:rPr>
                <w:noProof/>
              </w:rPr>
              <w:t>Q2</w:t>
            </w:r>
          </w:p>
        </w:tc>
        <w:tc>
          <w:tcPr>
            <w:tcW w:w="1276" w:type="dxa"/>
            <w:shd w:val="clear" w:color="auto" w:fill="C6EFCE"/>
          </w:tcPr>
          <w:p w14:paraId="5C2C74FF" w14:textId="3809D7DF" w:rsidR="00EB245A" w:rsidRDefault="006021EE">
            <w:pPr>
              <w:pStyle w:val="P68B1DB1-Normal011"/>
              <w:pBdr>
                <w:top w:val="nil"/>
                <w:left w:val="nil"/>
                <w:bottom w:val="nil"/>
                <w:right w:val="nil"/>
                <w:between w:val="nil"/>
              </w:pBdr>
              <w:spacing w:after="0" w:line="240" w:lineRule="auto"/>
              <w:jc w:val="center"/>
              <w:rPr>
                <w:rFonts w:eastAsia="Times New Roman" w:cs="Times New Roman"/>
                <w:noProof/>
              </w:rPr>
            </w:pPr>
            <w:r>
              <w:rPr>
                <w:noProof/>
              </w:rPr>
              <w:t>2024</w:t>
            </w:r>
          </w:p>
        </w:tc>
        <w:tc>
          <w:tcPr>
            <w:tcW w:w="2976" w:type="dxa"/>
            <w:gridSpan w:val="2"/>
            <w:shd w:val="clear" w:color="auto" w:fill="C6EFCE"/>
          </w:tcPr>
          <w:p w14:paraId="3F73C61A" w14:textId="4EFF1BBC" w:rsidR="00EB245A" w:rsidRDefault="006021EE">
            <w:pPr>
              <w:pStyle w:val="P68B1DB1-Normal26"/>
              <w:spacing w:line="240" w:lineRule="auto"/>
              <w:rPr>
                <w:rFonts w:eastAsia="Times New Roman" w:cs="Times New Roman"/>
                <w:noProof/>
              </w:rPr>
            </w:pPr>
            <w:r>
              <w:rPr>
                <w:noProof/>
              </w:rPr>
              <w:t>Für die an der Umsetzung des Aufbau- und Resilienzplans beteiligten Institutionen wird eine Arbeitsbelastungsanalyse durchgeführt. Im Anschluss an diese Analyse wird ein Regierungsbeschluss erlassen, mit dem den Aufbau- und Resilienzplan koordinierenden In</w:t>
            </w:r>
            <w:r>
              <w:rPr>
                <w:noProof/>
              </w:rPr>
              <w:t>stitutionen zusätzliche Stellen zugewiesen werden.</w:t>
            </w:r>
          </w:p>
          <w:p w14:paraId="3091457C" w14:textId="77777777" w:rsidR="00EB245A" w:rsidRDefault="00EB245A">
            <w:pPr>
              <w:spacing w:after="0" w:line="240" w:lineRule="auto"/>
              <w:rPr>
                <w:rFonts w:ascii="Times New Roman" w:eastAsia="Times New Roman" w:hAnsi="Times New Roman" w:cs="Times New Roman"/>
                <w:noProof/>
                <w:sz w:val="18"/>
              </w:rPr>
            </w:pPr>
          </w:p>
        </w:tc>
      </w:tr>
    </w:tbl>
    <w:p w14:paraId="452BF5C8" w14:textId="77777777" w:rsidR="00EB245A" w:rsidRDefault="00EB245A">
      <w:pPr>
        <w:rPr>
          <w:rFonts w:ascii="Times New Roman" w:eastAsia="Times New Roman" w:hAnsi="Times New Roman" w:cs="Times New Roman"/>
          <w:noProof/>
          <w:color w:val="000000" w:themeColor="text1"/>
        </w:rPr>
        <w:sectPr w:rsidR="00EB245A" w:rsidSect="005E6922">
          <w:headerReference w:type="even" r:id="rId157"/>
          <w:headerReference w:type="default" r:id="rId158"/>
          <w:footerReference w:type="even" r:id="rId159"/>
          <w:footerReference w:type="default" r:id="rId160"/>
          <w:headerReference w:type="first" r:id="rId161"/>
          <w:footerReference w:type="first" r:id="rId162"/>
          <w:pgSz w:w="16839" w:h="11907" w:orient="landscape"/>
          <w:pgMar w:top="1134" w:right="1134" w:bottom="1134" w:left="1134" w:header="567" w:footer="567" w:gutter="0"/>
          <w:cols w:space="720"/>
          <w:docGrid w:linePitch="299"/>
        </w:sectPr>
      </w:pPr>
    </w:p>
    <w:p w14:paraId="7338E562" w14:textId="77777777" w:rsidR="00EB245A" w:rsidRDefault="006021EE">
      <w:pPr>
        <w:pStyle w:val="P68B1DB1-Text138"/>
        <w:ind w:left="0"/>
        <w:rPr>
          <w:noProof/>
        </w:rPr>
      </w:pPr>
      <w:r>
        <w:rPr>
          <w:noProof/>
          <w:color w:val="000000"/>
        </w:rPr>
        <w:t>G.</w:t>
      </w:r>
      <w:r>
        <w:rPr>
          <w:noProof/>
        </w:rPr>
        <w:t xml:space="preserve"> KOMPONENTE G: „REPOWEREU“</w:t>
      </w:r>
    </w:p>
    <w:p w14:paraId="68C4C6E0" w14:textId="56F35F07" w:rsidR="00EB245A" w:rsidRDefault="006021EE">
      <w:pPr>
        <w:pStyle w:val="P68B1DB1-Normal24"/>
        <w:spacing w:before="120" w:after="120" w:line="240" w:lineRule="auto"/>
        <w:jc w:val="both"/>
        <w:rPr>
          <w:rFonts w:cs="Times New Roman"/>
          <w:noProof/>
        </w:rPr>
      </w:pPr>
      <w:r>
        <w:rPr>
          <w:noProof/>
        </w:rPr>
        <w:t xml:space="preserve">Die REPowerEU-Komponente soll dazu beitragen, die Abhängigkeit von fossilen Brennstoffen in Polen zu verringern </w:t>
      </w:r>
      <w:r>
        <w:rPr>
          <w:noProof/>
        </w:rPr>
        <w:t>und die Energiewende weiter zu ermöglichen, indem der Einsatz erneuerbarer Energiequellen unterstützt und die Kapazität der Stromnetze zur Integration dieser Energiequellen erhöht wird. Diese Ziele werden auch durch Maßnahmen zur Verbesserung der Energieef</w:t>
      </w:r>
      <w:r>
        <w:rPr>
          <w:noProof/>
        </w:rPr>
        <w:t>fizienz, auch für Haushalte, erreicht. Die Komponente zielt auch darauf ab, die Energieversorgungssicherheit zu verbessern.</w:t>
      </w:r>
    </w:p>
    <w:p w14:paraId="600E7D54" w14:textId="4CC7CC2A" w:rsidR="00EB245A" w:rsidRDefault="006021EE">
      <w:pPr>
        <w:pStyle w:val="P68B1DB1-Normal39"/>
        <w:spacing w:before="120" w:after="120" w:line="240" w:lineRule="auto"/>
        <w:jc w:val="both"/>
        <w:rPr>
          <w:rFonts w:ascii="Times New Roman" w:hAnsi="Times New Roman" w:cs="Times New Roman"/>
          <w:noProof/>
        </w:rPr>
      </w:pPr>
      <w:r>
        <w:rPr>
          <w:rFonts w:ascii="Times New Roman" w:hAnsi="Times New Roman"/>
          <w:noProof/>
        </w:rPr>
        <w:t>In diesem Zusammenhang zielen die Maßnahmen der Komponente darauf ab, den länderspezifischen Empfehlungen nachzukommen, die Polen 20</w:t>
      </w:r>
      <w:r>
        <w:rPr>
          <w:rFonts w:ascii="Times New Roman" w:hAnsi="Times New Roman"/>
          <w:noProof/>
        </w:rPr>
        <w:t>22 und 2023 im Rahmen des Europäischen Semesters abgegeben hat. Die geplanten Maßnahmen tragen insbesondere dazu bei, die Energiewende zu beschleunigen, insbesondere durch die Straffung der Genehmigungsverfahren für einen schnelleren Einsatz erneuerbarer E</w:t>
      </w:r>
      <w:r>
        <w:rPr>
          <w:rFonts w:ascii="Times New Roman" w:hAnsi="Times New Roman"/>
          <w:noProof/>
        </w:rPr>
        <w:t>nergien, durch den Ausbau und die Modernisierung der Netze, um die neu gebauten Kapazitäten für erneuerbare Energien zu ermöglichen, durch die Unterstützung von Stromspeicheranlagen, durch die Schaffung von Anreizen für Investitionen in die Übertragungs- u</w:t>
      </w:r>
      <w:r>
        <w:rPr>
          <w:rFonts w:ascii="Times New Roman" w:hAnsi="Times New Roman"/>
          <w:noProof/>
        </w:rPr>
        <w:t>nd Verteilernetze in ländlichen Gebieten, um die</w:t>
      </w:r>
      <w:r>
        <w:rPr>
          <w:noProof/>
        </w:rPr>
        <w:t xml:space="preserve"> </w:t>
      </w:r>
      <w:r>
        <w:rPr>
          <w:rFonts w:ascii="Times New Roman" w:hAnsi="Times New Roman"/>
          <w:noProof/>
        </w:rPr>
        <w:t>Kapazität für den Anschluss neuer erneuerbarer Energiequellen an das Netz zu erhöhen, und durch die Unterstützung der Entwicklung von Offshore-Windparks. Sie trägt auch dazu bei, Hindernisse für die Entwickl</w:t>
      </w:r>
      <w:r>
        <w:rPr>
          <w:rFonts w:ascii="Times New Roman" w:hAnsi="Times New Roman"/>
          <w:noProof/>
        </w:rPr>
        <w:t>ung lokaler Erneuerbare-Energie-Gemeinschaften zu beseitigen und deren Einführung zu unterstützen. Dies trägt dazu bei, die Empfehlungen zur Beschleunigung des Ausstiegs aus fossilen Brennstoffen und des Einsatzes erneuerbarer Energien, zur Reform des Rech</w:t>
      </w:r>
      <w:r>
        <w:rPr>
          <w:rFonts w:ascii="Times New Roman" w:hAnsi="Times New Roman"/>
          <w:noProof/>
        </w:rPr>
        <w:t>tsrahmens für die Genehmigung des Netzanschlusses und für erneuerbare Energiequellen, einschließlich Energiegemeinschaften, Biomethan und erneuerbaren Wasserstoff, wirksam umzusetzen (länderspezifische Empfehlung 6.1-6.2 von 2022, länderspezifische Empfehl</w:t>
      </w:r>
      <w:r>
        <w:rPr>
          <w:rFonts w:ascii="Times New Roman" w:hAnsi="Times New Roman"/>
          <w:noProof/>
        </w:rPr>
        <w:t>ungen 4.1-4.2 im Jahr 2023). Zur Umsetzung der Empfehlungen zur Förderung nachhaltiger öffentlicher Verkehrsmittel (länderspezifische Empfehlung 4.4 im Jahr 2023) und der Einführung von Elektrofahrzeugen (länderspezifische Empfehlung 6.4 im Jahr 2022) umfa</w:t>
      </w:r>
      <w:r>
        <w:rPr>
          <w:rFonts w:ascii="Times New Roman" w:hAnsi="Times New Roman"/>
          <w:noProof/>
        </w:rPr>
        <w:t>sst die Komponente Maßnahmen zur Dekarbonisierung des Verkehrssektors, insbesondere indem umweltschädliche Fahrzeuge des öffentlichen Nahverkehrs durch emissionsfreie Fahrzeuge ersetzt werden und ein Aktionsplan für umweltfreundlichen Verkehr im Einklang m</w:t>
      </w:r>
      <w:r>
        <w:rPr>
          <w:rFonts w:ascii="Times New Roman" w:hAnsi="Times New Roman"/>
          <w:noProof/>
        </w:rPr>
        <w:t>it den Klimazielen der EU angenommen wird. Darüber hinaus umfasst die Komponente im Einklang mit den Empfehlungen zur Förderung von Energieeinsparungen, zur Steigerung der Investitionen in die Energieeffizienz von Gebäuden und zur Dekarbonisierung der Fern</w:t>
      </w:r>
      <w:r>
        <w:rPr>
          <w:rFonts w:ascii="Times New Roman" w:hAnsi="Times New Roman"/>
          <w:noProof/>
        </w:rPr>
        <w:t>wärmeversorgung (länderspezifische Empfehlung 6.3) Maßnahmen zur Unterstützung integrierter Hausrenovierungen und zur schrittweisen Abschaffung der Nutzung fossiler Brennstoffe bei der Hausheizung. 2022 und länderspezifische Empfehlungen 4.3. 2023). Die Ko</w:t>
      </w:r>
      <w:r>
        <w:rPr>
          <w:rFonts w:ascii="Times New Roman" w:hAnsi="Times New Roman"/>
          <w:noProof/>
        </w:rPr>
        <w:t>mponente zielt auch darauf ab, die branchenspezifischen Qualifikationsrahmen für den ökologischen Wandel zu aktualisieren, wie in den Empfehlungen zur Intensivierung der politischen Anstrengungen zur Bereitstellung und zum Erwerb der für den ökologischen W</w:t>
      </w:r>
      <w:r>
        <w:rPr>
          <w:rFonts w:ascii="Times New Roman" w:hAnsi="Times New Roman"/>
          <w:noProof/>
        </w:rPr>
        <w:t>andel erforderlichen Fähigkeiten und Kompetenzen (länderspezifische Empfehlung 4.5 2023) angeregt wurde. Schließlich zielt eine gezielte Investition in die Gasinfrastruktur darauf ab, den unmittelbaren Versorgungssicherheitsbedarf Polens auf verhältnismäßi</w:t>
      </w:r>
      <w:r>
        <w:rPr>
          <w:rFonts w:ascii="Times New Roman" w:hAnsi="Times New Roman"/>
          <w:noProof/>
        </w:rPr>
        <w:t>ge und gezielte Weise zu decken. Der Energiehilfefonds zielt darauf ab, private Investitionen zu mobilisieren und den Zugang zu Finanzmitteln in den für die Energiewende entscheidenden Sektoren zu verbessern. Dies trägt dazu bei, den Empfehlungen zur Auswe</w:t>
      </w:r>
      <w:r>
        <w:rPr>
          <w:rFonts w:ascii="Times New Roman" w:hAnsi="Times New Roman"/>
          <w:noProof/>
        </w:rPr>
        <w:t xml:space="preserve">itung der öffentlichen Investitionen für den digitalen Wandel und die Energieversorgungssicherheit nachzukommen, unter anderem durch Nutzung der Aufbau- und Resilienzfazilität, REPowerEU und anderer EU-Fonds. (Länderspezifische Empfehlung 1.2 im Jahr 2022 </w:t>
      </w:r>
      <w:r>
        <w:rPr>
          <w:rFonts w:ascii="Times New Roman" w:hAnsi="Times New Roman"/>
          <w:noProof/>
        </w:rPr>
        <w:t xml:space="preserve">und länderspezifische Empfehlung 1.3 im Jahr 2023). </w:t>
      </w:r>
    </w:p>
    <w:p w14:paraId="26EAE652" w14:textId="11569872" w:rsidR="00EB245A" w:rsidRDefault="006021EE">
      <w:pPr>
        <w:pStyle w:val="P68B1DB1-Normal24"/>
        <w:spacing w:before="120" w:after="120" w:line="240" w:lineRule="auto"/>
        <w:jc w:val="both"/>
        <w:rPr>
          <w:rFonts w:eastAsia="Times New Roman" w:cs="Times New Roman"/>
          <w:noProof/>
        </w:rPr>
      </w:pPr>
      <w:r>
        <w:rPr>
          <w:noProof/>
        </w:rPr>
        <w:t>Die meisten Maßnahmen der Komponente haben eine grenzüberschreitende oder länderübergreifende Dimension. Tatsächlich gewährleisten mehrere Maßnahmen die Energieversorgung in der Union insgesamt, insbeson</w:t>
      </w:r>
      <w:r>
        <w:rPr>
          <w:noProof/>
        </w:rPr>
        <w:t>dere die Reformen, die darauf abzielen, den Einsatz erneuerbarer Energiequellen, auch durch Energiegemeinschaften, und den Anschluss dieser Energiequellen an das Stromnetz zu erleichtern. Darüber hinaus umfasst die Komponente Investitionen, die Projekten i</w:t>
      </w:r>
      <w:r>
        <w:rPr>
          <w:noProof/>
        </w:rPr>
        <w:t>m Bereich der erneuerbaren Energien zugutekommen und die Integration erneuerbarer Energien in das Netz verbessern sollen. Andere Reformen und Investitionen tragen dazu bei, das Tempo der Gebäuderenovierung zu erhöhen und die Energieeffizienz zu verbessern,</w:t>
      </w:r>
      <w:r>
        <w:rPr>
          <w:noProof/>
        </w:rPr>
        <w:t xml:space="preserve"> wodurch die Abhängigkeit von fossilen Brennstoffen verringert und der Energiebedarf gesenkt wird. Diese Maßnahmen leisten auch einen Beitrag zu </w:t>
      </w:r>
      <w:r>
        <w:rPr>
          <w:noProof/>
          <w:color w:val="333333"/>
        </w:rPr>
        <w:t>den umfassenderen Energie- und Klimaschutzmaßnahmen auf EU-Ebene.</w:t>
      </w:r>
    </w:p>
    <w:p w14:paraId="1C92935C" w14:textId="195547B3" w:rsidR="00EB245A" w:rsidRDefault="006021EE">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Es ist davon auszugehen, dass keine Maßnahme </w:t>
      </w:r>
      <w:r>
        <w:rPr>
          <w:rFonts w:ascii="Times New Roman" w:hAnsi="Times New Roman"/>
          <w:noProof/>
          <w:sz w:val="24"/>
        </w:rPr>
        <w:t>in dieser Komponente die Umweltziele im Sinne des Artikels 17 der Verordnung (EU) 2020/852 erheblich beeinträchtigt, wobei die Beschreibung der im Aufbau- und Resilienzplan festgelegten Maßnahmen und Abhilfemaßnahmen im Einklang mit den Technischen Leitlin</w:t>
      </w:r>
      <w:r>
        <w:rPr>
          <w:rFonts w:ascii="Times New Roman" w:hAnsi="Times New Roman"/>
          <w:noProof/>
          <w:sz w:val="24"/>
        </w:rPr>
        <w:t>ien zur Vermeidung erheblicher Beeinträchtigungen (DNSH) (C(2023) 6454 final) zu berücksichtigen ist,</w:t>
      </w:r>
      <w:r>
        <w:rPr>
          <w:noProof/>
        </w:rPr>
        <w:t xml:space="preserve"> </w:t>
      </w:r>
      <w:r>
        <w:rPr>
          <w:rFonts w:ascii="Times New Roman" w:hAnsi="Times New Roman"/>
          <w:noProof/>
          <w:sz w:val="24"/>
        </w:rPr>
        <w:t>während der Grundsatz der Vermeidung erheblicher Beeinträchtigungen nicht für die Maßnahme G3.2.1 gilt. „Bau von Erdgasinfrastruktur zur Gewährleistung de</w:t>
      </w:r>
      <w:r>
        <w:rPr>
          <w:rFonts w:ascii="Times New Roman" w:hAnsi="Times New Roman"/>
          <w:noProof/>
          <w:sz w:val="24"/>
        </w:rPr>
        <w:t>r Energieversorgungssicherheit“ gemäß Artikel 21c Absatz 6 der Verordnung (EU) 2021/241.</w:t>
      </w:r>
    </w:p>
    <w:p w14:paraId="58A87659" w14:textId="794E0FEE" w:rsidR="00EB245A" w:rsidRDefault="006021EE">
      <w:pPr>
        <w:pStyle w:val="Text1"/>
        <w:ind w:left="0"/>
        <w:rPr>
          <w:b/>
          <w:noProof/>
        </w:rPr>
      </w:pPr>
      <w:r>
        <w:rPr>
          <w:b/>
          <w:noProof/>
        </w:rPr>
        <w:t xml:space="preserve">G1. </w:t>
      </w:r>
      <w:r>
        <w:rPr>
          <w:noProof/>
        </w:rPr>
        <w:t xml:space="preserve"> </w:t>
      </w:r>
      <w:r>
        <w:rPr>
          <w:b/>
          <w:noProof/>
        </w:rPr>
        <w:t>Beschreibung der Reformen und Investitionen für nicht rückzahlbare finanzielle Unterstützung</w:t>
      </w:r>
    </w:p>
    <w:p w14:paraId="50582491" w14:textId="77777777" w:rsidR="00EB245A" w:rsidRDefault="00EB245A">
      <w:pPr>
        <w:spacing w:before="120" w:after="120" w:line="240" w:lineRule="auto"/>
        <w:rPr>
          <w:noProof/>
        </w:rPr>
      </w:pPr>
    </w:p>
    <w:p w14:paraId="51D1191C" w14:textId="26EF4A24" w:rsidR="00EB245A" w:rsidRDefault="006021EE">
      <w:pPr>
        <w:pStyle w:val="Text1"/>
        <w:ind w:left="0"/>
        <w:rPr>
          <w:noProof/>
        </w:rPr>
      </w:pPr>
      <w:r>
        <w:rPr>
          <w:b/>
          <w:noProof/>
        </w:rPr>
        <w:t>Teilkomponente G1.1 – Förderung von Investitionen in erneuerbare Ene</w:t>
      </w:r>
      <w:r>
        <w:rPr>
          <w:b/>
          <w:noProof/>
        </w:rPr>
        <w:t>rgiequellen</w:t>
      </w:r>
      <w:r>
        <w:rPr>
          <w:noProof/>
        </w:rPr>
        <w:t xml:space="preserve"> </w:t>
      </w:r>
    </w:p>
    <w:p w14:paraId="5DBD2CC6" w14:textId="2A85BF1A" w:rsidR="00EB245A" w:rsidRDefault="006021EE">
      <w:pPr>
        <w:pStyle w:val="P68B1DB1-Normal24"/>
        <w:spacing w:before="120" w:after="120" w:line="240" w:lineRule="auto"/>
        <w:jc w:val="both"/>
        <w:rPr>
          <w:rFonts w:cs="Times New Roman"/>
          <w:noProof/>
        </w:rPr>
      </w:pPr>
      <w:r>
        <w:rPr>
          <w:noProof/>
        </w:rPr>
        <w:t xml:space="preserve">Die Teilkomponente zielt darauf ab, die Entwicklung von Anlagen für erneuerbare Energien, die von Energiegemeinschaften betrieben werden, zu fördern, indem insbesondere der Rahmen verbessert wird, um Anreize für einen beschleunigten Ausbau </w:t>
      </w:r>
      <w:r>
        <w:rPr>
          <w:noProof/>
        </w:rPr>
        <w:t>solcher Gemeinschaften zu schaffen. Diese Teilkomponente umfasst auch Maßnahmen zur Unterstützung der Stromspeicherung zur Integration erneuerbarer Energiequellen in das Netz sowie Maßnahmen zur Stärkung der administrativen und organisatorischen Kapazitäte</w:t>
      </w:r>
      <w:r>
        <w:rPr>
          <w:noProof/>
        </w:rPr>
        <w:t>n der an der Umsetzung von REPowerEU-Reformen und -Investitionen sowie an den Prozessen für Projekte im Bereich der erneuerbaren Energien beteiligten Institutionen.</w:t>
      </w:r>
    </w:p>
    <w:p w14:paraId="3D6B8D75" w14:textId="77777777" w:rsidR="00EB245A" w:rsidRDefault="00EB245A">
      <w:pPr>
        <w:spacing w:before="120" w:after="120" w:line="240" w:lineRule="auto"/>
        <w:jc w:val="both"/>
        <w:rPr>
          <w:rFonts w:ascii="Times New Roman" w:hAnsi="Times New Roman" w:cs="Times New Roman"/>
          <w:noProof/>
          <w:sz w:val="24"/>
        </w:rPr>
      </w:pPr>
    </w:p>
    <w:p w14:paraId="621EA010" w14:textId="55C45FBA" w:rsidR="00EB245A" w:rsidRDefault="006021EE">
      <w:pPr>
        <w:pStyle w:val="P68B1DB1-Normal36"/>
        <w:spacing w:before="120" w:after="120" w:line="240" w:lineRule="auto"/>
        <w:jc w:val="both"/>
        <w:rPr>
          <w:rFonts w:cs="Times New Roman"/>
          <w:noProof/>
        </w:rPr>
      </w:pPr>
      <w:r>
        <w:rPr>
          <w:noProof/>
        </w:rPr>
        <w:t>G1.1.1 Förderung der Entwicklung lokaler Energiegemeinschaften</w:t>
      </w:r>
    </w:p>
    <w:p w14:paraId="4BEF687E" w14:textId="5B42AF98" w:rsidR="00EB245A" w:rsidRDefault="006021EE">
      <w:pPr>
        <w:pStyle w:val="P68B1DB1-Normal24"/>
        <w:spacing w:before="120" w:after="120" w:line="240" w:lineRule="auto"/>
        <w:jc w:val="both"/>
        <w:rPr>
          <w:rFonts w:cs="Times New Roman"/>
          <w:noProof/>
        </w:rPr>
      </w:pPr>
      <w:r>
        <w:rPr>
          <w:noProof/>
        </w:rPr>
        <w:t>Ziel der Reform ist es, das</w:t>
      </w:r>
      <w:r>
        <w:rPr>
          <w:noProof/>
        </w:rPr>
        <w:t xml:space="preserve"> Regelungsumfeld für Energiegemeinschaften in Polen zu verbessern und die Rolle der Bürger, Unternehmen und lokalen Behörden bei der Energiewende des Landes zu verbessern. </w:t>
      </w:r>
    </w:p>
    <w:p w14:paraId="3A888C14" w14:textId="77777777" w:rsidR="00EB245A" w:rsidRDefault="006021EE">
      <w:pPr>
        <w:pStyle w:val="P68B1DB1-Normal24"/>
        <w:spacing w:before="120" w:after="120" w:line="240" w:lineRule="auto"/>
        <w:jc w:val="both"/>
        <w:rPr>
          <w:rFonts w:cs="Times New Roman"/>
          <w:noProof/>
        </w:rPr>
      </w:pPr>
      <w:r>
        <w:rPr>
          <w:noProof/>
        </w:rPr>
        <w:t>Die Reform besteht in der Durchführung einer Analyse, um regulatorische und adminis</w:t>
      </w:r>
      <w:r>
        <w:rPr>
          <w:noProof/>
        </w:rPr>
        <w:t>trative Engpässe für die Entwicklung von Energiegemeinschaften zu ermitteln. Die Analyse umfasst insbesondere eine Bewertung der politischen Lücken zwischen dem nationalen und dem EU-Rechtsrahmen sowie die Ermittlung von Hindernissen, die der Entwicklung d</w:t>
      </w:r>
      <w:r>
        <w:rPr>
          <w:noProof/>
        </w:rPr>
        <w:t>ieser Gemeinschaften im Wege stehen und sich aus i) der Definition von Energiegemeinschaften, ii) den Verwaltungsverfahren für die Gründung und den Betrieb von Energiegemeinschaften und iii) den Pflichten, Praktiken und Rollen der Netzbetreiber ergeben. Im</w:t>
      </w:r>
      <w:r>
        <w:rPr>
          <w:noProof/>
        </w:rPr>
        <w:t xml:space="preserve"> Rahmen der Analyse werden auch politische Empfehlungen ausgearbeitet, um einen förderlichen, einfachen und umfassenden Rahmen für Energiegemeinschaften zu schaffen. </w:t>
      </w:r>
    </w:p>
    <w:p w14:paraId="2372C118" w14:textId="77777777" w:rsidR="00EB245A" w:rsidRDefault="006021EE">
      <w:pPr>
        <w:pStyle w:val="P68B1DB1-Normal24"/>
        <w:spacing w:before="120" w:after="120" w:line="240" w:lineRule="auto"/>
        <w:jc w:val="both"/>
        <w:rPr>
          <w:rFonts w:eastAsia="Times New Roman" w:cs="Times New Roman"/>
          <w:noProof/>
        </w:rPr>
      </w:pPr>
      <w:r>
        <w:rPr>
          <w:noProof/>
        </w:rPr>
        <w:t>Die Umsetzung der Reform wird bis zum 30. Juni 2024 abgeschlossen sein.</w:t>
      </w:r>
    </w:p>
    <w:p w14:paraId="046689CB" w14:textId="77777777" w:rsidR="00EB245A" w:rsidRDefault="00EB245A">
      <w:pPr>
        <w:spacing w:before="120" w:after="120" w:line="240" w:lineRule="auto"/>
        <w:jc w:val="both"/>
        <w:rPr>
          <w:noProof/>
        </w:rPr>
      </w:pPr>
    </w:p>
    <w:p w14:paraId="6CC0DC94" w14:textId="3964CF8E" w:rsidR="00EB245A" w:rsidRDefault="006021EE">
      <w:pPr>
        <w:pStyle w:val="P68B1DB1-Normal36"/>
        <w:spacing w:before="120" w:after="120" w:line="240" w:lineRule="auto"/>
        <w:jc w:val="both"/>
        <w:rPr>
          <w:rFonts w:cs="Times New Roman"/>
          <w:noProof/>
        </w:rPr>
      </w:pPr>
      <w:r>
        <w:rPr>
          <w:noProof/>
        </w:rPr>
        <w:t>G1.1.2 Anlagen f</w:t>
      </w:r>
      <w:r>
        <w:rPr>
          <w:noProof/>
        </w:rPr>
        <w:t>ür erneuerbare Energiequellen, die von Energiegemeinschaften betrieben werden, einschließlich eines erweiterten Teils</w:t>
      </w:r>
    </w:p>
    <w:p w14:paraId="3DDAFD92" w14:textId="3807A809" w:rsidR="00EB245A" w:rsidRDefault="006021EE">
      <w:pPr>
        <w:spacing w:before="120" w:after="120" w:line="240" w:lineRule="auto"/>
        <w:jc w:val="both"/>
        <w:rPr>
          <w:rFonts w:ascii="Times New Roman" w:hAnsi="Times New Roman" w:cs="Times New Roman"/>
          <w:noProof/>
          <w:sz w:val="24"/>
        </w:rPr>
      </w:pPr>
      <w:r>
        <w:rPr>
          <w:rFonts w:ascii="Times New Roman" w:hAnsi="Times New Roman"/>
          <w:noProof/>
          <w:sz w:val="24"/>
        </w:rPr>
        <w:t>Ziel dieser Investition ist es, Anreize für die Entwicklung lokaler erneuerbarer Energiequellen zu schaffen, die von Energiegemeinschaften</w:t>
      </w:r>
      <w:r>
        <w:rPr>
          <w:rFonts w:ascii="Times New Roman" w:hAnsi="Times New Roman"/>
          <w:noProof/>
          <w:sz w:val="24"/>
        </w:rPr>
        <w:t xml:space="preserve"> umgesetzt werden, einschließlich Energieclustern, Energiegenossenschaften und anderen Energiegemeinschaften, die sich aus der Umsetzung der Richtlinie (EU) 2018/2001 zur Förderung der Nutzung von Energie aus erneuerbaren Quellen (RED II) ergeben, mit beso</w:t>
      </w:r>
      <w:r>
        <w:rPr>
          <w:rFonts w:ascii="Times New Roman" w:hAnsi="Times New Roman"/>
          <w:noProof/>
          <w:sz w:val="24"/>
        </w:rPr>
        <w:t>nderem Schwerpunkt auf der Rolle der lokalen Gebietskörperschaften (insbesondere Gemeinden und Gemeindeverbände), die solche lokalen Energiegemeinschaften bilden.</w:t>
      </w:r>
    </w:p>
    <w:p w14:paraId="153EA1C8" w14:textId="7EBC3EF5" w:rsidR="00EB245A" w:rsidRDefault="006021EE">
      <w:pPr>
        <w:pStyle w:val="P68B1DB1-Normal24"/>
        <w:spacing w:before="120" w:after="120" w:line="240" w:lineRule="auto"/>
        <w:jc w:val="both"/>
        <w:rPr>
          <w:rFonts w:cs="Times New Roman"/>
          <w:noProof/>
        </w:rPr>
      </w:pPr>
      <w:r>
        <w:rPr>
          <w:noProof/>
        </w:rPr>
        <w:t>Das Programm zur Unterstützung vor der Investition besteht in der Entwicklung eines rechtlich</w:t>
      </w:r>
      <w:r>
        <w:rPr>
          <w:noProof/>
        </w:rPr>
        <w:t>en und organisatorischen Formats und eines Geschäftsmodells für die Gründung oder Entwicklung einer Energiegemeinschaft sowie in der Vorbereitung der für die Investition erforderlichen Analysen und Unterlagen. Mit diesem Programm werden unter anderem Strat</w:t>
      </w:r>
      <w:r>
        <w:rPr>
          <w:noProof/>
        </w:rPr>
        <w:t>egien zur Entwicklung des lokalen Energiemarkts unterstützt; Analysen des lokalen Energiebedarfs und -angebots; Bestandsaufnahmen der lokalen Energieressourcen (Infrastrukturen) und ihres Potenzials (z. B. Kapazität zur Bereitstellung von Energieanschlüsse</w:t>
      </w:r>
      <w:r>
        <w:rPr>
          <w:noProof/>
        </w:rPr>
        <w:t xml:space="preserve">n); Durchführbarkeitsstudien, Geschäftspläne, Due-Diligence-Dokumente; technische Dokumentation und Bauvorhaben. </w:t>
      </w:r>
    </w:p>
    <w:p w14:paraId="1ED14409" w14:textId="29EBCAB4" w:rsidR="00EB245A" w:rsidRDefault="006021EE">
      <w:pPr>
        <w:pStyle w:val="P68B1DB1-Normal24"/>
        <w:spacing w:before="120" w:after="120" w:line="240" w:lineRule="auto"/>
        <w:jc w:val="both"/>
        <w:rPr>
          <w:rFonts w:cs="Times New Roman"/>
          <w:noProof/>
        </w:rPr>
      </w:pPr>
      <w:r>
        <w:rPr>
          <w:noProof/>
        </w:rPr>
        <w:t>Im Rahmen der Investitionsförderung deckt die Finanzierung unter anderem neue Technologien für die Erzeugung von Strom aus erneuerbaren Quelle</w:t>
      </w:r>
      <w:r>
        <w:rPr>
          <w:noProof/>
        </w:rPr>
        <w:t>n ab; ergänzende Infrastruktur für andere Technologien als Elektrizität; zugehörige Infrastruktur für erneuerbare Energien (z. B. Netzkomponenten und Zähler); Energiespeicheranlagen und IT-Software für das Management von Energiegemeinschaften und die Energ</w:t>
      </w:r>
      <w:r>
        <w:rPr>
          <w:noProof/>
        </w:rPr>
        <w:t>ieoptimierung. Die Unterstützung aus dem Investitionsprogramm wird auf der Grundlage einer offenen und wettbewerbsorientierten Aufforderung zur Einreichung von Vorschlägen gewährt, die die Beteiligung der in der Vorinvestitionsphase beteiligten Energiegeme</w:t>
      </w:r>
      <w:r>
        <w:rPr>
          <w:noProof/>
        </w:rPr>
        <w:t>inschaften ermöglicht.</w:t>
      </w:r>
    </w:p>
    <w:p w14:paraId="5D2BC098" w14:textId="77777777" w:rsidR="00EB245A" w:rsidRDefault="006021EE">
      <w:pPr>
        <w:pStyle w:val="P68B1DB1-Normal24"/>
        <w:spacing w:before="120" w:after="120" w:line="240" w:lineRule="auto"/>
        <w:jc w:val="both"/>
        <w:rPr>
          <w:rFonts w:cs="Times New Roman"/>
          <w:noProof/>
        </w:rPr>
      </w:pPr>
      <w:r>
        <w:rPr>
          <w:noProof/>
        </w:rPr>
        <w:t xml:space="preserve">Der ausgeweitete Teil der Investition besteht in der Bereitstellung finanzieller Vorinvestitionshilfen für weitere 61 Energiegemeinschaften und der Investitionsförderung für weitere 10 Energiegemeinschaften. </w:t>
      </w:r>
    </w:p>
    <w:p w14:paraId="72887150" w14:textId="7F880F1F" w:rsidR="00EB245A" w:rsidRDefault="006021EE">
      <w:pPr>
        <w:pStyle w:val="P68B1DB1-Normal24"/>
        <w:spacing w:before="120" w:after="120" w:line="257" w:lineRule="auto"/>
        <w:jc w:val="both"/>
        <w:rPr>
          <w:rFonts w:cs="Times New Roman"/>
          <w:noProof/>
        </w:rPr>
      </w:pPr>
      <w:r>
        <w:rPr>
          <w:noProof/>
        </w:rPr>
        <w:t>Die Durchführung der Vor</w:t>
      </w:r>
      <w:r>
        <w:rPr>
          <w:noProof/>
        </w:rPr>
        <w:t xml:space="preserve">investitionsunterstützung muss bis zum 31. März 2025 und die Durchführung der Investitionsunterstützung bis zum 30. Juni 2026 abgeschlossen sein. </w:t>
      </w:r>
    </w:p>
    <w:p w14:paraId="39F1559F" w14:textId="77777777" w:rsidR="00EB245A" w:rsidRDefault="00EB245A">
      <w:pPr>
        <w:spacing w:before="120" w:after="120" w:line="240" w:lineRule="auto"/>
        <w:jc w:val="both"/>
        <w:rPr>
          <w:rFonts w:ascii="Times New Roman" w:hAnsi="Times New Roman" w:cs="Times New Roman"/>
          <w:noProof/>
          <w:sz w:val="24"/>
        </w:rPr>
      </w:pPr>
    </w:p>
    <w:p w14:paraId="7A6E9079" w14:textId="16C0CFFD" w:rsidR="00EB245A" w:rsidRDefault="006021EE">
      <w:pPr>
        <w:pStyle w:val="P68B1DB1-Normal36"/>
        <w:keepNext/>
        <w:spacing w:before="120" w:after="120" w:line="240" w:lineRule="auto"/>
        <w:jc w:val="both"/>
        <w:rPr>
          <w:noProof/>
        </w:rPr>
      </w:pPr>
      <w:r>
        <w:rPr>
          <w:noProof/>
        </w:rPr>
        <w:t>G1.1.3 Energiespeichersysteme (nicht rückzahlbare Unterstützung)</w:t>
      </w:r>
    </w:p>
    <w:p w14:paraId="7EA95861" w14:textId="77777777" w:rsidR="00EB245A" w:rsidRDefault="006021EE">
      <w:pPr>
        <w:pStyle w:val="P68B1DB1-Normal24"/>
        <w:spacing w:before="120" w:after="120" w:line="240" w:lineRule="auto"/>
        <w:jc w:val="both"/>
        <w:rPr>
          <w:rFonts w:cs="Times New Roman"/>
          <w:noProof/>
        </w:rPr>
      </w:pPr>
      <w:r>
        <w:rPr>
          <w:noProof/>
        </w:rPr>
        <w:t>Ziel dieser Investition ist es, die Kontinu</w:t>
      </w:r>
      <w:r>
        <w:rPr>
          <w:noProof/>
        </w:rPr>
        <w:t>ität der Stromversorgung der Kunden zu gewährleisten und die Effizienz der Nutzung erneuerbarer Energiequellen durch Investitionen in Technologien zur Erleichterung des Stromausgleichs im Elektrizitätssystem zu steigern.</w:t>
      </w:r>
    </w:p>
    <w:p w14:paraId="34350269" w14:textId="156665D7" w:rsidR="00EB245A" w:rsidRDefault="006021EE">
      <w:pPr>
        <w:pStyle w:val="P68B1DB1-ListParagraph40"/>
        <w:numPr>
          <w:ilvl w:val="1"/>
          <w:numId w:val="27"/>
        </w:numPr>
        <w:spacing w:before="120" w:after="120" w:line="240" w:lineRule="auto"/>
        <w:ind w:left="567"/>
        <w:jc w:val="both"/>
        <w:rPr>
          <w:noProof/>
        </w:rPr>
      </w:pPr>
      <w:r>
        <w:rPr>
          <w:noProof/>
        </w:rPr>
        <w:t>Die Investition besteht in der Einf</w:t>
      </w:r>
      <w:r>
        <w:rPr>
          <w:noProof/>
        </w:rPr>
        <w:t>ührung eines groß angelegten Batterie-Energiespeichersystems (BESS) für die Speicherung überschüssiger Energie im Elektrizitätssystem. Dieses Speichersystem soll zum technischen Ausgleich erneuerbarer Energiequellen beitragen.</w:t>
      </w:r>
    </w:p>
    <w:p w14:paraId="70AA5454" w14:textId="77777777" w:rsidR="00EB245A" w:rsidRDefault="006021EE">
      <w:pPr>
        <w:pStyle w:val="P68B1DB1-Normal24"/>
        <w:spacing w:before="120" w:after="120" w:line="240" w:lineRule="auto"/>
        <w:jc w:val="both"/>
        <w:rPr>
          <w:noProof/>
        </w:rPr>
      </w:pPr>
      <w:r>
        <w:rPr>
          <w:noProof/>
        </w:rPr>
        <w:t>Die Durchführung der Investit</w:t>
      </w:r>
      <w:r>
        <w:rPr>
          <w:noProof/>
        </w:rPr>
        <w:t>ion muss bis zum 30. Juni 2026 abgeschlossen sein.</w:t>
      </w:r>
    </w:p>
    <w:p w14:paraId="517200B8" w14:textId="77777777" w:rsidR="00EB245A" w:rsidRDefault="00EB245A">
      <w:pPr>
        <w:spacing w:before="120" w:after="120" w:line="240" w:lineRule="auto"/>
        <w:jc w:val="both"/>
        <w:rPr>
          <w:rFonts w:ascii="Times New Roman" w:hAnsi="Times New Roman" w:cs="Times New Roman"/>
          <w:noProof/>
          <w:sz w:val="24"/>
        </w:rPr>
      </w:pPr>
    </w:p>
    <w:p w14:paraId="1D926365" w14:textId="145DB2C3" w:rsidR="00EB245A" w:rsidRDefault="006021EE">
      <w:pPr>
        <w:pStyle w:val="P68B1DB1-Normal36"/>
        <w:keepNext/>
        <w:spacing w:before="120" w:after="120" w:line="240" w:lineRule="auto"/>
        <w:jc w:val="both"/>
        <w:rPr>
          <w:rFonts w:cs="Times New Roman"/>
          <w:noProof/>
        </w:rPr>
      </w:pPr>
      <w:r>
        <w:rPr>
          <w:noProof/>
        </w:rPr>
        <w:t>G1.1.4 Unterstützung von Institutionen, die REPowerEU-Reformen und -Investitionen umsetzen</w:t>
      </w:r>
    </w:p>
    <w:p w14:paraId="13FBD749" w14:textId="0EA76EBA" w:rsidR="00EB245A" w:rsidRDefault="006021EE">
      <w:pPr>
        <w:pStyle w:val="P68B1DB1-Normal24"/>
        <w:spacing w:before="120" w:after="120" w:line="240" w:lineRule="auto"/>
        <w:jc w:val="both"/>
        <w:rPr>
          <w:rFonts w:eastAsia="Times New Roman" w:cs="Times New Roman"/>
          <w:noProof/>
        </w:rPr>
      </w:pPr>
      <w:r>
        <w:rPr>
          <w:noProof/>
        </w:rPr>
        <w:t>Ziel dieser Investition ist es, die administrativen und organisatorischen Kapazitäten der wichtigsten öffentliche</w:t>
      </w:r>
      <w:r>
        <w:rPr>
          <w:noProof/>
        </w:rPr>
        <w:t>n Einrichtungen, die an der Umsetzung der REPowerEU-Reformen und -Investitionen beteiligt sind, zu stärken. Außerdem sollen Regulierungs-, Analyse- und Bildungsmaßnahmen zum Energiesystem in Polen unterstützt werden, einschließlich der Verbesserung der Ver</w:t>
      </w:r>
      <w:r>
        <w:rPr>
          <w:noProof/>
        </w:rPr>
        <w:t xml:space="preserve">waltungskapazitäten für Genehmigungsverfahren für erneuerbare Energiequellen und Stromnetze und/oder die Digitalisierung des Netzausbaus und des Prozesses des Anschlusses an die Stromnetze. </w:t>
      </w:r>
    </w:p>
    <w:p w14:paraId="3F7ECAD6" w14:textId="699FAB85" w:rsidR="00EB245A" w:rsidRDefault="006021EE">
      <w:pPr>
        <w:pStyle w:val="P68B1DB1-Normal24"/>
        <w:spacing w:before="120" w:after="120" w:line="240" w:lineRule="auto"/>
        <w:jc w:val="both"/>
        <w:rPr>
          <w:rFonts w:eastAsia="Times New Roman" w:cs="Times New Roman"/>
          <w:noProof/>
        </w:rPr>
      </w:pPr>
      <w:r>
        <w:rPr>
          <w:noProof/>
        </w:rPr>
        <w:t>Mit der Investition sollen die zentralen und lokalen Verwaltungen</w:t>
      </w:r>
      <w:r>
        <w:rPr>
          <w:noProof/>
        </w:rPr>
        <w:t xml:space="preserve"> und NRO bei der Verwaltungskapazität unterstützt werden.</w:t>
      </w:r>
    </w:p>
    <w:p w14:paraId="4E1120D0" w14:textId="39616E88" w:rsidR="00EB245A" w:rsidRDefault="006021EE">
      <w:pPr>
        <w:pStyle w:val="P68B1DB1-Normal24"/>
        <w:spacing w:before="120" w:after="120" w:line="240" w:lineRule="auto"/>
        <w:jc w:val="both"/>
        <w:rPr>
          <w:rFonts w:eastAsia="Times New Roman" w:cs="Times New Roman"/>
          <w:noProof/>
        </w:rPr>
      </w:pPr>
      <w:r>
        <w:rPr>
          <w:noProof/>
        </w:rPr>
        <w:t>Die Unterstützung umfasst die Erhöhung der Zahl der Mitarbeiter, die an der Umsetzung von RepowerEU arbeiten. In der Zentralverwaltung werden mindestens 106 neue Vollzeitäquivalente für die Umsetzun</w:t>
      </w:r>
      <w:r>
        <w:rPr>
          <w:noProof/>
        </w:rPr>
        <w:t>g der REPowerEU-Reformen und Investitionen eingesetzt, einschließlich der Digitalisierung der Genehmigungsverfahren für erneuerbare Energiequellen und Stromnetze und der Digitalisierung des Netzausbaus und des Prozesses des Anschlusses an die Stromnetze. D</w:t>
      </w:r>
      <w:r>
        <w:rPr>
          <w:noProof/>
        </w:rPr>
        <w:t>ie Investition umfasst auch die Unterstützung von NRO, die sich mit dem ökologischen Wandel befassen und mit der Durchführung von Projekten zum Kapazitätsaufbau, einschließlich Schulungen, Beratungs- und Forschungstätigkeiten, sowie Sozialkampagnen betraut</w:t>
      </w:r>
      <w:r>
        <w:rPr>
          <w:noProof/>
        </w:rPr>
        <w:t xml:space="preserve"> sind.</w:t>
      </w:r>
    </w:p>
    <w:p w14:paraId="0224AEB2" w14:textId="5A8FF1F1" w:rsidR="00EB245A" w:rsidRDefault="006021EE">
      <w:pPr>
        <w:pStyle w:val="P68B1DB1-Normal24"/>
        <w:spacing w:before="120" w:after="120" w:line="240" w:lineRule="auto"/>
        <w:jc w:val="both"/>
        <w:rPr>
          <w:rFonts w:cs="Times New Roman"/>
          <w:noProof/>
        </w:rPr>
      </w:pPr>
      <w:r>
        <w:rPr>
          <w:noProof/>
        </w:rPr>
        <w:t xml:space="preserve">Die Investition umfasst auch die Fertigstellung und Anwendung eines IT-Tools für die Energieregulierungsbehörde für die Anwendung des in Maßnahme G1.2.1 genannten neuen Regulierungsmodells. </w:t>
      </w:r>
    </w:p>
    <w:p w14:paraId="544EA20D" w14:textId="77777777" w:rsidR="00EB245A" w:rsidRDefault="006021EE">
      <w:pPr>
        <w:pStyle w:val="P68B1DB1-Normal24"/>
        <w:spacing w:before="120" w:after="120" w:line="240" w:lineRule="auto"/>
        <w:jc w:val="both"/>
        <w:rPr>
          <w:rFonts w:cs="Times New Roman"/>
          <w:noProof/>
        </w:rPr>
      </w:pPr>
      <w:r>
        <w:rPr>
          <w:noProof/>
        </w:rPr>
        <w:t>Die Durchführung der Investition muss bis zum 30. Juni 202</w:t>
      </w:r>
      <w:r>
        <w:rPr>
          <w:noProof/>
        </w:rPr>
        <w:t>6 abgeschlossen sein.</w:t>
      </w:r>
    </w:p>
    <w:p w14:paraId="5DE89BD1" w14:textId="77777777" w:rsidR="00EB245A" w:rsidRDefault="00EB245A">
      <w:pPr>
        <w:spacing w:before="120" w:after="120" w:line="240" w:lineRule="auto"/>
        <w:jc w:val="both"/>
        <w:rPr>
          <w:rFonts w:ascii="Times New Roman" w:hAnsi="Times New Roman" w:cs="Times New Roman"/>
          <w:noProof/>
          <w:sz w:val="24"/>
        </w:rPr>
      </w:pPr>
    </w:p>
    <w:p w14:paraId="3FAE7DC3" w14:textId="2E002C6B" w:rsidR="00EB245A" w:rsidRDefault="006021EE">
      <w:pPr>
        <w:pStyle w:val="P68B1DB1-Text14"/>
        <w:pageBreakBefore/>
        <w:ind w:left="0"/>
        <w:rPr>
          <w:noProof/>
        </w:rPr>
      </w:pPr>
      <w:r>
        <w:rPr>
          <w:noProof/>
        </w:rPr>
        <w:t>Teilkomponente G1.2 – Modernisierung der Stromnetze zur Beschleunigung der Integration erneuerbarer Energiequellen</w:t>
      </w:r>
    </w:p>
    <w:p w14:paraId="241B7DB4" w14:textId="5F418A28" w:rsidR="00EB245A" w:rsidRDefault="006021EE">
      <w:pPr>
        <w:spacing w:before="120" w:after="120" w:line="240" w:lineRule="auto"/>
        <w:jc w:val="both"/>
        <w:rPr>
          <w:rFonts w:ascii="Times New Roman" w:hAnsi="Times New Roman" w:cs="Times New Roman"/>
          <w:noProof/>
          <w:sz w:val="24"/>
        </w:rPr>
      </w:pPr>
      <w:r>
        <w:rPr>
          <w:rFonts w:ascii="Times New Roman" w:hAnsi="Times New Roman"/>
          <w:noProof/>
          <w:sz w:val="24"/>
        </w:rPr>
        <w:t>Ziel der Teilkomponente ist die Einführung geeigneter Instrumente und Modernisierungen für die beschleunigte Entwicklu</w:t>
      </w:r>
      <w:r>
        <w:rPr>
          <w:rFonts w:ascii="Times New Roman" w:hAnsi="Times New Roman"/>
          <w:noProof/>
          <w:sz w:val="24"/>
        </w:rPr>
        <w:t>ng neuer Anlagen zur Erzeugung von Strom aus erneuerbaren Quellen.</w:t>
      </w:r>
      <w:r>
        <w:rPr>
          <w:noProof/>
        </w:rPr>
        <w:t xml:space="preserve"> </w:t>
      </w:r>
      <w:r>
        <w:rPr>
          <w:rFonts w:ascii="Times New Roman" w:hAnsi="Times New Roman"/>
          <w:noProof/>
          <w:sz w:val="24"/>
        </w:rPr>
        <w:t xml:space="preserve">Dies bedeutet die Beseitigung von Hindernissen für den Netzanschluss, den Bau neuer Infrastrukturen und die Modernisierung der bestehenden Netze, um erneuerbare Energie dorthin zu bringen, </w:t>
      </w:r>
      <w:r>
        <w:rPr>
          <w:rFonts w:ascii="Times New Roman" w:hAnsi="Times New Roman"/>
          <w:noProof/>
          <w:sz w:val="24"/>
        </w:rPr>
        <w:t>wo sie erzeugt wird, bis zu dem Ort, an dem sie genutzt wird.</w:t>
      </w:r>
    </w:p>
    <w:p w14:paraId="4DB23064" w14:textId="77777777" w:rsidR="00EB245A" w:rsidRDefault="00EB245A">
      <w:pPr>
        <w:spacing w:before="120" w:after="120" w:line="240" w:lineRule="auto"/>
        <w:jc w:val="both"/>
        <w:rPr>
          <w:rFonts w:ascii="Times New Roman" w:hAnsi="Times New Roman" w:cs="Times New Roman"/>
          <w:noProof/>
          <w:sz w:val="24"/>
        </w:rPr>
      </w:pPr>
    </w:p>
    <w:p w14:paraId="47F7498A" w14:textId="0809E594" w:rsidR="00EB245A" w:rsidRDefault="006021EE">
      <w:pPr>
        <w:pStyle w:val="P68B1DB1-Normal36"/>
        <w:spacing w:before="120" w:after="120" w:line="240" w:lineRule="auto"/>
        <w:jc w:val="both"/>
        <w:rPr>
          <w:rFonts w:cs="Times New Roman"/>
          <w:noProof/>
        </w:rPr>
      </w:pPr>
      <w:r>
        <w:rPr>
          <w:noProof/>
        </w:rPr>
        <w:t>G1.2.1 Regelungslösungen für eine beschleunigte Integration erneuerbarer Energien in die Verteilernetze</w:t>
      </w:r>
    </w:p>
    <w:p w14:paraId="74CD0B78" w14:textId="77777777" w:rsidR="00EB245A" w:rsidRDefault="006021EE">
      <w:pPr>
        <w:pStyle w:val="P68B1DB1-Normal24"/>
        <w:spacing w:before="120" w:after="120" w:line="240" w:lineRule="auto"/>
        <w:jc w:val="both"/>
        <w:rPr>
          <w:rFonts w:cs="Times New Roman"/>
          <w:noProof/>
        </w:rPr>
      </w:pPr>
      <w:r>
        <w:rPr>
          <w:noProof/>
        </w:rPr>
        <w:t xml:space="preserve">Ziel dieser Reform ist es, die Fähigkeit der Energieregulierungsbehörde zu verbessern, </w:t>
      </w:r>
      <w:r>
        <w:rPr>
          <w:noProof/>
        </w:rPr>
        <w:t>die Netzentwicklungspläne der Verteilernetzbetreiber zu bewerten und Tarife zu gestalten, um eine angemessene Tariffinanzierung effizienter und gezielter Investitionen in den Ausbau der Verteilernetze zu ermöglichen, um Hindernisse für die Entwicklung erne</w:t>
      </w:r>
      <w:r>
        <w:rPr>
          <w:noProof/>
        </w:rPr>
        <w:t xml:space="preserve">uerbarer Energien abzubauen. </w:t>
      </w:r>
    </w:p>
    <w:p w14:paraId="2AF71A0E" w14:textId="2E431151" w:rsidR="00EB245A" w:rsidRDefault="006021EE">
      <w:pPr>
        <w:pStyle w:val="P68B1DB1-Normal24"/>
        <w:spacing w:before="120" w:after="120" w:line="240" w:lineRule="auto"/>
        <w:jc w:val="both"/>
        <w:rPr>
          <w:rFonts w:cs="Times New Roman"/>
          <w:noProof/>
        </w:rPr>
      </w:pPr>
      <w:r>
        <w:rPr>
          <w:noProof/>
        </w:rPr>
        <w:t>Die Reform besteht in der Annahme eines neuen Regulierungsmodells durch die nationale Energieregulierungsbehörde, die Energieregulierungsbehörde. Das neue Regulierungsmodell soll es der nationalen Energieregulierungsbehörde er</w:t>
      </w:r>
      <w:r>
        <w:rPr>
          <w:noProof/>
        </w:rPr>
        <w:t>möglichen, den Investitionsbedarf im Zusammenhang mit dem Ausbau der Verteilernetze vor dem Hintergrund des raschen Wachstums erneuerbarer Energien genauer zu ermitteln und zu bewerten und ihn in den Verteilernetztarifen widerzuspiegeln.</w:t>
      </w:r>
    </w:p>
    <w:p w14:paraId="5AAE4BB7" w14:textId="77777777" w:rsidR="00EB245A" w:rsidRDefault="006021EE">
      <w:pPr>
        <w:pStyle w:val="P68B1DB1-Normal24"/>
        <w:spacing w:before="120" w:after="120" w:line="240" w:lineRule="auto"/>
        <w:jc w:val="both"/>
        <w:rPr>
          <w:noProof/>
        </w:rPr>
      </w:pPr>
      <w:r>
        <w:rPr>
          <w:noProof/>
        </w:rPr>
        <w:t>Die Durchführung d</w:t>
      </w:r>
      <w:r>
        <w:rPr>
          <w:noProof/>
        </w:rPr>
        <w:t>er Reform wird bis zum 31. März 2025 abgeschlossen.</w:t>
      </w:r>
    </w:p>
    <w:p w14:paraId="6B9B8039" w14:textId="77777777" w:rsidR="00EB245A" w:rsidRDefault="00EB245A">
      <w:pPr>
        <w:spacing w:before="120" w:after="120" w:line="240" w:lineRule="auto"/>
        <w:jc w:val="both"/>
        <w:rPr>
          <w:rFonts w:ascii="Times New Roman" w:hAnsi="Times New Roman" w:cs="Times New Roman"/>
          <w:noProof/>
          <w:sz w:val="24"/>
        </w:rPr>
      </w:pPr>
    </w:p>
    <w:p w14:paraId="4792F541" w14:textId="5296B305" w:rsidR="00EB245A" w:rsidRDefault="006021EE">
      <w:pPr>
        <w:pStyle w:val="P68B1DB1-Normal36"/>
        <w:keepNext/>
        <w:spacing w:before="120" w:after="120" w:line="240" w:lineRule="auto"/>
        <w:jc w:val="both"/>
        <w:rPr>
          <w:rFonts w:cs="Times New Roman"/>
          <w:noProof/>
        </w:rPr>
      </w:pPr>
      <w:r>
        <w:rPr>
          <w:noProof/>
        </w:rPr>
        <w:t>G1.2.2 Beseitigung von Hindernissen für die Integration erneuerbarer Energiequellen in die Stromnetze</w:t>
      </w:r>
    </w:p>
    <w:p w14:paraId="6BD7A3D7" w14:textId="77777777" w:rsidR="00EB245A" w:rsidRDefault="006021EE">
      <w:pPr>
        <w:pStyle w:val="P68B1DB1-Normal24"/>
        <w:spacing w:before="120" w:after="120" w:line="240" w:lineRule="auto"/>
        <w:jc w:val="both"/>
        <w:rPr>
          <w:rFonts w:cs="Times New Roman"/>
          <w:noProof/>
        </w:rPr>
      </w:pPr>
      <w:r>
        <w:rPr>
          <w:noProof/>
        </w:rPr>
        <w:t>Ziel dieser Reform ist es, den Einsatz neuer erneuerbarer Energiequellen zu beschleunigen, indem Hind</w:t>
      </w:r>
      <w:r>
        <w:rPr>
          <w:noProof/>
        </w:rPr>
        <w:t>ernisse für ihre Integration in die Stromübertragungs- und -verteilungsnetze beseitigt werden.</w:t>
      </w:r>
    </w:p>
    <w:p w14:paraId="4AB55828" w14:textId="03352664" w:rsidR="00EB245A" w:rsidRDefault="006021EE">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Mit der Reform soll erstens ein Rechtsrahmen für den Anschluss mehrerer erneuerbarer Energiequellen an einen einzigen Anschlusspunkt (Kabelbündelung) geschaffen </w:t>
      </w:r>
      <w:r>
        <w:rPr>
          <w:rFonts w:ascii="Times New Roman" w:hAnsi="Times New Roman"/>
          <w:noProof/>
          <w:sz w:val="24"/>
        </w:rPr>
        <w:t>werden. Die neuen Vorschriften sollen es Erzeugern von Energie aus erneuerbaren Quellen, die unter den im Energiegesetz festgelegten Bedingungen einen Vertrag schließen, ermöglichen, einen Anschluss zu teilen, d. h. dieselbe Anschlusskapazität an einem Net</w:t>
      </w:r>
      <w:r>
        <w:rPr>
          <w:rFonts w:ascii="Times New Roman" w:hAnsi="Times New Roman"/>
          <w:noProof/>
          <w:sz w:val="24"/>
        </w:rPr>
        <w:t>zanschlusspunkt zu nutzen, wobei die Möglichkeit erhalten bleibt, Verträge über den Verkauf der erzeugten Energie zu schließen.</w:t>
      </w:r>
      <w:r>
        <w:rPr>
          <w:noProof/>
        </w:rPr>
        <w:t xml:space="preserve"> </w:t>
      </w:r>
      <w:r>
        <w:rPr>
          <w:rFonts w:ascii="Times New Roman" w:hAnsi="Times New Roman"/>
          <w:noProof/>
          <w:sz w:val="24"/>
        </w:rPr>
        <w:t>Darüber hinaus wird das Erneuerbare-Energien-Gesetz geändert. Die Änderungen ermöglichen es Einrichtungen, die von Förderregelun</w:t>
      </w:r>
      <w:r>
        <w:rPr>
          <w:rFonts w:ascii="Times New Roman" w:hAnsi="Times New Roman"/>
          <w:noProof/>
          <w:sz w:val="24"/>
        </w:rPr>
        <w:t>gen für erneuerbare Energiequellen profitieren, ihre Anschlusskapazität mit anderen am selben Anschlusspunkt angeschlossenen Anlagen zu teilen, ohne das in diesem Gesetz vorgesehene Recht auf Förderung zu verlieren. Von den Anlagen, die über einen einzigen</w:t>
      </w:r>
      <w:r>
        <w:rPr>
          <w:rFonts w:ascii="Times New Roman" w:hAnsi="Times New Roman"/>
          <w:noProof/>
          <w:sz w:val="24"/>
        </w:rPr>
        <w:t xml:space="preserve"> Anschlusspunkt verfügen, kann nur eine Förderregelungen in Anspruch nehmen. </w:t>
      </w:r>
    </w:p>
    <w:p w14:paraId="2A03C37C" w14:textId="123EF7F4" w:rsidR="00EB245A" w:rsidRDefault="006021EE">
      <w:pPr>
        <w:pStyle w:val="P68B1DB1-Normal24"/>
        <w:spacing w:before="120" w:after="120" w:line="240" w:lineRule="auto"/>
        <w:jc w:val="both"/>
        <w:rPr>
          <w:rFonts w:cs="Times New Roman"/>
          <w:noProof/>
        </w:rPr>
      </w:pPr>
      <w:r>
        <w:rPr>
          <w:noProof/>
        </w:rPr>
        <w:t>Zweitens zielt die Reform darauf ab</w:t>
      </w:r>
      <w:r>
        <w:rPr>
          <w:noProof/>
        </w:rPr>
        <w:t xml:space="preserve">, die Reservierung von Kapazitäten und den Anschluss erneuerbarer Energiequellen an die Stromnetze effizienter zu gestalten. Die Reform erfolgt in Form von legislativen und gegebenenfalls nichtlegislativen Rechtsakten in Bezug auf die Vorschriften für den </w:t>
      </w:r>
      <w:r>
        <w:rPr>
          <w:noProof/>
        </w:rPr>
        <w:t xml:space="preserve">Anschluss von Anlagen an die Stromnetze, um die Transparenz und Berechenbarkeit des Anschlussprozesses zu erhöhen. </w:t>
      </w:r>
    </w:p>
    <w:p w14:paraId="6D6F346D" w14:textId="77777777" w:rsidR="00EB245A" w:rsidRDefault="006021EE">
      <w:pPr>
        <w:pStyle w:val="P68B1DB1-Normal24"/>
        <w:spacing w:before="120" w:after="120" w:line="240" w:lineRule="auto"/>
        <w:jc w:val="both"/>
        <w:rPr>
          <w:rFonts w:cs="Times New Roman"/>
          <w:noProof/>
        </w:rPr>
      </w:pPr>
      <w:r>
        <w:rPr>
          <w:noProof/>
        </w:rPr>
        <w:t>Die Umsetzung dieses Reformelements muss bis zum 31. Dezember 2025 abgeschlossen sein.</w:t>
      </w:r>
    </w:p>
    <w:p w14:paraId="5E3B2545" w14:textId="77777777" w:rsidR="00EB245A" w:rsidRDefault="00EB245A">
      <w:pPr>
        <w:spacing w:before="120" w:after="120" w:line="240" w:lineRule="auto"/>
        <w:jc w:val="both"/>
        <w:rPr>
          <w:rFonts w:ascii="Times New Roman" w:hAnsi="Times New Roman" w:cs="Times New Roman"/>
          <w:noProof/>
          <w:sz w:val="24"/>
        </w:rPr>
      </w:pPr>
    </w:p>
    <w:p w14:paraId="1E11A2A8" w14:textId="7D208D6F" w:rsidR="00EB245A" w:rsidRDefault="006021EE">
      <w:pPr>
        <w:pStyle w:val="P68B1DB1-Normal36"/>
        <w:pageBreakBefore/>
        <w:spacing w:before="120" w:after="120" w:line="240" w:lineRule="auto"/>
        <w:jc w:val="both"/>
        <w:rPr>
          <w:rFonts w:cs="Times New Roman"/>
          <w:noProof/>
        </w:rPr>
      </w:pPr>
      <w:r>
        <w:rPr>
          <w:noProof/>
        </w:rPr>
        <w:t>G1.2.3 Ausbau der Übertragungsnetze, intelligente St</w:t>
      </w:r>
      <w:r>
        <w:rPr>
          <w:noProof/>
        </w:rPr>
        <w:t>rominfrastruktur, einschließlich eines erweiterten Teils</w:t>
      </w:r>
    </w:p>
    <w:p w14:paraId="2599D1A9" w14:textId="02C010B3" w:rsidR="00EB245A" w:rsidRDefault="006021EE">
      <w:pPr>
        <w:pStyle w:val="P68B1DB1-Normal24"/>
        <w:spacing w:before="120" w:after="120" w:line="240" w:lineRule="auto"/>
        <w:jc w:val="both"/>
        <w:rPr>
          <w:rFonts w:eastAsia="Times New Roman" w:cs="Times New Roman"/>
          <w:noProof/>
        </w:rPr>
      </w:pPr>
      <w:r>
        <w:rPr>
          <w:noProof/>
          <w:color w:val="000000" w:themeColor="text1"/>
        </w:rPr>
        <w:t xml:space="preserve">Ziel dieser Investition ist der Ausbau, die Modernisierung und die Digitalisierung der Übertragungsnetze in mehreren Regionen, einschließlich des Ausbaus von Verbindungen zwischen den nördlichen und </w:t>
      </w:r>
      <w:r>
        <w:rPr>
          <w:noProof/>
          <w:color w:val="000000" w:themeColor="text1"/>
        </w:rPr>
        <w:t xml:space="preserve">südlichen Teilen des Landes, </w:t>
      </w:r>
      <w:r>
        <w:rPr>
          <w:noProof/>
        </w:rPr>
        <w:t xml:space="preserve">um die Integration erneuerbarer Energien in das Elektrizitätssystem zu erleichtern. </w:t>
      </w:r>
    </w:p>
    <w:p w14:paraId="190D16F0" w14:textId="5DFC277E" w:rsidR="00EB245A" w:rsidRDefault="006021EE">
      <w:pPr>
        <w:pStyle w:val="P68B1DB1-Normal24"/>
        <w:spacing w:before="120" w:after="120" w:line="240" w:lineRule="auto"/>
        <w:jc w:val="both"/>
        <w:rPr>
          <w:rFonts w:eastAsia="Times New Roman" w:cs="Times New Roman"/>
          <w:noProof/>
        </w:rPr>
      </w:pPr>
      <w:r>
        <w:rPr>
          <w:noProof/>
          <w:color w:val="000000" w:themeColor="text1"/>
        </w:rPr>
        <w:t xml:space="preserve">Die Investition besteht in der Entwicklung von 400 kV- </w:t>
      </w:r>
      <w:r>
        <w:rPr>
          <w:noProof/>
        </w:rPr>
        <w:t>und 220 kV-</w:t>
      </w:r>
      <w:r>
        <w:rPr>
          <w:noProof/>
          <w:color w:val="FF0000"/>
        </w:rPr>
        <w:t xml:space="preserve"> </w:t>
      </w:r>
      <w:r>
        <w:rPr>
          <w:noProof/>
          <w:color w:val="000000" w:themeColor="text1"/>
        </w:rPr>
        <w:t>Übertragungsleitungen sowie dem Bau oder der Modernisierung relevanter Bahn</w:t>
      </w:r>
      <w:r>
        <w:rPr>
          <w:noProof/>
          <w:color w:val="000000" w:themeColor="text1"/>
        </w:rPr>
        <w:t xml:space="preserve">höfe. Mit der Investition wird das neue zentrale Energiemarkt-Informationssystem (CSIRE) mit einem System zur Analyse der Stromqualität eingeführt, das die Digitalisierung der Strominfrastruktur weiter unterstützt. Schließlich werden drei </w:t>
      </w:r>
      <w:r>
        <w:rPr>
          <w:noProof/>
        </w:rPr>
        <w:t>neue, modernisier</w:t>
      </w:r>
      <w:r>
        <w:rPr>
          <w:noProof/>
        </w:rPr>
        <w:t xml:space="preserve">te oder erweiterte IKT-Systeme für die Datenverarbeitung und Systemverwaltung entwickelt, die den Betrieb von Übertragungsnetzen und Rechenzentren unterstützen. </w:t>
      </w:r>
    </w:p>
    <w:p w14:paraId="2635C729" w14:textId="77777777" w:rsidR="00EB245A" w:rsidRDefault="006021EE">
      <w:pPr>
        <w:pStyle w:val="P68B1DB1-Normal24"/>
        <w:spacing w:before="120" w:after="120" w:line="240" w:lineRule="auto"/>
        <w:jc w:val="both"/>
        <w:rPr>
          <w:rFonts w:cs="Times New Roman"/>
          <w:noProof/>
        </w:rPr>
      </w:pPr>
      <w:r>
        <w:rPr>
          <w:noProof/>
        </w:rPr>
        <w:t>Die Durchführung der Investition muss bis zum 30. Juni 2026 abgeschlossen sein.</w:t>
      </w:r>
    </w:p>
    <w:p w14:paraId="78263ECA" w14:textId="77777777" w:rsidR="00EB245A" w:rsidRDefault="00EB245A">
      <w:pPr>
        <w:spacing w:before="120" w:after="120" w:line="240" w:lineRule="auto"/>
        <w:jc w:val="both"/>
        <w:rPr>
          <w:rFonts w:ascii="Times New Roman" w:hAnsi="Times New Roman" w:cs="Times New Roman"/>
          <w:noProof/>
          <w:sz w:val="24"/>
        </w:rPr>
      </w:pPr>
    </w:p>
    <w:p w14:paraId="6E43D5D9" w14:textId="13E178E8" w:rsidR="00EB245A" w:rsidRDefault="006021EE">
      <w:pPr>
        <w:pStyle w:val="P68B1DB1-Normal36"/>
        <w:keepNext/>
        <w:spacing w:before="120" w:after="120" w:line="240" w:lineRule="auto"/>
        <w:jc w:val="both"/>
        <w:rPr>
          <w:rFonts w:cs="Times New Roman"/>
          <w:noProof/>
        </w:rPr>
      </w:pPr>
      <w:r>
        <w:rPr>
          <w:noProof/>
        </w:rPr>
        <w:t>G1.2.4 Bau od</w:t>
      </w:r>
      <w:r>
        <w:rPr>
          <w:noProof/>
        </w:rPr>
        <w:t>er Modernisierung von Stromverteilungsnetzen in ländlichen Gebieten, um den Anschluss neuer erneuerbarer Energiequellen zu ermöglichen</w:t>
      </w:r>
    </w:p>
    <w:p w14:paraId="4CF5CEBE" w14:textId="2605A4D9" w:rsidR="00EB245A" w:rsidRDefault="006021EE">
      <w:pPr>
        <w:pStyle w:val="P68B1DB1-Normal24"/>
        <w:spacing w:before="120" w:after="120" w:line="240" w:lineRule="auto"/>
        <w:jc w:val="both"/>
        <w:rPr>
          <w:rFonts w:cs="Times New Roman"/>
          <w:noProof/>
        </w:rPr>
      </w:pPr>
      <w:r>
        <w:rPr>
          <w:noProof/>
        </w:rPr>
        <w:t xml:space="preserve">Ziel dieser Investition ist es, den </w:t>
      </w:r>
      <w:r>
        <w:rPr>
          <w:noProof/>
          <w:color w:val="000000" w:themeColor="text1"/>
        </w:rPr>
        <w:t>Bau, die Modernisierung und die Digitalisierung von Stromverteilungsnetzen in ländlic</w:t>
      </w:r>
      <w:r>
        <w:rPr>
          <w:noProof/>
          <w:color w:val="000000" w:themeColor="text1"/>
        </w:rPr>
        <w:t>hen Gebieten</w:t>
      </w:r>
      <w:r>
        <w:rPr>
          <w:noProof/>
        </w:rPr>
        <w:t xml:space="preserve"> zu unterstützen, um den Anschluss neuer erneuerbarer Energiequellen in diesen Gebieten zu ermöglichen.</w:t>
      </w:r>
    </w:p>
    <w:p w14:paraId="792679C5" w14:textId="37CB42FF" w:rsidR="00EB245A" w:rsidRDefault="006021EE">
      <w:pPr>
        <w:pStyle w:val="P68B1DB1-Normal24"/>
        <w:spacing w:before="120" w:after="120" w:line="240" w:lineRule="auto"/>
        <w:jc w:val="both"/>
        <w:rPr>
          <w:rFonts w:cs="Times New Roman"/>
          <w:noProof/>
        </w:rPr>
      </w:pPr>
      <w:r>
        <w:rPr>
          <w:noProof/>
        </w:rPr>
        <w:t>Die Investition besteht in dem Bau oder der Modernisierung von 880 km Verteilernetzen, einschließlich der erforderlichen Stationen und der I</w:t>
      </w:r>
      <w:r>
        <w:rPr>
          <w:noProof/>
        </w:rPr>
        <w:t>ntegration intelligenter Netzfunktionen. Die polnischen Behörden ermitteln zunächst die Vorhaben, aus denen die errichteten oder modernisierten Netze bestehen.</w:t>
      </w:r>
    </w:p>
    <w:p w14:paraId="0D09312F" w14:textId="77777777" w:rsidR="00EB245A" w:rsidRDefault="006021EE">
      <w:pPr>
        <w:pStyle w:val="P68B1DB1-Normal24"/>
        <w:spacing w:before="120" w:after="120" w:line="240" w:lineRule="auto"/>
        <w:jc w:val="both"/>
        <w:rPr>
          <w:rFonts w:cs="Times New Roman"/>
          <w:noProof/>
        </w:rPr>
      </w:pPr>
      <w:r>
        <w:rPr>
          <w:noProof/>
        </w:rPr>
        <w:t>Die Durchführung dieser Maßnahme muss bis zum 30. Juni 2026 abgeschlossen sein.</w:t>
      </w:r>
    </w:p>
    <w:p w14:paraId="04ED9D92" w14:textId="77777777" w:rsidR="00EB245A" w:rsidRDefault="00EB245A">
      <w:pPr>
        <w:spacing w:before="120" w:after="120" w:line="257" w:lineRule="auto"/>
        <w:jc w:val="both"/>
        <w:rPr>
          <w:rFonts w:ascii="Times New Roman" w:hAnsi="Times New Roman" w:cs="Times New Roman"/>
          <w:noProof/>
          <w:sz w:val="24"/>
        </w:rPr>
      </w:pPr>
    </w:p>
    <w:p w14:paraId="62846599" w14:textId="2B51080D" w:rsidR="00EB245A" w:rsidRDefault="006021EE">
      <w:pPr>
        <w:pStyle w:val="P68B1DB1-Text14"/>
        <w:ind w:left="0"/>
        <w:rPr>
          <w:noProof/>
        </w:rPr>
      </w:pPr>
      <w:r>
        <w:rPr>
          <w:noProof/>
        </w:rPr>
        <w:t xml:space="preserve">Teilkomponente </w:t>
      </w:r>
      <w:r>
        <w:rPr>
          <w:noProof/>
        </w:rPr>
        <w:t>G1.3 – Entwicklung eines nachhaltigen Verkehrs</w:t>
      </w:r>
    </w:p>
    <w:p w14:paraId="0C3A7A86" w14:textId="7ADA9B03" w:rsidR="00EB245A" w:rsidRDefault="006021EE">
      <w:pPr>
        <w:spacing w:before="120" w:after="120" w:line="240" w:lineRule="auto"/>
        <w:jc w:val="both"/>
        <w:rPr>
          <w:rFonts w:ascii="Times New Roman" w:hAnsi="Times New Roman" w:cs="Times New Roman"/>
          <w:noProof/>
          <w:sz w:val="24"/>
        </w:rPr>
      </w:pPr>
      <w:r>
        <w:rPr>
          <w:rFonts w:ascii="Times New Roman" w:hAnsi="Times New Roman"/>
          <w:noProof/>
          <w:sz w:val="24"/>
        </w:rPr>
        <w:t>Mit der Teilkomponente soll ein nachhaltiger Verkehr gefördert werden, um die</w:t>
      </w:r>
      <w:r>
        <w:rPr>
          <w:noProof/>
        </w:rPr>
        <w:t xml:space="preserve"> Treibhausgasemissionen und die Luftverschmutzung in Polen zu </w:t>
      </w:r>
      <w:r>
        <w:rPr>
          <w:rFonts w:ascii="Times New Roman" w:hAnsi="Times New Roman"/>
          <w:noProof/>
          <w:sz w:val="24"/>
        </w:rPr>
        <w:t xml:space="preserve">verringern. Die Teilkomponente umfasst insbesondere Maßnahmen für den </w:t>
      </w:r>
      <w:r>
        <w:rPr>
          <w:rFonts w:ascii="Times New Roman" w:hAnsi="Times New Roman"/>
          <w:noProof/>
          <w:sz w:val="24"/>
        </w:rPr>
        <w:t>Kauf neuer Elektrobusse sowie einen Aktionsplan für eine nachhaltige Umgestaltung des Verkehrssektors.</w:t>
      </w:r>
    </w:p>
    <w:p w14:paraId="3A7B1549" w14:textId="77777777" w:rsidR="00EB245A" w:rsidRDefault="00EB245A">
      <w:pPr>
        <w:spacing w:before="120" w:after="120" w:line="240" w:lineRule="auto"/>
        <w:jc w:val="both"/>
        <w:rPr>
          <w:rFonts w:ascii="Times New Roman" w:hAnsi="Times New Roman" w:cs="Times New Roman"/>
          <w:noProof/>
          <w:sz w:val="24"/>
        </w:rPr>
      </w:pPr>
    </w:p>
    <w:p w14:paraId="1EEC6A9D" w14:textId="7E46A23B" w:rsidR="00EB245A" w:rsidRDefault="006021EE">
      <w:pPr>
        <w:pStyle w:val="P68B1DB1-Normal36"/>
        <w:spacing w:before="120" w:after="120" w:line="240" w:lineRule="auto"/>
        <w:jc w:val="both"/>
        <w:rPr>
          <w:rFonts w:cs="Times New Roman"/>
          <w:noProof/>
        </w:rPr>
      </w:pPr>
      <w:r>
        <w:rPr>
          <w:noProof/>
        </w:rPr>
        <w:t>G1.3.1 Förderung eines nachhaltigen Verkehrs</w:t>
      </w:r>
    </w:p>
    <w:p w14:paraId="6EC2BB62" w14:textId="60343318" w:rsidR="00EB245A" w:rsidRDefault="006021EE">
      <w:pPr>
        <w:pStyle w:val="P68B1DB1-Normal24"/>
        <w:spacing w:before="120" w:after="120" w:line="240" w:lineRule="auto"/>
        <w:jc w:val="both"/>
        <w:rPr>
          <w:rFonts w:cs="Times New Roman"/>
          <w:noProof/>
        </w:rPr>
      </w:pPr>
      <w:r>
        <w:rPr>
          <w:noProof/>
        </w:rPr>
        <w:t>Ziel der Reform ist es, zur Verringerung der verkehrsbedingten Treibhausgas- und Luftschadstoffemissionen b</w:t>
      </w:r>
      <w:r>
        <w:rPr>
          <w:noProof/>
        </w:rPr>
        <w:t xml:space="preserve">eizutragen.  </w:t>
      </w:r>
    </w:p>
    <w:p w14:paraId="3F9BA134" w14:textId="42703A09" w:rsidR="00EB245A" w:rsidRDefault="006021EE">
      <w:pPr>
        <w:pStyle w:val="P68B1DB1-Normal24"/>
        <w:spacing w:before="120" w:after="120" w:line="240" w:lineRule="auto"/>
        <w:jc w:val="both"/>
        <w:rPr>
          <w:rFonts w:cs="Times New Roman"/>
          <w:noProof/>
        </w:rPr>
      </w:pPr>
      <w:r>
        <w:rPr>
          <w:noProof/>
        </w:rPr>
        <w:t>Dieses Ziel soll durch die Ausarbeitung eines Aktionsplans für nachhaltigen Verkehr in Polen erreicht werden, der durch eine Analyse der Maßnahmen untermauert wird, die bereits in bestehenden Strategiepapieren auf nationaler Ebene enthalten s</w:t>
      </w:r>
      <w:r>
        <w:rPr>
          <w:noProof/>
        </w:rPr>
        <w:t xml:space="preserve">ind. In dem Aktionsplan werden die vorrangigen Reformen und Investitionen festgelegt, die für einen nachhaltigen Wandel des polnischen Verkehrssektors im Einklang mit den Klimazielen der EU erforderlich sind. </w:t>
      </w:r>
    </w:p>
    <w:p w14:paraId="50841272" w14:textId="77777777" w:rsidR="00EB245A" w:rsidRDefault="006021EE">
      <w:pPr>
        <w:pStyle w:val="P68B1DB1-Normal24"/>
        <w:spacing w:before="120" w:after="120" w:line="240" w:lineRule="auto"/>
        <w:jc w:val="both"/>
        <w:rPr>
          <w:rFonts w:cs="Times New Roman"/>
          <w:noProof/>
        </w:rPr>
      </w:pPr>
      <w:r>
        <w:rPr>
          <w:noProof/>
        </w:rPr>
        <w:t>Die Umsetzung der Reform muss bis zum 30. Sept</w:t>
      </w:r>
      <w:r>
        <w:rPr>
          <w:noProof/>
        </w:rPr>
        <w:t>ember 2025 abgeschlossen sein.</w:t>
      </w:r>
    </w:p>
    <w:p w14:paraId="3079372C" w14:textId="77777777" w:rsidR="00EB245A" w:rsidRDefault="00EB245A">
      <w:pPr>
        <w:spacing w:before="120" w:after="120" w:line="240" w:lineRule="auto"/>
        <w:jc w:val="both"/>
        <w:rPr>
          <w:rFonts w:ascii="Times New Roman" w:hAnsi="Times New Roman" w:cs="Times New Roman"/>
          <w:noProof/>
          <w:sz w:val="24"/>
        </w:rPr>
      </w:pPr>
    </w:p>
    <w:p w14:paraId="2E144200" w14:textId="05B0354C" w:rsidR="00EB245A" w:rsidRDefault="006021EE">
      <w:pPr>
        <w:pStyle w:val="P68B1DB1-Normal36"/>
        <w:keepNext/>
        <w:pageBreakBefore/>
        <w:spacing w:before="120" w:after="120" w:line="240" w:lineRule="auto"/>
        <w:jc w:val="both"/>
        <w:rPr>
          <w:rFonts w:cs="Times New Roman"/>
          <w:noProof/>
        </w:rPr>
      </w:pPr>
      <w:r>
        <w:rPr>
          <w:noProof/>
        </w:rPr>
        <w:t>G1.3.2 Nullemissionsfreier öffentlicher Verkehr (Busse)</w:t>
      </w:r>
    </w:p>
    <w:p w14:paraId="4FBF1161" w14:textId="30ABE16E" w:rsidR="00EB245A" w:rsidRDefault="006021EE">
      <w:pPr>
        <w:pStyle w:val="P68B1DB1-Normal24"/>
        <w:spacing w:before="120" w:after="120" w:line="240" w:lineRule="auto"/>
        <w:jc w:val="both"/>
        <w:rPr>
          <w:rFonts w:cs="Times New Roman"/>
          <w:noProof/>
        </w:rPr>
      </w:pPr>
      <w:r>
        <w:rPr>
          <w:noProof/>
        </w:rPr>
        <w:t>Ziel der Investition ist es, den öffentlichen Verkehr sauberer zu machen und seine Attraktivität in städtischen Gebieten zu erhöhen.</w:t>
      </w:r>
    </w:p>
    <w:p w14:paraId="3BB18420" w14:textId="77777777" w:rsidR="00EB245A" w:rsidRDefault="006021EE">
      <w:pPr>
        <w:pStyle w:val="P68B1DB1-Normal24"/>
        <w:spacing w:before="120" w:after="120" w:line="240" w:lineRule="auto"/>
        <w:jc w:val="both"/>
        <w:rPr>
          <w:rFonts w:cs="Times New Roman"/>
          <w:noProof/>
        </w:rPr>
      </w:pPr>
      <w:r>
        <w:rPr>
          <w:noProof/>
        </w:rPr>
        <w:t>Die Investition besteht im Erwerb v</w:t>
      </w:r>
      <w:r>
        <w:rPr>
          <w:noProof/>
        </w:rPr>
        <w:t>on 1159 emissionsfreien (elektrischen) Bussen für den Stadtverkehr.</w:t>
      </w:r>
    </w:p>
    <w:p w14:paraId="0BB1F975" w14:textId="77777777" w:rsidR="00EB245A" w:rsidRDefault="006021EE">
      <w:pPr>
        <w:pStyle w:val="P68B1DB1-Normal24"/>
        <w:spacing w:before="120" w:after="120" w:line="240" w:lineRule="auto"/>
        <w:jc w:val="both"/>
        <w:rPr>
          <w:rFonts w:cs="Times New Roman"/>
          <w:noProof/>
        </w:rPr>
      </w:pPr>
      <w:r>
        <w:rPr>
          <w:noProof/>
        </w:rPr>
        <w:t>Die Durchführung der Investition muss bis zum 30. Juni 2026 abgeschlossen sein.</w:t>
      </w:r>
    </w:p>
    <w:p w14:paraId="62D654B5" w14:textId="758643BB" w:rsidR="00EB245A" w:rsidRDefault="00EB245A">
      <w:pPr>
        <w:spacing w:before="120" w:after="120" w:line="240" w:lineRule="auto"/>
        <w:jc w:val="both"/>
        <w:rPr>
          <w:rFonts w:ascii="Times New Roman" w:hAnsi="Times New Roman" w:cs="Times New Roman"/>
          <w:noProof/>
          <w:sz w:val="24"/>
        </w:rPr>
      </w:pPr>
    </w:p>
    <w:p w14:paraId="7D12CB39" w14:textId="1F696B7A" w:rsidR="00EB245A" w:rsidRDefault="006021EE">
      <w:pPr>
        <w:rPr>
          <w:noProof/>
        </w:rPr>
      </w:pPr>
      <w:r>
        <w:rPr>
          <w:noProof/>
        </w:rPr>
        <w:br w:type="page"/>
      </w:r>
    </w:p>
    <w:p w14:paraId="310557A6" w14:textId="5FE3599C" w:rsidR="00EB245A" w:rsidRDefault="00EB245A">
      <w:pPr>
        <w:pStyle w:val="Heading1"/>
        <w:spacing w:before="120"/>
        <w:ind w:left="0" w:firstLine="0"/>
        <w:rPr>
          <w:noProof/>
        </w:rPr>
        <w:sectPr w:rsidR="00EB245A" w:rsidSect="005E6922">
          <w:headerReference w:type="even" r:id="rId163"/>
          <w:headerReference w:type="default" r:id="rId164"/>
          <w:footerReference w:type="even" r:id="rId165"/>
          <w:footerReference w:type="default" r:id="rId166"/>
          <w:headerReference w:type="first" r:id="rId167"/>
          <w:footerReference w:type="first" r:id="rId168"/>
          <w:pgSz w:w="11907" w:h="16839"/>
          <w:pgMar w:top="1134" w:right="1134" w:bottom="1134" w:left="1134" w:header="567" w:footer="567" w:gutter="0"/>
          <w:cols w:space="720"/>
          <w:docGrid w:linePitch="299"/>
        </w:sectPr>
      </w:pPr>
    </w:p>
    <w:p w14:paraId="1081DF1E" w14:textId="0A10CB0A" w:rsidR="00EB245A" w:rsidRDefault="006021EE">
      <w:pPr>
        <w:pStyle w:val="Text1"/>
        <w:ind w:left="0"/>
        <w:rPr>
          <w:b/>
          <w:smallCaps/>
          <w:noProof/>
        </w:rPr>
      </w:pPr>
      <w:r>
        <w:rPr>
          <w:b/>
          <w:noProof/>
        </w:rPr>
        <w:t xml:space="preserve">G2. </w:t>
      </w:r>
      <w:r>
        <w:rPr>
          <w:noProof/>
        </w:rPr>
        <w:t xml:space="preserve"> </w:t>
      </w:r>
      <w:r>
        <w:rPr>
          <w:b/>
          <w:noProof/>
        </w:rPr>
        <w:t xml:space="preserve">Etappenziele, Zielwerte, Indikatoren und </w:t>
      </w:r>
      <w:r>
        <w:rPr>
          <w:b/>
          <w:noProof/>
        </w:rPr>
        <w:t>Zeitplan für die Überwachung und Durchführung der nicht rückzahlbaren finanziellen Unterstützung</w:t>
      </w:r>
    </w:p>
    <w:p w14:paraId="61592A82" w14:textId="77777777" w:rsidR="00EB245A" w:rsidRDefault="00EB245A">
      <w:pPr>
        <w:spacing w:before="120" w:after="120" w:line="240" w:lineRule="auto"/>
        <w:rPr>
          <w:noProof/>
        </w:rPr>
      </w:pPr>
    </w:p>
    <w:p w14:paraId="2E30936F" w14:textId="7F45DA47" w:rsidR="00EB245A" w:rsidRDefault="006021EE">
      <w:pPr>
        <w:pStyle w:val="P68B1DB1-Text14"/>
        <w:ind w:left="0"/>
        <w:rPr>
          <w:noProof/>
        </w:rPr>
      </w:pPr>
      <w:r>
        <w:rPr>
          <w:noProof/>
        </w:rPr>
        <w:t xml:space="preserve">Teilkomponente G1.1 – Förderung von Investitionen in erneuerbare Energiequellen </w:t>
      </w:r>
    </w:p>
    <w:tbl>
      <w:tblPr>
        <w:tblW w:w="15304" w:type="dxa"/>
        <w:jc w:val="center"/>
        <w:tblLayout w:type="fixed"/>
        <w:tblLook w:val="02A0" w:firstRow="1" w:lastRow="0" w:firstColumn="1" w:lastColumn="0" w:noHBand="1" w:noVBand="0"/>
      </w:tblPr>
      <w:tblGrid>
        <w:gridCol w:w="988"/>
        <w:gridCol w:w="1393"/>
        <w:gridCol w:w="1158"/>
        <w:gridCol w:w="1790"/>
        <w:gridCol w:w="1896"/>
        <w:gridCol w:w="1134"/>
        <w:gridCol w:w="1275"/>
        <w:gridCol w:w="709"/>
        <w:gridCol w:w="851"/>
        <w:gridCol w:w="992"/>
        <w:gridCol w:w="3118"/>
      </w:tblGrid>
      <w:tr w:rsidR="00EB245A" w14:paraId="52229367" w14:textId="77777777" w:rsidTr="00B15262">
        <w:trPr>
          <w:trHeight w:val="720"/>
          <w:tblHeader/>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4B05203" w14:textId="0FCACFA5" w:rsidR="00EB245A" w:rsidRDefault="006021EE">
            <w:pPr>
              <w:pStyle w:val="P68B1DB1-Normal41"/>
              <w:spacing w:after="0" w:line="240" w:lineRule="auto"/>
              <w:ind w:left="-25"/>
              <w:jc w:val="center"/>
              <w:rPr>
                <w:rFonts w:eastAsia="Times New Roman" w:cs="Times New Roman"/>
                <w:noProof/>
              </w:rPr>
            </w:pPr>
            <w:r>
              <w:rPr>
                <w:noProof/>
              </w:rPr>
              <w:t>Lfd. Nr. Nr.</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B47398B" w14:textId="77777777" w:rsidR="00EB245A" w:rsidRDefault="006021EE">
            <w:pPr>
              <w:pStyle w:val="P68B1DB1-Normal42"/>
              <w:spacing w:after="0" w:line="240" w:lineRule="auto"/>
              <w:jc w:val="center"/>
              <w:rPr>
                <w:rFonts w:eastAsia="Times New Roman" w:cs="Times New Roman"/>
                <w:noProof/>
                <w:sz w:val="24"/>
              </w:rPr>
            </w:pPr>
            <w:r>
              <w:rPr>
                <w:noProof/>
              </w:rPr>
              <w:t>Verbundene Maßnahme (Reform oder Investition)</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6777E62" w14:textId="77777777" w:rsidR="00EB245A" w:rsidRDefault="006021EE">
            <w:pPr>
              <w:pStyle w:val="P68B1DB1-Normal42"/>
              <w:spacing w:after="0" w:line="240" w:lineRule="auto"/>
              <w:jc w:val="center"/>
              <w:rPr>
                <w:rFonts w:eastAsia="Times New Roman" w:cs="Times New Roman"/>
                <w:noProof/>
                <w:sz w:val="24"/>
              </w:rPr>
            </w:pPr>
            <w:r>
              <w:rPr>
                <w:noProof/>
              </w:rPr>
              <w:t>Etappenziel/Zielwe</w:t>
            </w:r>
            <w:r>
              <w:rPr>
                <w:noProof/>
              </w:rPr>
              <w:t>rt</w:t>
            </w:r>
          </w:p>
        </w:tc>
        <w:tc>
          <w:tcPr>
            <w:tcW w:w="179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1385D3A" w14:textId="77777777" w:rsidR="00EB245A" w:rsidRDefault="006021EE">
            <w:pPr>
              <w:pStyle w:val="P68B1DB1-Normal42"/>
              <w:spacing w:after="0" w:line="240" w:lineRule="auto"/>
              <w:jc w:val="center"/>
              <w:rPr>
                <w:rFonts w:eastAsia="Times New Roman" w:cs="Times New Roman"/>
                <w:noProof/>
                <w:sz w:val="24"/>
              </w:rPr>
            </w:pPr>
            <w:r>
              <w:rPr>
                <w:noProof/>
              </w:rPr>
              <w:t>Namen</w:t>
            </w:r>
          </w:p>
        </w:tc>
        <w:tc>
          <w:tcPr>
            <w:tcW w:w="189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A5D5BEE" w14:textId="77777777" w:rsidR="00EB245A" w:rsidRDefault="006021EE">
            <w:pPr>
              <w:spacing w:after="0" w:line="240" w:lineRule="auto"/>
              <w:jc w:val="center"/>
              <w:rPr>
                <w:rFonts w:ascii="Times New Roman" w:eastAsia="Times New Roman" w:hAnsi="Times New Roman" w:cs="Times New Roman"/>
                <w:b/>
                <w:noProof/>
                <w:sz w:val="24"/>
              </w:rPr>
            </w:pPr>
            <w:r>
              <w:rPr>
                <w:rFonts w:ascii="Times New Roman" w:hAnsi="Times New Roman"/>
                <w:b/>
                <w:noProof/>
                <w:color w:val="000000"/>
                <w:sz w:val="18"/>
              </w:rPr>
              <w:t>Etappenziel/Zielwert</w:t>
            </w:r>
            <w:r>
              <w:rPr>
                <w:noProof/>
              </w:rPr>
              <w:t xml:space="preserve">  </w:t>
            </w:r>
            <w:r>
              <w:rPr>
                <w:noProof/>
              </w:rPr>
              <w:br/>
            </w:r>
            <w:r>
              <w:rPr>
                <w:rFonts w:ascii="Times New Roman" w:hAnsi="Times New Roman"/>
                <w:b/>
                <w:noProof/>
                <w:color w:val="000000"/>
                <w:sz w:val="18"/>
              </w:rPr>
              <w:t>(für Etappenziele)</w:t>
            </w:r>
          </w:p>
        </w:tc>
        <w:tc>
          <w:tcPr>
            <w:tcW w:w="3118"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5A9C757A" w14:textId="77777777" w:rsidR="00EB245A" w:rsidRDefault="006021EE">
            <w:pPr>
              <w:spacing w:after="0" w:line="240" w:lineRule="auto"/>
              <w:jc w:val="center"/>
              <w:rPr>
                <w:rFonts w:ascii="Times New Roman" w:eastAsia="Times New Roman" w:hAnsi="Times New Roman" w:cs="Times New Roman"/>
                <w:b/>
                <w:noProof/>
                <w:sz w:val="24"/>
              </w:rPr>
            </w:pPr>
            <w:r>
              <w:rPr>
                <w:rFonts w:ascii="Times New Roman" w:hAnsi="Times New Roman"/>
                <w:b/>
                <w:noProof/>
                <w:color w:val="000000"/>
                <w:sz w:val="18"/>
              </w:rPr>
              <w:t>Qualitative Indikatoren (für Etappenziele)</w:t>
            </w:r>
            <w:r>
              <w:rPr>
                <w:noProof/>
              </w:rPr>
              <w:t xml:space="preserve">  </w:t>
            </w:r>
            <w:r>
              <w:rPr>
                <w:noProof/>
              </w:rPr>
              <w:br/>
            </w:r>
            <w:r>
              <w:rPr>
                <w:rFonts w:ascii="Times New Roman" w:hAnsi="Times New Roman"/>
                <w:b/>
                <w:noProof/>
                <w:color w:val="000000"/>
                <w:sz w:val="18"/>
              </w:rPr>
              <w:t>(für Ziele)</w:t>
            </w:r>
          </w:p>
        </w:tc>
        <w:tc>
          <w:tcPr>
            <w:tcW w:w="1843" w:type="dxa"/>
            <w:gridSpan w:val="2"/>
            <w:tcBorders>
              <w:top w:val="single" w:sz="4" w:space="0" w:color="auto"/>
              <w:left w:val="single" w:sz="4" w:space="0" w:color="auto"/>
              <w:bottom w:val="single" w:sz="4" w:space="0" w:color="auto"/>
              <w:right w:val="single" w:sz="4" w:space="0" w:color="auto"/>
            </w:tcBorders>
            <w:shd w:val="clear" w:color="auto" w:fill="BDD7EE"/>
            <w:vAlign w:val="center"/>
            <w:hideMark/>
          </w:tcPr>
          <w:p w14:paraId="3F53B61E" w14:textId="77777777" w:rsidR="00EB245A" w:rsidRDefault="006021EE">
            <w:pPr>
              <w:pStyle w:val="P68B1DB1-Normal42"/>
              <w:spacing w:after="0" w:line="240" w:lineRule="auto"/>
              <w:jc w:val="center"/>
              <w:rPr>
                <w:rFonts w:eastAsia="Times New Roman" w:cs="Times New Roman"/>
                <w:noProof/>
                <w:sz w:val="24"/>
              </w:rPr>
            </w:pPr>
            <w:r>
              <w:rPr>
                <w:noProof/>
              </w:rPr>
              <w:t xml:space="preserve">Vorläufiger Zeitplan für die Fertigstellung </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97E6CDA" w14:textId="77777777" w:rsidR="00EB245A" w:rsidRDefault="006021EE">
            <w:pPr>
              <w:pStyle w:val="P68B1DB1-Normal42"/>
              <w:spacing w:after="0" w:line="240" w:lineRule="auto"/>
              <w:jc w:val="center"/>
              <w:rPr>
                <w:rFonts w:eastAsia="Times New Roman" w:cs="Times New Roman"/>
                <w:noProof/>
                <w:sz w:val="24"/>
              </w:rPr>
            </w:pPr>
            <w:r>
              <w:rPr>
                <w:noProof/>
              </w:rPr>
              <w:t>Beschreibung der einzelnen Etappenziele und Zielvorgaben</w:t>
            </w:r>
          </w:p>
        </w:tc>
      </w:tr>
      <w:tr w:rsidR="00EB245A" w14:paraId="5608E42C" w14:textId="77777777" w:rsidTr="00B15262">
        <w:trPr>
          <w:trHeight w:val="621"/>
          <w:tblHeader/>
          <w:jc w:val="center"/>
        </w:trPr>
        <w:tc>
          <w:tcPr>
            <w:tcW w:w="988" w:type="dxa"/>
            <w:vMerge/>
            <w:tcBorders>
              <w:top w:val="single" w:sz="4" w:space="0" w:color="auto"/>
              <w:left w:val="single" w:sz="4" w:space="0" w:color="auto"/>
              <w:bottom w:val="single" w:sz="4" w:space="0" w:color="auto"/>
              <w:right w:val="single" w:sz="4" w:space="0" w:color="auto"/>
            </w:tcBorders>
            <w:hideMark/>
          </w:tcPr>
          <w:p w14:paraId="137DB6B4" w14:textId="77777777" w:rsidR="00EB245A" w:rsidRDefault="00EB245A">
            <w:pPr>
              <w:spacing w:after="0" w:line="240" w:lineRule="auto"/>
              <w:jc w:val="center"/>
              <w:rPr>
                <w:rFonts w:ascii="Times New Roman" w:eastAsia="Times New Roman" w:hAnsi="Times New Roman" w:cs="Times New Roman"/>
                <w:b/>
                <w:noProof/>
                <w:sz w:val="18"/>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58D6DA86" w14:textId="77777777" w:rsidR="00EB245A" w:rsidRDefault="00EB245A">
            <w:pPr>
              <w:spacing w:after="0" w:line="240" w:lineRule="auto"/>
              <w:rPr>
                <w:rFonts w:ascii="Times New Roman" w:eastAsia="Times New Roman" w:hAnsi="Times New Roman" w:cs="Times New Roman"/>
                <w:b/>
                <w:noProof/>
                <w:sz w:val="24"/>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14:paraId="458A3D4B" w14:textId="77777777" w:rsidR="00EB245A" w:rsidRDefault="00EB245A">
            <w:pPr>
              <w:spacing w:after="0" w:line="240" w:lineRule="auto"/>
              <w:rPr>
                <w:rFonts w:ascii="Times New Roman" w:eastAsia="Times New Roman" w:hAnsi="Times New Roman" w:cs="Times New Roman"/>
                <w:b/>
                <w:noProof/>
                <w:sz w:val="24"/>
              </w:rPr>
            </w:pPr>
          </w:p>
        </w:tc>
        <w:tc>
          <w:tcPr>
            <w:tcW w:w="1790" w:type="dxa"/>
            <w:vMerge/>
            <w:tcBorders>
              <w:top w:val="single" w:sz="4" w:space="0" w:color="auto"/>
              <w:left w:val="single" w:sz="4" w:space="0" w:color="auto"/>
              <w:bottom w:val="single" w:sz="4" w:space="0" w:color="auto"/>
              <w:right w:val="single" w:sz="4" w:space="0" w:color="auto"/>
            </w:tcBorders>
            <w:vAlign w:val="center"/>
            <w:hideMark/>
          </w:tcPr>
          <w:p w14:paraId="635E2E53" w14:textId="77777777" w:rsidR="00EB245A" w:rsidRDefault="00EB245A">
            <w:pPr>
              <w:spacing w:after="0" w:line="240" w:lineRule="auto"/>
              <w:rPr>
                <w:rFonts w:ascii="Times New Roman" w:eastAsia="Times New Roman" w:hAnsi="Times New Roman" w:cs="Times New Roman"/>
                <w:b/>
                <w:noProof/>
                <w:sz w:val="24"/>
              </w:rPr>
            </w:pPr>
          </w:p>
        </w:tc>
        <w:tc>
          <w:tcPr>
            <w:tcW w:w="1896" w:type="dxa"/>
            <w:vMerge/>
            <w:tcBorders>
              <w:top w:val="single" w:sz="4" w:space="0" w:color="auto"/>
              <w:left w:val="single" w:sz="4" w:space="0" w:color="auto"/>
            </w:tcBorders>
            <w:vAlign w:val="center"/>
            <w:hideMark/>
          </w:tcPr>
          <w:p w14:paraId="2F241C51" w14:textId="77777777" w:rsidR="00EB245A" w:rsidRDefault="00EB245A">
            <w:pPr>
              <w:spacing w:after="0" w:line="240" w:lineRule="auto"/>
              <w:rPr>
                <w:rFonts w:ascii="Times New Roman" w:eastAsia="Times New Roman" w:hAnsi="Times New Roman" w:cs="Times New Roman"/>
                <w:b/>
                <w:noProof/>
                <w:sz w:val="24"/>
              </w:rPr>
            </w:pPr>
          </w:p>
        </w:tc>
        <w:tc>
          <w:tcPr>
            <w:tcW w:w="1134"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175F1410" w14:textId="77777777" w:rsidR="00EB245A" w:rsidRDefault="006021EE">
            <w:pPr>
              <w:pStyle w:val="P68B1DB1-Normal42"/>
              <w:spacing w:after="0" w:line="240" w:lineRule="auto"/>
              <w:jc w:val="center"/>
              <w:rPr>
                <w:rFonts w:eastAsia="Times New Roman" w:cs="Times New Roman"/>
                <w:noProof/>
              </w:rPr>
            </w:pPr>
            <w:r>
              <w:rPr>
                <w:noProof/>
              </w:rPr>
              <w:t>Maßeinheit</w:t>
            </w:r>
          </w:p>
        </w:tc>
        <w:tc>
          <w:tcPr>
            <w:tcW w:w="1275" w:type="dxa"/>
            <w:tcBorders>
              <w:top w:val="single" w:sz="4" w:space="0" w:color="auto"/>
              <w:left w:val="nil"/>
              <w:bottom w:val="single" w:sz="4" w:space="0" w:color="auto"/>
              <w:right w:val="single" w:sz="4" w:space="0" w:color="auto"/>
            </w:tcBorders>
            <w:shd w:val="clear" w:color="auto" w:fill="BDD7EE"/>
            <w:vAlign w:val="center"/>
            <w:hideMark/>
          </w:tcPr>
          <w:p w14:paraId="35916BFA" w14:textId="77777777" w:rsidR="00EB245A" w:rsidRDefault="006021EE">
            <w:pPr>
              <w:pStyle w:val="P68B1DB1-Normal42"/>
              <w:spacing w:after="0" w:line="240" w:lineRule="auto"/>
              <w:jc w:val="center"/>
              <w:rPr>
                <w:rFonts w:eastAsia="Times New Roman" w:cs="Times New Roman"/>
                <w:noProof/>
              </w:rPr>
            </w:pPr>
            <w:r>
              <w:rPr>
                <w:noProof/>
              </w:rPr>
              <w:t xml:space="preserve">Ausgangslage </w:t>
            </w:r>
          </w:p>
        </w:tc>
        <w:tc>
          <w:tcPr>
            <w:tcW w:w="709" w:type="dxa"/>
            <w:tcBorders>
              <w:top w:val="single" w:sz="4" w:space="0" w:color="auto"/>
              <w:left w:val="nil"/>
              <w:bottom w:val="single" w:sz="4" w:space="0" w:color="auto"/>
              <w:right w:val="single" w:sz="4" w:space="0" w:color="auto"/>
            </w:tcBorders>
            <w:shd w:val="clear" w:color="auto" w:fill="BDD7EE"/>
            <w:vAlign w:val="center"/>
            <w:hideMark/>
          </w:tcPr>
          <w:p w14:paraId="26E81835" w14:textId="10E77D13" w:rsidR="00EB245A" w:rsidRDefault="006021EE">
            <w:pPr>
              <w:pStyle w:val="P68B1DB1-Normal42"/>
              <w:spacing w:after="0" w:line="240" w:lineRule="auto"/>
              <w:jc w:val="center"/>
              <w:rPr>
                <w:rFonts w:eastAsia="Times New Roman" w:cs="Times New Roman"/>
                <w:noProof/>
              </w:rPr>
            </w:pPr>
            <w:r>
              <w:rPr>
                <w:noProof/>
              </w:rPr>
              <w:t>Ziel</w:t>
            </w:r>
          </w:p>
        </w:tc>
        <w:tc>
          <w:tcPr>
            <w:tcW w:w="851" w:type="dxa"/>
            <w:tcBorders>
              <w:top w:val="single" w:sz="4" w:space="0" w:color="auto"/>
              <w:left w:val="nil"/>
              <w:bottom w:val="single" w:sz="4" w:space="0" w:color="auto"/>
              <w:right w:val="single" w:sz="4" w:space="0" w:color="auto"/>
            </w:tcBorders>
            <w:shd w:val="clear" w:color="auto" w:fill="BDD7EE"/>
            <w:vAlign w:val="center"/>
            <w:hideMark/>
          </w:tcPr>
          <w:p w14:paraId="30F5808C" w14:textId="77777777" w:rsidR="00EB245A" w:rsidRDefault="006021EE">
            <w:pPr>
              <w:pStyle w:val="P68B1DB1-Normal42"/>
              <w:spacing w:after="0" w:line="240" w:lineRule="auto"/>
              <w:jc w:val="center"/>
              <w:rPr>
                <w:rFonts w:eastAsia="Times New Roman" w:cs="Times New Roman"/>
                <w:noProof/>
              </w:rPr>
            </w:pPr>
            <w:r>
              <w:rPr>
                <w:noProof/>
              </w:rPr>
              <w:t>Viertel</w:t>
            </w:r>
          </w:p>
        </w:tc>
        <w:tc>
          <w:tcPr>
            <w:tcW w:w="992" w:type="dxa"/>
            <w:tcBorders>
              <w:top w:val="single" w:sz="4" w:space="0" w:color="auto"/>
              <w:left w:val="nil"/>
              <w:bottom w:val="single" w:sz="4" w:space="0" w:color="auto"/>
              <w:right w:val="single" w:sz="4" w:space="0" w:color="auto"/>
            </w:tcBorders>
            <w:shd w:val="clear" w:color="auto" w:fill="BDD7EE"/>
            <w:vAlign w:val="center"/>
            <w:hideMark/>
          </w:tcPr>
          <w:p w14:paraId="555145C9" w14:textId="77777777" w:rsidR="00EB245A" w:rsidRDefault="006021EE">
            <w:pPr>
              <w:pStyle w:val="P68B1DB1-Normal42"/>
              <w:spacing w:after="0" w:line="240" w:lineRule="auto"/>
              <w:jc w:val="center"/>
              <w:rPr>
                <w:rFonts w:eastAsia="Times New Roman" w:cs="Times New Roman"/>
                <w:noProof/>
              </w:rPr>
            </w:pPr>
            <w:r>
              <w:rPr>
                <w:noProof/>
              </w:rPr>
              <w:t>Jahre</w:t>
            </w:r>
          </w:p>
        </w:tc>
        <w:tc>
          <w:tcPr>
            <w:tcW w:w="3118" w:type="dxa"/>
            <w:vMerge/>
            <w:tcBorders>
              <w:top w:val="single" w:sz="4" w:space="0" w:color="auto"/>
              <w:bottom w:val="single" w:sz="4" w:space="0" w:color="auto"/>
              <w:right w:val="single" w:sz="4" w:space="0" w:color="auto"/>
            </w:tcBorders>
            <w:vAlign w:val="center"/>
            <w:hideMark/>
          </w:tcPr>
          <w:p w14:paraId="29EF2270" w14:textId="77777777" w:rsidR="00EB245A" w:rsidRDefault="00EB245A">
            <w:pPr>
              <w:spacing w:after="0" w:line="240" w:lineRule="auto"/>
              <w:rPr>
                <w:rFonts w:ascii="Times New Roman" w:eastAsia="Times New Roman" w:hAnsi="Times New Roman" w:cs="Times New Roman"/>
                <w:b/>
                <w:noProof/>
                <w:sz w:val="24"/>
              </w:rPr>
            </w:pPr>
          </w:p>
        </w:tc>
      </w:tr>
      <w:tr w:rsidR="00EB245A" w14:paraId="429F8050" w14:textId="77777777" w:rsidTr="00B15262">
        <w:trPr>
          <w:trHeight w:val="945"/>
          <w:jc w:val="center"/>
        </w:trPr>
        <w:tc>
          <w:tcPr>
            <w:tcW w:w="988" w:type="dxa"/>
            <w:tcBorders>
              <w:top w:val="single" w:sz="4" w:space="0" w:color="auto"/>
              <w:left w:val="single" w:sz="4" w:space="0" w:color="auto"/>
              <w:bottom w:val="single" w:sz="4" w:space="0" w:color="auto"/>
              <w:right w:val="single" w:sz="4" w:space="0" w:color="auto"/>
            </w:tcBorders>
            <w:shd w:val="clear" w:color="auto" w:fill="C6EFCE"/>
            <w:noWrap/>
          </w:tcPr>
          <w:p w14:paraId="2E2662BF" w14:textId="132C2E07" w:rsidR="00EB245A" w:rsidRDefault="006021EE">
            <w:pPr>
              <w:pStyle w:val="P68B1DB1-Normal26"/>
              <w:spacing w:after="0" w:line="240" w:lineRule="auto"/>
              <w:jc w:val="center"/>
              <w:rPr>
                <w:rFonts w:eastAsia="Times New Roman" w:cs="Times New Roman"/>
                <w:noProof/>
              </w:rPr>
            </w:pPr>
            <w:r>
              <w:rPr>
                <w:noProof/>
              </w:rPr>
              <w:t>G1G</w:t>
            </w:r>
          </w:p>
        </w:tc>
        <w:tc>
          <w:tcPr>
            <w:tcW w:w="1393" w:type="dxa"/>
            <w:tcBorders>
              <w:top w:val="single" w:sz="4" w:space="0" w:color="auto"/>
              <w:left w:val="nil"/>
              <w:bottom w:val="single" w:sz="4" w:space="0" w:color="auto"/>
              <w:right w:val="single" w:sz="4" w:space="0" w:color="auto"/>
            </w:tcBorders>
            <w:shd w:val="clear" w:color="auto" w:fill="C6EFCE"/>
            <w:noWrap/>
          </w:tcPr>
          <w:p w14:paraId="11A70F68" w14:textId="3894A250" w:rsidR="00EB245A" w:rsidRDefault="006021EE">
            <w:pPr>
              <w:pStyle w:val="P68B1DB1-Normal26"/>
              <w:spacing w:after="0" w:line="240" w:lineRule="auto"/>
              <w:rPr>
                <w:rFonts w:eastAsia="Times New Roman" w:cs="Times New Roman"/>
                <w:noProof/>
              </w:rPr>
            </w:pPr>
            <w:r>
              <w:rPr>
                <w:noProof/>
              </w:rPr>
              <w:t xml:space="preserve">G1.1.1 Förderung der Entwicklung lokaler Energiegemeinschaften  </w:t>
            </w:r>
          </w:p>
        </w:tc>
        <w:tc>
          <w:tcPr>
            <w:tcW w:w="1158" w:type="dxa"/>
            <w:tcBorders>
              <w:top w:val="single" w:sz="4" w:space="0" w:color="auto"/>
              <w:left w:val="nil"/>
              <w:bottom w:val="single" w:sz="4" w:space="0" w:color="auto"/>
              <w:right w:val="single" w:sz="4" w:space="0" w:color="auto"/>
            </w:tcBorders>
            <w:shd w:val="clear" w:color="auto" w:fill="C6EFCE"/>
            <w:noWrap/>
          </w:tcPr>
          <w:p w14:paraId="5106D056" w14:textId="77777777" w:rsidR="00EB245A" w:rsidRDefault="006021EE">
            <w:pPr>
              <w:pStyle w:val="P68B1DB1-Normal26"/>
              <w:spacing w:after="0" w:line="240" w:lineRule="auto"/>
              <w:rPr>
                <w:rFonts w:eastAsia="Times New Roman" w:cs="Times New Roman"/>
                <w:noProof/>
              </w:rPr>
            </w:pPr>
            <w:r>
              <w:rPr>
                <w:noProof/>
              </w:rPr>
              <w:t>Meilenstein</w:t>
            </w:r>
          </w:p>
        </w:tc>
        <w:tc>
          <w:tcPr>
            <w:tcW w:w="1790" w:type="dxa"/>
            <w:tcBorders>
              <w:top w:val="single" w:sz="4" w:space="0" w:color="auto"/>
              <w:left w:val="nil"/>
              <w:bottom w:val="single" w:sz="4" w:space="0" w:color="auto"/>
              <w:right w:val="single" w:sz="4" w:space="0" w:color="auto"/>
            </w:tcBorders>
            <w:shd w:val="clear" w:color="auto" w:fill="C6EFCE"/>
            <w:noWrap/>
          </w:tcPr>
          <w:p w14:paraId="0D735EFE" w14:textId="77777777" w:rsidR="00EB245A" w:rsidRDefault="006021EE">
            <w:pPr>
              <w:pStyle w:val="P68B1DB1-Normal26"/>
              <w:spacing w:after="0" w:line="240" w:lineRule="auto"/>
              <w:rPr>
                <w:rFonts w:eastAsia="Times New Roman" w:cs="Times New Roman"/>
                <w:noProof/>
              </w:rPr>
            </w:pPr>
            <w:r>
              <w:rPr>
                <w:noProof/>
              </w:rPr>
              <w:t xml:space="preserve">Analyse der Hindernisse für die Entwicklung von Energiegemeinschaften und Energiegenossenschaften, die im Rahmen des Programms zur Unterstützung vor Investitionen ermittelt wurden  </w:t>
            </w:r>
          </w:p>
        </w:tc>
        <w:tc>
          <w:tcPr>
            <w:tcW w:w="1896" w:type="dxa"/>
            <w:tcBorders>
              <w:top w:val="single" w:sz="4" w:space="0" w:color="auto"/>
              <w:left w:val="nil"/>
              <w:bottom w:val="single" w:sz="4" w:space="0" w:color="auto"/>
              <w:right w:val="single" w:sz="4" w:space="0" w:color="auto"/>
            </w:tcBorders>
            <w:shd w:val="clear" w:color="auto" w:fill="C6EFCE"/>
            <w:noWrap/>
          </w:tcPr>
          <w:p w14:paraId="1E0FF165" w14:textId="29A860C5" w:rsidR="00EB245A" w:rsidRDefault="006021EE">
            <w:pPr>
              <w:pStyle w:val="P68B1DB1-Normal26"/>
              <w:spacing w:after="0" w:line="240" w:lineRule="auto"/>
              <w:rPr>
                <w:rFonts w:eastAsia="Times New Roman" w:cs="Times New Roman"/>
                <w:noProof/>
              </w:rPr>
            </w:pPr>
            <w:r>
              <w:rPr>
                <w:noProof/>
              </w:rPr>
              <w:t xml:space="preserve">Veröffentlichung der Analyse </w:t>
            </w:r>
          </w:p>
        </w:tc>
        <w:tc>
          <w:tcPr>
            <w:tcW w:w="1134" w:type="dxa"/>
            <w:tcBorders>
              <w:top w:val="nil"/>
              <w:left w:val="nil"/>
              <w:bottom w:val="single" w:sz="4" w:space="0" w:color="auto"/>
              <w:right w:val="single" w:sz="4" w:space="0" w:color="auto"/>
            </w:tcBorders>
            <w:shd w:val="clear" w:color="auto" w:fill="C6EFCE"/>
            <w:noWrap/>
          </w:tcPr>
          <w:p w14:paraId="64AC6F3B" w14:textId="77777777" w:rsidR="00EB245A" w:rsidRDefault="00EB245A">
            <w:pPr>
              <w:spacing w:after="0" w:line="240" w:lineRule="auto"/>
              <w:rPr>
                <w:rFonts w:ascii="Times New Roman" w:eastAsia="Times New Roman" w:hAnsi="Times New Roman" w:cs="Times New Roman"/>
                <w:noProof/>
                <w:sz w:val="18"/>
              </w:rPr>
            </w:pPr>
          </w:p>
        </w:tc>
        <w:tc>
          <w:tcPr>
            <w:tcW w:w="1275" w:type="dxa"/>
            <w:tcBorders>
              <w:top w:val="nil"/>
              <w:left w:val="nil"/>
              <w:bottom w:val="single" w:sz="4" w:space="0" w:color="auto"/>
              <w:right w:val="single" w:sz="4" w:space="0" w:color="auto"/>
            </w:tcBorders>
            <w:shd w:val="clear" w:color="auto" w:fill="C6EFCE"/>
            <w:noWrap/>
          </w:tcPr>
          <w:p w14:paraId="46340579" w14:textId="77777777" w:rsidR="00EB245A" w:rsidRDefault="00EB245A">
            <w:pPr>
              <w:spacing w:after="0" w:line="240" w:lineRule="auto"/>
              <w:jc w:val="center"/>
              <w:rPr>
                <w:rFonts w:ascii="Times New Roman" w:eastAsia="Times New Roman" w:hAnsi="Times New Roman" w:cs="Times New Roman"/>
                <w:noProof/>
                <w:sz w:val="18"/>
              </w:rPr>
            </w:pPr>
          </w:p>
        </w:tc>
        <w:tc>
          <w:tcPr>
            <w:tcW w:w="709" w:type="dxa"/>
            <w:tcBorders>
              <w:top w:val="nil"/>
              <w:left w:val="nil"/>
              <w:bottom w:val="single" w:sz="4" w:space="0" w:color="auto"/>
              <w:right w:val="single" w:sz="4" w:space="0" w:color="auto"/>
            </w:tcBorders>
            <w:shd w:val="clear" w:color="auto" w:fill="C6EFCE"/>
            <w:noWrap/>
          </w:tcPr>
          <w:p w14:paraId="54C2C108" w14:textId="77777777" w:rsidR="00EB245A" w:rsidRDefault="00EB245A">
            <w:pPr>
              <w:spacing w:after="0" w:line="240" w:lineRule="auto"/>
              <w:jc w:val="center"/>
              <w:rPr>
                <w:rFonts w:ascii="Times New Roman" w:eastAsia="Times New Roman" w:hAnsi="Times New Roman" w:cs="Times New Roman"/>
                <w:noProof/>
                <w:sz w:val="18"/>
              </w:rPr>
            </w:pPr>
          </w:p>
        </w:tc>
        <w:tc>
          <w:tcPr>
            <w:tcW w:w="851" w:type="dxa"/>
            <w:tcBorders>
              <w:top w:val="nil"/>
              <w:left w:val="nil"/>
              <w:bottom w:val="single" w:sz="4" w:space="0" w:color="auto"/>
              <w:right w:val="single" w:sz="4" w:space="0" w:color="auto"/>
            </w:tcBorders>
            <w:shd w:val="clear" w:color="auto" w:fill="C6EFCE"/>
            <w:noWrap/>
          </w:tcPr>
          <w:p w14:paraId="4E743416" w14:textId="32A887D3" w:rsidR="00EB245A" w:rsidRDefault="006021EE">
            <w:pPr>
              <w:pStyle w:val="P68B1DB1-Normal26"/>
              <w:spacing w:after="0" w:line="240" w:lineRule="auto"/>
              <w:jc w:val="center"/>
              <w:rPr>
                <w:rFonts w:eastAsia="Times New Roman" w:cs="Times New Roman"/>
                <w:noProof/>
              </w:rPr>
            </w:pPr>
            <w:r>
              <w:rPr>
                <w:noProof/>
              </w:rPr>
              <w:t>Q3</w:t>
            </w:r>
          </w:p>
        </w:tc>
        <w:tc>
          <w:tcPr>
            <w:tcW w:w="992" w:type="dxa"/>
            <w:tcBorders>
              <w:top w:val="nil"/>
              <w:left w:val="nil"/>
              <w:bottom w:val="single" w:sz="4" w:space="0" w:color="auto"/>
              <w:right w:val="single" w:sz="4" w:space="0" w:color="auto"/>
            </w:tcBorders>
            <w:shd w:val="clear" w:color="auto" w:fill="C6EFCE"/>
            <w:noWrap/>
          </w:tcPr>
          <w:p w14:paraId="5AFF0436" w14:textId="77777777" w:rsidR="00EB245A" w:rsidRDefault="006021EE">
            <w:pPr>
              <w:pStyle w:val="P68B1DB1-Normal26"/>
              <w:spacing w:after="0" w:line="240" w:lineRule="auto"/>
              <w:jc w:val="center"/>
              <w:rPr>
                <w:rFonts w:eastAsia="Times New Roman" w:cs="Times New Roman"/>
                <w:noProof/>
              </w:rPr>
            </w:pPr>
            <w:r>
              <w:rPr>
                <w:noProof/>
              </w:rPr>
              <w:t>2024</w:t>
            </w:r>
          </w:p>
        </w:tc>
        <w:tc>
          <w:tcPr>
            <w:tcW w:w="3118" w:type="dxa"/>
            <w:tcBorders>
              <w:top w:val="single" w:sz="4" w:space="0" w:color="auto"/>
              <w:left w:val="nil"/>
              <w:bottom w:val="single" w:sz="4" w:space="0" w:color="auto"/>
              <w:right w:val="single" w:sz="4" w:space="0" w:color="auto"/>
            </w:tcBorders>
            <w:shd w:val="clear" w:color="auto" w:fill="C6EFCE"/>
            <w:noWrap/>
          </w:tcPr>
          <w:p w14:paraId="04516BC1" w14:textId="3B08C753" w:rsidR="00EB245A" w:rsidRDefault="006021EE">
            <w:pPr>
              <w:pStyle w:val="P68B1DB1-Normal26"/>
              <w:spacing w:after="0" w:line="240" w:lineRule="auto"/>
              <w:rPr>
                <w:rFonts w:eastAsia="Times New Roman" w:cs="Times New Roman"/>
                <w:noProof/>
              </w:rPr>
            </w:pPr>
            <w:r>
              <w:rPr>
                <w:noProof/>
              </w:rPr>
              <w:t>Veröffentlichung einer Analyse de</w:t>
            </w:r>
            <w:r>
              <w:rPr>
                <w:noProof/>
              </w:rPr>
              <w:t xml:space="preserve">r rechtlichen, organisatorischen und administrativen Hindernisse für die Entwicklung von Energiegemeinschaften auf der Grundlage der Erfahrungen mit der Unterstützung vor Investitionen. Im Rahmen der Analyse werden die größten Engpässe für die Entwicklung </w:t>
            </w:r>
            <w:r>
              <w:rPr>
                <w:noProof/>
              </w:rPr>
              <w:t>von Energiegemeinschaften ermittelt und eine Reihe politischer Empfehlungen vorgeschlagen, um rechtliche Änderungen vorzunehmen, mit denen ihr Rechtsrahmen harmonisiert und ihre Umsetzung vereinfacht und beschleunigt wird.</w:t>
            </w:r>
          </w:p>
        </w:tc>
      </w:tr>
      <w:tr w:rsidR="00EB245A" w14:paraId="55BF8F77" w14:textId="77777777" w:rsidTr="00B15262">
        <w:trPr>
          <w:trHeight w:val="309"/>
          <w:jc w:val="center"/>
        </w:trPr>
        <w:tc>
          <w:tcPr>
            <w:tcW w:w="988" w:type="dxa"/>
            <w:tcBorders>
              <w:top w:val="nil"/>
              <w:left w:val="single" w:sz="4" w:space="0" w:color="auto"/>
              <w:bottom w:val="single" w:sz="4" w:space="0" w:color="auto"/>
              <w:right w:val="single" w:sz="4" w:space="0" w:color="auto"/>
            </w:tcBorders>
            <w:shd w:val="clear" w:color="auto" w:fill="C6EFCE"/>
            <w:noWrap/>
          </w:tcPr>
          <w:p w14:paraId="7C0A558D" w14:textId="7F0622C0" w:rsidR="00EB245A" w:rsidRDefault="006021EE">
            <w:pPr>
              <w:pStyle w:val="P68B1DB1-Normal26"/>
              <w:spacing w:after="0" w:line="240" w:lineRule="auto"/>
              <w:jc w:val="center"/>
              <w:rPr>
                <w:rFonts w:eastAsia="Times New Roman" w:cs="Times New Roman"/>
                <w:noProof/>
              </w:rPr>
            </w:pPr>
            <w:r>
              <w:rPr>
                <w:noProof/>
              </w:rPr>
              <w:t>G2G</w:t>
            </w:r>
          </w:p>
        </w:tc>
        <w:tc>
          <w:tcPr>
            <w:tcW w:w="1393" w:type="dxa"/>
            <w:tcBorders>
              <w:top w:val="nil"/>
              <w:left w:val="nil"/>
              <w:bottom w:val="single" w:sz="4" w:space="0" w:color="auto"/>
              <w:right w:val="single" w:sz="4" w:space="0" w:color="auto"/>
            </w:tcBorders>
            <w:shd w:val="clear" w:color="auto" w:fill="C6EFCE"/>
            <w:noWrap/>
          </w:tcPr>
          <w:p w14:paraId="3380EFEB" w14:textId="25750B90" w:rsidR="00EB245A" w:rsidRDefault="006021EE">
            <w:pPr>
              <w:pStyle w:val="P68B1DB1-Normal26"/>
              <w:spacing w:after="0" w:line="240" w:lineRule="auto"/>
              <w:rPr>
                <w:rFonts w:eastAsia="Times New Roman" w:cs="Times New Roman"/>
                <w:noProof/>
              </w:rPr>
            </w:pPr>
            <w:r>
              <w:rPr>
                <w:noProof/>
              </w:rPr>
              <w:t xml:space="preserve">G1.1.2 Anlagen zur Nutzung </w:t>
            </w:r>
            <w:r>
              <w:rPr>
                <w:noProof/>
              </w:rPr>
              <w:t>erneuerbarer Energiequellen durch Energiegemeinschaften</w:t>
            </w:r>
          </w:p>
          <w:p w14:paraId="7480E136" w14:textId="77777777" w:rsidR="00EB245A" w:rsidRDefault="00EB245A">
            <w:pPr>
              <w:spacing w:line="240" w:lineRule="auto"/>
              <w:rPr>
                <w:rFonts w:ascii="Times New Roman" w:eastAsia="Times New Roman" w:hAnsi="Times New Roman" w:cs="Times New Roman"/>
                <w:noProof/>
                <w:sz w:val="18"/>
              </w:rPr>
            </w:pPr>
          </w:p>
        </w:tc>
        <w:tc>
          <w:tcPr>
            <w:tcW w:w="1158" w:type="dxa"/>
            <w:tcBorders>
              <w:top w:val="nil"/>
              <w:left w:val="nil"/>
              <w:bottom w:val="single" w:sz="4" w:space="0" w:color="auto"/>
              <w:right w:val="single" w:sz="4" w:space="0" w:color="auto"/>
            </w:tcBorders>
            <w:shd w:val="clear" w:color="auto" w:fill="C6EFCE"/>
            <w:noWrap/>
          </w:tcPr>
          <w:p w14:paraId="0F4CC277" w14:textId="77777777" w:rsidR="00EB245A" w:rsidRDefault="006021EE">
            <w:pPr>
              <w:pStyle w:val="P68B1DB1-Normal26"/>
              <w:spacing w:line="240" w:lineRule="auto"/>
              <w:rPr>
                <w:rFonts w:eastAsia="Times New Roman" w:cs="Times New Roman"/>
                <w:noProof/>
              </w:rPr>
            </w:pPr>
            <w:r>
              <w:rPr>
                <w:noProof/>
              </w:rPr>
              <w:t>Meilenstein</w:t>
            </w:r>
          </w:p>
        </w:tc>
        <w:tc>
          <w:tcPr>
            <w:tcW w:w="1790" w:type="dxa"/>
            <w:tcBorders>
              <w:top w:val="nil"/>
              <w:left w:val="nil"/>
              <w:bottom w:val="single" w:sz="4" w:space="0" w:color="auto"/>
              <w:right w:val="single" w:sz="4" w:space="0" w:color="auto"/>
            </w:tcBorders>
            <w:shd w:val="clear" w:color="auto" w:fill="C6EFCE"/>
            <w:noWrap/>
          </w:tcPr>
          <w:p w14:paraId="0ECD0DCD" w14:textId="0E86AAE5" w:rsidR="00EB245A" w:rsidRDefault="006021EE">
            <w:pPr>
              <w:pStyle w:val="P68B1DB1-Normal26"/>
              <w:spacing w:line="240" w:lineRule="auto"/>
              <w:rPr>
                <w:rFonts w:eastAsia="Times New Roman" w:cs="Times New Roman"/>
                <w:noProof/>
              </w:rPr>
            </w:pPr>
            <w:r>
              <w:rPr>
                <w:noProof/>
              </w:rPr>
              <w:t>Aufforderung zur Einreichung von Vorschlägen für das Investitionsförderungsprogramm</w:t>
            </w:r>
          </w:p>
        </w:tc>
        <w:tc>
          <w:tcPr>
            <w:tcW w:w="1896" w:type="dxa"/>
            <w:tcBorders>
              <w:top w:val="nil"/>
              <w:left w:val="nil"/>
              <w:bottom w:val="single" w:sz="4" w:space="0" w:color="auto"/>
              <w:right w:val="single" w:sz="4" w:space="0" w:color="auto"/>
            </w:tcBorders>
            <w:shd w:val="clear" w:color="auto" w:fill="C6EFCE"/>
            <w:noWrap/>
          </w:tcPr>
          <w:p w14:paraId="6B971848" w14:textId="22C649D6" w:rsidR="00EB245A" w:rsidRDefault="006021EE">
            <w:pPr>
              <w:pStyle w:val="P68B1DB1-Normal26"/>
              <w:spacing w:line="240" w:lineRule="auto"/>
              <w:rPr>
                <w:rFonts w:eastAsia="Times New Roman" w:cs="Times New Roman"/>
                <w:noProof/>
              </w:rPr>
            </w:pPr>
            <w:r>
              <w:rPr>
                <w:noProof/>
              </w:rPr>
              <w:t>Veröffentlichung einer Aufforderung zur Einreichung von Vorschlägen für Energiegemeinschaften, die an e</w:t>
            </w:r>
            <w:r>
              <w:rPr>
                <w:noProof/>
              </w:rPr>
              <w:t>iner Förderung im Rahmen des Investitionsteils interessiert sind</w:t>
            </w:r>
          </w:p>
        </w:tc>
        <w:tc>
          <w:tcPr>
            <w:tcW w:w="1134" w:type="dxa"/>
            <w:tcBorders>
              <w:top w:val="nil"/>
              <w:left w:val="nil"/>
              <w:bottom w:val="single" w:sz="4" w:space="0" w:color="auto"/>
              <w:right w:val="single" w:sz="4" w:space="0" w:color="auto"/>
            </w:tcBorders>
            <w:shd w:val="clear" w:color="auto" w:fill="C6EFCE"/>
            <w:noWrap/>
          </w:tcPr>
          <w:p w14:paraId="1E8B85CF" w14:textId="77777777" w:rsidR="00EB245A" w:rsidRDefault="00EB245A">
            <w:pPr>
              <w:spacing w:line="240" w:lineRule="auto"/>
              <w:rPr>
                <w:rFonts w:ascii="Times New Roman" w:eastAsia="Times New Roman" w:hAnsi="Times New Roman" w:cs="Times New Roman"/>
                <w:noProof/>
                <w:sz w:val="18"/>
              </w:rPr>
            </w:pPr>
          </w:p>
        </w:tc>
        <w:tc>
          <w:tcPr>
            <w:tcW w:w="1275" w:type="dxa"/>
            <w:tcBorders>
              <w:top w:val="nil"/>
              <w:left w:val="nil"/>
              <w:bottom w:val="single" w:sz="4" w:space="0" w:color="auto"/>
              <w:right w:val="single" w:sz="4" w:space="0" w:color="auto"/>
            </w:tcBorders>
            <w:shd w:val="clear" w:color="auto" w:fill="C6EFCE"/>
            <w:noWrap/>
          </w:tcPr>
          <w:p w14:paraId="69990F38" w14:textId="77777777" w:rsidR="00EB245A" w:rsidRDefault="00EB245A">
            <w:pPr>
              <w:spacing w:line="240" w:lineRule="auto"/>
              <w:jc w:val="center"/>
              <w:rPr>
                <w:rFonts w:ascii="Times New Roman" w:eastAsia="Times New Roman" w:hAnsi="Times New Roman" w:cs="Times New Roman"/>
                <w:noProof/>
                <w:sz w:val="18"/>
              </w:rPr>
            </w:pPr>
          </w:p>
        </w:tc>
        <w:tc>
          <w:tcPr>
            <w:tcW w:w="709" w:type="dxa"/>
            <w:tcBorders>
              <w:top w:val="nil"/>
              <w:left w:val="nil"/>
              <w:bottom w:val="single" w:sz="4" w:space="0" w:color="auto"/>
              <w:right w:val="single" w:sz="4" w:space="0" w:color="auto"/>
            </w:tcBorders>
            <w:shd w:val="clear" w:color="auto" w:fill="C6EFCE"/>
            <w:noWrap/>
          </w:tcPr>
          <w:p w14:paraId="2FE9B9F3" w14:textId="77777777" w:rsidR="00EB245A" w:rsidRDefault="00EB245A">
            <w:pPr>
              <w:spacing w:line="240" w:lineRule="auto"/>
              <w:jc w:val="center"/>
              <w:rPr>
                <w:rFonts w:ascii="Times New Roman" w:eastAsia="Times New Roman" w:hAnsi="Times New Roman" w:cs="Times New Roman"/>
                <w:noProof/>
                <w:sz w:val="18"/>
              </w:rPr>
            </w:pPr>
          </w:p>
        </w:tc>
        <w:tc>
          <w:tcPr>
            <w:tcW w:w="851" w:type="dxa"/>
            <w:tcBorders>
              <w:top w:val="nil"/>
              <w:left w:val="nil"/>
              <w:bottom w:val="single" w:sz="4" w:space="0" w:color="auto"/>
              <w:right w:val="single" w:sz="4" w:space="0" w:color="auto"/>
            </w:tcBorders>
            <w:shd w:val="clear" w:color="auto" w:fill="C6EFCE"/>
            <w:noWrap/>
          </w:tcPr>
          <w:p w14:paraId="348F7A9E" w14:textId="77777777" w:rsidR="00EB245A" w:rsidRDefault="006021EE">
            <w:pPr>
              <w:pStyle w:val="P68B1DB1-Normal26"/>
              <w:spacing w:line="240" w:lineRule="auto"/>
              <w:jc w:val="center"/>
              <w:rPr>
                <w:rFonts w:eastAsia="Times New Roman" w:cs="Times New Roman"/>
                <w:noProof/>
              </w:rPr>
            </w:pPr>
            <w:r>
              <w:rPr>
                <w:noProof/>
              </w:rPr>
              <w:t>Q4</w:t>
            </w:r>
          </w:p>
        </w:tc>
        <w:tc>
          <w:tcPr>
            <w:tcW w:w="992" w:type="dxa"/>
            <w:tcBorders>
              <w:top w:val="nil"/>
              <w:left w:val="nil"/>
              <w:bottom w:val="single" w:sz="4" w:space="0" w:color="auto"/>
              <w:right w:val="single" w:sz="4" w:space="0" w:color="auto"/>
            </w:tcBorders>
            <w:shd w:val="clear" w:color="auto" w:fill="C6EFCE"/>
            <w:noWrap/>
          </w:tcPr>
          <w:p w14:paraId="7F5FC2FB" w14:textId="77777777" w:rsidR="00EB245A" w:rsidRDefault="006021EE">
            <w:pPr>
              <w:pStyle w:val="P68B1DB1-Normal26"/>
              <w:spacing w:line="240" w:lineRule="auto"/>
              <w:jc w:val="center"/>
              <w:rPr>
                <w:rFonts w:eastAsia="Times New Roman" w:cs="Times New Roman"/>
                <w:noProof/>
              </w:rPr>
            </w:pPr>
            <w:r>
              <w:rPr>
                <w:noProof/>
              </w:rPr>
              <w:t>2023</w:t>
            </w:r>
          </w:p>
        </w:tc>
        <w:tc>
          <w:tcPr>
            <w:tcW w:w="3118" w:type="dxa"/>
            <w:tcBorders>
              <w:top w:val="nil"/>
              <w:left w:val="nil"/>
              <w:bottom w:val="single" w:sz="4" w:space="0" w:color="auto"/>
              <w:right w:val="single" w:sz="4" w:space="0" w:color="auto"/>
            </w:tcBorders>
            <w:shd w:val="clear" w:color="auto" w:fill="C6EFCE"/>
            <w:noWrap/>
          </w:tcPr>
          <w:p w14:paraId="17C8113F" w14:textId="171EA32D" w:rsidR="00EB245A" w:rsidRDefault="006021EE">
            <w:pPr>
              <w:pStyle w:val="P68B1DB1-Normal26"/>
              <w:spacing w:after="0" w:line="240" w:lineRule="auto"/>
              <w:rPr>
                <w:rFonts w:eastAsia="Times New Roman" w:cs="Times New Roman"/>
                <w:noProof/>
              </w:rPr>
            </w:pPr>
            <w:r>
              <w:rPr>
                <w:noProof/>
              </w:rPr>
              <w:t>Es wird eine offene, transparente und wettbewerbsorientierte Aufforderung zur Einreichung von Vorschlägen für Energiegenossenschaften, Energiegemeinschaften und Energiecluster verö</w:t>
            </w:r>
            <w:r>
              <w:rPr>
                <w:noProof/>
              </w:rPr>
              <w:t xml:space="preserve">ffentlicht, um die Unterstützung verschiedenen Arten von Empfängern in ausgewogener Weise zuzuweisen. </w:t>
            </w:r>
          </w:p>
          <w:p w14:paraId="213668CB" w14:textId="77777777" w:rsidR="00EB245A" w:rsidRDefault="00EB245A">
            <w:pPr>
              <w:spacing w:after="0" w:line="240" w:lineRule="auto"/>
              <w:rPr>
                <w:rFonts w:ascii="Times New Roman" w:eastAsia="Times New Roman" w:hAnsi="Times New Roman" w:cs="Times New Roman"/>
                <w:noProof/>
                <w:sz w:val="18"/>
              </w:rPr>
            </w:pPr>
          </w:p>
          <w:p w14:paraId="69C8C1CC" w14:textId="549BA573" w:rsidR="00EB245A" w:rsidRDefault="006021EE">
            <w:pPr>
              <w:pStyle w:val="P68B1DB1-Normal26"/>
              <w:spacing w:line="240" w:lineRule="auto"/>
              <w:rPr>
                <w:rFonts w:eastAsia="Times New Roman" w:cs="Times New Roman"/>
                <w:noProof/>
              </w:rPr>
            </w:pPr>
            <w:r>
              <w:rPr>
                <w:noProof/>
              </w:rPr>
              <w:t>Die in der Leistungsbeschreibung enthaltenen Förderkriterien stellen sicher, dass die Investitionen mit dem Grundsatz der Vermeidung erheblicher Beeintr</w:t>
            </w:r>
            <w:r>
              <w:rPr>
                <w:noProof/>
              </w:rPr>
              <w:t xml:space="preserve">ächtigungen im Einklang stehen, wie er in den Technischen Leitlinien für die Vermeidung erheblicher Beeinträchtigungen (C(2023) 6454 final) festgelegt ist. </w:t>
            </w:r>
          </w:p>
        </w:tc>
      </w:tr>
      <w:tr w:rsidR="00EB245A" w14:paraId="5245A70C" w14:textId="77777777" w:rsidTr="00B15262">
        <w:trPr>
          <w:trHeight w:val="309"/>
          <w:jc w:val="center"/>
        </w:trPr>
        <w:tc>
          <w:tcPr>
            <w:tcW w:w="988" w:type="dxa"/>
            <w:tcBorders>
              <w:top w:val="nil"/>
              <w:left w:val="single" w:sz="4" w:space="0" w:color="auto"/>
              <w:bottom w:val="single" w:sz="4" w:space="0" w:color="auto"/>
              <w:right w:val="single" w:sz="4" w:space="0" w:color="auto"/>
            </w:tcBorders>
            <w:shd w:val="clear" w:color="auto" w:fill="C6EFCE"/>
            <w:noWrap/>
          </w:tcPr>
          <w:p w14:paraId="2F6F2659" w14:textId="55FE861B" w:rsidR="00EB245A" w:rsidRDefault="006021EE">
            <w:pPr>
              <w:pStyle w:val="P68B1DB1-Normal26"/>
              <w:spacing w:after="0" w:line="240" w:lineRule="auto"/>
              <w:jc w:val="center"/>
              <w:rPr>
                <w:rFonts w:eastAsia="Times New Roman" w:cs="Times New Roman"/>
                <w:noProof/>
              </w:rPr>
            </w:pPr>
            <w:r>
              <w:rPr>
                <w:noProof/>
              </w:rPr>
              <w:t>G3G</w:t>
            </w:r>
          </w:p>
        </w:tc>
        <w:tc>
          <w:tcPr>
            <w:tcW w:w="1393" w:type="dxa"/>
            <w:tcBorders>
              <w:top w:val="nil"/>
              <w:left w:val="nil"/>
              <w:bottom w:val="single" w:sz="4" w:space="0" w:color="auto"/>
              <w:right w:val="single" w:sz="4" w:space="0" w:color="auto"/>
            </w:tcBorders>
            <w:shd w:val="clear" w:color="auto" w:fill="C6EFCE"/>
            <w:noWrap/>
          </w:tcPr>
          <w:p w14:paraId="561F0091" w14:textId="0D66A2D5" w:rsidR="00EB245A" w:rsidRDefault="006021EE">
            <w:pPr>
              <w:pStyle w:val="P68B1DB1-Normal26"/>
              <w:spacing w:after="0" w:line="240" w:lineRule="auto"/>
              <w:rPr>
                <w:rFonts w:eastAsia="Times New Roman" w:cs="Times New Roman"/>
                <w:noProof/>
              </w:rPr>
            </w:pPr>
            <w:r>
              <w:rPr>
                <w:noProof/>
              </w:rPr>
              <w:t>G1.1.2 Anlagen zur Nutzung erneuerbarer Energiequellen durch Energiegemeinschaften</w:t>
            </w:r>
          </w:p>
        </w:tc>
        <w:tc>
          <w:tcPr>
            <w:tcW w:w="1158" w:type="dxa"/>
            <w:tcBorders>
              <w:top w:val="nil"/>
              <w:left w:val="nil"/>
              <w:bottom w:val="single" w:sz="4" w:space="0" w:color="auto"/>
              <w:right w:val="single" w:sz="4" w:space="0" w:color="auto"/>
            </w:tcBorders>
            <w:shd w:val="clear" w:color="auto" w:fill="C6EFCE"/>
            <w:noWrap/>
          </w:tcPr>
          <w:p w14:paraId="7E65AB84" w14:textId="77777777" w:rsidR="00EB245A" w:rsidRDefault="006021EE">
            <w:pPr>
              <w:pStyle w:val="P68B1DB1-Normal26"/>
              <w:spacing w:after="0" w:line="240" w:lineRule="auto"/>
              <w:rPr>
                <w:rFonts w:eastAsia="Times New Roman" w:cs="Times New Roman"/>
                <w:noProof/>
              </w:rPr>
            </w:pPr>
            <w:r>
              <w:rPr>
                <w:noProof/>
              </w:rPr>
              <w:t>Ziel</w:t>
            </w:r>
          </w:p>
        </w:tc>
        <w:tc>
          <w:tcPr>
            <w:tcW w:w="1790" w:type="dxa"/>
            <w:tcBorders>
              <w:top w:val="nil"/>
              <w:left w:val="nil"/>
              <w:bottom w:val="single" w:sz="4" w:space="0" w:color="auto"/>
              <w:right w:val="single" w:sz="4" w:space="0" w:color="auto"/>
            </w:tcBorders>
            <w:shd w:val="clear" w:color="auto" w:fill="C6EFCE"/>
            <w:noWrap/>
          </w:tcPr>
          <w:p w14:paraId="1D71D5ED" w14:textId="77777777" w:rsidR="00EB245A" w:rsidRDefault="006021EE">
            <w:pPr>
              <w:pStyle w:val="P68B1DB1-Normal26"/>
              <w:spacing w:after="0" w:line="240" w:lineRule="auto"/>
              <w:rPr>
                <w:rFonts w:eastAsia="Times New Roman" w:cs="Times New Roman"/>
                <w:noProof/>
              </w:rPr>
            </w:pPr>
            <w:r>
              <w:rPr>
                <w:noProof/>
              </w:rPr>
              <w:t xml:space="preserve">Im </w:t>
            </w:r>
            <w:r>
              <w:rPr>
                <w:noProof/>
              </w:rPr>
              <w:t>Rahmen des Vorinvestitionsteils unterstützte Einrichtungen</w:t>
            </w:r>
          </w:p>
        </w:tc>
        <w:tc>
          <w:tcPr>
            <w:tcW w:w="1896" w:type="dxa"/>
            <w:tcBorders>
              <w:top w:val="single" w:sz="4" w:space="0" w:color="auto"/>
              <w:left w:val="nil"/>
              <w:bottom w:val="single" w:sz="4" w:space="0" w:color="auto"/>
              <w:right w:val="single" w:sz="4" w:space="0" w:color="auto"/>
            </w:tcBorders>
            <w:shd w:val="clear" w:color="auto" w:fill="C6EFCE"/>
            <w:noWrap/>
          </w:tcPr>
          <w:p w14:paraId="33289906" w14:textId="77777777" w:rsidR="00EB245A" w:rsidRDefault="00EB245A">
            <w:pPr>
              <w:spacing w:after="0" w:line="240" w:lineRule="auto"/>
              <w:rPr>
                <w:rFonts w:ascii="Times New Roman" w:eastAsia="Times New Roman" w:hAnsi="Times New Roman" w:cs="Times New Roman"/>
                <w:noProof/>
                <w:sz w:val="18"/>
              </w:rPr>
            </w:pPr>
          </w:p>
        </w:tc>
        <w:tc>
          <w:tcPr>
            <w:tcW w:w="1134" w:type="dxa"/>
            <w:tcBorders>
              <w:top w:val="nil"/>
              <w:left w:val="nil"/>
              <w:bottom w:val="single" w:sz="4" w:space="0" w:color="auto"/>
              <w:right w:val="single" w:sz="4" w:space="0" w:color="auto"/>
            </w:tcBorders>
            <w:shd w:val="clear" w:color="auto" w:fill="C6EFCE"/>
            <w:noWrap/>
          </w:tcPr>
          <w:p w14:paraId="3783504D" w14:textId="77777777" w:rsidR="00EB245A" w:rsidRDefault="006021EE">
            <w:pPr>
              <w:pStyle w:val="P68B1DB1-Normal26"/>
              <w:spacing w:after="0" w:line="240" w:lineRule="auto"/>
              <w:rPr>
                <w:rFonts w:eastAsia="Times New Roman" w:cs="Times New Roman"/>
                <w:noProof/>
              </w:rPr>
            </w:pPr>
            <w:r>
              <w:rPr>
                <w:noProof/>
              </w:rPr>
              <w:t>Anzahl</w:t>
            </w:r>
          </w:p>
        </w:tc>
        <w:tc>
          <w:tcPr>
            <w:tcW w:w="1275" w:type="dxa"/>
            <w:tcBorders>
              <w:top w:val="nil"/>
              <w:left w:val="nil"/>
              <w:bottom w:val="single" w:sz="4" w:space="0" w:color="auto"/>
              <w:right w:val="single" w:sz="4" w:space="0" w:color="auto"/>
            </w:tcBorders>
            <w:shd w:val="clear" w:color="auto" w:fill="C6EFCE"/>
            <w:noWrap/>
          </w:tcPr>
          <w:p w14:paraId="43AC5AA3" w14:textId="77777777" w:rsidR="00EB245A" w:rsidRDefault="006021EE">
            <w:pPr>
              <w:pStyle w:val="P68B1DB1-Normal26"/>
              <w:spacing w:after="0" w:line="240" w:lineRule="auto"/>
              <w:jc w:val="center"/>
              <w:rPr>
                <w:rFonts w:eastAsia="Times New Roman" w:cs="Times New Roman"/>
                <w:noProof/>
              </w:rPr>
            </w:pPr>
            <w:r>
              <w:rPr>
                <w:noProof/>
              </w:rPr>
              <w:t>0</w:t>
            </w:r>
          </w:p>
        </w:tc>
        <w:tc>
          <w:tcPr>
            <w:tcW w:w="709" w:type="dxa"/>
            <w:tcBorders>
              <w:top w:val="nil"/>
              <w:left w:val="nil"/>
              <w:bottom w:val="single" w:sz="4" w:space="0" w:color="auto"/>
              <w:right w:val="single" w:sz="4" w:space="0" w:color="auto"/>
            </w:tcBorders>
            <w:shd w:val="clear" w:color="auto" w:fill="C6EFCE"/>
            <w:noWrap/>
          </w:tcPr>
          <w:p w14:paraId="461DEFB0" w14:textId="77777777" w:rsidR="00EB245A" w:rsidRDefault="006021EE">
            <w:pPr>
              <w:pStyle w:val="P68B1DB1-Normal26"/>
              <w:spacing w:after="0" w:line="240" w:lineRule="auto"/>
              <w:jc w:val="center"/>
              <w:rPr>
                <w:rFonts w:eastAsia="Times New Roman" w:cs="Times New Roman"/>
                <w:noProof/>
              </w:rPr>
            </w:pPr>
            <w:r>
              <w:rPr>
                <w:noProof/>
              </w:rPr>
              <w:t>200</w:t>
            </w:r>
          </w:p>
        </w:tc>
        <w:tc>
          <w:tcPr>
            <w:tcW w:w="851" w:type="dxa"/>
            <w:tcBorders>
              <w:top w:val="nil"/>
              <w:left w:val="nil"/>
              <w:bottom w:val="single" w:sz="4" w:space="0" w:color="auto"/>
              <w:right w:val="single" w:sz="4" w:space="0" w:color="auto"/>
            </w:tcBorders>
            <w:shd w:val="clear" w:color="auto" w:fill="C6EFCE"/>
            <w:noWrap/>
          </w:tcPr>
          <w:p w14:paraId="05810FED" w14:textId="77777777" w:rsidR="00EB245A" w:rsidRDefault="006021EE">
            <w:pPr>
              <w:pStyle w:val="P68B1DB1-Normal26"/>
              <w:spacing w:after="0" w:line="240" w:lineRule="auto"/>
              <w:jc w:val="center"/>
              <w:rPr>
                <w:rFonts w:eastAsia="Times New Roman" w:cs="Times New Roman"/>
                <w:noProof/>
              </w:rPr>
            </w:pPr>
            <w:r>
              <w:rPr>
                <w:noProof/>
              </w:rPr>
              <w:t>Q1</w:t>
            </w:r>
          </w:p>
        </w:tc>
        <w:tc>
          <w:tcPr>
            <w:tcW w:w="992" w:type="dxa"/>
            <w:tcBorders>
              <w:top w:val="nil"/>
              <w:left w:val="nil"/>
              <w:bottom w:val="single" w:sz="4" w:space="0" w:color="auto"/>
              <w:right w:val="single" w:sz="4" w:space="0" w:color="auto"/>
            </w:tcBorders>
            <w:shd w:val="clear" w:color="auto" w:fill="C6EFCE"/>
            <w:noWrap/>
          </w:tcPr>
          <w:p w14:paraId="434CBA89" w14:textId="77777777" w:rsidR="00EB245A" w:rsidRDefault="006021EE">
            <w:pPr>
              <w:pStyle w:val="P68B1DB1-Normal26"/>
              <w:spacing w:after="0" w:line="240" w:lineRule="auto"/>
              <w:jc w:val="center"/>
              <w:rPr>
                <w:rFonts w:eastAsia="Times New Roman" w:cs="Times New Roman"/>
                <w:noProof/>
              </w:rPr>
            </w:pPr>
            <w:r>
              <w:rPr>
                <w:noProof/>
              </w:rPr>
              <w:t>2025</w:t>
            </w:r>
          </w:p>
        </w:tc>
        <w:tc>
          <w:tcPr>
            <w:tcW w:w="3118" w:type="dxa"/>
            <w:tcBorders>
              <w:top w:val="nil"/>
              <w:left w:val="nil"/>
              <w:bottom w:val="single" w:sz="4" w:space="0" w:color="auto"/>
              <w:right w:val="single" w:sz="4" w:space="0" w:color="auto"/>
            </w:tcBorders>
            <w:shd w:val="clear" w:color="auto" w:fill="C6EFCE"/>
            <w:noWrap/>
          </w:tcPr>
          <w:p w14:paraId="719CDF86" w14:textId="77777777" w:rsidR="00EB245A" w:rsidRDefault="006021EE">
            <w:pPr>
              <w:pStyle w:val="P68B1DB1-Normal26"/>
              <w:spacing w:after="0" w:line="240" w:lineRule="auto"/>
              <w:rPr>
                <w:rFonts w:eastAsia="Times New Roman" w:cs="Times New Roman"/>
                <w:noProof/>
              </w:rPr>
            </w:pPr>
            <w:r>
              <w:rPr>
                <w:noProof/>
              </w:rPr>
              <w:t xml:space="preserve">Zahl der mit den Empfängern unterzeichneten Finanzhilfevereinbarungen, die im Rahmen einer offenen, wettbewerbsorientierten und transparenten Aufforderung zur Einreichung von </w:t>
            </w:r>
            <w:r>
              <w:rPr>
                <w:noProof/>
              </w:rPr>
              <w:t>Vorschlägen ausgewählt werden, die darauf abzielt, die Unterstützung verschiedenen Arten von Empfängern in ausgewogener Weise zuzuweisen. Bei der Zuweisung der Projekte an die Empfängereinrichtungen wird eine ausgewogene Verteilung zwischen den Einrichtung</w:t>
            </w:r>
            <w:r>
              <w:rPr>
                <w:noProof/>
              </w:rPr>
              <w:t xml:space="preserve">en im ganzen Land unter Berücksichtigung der Bevölkerung und der geografischen Abdeckung sichergestellt. </w:t>
            </w:r>
          </w:p>
          <w:p w14:paraId="2A381C01" w14:textId="77777777" w:rsidR="00EB245A" w:rsidRDefault="00EB245A">
            <w:pPr>
              <w:spacing w:after="0" w:line="240" w:lineRule="auto"/>
              <w:rPr>
                <w:rFonts w:ascii="Times New Roman" w:eastAsia="Times New Roman" w:hAnsi="Times New Roman" w:cs="Times New Roman"/>
                <w:noProof/>
                <w:sz w:val="18"/>
              </w:rPr>
            </w:pPr>
          </w:p>
          <w:p w14:paraId="459723CF" w14:textId="77777777" w:rsidR="00EB245A" w:rsidRDefault="006021EE">
            <w:pPr>
              <w:pStyle w:val="P68B1DB1-Normal26"/>
              <w:spacing w:after="0" w:line="240" w:lineRule="auto"/>
              <w:rPr>
                <w:rFonts w:eastAsia="Times New Roman" w:cs="Times New Roman"/>
                <w:noProof/>
              </w:rPr>
            </w:pPr>
            <w:r>
              <w:rPr>
                <w:noProof/>
              </w:rPr>
              <w:t>Unterstützt werden Energiegenossenschaften, die durch das Erneuerbare-Energien-Gesetz errichtet wurden, und Energiegemeinschaften, die durch das Ener</w:t>
            </w:r>
            <w:r>
              <w:rPr>
                <w:noProof/>
              </w:rPr>
              <w:t xml:space="preserve">giegesetz geschaffen wurden, sowie Einrichtungen, die rechtlich in der Lage sind, solche Genossenschaften und Gemeinschaften zu gründen, wie z. B. Gemeinden, sowie Energiecluster. </w:t>
            </w:r>
          </w:p>
        </w:tc>
      </w:tr>
      <w:tr w:rsidR="00EB245A" w14:paraId="2915D5E5" w14:textId="77777777" w:rsidTr="00B15262">
        <w:trPr>
          <w:trHeight w:val="309"/>
          <w:jc w:val="center"/>
        </w:trPr>
        <w:tc>
          <w:tcPr>
            <w:tcW w:w="988" w:type="dxa"/>
            <w:tcBorders>
              <w:top w:val="nil"/>
              <w:left w:val="single" w:sz="4" w:space="0" w:color="auto"/>
              <w:bottom w:val="single" w:sz="4" w:space="0" w:color="auto"/>
              <w:right w:val="single" w:sz="4" w:space="0" w:color="auto"/>
            </w:tcBorders>
            <w:shd w:val="clear" w:color="auto" w:fill="C6EFCE"/>
            <w:noWrap/>
          </w:tcPr>
          <w:p w14:paraId="552651F2" w14:textId="206B9393" w:rsidR="00EB245A" w:rsidRDefault="006021EE">
            <w:pPr>
              <w:pStyle w:val="P68B1DB1-Normal26"/>
              <w:spacing w:after="0" w:line="240" w:lineRule="auto"/>
              <w:jc w:val="center"/>
              <w:rPr>
                <w:rFonts w:eastAsia="Times New Roman" w:cs="Times New Roman"/>
                <w:noProof/>
              </w:rPr>
            </w:pPr>
            <w:r>
              <w:rPr>
                <w:noProof/>
              </w:rPr>
              <w:t>G4G</w:t>
            </w:r>
          </w:p>
        </w:tc>
        <w:tc>
          <w:tcPr>
            <w:tcW w:w="1393" w:type="dxa"/>
            <w:tcBorders>
              <w:top w:val="nil"/>
              <w:left w:val="nil"/>
              <w:bottom w:val="single" w:sz="4" w:space="0" w:color="auto"/>
              <w:right w:val="single" w:sz="4" w:space="0" w:color="auto"/>
            </w:tcBorders>
            <w:shd w:val="clear" w:color="auto" w:fill="C6EFCE"/>
            <w:noWrap/>
          </w:tcPr>
          <w:p w14:paraId="3A22A1E8" w14:textId="358182AC" w:rsidR="00EB245A" w:rsidRDefault="006021EE">
            <w:pPr>
              <w:pStyle w:val="P68B1DB1-Normal26"/>
              <w:spacing w:after="0" w:line="240" w:lineRule="auto"/>
              <w:rPr>
                <w:rFonts w:eastAsia="Times New Roman" w:cs="Times New Roman"/>
                <w:noProof/>
              </w:rPr>
            </w:pPr>
            <w:r>
              <w:rPr>
                <w:noProof/>
              </w:rPr>
              <w:t xml:space="preserve">G1.1.2 Anlagen zur Nutzung erneuerbarer Energiequellen durch </w:t>
            </w:r>
            <w:r>
              <w:rPr>
                <w:noProof/>
              </w:rPr>
              <w:t>Energiegemeinschaften</w:t>
            </w:r>
          </w:p>
        </w:tc>
        <w:tc>
          <w:tcPr>
            <w:tcW w:w="1158" w:type="dxa"/>
            <w:tcBorders>
              <w:top w:val="nil"/>
              <w:left w:val="nil"/>
              <w:bottom w:val="single" w:sz="4" w:space="0" w:color="auto"/>
              <w:right w:val="single" w:sz="4" w:space="0" w:color="auto"/>
            </w:tcBorders>
            <w:shd w:val="clear" w:color="auto" w:fill="C6EFCE"/>
            <w:noWrap/>
          </w:tcPr>
          <w:p w14:paraId="5DAA17D2" w14:textId="77777777" w:rsidR="00EB245A" w:rsidRDefault="006021EE">
            <w:pPr>
              <w:pStyle w:val="P68B1DB1-Normal26"/>
              <w:spacing w:after="0" w:line="240" w:lineRule="auto"/>
              <w:rPr>
                <w:rFonts w:eastAsia="Times New Roman" w:cs="Times New Roman"/>
                <w:noProof/>
              </w:rPr>
            </w:pPr>
            <w:r>
              <w:rPr>
                <w:noProof/>
              </w:rPr>
              <w:t>Ziel</w:t>
            </w:r>
          </w:p>
        </w:tc>
        <w:tc>
          <w:tcPr>
            <w:tcW w:w="1790" w:type="dxa"/>
            <w:tcBorders>
              <w:top w:val="nil"/>
              <w:left w:val="nil"/>
              <w:bottom w:val="single" w:sz="4" w:space="0" w:color="auto"/>
              <w:right w:val="single" w:sz="4" w:space="0" w:color="auto"/>
            </w:tcBorders>
            <w:shd w:val="clear" w:color="auto" w:fill="C6EFCE"/>
            <w:noWrap/>
          </w:tcPr>
          <w:p w14:paraId="6160CB9F" w14:textId="77777777" w:rsidR="00EB245A" w:rsidRDefault="006021EE">
            <w:pPr>
              <w:pStyle w:val="P68B1DB1-Normal26"/>
              <w:spacing w:after="0" w:line="240" w:lineRule="auto"/>
              <w:rPr>
                <w:rFonts w:eastAsia="Times New Roman" w:cs="Times New Roman"/>
                <w:noProof/>
              </w:rPr>
            </w:pPr>
            <w:r>
              <w:rPr>
                <w:noProof/>
              </w:rPr>
              <w:t>Im Rahmen des Investitionsteils unterstützte Einrichtungen</w:t>
            </w:r>
          </w:p>
        </w:tc>
        <w:tc>
          <w:tcPr>
            <w:tcW w:w="1896" w:type="dxa"/>
            <w:tcBorders>
              <w:top w:val="nil"/>
              <w:left w:val="nil"/>
              <w:bottom w:val="single" w:sz="4" w:space="0" w:color="auto"/>
              <w:right w:val="single" w:sz="4" w:space="0" w:color="auto"/>
            </w:tcBorders>
            <w:shd w:val="clear" w:color="auto" w:fill="C6EFCE"/>
            <w:noWrap/>
          </w:tcPr>
          <w:p w14:paraId="59708806" w14:textId="77777777" w:rsidR="00EB245A" w:rsidRDefault="00EB245A">
            <w:pPr>
              <w:spacing w:after="0" w:line="240" w:lineRule="auto"/>
              <w:rPr>
                <w:rFonts w:ascii="Times New Roman" w:eastAsia="Times New Roman" w:hAnsi="Times New Roman" w:cs="Times New Roman"/>
                <w:noProof/>
                <w:sz w:val="18"/>
              </w:rPr>
            </w:pPr>
          </w:p>
        </w:tc>
        <w:tc>
          <w:tcPr>
            <w:tcW w:w="1134" w:type="dxa"/>
            <w:tcBorders>
              <w:top w:val="nil"/>
              <w:left w:val="nil"/>
              <w:bottom w:val="single" w:sz="4" w:space="0" w:color="auto"/>
              <w:right w:val="single" w:sz="4" w:space="0" w:color="auto"/>
            </w:tcBorders>
            <w:shd w:val="clear" w:color="auto" w:fill="C6EFCE"/>
            <w:noWrap/>
          </w:tcPr>
          <w:p w14:paraId="4D1F3249" w14:textId="77777777" w:rsidR="00EB245A" w:rsidRDefault="006021EE">
            <w:pPr>
              <w:pStyle w:val="P68B1DB1-Normal26"/>
              <w:spacing w:after="0" w:line="240" w:lineRule="auto"/>
              <w:rPr>
                <w:rFonts w:eastAsia="Times New Roman" w:cs="Times New Roman"/>
                <w:noProof/>
              </w:rPr>
            </w:pPr>
            <w:r>
              <w:rPr>
                <w:noProof/>
              </w:rPr>
              <w:t>Anzahl</w:t>
            </w:r>
          </w:p>
        </w:tc>
        <w:tc>
          <w:tcPr>
            <w:tcW w:w="1275" w:type="dxa"/>
            <w:tcBorders>
              <w:top w:val="nil"/>
              <w:left w:val="nil"/>
              <w:bottom w:val="single" w:sz="4" w:space="0" w:color="auto"/>
              <w:right w:val="single" w:sz="4" w:space="0" w:color="auto"/>
            </w:tcBorders>
            <w:shd w:val="clear" w:color="auto" w:fill="C6EFCE"/>
            <w:noWrap/>
          </w:tcPr>
          <w:p w14:paraId="40D8E7C5" w14:textId="77777777" w:rsidR="00EB245A" w:rsidRDefault="006021EE">
            <w:pPr>
              <w:pStyle w:val="P68B1DB1-Normal26"/>
              <w:spacing w:after="0" w:line="240" w:lineRule="auto"/>
              <w:jc w:val="center"/>
              <w:rPr>
                <w:rFonts w:eastAsia="Times New Roman" w:cs="Times New Roman"/>
                <w:noProof/>
              </w:rPr>
            </w:pPr>
            <w:r>
              <w:rPr>
                <w:noProof/>
              </w:rPr>
              <w:t>0</w:t>
            </w:r>
          </w:p>
        </w:tc>
        <w:tc>
          <w:tcPr>
            <w:tcW w:w="709" w:type="dxa"/>
            <w:tcBorders>
              <w:top w:val="nil"/>
              <w:left w:val="nil"/>
              <w:bottom w:val="single" w:sz="4" w:space="0" w:color="auto"/>
              <w:right w:val="single" w:sz="4" w:space="0" w:color="auto"/>
            </w:tcBorders>
            <w:shd w:val="clear" w:color="auto" w:fill="C6EFCE"/>
            <w:noWrap/>
          </w:tcPr>
          <w:p w14:paraId="5C4054D2" w14:textId="77777777" w:rsidR="00EB245A" w:rsidRDefault="006021EE">
            <w:pPr>
              <w:pStyle w:val="P68B1DB1-Normal26"/>
              <w:spacing w:after="0" w:line="240" w:lineRule="auto"/>
              <w:jc w:val="center"/>
              <w:rPr>
                <w:rFonts w:eastAsia="Times New Roman" w:cs="Times New Roman"/>
                <w:noProof/>
              </w:rPr>
            </w:pPr>
            <w:r>
              <w:rPr>
                <w:noProof/>
              </w:rPr>
              <w:t>10</w:t>
            </w:r>
          </w:p>
        </w:tc>
        <w:tc>
          <w:tcPr>
            <w:tcW w:w="851" w:type="dxa"/>
            <w:tcBorders>
              <w:top w:val="nil"/>
              <w:left w:val="nil"/>
              <w:bottom w:val="single" w:sz="4" w:space="0" w:color="auto"/>
              <w:right w:val="single" w:sz="4" w:space="0" w:color="auto"/>
            </w:tcBorders>
            <w:shd w:val="clear" w:color="auto" w:fill="C6EFCE"/>
            <w:noWrap/>
          </w:tcPr>
          <w:p w14:paraId="2B02D77A" w14:textId="77777777" w:rsidR="00EB245A" w:rsidRDefault="006021EE">
            <w:pPr>
              <w:pStyle w:val="P68B1DB1-Normal26"/>
              <w:spacing w:after="0" w:line="240" w:lineRule="auto"/>
              <w:jc w:val="center"/>
              <w:rPr>
                <w:rFonts w:eastAsia="Times New Roman" w:cs="Times New Roman"/>
                <w:noProof/>
              </w:rPr>
            </w:pPr>
            <w:r>
              <w:rPr>
                <w:noProof/>
              </w:rPr>
              <w:t>Q4</w:t>
            </w:r>
          </w:p>
        </w:tc>
        <w:tc>
          <w:tcPr>
            <w:tcW w:w="992" w:type="dxa"/>
            <w:tcBorders>
              <w:top w:val="nil"/>
              <w:left w:val="nil"/>
              <w:bottom w:val="single" w:sz="4" w:space="0" w:color="auto"/>
              <w:right w:val="single" w:sz="4" w:space="0" w:color="auto"/>
            </w:tcBorders>
            <w:shd w:val="clear" w:color="auto" w:fill="C6EFCE"/>
            <w:noWrap/>
          </w:tcPr>
          <w:p w14:paraId="27113F56" w14:textId="77777777" w:rsidR="00EB245A" w:rsidRDefault="006021EE">
            <w:pPr>
              <w:pStyle w:val="P68B1DB1-Normal26"/>
              <w:spacing w:after="0" w:line="240" w:lineRule="auto"/>
              <w:jc w:val="center"/>
              <w:rPr>
                <w:rFonts w:eastAsia="Times New Roman" w:cs="Times New Roman"/>
                <w:noProof/>
              </w:rPr>
            </w:pPr>
            <w:r>
              <w:rPr>
                <w:noProof/>
              </w:rPr>
              <w:t>2025</w:t>
            </w:r>
          </w:p>
        </w:tc>
        <w:tc>
          <w:tcPr>
            <w:tcW w:w="3118" w:type="dxa"/>
            <w:tcBorders>
              <w:top w:val="nil"/>
              <w:left w:val="nil"/>
              <w:bottom w:val="single" w:sz="4" w:space="0" w:color="auto"/>
              <w:right w:val="single" w:sz="4" w:space="0" w:color="auto"/>
            </w:tcBorders>
            <w:shd w:val="clear" w:color="auto" w:fill="C6EFCE"/>
            <w:noWrap/>
          </w:tcPr>
          <w:p w14:paraId="5BB77BD1" w14:textId="46621CD2" w:rsidR="00EB245A" w:rsidRDefault="006021EE">
            <w:pPr>
              <w:pStyle w:val="P68B1DB1-Normal26"/>
              <w:spacing w:after="0" w:line="240" w:lineRule="auto"/>
              <w:rPr>
                <w:rFonts w:eastAsia="Times New Roman" w:cs="Times New Roman"/>
                <w:noProof/>
              </w:rPr>
            </w:pPr>
            <w:r>
              <w:rPr>
                <w:noProof/>
              </w:rPr>
              <w:t xml:space="preserve">Anzahl der Finanzhilfevereinbarungen, die mit den Empfängern im Einklang mit der Aufforderung zur Einreichung von Vorschlägen im Meilenstein G2G </w:t>
            </w:r>
            <w:r>
              <w:rPr>
                <w:noProof/>
              </w:rPr>
              <w:t>unterzeichnet wurden.</w:t>
            </w:r>
          </w:p>
        </w:tc>
      </w:tr>
      <w:tr w:rsidR="00EB245A" w14:paraId="4CE266E9" w14:textId="77777777" w:rsidTr="00B15262">
        <w:trPr>
          <w:trHeight w:val="309"/>
          <w:jc w:val="center"/>
        </w:trPr>
        <w:tc>
          <w:tcPr>
            <w:tcW w:w="988" w:type="dxa"/>
            <w:tcBorders>
              <w:top w:val="nil"/>
              <w:left w:val="single" w:sz="4" w:space="0" w:color="auto"/>
              <w:bottom w:val="single" w:sz="4" w:space="0" w:color="auto"/>
              <w:right w:val="single" w:sz="4" w:space="0" w:color="auto"/>
            </w:tcBorders>
            <w:shd w:val="clear" w:color="auto" w:fill="C6EFCE"/>
            <w:noWrap/>
          </w:tcPr>
          <w:p w14:paraId="45BB8B48" w14:textId="5A09391B" w:rsidR="00EB245A" w:rsidRDefault="006021EE">
            <w:pPr>
              <w:pStyle w:val="P68B1DB1-Normal26"/>
              <w:spacing w:after="0" w:line="240" w:lineRule="auto"/>
              <w:jc w:val="center"/>
              <w:rPr>
                <w:rFonts w:eastAsia="Times New Roman" w:cs="Times New Roman"/>
                <w:noProof/>
              </w:rPr>
            </w:pPr>
            <w:r>
              <w:rPr>
                <w:noProof/>
              </w:rPr>
              <w:t>G5G</w:t>
            </w:r>
          </w:p>
        </w:tc>
        <w:tc>
          <w:tcPr>
            <w:tcW w:w="1393" w:type="dxa"/>
            <w:tcBorders>
              <w:top w:val="nil"/>
              <w:left w:val="nil"/>
              <w:bottom w:val="single" w:sz="4" w:space="0" w:color="auto"/>
              <w:right w:val="single" w:sz="4" w:space="0" w:color="auto"/>
            </w:tcBorders>
            <w:shd w:val="clear" w:color="auto" w:fill="C6EFCE"/>
            <w:noWrap/>
          </w:tcPr>
          <w:p w14:paraId="46DB21DF" w14:textId="447ECA4A" w:rsidR="00EB245A" w:rsidRDefault="006021EE">
            <w:pPr>
              <w:pStyle w:val="P68B1DB1-Normal26"/>
              <w:spacing w:after="0" w:line="240" w:lineRule="auto"/>
              <w:rPr>
                <w:rFonts w:eastAsia="Times New Roman" w:cs="Times New Roman"/>
                <w:noProof/>
              </w:rPr>
            </w:pPr>
            <w:r>
              <w:rPr>
                <w:noProof/>
              </w:rPr>
              <w:t>G1.1.2 Anlagen zur Nutzung erneuerbarer Energiequellen durch Energiegemeinschaften</w:t>
            </w:r>
          </w:p>
        </w:tc>
        <w:tc>
          <w:tcPr>
            <w:tcW w:w="1158" w:type="dxa"/>
            <w:tcBorders>
              <w:top w:val="nil"/>
              <w:left w:val="nil"/>
              <w:bottom w:val="single" w:sz="4" w:space="0" w:color="auto"/>
              <w:right w:val="single" w:sz="4" w:space="0" w:color="auto"/>
            </w:tcBorders>
            <w:shd w:val="clear" w:color="auto" w:fill="C6EFCE"/>
            <w:noWrap/>
          </w:tcPr>
          <w:p w14:paraId="5FAF443F" w14:textId="77777777" w:rsidR="00EB245A" w:rsidRDefault="006021EE">
            <w:pPr>
              <w:pStyle w:val="P68B1DB1-Normal26"/>
              <w:spacing w:after="0" w:line="240" w:lineRule="auto"/>
              <w:rPr>
                <w:rFonts w:eastAsia="Times New Roman" w:cs="Times New Roman"/>
                <w:noProof/>
              </w:rPr>
            </w:pPr>
            <w:r>
              <w:rPr>
                <w:noProof/>
              </w:rPr>
              <w:t>Ziel</w:t>
            </w:r>
          </w:p>
        </w:tc>
        <w:tc>
          <w:tcPr>
            <w:tcW w:w="1790" w:type="dxa"/>
            <w:tcBorders>
              <w:top w:val="nil"/>
              <w:left w:val="nil"/>
              <w:bottom w:val="single" w:sz="4" w:space="0" w:color="auto"/>
              <w:right w:val="single" w:sz="4" w:space="0" w:color="auto"/>
            </w:tcBorders>
            <w:shd w:val="clear" w:color="auto" w:fill="C6EFCE"/>
            <w:noWrap/>
          </w:tcPr>
          <w:p w14:paraId="61DA15BA" w14:textId="1A857155" w:rsidR="00EB245A" w:rsidRDefault="006021EE">
            <w:pPr>
              <w:pStyle w:val="P68B1DB1-Normal26"/>
              <w:spacing w:after="0" w:line="240" w:lineRule="auto"/>
              <w:rPr>
                <w:rFonts w:eastAsia="Times New Roman" w:cs="Times New Roman"/>
                <w:noProof/>
              </w:rPr>
            </w:pPr>
            <w:r>
              <w:rPr>
                <w:noProof/>
              </w:rPr>
              <w:t>Im Rahmen des Investitionsteils unterstützte Einrichtungen</w:t>
            </w:r>
          </w:p>
        </w:tc>
        <w:tc>
          <w:tcPr>
            <w:tcW w:w="1896" w:type="dxa"/>
            <w:tcBorders>
              <w:top w:val="nil"/>
              <w:left w:val="nil"/>
              <w:bottom w:val="single" w:sz="4" w:space="0" w:color="auto"/>
              <w:right w:val="single" w:sz="4" w:space="0" w:color="auto"/>
            </w:tcBorders>
            <w:shd w:val="clear" w:color="auto" w:fill="C6EFCE"/>
            <w:noWrap/>
          </w:tcPr>
          <w:p w14:paraId="06806F8B" w14:textId="77777777" w:rsidR="00EB245A" w:rsidRDefault="00EB245A">
            <w:pPr>
              <w:spacing w:after="0" w:line="240" w:lineRule="auto"/>
              <w:rPr>
                <w:rFonts w:ascii="Times New Roman" w:eastAsia="Times New Roman" w:hAnsi="Times New Roman" w:cs="Times New Roman"/>
                <w:noProof/>
                <w:sz w:val="18"/>
              </w:rPr>
            </w:pPr>
          </w:p>
        </w:tc>
        <w:tc>
          <w:tcPr>
            <w:tcW w:w="1134" w:type="dxa"/>
            <w:tcBorders>
              <w:top w:val="nil"/>
              <w:left w:val="nil"/>
              <w:bottom w:val="single" w:sz="4" w:space="0" w:color="auto"/>
              <w:right w:val="single" w:sz="4" w:space="0" w:color="auto"/>
            </w:tcBorders>
            <w:shd w:val="clear" w:color="auto" w:fill="C6EFCE"/>
            <w:noWrap/>
          </w:tcPr>
          <w:p w14:paraId="0843DB5A" w14:textId="77777777" w:rsidR="00EB245A" w:rsidRDefault="006021EE">
            <w:pPr>
              <w:pStyle w:val="P68B1DB1-Normal26"/>
              <w:spacing w:after="0" w:line="240" w:lineRule="auto"/>
              <w:rPr>
                <w:rFonts w:eastAsia="Times New Roman" w:cs="Times New Roman"/>
                <w:noProof/>
              </w:rPr>
            </w:pPr>
            <w:r>
              <w:rPr>
                <w:noProof/>
              </w:rPr>
              <w:t>Anzahl</w:t>
            </w:r>
          </w:p>
        </w:tc>
        <w:tc>
          <w:tcPr>
            <w:tcW w:w="1275" w:type="dxa"/>
            <w:tcBorders>
              <w:top w:val="nil"/>
              <w:left w:val="nil"/>
              <w:bottom w:val="single" w:sz="4" w:space="0" w:color="auto"/>
              <w:right w:val="single" w:sz="4" w:space="0" w:color="auto"/>
            </w:tcBorders>
            <w:shd w:val="clear" w:color="auto" w:fill="C6EFCE"/>
            <w:noWrap/>
          </w:tcPr>
          <w:p w14:paraId="2E42B37C" w14:textId="77777777" w:rsidR="00EB245A" w:rsidRDefault="006021EE">
            <w:pPr>
              <w:pStyle w:val="P68B1DB1-Normal26"/>
              <w:spacing w:after="0" w:line="240" w:lineRule="auto"/>
              <w:jc w:val="center"/>
              <w:rPr>
                <w:rFonts w:eastAsia="Times New Roman" w:cs="Times New Roman"/>
                <w:noProof/>
              </w:rPr>
            </w:pPr>
            <w:r>
              <w:rPr>
                <w:noProof/>
              </w:rPr>
              <w:t>10</w:t>
            </w:r>
          </w:p>
        </w:tc>
        <w:tc>
          <w:tcPr>
            <w:tcW w:w="709" w:type="dxa"/>
            <w:tcBorders>
              <w:top w:val="nil"/>
              <w:left w:val="nil"/>
              <w:bottom w:val="single" w:sz="4" w:space="0" w:color="auto"/>
              <w:right w:val="single" w:sz="4" w:space="0" w:color="auto"/>
            </w:tcBorders>
            <w:shd w:val="clear" w:color="auto" w:fill="C6EFCE"/>
            <w:noWrap/>
          </w:tcPr>
          <w:p w14:paraId="4FEC60D5" w14:textId="77777777" w:rsidR="00EB245A" w:rsidRDefault="006021EE">
            <w:pPr>
              <w:pStyle w:val="P68B1DB1-Normal26"/>
              <w:spacing w:after="0" w:line="240" w:lineRule="auto"/>
              <w:jc w:val="center"/>
              <w:rPr>
                <w:rFonts w:eastAsia="Times New Roman" w:cs="Times New Roman"/>
                <w:noProof/>
              </w:rPr>
            </w:pPr>
            <w:r>
              <w:rPr>
                <w:noProof/>
              </w:rPr>
              <w:t>20</w:t>
            </w:r>
          </w:p>
        </w:tc>
        <w:tc>
          <w:tcPr>
            <w:tcW w:w="851" w:type="dxa"/>
            <w:tcBorders>
              <w:top w:val="nil"/>
              <w:left w:val="nil"/>
              <w:bottom w:val="single" w:sz="4" w:space="0" w:color="auto"/>
              <w:right w:val="single" w:sz="4" w:space="0" w:color="auto"/>
            </w:tcBorders>
            <w:shd w:val="clear" w:color="auto" w:fill="C6EFCE"/>
            <w:noWrap/>
          </w:tcPr>
          <w:p w14:paraId="3A4B9B7A" w14:textId="77777777" w:rsidR="00EB245A" w:rsidRDefault="006021EE">
            <w:pPr>
              <w:pStyle w:val="P68B1DB1-Normal26"/>
              <w:spacing w:after="0" w:line="240" w:lineRule="auto"/>
              <w:jc w:val="center"/>
              <w:rPr>
                <w:rFonts w:eastAsia="Times New Roman" w:cs="Times New Roman"/>
                <w:noProof/>
              </w:rPr>
            </w:pPr>
            <w:r>
              <w:rPr>
                <w:noProof/>
              </w:rPr>
              <w:t>Q2</w:t>
            </w:r>
          </w:p>
        </w:tc>
        <w:tc>
          <w:tcPr>
            <w:tcW w:w="992" w:type="dxa"/>
            <w:tcBorders>
              <w:top w:val="nil"/>
              <w:left w:val="nil"/>
              <w:bottom w:val="single" w:sz="4" w:space="0" w:color="auto"/>
              <w:right w:val="single" w:sz="4" w:space="0" w:color="auto"/>
            </w:tcBorders>
            <w:shd w:val="clear" w:color="auto" w:fill="C6EFCE"/>
            <w:noWrap/>
          </w:tcPr>
          <w:p w14:paraId="019877D5" w14:textId="256D8DCF" w:rsidR="00EB245A" w:rsidRDefault="006021EE">
            <w:pPr>
              <w:pStyle w:val="P68B1DB1-Normal26"/>
              <w:spacing w:after="0" w:line="240" w:lineRule="auto"/>
              <w:jc w:val="center"/>
              <w:rPr>
                <w:rFonts w:eastAsia="Times New Roman" w:cs="Times New Roman"/>
                <w:noProof/>
              </w:rPr>
            </w:pPr>
            <w:r>
              <w:rPr>
                <w:noProof/>
              </w:rPr>
              <w:t>2026</w:t>
            </w:r>
          </w:p>
        </w:tc>
        <w:tc>
          <w:tcPr>
            <w:tcW w:w="3118" w:type="dxa"/>
            <w:tcBorders>
              <w:top w:val="nil"/>
              <w:left w:val="nil"/>
              <w:bottom w:val="single" w:sz="4" w:space="0" w:color="auto"/>
              <w:right w:val="single" w:sz="4" w:space="0" w:color="auto"/>
            </w:tcBorders>
            <w:shd w:val="clear" w:color="auto" w:fill="C6EFCE"/>
            <w:noWrap/>
          </w:tcPr>
          <w:p w14:paraId="33227B56" w14:textId="15410EF9" w:rsidR="00EB245A" w:rsidRDefault="006021EE">
            <w:pPr>
              <w:pStyle w:val="P68B1DB1-Normal26"/>
              <w:spacing w:after="0" w:line="240" w:lineRule="auto"/>
              <w:rPr>
                <w:rFonts w:eastAsia="Times New Roman" w:cs="Times New Roman"/>
                <w:noProof/>
              </w:rPr>
            </w:pPr>
            <w:r>
              <w:rPr>
                <w:noProof/>
              </w:rPr>
              <w:t>Anzahl der Finanzhilfevereinbarungen, die mit den Empfängern</w:t>
            </w:r>
            <w:r>
              <w:rPr>
                <w:noProof/>
              </w:rPr>
              <w:t xml:space="preserve"> im Einklang mit der Aufforderung zur Einreichung von Vorschlägen im Meilenstein G2G unterzeichnet wurden.</w:t>
            </w:r>
          </w:p>
        </w:tc>
      </w:tr>
      <w:tr w:rsidR="00EB245A" w14:paraId="03D0F279" w14:textId="77777777" w:rsidTr="00B15262">
        <w:trPr>
          <w:trHeight w:val="309"/>
          <w:jc w:val="center"/>
        </w:trPr>
        <w:tc>
          <w:tcPr>
            <w:tcW w:w="988" w:type="dxa"/>
            <w:tcBorders>
              <w:top w:val="nil"/>
              <w:left w:val="single" w:sz="4" w:space="0" w:color="auto"/>
              <w:bottom w:val="single" w:sz="4" w:space="0" w:color="auto"/>
              <w:right w:val="single" w:sz="4" w:space="0" w:color="auto"/>
            </w:tcBorders>
            <w:shd w:val="clear" w:color="auto" w:fill="C6EFCE"/>
            <w:noWrap/>
          </w:tcPr>
          <w:p w14:paraId="78146C2E" w14:textId="54F8A01A" w:rsidR="00EB245A" w:rsidRDefault="006021EE">
            <w:pPr>
              <w:pStyle w:val="P68B1DB1-Normal26"/>
              <w:spacing w:after="0" w:line="240" w:lineRule="auto"/>
              <w:jc w:val="center"/>
              <w:rPr>
                <w:rFonts w:eastAsia="Times New Roman" w:cs="Times New Roman"/>
                <w:noProof/>
              </w:rPr>
            </w:pPr>
            <w:r>
              <w:rPr>
                <w:noProof/>
              </w:rPr>
              <w:t>G6G</w:t>
            </w:r>
          </w:p>
        </w:tc>
        <w:tc>
          <w:tcPr>
            <w:tcW w:w="1393" w:type="dxa"/>
            <w:tcBorders>
              <w:top w:val="nil"/>
              <w:left w:val="nil"/>
              <w:bottom w:val="single" w:sz="4" w:space="0" w:color="auto"/>
              <w:right w:val="single" w:sz="4" w:space="0" w:color="auto"/>
            </w:tcBorders>
            <w:shd w:val="clear" w:color="auto" w:fill="C6EFCE"/>
            <w:noWrap/>
          </w:tcPr>
          <w:p w14:paraId="428715F9" w14:textId="7B4BBBF1" w:rsidR="00EB245A" w:rsidRDefault="006021EE">
            <w:pPr>
              <w:pStyle w:val="P68B1DB1-Normal26"/>
              <w:spacing w:after="0" w:line="240" w:lineRule="auto"/>
              <w:rPr>
                <w:noProof/>
              </w:rPr>
            </w:pPr>
            <w:r>
              <w:rPr>
                <w:noProof/>
              </w:rPr>
              <w:t>G1.1.3 Energiespeichersysteme (nicht rückzahlbare Unterstützung)</w:t>
            </w:r>
          </w:p>
        </w:tc>
        <w:tc>
          <w:tcPr>
            <w:tcW w:w="1158" w:type="dxa"/>
            <w:tcBorders>
              <w:top w:val="nil"/>
              <w:left w:val="nil"/>
              <w:bottom w:val="single" w:sz="4" w:space="0" w:color="auto"/>
              <w:right w:val="single" w:sz="4" w:space="0" w:color="auto"/>
            </w:tcBorders>
            <w:shd w:val="clear" w:color="auto" w:fill="C6EFCE"/>
            <w:noWrap/>
          </w:tcPr>
          <w:p w14:paraId="5362D5A3" w14:textId="77777777" w:rsidR="00EB245A" w:rsidRDefault="006021EE">
            <w:pPr>
              <w:pStyle w:val="P68B1DB1-Normal26"/>
              <w:spacing w:after="0" w:line="240" w:lineRule="auto"/>
              <w:rPr>
                <w:rFonts w:eastAsia="Times New Roman" w:cs="Times New Roman"/>
                <w:noProof/>
              </w:rPr>
            </w:pPr>
            <w:r>
              <w:rPr>
                <w:noProof/>
              </w:rPr>
              <w:t>Meilenstein</w:t>
            </w:r>
          </w:p>
        </w:tc>
        <w:tc>
          <w:tcPr>
            <w:tcW w:w="1790" w:type="dxa"/>
            <w:tcBorders>
              <w:top w:val="nil"/>
              <w:left w:val="nil"/>
              <w:bottom w:val="single" w:sz="4" w:space="0" w:color="auto"/>
              <w:right w:val="single" w:sz="4" w:space="0" w:color="auto"/>
            </w:tcBorders>
            <w:shd w:val="clear" w:color="auto" w:fill="C6EFCE"/>
            <w:noWrap/>
          </w:tcPr>
          <w:p w14:paraId="11AAA270" w14:textId="6122DD42" w:rsidR="00EB245A" w:rsidRDefault="006021EE">
            <w:pPr>
              <w:pStyle w:val="P68B1DB1-Normal26"/>
              <w:spacing w:after="0" w:line="240" w:lineRule="auto"/>
              <w:rPr>
                <w:noProof/>
              </w:rPr>
            </w:pPr>
            <w:r>
              <w:rPr>
                <w:noProof/>
              </w:rPr>
              <w:t>Einführung eines Batterie-Energiespeichersystems (BESS)</w:t>
            </w:r>
          </w:p>
        </w:tc>
        <w:tc>
          <w:tcPr>
            <w:tcW w:w="1896" w:type="dxa"/>
            <w:tcBorders>
              <w:top w:val="single" w:sz="4" w:space="0" w:color="auto"/>
              <w:left w:val="nil"/>
              <w:bottom w:val="single" w:sz="4" w:space="0" w:color="auto"/>
              <w:right w:val="single" w:sz="4" w:space="0" w:color="auto"/>
            </w:tcBorders>
            <w:shd w:val="clear" w:color="auto" w:fill="C6EFCE"/>
            <w:noWrap/>
          </w:tcPr>
          <w:p w14:paraId="5A265C75" w14:textId="5C2EFE4A" w:rsidR="00EB245A" w:rsidRDefault="006021EE">
            <w:pPr>
              <w:pStyle w:val="P68B1DB1-Normal26"/>
              <w:spacing w:after="0" w:line="240" w:lineRule="auto"/>
              <w:rPr>
                <w:noProof/>
              </w:rPr>
            </w:pPr>
            <w:r>
              <w:rPr>
                <w:noProof/>
              </w:rPr>
              <w:t>Inbetriebnahme eines Batterie-Energiespeichersystems (BESS)</w:t>
            </w:r>
          </w:p>
        </w:tc>
        <w:tc>
          <w:tcPr>
            <w:tcW w:w="1134" w:type="dxa"/>
            <w:tcBorders>
              <w:top w:val="nil"/>
              <w:left w:val="nil"/>
              <w:bottom w:val="single" w:sz="4" w:space="0" w:color="auto"/>
              <w:right w:val="single" w:sz="4" w:space="0" w:color="auto"/>
            </w:tcBorders>
            <w:shd w:val="clear" w:color="auto" w:fill="C6EFCE"/>
            <w:noWrap/>
          </w:tcPr>
          <w:p w14:paraId="00E1C4F5" w14:textId="6D4F756D" w:rsidR="00EB245A" w:rsidRDefault="00EB245A">
            <w:pPr>
              <w:spacing w:after="0" w:line="240" w:lineRule="auto"/>
              <w:rPr>
                <w:rFonts w:ascii="Times New Roman" w:eastAsia="Times New Roman" w:hAnsi="Times New Roman" w:cs="Times New Roman"/>
                <w:noProof/>
                <w:sz w:val="18"/>
              </w:rPr>
            </w:pPr>
          </w:p>
          <w:p w14:paraId="0CB5D012" w14:textId="5BDBDF40" w:rsidR="00EB245A" w:rsidRDefault="00EB245A">
            <w:pPr>
              <w:spacing w:after="0" w:line="240" w:lineRule="auto"/>
              <w:rPr>
                <w:rFonts w:ascii="Times New Roman" w:eastAsia="Times New Roman" w:hAnsi="Times New Roman" w:cs="Times New Roman"/>
                <w:noProof/>
                <w:sz w:val="18"/>
              </w:rPr>
            </w:pPr>
          </w:p>
        </w:tc>
        <w:tc>
          <w:tcPr>
            <w:tcW w:w="1275" w:type="dxa"/>
            <w:tcBorders>
              <w:top w:val="nil"/>
              <w:left w:val="nil"/>
              <w:bottom w:val="single" w:sz="4" w:space="0" w:color="auto"/>
              <w:right w:val="single" w:sz="4" w:space="0" w:color="auto"/>
            </w:tcBorders>
            <w:shd w:val="clear" w:color="auto" w:fill="C6EFCE"/>
            <w:noWrap/>
          </w:tcPr>
          <w:p w14:paraId="35FBF4AB" w14:textId="77777777" w:rsidR="00EB245A" w:rsidRDefault="00EB245A">
            <w:pPr>
              <w:spacing w:after="0" w:line="240" w:lineRule="auto"/>
              <w:jc w:val="center"/>
              <w:rPr>
                <w:rFonts w:ascii="Times New Roman" w:eastAsia="Times New Roman" w:hAnsi="Times New Roman" w:cs="Times New Roman"/>
                <w:noProof/>
                <w:sz w:val="18"/>
              </w:rPr>
            </w:pPr>
          </w:p>
        </w:tc>
        <w:tc>
          <w:tcPr>
            <w:tcW w:w="709" w:type="dxa"/>
            <w:tcBorders>
              <w:top w:val="nil"/>
              <w:left w:val="nil"/>
              <w:bottom w:val="single" w:sz="4" w:space="0" w:color="auto"/>
              <w:right w:val="single" w:sz="4" w:space="0" w:color="auto"/>
            </w:tcBorders>
            <w:shd w:val="clear" w:color="auto" w:fill="C6EFCE"/>
            <w:noWrap/>
          </w:tcPr>
          <w:p w14:paraId="1DE60B75" w14:textId="77777777" w:rsidR="00EB245A" w:rsidRDefault="00EB245A">
            <w:pPr>
              <w:spacing w:after="0" w:line="240" w:lineRule="auto"/>
              <w:jc w:val="center"/>
              <w:rPr>
                <w:rFonts w:ascii="Times New Roman" w:eastAsia="Times New Roman" w:hAnsi="Times New Roman" w:cs="Times New Roman"/>
                <w:noProof/>
                <w:sz w:val="18"/>
              </w:rPr>
            </w:pPr>
          </w:p>
        </w:tc>
        <w:tc>
          <w:tcPr>
            <w:tcW w:w="851" w:type="dxa"/>
            <w:tcBorders>
              <w:top w:val="nil"/>
              <w:left w:val="nil"/>
              <w:bottom w:val="single" w:sz="4" w:space="0" w:color="auto"/>
              <w:right w:val="single" w:sz="4" w:space="0" w:color="auto"/>
            </w:tcBorders>
            <w:shd w:val="clear" w:color="auto" w:fill="C6EFCE"/>
            <w:noWrap/>
          </w:tcPr>
          <w:p w14:paraId="1D5237FC" w14:textId="77777777" w:rsidR="00EB245A" w:rsidRDefault="006021EE">
            <w:pPr>
              <w:pStyle w:val="P68B1DB1-Normal26"/>
              <w:spacing w:after="0" w:line="240" w:lineRule="auto"/>
              <w:jc w:val="center"/>
              <w:rPr>
                <w:rFonts w:eastAsia="Times New Roman" w:cs="Times New Roman"/>
                <w:noProof/>
              </w:rPr>
            </w:pPr>
            <w:r>
              <w:rPr>
                <w:noProof/>
              </w:rPr>
              <w:t>Q2</w:t>
            </w:r>
          </w:p>
        </w:tc>
        <w:tc>
          <w:tcPr>
            <w:tcW w:w="992" w:type="dxa"/>
            <w:tcBorders>
              <w:top w:val="nil"/>
              <w:left w:val="nil"/>
              <w:bottom w:val="single" w:sz="4" w:space="0" w:color="auto"/>
              <w:right w:val="single" w:sz="4" w:space="0" w:color="auto"/>
            </w:tcBorders>
            <w:shd w:val="clear" w:color="auto" w:fill="C6EFCE"/>
            <w:noWrap/>
          </w:tcPr>
          <w:p w14:paraId="763A8607" w14:textId="77777777" w:rsidR="00EB245A" w:rsidRDefault="006021EE">
            <w:pPr>
              <w:pStyle w:val="P68B1DB1-Normal26"/>
              <w:spacing w:after="0" w:line="240" w:lineRule="auto"/>
              <w:jc w:val="center"/>
              <w:rPr>
                <w:rFonts w:eastAsia="Times New Roman" w:cs="Times New Roman"/>
                <w:noProof/>
              </w:rPr>
            </w:pPr>
            <w:r>
              <w:rPr>
                <w:noProof/>
              </w:rPr>
              <w:t>2026</w:t>
            </w:r>
          </w:p>
        </w:tc>
        <w:tc>
          <w:tcPr>
            <w:tcW w:w="3118" w:type="dxa"/>
            <w:tcBorders>
              <w:top w:val="nil"/>
              <w:left w:val="nil"/>
              <w:bottom w:val="single" w:sz="4" w:space="0" w:color="auto"/>
              <w:right w:val="single" w:sz="4" w:space="0" w:color="auto"/>
            </w:tcBorders>
            <w:shd w:val="clear" w:color="auto" w:fill="C6EFCE"/>
            <w:noWrap/>
          </w:tcPr>
          <w:p w14:paraId="3E349F52" w14:textId="56F38CCB" w:rsidR="00EB245A" w:rsidRDefault="006021EE">
            <w:pPr>
              <w:pStyle w:val="P68B1DB1-Normal26"/>
              <w:spacing w:after="0" w:line="240" w:lineRule="auto"/>
              <w:rPr>
                <w:rFonts w:eastAsia="Times New Roman" w:cs="Times New Roman"/>
                <w:noProof/>
              </w:rPr>
            </w:pPr>
            <w:r>
              <w:rPr>
                <w:noProof/>
              </w:rPr>
              <w:t>Inbetriebnahme eines groß angelegten Batterie-Energiespeichersystems (BESS) mit einer Betriebsdauer von 0,9 GWhand zwischen 4 und 5 Stunden.  Diese neuen Speicherkapazitäten werden vol</w:t>
            </w:r>
            <w:r>
              <w:rPr>
                <w:noProof/>
              </w:rPr>
              <w:t>lständig in das Stromnetz integriert.</w:t>
            </w:r>
          </w:p>
        </w:tc>
      </w:tr>
      <w:tr w:rsidR="00EB245A" w14:paraId="731F174C" w14:textId="77777777" w:rsidTr="00B15262">
        <w:trPr>
          <w:trHeight w:val="309"/>
          <w:jc w:val="center"/>
        </w:trPr>
        <w:tc>
          <w:tcPr>
            <w:tcW w:w="988" w:type="dxa"/>
            <w:tcBorders>
              <w:top w:val="nil"/>
              <w:left w:val="single" w:sz="4" w:space="0" w:color="auto"/>
              <w:bottom w:val="single" w:sz="4" w:space="0" w:color="auto"/>
              <w:right w:val="single" w:sz="4" w:space="0" w:color="auto"/>
            </w:tcBorders>
            <w:shd w:val="clear" w:color="auto" w:fill="C6EFCE"/>
            <w:noWrap/>
          </w:tcPr>
          <w:p w14:paraId="313315B1" w14:textId="586D227C" w:rsidR="00EB245A" w:rsidRDefault="006021EE">
            <w:pPr>
              <w:pStyle w:val="P68B1DB1-Normal26"/>
              <w:spacing w:after="0" w:line="240" w:lineRule="auto"/>
              <w:jc w:val="center"/>
              <w:rPr>
                <w:rFonts w:eastAsia="Times New Roman" w:cs="Times New Roman"/>
                <w:noProof/>
              </w:rPr>
            </w:pPr>
            <w:r>
              <w:rPr>
                <w:noProof/>
              </w:rPr>
              <w:t>G7G</w:t>
            </w:r>
          </w:p>
        </w:tc>
        <w:tc>
          <w:tcPr>
            <w:tcW w:w="1393" w:type="dxa"/>
            <w:tcBorders>
              <w:top w:val="nil"/>
              <w:left w:val="nil"/>
              <w:bottom w:val="single" w:sz="4" w:space="0" w:color="auto"/>
              <w:right w:val="single" w:sz="4" w:space="0" w:color="auto"/>
            </w:tcBorders>
            <w:shd w:val="clear" w:color="auto" w:fill="C6EFCE"/>
            <w:noWrap/>
          </w:tcPr>
          <w:p w14:paraId="0FD3E4BF" w14:textId="14B72FDA" w:rsidR="00EB245A" w:rsidRDefault="006021EE">
            <w:pPr>
              <w:pStyle w:val="P68B1DB1-Normal26"/>
              <w:spacing w:after="0" w:line="240" w:lineRule="auto"/>
              <w:rPr>
                <w:rFonts w:eastAsia="Times New Roman" w:cs="Times New Roman"/>
                <w:noProof/>
              </w:rPr>
            </w:pPr>
            <w:r>
              <w:rPr>
                <w:noProof/>
              </w:rPr>
              <w:t>G1.1.4 Unterstützung von Institutionen, die REPowerEU-Reformen und -Investitionen umsetzen</w:t>
            </w:r>
          </w:p>
        </w:tc>
        <w:tc>
          <w:tcPr>
            <w:tcW w:w="1158" w:type="dxa"/>
            <w:tcBorders>
              <w:top w:val="nil"/>
              <w:left w:val="nil"/>
              <w:bottom w:val="single" w:sz="4" w:space="0" w:color="auto"/>
              <w:right w:val="single" w:sz="4" w:space="0" w:color="auto"/>
            </w:tcBorders>
            <w:shd w:val="clear" w:color="auto" w:fill="C6EFCE"/>
            <w:noWrap/>
          </w:tcPr>
          <w:p w14:paraId="4EFB24C4" w14:textId="77777777" w:rsidR="00EB245A" w:rsidRDefault="006021EE">
            <w:pPr>
              <w:pStyle w:val="P68B1DB1-Normal26"/>
              <w:spacing w:after="0" w:line="240" w:lineRule="auto"/>
              <w:rPr>
                <w:rFonts w:eastAsia="Times New Roman" w:cs="Times New Roman"/>
                <w:noProof/>
              </w:rPr>
            </w:pPr>
            <w:r>
              <w:rPr>
                <w:noProof/>
              </w:rPr>
              <w:t>Ziel</w:t>
            </w:r>
          </w:p>
        </w:tc>
        <w:tc>
          <w:tcPr>
            <w:tcW w:w="1790" w:type="dxa"/>
            <w:tcBorders>
              <w:top w:val="nil"/>
              <w:left w:val="nil"/>
              <w:bottom w:val="single" w:sz="4" w:space="0" w:color="auto"/>
              <w:right w:val="single" w:sz="4" w:space="0" w:color="auto"/>
            </w:tcBorders>
            <w:shd w:val="clear" w:color="auto" w:fill="C6EFCE"/>
            <w:noWrap/>
          </w:tcPr>
          <w:p w14:paraId="13BE4195" w14:textId="52B37BEF" w:rsidR="00EB245A" w:rsidRDefault="006021EE">
            <w:pPr>
              <w:pStyle w:val="P68B1DB1-Normal26"/>
              <w:spacing w:after="0" w:line="240" w:lineRule="auto"/>
              <w:rPr>
                <w:rFonts w:eastAsia="Times New Roman" w:cs="Times New Roman"/>
                <w:noProof/>
              </w:rPr>
            </w:pPr>
            <w:r>
              <w:rPr>
                <w:noProof/>
              </w:rPr>
              <w:t>Ausbau der Verwaltungskapazität für die Umsetzung von REPowerEU-Reformen und -Investitionen</w:t>
            </w:r>
          </w:p>
        </w:tc>
        <w:tc>
          <w:tcPr>
            <w:tcW w:w="1896" w:type="dxa"/>
            <w:tcBorders>
              <w:top w:val="nil"/>
              <w:left w:val="nil"/>
              <w:bottom w:val="single" w:sz="4" w:space="0" w:color="auto"/>
              <w:right w:val="single" w:sz="4" w:space="0" w:color="auto"/>
            </w:tcBorders>
            <w:shd w:val="clear" w:color="auto" w:fill="C6EFCE"/>
            <w:noWrap/>
          </w:tcPr>
          <w:p w14:paraId="04E6A475" w14:textId="4190C6DA" w:rsidR="00EB245A" w:rsidRDefault="00EB245A">
            <w:pPr>
              <w:spacing w:after="0" w:line="240" w:lineRule="auto"/>
              <w:rPr>
                <w:rFonts w:ascii="Times New Roman" w:hAnsi="Times New Roman"/>
                <w:noProof/>
                <w:sz w:val="18"/>
              </w:rPr>
            </w:pPr>
          </w:p>
        </w:tc>
        <w:tc>
          <w:tcPr>
            <w:tcW w:w="1134" w:type="dxa"/>
            <w:tcBorders>
              <w:top w:val="nil"/>
              <w:left w:val="nil"/>
              <w:bottom w:val="single" w:sz="4" w:space="0" w:color="auto"/>
              <w:right w:val="single" w:sz="4" w:space="0" w:color="auto"/>
            </w:tcBorders>
            <w:shd w:val="clear" w:color="auto" w:fill="C6EFCE"/>
            <w:noWrap/>
          </w:tcPr>
          <w:p w14:paraId="1F3FE03E" w14:textId="77777777" w:rsidR="00EB245A" w:rsidRDefault="006021EE">
            <w:pPr>
              <w:pStyle w:val="P68B1DB1-Normal26"/>
              <w:spacing w:after="0" w:line="240" w:lineRule="auto"/>
              <w:rPr>
                <w:rFonts w:eastAsia="Times New Roman" w:cs="Times New Roman"/>
                <w:noProof/>
              </w:rPr>
            </w:pPr>
            <w:r>
              <w:rPr>
                <w:noProof/>
              </w:rPr>
              <w:t>Anzahl</w:t>
            </w:r>
          </w:p>
        </w:tc>
        <w:tc>
          <w:tcPr>
            <w:tcW w:w="1275" w:type="dxa"/>
            <w:tcBorders>
              <w:top w:val="nil"/>
              <w:left w:val="nil"/>
              <w:bottom w:val="single" w:sz="4" w:space="0" w:color="auto"/>
              <w:right w:val="single" w:sz="4" w:space="0" w:color="auto"/>
            </w:tcBorders>
            <w:shd w:val="clear" w:color="auto" w:fill="C6EFCE"/>
            <w:noWrap/>
          </w:tcPr>
          <w:p w14:paraId="708A65CA" w14:textId="77777777" w:rsidR="00EB245A" w:rsidRDefault="006021EE">
            <w:pPr>
              <w:pStyle w:val="P68B1DB1-Normal26"/>
              <w:spacing w:after="0" w:line="240" w:lineRule="auto"/>
              <w:jc w:val="center"/>
              <w:rPr>
                <w:rFonts w:eastAsia="Times New Roman" w:cs="Times New Roman"/>
                <w:noProof/>
              </w:rPr>
            </w:pPr>
            <w:r>
              <w:rPr>
                <w:noProof/>
              </w:rPr>
              <w:t>0</w:t>
            </w:r>
          </w:p>
        </w:tc>
        <w:tc>
          <w:tcPr>
            <w:tcW w:w="709" w:type="dxa"/>
            <w:tcBorders>
              <w:top w:val="nil"/>
              <w:left w:val="nil"/>
              <w:bottom w:val="single" w:sz="4" w:space="0" w:color="auto"/>
              <w:right w:val="single" w:sz="4" w:space="0" w:color="auto"/>
            </w:tcBorders>
            <w:shd w:val="clear" w:color="auto" w:fill="C6EFCE"/>
            <w:noWrap/>
          </w:tcPr>
          <w:p w14:paraId="086FEA3A" w14:textId="77777777" w:rsidR="00EB245A" w:rsidRDefault="006021EE">
            <w:pPr>
              <w:pStyle w:val="P68B1DB1-Normal26"/>
              <w:spacing w:after="0" w:line="240" w:lineRule="auto"/>
              <w:jc w:val="center"/>
              <w:rPr>
                <w:rFonts w:eastAsia="Times New Roman" w:cs="Times New Roman"/>
                <w:noProof/>
              </w:rPr>
            </w:pPr>
            <w:r>
              <w:rPr>
                <w:noProof/>
              </w:rPr>
              <w:t>106</w:t>
            </w:r>
          </w:p>
        </w:tc>
        <w:tc>
          <w:tcPr>
            <w:tcW w:w="851" w:type="dxa"/>
            <w:tcBorders>
              <w:top w:val="nil"/>
              <w:left w:val="nil"/>
              <w:bottom w:val="single" w:sz="4" w:space="0" w:color="auto"/>
              <w:right w:val="single" w:sz="4" w:space="0" w:color="auto"/>
            </w:tcBorders>
            <w:shd w:val="clear" w:color="auto" w:fill="C6EFCE"/>
            <w:noWrap/>
          </w:tcPr>
          <w:p w14:paraId="48795FA7" w14:textId="7C3BBCB3" w:rsidR="00EB245A" w:rsidRDefault="006021EE">
            <w:pPr>
              <w:pStyle w:val="P68B1DB1-Normal26"/>
              <w:spacing w:after="0" w:line="240" w:lineRule="auto"/>
              <w:jc w:val="center"/>
              <w:rPr>
                <w:rFonts w:eastAsia="Times New Roman" w:cs="Times New Roman"/>
                <w:noProof/>
              </w:rPr>
            </w:pPr>
            <w:r>
              <w:rPr>
                <w:noProof/>
              </w:rPr>
              <w:t>Q4</w:t>
            </w:r>
          </w:p>
        </w:tc>
        <w:tc>
          <w:tcPr>
            <w:tcW w:w="992" w:type="dxa"/>
            <w:tcBorders>
              <w:top w:val="nil"/>
              <w:left w:val="nil"/>
              <w:bottom w:val="single" w:sz="4" w:space="0" w:color="auto"/>
              <w:right w:val="single" w:sz="4" w:space="0" w:color="auto"/>
            </w:tcBorders>
            <w:shd w:val="clear" w:color="auto" w:fill="C6EFCE"/>
            <w:noWrap/>
          </w:tcPr>
          <w:p w14:paraId="7357666D" w14:textId="77777777" w:rsidR="00EB245A" w:rsidRDefault="006021EE">
            <w:pPr>
              <w:pStyle w:val="P68B1DB1-Normal26"/>
              <w:spacing w:after="0" w:line="240" w:lineRule="auto"/>
              <w:jc w:val="center"/>
              <w:rPr>
                <w:rFonts w:eastAsia="Times New Roman" w:cs="Times New Roman"/>
                <w:noProof/>
              </w:rPr>
            </w:pPr>
            <w:r>
              <w:rPr>
                <w:noProof/>
              </w:rPr>
              <w:t>2024</w:t>
            </w:r>
          </w:p>
        </w:tc>
        <w:tc>
          <w:tcPr>
            <w:tcW w:w="3118" w:type="dxa"/>
            <w:tcBorders>
              <w:top w:val="nil"/>
              <w:left w:val="nil"/>
              <w:bottom w:val="single" w:sz="4" w:space="0" w:color="auto"/>
              <w:right w:val="single" w:sz="4" w:space="0" w:color="auto"/>
            </w:tcBorders>
            <w:shd w:val="clear" w:color="auto" w:fill="C6EFCE"/>
            <w:noWrap/>
          </w:tcPr>
          <w:p w14:paraId="0FFDDA27" w14:textId="3203D572" w:rsidR="00EB245A" w:rsidRDefault="006021EE">
            <w:pPr>
              <w:pStyle w:val="P68B1DB1-Normal26"/>
              <w:spacing w:after="0" w:line="240" w:lineRule="auto"/>
              <w:jc w:val="both"/>
              <w:rPr>
                <w:rFonts w:cs="Times New Roman"/>
                <w:noProof/>
                <w:color w:val="000000"/>
              </w:rPr>
            </w:pPr>
            <w:r>
              <w:rPr>
                <w:noProof/>
                <w:color w:val="000000" w:themeColor="text1"/>
              </w:rPr>
              <w:t xml:space="preserve">In der Zentralverwaltung werden mindestens 106 neue Vollzeitäquivalente für die Umsetzung der REPowerEU- </w:t>
            </w:r>
            <w:r>
              <w:rPr>
                <w:noProof/>
              </w:rPr>
              <w:t xml:space="preserve">Reformen und Investitionen eingesetzt, einschließlich der Digitalisierung der Genehmigungsverfahren für erneuerbare Energiequellen und </w:t>
            </w:r>
            <w:r>
              <w:rPr>
                <w:noProof/>
                <w:color w:val="000000" w:themeColor="text1"/>
              </w:rPr>
              <w:t>Stromnetze und/o</w:t>
            </w:r>
            <w:r>
              <w:rPr>
                <w:noProof/>
                <w:color w:val="000000" w:themeColor="text1"/>
              </w:rPr>
              <w:t xml:space="preserve">der für die Digitalisierung des Netzausbaus und des Prozesses des Anschlusses an die Stromnetze. </w:t>
            </w:r>
          </w:p>
          <w:p w14:paraId="6FDC57BE" w14:textId="5E028D0F" w:rsidR="00EB245A" w:rsidRDefault="00EB245A">
            <w:pPr>
              <w:spacing w:after="0" w:line="240" w:lineRule="auto"/>
              <w:jc w:val="both"/>
              <w:rPr>
                <w:rFonts w:ascii="Times New Roman" w:eastAsia="Times New Roman" w:hAnsi="Times New Roman" w:cs="Times New Roman"/>
                <w:noProof/>
                <w:sz w:val="18"/>
              </w:rPr>
            </w:pPr>
          </w:p>
        </w:tc>
      </w:tr>
      <w:tr w:rsidR="00EB245A" w14:paraId="51E04D2B" w14:textId="77777777" w:rsidTr="00B15262">
        <w:trPr>
          <w:trHeight w:val="309"/>
          <w:jc w:val="center"/>
        </w:trPr>
        <w:tc>
          <w:tcPr>
            <w:tcW w:w="988" w:type="dxa"/>
            <w:tcBorders>
              <w:top w:val="nil"/>
              <w:left w:val="single" w:sz="4" w:space="0" w:color="auto"/>
              <w:bottom w:val="single" w:sz="4" w:space="0" w:color="auto"/>
              <w:right w:val="single" w:sz="4" w:space="0" w:color="auto"/>
            </w:tcBorders>
            <w:shd w:val="clear" w:color="auto" w:fill="C6EFCE"/>
            <w:noWrap/>
          </w:tcPr>
          <w:p w14:paraId="0ACDA172" w14:textId="6DD0C79C" w:rsidR="00EB245A" w:rsidRDefault="006021EE">
            <w:pPr>
              <w:pStyle w:val="P68B1DB1-Normal26"/>
              <w:spacing w:after="0" w:line="240" w:lineRule="auto"/>
              <w:jc w:val="center"/>
              <w:rPr>
                <w:rFonts w:eastAsia="Times New Roman" w:cs="Times New Roman"/>
                <w:noProof/>
              </w:rPr>
            </w:pPr>
            <w:r>
              <w:rPr>
                <w:noProof/>
              </w:rPr>
              <w:t>G8G</w:t>
            </w:r>
          </w:p>
        </w:tc>
        <w:tc>
          <w:tcPr>
            <w:tcW w:w="1393" w:type="dxa"/>
            <w:tcBorders>
              <w:top w:val="nil"/>
              <w:left w:val="nil"/>
              <w:bottom w:val="single" w:sz="4" w:space="0" w:color="auto"/>
              <w:right w:val="single" w:sz="4" w:space="0" w:color="auto"/>
            </w:tcBorders>
            <w:shd w:val="clear" w:color="auto" w:fill="C6EFCE"/>
            <w:noWrap/>
          </w:tcPr>
          <w:p w14:paraId="0DB73602" w14:textId="3996EA9F" w:rsidR="00EB245A" w:rsidRDefault="006021EE">
            <w:pPr>
              <w:pStyle w:val="P68B1DB1-Normal26"/>
              <w:spacing w:after="0" w:line="240" w:lineRule="auto"/>
              <w:rPr>
                <w:rFonts w:eastAsia="Times New Roman" w:cs="Times New Roman"/>
                <w:noProof/>
              </w:rPr>
            </w:pPr>
            <w:r>
              <w:rPr>
                <w:noProof/>
              </w:rPr>
              <w:t>G1.1.4 Unterstützung von Institutionen, die Reformen und Investitionen im Rahmen von REPpowerEU umsetzen</w:t>
            </w:r>
          </w:p>
        </w:tc>
        <w:tc>
          <w:tcPr>
            <w:tcW w:w="1158" w:type="dxa"/>
            <w:tcBorders>
              <w:top w:val="nil"/>
              <w:left w:val="nil"/>
              <w:bottom w:val="single" w:sz="4" w:space="0" w:color="auto"/>
              <w:right w:val="single" w:sz="4" w:space="0" w:color="auto"/>
            </w:tcBorders>
            <w:shd w:val="clear" w:color="auto" w:fill="C6EFCE"/>
            <w:noWrap/>
          </w:tcPr>
          <w:p w14:paraId="489FA8EB" w14:textId="77777777" w:rsidR="00EB245A" w:rsidRDefault="006021EE">
            <w:pPr>
              <w:pStyle w:val="P68B1DB1-Normal26"/>
              <w:spacing w:after="0" w:line="240" w:lineRule="auto"/>
              <w:rPr>
                <w:rFonts w:eastAsia="Times New Roman" w:cs="Times New Roman"/>
                <w:noProof/>
              </w:rPr>
            </w:pPr>
            <w:r>
              <w:rPr>
                <w:noProof/>
              </w:rPr>
              <w:t>Ziel</w:t>
            </w:r>
          </w:p>
        </w:tc>
        <w:tc>
          <w:tcPr>
            <w:tcW w:w="1790" w:type="dxa"/>
            <w:tcBorders>
              <w:top w:val="nil"/>
              <w:left w:val="nil"/>
              <w:bottom w:val="single" w:sz="4" w:space="0" w:color="auto"/>
              <w:right w:val="single" w:sz="4" w:space="0" w:color="auto"/>
            </w:tcBorders>
            <w:shd w:val="clear" w:color="auto" w:fill="C6EFCE"/>
            <w:noWrap/>
          </w:tcPr>
          <w:p w14:paraId="30201012" w14:textId="73250B5A" w:rsidR="00EB245A" w:rsidRDefault="006021EE">
            <w:pPr>
              <w:pStyle w:val="P68B1DB1-Normal26"/>
              <w:spacing w:after="0" w:line="240" w:lineRule="auto"/>
              <w:rPr>
                <w:rFonts w:eastAsia="Times New Roman" w:cs="Times New Roman"/>
                <w:noProof/>
              </w:rPr>
            </w:pPr>
            <w:r>
              <w:rPr>
                <w:noProof/>
              </w:rPr>
              <w:t xml:space="preserve">Projekte zum Kapazitätsaufbau zur </w:t>
            </w:r>
            <w:r>
              <w:rPr>
                <w:noProof/>
              </w:rPr>
              <w:t>Unterstützung der Umsetzung von REPowerEU-Reformen und -Investitionen für die zentrale und lokale Verwaltung</w:t>
            </w:r>
          </w:p>
        </w:tc>
        <w:tc>
          <w:tcPr>
            <w:tcW w:w="1896" w:type="dxa"/>
            <w:tcBorders>
              <w:top w:val="nil"/>
              <w:left w:val="nil"/>
              <w:bottom w:val="single" w:sz="4" w:space="0" w:color="auto"/>
              <w:right w:val="single" w:sz="4" w:space="0" w:color="auto"/>
            </w:tcBorders>
            <w:shd w:val="clear" w:color="auto" w:fill="C6EFCE"/>
            <w:noWrap/>
          </w:tcPr>
          <w:p w14:paraId="59154E11" w14:textId="77777777" w:rsidR="00EB245A" w:rsidRDefault="00EB245A">
            <w:pPr>
              <w:spacing w:after="0" w:line="240" w:lineRule="auto"/>
              <w:rPr>
                <w:rFonts w:ascii="Times New Roman" w:eastAsia="Times New Roman" w:hAnsi="Times New Roman" w:cs="Times New Roman"/>
                <w:noProof/>
                <w:sz w:val="18"/>
              </w:rPr>
            </w:pPr>
          </w:p>
        </w:tc>
        <w:tc>
          <w:tcPr>
            <w:tcW w:w="1134" w:type="dxa"/>
            <w:tcBorders>
              <w:top w:val="nil"/>
              <w:left w:val="nil"/>
              <w:bottom w:val="single" w:sz="4" w:space="0" w:color="auto"/>
              <w:right w:val="single" w:sz="4" w:space="0" w:color="auto"/>
            </w:tcBorders>
            <w:shd w:val="clear" w:color="auto" w:fill="C6EFCE"/>
            <w:noWrap/>
          </w:tcPr>
          <w:p w14:paraId="2160BF9D" w14:textId="77777777" w:rsidR="00EB245A" w:rsidRDefault="006021EE">
            <w:pPr>
              <w:pStyle w:val="P68B1DB1-Normal26"/>
              <w:spacing w:after="0" w:line="240" w:lineRule="auto"/>
              <w:rPr>
                <w:rFonts w:eastAsia="Times New Roman" w:cs="Times New Roman"/>
                <w:noProof/>
              </w:rPr>
            </w:pPr>
            <w:r>
              <w:rPr>
                <w:noProof/>
              </w:rPr>
              <w:t>Anzahl</w:t>
            </w:r>
          </w:p>
        </w:tc>
        <w:tc>
          <w:tcPr>
            <w:tcW w:w="1275" w:type="dxa"/>
            <w:tcBorders>
              <w:top w:val="nil"/>
              <w:left w:val="nil"/>
              <w:bottom w:val="single" w:sz="4" w:space="0" w:color="auto"/>
              <w:right w:val="single" w:sz="4" w:space="0" w:color="auto"/>
            </w:tcBorders>
            <w:shd w:val="clear" w:color="auto" w:fill="C6EFCE"/>
            <w:noWrap/>
          </w:tcPr>
          <w:p w14:paraId="17A3B0EC" w14:textId="77777777" w:rsidR="00EB245A" w:rsidRDefault="006021EE">
            <w:pPr>
              <w:pStyle w:val="P68B1DB1-Normal26"/>
              <w:spacing w:after="0" w:line="240" w:lineRule="auto"/>
              <w:jc w:val="center"/>
              <w:rPr>
                <w:rFonts w:eastAsia="Times New Roman" w:cs="Times New Roman"/>
                <w:noProof/>
              </w:rPr>
            </w:pPr>
            <w:r>
              <w:rPr>
                <w:noProof/>
              </w:rPr>
              <w:t>0</w:t>
            </w:r>
          </w:p>
        </w:tc>
        <w:tc>
          <w:tcPr>
            <w:tcW w:w="709" w:type="dxa"/>
            <w:tcBorders>
              <w:top w:val="nil"/>
              <w:left w:val="nil"/>
              <w:bottom w:val="single" w:sz="4" w:space="0" w:color="auto"/>
              <w:right w:val="single" w:sz="4" w:space="0" w:color="auto"/>
            </w:tcBorders>
            <w:shd w:val="clear" w:color="auto" w:fill="C6EFCE"/>
            <w:noWrap/>
          </w:tcPr>
          <w:p w14:paraId="7DC6FAC3" w14:textId="77777777" w:rsidR="00EB245A" w:rsidRDefault="006021EE">
            <w:pPr>
              <w:pStyle w:val="P68B1DB1-Normal26"/>
              <w:spacing w:after="0" w:line="240" w:lineRule="auto"/>
              <w:jc w:val="center"/>
              <w:rPr>
                <w:rFonts w:eastAsia="Times New Roman" w:cs="Times New Roman"/>
                <w:noProof/>
              </w:rPr>
            </w:pPr>
            <w:r>
              <w:rPr>
                <w:noProof/>
              </w:rPr>
              <w:t>107</w:t>
            </w:r>
          </w:p>
        </w:tc>
        <w:tc>
          <w:tcPr>
            <w:tcW w:w="851" w:type="dxa"/>
            <w:tcBorders>
              <w:top w:val="nil"/>
              <w:left w:val="nil"/>
              <w:bottom w:val="single" w:sz="4" w:space="0" w:color="auto"/>
              <w:right w:val="single" w:sz="4" w:space="0" w:color="auto"/>
            </w:tcBorders>
            <w:shd w:val="clear" w:color="auto" w:fill="C6EFCE"/>
            <w:noWrap/>
          </w:tcPr>
          <w:p w14:paraId="558F1169" w14:textId="77777777" w:rsidR="00EB245A" w:rsidRDefault="006021EE">
            <w:pPr>
              <w:pStyle w:val="P68B1DB1-Normal26"/>
              <w:spacing w:after="0" w:line="240" w:lineRule="auto"/>
              <w:jc w:val="center"/>
              <w:rPr>
                <w:rFonts w:eastAsia="Times New Roman" w:cs="Times New Roman"/>
                <w:noProof/>
              </w:rPr>
            </w:pPr>
            <w:r>
              <w:rPr>
                <w:noProof/>
              </w:rPr>
              <w:t>Q2</w:t>
            </w:r>
          </w:p>
        </w:tc>
        <w:tc>
          <w:tcPr>
            <w:tcW w:w="992" w:type="dxa"/>
            <w:tcBorders>
              <w:top w:val="nil"/>
              <w:left w:val="nil"/>
              <w:bottom w:val="single" w:sz="4" w:space="0" w:color="auto"/>
              <w:right w:val="single" w:sz="4" w:space="0" w:color="auto"/>
            </w:tcBorders>
            <w:shd w:val="clear" w:color="auto" w:fill="C6EFCE"/>
            <w:noWrap/>
          </w:tcPr>
          <w:p w14:paraId="6C9BCBAC" w14:textId="77777777" w:rsidR="00EB245A" w:rsidRDefault="006021EE">
            <w:pPr>
              <w:pStyle w:val="P68B1DB1-Normal26"/>
              <w:spacing w:after="0" w:line="240" w:lineRule="auto"/>
              <w:jc w:val="center"/>
              <w:rPr>
                <w:rFonts w:eastAsia="Times New Roman" w:cs="Times New Roman"/>
                <w:noProof/>
              </w:rPr>
            </w:pPr>
            <w:r>
              <w:rPr>
                <w:noProof/>
              </w:rPr>
              <w:t>2025</w:t>
            </w:r>
          </w:p>
        </w:tc>
        <w:tc>
          <w:tcPr>
            <w:tcW w:w="3118" w:type="dxa"/>
            <w:tcBorders>
              <w:top w:val="nil"/>
              <w:left w:val="nil"/>
              <w:bottom w:val="single" w:sz="4" w:space="0" w:color="auto"/>
              <w:right w:val="single" w:sz="4" w:space="0" w:color="auto"/>
            </w:tcBorders>
            <w:shd w:val="clear" w:color="auto" w:fill="C6EFCE"/>
            <w:noWrap/>
          </w:tcPr>
          <w:p w14:paraId="2FE18038" w14:textId="7D86A055" w:rsidR="00EB245A" w:rsidRDefault="006021EE">
            <w:pPr>
              <w:pStyle w:val="P68B1DB1-Normal26"/>
              <w:spacing w:after="0" w:line="240" w:lineRule="auto"/>
              <w:rPr>
                <w:rFonts w:eastAsia="Times New Roman" w:cs="Times New Roman"/>
                <w:noProof/>
              </w:rPr>
            </w:pPr>
            <w:r>
              <w:rPr>
                <w:noProof/>
              </w:rPr>
              <w:t>Mindestens 107 Einrichtungen, die Projekte zum Kapazitätsaufbau zur Unterstützung der Umsetzung von REPowerEU-Reformen und -I</w:t>
            </w:r>
            <w:r>
              <w:rPr>
                <w:noProof/>
              </w:rPr>
              <w:t xml:space="preserve">nvestitionen durchführen, werden unterstützt. Die Einrichtungen führen Projekte wie Schulungen, Studienbesuche, IT-Tools, Analysen und Studien sowie Unterstützung durch externe Sachverständige für die zentrale und lokale Verwaltung durch. </w:t>
            </w:r>
          </w:p>
          <w:p w14:paraId="7900AC32" w14:textId="77777777" w:rsidR="00EB245A" w:rsidRDefault="006021EE">
            <w:pPr>
              <w:pStyle w:val="P68B1DB1-Normal26"/>
              <w:spacing w:after="0" w:line="240" w:lineRule="auto"/>
              <w:rPr>
                <w:rFonts w:cs="Times New Roman"/>
                <w:noProof/>
              </w:rPr>
            </w:pPr>
            <w:r>
              <w:rPr>
                <w:noProof/>
              </w:rPr>
              <w:t xml:space="preserve"> </w:t>
            </w:r>
          </w:p>
          <w:p w14:paraId="29DB01C9" w14:textId="30C1D60A" w:rsidR="00EB245A" w:rsidRDefault="006021EE">
            <w:pPr>
              <w:pStyle w:val="P68B1DB1-Normal26"/>
              <w:spacing w:after="0" w:line="240" w:lineRule="auto"/>
              <w:rPr>
                <w:rFonts w:eastAsia="Times New Roman" w:cs="Times New Roman"/>
                <w:noProof/>
              </w:rPr>
            </w:pPr>
            <w:r>
              <w:rPr>
                <w:noProof/>
              </w:rPr>
              <w:t>Mindestens 100</w:t>
            </w:r>
            <w:r>
              <w:rPr>
                <w:noProof/>
              </w:rPr>
              <w:t xml:space="preserve"> von den Einrichtungen abgeschlossene Projekte müssen sich auf Genehmigungsverfahren für den Ausbau erneuerbarer Energiequellen und Verteilernetze konzentrieren.</w:t>
            </w:r>
          </w:p>
        </w:tc>
      </w:tr>
      <w:tr w:rsidR="00EB245A" w14:paraId="560B1DA4" w14:textId="77777777" w:rsidTr="00B15262">
        <w:trPr>
          <w:trHeight w:val="309"/>
          <w:jc w:val="center"/>
        </w:trPr>
        <w:tc>
          <w:tcPr>
            <w:tcW w:w="988" w:type="dxa"/>
            <w:tcBorders>
              <w:top w:val="nil"/>
              <w:left w:val="single" w:sz="4" w:space="0" w:color="auto"/>
              <w:bottom w:val="single" w:sz="4" w:space="0" w:color="auto"/>
              <w:right w:val="single" w:sz="4" w:space="0" w:color="auto"/>
            </w:tcBorders>
            <w:shd w:val="clear" w:color="auto" w:fill="C6EFCE"/>
            <w:noWrap/>
          </w:tcPr>
          <w:p w14:paraId="24FD3999" w14:textId="173D0C89" w:rsidR="00EB245A" w:rsidRDefault="006021EE">
            <w:pPr>
              <w:pStyle w:val="P68B1DB1-Normal26"/>
              <w:spacing w:after="0" w:line="240" w:lineRule="auto"/>
              <w:jc w:val="center"/>
              <w:rPr>
                <w:rFonts w:eastAsia="Times New Roman" w:cs="Times New Roman"/>
                <w:noProof/>
              </w:rPr>
            </w:pPr>
            <w:r>
              <w:rPr>
                <w:noProof/>
              </w:rPr>
              <w:t>G9G</w:t>
            </w:r>
          </w:p>
        </w:tc>
        <w:tc>
          <w:tcPr>
            <w:tcW w:w="1393" w:type="dxa"/>
            <w:tcBorders>
              <w:top w:val="nil"/>
              <w:left w:val="nil"/>
              <w:bottom w:val="single" w:sz="4" w:space="0" w:color="auto"/>
              <w:right w:val="single" w:sz="4" w:space="0" w:color="auto"/>
            </w:tcBorders>
            <w:shd w:val="clear" w:color="auto" w:fill="C6EFCE"/>
            <w:noWrap/>
          </w:tcPr>
          <w:p w14:paraId="2197674B" w14:textId="6DB39D3E" w:rsidR="00EB245A" w:rsidRDefault="006021EE">
            <w:pPr>
              <w:pStyle w:val="P68B1DB1-Normal26"/>
              <w:spacing w:after="0" w:line="240" w:lineRule="auto"/>
              <w:rPr>
                <w:rFonts w:eastAsia="Times New Roman" w:cs="Times New Roman"/>
                <w:noProof/>
              </w:rPr>
            </w:pPr>
            <w:r>
              <w:rPr>
                <w:noProof/>
              </w:rPr>
              <w:t xml:space="preserve">G1.1.4 Unterstützung von Institutionen, die REPowerEU-Reformen und -Investitionen </w:t>
            </w:r>
            <w:r>
              <w:rPr>
                <w:noProof/>
              </w:rPr>
              <w:t>umsetzen</w:t>
            </w:r>
          </w:p>
          <w:p w14:paraId="48627160" w14:textId="77777777" w:rsidR="00EB245A" w:rsidRDefault="00EB245A">
            <w:pPr>
              <w:spacing w:after="0" w:line="240" w:lineRule="auto"/>
              <w:rPr>
                <w:rFonts w:ascii="Times New Roman" w:eastAsia="Times New Roman" w:hAnsi="Times New Roman" w:cs="Times New Roman"/>
                <w:noProof/>
                <w:sz w:val="18"/>
              </w:rPr>
            </w:pPr>
          </w:p>
        </w:tc>
        <w:tc>
          <w:tcPr>
            <w:tcW w:w="1158" w:type="dxa"/>
            <w:tcBorders>
              <w:top w:val="nil"/>
              <w:left w:val="nil"/>
              <w:bottom w:val="single" w:sz="4" w:space="0" w:color="auto"/>
              <w:right w:val="single" w:sz="4" w:space="0" w:color="auto"/>
            </w:tcBorders>
            <w:shd w:val="clear" w:color="auto" w:fill="C6EFCE"/>
            <w:noWrap/>
          </w:tcPr>
          <w:p w14:paraId="03A45482" w14:textId="77777777" w:rsidR="00EB245A" w:rsidRDefault="006021EE">
            <w:pPr>
              <w:pStyle w:val="P68B1DB1-Normal26"/>
              <w:spacing w:after="0" w:line="240" w:lineRule="auto"/>
              <w:rPr>
                <w:rFonts w:eastAsia="Times New Roman" w:cs="Times New Roman"/>
                <w:noProof/>
              </w:rPr>
            </w:pPr>
            <w:r>
              <w:rPr>
                <w:noProof/>
              </w:rPr>
              <w:t xml:space="preserve">Ziel </w:t>
            </w:r>
          </w:p>
        </w:tc>
        <w:tc>
          <w:tcPr>
            <w:tcW w:w="1790" w:type="dxa"/>
            <w:tcBorders>
              <w:top w:val="nil"/>
              <w:left w:val="nil"/>
              <w:bottom w:val="single" w:sz="4" w:space="0" w:color="auto"/>
              <w:right w:val="single" w:sz="4" w:space="0" w:color="auto"/>
            </w:tcBorders>
            <w:shd w:val="clear" w:color="auto" w:fill="C6EFCE"/>
            <w:noWrap/>
          </w:tcPr>
          <w:p w14:paraId="524AB087" w14:textId="77777777" w:rsidR="00EB245A" w:rsidRDefault="006021EE">
            <w:pPr>
              <w:pStyle w:val="P68B1DB1-Normal26"/>
              <w:spacing w:after="0" w:line="240" w:lineRule="auto"/>
              <w:rPr>
                <w:rFonts w:eastAsia="Times New Roman" w:cs="Times New Roman"/>
                <w:noProof/>
              </w:rPr>
            </w:pPr>
            <w:r>
              <w:rPr>
                <w:noProof/>
              </w:rPr>
              <w:t>Projekte zum Kapazitätsaufbau zur Unterstützung der Umsetzung von REPowerEU-Reformen und Investitionen der NRO</w:t>
            </w:r>
          </w:p>
        </w:tc>
        <w:tc>
          <w:tcPr>
            <w:tcW w:w="1896" w:type="dxa"/>
            <w:tcBorders>
              <w:top w:val="single" w:sz="4" w:space="0" w:color="auto"/>
              <w:left w:val="nil"/>
              <w:bottom w:val="single" w:sz="4" w:space="0" w:color="auto"/>
              <w:right w:val="single" w:sz="4" w:space="0" w:color="auto"/>
            </w:tcBorders>
            <w:shd w:val="clear" w:color="auto" w:fill="C6EFCE"/>
            <w:noWrap/>
          </w:tcPr>
          <w:p w14:paraId="166318D1" w14:textId="77777777" w:rsidR="00EB245A" w:rsidRDefault="00EB245A">
            <w:pPr>
              <w:spacing w:after="0" w:line="240" w:lineRule="auto"/>
              <w:rPr>
                <w:rFonts w:ascii="Times New Roman" w:eastAsia="Times New Roman" w:hAnsi="Times New Roman" w:cs="Times New Roman"/>
                <w:noProof/>
                <w:sz w:val="18"/>
              </w:rPr>
            </w:pPr>
          </w:p>
        </w:tc>
        <w:tc>
          <w:tcPr>
            <w:tcW w:w="1134" w:type="dxa"/>
            <w:tcBorders>
              <w:top w:val="nil"/>
              <w:left w:val="nil"/>
              <w:bottom w:val="single" w:sz="4" w:space="0" w:color="auto"/>
              <w:right w:val="single" w:sz="4" w:space="0" w:color="auto"/>
            </w:tcBorders>
            <w:shd w:val="clear" w:color="auto" w:fill="C6EFCE"/>
            <w:noWrap/>
          </w:tcPr>
          <w:p w14:paraId="72BBC15F" w14:textId="77777777" w:rsidR="00EB245A" w:rsidRDefault="006021EE">
            <w:pPr>
              <w:pStyle w:val="P68B1DB1-Normal26"/>
              <w:spacing w:after="0" w:line="240" w:lineRule="auto"/>
              <w:rPr>
                <w:rFonts w:eastAsia="Times New Roman" w:cs="Times New Roman"/>
                <w:noProof/>
              </w:rPr>
            </w:pPr>
            <w:r>
              <w:rPr>
                <w:noProof/>
              </w:rPr>
              <w:t>Anzahl</w:t>
            </w:r>
          </w:p>
        </w:tc>
        <w:tc>
          <w:tcPr>
            <w:tcW w:w="1275" w:type="dxa"/>
            <w:tcBorders>
              <w:top w:val="nil"/>
              <w:left w:val="nil"/>
              <w:bottom w:val="single" w:sz="4" w:space="0" w:color="auto"/>
              <w:right w:val="single" w:sz="4" w:space="0" w:color="auto"/>
            </w:tcBorders>
            <w:shd w:val="clear" w:color="auto" w:fill="C6EFCE"/>
            <w:noWrap/>
          </w:tcPr>
          <w:p w14:paraId="27F6433D" w14:textId="77777777" w:rsidR="00EB245A" w:rsidRDefault="006021EE">
            <w:pPr>
              <w:pStyle w:val="P68B1DB1-Normal26"/>
              <w:spacing w:after="0" w:line="240" w:lineRule="auto"/>
              <w:jc w:val="center"/>
              <w:rPr>
                <w:rFonts w:eastAsia="Times New Roman" w:cs="Times New Roman"/>
                <w:noProof/>
              </w:rPr>
            </w:pPr>
            <w:r>
              <w:rPr>
                <w:noProof/>
              </w:rPr>
              <w:t>0</w:t>
            </w:r>
          </w:p>
        </w:tc>
        <w:tc>
          <w:tcPr>
            <w:tcW w:w="709" w:type="dxa"/>
            <w:tcBorders>
              <w:top w:val="nil"/>
              <w:left w:val="nil"/>
              <w:bottom w:val="single" w:sz="4" w:space="0" w:color="auto"/>
              <w:right w:val="single" w:sz="4" w:space="0" w:color="auto"/>
            </w:tcBorders>
            <w:shd w:val="clear" w:color="auto" w:fill="C6EFCE"/>
            <w:noWrap/>
          </w:tcPr>
          <w:p w14:paraId="2D7E3A07" w14:textId="77777777" w:rsidR="00EB245A" w:rsidRDefault="006021EE">
            <w:pPr>
              <w:pStyle w:val="P68B1DB1-Normal26"/>
              <w:spacing w:after="0" w:line="240" w:lineRule="auto"/>
              <w:jc w:val="center"/>
              <w:rPr>
                <w:rFonts w:eastAsia="Times New Roman" w:cs="Times New Roman"/>
                <w:noProof/>
              </w:rPr>
            </w:pPr>
            <w:r>
              <w:rPr>
                <w:noProof/>
              </w:rPr>
              <w:t>10</w:t>
            </w:r>
          </w:p>
        </w:tc>
        <w:tc>
          <w:tcPr>
            <w:tcW w:w="851" w:type="dxa"/>
            <w:tcBorders>
              <w:top w:val="nil"/>
              <w:left w:val="nil"/>
              <w:bottom w:val="single" w:sz="4" w:space="0" w:color="auto"/>
              <w:right w:val="single" w:sz="4" w:space="0" w:color="auto"/>
            </w:tcBorders>
            <w:shd w:val="clear" w:color="auto" w:fill="C6EFCE"/>
            <w:noWrap/>
          </w:tcPr>
          <w:p w14:paraId="5E84E13A" w14:textId="77777777" w:rsidR="00EB245A" w:rsidRDefault="006021EE">
            <w:pPr>
              <w:pStyle w:val="P68B1DB1-Normal26"/>
              <w:spacing w:after="0" w:line="240" w:lineRule="auto"/>
              <w:jc w:val="center"/>
              <w:rPr>
                <w:rFonts w:eastAsia="Times New Roman" w:cs="Times New Roman"/>
                <w:noProof/>
              </w:rPr>
            </w:pPr>
            <w:r>
              <w:rPr>
                <w:noProof/>
              </w:rPr>
              <w:t>Q4</w:t>
            </w:r>
          </w:p>
        </w:tc>
        <w:tc>
          <w:tcPr>
            <w:tcW w:w="992" w:type="dxa"/>
            <w:tcBorders>
              <w:top w:val="nil"/>
              <w:left w:val="nil"/>
              <w:bottom w:val="single" w:sz="4" w:space="0" w:color="auto"/>
              <w:right w:val="single" w:sz="4" w:space="0" w:color="auto"/>
            </w:tcBorders>
            <w:shd w:val="clear" w:color="auto" w:fill="C6EFCE"/>
            <w:noWrap/>
          </w:tcPr>
          <w:p w14:paraId="2AC1613D" w14:textId="77777777" w:rsidR="00EB245A" w:rsidRDefault="006021EE">
            <w:pPr>
              <w:pStyle w:val="P68B1DB1-Normal26"/>
              <w:spacing w:after="0" w:line="240" w:lineRule="auto"/>
              <w:jc w:val="center"/>
              <w:rPr>
                <w:rFonts w:eastAsia="Times New Roman" w:cs="Times New Roman"/>
                <w:noProof/>
              </w:rPr>
            </w:pPr>
            <w:r>
              <w:rPr>
                <w:noProof/>
              </w:rPr>
              <w:t>2025</w:t>
            </w:r>
          </w:p>
        </w:tc>
        <w:tc>
          <w:tcPr>
            <w:tcW w:w="3118" w:type="dxa"/>
            <w:tcBorders>
              <w:top w:val="nil"/>
              <w:left w:val="nil"/>
              <w:bottom w:val="single" w:sz="4" w:space="0" w:color="auto"/>
              <w:right w:val="single" w:sz="4" w:space="0" w:color="auto"/>
            </w:tcBorders>
            <w:shd w:val="clear" w:color="auto" w:fill="C6EFCE"/>
            <w:noWrap/>
          </w:tcPr>
          <w:p w14:paraId="57BC1B9A" w14:textId="78E28795" w:rsidR="00EB245A" w:rsidRDefault="006021EE">
            <w:pPr>
              <w:pStyle w:val="P68B1DB1-Normal26"/>
              <w:spacing w:after="0" w:line="240" w:lineRule="auto"/>
              <w:rPr>
                <w:rFonts w:eastAsia="Times New Roman" w:cs="Times New Roman"/>
                <w:noProof/>
              </w:rPr>
            </w:pPr>
            <w:r>
              <w:rPr>
                <w:noProof/>
              </w:rPr>
              <w:t>Mindestens zehn Projekte zum Kapazitätsaufbau, mit denen die Umsetzung von REPowerEU-Reformen und -Investiti</w:t>
            </w:r>
            <w:r>
              <w:rPr>
                <w:noProof/>
              </w:rPr>
              <w:t xml:space="preserve">onen unterstützt wird, werden von den NRO, die im Bereich der grünen und der Energiewende tätig sind, abgeschlossen. Mit den Projekten werden Schulungen, Beratungs- und Forschungstätigkeiten sowie soziale Kampagnen unterstützt.  </w:t>
            </w:r>
          </w:p>
          <w:p w14:paraId="667BD6DB" w14:textId="77777777" w:rsidR="00EB245A" w:rsidRDefault="006021EE">
            <w:pPr>
              <w:pStyle w:val="P68B1DB1-Normal26"/>
              <w:spacing w:after="0" w:line="240" w:lineRule="auto"/>
              <w:rPr>
                <w:rFonts w:cs="Times New Roman"/>
                <w:noProof/>
              </w:rPr>
            </w:pPr>
            <w:r>
              <w:rPr>
                <w:noProof/>
              </w:rPr>
              <w:t xml:space="preserve"> </w:t>
            </w:r>
          </w:p>
          <w:p w14:paraId="37EE8FB0" w14:textId="77777777" w:rsidR="00EB245A" w:rsidRDefault="006021EE">
            <w:pPr>
              <w:pStyle w:val="P68B1DB1-Normal26"/>
              <w:spacing w:after="0" w:line="240" w:lineRule="auto"/>
              <w:rPr>
                <w:rFonts w:eastAsia="Times New Roman" w:cs="Times New Roman"/>
                <w:noProof/>
              </w:rPr>
            </w:pPr>
            <w:r>
              <w:rPr>
                <w:noProof/>
              </w:rPr>
              <w:t>Mindestens zwei Projekte</w:t>
            </w:r>
            <w:r>
              <w:rPr>
                <w:noProof/>
              </w:rPr>
              <w:t xml:space="preserve"> konzentrieren sich auf den Aufbau von Kapazitäten für Genehmigungsverfahren für den Einsatz erneuerbarer Energiequellen und Verteilernetze.</w:t>
            </w:r>
          </w:p>
        </w:tc>
      </w:tr>
      <w:tr w:rsidR="00EB245A" w14:paraId="795C2E22" w14:textId="77777777" w:rsidTr="00B15262">
        <w:trPr>
          <w:trHeight w:val="309"/>
          <w:jc w:val="center"/>
        </w:trPr>
        <w:tc>
          <w:tcPr>
            <w:tcW w:w="988" w:type="dxa"/>
            <w:tcBorders>
              <w:top w:val="nil"/>
              <w:left w:val="single" w:sz="4" w:space="0" w:color="auto"/>
              <w:bottom w:val="single" w:sz="4" w:space="0" w:color="auto"/>
              <w:right w:val="single" w:sz="4" w:space="0" w:color="auto"/>
            </w:tcBorders>
            <w:shd w:val="clear" w:color="auto" w:fill="C6EFCE"/>
            <w:noWrap/>
          </w:tcPr>
          <w:p w14:paraId="037CFA18" w14:textId="1C16A183" w:rsidR="00EB245A" w:rsidRDefault="006021EE">
            <w:pPr>
              <w:pStyle w:val="P68B1DB1-Normal26"/>
              <w:spacing w:after="0" w:line="240" w:lineRule="auto"/>
              <w:jc w:val="center"/>
              <w:rPr>
                <w:rFonts w:eastAsia="Times New Roman" w:cs="Times New Roman"/>
                <w:noProof/>
              </w:rPr>
            </w:pPr>
            <w:r>
              <w:rPr>
                <w:noProof/>
              </w:rPr>
              <w:t>G10G</w:t>
            </w:r>
          </w:p>
        </w:tc>
        <w:tc>
          <w:tcPr>
            <w:tcW w:w="1393" w:type="dxa"/>
            <w:tcBorders>
              <w:top w:val="nil"/>
              <w:left w:val="nil"/>
              <w:bottom w:val="single" w:sz="4" w:space="0" w:color="auto"/>
              <w:right w:val="single" w:sz="4" w:space="0" w:color="auto"/>
            </w:tcBorders>
            <w:shd w:val="clear" w:color="auto" w:fill="C6EFCE"/>
            <w:noWrap/>
          </w:tcPr>
          <w:p w14:paraId="6C931234" w14:textId="1267A876" w:rsidR="00EB245A" w:rsidRDefault="006021EE">
            <w:pPr>
              <w:pStyle w:val="P68B1DB1-Normal26"/>
              <w:spacing w:after="0" w:line="240" w:lineRule="auto"/>
              <w:rPr>
                <w:rFonts w:eastAsia="Times New Roman" w:cs="Times New Roman"/>
                <w:noProof/>
              </w:rPr>
            </w:pPr>
            <w:r>
              <w:rPr>
                <w:noProof/>
              </w:rPr>
              <w:t xml:space="preserve">G1.1.4 Unterstützung von Institutionen, die REPowerEU-Reformen und -Investitionen umsetzen </w:t>
            </w:r>
          </w:p>
        </w:tc>
        <w:tc>
          <w:tcPr>
            <w:tcW w:w="1158" w:type="dxa"/>
            <w:tcBorders>
              <w:top w:val="nil"/>
              <w:left w:val="nil"/>
              <w:bottom w:val="single" w:sz="4" w:space="0" w:color="auto"/>
              <w:right w:val="single" w:sz="4" w:space="0" w:color="auto"/>
            </w:tcBorders>
            <w:shd w:val="clear" w:color="auto" w:fill="C6EFCE"/>
            <w:noWrap/>
          </w:tcPr>
          <w:p w14:paraId="612E4A87" w14:textId="77777777" w:rsidR="00EB245A" w:rsidRDefault="006021EE">
            <w:pPr>
              <w:pStyle w:val="P68B1DB1-Normal26"/>
              <w:spacing w:after="0" w:line="240" w:lineRule="auto"/>
              <w:rPr>
                <w:rFonts w:eastAsia="Times New Roman" w:cs="Times New Roman"/>
                <w:noProof/>
              </w:rPr>
            </w:pPr>
            <w:r>
              <w:rPr>
                <w:noProof/>
              </w:rPr>
              <w:t>Meilenstein</w:t>
            </w:r>
          </w:p>
        </w:tc>
        <w:tc>
          <w:tcPr>
            <w:tcW w:w="1790" w:type="dxa"/>
            <w:tcBorders>
              <w:top w:val="nil"/>
              <w:left w:val="nil"/>
              <w:bottom w:val="single" w:sz="4" w:space="0" w:color="auto"/>
              <w:right w:val="single" w:sz="4" w:space="0" w:color="auto"/>
            </w:tcBorders>
            <w:shd w:val="clear" w:color="auto" w:fill="C6EFCE"/>
            <w:noWrap/>
          </w:tcPr>
          <w:p w14:paraId="47EDFDC6" w14:textId="77777777" w:rsidR="00EB245A" w:rsidRDefault="006021EE">
            <w:pPr>
              <w:pStyle w:val="P68B1DB1-Normal26"/>
              <w:spacing w:after="0" w:line="240" w:lineRule="auto"/>
              <w:rPr>
                <w:rFonts w:eastAsia="Times New Roman" w:cs="Times New Roman"/>
                <w:noProof/>
              </w:rPr>
            </w:pPr>
            <w:r>
              <w:rPr>
                <w:noProof/>
              </w:rPr>
              <w:t>Veröffentlichung der technischen Spezifikation des IT-Tools für die Anwendung des neuen Regulierungsmodells durch die Energieregulierungsbehörde</w:t>
            </w:r>
          </w:p>
        </w:tc>
        <w:tc>
          <w:tcPr>
            <w:tcW w:w="1896" w:type="dxa"/>
            <w:tcBorders>
              <w:top w:val="single" w:sz="4" w:space="0" w:color="auto"/>
              <w:left w:val="nil"/>
              <w:bottom w:val="single" w:sz="4" w:space="0" w:color="auto"/>
              <w:right w:val="single" w:sz="4" w:space="0" w:color="auto"/>
            </w:tcBorders>
            <w:shd w:val="clear" w:color="auto" w:fill="C6EFCE"/>
            <w:noWrap/>
          </w:tcPr>
          <w:p w14:paraId="102D81E1" w14:textId="27EA7B5C" w:rsidR="00EB245A" w:rsidRDefault="006021EE">
            <w:pPr>
              <w:pStyle w:val="P68B1DB1-Normal26"/>
              <w:spacing w:after="0" w:line="240" w:lineRule="auto"/>
              <w:rPr>
                <w:rFonts w:eastAsia="Times New Roman" w:cs="Times New Roman"/>
                <w:noProof/>
              </w:rPr>
            </w:pPr>
            <w:r>
              <w:rPr>
                <w:noProof/>
              </w:rPr>
              <w:t xml:space="preserve">Veröffentlichung der technischen Spezifikation </w:t>
            </w:r>
          </w:p>
        </w:tc>
        <w:tc>
          <w:tcPr>
            <w:tcW w:w="1134" w:type="dxa"/>
            <w:tcBorders>
              <w:top w:val="nil"/>
              <w:left w:val="nil"/>
              <w:bottom w:val="single" w:sz="4" w:space="0" w:color="auto"/>
              <w:right w:val="single" w:sz="4" w:space="0" w:color="auto"/>
            </w:tcBorders>
            <w:shd w:val="clear" w:color="auto" w:fill="C6EFCE"/>
            <w:noWrap/>
          </w:tcPr>
          <w:p w14:paraId="3CDC4C43" w14:textId="77777777" w:rsidR="00EB245A" w:rsidRDefault="00EB245A">
            <w:pPr>
              <w:spacing w:after="0" w:line="240" w:lineRule="auto"/>
              <w:rPr>
                <w:rFonts w:ascii="Times New Roman" w:eastAsia="Times New Roman" w:hAnsi="Times New Roman" w:cs="Times New Roman"/>
                <w:noProof/>
                <w:sz w:val="18"/>
              </w:rPr>
            </w:pPr>
          </w:p>
        </w:tc>
        <w:tc>
          <w:tcPr>
            <w:tcW w:w="1275" w:type="dxa"/>
            <w:tcBorders>
              <w:top w:val="nil"/>
              <w:left w:val="nil"/>
              <w:bottom w:val="single" w:sz="4" w:space="0" w:color="auto"/>
              <w:right w:val="single" w:sz="4" w:space="0" w:color="auto"/>
            </w:tcBorders>
            <w:shd w:val="clear" w:color="auto" w:fill="C6EFCE"/>
            <w:noWrap/>
          </w:tcPr>
          <w:p w14:paraId="6A6670AB" w14:textId="77777777" w:rsidR="00EB245A" w:rsidRDefault="00EB245A">
            <w:pPr>
              <w:spacing w:after="0" w:line="240" w:lineRule="auto"/>
              <w:jc w:val="center"/>
              <w:rPr>
                <w:rFonts w:ascii="Times New Roman" w:eastAsia="Times New Roman" w:hAnsi="Times New Roman" w:cs="Times New Roman"/>
                <w:noProof/>
                <w:sz w:val="18"/>
              </w:rPr>
            </w:pPr>
          </w:p>
        </w:tc>
        <w:tc>
          <w:tcPr>
            <w:tcW w:w="709" w:type="dxa"/>
            <w:tcBorders>
              <w:top w:val="nil"/>
              <w:left w:val="nil"/>
              <w:bottom w:val="single" w:sz="4" w:space="0" w:color="auto"/>
              <w:right w:val="single" w:sz="4" w:space="0" w:color="auto"/>
            </w:tcBorders>
            <w:shd w:val="clear" w:color="auto" w:fill="C6EFCE"/>
            <w:noWrap/>
          </w:tcPr>
          <w:p w14:paraId="76FD3126" w14:textId="77777777" w:rsidR="00EB245A" w:rsidRDefault="00EB245A">
            <w:pPr>
              <w:spacing w:after="0" w:line="240" w:lineRule="auto"/>
              <w:jc w:val="center"/>
              <w:rPr>
                <w:rFonts w:ascii="Times New Roman" w:eastAsia="Times New Roman" w:hAnsi="Times New Roman" w:cs="Times New Roman"/>
                <w:noProof/>
                <w:sz w:val="18"/>
              </w:rPr>
            </w:pPr>
          </w:p>
        </w:tc>
        <w:tc>
          <w:tcPr>
            <w:tcW w:w="851" w:type="dxa"/>
            <w:tcBorders>
              <w:top w:val="nil"/>
              <w:left w:val="nil"/>
              <w:bottom w:val="single" w:sz="4" w:space="0" w:color="auto"/>
              <w:right w:val="single" w:sz="4" w:space="0" w:color="auto"/>
            </w:tcBorders>
            <w:shd w:val="clear" w:color="auto" w:fill="C6EFCE"/>
            <w:noWrap/>
          </w:tcPr>
          <w:p w14:paraId="6A53879F" w14:textId="16DD9EFB" w:rsidR="00EB245A" w:rsidRDefault="006021EE">
            <w:pPr>
              <w:pStyle w:val="P68B1DB1-Normal26"/>
              <w:spacing w:after="0" w:line="240" w:lineRule="auto"/>
              <w:jc w:val="center"/>
              <w:rPr>
                <w:rFonts w:eastAsia="Times New Roman" w:cs="Times New Roman"/>
                <w:noProof/>
              </w:rPr>
            </w:pPr>
            <w:r>
              <w:rPr>
                <w:noProof/>
              </w:rPr>
              <w:t>Q1</w:t>
            </w:r>
          </w:p>
        </w:tc>
        <w:tc>
          <w:tcPr>
            <w:tcW w:w="992" w:type="dxa"/>
            <w:tcBorders>
              <w:top w:val="nil"/>
              <w:left w:val="nil"/>
              <w:bottom w:val="single" w:sz="4" w:space="0" w:color="auto"/>
              <w:right w:val="single" w:sz="4" w:space="0" w:color="auto"/>
            </w:tcBorders>
            <w:shd w:val="clear" w:color="auto" w:fill="C6EFCE"/>
            <w:noWrap/>
          </w:tcPr>
          <w:p w14:paraId="2186D2AE" w14:textId="4F28CE1C" w:rsidR="00EB245A" w:rsidRDefault="006021EE">
            <w:pPr>
              <w:pStyle w:val="P68B1DB1-Normal26"/>
              <w:spacing w:after="0" w:line="240" w:lineRule="auto"/>
              <w:jc w:val="center"/>
              <w:rPr>
                <w:rFonts w:eastAsia="Times New Roman" w:cs="Times New Roman"/>
                <w:noProof/>
              </w:rPr>
            </w:pPr>
            <w:r>
              <w:rPr>
                <w:noProof/>
              </w:rPr>
              <w:t>2025</w:t>
            </w:r>
          </w:p>
        </w:tc>
        <w:tc>
          <w:tcPr>
            <w:tcW w:w="3118" w:type="dxa"/>
            <w:tcBorders>
              <w:top w:val="nil"/>
              <w:left w:val="nil"/>
              <w:bottom w:val="single" w:sz="4" w:space="0" w:color="auto"/>
              <w:right w:val="single" w:sz="4" w:space="0" w:color="auto"/>
            </w:tcBorders>
            <w:shd w:val="clear" w:color="auto" w:fill="C6EFCE"/>
            <w:noWrap/>
          </w:tcPr>
          <w:p w14:paraId="6F6F26CA" w14:textId="783E627C" w:rsidR="00EB245A" w:rsidRDefault="006021EE">
            <w:pPr>
              <w:pStyle w:val="P68B1DB1-Normal26"/>
              <w:spacing w:after="0" w:line="240" w:lineRule="auto"/>
              <w:rPr>
                <w:rFonts w:eastAsia="Times New Roman" w:cs="Times New Roman"/>
                <w:noProof/>
              </w:rPr>
            </w:pPr>
            <w:r>
              <w:rPr>
                <w:noProof/>
              </w:rPr>
              <w:t xml:space="preserve">Die Energieregulierungsbehörde erstellt und </w:t>
            </w:r>
            <w:r>
              <w:rPr>
                <w:noProof/>
              </w:rPr>
              <w:t>veröffentlicht die technische Spezifikation des IT-Tools für das Amt für die Anwendung des neuen Regulierungsmodells.</w:t>
            </w:r>
          </w:p>
          <w:p w14:paraId="68341A22" w14:textId="77777777" w:rsidR="00EB245A" w:rsidRDefault="00EB245A">
            <w:pPr>
              <w:spacing w:after="0" w:line="240" w:lineRule="auto"/>
              <w:rPr>
                <w:rFonts w:ascii="Times New Roman" w:eastAsia="Times New Roman" w:hAnsi="Times New Roman" w:cs="Times New Roman"/>
                <w:noProof/>
                <w:sz w:val="18"/>
              </w:rPr>
            </w:pPr>
          </w:p>
          <w:p w14:paraId="438321BD" w14:textId="77777777" w:rsidR="00EB245A" w:rsidRDefault="006021EE">
            <w:pPr>
              <w:pStyle w:val="P68B1DB1-Normal26"/>
              <w:spacing w:after="0" w:line="240" w:lineRule="auto"/>
              <w:rPr>
                <w:rFonts w:eastAsia="Times New Roman" w:cs="Times New Roman"/>
                <w:noProof/>
              </w:rPr>
            </w:pPr>
            <w:r>
              <w:rPr>
                <w:noProof/>
              </w:rPr>
              <w:t>Das IT-Instrument unterstützt die Bewertung und Überwachung der Netzentwicklungspläne der Verteilernetzbetreiber (VNB) und deren Umsetzun</w:t>
            </w:r>
            <w:r>
              <w:rPr>
                <w:noProof/>
              </w:rPr>
              <w:t xml:space="preserve">g sowie die Registrierung erneuerbarer Energiequellen. </w:t>
            </w:r>
          </w:p>
          <w:p w14:paraId="18B22D2C" w14:textId="77777777" w:rsidR="00EB245A" w:rsidRDefault="006021EE">
            <w:pPr>
              <w:pStyle w:val="P68B1DB1-Normal26"/>
              <w:spacing w:after="0" w:line="240" w:lineRule="auto"/>
              <w:rPr>
                <w:rFonts w:eastAsia="Times New Roman" w:cs="Times New Roman"/>
                <w:noProof/>
              </w:rPr>
            </w:pPr>
            <w:r>
              <w:rPr>
                <w:noProof/>
              </w:rPr>
              <w:t xml:space="preserve">Das Instrument bietet folgende Funktionen: </w:t>
            </w:r>
          </w:p>
          <w:p w14:paraId="067BBED7" w14:textId="77777777" w:rsidR="00EB245A" w:rsidRDefault="006021EE">
            <w:pPr>
              <w:pStyle w:val="P68B1DB1-ListParagraph37"/>
              <w:numPr>
                <w:ilvl w:val="0"/>
                <w:numId w:val="28"/>
              </w:numPr>
              <w:spacing w:after="0" w:line="240" w:lineRule="auto"/>
              <w:ind w:left="288" w:hanging="283"/>
              <w:rPr>
                <w:rFonts w:cs="Times New Roman"/>
                <w:noProof/>
              </w:rPr>
            </w:pPr>
            <w:r>
              <w:rPr>
                <w:noProof/>
              </w:rPr>
              <w:t>Sammlung und Analyse von Informationen über das Funktionieren der Netze, Netzentwicklungspläne und Netzanschlussanfragen;</w:t>
            </w:r>
          </w:p>
          <w:p w14:paraId="5454E704" w14:textId="77777777" w:rsidR="00EB245A" w:rsidRDefault="006021EE">
            <w:pPr>
              <w:pStyle w:val="P68B1DB1-ListParagraph37"/>
              <w:numPr>
                <w:ilvl w:val="0"/>
                <w:numId w:val="28"/>
              </w:numPr>
              <w:spacing w:after="0" w:line="240" w:lineRule="auto"/>
              <w:ind w:left="288" w:hanging="283"/>
              <w:rPr>
                <w:rFonts w:eastAsia="Times New Roman" w:cs="Times New Roman"/>
                <w:noProof/>
              </w:rPr>
            </w:pPr>
            <w:r>
              <w:rPr>
                <w:noProof/>
              </w:rPr>
              <w:t>Unterstützung der Bewertung der Wi</w:t>
            </w:r>
            <w:r>
              <w:rPr>
                <w:noProof/>
              </w:rPr>
              <w:t>rksamkeit der Ausgaben für Netzaufbau und -modernisierung;</w:t>
            </w:r>
          </w:p>
          <w:p w14:paraId="582F6509" w14:textId="77777777" w:rsidR="00EB245A" w:rsidRDefault="006021EE">
            <w:pPr>
              <w:pStyle w:val="P68B1DB1-ListParagraph37"/>
              <w:numPr>
                <w:ilvl w:val="0"/>
                <w:numId w:val="28"/>
              </w:numPr>
              <w:spacing w:after="0" w:line="240" w:lineRule="auto"/>
              <w:ind w:left="288" w:hanging="283"/>
              <w:rPr>
                <w:rFonts w:cs="Times New Roman"/>
                <w:noProof/>
              </w:rPr>
            </w:pPr>
            <w:r>
              <w:rPr>
                <w:noProof/>
              </w:rPr>
              <w:t>Überwachung der Fortschritte bei der Integration erneuerbarer Energien in die Verteilernetze durch Analyse der Entwicklungspläne der VNB, einschließlich der Netzausbaurichtungen und der geplanten V</w:t>
            </w:r>
            <w:r>
              <w:rPr>
                <w:noProof/>
              </w:rPr>
              <w:t>erbindungen;</w:t>
            </w:r>
          </w:p>
          <w:p w14:paraId="2D43E948" w14:textId="77777777" w:rsidR="00EB245A" w:rsidRDefault="006021EE">
            <w:pPr>
              <w:pStyle w:val="P68B1DB1-ListParagraph37"/>
              <w:numPr>
                <w:ilvl w:val="0"/>
                <w:numId w:val="28"/>
              </w:numPr>
              <w:spacing w:after="0" w:line="240" w:lineRule="auto"/>
              <w:ind w:left="288" w:hanging="283"/>
              <w:rPr>
                <w:rFonts w:cs="Times New Roman"/>
                <w:noProof/>
              </w:rPr>
            </w:pPr>
            <w:r>
              <w:rPr>
                <w:noProof/>
              </w:rPr>
              <w:t>Ermittlung von Gebieten mit den höchsten Anteilen an Zugangsverweigerungen;</w:t>
            </w:r>
          </w:p>
          <w:p w14:paraId="21592EEC" w14:textId="77777777" w:rsidR="00EB245A" w:rsidRDefault="006021EE">
            <w:pPr>
              <w:pStyle w:val="P68B1DB1-ListParagraph37"/>
              <w:numPr>
                <w:ilvl w:val="0"/>
                <w:numId w:val="28"/>
              </w:numPr>
              <w:spacing w:after="0" w:line="240" w:lineRule="auto"/>
              <w:ind w:left="288" w:hanging="283"/>
              <w:rPr>
                <w:rFonts w:cs="Times New Roman"/>
                <w:noProof/>
              </w:rPr>
            </w:pPr>
            <w:r>
              <w:rPr>
                <w:noProof/>
              </w:rPr>
              <w:t>Unterstützung des vollständigen Geschäftsprozesses der Registrierung von EE-Stromerzeugern;</w:t>
            </w:r>
          </w:p>
          <w:p w14:paraId="7569DD50" w14:textId="77777777" w:rsidR="00EB245A" w:rsidRDefault="006021EE">
            <w:pPr>
              <w:pStyle w:val="P68B1DB1-ListParagraph37"/>
              <w:numPr>
                <w:ilvl w:val="0"/>
                <w:numId w:val="28"/>
              </w:numPr>
              <w:spacing w:after="0" w:line="240" w:lineRule="auto"/>
              <w:ind w:left="288" w:hanging="283"/>
              <w:rPr>
                <w:rFonts w:cs="Times New Roman"/>
                <w:noProof/>
              </w:rPr>
            </w:pPr>
            <w:r>
              <w:rPr>
                <w:noProof/>
              </w:rPr>
              <w:t xml:space="preserve">interaktive Karte der in das geografische Informationssystem integrierten </w:t>
            </w:r>
            <w:r>
              <w:rPr>
                <w:noProof/>
              </w:rPr>
              <w:t>EE-Anlagen.</w:t>
            </w:r>
          </w:p>
        </w:tc>
      </w:tr>
      <w:tr w:rsidR="00EB245A" w14:paraId="02B7A857" w14:textId="77777777" w:rsidTr="00B15262">
        <w:trPr>
          <w:trHeight w:val="309"/>
          <w:jc w:val="center"/>
        </w:trPr>
        <w:tc>
          <w:tcPr>
            <w:tcW w:w="988" w:type="dxa"/>
            <w:tcBorders>
              <w:top w:val="nil"/>
              <w:left w:val="single" w:sz="4" w:space="0" w:color="auto"/>
              <w:bottom w:val="single" w:sz="4" w:space="0" w:color="auto"/>
              <w:right w:val="single" w:sz="4" w:space="0" w:color="auto"/>
            </w:tcBorders>
            <w:shd w:val="clear" w:color="auto" w:fill="C6EFCE"/>
            <w:noWrap/>
          </w:tcPr>
          <w:p w14:paraId="6062DA17" w14:textId="698B539B" w:rsidR="00EB245A" w:rsidRDefault="006021EE">
            <w:pPr>
              <w:pStyle w:val="P68B1DB1-Normal26"/>
              <w:spacing w:after="0" w:line="240" w:lineRule="auto"/>
              <w:jc w:val="center"/>
              <w:rPr>
                <w:rFonts w:eastAsia="Times New Roman" w:cs="Times New Roman"/>
                <w:noProof/>
              </w:rPr>
            </w:pPr>
            <w:r>
              <w:rPr>
                <w:noProof/>
              </w:rPr>
              <w:t>G11G</w:t>
            </w:r>
          </w:p>
        </w:tc>
        <w:tc>
          <w:tcPr>
            <w:tcW w:w="1393" w:type="dxa"/>
            <w:tcBorders>
              <w:top w:val="nil"/>
              <w:left w:val="nil"/>
              <w:bottom w:val="single" w:sz="4" w:space="0" w:color="auto"/>
              <w:right w:val="single" w:sz="4" w:space="0" w:color="auto"/>
            </w:tcBorders>
            <w:shd w:val="clear" w:color="auto" w:fill="C6EFCE"/>
            <w:noWrap/>
          </w:tcPr>
          <w:p w14:paraId="4B559B6B" w14:textId="490BBE85" w:rsidR="00EB245A" w:rsidRDefault="006021EE">
            <w:pPr>
              <w:pStyle w:val="P68B1DB1-Normal26"/>
              <w:spacing w:after="0" w:line="240" w:lineRule="auto"/>
              <w:rPr>
                <w:rFonts w:eastAsia="Times New Roman" w:cs="Times New Roman"/>
                <w:noProof/>
              </w:rPr>
            </w:pPr>
            <w:r>
              <w:rPr>
                <w:noProof/>
              </w:rPr>
              <w:t>G1.1.4 Unterstützung von Institutionen, die REPowerEU-Reformen und -Investitionen umsetzen</w:t>
            </w:r>
          </w:p>
          <w:p w14:paraId="2E382366" w14:textId="77777777" w:rsidR="00EB245A" w:rsidRDefault="00EB245A">
            <w:pPr>
              <w:spacing w:after="0" w:line="240" w:lineRule="auto"/>
              <w:rPr>
                <w:rFonts w:ascii="Times New Roman" w:eastAsia="Times New Roman" w:hAnsi="Times New Roman" w:cs="Times New Roman"/>
                <w:noProof/>
                <w:sz w:val="18"/>
              </w:rPr>
            </w:pPr>
          </w:p>
        </w:tc>
        <w:tc>
          <w:tcPr>
            <w:tcW w:w="1158" w:type="dxa"/>
            <w:tcBorders>
              <w:top w:val="nil"/>
              <w:left w:val="nil"/>
              <w:bottom w:val="single" w:sz="4" w:space="0" w:color="auto"/>
              <w:right w:val="single" w:sz="4" w:space="0" w:color="auto"/>
            </w:tcBorders>
            <w:shd w:val="clear" w:color="auto" w:fill="C6EFCE"/>
            <w:noWrap/>
          </w:tcPr>
          <w:p w14:paraId="3AB2DD7E" w14:textId="77777777" w:rsidR="00EB245A" w:rsidRDefault="006021EE">
            <w:pPr>
              <w:pStyle w:val="P68B1DB1-Normal26"/>
              <w:spacing w:after="0" w:line="240" w:lineRule="auto"/>
              <w:rPr>
                <w:rFonts w:eastAsia="Times New Roman" w:cs="Times New Roman"/>
                <w:noProof/>
              </w:rPr>
            </w:pPr>
            <w:r>
              <w:rPr>
                <w:noProof/>
              </w:rPr>
              <w:t>Meilenstein</w:t>
            </w:r>
          </w:p>
        </w:tc>
        <w:tc>
          <w:tcPr>
            <w:tcW w:w="1790" w:type="dxa"/>
            <w:tcBorders>
              <w:top w:val="nil"/>
              <w:left w:val="nil"/>
              <w:bottom w:val="single" w:sz="4" w:space="0" w:color="auto"/>
              <w:right w:val="single" w:sz="4" w:space="0" w:color="auto"/>
            </w:tcBorders>
            <w:shd w:val="clear" w:color="auto" w:fill="C6EFCE"/>
            <w:noWrap/>
          </w:tcPr>
          <w:p w14:paraId="7AE7F1A7" w14:textId="77777777" w:rsidR="00EB245A" w:rsidRDefault="006021EE">
            <w:pPr>
              <w:pStyle w:val="P68B1DB1-Normal26"/>
              <w:spacing w:after="0" w:line="240" w:lineRule="auto"/>
              <w:rPr>
                <w:rFonts w:eastAsia="Times New Roman" w:cs="Times New Roman"/>
                <w:noProof/>
              </w:rPr>
            </w:pPr>
            <w:r>
              <w:rPr>
                <w:noProof/>
              </w:rPr>
              <w:t>Einführung eines IT-Tools für die Anwendung des neuen Regulierungsmodells durch die Energieregulierungsbehörde</w:t>
            </w:r>
          </w:p>
        </w:tc>
        <w:tc>
          <w:tcPr>
            <w:tcW w:w="1896" w:type="dxa"/>
            <w:tcBorders>
              <w:top w:val="nil"/>
              <w:left w:val="nil"/>
              <w:bottom w:val="single" w:sz="4" w:space="0" w:color="auto"/>
              <w:right w:val="single" w:sz="4" w:space="0" w:color="auto"/>
            </w:tcBorders>
            <w:shd w:val="clear" w:color="auto" w:fill="C6EFCE"/>
            <w:noWrap/>
          </w:tcPr>
          <w:p w14:paraId="2F2E8D6E" w14:textId="211363B0" w:rsidR="00EB245A" w:rsidRDefault="006021EE">
            <w:pPr>
              <w:pStyle w:val="P68B1DB1-Normal26"/>
              <w:spacing w:after="0" w:line="240" w:lineRule="auto"/>
              <w:rPr>
                <w:rFonts w:eastAsia="Times New Roman" w:cs="Times New Roman"/>
                <w:noProof/>
              </w:rPr>
            </w:pPr>
            <w:r>
              <w:rPr>
                <w:noProof/>
              </w:rPr>
              <w:t xml:space="preserve">Das neue IT-Tool für </w:t>
            </w:r>
            <w:r>
              <w:rPr>
                <w:noProof/>
              </w:rPr>
              <w:t>die Anwendung des neuen Regulierungsmodells wird in Betrieb genommen und von der Energieregulierungsbehörde genutzt.</w:t>
            </w:r>
          </w:p>
        </w:tc>
        <w:tc>
          <w:tcPr>
            <w:tcW w:w="1134" w:type="dxa"/>
            <w:tcBorders>
              <w:top w:val="nil"/>
              <w:left w:val="nil"/>
              <w:bottom w:val="single" w:sz="4" w:space="0" w:color="auto"/>
              <w:right w:val="single" w:sz="4" w:space="0" w:color="auto"/>
            </w:tcBorders>
            <w:shd w:val="clear" w:color="auto" w:fill="C6EFCE"/>
            <w:noWrap/>
          </w:tcPr>
          <w:p w14:paraId="27F46EE2" w14:textId="77777777" w:rsidR="00EB245A" w:rsidRDefault="00EB245A">
            <w:pPr>
              <w:spacing w:after="0" w:line="240" w:lineRule="auto"/>
              <w:rPr>
                <w:rFonts w:ascii="Times New Roman" w:eastAsia="Times New Roman" w:hAnsi="Times New Roman" w:cs="Times New Roman"/>
                <w:noProof/>
                <w:sz w:val="18"/>
              </w:rPr>
            </w:pPr>
          </w:p>
        </w:tc>
        <w:tc>
          <w:tcPr>
            <w:tcW w:w="1275" w:type="dxa"/>
            <w:tcBorders>
              <w:top w:val="nil"/>
              <w:left w:val="nil"/>
              <w:bottom w:val="single" w:sz="4" w:space="0" w:color="auto"/>
              <w:right w:val="single" w:sz="4" w:space="0" w:color="auto"/>
            </w:tcBorders>
            <w:shd w:val="clear" w:color="auto" w:fill="C6EFCE"/>
            <w:noWrap/>
          </w:tcPr>
          <w:p w14:paraId="674E973C" w14:textId="77777777" w:rsidR="00EB245A" w:rsidRDefault="00EB245A">
            <w:pPr>
              <w:spacing w:after="0" w:line="240" w:lineRule="auto"/>
              <w:jc w:val="center"/>
              <w:rPr>
                <w:rFonts w:ascii="Times New Roman" w:eastAsia="Times New Roman" w:hAnsi="Times New Roman" w:cs="Times New Roman"/>
                <w:noProof/>
                <w:sz w:val="18"/>
              </w:rPr>
            </w:pPr>
          </w:p>
        </w:tc>
        <w:tc>
          <w:tcPr>
            <w:tcW w:w="709" w:type="dxa"/>
            <w:tcBorders>
              <w:top w:val="nil"/>
              <w:left w:val="nil"/>
              <w:bottom w:val="single" w:sz="4" w:space="0" w:color="auto"/>
              <w:right w:val="single" w:sz="4" w:space="0" w:color="auto"/>
            </w:tcBorders>
            <w:shd w:val="clear" w:color="auto" w:fill="C6EFCE"/>
            <w:noWrap/>
          </w:tcPr>
          <w:p w14:paraId="4D0CCF68" w14:textId="77777777" w:rsidR="00EB245A" w:rsidRDefault="00EB245A">
            <w:pPr>
              <w:spacing w:after="0" w:line="240" w:lineRule="auto"/>
              <w:jc w:val="center"/>
              <w:rPr>
                <w:rFonts w:ascii="Times New Roman" w:eastAsia="Times New Roman" w:hAnsi="Times New Roman" w:cs="Times New Roman"/>
                <w:noProof/>
                <w:sz w:val="18"/>
              </w:rPr>
            </w:pPr>
          </w:p>
        </w:tc>
        <w:tc>
          <w:tcPr>
            <w:tcW w:w="851" w:type="dxa"/>
            <w:tcBorders>
              <w:top w:val="nil"/>
              <w:left w:val="nil"/>
              <w:bottom w:val="single" w:sz="4" w:space="0" w:color="auto"/>
              <w:right w:val="single" w:sz="4" w:space="0" w:color="auto"/>
            </w:tcBorders>
            <w:shd w:val="clear" w:color="auto" w:fill="C6EFCE"/>
            <w:noWrap/>
          </w:tcPr>
          <w:p w14:paraId="7F7DB739" w14:textId="77777777" w:rsidR="00EB245A" w:rsidRDefault="006021EE">
            <w:pPr>
              <w:pStyle w:val="P68B1DB1-Normal26"/>
              <w:spacing w:after="0" w:line="240" w:lineRule="auto"/>
              <w:jc w:val="center"/>
              <w:rPr>
                <w:rFonts w:eastAsia="Times New Roman" w:cs="Times New Roman"/>
                <w:noProof/>
              </w:rPr>
            </w:pPr>
            <w:r>
              <w:rPr>
                <w:noProof/>
              </w:rPr>
              <w:t>Q2</w:t>
            </w:r>
          </w:p>
        </w:tc>
        <w:tc>
          <w:tcPr>
            <w:tcW w:w="992" w:type="dxa"/>
            <w:tcBorders>
              <w:top w:val="nil"/>
              <w:left w:val="nil"/>
              <w:bottom w:val="single" w:sz="4" w:space="0" w:color="auto"/>
              <w:right w:val="single" w:sz="4" w:space="0" w:color="auto"/>
            </w:tcBorders>
            <w:shd w:val="clear" w:color="auto" w:fill="C6EFCE"/>
            <w:noWrap/>
          </w:tcPr>
          <w:p w14:paraId="14EAFBDF" w14:textId="77777777" w:rsidR="00EB245A" w:rsidRDefault="006021EE">
            <w:pPr>
              <w:pStyle w:val="P68B1DB1-Normal26"/>
              <w:spacing w:after="0" w:line="240" w:lineRule="auto"/>
              <w:jc w:val="center"/>
              <w:rPr>
                <w:rFonts w:eastAsia="Times New Roman" w:cs="Times New Roman"/>
                <w:noProof/>
              </w:rPr>
            </w:pPr>
            <w:r>
              <w:rPr>
                <w:noProof/>
              </w:rPr>
              <w:t>2026</w:t>
            </w:r>
          </w:p>
        </w:tc>
        <w:tc>
          <w:tcPr>
            <w:tcW w:w="3118" w:type="dxa"/>
            <w:tcBorders>
              <w:top w:val="nil"/>
              <w:left w:val="nil"/>
              <w:bottom w:val="single" w:sz="4" w:space="0" w:color="auto"/>
              <w:right w:val="single" w:sz="4" w:space="0" w:color="auto"/>
            </w:tcBorders>
            <w:shd w:val="clear" w:color="auto" w:fill="C6EFCE"/>
            <w:noWrap/>
          </w:tcPr>
          <w:p w14:paraId="15CD5EB9" w14:textId="6AC0D28E" w:rsidR="00EB245A" w:rsidRDefault="006021EE">
            <w:pPr>
              <w:pStyle w:val="P68B1DB1-Normal26"/>
              <w:spacing w:after="0" w:line="240" w:lineRule="auto"/>
              <w:rPr>
                <w:rFonts w:eastAsia="Times New Roman" w:cs="Times New Roman"/>
                <w:noProof/>
              </w:rPr>
            </w:pPr>
            <w:r>
              <w:rPr>
                <w:noProof/>
              </w:rPr>
              <w:t xml:space="preserve">Die Energieregulierungsbehörde setzt das IT-Tool für die Anwendung des neuen Regulierungsmodells in Betrieb. </w:t>
            </w:r>
          </w:p>
        </w:tc>
      </w:tr>
    </w:tbl>
    <w:p w14:paraId="2B197FED" w14:textId="77777777" w:rsidR="00EB245A" w:rsidRDefault="00EB245A">
      <w:pPr>
        <w:pStyle w:val="Text1"/>
        <w:ind w:left="0"/>
        <w:rPr>
          <w:b/>
          <w:noProof/>
        </w:rPr>
      </w:pPr>
    </w:p>
    <w:p w14:paraId="127C5722" w14:textId="421105FD" w:rsidR="00EB245A" w:rsidRDefault="006021EE">
      <w:pPr>
        <w:pStyle w:val="P68B1DB1-Text14"/>
        <w:pageBreakBefore/>
        <w:ind w:left="0"/>
        <w:rPr>
          <w:noProof/>
        </w:rPr>
      </w:pPr>
      <w:r>
        <w:rPr>
          <w:noProof/>
        </w:rPr>
        <w:t xml:space="preserve">Teilkomponente </w:t>
      </w:r>
      <w:r>
        <w:rPr>
          <w:noProof/>
        </w:rPr>
        <w:t>G1.2 – Modernisierung der Stromnetze zur Beschleunigung der Integration erneuerbarer Energiequellen</w:t>
      </w:r>
    </w:p>
    <w:tbl>
      <w:tblPr>
        <w:tblW w:w="15309" w:type="dxa"/>
        <w:jc w:val="center"/>
        <w:tblLayout w:type="fixed"/>
        <w:tblLook w:val="04A0" w:firstRow="1" w:lastRow="0" w:firstColumn="1" w:lastColumn="0" w:noHBand="0" w:noVBand="1"/>
      </w:tblPr>
      <w:tblGrid>
        <w:gridCol w:w="846"/>
        <w:gridCol w:w="1559"/>
        <w:gridCol w:w="1276"/>
        <w:gridCol w:w="1701"/>
        <w:gridCol w:w="1843"/>
        <w:gridCol w:w="1134"/>
        <w:gridCol w:w="1275"/>
        <w:gridCol w:w="993"/>
        <w:gridCol w:w="992"/>
        <w:gridCol w:w="992"/>
        <w:gridCol w:w="2698"/>
      </w:tblGrid>
      <w:tr w:rsidR="00EB245A" w14:paraId="29666553" w14:textId="77777777" w:rsidTr="00396F21">
        <w:trPr>
          <w:trHeight w:val="752"/>
          <w:tblHeader/>
          <w:jc w:val="center"/>
        </w:trPr>
        <w:tc>
          <w:tcPr>
            <w:tcW w:w="84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DCBC2BF" w14:textId="76D31477" w:rsidR="00EB245A" w:rsidRDefault="006021EE">
            <w:pPr>
              <w:pStyle w:val="P68B1DB1-Normal41"/>
              <w:spacing w:after="0" w:line="240" w:lineRule="auto"/>
              <w:jc w:val="center"/>
              <w:rPr>
                <w:rFonts w:eastAsia="Times New Roman" w:cs="Times New Roman"/>
                <w:noProof/>
              </w:rPr>
            </w:pPr>
            <w:r>
              <w:rPr>
                <w:noProof/>
              </w:rPr>
              <w:t>Lfd. Nr. Nr.</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CFB01B0" w14:textId="1584B3A0" w:rsidR="00EB245A" w:rsidRDefault="006021EE">
            <w:pPr>
              <w:pStyle w:val="P68B1DB1-Normal42"/>
              <w:spacing w:after="0" w:line="240" w:lineRule="auto"/>
              <w:jc w:val="center"/>
              <w:rPr>
                <w:rFonts w:eastAsia="Times New Roman" w:cs="Times New Roman"/>
                <w:noProof/>
                <w:sz w:val="24"/>
              </w:rPr>
            </w:pPr>
            <w:r>
              <w:rPr>
                <w:noProof/>
              </w:rPr>
              <w:t>Verbundene Maßnahme (Reform oder Investition)</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47C90C8" w14:textId="53C9E620" w:rsidR="00EB245A" w:rsidRDefault="006021EE">
            <w:pPr>
              <w:pStyle w:val="P68B1DB1-Normal42"/>
              <w:spacing w:after="0" w:line="240" w:lineRule="auto"/>
              <w:jc w:val="center"/>
              <w:rPr>
                <w:rFonts w:eastAsia="Times New Roman" w:cs="Times New Roman"/>
                <w:noProof/>
                <w:sz w:val="24"/>
              </w:rPr>
            </w:pPr>
            <w:r>
              <w:rPr>
                <w:noProof/>
              </w:rPr>
              <w:t>Etappenziel/Zielwert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9CB2C50" w14:textId="01DA8816" w:rsidR="00EB245A" w:rsidRDefault="006021EE">
            <w:pPr>
              <w:pStyle w:val="P68B1DB1-Normal42"/>
              <w:spacing w:after="0" w:line="240" w:lineRule="auto"/>
              <w:jc w:val="center"/>
              <w:rPr>
                <w:rFonts w:eastAsia="Times New Roman" w:cs="Times New Roman"/>
                <w:noProof/>
                <w:sz w:val="24"/>
              </w:rPr>
            </w:pPr>
            <w:r>
              <w:rPr>
                <w:noProof/>
              </w:rPr>
              <w:t>Namen</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26FC2DE" w14:textId="13A84E0E" w:rsidR="00EB245A" w:rsidRDefault="006021EE">
            <w:pPr>
              <w:spacing w:after="0" w:line="240" w:lineRule="auto"/>
              <w:jc w:val="center"/>
              <w:rPr>
                <w:rFonts w:ascii="Times New Roman" w:eastAsia="Times New Roman" w:hAnsi="Times New Roman" w:cs="Times New Roman"/>
                <w:b/>
                <w:noProof/>
                <w:sz w:val="18"/>
              </w:rPr>
            </w:pPr>
            <w:r>
              <w:rPr>
                <w:rFonts w:ascii="Times New Roman" w:hAnsi="Times New Roman"/>
                <w:b/>
                <w:noProof/>
                <w:color w:val="000000"/>
                <w:sz w:val="18"/>
              </w:rPr>
              <w:t>Etappenziel/Zielwert</w:t>
            </w:r>
            <w:r>
              <w:rPr>
                <w:noProof/>
              </w:rPr>
              <w:t xml:space="preserve">  </w:t>
            </w:r>
            <w:r>
              <w:rPr>
                <w:noProof/>
              </w:rPr>
              <w:br/>
            </w:r>
            <w:r>
              <w:rPr>
                <w:rFonts w:ascii="Times New Roman" w:hAnsi="Times New Roman"/>
                <w:b/>
                <w:noProof/>
                <w:color w:val="000000"/>
                <w:sz w:val="18"/>
              </w:rPr>
              <w:t>(für Etappenziele)</w:t>
            </w:r>
          </w:p>
        </w:tc>
        <w:tc>
          <w:tcPr>
            <w:tcW w:w="3402"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34939544" w14:textId="051B3943" w:rsidR="00EB245A" w:rsidRDefault="006021EE">
            <w:pPr>
              <w:spacing w:after="0" w:line="240" w:lineRule="auto"/>
              <w:jc w:val="center"/>
              <w:rPr>
                <w:rFonts w:ascii="Times New Roman" w:eastAsia="Times New Roman" w:hAnsi="Times New Roman" w:cs="Times New Roman"/>
                <w:b/>
                <w:noProof/>
                <w:sz w:val="18"/>
              </w:rPr>
            </w:pPr>
            <w:r>
              <w:rPr>
                <w:rFonts w:ascii="Times New Roman" w:hAnsi="Times New Roman"/>
                <w:b/>
                <w:noProof/>
                <w:color w:val="000000"/>
                <w:sz w:val="18"/>
              </w:rPr>
              <w:t>Qualitative Indikatoren (für</w:t>
            </w:r>
            <w:r>
              <w:rPr>
                <w:rFonts w:ascii="Times New Roman" w:hAnsi="Times New Roman"/>
                <w:b/>
                <w:noProof/>
                <w:color w:val="000000"/>
                <w:sz w:val="18"/>
              </w:rPr>
              <w:t xml:space="preserve"> Etappenziele)</w:t>
            </w:r>
            <w:r>
              <w:rPr>
                <w:noProof/>
              </w:rPr>
              <w:t xml:space="preserve">  </w:t>
            </w:r>
            <w:r>
              <w:rPr>
                <w:noProof/>
              </w:rPr>
              <w:br/>
            </w:r>
            <w:r>
              <w:rPr>
                <w:rFonts w:ascii="Times New Roman" w:hAnsi="Times New Roman"/>
                <w:b/>
                <w:noProof/>
                <w:color w:val="000000"/>
                <w:sz w:val="18"/>
              </w:rPr>
              <w:t>(für Ziele)</w:t>
            </w:r>
          </w:p>
        </w:tc>
        <w:tc>
          <w:tcPr>
            <w:tcW w:w="1984" w:type="dxa"/>
            <w:gridSpan w:val="2"/>
            <w:tcBorders>
              <w:top w:val="single" w:sz="4" w:space="0" w:color="auto"/>
              <w:left w:val="nil"/>
              <w:bottom w:val="single" w:sz="4" w:space="0" w:color="auto"/>
              <w:right w:val="single" w:sz="4" w:space="0" w:color="auto"/>
            </w:tcBorders>
            <w:shd w:val="clear" w:color="auto" w:fill="BDD7EE"/>
            <w:vAlign w:val="center"/>
            <w:hideMark/>
          </w:tcPr>
          <w:p w14:paraId="1CD22AA5" w14:textId="7741B2F4" w:rsidR="00EB245A" w:rsidRDefault="006021EE">
            <w:pPr>
              <w:pStyle w:val="P68B1DB1-Normal42"/>
              <w:spacing w:after="0" w:line="240" w:lineRule="auto"/>
              <w:jc w:val="center"/>
              <w:rPr>
                <w:rFonts w:eastAsia="Times New Roman" w:cs="Times New Roman"/>
                <w:noProof/>
              </w:rPr>
            </w:pPr>
            <w:r>
              <w:rPr>
                <w:noProof/>
              </w:rPr>
              <w:t xml:space="preserve">Vorläufiger Zeitplan für die Fertigstellung </w:t>
            </w:r>
          </w:p>
        </w:tc>
        <w:tc>
          <w:tcPr>
            <w:tcW w:w="269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5BAC6B8" w14:textId="47BE5711" w:rsidR="00EB245A" w:rsidRDefault="006021EE">
            <w:pPr>
              <w:pStyle w:val="P68B1DB1-Normal42"/>
              <w:spacing w:after="0" w:line="240" w:lineRule="auto"/>
              <w:jc w:val="center"/>
              <w:rPr>
                <w:rFonts w:eastAsia="Times New Roman" w:cs="Times New Roman"/>
                <w:noProof/>
                <w:sz w:val="24"/>
              </w:rPr>
            </w:pPr>
            <w:r>
              <w:rPr>
                <w:noProof/>
              </w:rPr>
              <w:t>Beschreibung der einzelnen Etappenziele und Zielvorgaben</w:t>
            </w:r>
          </w:p>
        </w:tc>
      </w:tr>
      <w:tr w:rsidR="00EB245A" w14:paraId="5AA6E8B8" w14:textId="77777777" w:rsidTr="00396F21">
        <w:trPr>
          <w:trHeight w:val="704"/>
          <w:tblHeader/>
          <w:jc w:val="center"/>
        </w:trPr>
        <w:tc>
          <w:tcPr>
            <w:tcW w:w="846" w:type="dxa"/>
            <w:vMerge/>
            <w:tcBorders>
              <w:top w:val="single" w:sz="4" w:space="0" w:color="auto"/>
              <w:left w:val="single" w:sz="4" w:space="0" w:color="auto"/>
              <w:bottom w:val="single" w:sz="4" w:space="0" w:color="auto"/>
              <w:right w:val="single" w:sz="4" w:space="0" w:color="auto"/>
            </w:tcBorders>
            <w:hideMark/>
          </w:tcPr>
          <w:p w14:paraId="5849EAE1" w14:textId="77777777" w:rsidR="00EB245A" w:rsidRDefault="00EB245A">
            <w:pPr>
              <w:spacing w:after="0" w:line="240" w:lineRule="auto"/>
              <w:jc w:val="center"/>
              <w:rPr>
                <w:rFonts w:ascii="Times New Roman" w:eastAsia="Times New Roman" w:hAnsi="Times New Roman" w:cs="Times New Roman"/>
                <w:b/>
                <w:noProof/>
                <w:sz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6C4AFC1" w14:textId="77777777" w:rsidR="00EB245A" w:rsidRDefault="00EB245A">
            <w:pPr>
              <w:spacing w:after="0" w:line="240" w:lineRule="auto"/>
              <w:rPr>
                <w:rFonts w:ascii="Times New Roman" w:eastAsia="Times New Roman" w:hAnsi="Times New Roman" w:cs="Times New Roman"/>
                <w:b/>
                <w:noProof/>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29735CF" w14:textId="77777777" w:rsidR="00EB245A" w:rsidRDefault="00EB245A">
            <w:pPr>
              <w:spacing w:after="0" w:line="240" w:lineRule="auto"/>
              <w:rPr>
                <w:rFonts w:ascii="Times New Roman" w:eastAsia="Times New Roman" w:hAnsi="Times New Roman" w:cs="Times New Roman"/>
                <w:b/>
                <w:noProof/>
                <w:sz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DF836F7" w14:textId="77777777" w:rsidR="00EB245A" w:rsidRDefault="00EB245A">
            <w:pPr>
              <w:spacing w:after="0" w:line="240" w:lineRule="auto"/>
              <w:rPr>
                <w:rFonts w:ascii="Times New Roman" w:eastAsia="Times New Roman" w:hAnsi="Times New Roman" w:cs="Times New Roman"/>
                <w:b/>
                <w:noProof/>
                <w:sz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66189BC" w14:textId="77777777" w:rsidR="00EB245A" w:rsidRDefault="00EB245A">
            <w:pPr>
              <w:spacing w:after="0" w:line="240" w:lineRule="auto"/>
              <w:rPr>
                <w:rFonts w:ascii="Times New Roman" w:eastAsia="Times New Roman" w:hAnsi="Times New Roman" w:cs="Times New Roman"/>
                <w:b/>
                <w:noProof/>
                <w:sz w:val="18"/>
              </w:rPr>
            </w:pPr>
          </w:p>
        </w:tc>
        <w:tc>
          <w:tcPr>
            <w:tcW w:w="1134" w:type="dxa"/>
            <w:tcBorders>
              <w:top w:val="nil"/>
              <w:left w:val="single" w:sz="4" w:space="0" w:color="auto"/>
              <w:bottom w:val="single" w:sz="4" w:space="0" w:color="auto"/>
              <w:right w:val="single" w:sz="4" w:space="0" w:color="auto"/>
            </w:tcBorders>
            <w:shd w:val="clear" w:color="auto" w:fill="BDD7EE"/>
            <w:vAlign w:val="center"/>
            <w:hideMark/>
          </w:tcPr>
          <w:p w14:paraId="36EDA945" w14:textId="77777777" w:rsidR="00EB245A" w:rsidRDefault="006021EE">
            <w:pPr>
              <w:pStyle w:val="P68B1DB1-Normal41"/>
              <w:spacing w:after="0" w:line="240" w:lineRule="auto"/>
              <w:jc w:val="center"/>
              <w:rPr>
                <w:rFonts w:eastAsia="Times New Roman" w:cs="Times New Roman"/>
                <w:noProof/>
              </w:rPr>
            </w:pPr>
            <w:r>
              <w:rPr>
                <w:noProof/>
              </w:rPr>
              <w:t>Maßeinheit</w:t>
            </w:r>
          </w:p>
        </w:tc>
        <w:tc>
          <w:tcPr>
            <w:tcW w:w="1275" w:type="dxa"/>
            <w:tcBorders>
              <w:top w:val="nil"/>
              <w:left w:val="nil"/>
              <w:bottom w:val="single" w:sz="4" w:space="0" w:color="auto"/>
              <w:right w:val="single" w:sz="4" w:space="0" w:color="auto"/>
            </w:tcBorders>
            <w:shd w:val="clear" w:color="auto" w:fill="BDD7EE"/>
            <w:vAlign w:val="center"/>
            <w:hideMark/>
          </w:tcPr>
          <w:p w14:paraId="568389D7" w14:textId="77777777" w:rsidR="00EB245A" w:rsidRDefault="006021EE">
            <w:pPr>
              <w:pStyle w:val="P68B1DB1-Normal41"/>
              <w:spacing w:after="0" w:line="240" w:lineRule="auto"/>
              <w:jc w:val="center"/>
              <w:rPr>
                <w:rFonts w:eastAsia="Times New Roman" w:cs="Times New Roman"/>
                <w:noProof/>
              </w:rPr>
            </w:pPr>
            <w:r>
              <w:rPr>
                <w:noProof/>
              </w:rPr>
              <w:t xml:space="preserve">Ausgangslage </w:t>
            </w:r>
          </w:p>
        </w:tc>
        <w:tc>
          <w:tcPr>
            <w:tcW w:w="993" w:type="dxa"/>
            <w:tcBorders>
              <w:top w:val="nil"/>
              <w:left w:val="nil"/>
              <w:bottom w:val="single" w:sz="4" w:space="0" w:color="auto"/>
              <w:right w:val="single" w:sz="4" w:space="0" w:color="auto"/>
            </w:tcBorders>
            <w:shd w:val="clear" w:color="auto" w:fill="BDD7EE"/>
            <w:vAlign w:val="center"/>
            <w:hideMark/>
          </w:tcPr>
          <w:p w14:paraId="0F4BEBC7" w14:textId="77777777" w:rsidR="00EB245A" w:rsidRDefault="006021EE">
            <w:pPr>
              <w:pStyle w:val="P68B1DB1-Normal41"/>
              <w:spacing w:after="0" w:line="240" w:lineRule="auto"/>
              <w:jc w:val="center"/>
              <w:rPr>
                <w:rFonts w:eastAsia="Times New Roman" w:cs="Times New Roman"/>
                <w:noProof/>
              </w:rPr>
            </w:pPr>
            <w:r>
              <w:rPr>
                <w:noProof/>
              </w:rPr>
              <w:t xml:space="preserve">Ziel </w:t>
            </w:r>
          </w:p>
        </w:tc>
        <w:tc>
          <w:tcPr>
            <w:tcW w:w="992" w:type="dxa"/>
            <w:tcBorders>
              <w:top w:val="nil"/>
              <w:left w:val="nil"/>
              <w:bottom w:val="single" w:sz="4" w:space="0" w:color="auto"/>
              <w:right w:val="single" w:sz="4" w:space="0" w:color="auto"/>
            </w:tcBorders>
            <w:shd w:val="clear" w:color="auto" w:fill="BDD7EE"/>
            <w:vAlign w:val="center"/>
            <w:hideMark/>
          </w:tcPr>
          <w:p w14:paraId="6EA0EFA1" w14:textId="77777777" w:rsidR="00EB245A" w:rsidRDefault="006021EE">
            <w:pPr>
              <w:pStyle w:val="P68B1DB1-Normal41"/>
              <w:spacing w:after="0" w:line="240" w:lineRule="auto"/>
              <w:jc w:val="center"/>
              <w:rPr>
                <w:rFonts w:eastAsia="Times New Roman" w:cs="Times New Roman"/>
                <w:noProof/>
              </w:rPr>
            </w:pPr>
            <w:r>
              <w:rPr>
                <w:noProof/>
              </w:rPr>
              <w:t>Viertel</w:t>
            </w:r>
          </w:p>
        </w:tc>
        <w:tc>
          <w:tcPr>
            <w:tcW w:w="992" w:type="dxa"/>
            <w:tcBorders>
              <w:top w:val="nil"/>
              <w:left w:val="nil"/>
              <w:bottom w:val="single" w:sz="4" w:space="0" w:color="auto"/>
              <w:right w:val="single" w:sz="4" w:space="0" w:color="auto"/>
            </w:tcBorders>
            <w:shd w:val="clear" w:color="auto" w:fill="BDD7EE"/>
            <w:vAlign w:val="center"/>
            <w:hideMark/>
          </w:tcPr>
          <w:p w14:paraId="2F15F87D" w14:textId="77777777" w:rsidR="00EB245A" w:rsidRDefault="006021EE">
            <w:pPr>
              <w:pStyle w:val="P68B1DB1-Normal41"/>
              <w:spacing w:after="0" w:line="240" w:lineRule="auto"/>
              <w:jc w:val="center"/>
              <w:rPr>
                <w:rFonts w:eastAsia="Times New Roman" w:cs="Times New Roman"/>
                <w:noProof/>
              </w:rPr>
            </w:pPr>
            <w:r>
              <w:rPr>
                <w:noProof/>
              </w:rPr>
              <w:t>Jahre</w:t>
            </w:r>
          </w:p>
        </w:tc>
        <w:tc>
          <w:tcPr>
            <w:tcW w:w="2698" w:type="dxa"/>
            <w:vMerge/>
            <w:tcBorders>
              <w:top w:val="single" w:sz="4" w:space="0" w:color="auto"/>
              <w:bottom w:val="single" w:sz="4" w:space="0" w:color="auto"/>
              <w:right w:val="single" w:sz="4" w:space="0" w:color="auto"/>
            </w:tcBorders>
            <w:vAlign w:val="center"/>
            <w:hideMark/>
          </w:tcPr>
          <w:p w14:paraId="78EA96C4" w14:textId="77777777" w:rsidR="00EB245A" w:rsidRDefault="00EB245A">
            <w:pPr>
              <w:spacing w:after="0" w:line="240" w:lineRule="auto"/>
              <w:rPr>
                <w:rFonts w:ascii="Times New Roman" w:eastAsia="Times New Roman" w:hAnsi="Times New Roman" w:cs="Times New Roman"/>
                <w:b/>
                <w:noProof/>
                <w:sz w:val="24"/>
              </w:rPr>
            </w:pPr>
          </w:p>
        </w:tc>
      </w:tr>
      <w:tr w:rsidR="00EB245A" w14:paraId="2575B9E2" w14:textId="77777777" w:rsidTr="00396F21">
        <w:trPr>
          <w:trHeight w:val="309"/>
          <w:jc w:val="center"/>
        </w:trPr>
        <w:tc>
          <w:tcPr>
            <w:tcW w:w="846" w:type="dxa"/>
            <w:tcBorders>
              <w:top w:val="single" w:sz="4" w:space="0" w:color="auto"/>
              <w:left w:val="single" w:sz="4" w:space="0" w:color="auto"/>
              <w:bottom w:val="single" w:sz="4" w:space="0" w:color="auto"/>
              <w:right w:val="single" w:sz="4" w:space="0" w:color="auto"/>
            </w:tcBorders>
            <w:shd w:val="clear" w:color="auto" w:fill="C6EFCE"/>
            <w:noWrap/>
          </w:tcPr>
          <w:p w14:paraId="503ABD13" w14:textId="0C4D6C09" w:rsidR="00EB245A" w:rsidRDefault="006021EE">
            <w:pPr>
              <w:pStyle w:val="P68B1DB1-Normal26"/>
              <w:spacing w:after="0" w:line="240" w:lineRule="auto"/>
              <w:jc w:val="center"/>
              <w:rPr>
                <w:rFonts w:eastAsia="Times New Roman" w:cs="Times New Roman"/>
                <w:noProof/>
              </w:rPr>
            </w:pPr>
            <w:r>
              <w:rPr>
                <w:noProof/>
              </w:rPr>
              <w:t>G12G</w:t>
            </w:r>
          </w:p>
        </w:tc>
        <w:tc>
          <w:tcPr>
            <w:tcW w:w="1559" w:type="dxa"/>
            <w:tcBorders>
              <w:top w:val="single" w:sz="4" w:space="0" w:color="auto"/>
              <w:left w:val="nil"/>
              <w:bottom w:val="single" w:sz="4" w:space="0" w:color="auto"/>
              <w:right w:val="single" w:sz="4" w:space="0" w:color="auto"/>
            </w:tcBorders>
            <w:shd w:val="clear" w:color="auto" w:fill="C6EFCE"/>
            <w:noWrap/>
          </w:tcPr>
          <w:p w14:paraId="787460C2" w14:textId="4220C0A8" w:rsidR="00EB245A" w:rsidRDefault="006021EE">
            <w:pPr>
              <w:pStyle w:val="P68B1DB1-Normal26"/>
              <w:spacing w:after="0" w:line="240" w:lineRule="auto"/>
              <w:rPr>
                <w:rFonts w:eastAsia="Times New Roman" w:cs="Times New Roman"/>
                <w:noProof/>
              </w:rPr>
            </w:pPr>
            <w:r>
              <w:rPr>
                <w:noProof/>
              </w:rPr>
              <w:t xml:space="preserve">G1.2.1 Regelungslösungen für eine beschleunigte Integration </w:t>
            </w:r>
            <w:r>
              <w:rPr>
                <w:noProof/>
              </w:rPr>
              <w:t>erneuerbarer Energien in die Verteilernetze</w:t>
            </w:r>
          </w:p>
        </w:tc>
        <w:tc>
          <w:tcPr>
            <w:tcW w:w="1276" w:type="dxa"/>
            <w:tcBorders>
              <w:top w:val="single" w:sz="4" w:space="0" w:color="auto"/>
              <w:left w:val="nil"/>
              <w:bottom w:val="single" w:sz="4" w:space="0" w:color="auto"/>
              <w:right w:val="single" w:sz="4" w:space="0" w:color="auto"/>
            </w:tcBorders>
            <w:shd w:val="clear" w:color="auto" w:fill="C6EFCE"/>
            <w:noWrap/>
          </w:tcPr>
          <w:p w14:paraId="23B0F108" w14:textId="77777777" w:rsidR="00EB245A" w:rsidRDefault="006021EE">
            <w:pPr>
              <w:pStyle w:val="P68B1DB1-Normal26"/>
              <w:spacing w:after="0" w:line="240" w:lineRule="auto"/>
              <w:rPr>
                <w:rFonts w:eastAsia="Times New Roman" w:cs="Times New Roman"/>
                <w:noProof/>
              </w:rPr>
            </w:pPr>
            <w:r>
              <w:rPr>
                <w:noProof/>
              </w:rPr>
              <w:t>Meilenstein</w:t>
            </w:r>
          </w:p>
        </w:tc>
        <w:tc>
          <w:tcPr>
            <w:tcW w:w="1701" w:type="dxa"/>
            <w:tcBorders>
              <w:top w:val="single" w:sz="4" w:space="0" w:color="auto"/>
              <w:left w:val="nil"/>
              <w:bottom w:val="single" w:sz="4" w:space="0" w:color="auto"/>
              <w:right w:val="single" w:sz="4" w:space="0" w:color="auto"/>
            </w:tcBorders>
            <w:shd w:val="clear" w:color="auto" w:fill="C6EFCE"/>
            <w:noWrap/>
          </w:tcPr>
          <w:p w14:paraId="561B91CD" w14:textId="77777777" w:rsidR="00EB245A" w:rsidRDefault="006021EE">
            <w:pPr>
              <w:pStyle w:val="P68B1DB1-Normal26"/>
              <w:spacing w:after="0" w:line="240" w:lineRule="auto"/>
              <w:rPr>
                <w:rFonts w:eastAsia="Times New Roman" w:cs="Times New Roman"/>
                <w:noProof/>
              </w:rPr>
            </w:pPr>
            <w:r>
              <w:rPr>
                <w:noProof/>
              </w:rPr>
              <w:t>Annahme des neuen Regulierungsmodells durch den Präsidenten der Energieregulierungsbehörde</w:t>
            </w:r>
          </w:p>
        </w:tc>
        <w:tc>
          <w:tcPr>
            <w:tcW w:w="1843" w:type="dxa"/>
            <w:tcBorders>
              <w:top w:val="single" w:sz="4" w:space="0" w:color="auto"/>
              <w:left w:val="nil"/>
              <w:bottom w:val="single" w:sz="4" w:space="0" w:color="auto"/>
              <w:right w:val="single" w:sz="4" w:space="0" w:color="auto"/>
            </w:tcBorders>
            <w:shd w:val="clear" w:color="auto" w:fill="C6EFCE"/>
            <w:noWrap/>
          </w:tcPr>
          <w:p w14:paraId="7AB553C4" w14:textId="77777777" w:rsidR="00EB245A" w:rsidRDefault="006021EE">
            <w:pPr>
              <w:pStyle w:val="P68B1DB1-Normal26"/>
              <w:spacing w:after="0" w:line="240" w:lineRule="auto"/>
              <w:rPr>
                <w:rFonts w:eastAsia="Times New Roman" w:cs="Times New Roman"/>
                <w:noProof/>
              </w:rPr>
            </w:pPr>
            <w:r>
              <w:rPr>
                <w:noProof/>
              </w:rPr>
              <w:t>Veröffentlichung einer Ankündigung des Präsidenten des Energieregulierungsamts zur Einführung des neuen Regul</w:t>
            </w:r>
            <w:r>
              <w:rPr>
                <w:noProof/>
              </w:rPr>
              <w:t>ierungsmodells für Verteilernetzbetreiber</w:t>
            </w:r>
          </w:p>
        </w:tc>
        <w:tc>
          <w:tcPr>
            <w:tcW w:w="1134" w:type="dxa"/>
            <w:tcBorders>
              <w:top w:val="nil"/>
              <w:left w:val="nil"/>
              <w:bottom w:val="single" w:sz="4" w:space="0" w:color="auto"/>
              <w:right w:val="single" w:sz="4" w:space="0" w:color="auto"/>
            </w:tcBorders>
            <w:shd w:val="clear" w:color="auto" w:fill="C6EFCE"/>
            <w:noWrap/>
          </w:tcPr>
          <w:p w14:paraId="195B6E6E" w14:textId="77777777" w:rsidR="00EB245A" w:rsidRDefault="00EB245A">
            <w:pPr>
              <w:spacing w:after="0" w:line="240" w:lineRule="auto"/>
              <w:rPr>
                <w:rFonts w:ascii="Times New Roman" w:eastAsia="Times New Roman" w:hAnsi="Times New Roman" w:cs="Times New Roman"/>
                <w:noProof/>
                <w:sz w:val="18"/>
              </w:rPr>
            </w:pPr>
          </w:p>
        </w:tc>
        <w:tc>
          <w:tcPr>
            <w:tcW w:w="1275" w:type="dxa"/>
            <w:tcBorders>
              <w:top w:val="nil"/>
              <w:left w:val="nil"/>
              <w:bottom w:val="single" w:sz="4" w:space="0" w:color="auto"/>
              <w:right w:val="single" w:sz="4" w:space="0" w:color="auto"/>
            </w:tcBorders>
            <w:shd w:val="clear" w:color="auto" w:fill="C6EFCE"/>
            <w:noWrap/>
          </w:tcPr>
          <w:p w14:paraId="63A83EE9" w14:textId="77777777" w:rsidR="00EB245A" w:rsidRDefault="00EB245A">
            <w:pPr>
              <w:spacing w:after="0" w:line="240" w:lineRule="auto"/>
              <w:jc w:val="center"/>
              <w:rPr>
                <w:rFonts w:ascii="Times New Roman" w:eastAsia="Times New Roman" w:hAnsi="Times New Roman" w:cs="Times New Roman"/>
                <w:noProof/>
                <w:sz w:val="18"/>
              </w:rPr>
            </w:pPr>
          </w:p>
        </w:tc>
        <w:tc>
          <w:tcPr>
            <w:tcW w:w="993" w:type="dxa"/>
            <w:tcBorders>
              <w:top w:val="nil"/>
              <w:left w:val="nil"/>
              <w:bottom w:val="single" w:sz="4" w:space="0" w:color="auto"/>
              <w:right w:val="single" w:sz="4" w:space="0" w:color="auto"/>
            </w:tcBorders>
            <w:shd w:val="clear" w:color="auto" w:fill="C6EFCE"/>
            <w:noWrap/>
          </w:tcPr>
          <w:p w14:paraId="48825F63" w14:textId="77777777" w:rsidR="00EB245A" w:rsidRDefault="00EB245A">
            <w:pPr>
              <w:spacing w:after="0" w:line="240" w:lineRule="auto"/>
              <w:jc w:val="center"/>
              <w:rPr>
                <w:rFonts w:ascii="Times New Roman" w:eastAsia="Times New Roman" w:hAnsi="Times New Roman" w:cs="Times New Roman"/>
                <w:noProof/>
                <w:sz w:val="18"/>
              </w:rPr>
            </w:pPr>
          </w:p>
        </w:tc>
        <w:tc>
          <w:tcPr>
            <w:tcW w:w="992" w:type="dxa"/>
            <w:tcBorders>
              <w:top w:val="nil"/>
              <w:left w:val="nil"/>
              <w:bottom w:val="single" w:sz="4" w:space="0" w:color="auto"/>
              <w:right w:val="single" w:sz="4" w:space="0" w:color="auto"/>
            </w:tcBorders>
            <w:shd w:val="clear" w:color="auto" w:fill="C6EFCE"/>
            <w:noWrap/>
          </w:tcPr>
          <w:p w14:paraId="4C9244A3" w14:textId="77777777" w:rsidR="00EB245A" w:rsidRDefault="006021EE">
            <w:pPr>
              <w:pStyle w:val="P68B1DB1-Normal26"/>
              <w:spacing w:after="0" w:line="240" w:lineRule="auto"/>
              <w:jc w:val="center"/>
              <w:rPr>
                <w:rFonts w:eastAsia="Times New Roman" w:cs="Times New Roman"/>
                <w:noProof/>
              </w:rPr>
            </w:pPr>
            <w:r>
              <w:rPr>
                <w:noProof/>
              </w:rPr>
              <w:t>Q4</w:t>
            </w:r>
          </w:p>
        </w:tc>
        <w:tc>
          <w:tcPr>
            <w:tcW w:w="992" w:type="dxa"/>
            <w:tcBorders>
              <w:top w:val="nil"/>
              <w:left w:val="nil"/>
              <w:bottom w:val="single" w:sz="4" w:space="0" w:color="auto"/>
              <w:right w:val="single" w:sz="4" w:space="0" w:color="auto"/>
            </w:tcBorders>
            <w:shd w:val="clear" w:color="auto" w:fill="C6EFCE"/>
            <w:noWrap/>
          </w:tcPr>
          <w:p w14:paraId="225FFBBB" w14:textId="77777777" w:rsidR="00EB245A" w:rsidRDefault="006021EE">
            <w:pPr>
              <w:pStyle w:val="P68B1DB1-Normal26"/>
              <w:spacing w:after="0" w:line="240" w:lineRule="auto"/>
              <w:jc w:val="center"/>
              <w:rPr>
                <w:rFonts w:eastAsia="Times New Roman" w:cs="Times New Roman"/>
                <w:noProof/>
              </w:rPr>
            </w:pPr>
            <w:r>
              <w:rPr>
                <w:noProof/>
              </w:rPr>
              <w:t>2024</w:t>
            </w:r>
          </w:p>
        </w:tc>
        <w:tc>
          <w:tcPr>
            <w:tcW w:w="2698" w:type="dxa"/>
            <w:tcBorders>
              <w:top w:val="single" w:sz="4" w:space="0" w:color="auto"/>
              <w:left w:val="nil"/>
              <w:bottom w:val="single" w:sz="4" w:space="0" w:color="auto"/>
              <w:right w:val="single" w:sz="4" w:space="0" w:color="auto"/>
            </w:tcBorders>
            <w:shd w:val="clear" w:color="auto" w:fill="C6EFCE"/>
            <w:noWrap/>
          </w:tcPr>
          <w:p w14:paraId="5748F898" w14:textId="6B3291D0" w:rsidR="00EB245A" w:rsidRDefault="006021EE">
            <w:pPr>
              <w:pStyle w:val="P68B1DB1-Normal26"/>
              <w:spacing w:after="0" w:line="240" w:lineRule="auto"/>
              <w:rPr>
                <w:rFonts w:eastAsia="Times New Roman" w:cs="Times New Roman"/>
                <w:noProof/>
              </w:rPr>
            </w:pPr>
            <w:r>
              <w:rPr>
                <w:noProof/>
              </w:rPr>
              <w:t xml:space="preserve">Der Präsident der Energieregulierungsbehörde veröffentlicht eine Bekanntmachung, in der das neue verbindliche Regulierungsmodell für Verteilernetzbetreiber festgelegt wird. </w:t>
            </w:r>
          </w:p>
        </w:tc>
      </w:tr>
      <w:tr w:rsidR="00EB245A" w14:paraId="7B99A0A6" w14:textId="77777777" w:rsidTr="00396F21">
        <w:trPr>
          <w:trHeight w:val="309"/>
          <w:jc w:val="center"/>
        </w:trPr>
        <w:tc>
          <w:tcPr>
            <w:tcW w:w="846" w:type="dxa"/>
            <w:tcBorders>
              <w:top w:val="nil"/>
              <w:left w:val="single" w:sz="4" w:space="0" w:color="auto"/>
              <w:bottom w:val="single" w:sz="4" w:space="0" w:color="auto"/>
              <w:right w:val="single" w:sz="4" w:space="0" w:color="auto"/>
            </w:tcBorders>
            <w:shd w:val="clear" w:color="auto" w:fill="C6EFCE"/>
            <w:noWrap/>
          </w:tcPr>
          <w:p w14:paraId="3068E4B3" w14:textId="0E10D7B8" w:rsidR="00EB245A" w:rsidRDefault="006021EE">
            <w:pPr>
              <w:pStyle w:val="P68B1DB1-Normal26"/>
              <w:spacing w:after="0" w:line="240" w:lineRule="auto"/>
              <w:jc w:val="center"/>
              <w:rPr>
                <w:rFonts w:eastAsia="Times New Roman" w:cs="Times New Roman"/>
                <w:noProof/>
              </w:rPr>
            </w:pPr>
            <w:r>
              <w:rPr>
                <w:noProof/>
              </w:rPr>
              <w:t>G13G</w:t>
            </w:r>
          </w:p>
        </w:tc>
        <w:tc>
          <w:tcPr>
            <w:tcW w:w="1559" w:type="dxa"/>
            <w:tcBorders>
              <w:top w:val="nil"/>
              <w:left w:val="nil"/>
              <w:bottom w:val="single" w:sz="4" w:space="0" w:color="auto"/>
              <w:right w:val="single" w:sz="4" w:space="0" w:color="auto"/>
            </w:tcBorders>
            <w:shd w:val="clear" w:color="auto" w:fill="C6EFCE"/>
            <w:noWrap/>
          </w:tcPr>
          <w:p w14:paraId="431A7973" w14:textId="2FB7137E" w:rsidR="00EB245A" w:rsidRDefault="006021EE">
            <w:pPr>
              <w:pStyle w:val="P68B1DB1-Normal26"/>
              <w:spacing w:after="0" w:line="240" w:lineRule="auto"/>
              <w:rPr>
                <w:rFonts w:eastAsia="Times New Roman" w:cs="Times New Roman"/>
                <w:noProof/>
              </w:rPr>
            </w:pPr>
            <w:r>
              <w:rPr>
                <w:noProof/>
              </w:rPr>
              <w:t xml:space="preserve">G1.2.2 Beseitigung von </w:t>
            </w:r>
            <w:r>
              <w:rPr>
                <w:noProof/>
              </w:rPr>
              <w:t>Hindernissen für die Integration erneuerbarer Energiequellen in die Stromnetze</w:t>
            </w:r>
          </w:p>
        </w:tc>
        <w:tc>
          <w:tcPr>
            <w:tcW w:w="1276" w:type="dxa"/>
            <w:tcBorders>
              <w:top w:val="nil"/>
              <w:left w:val="nil"/>
              <w:bottom w:val="single" w:sz="4" w:space="0" w:color="auto"/>
              <w:right w:val="single" w:sz="4" w:space="0" w:color="auto"/>
            </w:tcBorders>
            <w:shd w:val="clear" w:color="auto" w:fill="C6EFCE"/>
            <w:noWrap/>
          </w:tcPr>
          <w:p w14:paraId="69B2031F" w14:textId="77777777" w:rsidR="00EB245A" w:rsidRDefault="006021EE">
            <w:pPr>
              <w:pStyle w:val="P68B1DB1-Normal26"/>
              <w:spacing w:after="0" w:line="240" w:lineRule="auto"/>
              <w:rPr>
                <w:rFonts w:eastAsia="Times New Roman" w:cs="Times New Roman"/>
                <w:noProof/>
              </w:rPr>
            </w:pPr>
            <w:r>
              <w:rPr>
                <w:noProof/>
              </w:rPr>
              <w:t>Meilenstein</w:t>
            </w:r>
          </w:p>
        </w:tc>
        <w:tc>
          <w:tcPr>
            <w:tcW w:w="1701" w:type="dxa"/>
            <w:tcBorders>
              <w:top w:val="nil"/>
              <w:left w:val="nil"/>
              <w:bottom w:val="single" w:sz="4" w:space="0" w:color="auto"/>
              <w:right w:val="single" w:sz="4" w:space="0" w:color="auto"/>
            </w:tcBorders>
            <w:shd w:val="clear" w:color="auto" w:fill="C6EFCE"/>
            <w:noWrap/>
          </w:tcPr>
          <w:p w14:paraId="6D2EAE00" w14:textId="77777777" w:rsidR="00EB245A" w:rsidRDefault="006021EE">
            <w:pPr>
              <w:pStyle w:val="P68B1DB1-Normal26"/>
              <w:spacing w:after="0" w:line="240" w:lineRule="auto"/>
              <w:rPr>
                <w:rFonts w:eastAsia="Times New Roman" w:cs="Times New Roman"/>
                <w:noProof/>
              </w:rPr>
            </w:pPr>
            <w:r>
              <w:rPr>
                <w:noProof/>
              </w:rPr>
              <w:t>Inkrafttreten des Rechtsrahmens, der Kabelbündelung ermöglicht</w:t>
            </w:r>
          </w:p>
        </w:tc>
        <w:tc>
          <w:tcPr>
            <w:tcW w:w="1843" w:type="dxa"/>
            <w:tcBorders>
              <w:top w:val="nil"/>
              <w:left w:val="nil"/>
              <w:bottom w:val="single" w:sz="4" w:space="0" w:color="auto"/>
              <w:right w:val="single" w:sz="4" w:space="0" w:color="auto"/>
            </w:tcBorders>
            <w:shd w:val="clear" w:color="auto" w:fill="C6EFCE"/>
            <w:noWrap/>
          </w:tcPr>
          <w:p w14:paraId="32D62BDD" w14:textId="2E574229" w:rsidR="00EB245A" w:rsidRDefault="006021EE">
            <w:pPr>
              <w:pStyle w:val="P68B1DB1-Normal26"/>
              <w:spacing w:after="0" w:line="240" w:lineRule="auto"/>
              <w:rPr>
                <w:rFonts w:eastAsia="Times New Roman" w:cs="Times New Roman"/>
                <w:noProof/>
              </w:rPr>
            </w:pPr>
            <w:r>
              <w:rPr>
                <w:noProof/>
              </w:rPr>
              <w:t>Bestimmung im Änderungsrechtsakt</w:t>
            </w:r>
          </w:p>
          <w:p w14:paraId="5D5D8C7C" w14:textId="77777777" w:rsidR="00EB245A" w:rsidRDefault="006021EE">
            <w:pPr>
              <w:pStyle w:val="P68B1DB1-Normal26"/>
              <w:spacing w:after="0" w:line="240" w:lineRule="auto"/>
              <w:rPr>
                <w:rFonts w:eastAsia="Times New Roman" w:cs="Times New Roman"/>
                <w:noProof/>
              </w:rPr>
            </w:pPr>
            <w:r>
              <w:rPr>
                <w:noProof/>
              </w:rPr>
              <w:t>Angabe des Inkrafttretens</w:t>
            </w:r>
          </w:p>
        </w:tc>
        <w:tc>
          <w:tcPr>
            <w:tcW w:w="1134" w:type="dxa"/>
            <w:tcBorders>
              <w:top w:val="nil"/>
              <w:left w:val="nil"/>
              <w:bottom w:val="single" w:sz="4" w:space="0" w:color="auto"/>
              <w:right w:val="single" w:sz="4" w:space="0" w:color="auto"/>
            </w:tcBorders>
            <w:shd w:val="clear" w:color="auto" w:fill="C6EFCE"/>
            <w:noWrap/>
          </w:tcPr>
          <w:p w14:paraId="68E34AA9" w14:textId="77777777" w:rsidR="00EB245A" w:rsidRDefault="00EB245A">
            <w:pPr>
              <w:spacing w:after="0" w:line="240" w:lineRule="auto"/>
              <w:rPr>
                <w:rFonts w:ascii="Times New Roman" w:eastAsia="Times New Roman" w:hAnsi="Times New Roman" w:cs="Times New Roman"/>
                <w:noProof/>
                <w:sz w:val="18"/>
              </w:rPr>
            </w:pPr>
          </w:p>
        </w:tc>
        <w:tc>
          <w:tcPr>
            <w:tcW w:w="1275" w:type="dxa"/>
            <w:tcBorders>
              <w:top w:val="nil"/>
              <w:left w:val="nil"/>
              <w:bottom w:val="single" w:sz="4" w:space="0" w:color="auto"/>
              <w:right w:val="single" w:sz="4" w:space="0" w:color="auto"/>
            </w:tcBorders>
            <w:shd w:val="clear" w:color="auto" w:fill="C6EFCE"/>
            <w:noWrap/>
          </w:tcPr>
          <w:p w14:paraId="72B41886" w14:textId="77777777" w:rsidR="00EB245A" w:rsidRDefault="00EB245A">
            <w:pPr>
              <w:spacing w:after="0" w:line="240" w:lineRule="auto"/>
              <w:jc w:val="center"/>
              <w:rPr>
                <w:rFonts w:ascii="Times New Roman" w:eastAsia="Times New Roman" w:hAnsi="Times New Roman" w:cs="Times New Roman"/>
                <w:noProof/>
                <w:sz w:val="18"/>
              </w:rPr>
            </w:pPr>
          </w:p>
        </w:tc>
        <w:tc>
          <w:tcPr>
            <w:tcW w:w="993" w:type="dxa"/>
            <w:tcBorders>
              <w:top w:val="nil"/>
              <w:left w:val="nil"/>
              <w:bottom w:val="single" w:sz="4" w:space="0" w:color="auto"/>
              <w:right w:val="single" w:sz="4" w:space="0" w:color="auto"/>
            </w:tcBorders>
            <w:shd w:val="clear" w:color="auto" w:fill="C6EFCE"/>
            <w:noWrap/>
          </w:tcPr>
          <w:p w14:paraId="021DB270" w14:textId="77777777" w:rsidR="00EB245A" w:rsidRDefault="00EB245A">
            <w:pPr>
              <w:spacing w:after="0" w:line="240" w:lineRule="auto"/>
              <w:jc w:val="center"/>
              <w:rPr>
                <w:rFonts w:ascii="Times New Roman" w:eastAsia="Times New Roman" w:hAnsi="Times New Roman" w:cs="Times New Roman"/>
                <w:noProof/>
                <w:sz w:val="18"/>
              </w:rPr>
            </w:pPr>
          </w:p>
        </w:tc>
        <w:tc>
          <w:tcPr>
            <w:tcW w:w="992" w:type="dxa"/>
            <w:tcBorders>
              <w:top w:val="nil"/>
              <w:left w:val="nil"/>
              <w:bottom w:val="single" w:sz="4" w:space="0" w:color="auto"/>
              <w:right w:val="single" w:sz="4" w:space="0" w:color="auto"/>
            </w:tcBorders>
            <w:shd w:val="clear" w:color="auto" w:fill="C6EFCE"/>
            <w:noWrap/>
          </w:tcPr>
          <w:p w14:paraId="48531993" w14:textId="77777777" w:rsidR="00EB245A" w:rsidRDefault="006021EE">
            <w:pPr>
              <w:pStyle w:val="P68B1DB1-Normal26"/>
              <w:spacing w:after="0" w:line="240" w:lineRule="auto"/>
              <w:jc w:val="center"/>
              <w:rPr>
                <w:rFonts w:eastAsia="Times New Roman" w:cs="Times New Roman"/>
                <w:noProof/>
              </w:rPr>
            </w:pPr>
            <w:r>
              <w:rPr>
                <w:noProof/>
              </w:rPr>
              <w:t>Q4</w:t>
            </w:r>
          </w:p>
        </w:tc>
        <w:tc>
          <w:tcPr>
            <w:tcW w:w="992" w:type="dxa"/>
            <w:tcBorders>
              <w:top w:val="nil"/>
              <w:left w:val="nil"/>
              <w:bottom w:val="single" w:sz="4" w:space="0" w:color="auto"/>
              <w:right w:val="single" w:sz="4" w:space="0" w:color="auto"/>
            </w:tcBorders>
            <w:shd w:val="clear" w:color="auto" w:fill="C6EFCE"/>
            <w:noWrap/>
          </w:tcPr>
          <w:p w14:paraId="370900A9" w14:textId="77777777" w:rsidR="00EB245A" w:rsidRDefault="006021EE">
            <w:pPr>
              <w:pStyle w:val="P68B1DB1-Normal26"/>
              <w:spacing w:after="0" w:line="240" w:lineRule="auto"/>
              <w:jc w:val="center"/>
              <w:rPr>
                <w:rFonts w:eastAsia="Times New Roman" w:cs="Times New Roman"/>
                <w:noProof/>
              </w:rPr>
            </w:pPr>
            <w:r>
              <w:rPr>
                <w:noProof/>
              </w:rPr>
              <w:t>2023</w:t>
            </w:r>
          </w:p>
        </w:tc>
        <w:tc>
          <w:tcPr>
            <w:tcW w:w="2698" w:type="dxa"/>
            <w:tcBorders>
              <w:top w:val="nil"/>
              <w:left w:val="nil"/>
              <w:bottom w:val="single" w:sz="4" w:space="0" w:color="auto"/>
              <w:right w:val="single" w:sz="4" w:space="0" w:color="auto"/>
            </w:tcBorders>
            <w:shd w:val="clear" w:color="auto" w:fill="C6EFCE"/>
            <w:noWrap/>
          </w:tcPr>
          <w:p w14:paraId="6F6B1F38" w14:textId="1DB095EC" w:rsidR="00EB245A" w:rsidRDefault="006021EE">
            <w:pPr>
              <w:pStyle w:val="P68B1DB1-Normal26"/>
              <w:spacing w:after="0" w:line="240" w:lineRule="auto"/>
              <w:rPr>
                <w:rFonts w:eastAsia="Times New Roman" w:cs="Times New Roman"/>
                <w:noProof/>
              </w:rPr>
            </w:pPr>
            <w:r>
              <w:rPr>
                <w:noProof/>
              </w:rPr>
              <w:t xml:space="preserve">Änderungen des </w:t>
            </w:r>
            <w:r>
              <w:rPr>
                <w:noProof/>
              </w:rPr>
              <w:t>Erneuerbare-Energien-Gesetzes und des Energiegesetzes, die den Anschluss mehrerer erneuerbarer Energiequellen an das Stromnetz an einem einzigen Anschlusspunkt ermöglichen.</w:t>
            </w:r>
          </w:p>
        </w:tc>
      </w:tr>
      <w:tr w:rsidR="00EB245A" w14:paraId="0AB9EA8C" w14:textId="77777777" w:rsidTr="00396F21">
        <w:trPr>
          <w:trHeight w:val="309"/>
          <w:jc w:val="center"/>
        </w:trPr>
        <w:tc>
          <w:tcPr>
            <w:tcW w:w="846" w:type="dxa"/>
            <w:tcBorders>
              <w:top w:val="nil"/>
              <w:left w:val="single" w:sz="4" w:space="0" w:color="auto"/>
              <w:bottom w:val="single" w:sz="4" w:space="0" w:color="auto"/>
              <w:right w:val="single" w:sz="4" w:space="0" w:color="auto"/>
            </w:tcBorders>
            <w:shd w:val="clear" w:color="auto" w:fill="C6EFCE"/>
            <w:noWrap/>
          </w:tcPr>
          <w:p w14:paraId="4FB50381" w14:textId="37306AC3" w:rsidR="00EB245A" w:rsidRDefault="006021EE">
            <w:pPr>
              <w:pStyle w:val="P68B1DB1-Normal26"/>
              <w:spacing w:after="0" w:line="240" w:lineRule="auto"/>
              <w:jc w:val="center"/>
              <w:rPr>
                <w:rFonts w:eastAsia="Times New Roman" w:cs="Times New Roman"/>
                <w:noProof/>
              </w:rPr>
            </w:pPr>
            <w:r>
              <w:rPr>
                <w:noProof/>
              </w:rPr>
              <w:t>G14G</w:t>
            </w:r>
          </w:p>
        </w:tc>
        <w:tc>
          <w:tcPr>
            <w:tcW w:w="1559" w:type="dxa"/>
            <w:tcBorders>
              <w:top w:val="nil"/>
              <w:left w:val="nil"/>
              <w:bottom w:val="single" w:sz="4" w:space="0" w:color="auto"/>
              <w:right w:val="single" w:sz="4" w:space="0" w:color="auto"/>
            </w:tcBorders>
            <w:shd w:val="clear" w:color="auto" w:fill="C6EFCE"/>
            <w:noWrap/>
          </w:tcPr>
          <w:p w14:paraId="6E5447CC" w14:textId="2E545F06" w:rsidR="00EB245A" w:rsidRDefault="006021EE">
            <w:pPr>
              <w:pStyle w:val="P68B1DB1-Normal26"/>
              <w:spacing w:after="0" w:line="240" w:lineRule="auto"/>
              <w:rPr>
                <w:rFonts w:eastAsia="Times New Roman" w:cs="Times New Roman"/>
                <w:noProof/>
              </w:rPr>
            </w:pPr>
            <w:r>
              <w:rPr>
                <w:noProof/>
              </w:rPr>
              <w:t xml:space="preserve">G1.2.2 Beseitigung von Hindernissen für die Integration erneuerbarer </w:t>
            </w:r>
            <w:r>
              <w:rPr>
                <w:noProof/>
              </w:rPr>
              <w:t>Energiequellen in die Stromnetze</w:t>
            </w:r>
          </w:p>
        </w:tc>
        <w:tc>
          <w:tcPr>
            <w:tcW w:w="1276" w:type="dxa"/>
            <w:tcBorders>
              <w:top w:val="nil"/>
              <w:left w:val="nil"/>
              <w:bottom w:val="single" w:sz="4" w:space="0" w:color="auto"/>
              <w:right w:val="single" w:sz="4" w:space="0" w:color="auto"/>
            </w:tcBorders>
            <w:shd w:val="clear" w:color="auto" w:fill="C6EFCE"/>
            <w:noWrap/>
          </w:tcPr>
          <w:p w14:paraId="32535871" w14:textId="77777777" w:rsidR="00EB245A" w:rsidRDefault="006021EE">
            <w:pPr>
              <w:pStyle w:val="P68B1DB1-Normal26"/>
              <w:spacing w:after="0" w:line="240" w:lineRule="auto"/>
              <w:rPr>
                <w:rFonts w:eastAsia="Times New Roman" w:cs="Times New Roman"/>
                <w:noProof/>
              </w:rPr>
            </w:pPr>
            <w:r>
              <w:rPr>
                <w:noProof/>
              </w:rPr>
              <w:t>Meilenstein</w:t>
            </w:r>
          </w:p>
        </w:tc>
        <w:tc>
          <w:tcPr>
            <w:tcW w:w="1701" w:type="dxa"/>
            <w:tcBorders>
              <w:top w:val="nil"/>
              <w:left w:val="nil"/>
              <w:bottom w:val="single" w:sz="4" w:space="0" w:color="auto"/>
              <w:right w:val="single" w:sz="4" w:space="0" w:color="auto"/>
            </w:tcBorders>
            <w:shd w:val="clear" w:color="auto" w:fill="C6EFCE"/>
            <w:noWrap/>
          </w:tcPr>
          <w:p w14:paraId="4274C04A" w14:textId="745375A9" w:rsidR="00EB245A" w:rsidRDefault="006021EE">
            <w:pPr>
              <w:pStyle w:val="P68B1DB1-Normal26"/>
              <w:spacing w:after="0" w:line="240" w:lineRule="auto"/>
              <w:rPr>
                <w:rFonts w:eastAsia="Times New Roman" w:cs="Times New Roman"/>
                <w:noProof/>
              </w:rPr>
            </w:pPr>
            <w:r>
              <w:rPr>
                <w:noProof/>
              </w:rPr>
              <w:t>Inkrafttreten von legislativen und gegebenenfalls nichtlegislativen Rechtsakten, die die Transparenz des Prozesses des Anschlusses an die Stromnetze erhöhen und diesen Prozess erleichtern</w:t>
            </w:r>
          </w:p>
        </w:tc>
        <w:tc>
          <w:tcPr>
            <w:tcW w:w="1843" w:type="dxa"/>
            <w:tcBorders>
              <w:top w:val="nil"/>
              <w:left w:val="nil"/>
              <w:bottom w:val="single" w:sz="4" w:space="0" w:color="auto"/>
              <w:right w:val="single" w:sz="4" w:space="0" w:color="auto"/>
            </w:tcBorders>
            <w:shd w:val="clear" w:color="auto" w:fill="C6EFCE"/>
            <w:noWrap/>
          </w:tcPr>
          <w:p w14:paraId="1401BD8A" w14:textId="4AC672D6" w:rsidR="00EB245A" w:rsidRDefault="006021EE">
            <w:pPr>
              <w:pStyle w:val="P68B1DB1-Normal26"/>
              <w:spacing w:after="0" w:line="240" w:lineRule="auto"/>
              <w:rPr>
                <w:rFonts w:eastAsia="Times New Roman" w:cs="Times New Roman"/>
                <w:noProof/>
              </w:rPr>
            </w:pPr>
            <w:r>
              <w:rPr>
                <w:noProof/>
              </w:rPr>
              <w:t xml:space="preserve">Bestimmungen in </w:t>
            </w:r>
            <w:r>
              <w:rPr>
                <w:noProof/>
              </w:rPr>
              <w:t>Rechtsakten und gegebenenfalls Rechtsakten ohne Gesetzescharakter, aus denen hervorgeht, dass sie in Kraft treten</w:t>
            </w:r>
          </w:p>
        </w:tc>
        <w:tc>
          <w:tcPr>
            <w:tcW w:w="1134" w:type="dxa"/>
            <w:tcBorders>
              <w:top w:val="nil"/>
              <w:left w:val="nil"/>
              <w:bottom w:val="single" w:sz="4" w:space="0" w:color="auto"/>
              <w:right w:val="single" w:sz="4" w:space="0" w:color="auto"/>
            </w:tcBorders>
            <w:shd w:val="clear" w:color="auto" w:fill="C6EFCE"/>
            <w:noWrap/>
          </w:tcPr>
          <w:p w14:paraId="21D104C4" w14:textId="77777777" w:rsidR="00EB245A" w:rsidRDefault="00EB245A">
            <w:pPr>
              <w:spacing w:after="0" w:line="240" w:lineRule="auto"/>
              <w:rPr>
                <w:rFonts w:ascii="Times New Roman" w:eastAsia="Times New Roman" w:hAnsi="Times New Roman" w:cs="Times New Roman"/>
                <w:noProof/>
                <w:sz w:val="18"/>
              </w:rPr>
            </w:pPr>
          </w:p>
        </w:tc>
        <w:tc>
          <w:tcPr>
            <w:tcW w:w="1275" w:type="dxa"/>
            <w:tcBorders>
              <w:top w:val="nil"/>
              <w:left w:val="nil"/>
              <w:bottom w:val="single" w:sz="4" w:space="0" w:color="auto"/>
              <w:right w:val="single" w:sz="4" w:space="0" w:color="auto"/>
            </w:tcBorders>
            <w:shd w:val="clear" w:color="auto" w:fill="C6EFCE"/>
            <w:noWrap/>
          </w:tcPr>
          <w:p w14:paraId="6AB09E6E" w14:textId="77777777" w:rsidR="00EB245A" w:rsidRDefault="00EB245A">
            <w:pPr>
              <w:spacing w:after="0" w:line="240" w:lineRule="auto"/>
              <w:jc w:val="center"/>
              <w:rPr>
                <w:rFonts w:ascii="Times New Roman" w:eastAsia="Times New Roman" w:hAnsi="Times New Roman" w:cs="Times New Roman"/>
                <w:noProof/>
                <w:sz w:val="18"/>
              </w:rPr>
            </w:pPr>
          </w:p>
        </w:tc>
        <w:tc>
          <w:tcPr>
            <w:tcW w:w="993" w:type="dxa"/>
            <w:tcBorders>
              <w:top w:val="nil"/>
              <w:left w:val="nil"/>
              <w:bottom w:val="single" w:sz="4" w:space="0" w:color="auto"/>
              <w:right w:val="single" w:sz="4" w:space="0" w:color="auto"/>
            </w:tcBorders>
            <w:shd w:val="clear" w:color="auto" w:fill="C6EFCE"/>
            <w:noWrap/>
          </w:tcPr>
          <w:p w14:paraId="14BAC9E4" w14:textId="77777777" w:rsidR="00EB245A" w:rsidRDefault="00EB245A">
            <w:pPr>
              <w:spacing w:after="0" w:line="240" w:lineRule="auto"/>
              <w:jc w:val="center"/>
              <w:rPr>
                <w:rFonts w:ascii="Times New Roman" w:eastAsia="Times New Roman" w:hAnsi="Times New Roman" w:cs="Times New Roman"/>
                <w:noProof/>
                <w:sz w:val="18"/>
              </w:rPr>
            </w:pPr>
          </w:p>
        </w:tc>
        <w:tc>
          <w:tcPr>
            <w:tcW w:w="992" w:type="dxa"/>
            <w:tcBorders>
              <w:top w:val="nil"/>
              <w:left w:val="nil"/>
              <w:bottom w:val="single" w:sz="4" w:space="0" w:color="auto"/>
              <w:right w:val="single" w:sz="4" w:space="0" w:color="auto"/>
            </w:tcBorders>
            <w:shd w:val="clear" w:color="auto" w:fill="C6EFCE"/>
            <w:noWrap/>
          </w:tcPr>
          <w:p w14:paraId="5CDFE0D4" w14:textId="77777777" w:rsidR="00EB245A" w:rsidRDefault="006021EE">
            <w:pPr>
              <w:pStyle w:val="P68B1DB1-Normal26"/>
              <w:spacing w:after="0" w:line="240" w:lineRule="auto"/>
              <w:jc w:val="center"/>
              <w:rPr>
                <w:rFonts w:eastAsia="Times New Roman" w:cs="Times New Roman"/>
                <w:noProof/>
              </w:rPr>
            </w:pPr>
            <w:r>
              <w:rPr>
                <w:noProof/>
              </w:rPr>
              <w:t>Q4</w:t>
            </w:r>
          </w:p>
        </w:tc>
        <w:tc>
          <w:tcPr>
            <w:tcW w:w="992" w:type="dxa"/>
            <w:tcBorders>
              <w:top w:val="nil"/>
              <w:left w:val="nil"/>
              <w:bottom w:val="single" w:sz="4" w:space="0" w:color="auto"/>
              <w:right w:val="single" w:sz="4" w:space="0" w:color="auto"/>
            </w:tcBorders>
            <w:shd w:val="clear" w:color="auto" w:fill="C6EFCE"/>
            <w:noWrap/>
          </w:tcPr>
          <w:p w14:paraId="13C11D47" w14:textId="77777777" w:rsidR="00EB245A" w:rsidRDefault="006021EE">
            <w:pPr>
              <w:pStyle w:val="P68B1DB1-Normal26"/>
              <w:spacing w:after="0" w:line="240" w:lineRule="auto"/>
              <w:jc w:val="center"/>
              <w:rPr>
                <w:rFonts w:eastAsia="Times New Roman" w:cs="Times New Roman"/>
                <w:noProof/>
              </w:rPr>
            </w:pPr>
            <w:r>
              <w:rPr>
                <w:noProof/>
              </w:rPr>
              <w:t>2025</w:t>
            </w:r>
          </w:p>
        </w:tc>
        <w:tc>
          <w:tcPr>
            <w:tcW w:w="2698" w:type="dxa"/>
            <w:tcBorders>
              <w:top w:val="nil"/>
              <w:left w:val="nil"/>
              <w:bottom w:val="single" w:sz="4" w:space="0" w:color="auto"/>
              <w:right w:val="single" w:sz="4" w:space="0" w:color="auto"/>
            </w:tcBorders>
            <w:shd w:val="clear" w:color="auto" w:fill="C6EFCE"/>
            <w:noWrap/>
            <w:vAlign w:val="bottom"/>
          </w:tcPr>
          <w:p w14:paraId="47374FEF" w14:textId="670C607A" w:rsidR="00EB245A" w:rsidRDefault="006021EE">
            <w:pPr>
              <w:pStyle w:val="P68B1DB1-Normal26"/>
              <w:spacing w:after="0" w:line="240" w:lineRule="auto"/>
              <w:rPr>
                <w:rFonts w:eastAsia="Times New Roman" w:cs="Times New Roman"/>
                <w:noProof/>
              </w:rPr>
            </w:pPr>
            <w:r>
              <w:rPr>
                <w:noProof/>
              </w:rPr>
              <w:t>Legislative und gegebenenfalls Rechtsakte ohne Gesetzescharakter, die die Transparenz und Berechenbarkeit des Prozesses des Anschlu</w:t>
            </w:r>
            <w:r>
              <w:rPr>
                <w:noProof/>
              </w:rPr>
              <w:t xml:space="preserve">sses an die Stromnetze erhöhen und diesen Prozess erleichtern, treten in Kraft. </w:t>
            </w:r>
          </w:p>
          <w:p w14:paraId="3C30A085" w14:textId="77777777" w:rsidR="00EB245A" w:rsidRDefault="00EB245A">
            <w:pPr>
              <w:spacing w:after="0" w:line="240" w:lineRule="auto"/>
              <w:rPr>
                <w:rFonts w:ascii="Times New Roman" w:eastAsia="Times New Roman" w:hAnsi="Times New Roman" w:cs="Times New Roman"/>
                <w:noProof/>
                <w:sz w:val="18"/>
              </w:rPr>
            </w:pPr>
          </w:p>
          <w:p w14:paraId="2495456F" w14:textId="009FD51C" w:rsidR="00EB245A" w:rsidRDefault="006021EE">
            <w:pPr>
              <w:pStyle w:val="P68B1DB1-Normal26"/>
              <w:spacing w:after="0" w:line="240" w:lineRule="auto"/>
              <w:rPr>
                <w:rFonts w:eastAsia="Times New Roman" w:cs="Times New Roman"/>
                <w:noProof/>
              </w:rPr>
            </w:pPr>
            <w:r>
              <w:rPr>
                <w:noProof/>
              </w:rPr>
              <w:t>Mit dem Rechtsakt bzw. den Rechtsakten werden neue Vorschriften für diesen Anschlussprozess festgelegt oder bestehende Vorschriften geändert, die die Übertragungs- und Vertei</w:t>
            </w:r>
            <w:r>
              <w:rPr>
                <w:noProof/>
              </w:rPr>
              <w:t>lernetzbetreiber abdecken, einschließlich:</w:t>
            </w:r>
          </w:p>
          <w:p w14:paraId="614E8C86" w14:textId="1CBD472B" w:rsidR="00EB245A" w:rsidRDefault="006021EE">
            <w:pPr>
              <w:pStyle w:val="P68B1DB1-ListParagraph37"/>
              <w:numPr>
                <w:ilvl w:val="0"/>
                <w:numId w:val="30"/>
              </w:numPr>
              <w:spacing w:after="0" w:line="240" w:lineRule="auto"/>
              <w:ind w:left="169" w:hanging="175"/>
              <w:rPr>
                <w:rFonts w:eastAsia="Times New Roman" w:cs="Times New Roman"/>
                <w:noProof/>
              </w:rPr>
            </w:pPr>
            <w:r>
              <w:rPr>
                <w:noProof/>
              </w:rPr>
              <w:t>Die Erstellung eines einheitlichen Regelwerks, in dem Verfahren und Fristen sowie die Kriterien für die Bewertung von Verbindungsanträgen und Anschlussentscheidungen beschrieben werden;</w:t>
            </w:r>
          </w:p>
          <w:p w14:paraId="61AA8A87" w14:textId="5C55F41E" w:rsidR="00EB245A" w:rsidRDefault="006021EE">
            <w:pPr>
              <w:pStyle w:val="P68B1DB1-ListParagraph37"/>
              <w:numPr>
                <w:ilvl w:val="0"/>
                <w:numId w:val="30"/>
              </w:numPr>
              <w:spacing w:after="0" w:line="240" w:lineRule="auto"/>
              <w:ind w:left="169" w:hanging="175"/>
              <w:rPr>
                <w:rFonts w:eastAsia="Times New Roman" w:cs="Times New Roman"/>
                <w:noProof/>
              </w:rPr>
            </w:pPr>
            <w:r>
              <w:rPr>
                <w:noProof/>
              </w:rPr>
              <w:t>Die Online-Verfügbarkeit vo</w:t>
            </w:r>
            <w:r>
              <w:rPr>
                <w:noProof/>
              </w:rPr>
              <w:t>n Folgendem für die Öffentlichkeit: I) regelmäßig aktualisierte Informationen über verfügbare Netzanschlusskapazitäten; II) Informationen über abgelehnte Verbindungsanträge, einschließlich der Gründe für die Ablehnung, und iii) das einheitliche Regelwerk;</w:t>
            </w:r>
          </w:p>
          <w:p w14:paraId="78014F4D" w14:textId="4D760FC9" w:rsidR="00EB245A" w:rsidRDefault="006021EE">
            <w:pPr>
              <w:pStyle w:val="P68B1DB1-ListParagraph37"/>
              <w:numPr>
                <w:ilvl w:val="0"/>
                <w:numId w:val="30"/>
              </w:numPr>
              <w:spacing w:after="0" w:line="240" w:lineRule="auto"/>
              <w:ind w:left="169" w:hanging="175"/>
              <w:rPr>
                <w:rFonts w:eastAsia="Times New Roman" w:cs="Times New Roman"/>
                <w:noProof/>
              </w:rPr>
            </w:pPr>
            <w:r>
              <w:rPr>
                <w:noProof/>
              </w:rPr>
              <w:t>Die Einreichung von Verbindungsanfragen und die Bearbeitung des Ersuchens vollständig elektronisch.</w:t>
            </w:r>
          </w:p>
          <w:p w14:paraId="767F3FA7" w14:textId="1151539C" w:rsidR="00EB245A" w:rsidRDefault="00EB245A">
            <w:pPr>
              <w:pStyle w:val="ListParagraph"/>
              <w:spacing w:after="0" w:line="240" w:lineRule="auto"/>
              <w:ind w:left="169"/>
              <w:rPr>
                <w:rFonts w:ascii="Times New Roman" w:eastAsia="Times New Roman" w:hAnsi="Times New Roman" w:cs="Times New Roman"/>
                <w:noProof/>
                <w:sz w:val="18"/>
              </w:rPr>
            </w:pPr>
          </w:p>
        </w:tc>
      </w:tr>
      <w:tr w:rsidR="00EB245A" w14:paraId="5C1102C5" w14:textId="77777777" w:rsidTr="00396F21">
        <w:trPr>
          <w:trHeight w:val="309"/>
          <w:jc w:val="center"/>
        </w:trPr>
        <w:tc>
          <w:tcPr>
            <w:tcW w:w="846" w:type="dxa"/>
            <w:tcBorders>
              <w:top w:val="nil"/>
              <w:left w:val="single" w:sz="4" w:space="0" w:color="auto"/>
              <w:bottom w:val="single" w:sz="4" w:space="0" w:color="auto"/>
              <w:right w:val="single" w:sz="4" w:space="0" w:color="auto"/>
            </w:tcBorders>
            <w:shd w:val="clear" w:color="auto" w:fill="C6EFCE"/>
            <w:noWrap/>
          </w:tcPr>
          <w:p w14:paraId="1967C086" w14:textId="644CABC0" w:rsidR="00EB245A" w:rsidRDefault="006021EE">
            <w:pPr>
              <w:pStyle w:val="P68B1DB1-Normal26"/>
              <w:spacing w:after="0" w:line="240" w:lineRule="auto"/>
              <w:jc w:val="center"/>
              <w:rPr>
                <w:rFonts w:eastAsia="Times New Roman" w:cs="Times New Roman"/>
                <w:noProof/>
              </w:rPr>
            </w:pPr>
            <w:r>
              <w:rPr>
                <w:noProof/>
              </w:rPr>
              <w:t>G15G</w:t>
            </w:r>
          </w:p>
        </w:tc>
        <w:tc>
          <w:tcPr>
            <w:tcW w:w="1559" w:type="dxa"/>
            <w:tcBorders>
              <w:top w:val="nil"/>
              <w:left w:val="nil"/>
              <w:bottom w:val="single" w:sz="4" w:space="0" w:color="auto"/>
              <w:right w:val="single" w:sz="4" w:space="0" w:color="auto"/>
            </w:tcBorders>
            <w:shd w:val="clear" w:color="auto" w:fill="C6EFCE"/>
            <w:noWrap/>
          </w:tcPr>
          <w:p w14:paraId="3C5188FB" w14:textId="59487CC3" w:rsidR="00EB245A" w:rsidRDefault="006021EE">
            <w:pPr>
              <w:pStyle w:val="P68B1DB1-Normal26"/>
              <w:spacing w:after="0" w:line="240" w:lineRule="auto"/>
              <w:rPr>
                <w:rFonts w:eastAsia="Times New Roman" w:cs="Times New Roman"/>
                <w:noProof/>
              </w:rPr>
            </w:pPr>
            <w:r>
              <w:rPr>
                <w:noProof/>
              </w:rPr>
              <w:t>G1.2.3 Ausbau der Übertragungsnetze, intelligente Strominfrastruktur</w:t>
            </w:r>
          </w:p>
        </w:tc>
        <w:tc>
          <w:tcPr>
            <w:tcW w:w="1276" w:type="dxa"/>
            <w:tcBorders>
              <w:top w:val="nil"/>
              <w:left w:val="nil"/>
              <w:bottom w:val="single" w:sz="4" w:space="0" w:color="auto"/>
              <w:right w:val="single" w:sz="4" w:space="0" w:color="auto"/>
            </w:tcBorders>
            <w:shd w:val="clear" w:color="auto" w:fill="C6EFCE"/>
            <w:noWrap/>
          </w:tcPr>
          <w:p w14:paraId="1F00D6C8" w14:textId="77777777" w:rsidR="00EB245A" w:rsidRDefault="006021EE">
            <w:pPr>
              <w:pStyle w:val="P68B1DB1-Normal26"/>
              <w:spacing w:after="0" w:line="240" w:lineRule="auto"/>
              <w:rPr>
                <w:rFonts w:eastAsia="Times New Roman" w:cs="Times New Roman"/>
                <w:noProof/>
              </w:rPr>
            </w:pPr>
            <w:r>
              <w:rPr>
                <w:noProof/>
              </w:rPr>
              <w:t>Ziel</w:t>
            </w:r>
          </w:p>
        </w:tc>
        <w:tc>
          <w:tcPr>
            <w:tcW w:w="1701" w:type="dxa"/>
            <w:tcBorders>
              <w:top w:val="nil"/>
              <w:left w:val="nil"/>
              <w:bottom w:val="single" w:sz="4" w:space="0" w:color="auto"/>
              <w:right w:val="single" w:sz="4" w:space="0" w:color="auto"/>
            </w:tcBorders>
            <w:shd w:val="clear" w:color="auto" w:fill="C6EFCE"/>
            <w:noWrap/>
          </w:tcPr>
          <w:p w14:paraId="7E3C8913" w14:textId="5C788A43" w:rsidR="00EB245A" w:rsidRDefault="006021EE">
            <w:pPr>
              <w:pStyle w:val="P68B1DB1-Normal26"/>
              <w:spacing w:after="0" w:line="240" w:lineRule="auto"/>
              <w:rPr>
                <w:rFonts w:eastAsia="Times New Roman" w:cs="Times New Roman"/>
                <w:noProof/>
              </w:rPr>
            </w:pPr>
            <w:r>
              <w:rPr>
                <w:noProof/>
              </w:rPr>
              <w:t xml:space="preserve">Länge der neuen </w:t>
            </w:r>
          </w:p>
          <w:p w14:paraId="7363969C" w14:textId="77777777" w:rsidR="00EB245A" w:rsidRDefault="006021EE">
            <w:pPr>
              <w:pStyle w:val="P68B1DB1-Normal26"/>
              <w:spacing w:after="0" w:line="240" w:lineRule="auto"/>
              <w:rPr>
                <w:rFonts w:eastAsia="Times New Roman" w:cs="Times New Roman"/>
                <w:noProof/>
              </w:rPr>
            </w:pPr>
            <w:r>
              <w:rPr>
                <w:noProof/>
              </w:rPr>
              <w:t xml:space="preserve">gebaut oder modernisiert </w:t>
            </w:r>
          </w:p>
          <w:p w14:paraId="4E95D07D" w14:textId="77777777" w:rsidR="00EB245A" w:rsidRDefault="006021EE">
            <w:pPr>
              <w:pStyle w:val="P68B1DB1-Normal26"/>
              <w:spacing w:after="0" w:line="240" w:lineRule="auto"/>
              <w:rPr>
                <w:rFonts w:eastAsia="Times New Roman" w:cs="Times New Roman"/>
                <w:noProof/>
              </w:rPr>
            </w:pPr>
            <w:r>
              <w:rPr>
                <w:noProof/>
              </w:rPr>
              <w:t xml:space="preserve">Stromübertragung </w:t>
            </w:r>
          </w:p>
          <w:p w14:paraId="646C21F3" w14:textId="77777777" w:rsidR="00EB245A" w:rsidRDefault="006021EE">
            <w:pPr>
              <w:pStyle w:val="P68B1DB1-Normal26"/>
              <w:spacing w:after="0" w:line="240" w:lineRule="auto"/>
              <w:rPr>
                <w:rFonts w:eastAsia="Times New Roman" w:cs="Times New Roman"/>
                <w:noProof/>
              </w:rPr>
            </w:pPr>
            <w:r>
              <w:rPr>
                <w:noProof/>
              </w:rPr>
              <w:t>Netz (km)</w:t>
            </w:r>
          </w:p>
        </w:tc>
        <w:tc>
          <w:tcPr>
            <w:tcW w:w="1843" w:type="dxa"/>
            <w:tcBorders>
              <w:top w:val="nil"/>
              <w:left w:val="nil"/>
              <w:bottom w:val="single" w:sz="4" w:space="0" w:color="auto"/>
              <w:right w:val="single" w:sz="4" w:space="0" w:color="auto"/>
            </w:tcBorders>
            <w:shd w:val="clear" w:color="auto" w:fill="C6EFCE"/>
            <w:noWrap/>
          </w:tcPr>
          <w:p w14:paraId="235F5F9D" w14:textId="77777777" w:rsidR="00EB245A" w:rsidRDefault="00EB245A">
            <w:pPr>
              <w:spacing w:after="0" w:line="240" w:lineRule="auto"/>
              <w:rPr>
                <w:rFonts w:ascii="Times New Roman" w:eastAsia="Times New Roman" w:hAnsi="Times New Roman" w:cs="Times New Roman"/>
                <w:noProof/>
                <w:sz w:val="18"/>
              </w:rPr>
            </w:pPr>
          </w:p>
        </w:tc>
        <w:tc>
          <w:tcPr>
            <w:tcW w:w="1134" w:type="dxa"/>
            <w:tcBorders>
              <w:top w:val="nil"/>
              <w:left w:val="nil"/>
              <w:bottom w:val="single" w:sz="4" w:space="0" w:color="auto"/>
              <w:right w:val="single" w:sz="4" w:space="0" w:color="auto"/>
            </w:tcBorders>
            <w:shd w:val="clear" w:color="auto" w:fill="C6EFCE"/>
            <w:noWrap/>
          </w:tcPr>
          <w:p w14:paraId="1CE3D8F0" w14:textId="77777777" w:rsidR="00EB245A" w:rsidRDefault="006021EE">
            <w:pPr>
              <w:pStyle w:val="P68B1DB1-Normal26"/>
              <w:spacing w:after="0" w:line="240" w:lineRule="auto"/>
              <w:rPr>
                <w:rFonts w:eastAsia="Times New Roman" w:cs="Times New Roman"/>
                <w:noProof/>
              </w:rPr>
            </w:pPr>
            <w:r>
              <w:rPr>
                <w:noProof/>
              </w:rPr>
              <w:t>Anzahl</w:t>
            </w:r>
          </w:p>
        </w:tc>
        <w:tc>
          <w:tcPr>
            <w:tcW w:w="1275" w:type="dxa"/>
            <w:tcBorders>
              <w:top w:val="nil"/>
              <w:left w:val="nil"/>
              <w:bottom w:val="single" w:sz="4" w:space="0" w:color="auto"/>
              <w:right w:val="single" w:sz="4" w:space="0" w:color="auto"/>
            </w:tcBorders>
            <w:shd w:val="clear" w:color="auto" w:fill="C6EFCE"/>
            <w:noWrap/>
          </w:tcPr>
          <w:p w14:paraId="6C062CED" w14:textId="77777777" w:rsidR="00EB245A" w:rsidRDefault="006021EE">
            <w:pPr>
              <w:pStyle w:val="P68B1DB1-Normal26"/>
              <w:spacing w:after="0" w:line="240" w:lineRule="auto"/>
              <w:jc w:val="center"/>
              <w:rPr>
                <w:rFonts w:eastAsia="Times New Roman" w:cs="Times New Roman"/>
                <w:noProof/>
              </w:rPr>
            </w:pPr>
            <w:r>
              <w:rPr>
                <w:noProof/>
              </w:rPr>
              <w:t>0</w:t>
            </w:r>
          </w:p>
        </w:tc>
        <w:tc>
          <w:tcPr>
            <w:tcW w:w="993" w:type="dxa"/>
            <w:tcBorders>
              <w:top w:val="nil"/>
              <w:left w:val="nil"/>
              <w:bottom w:val="single" w:sz="4" w:space="0" w:color="auto"/>
              <w:right w:val="single" w:sz="4" w:space="0" w:color="auto"/>
            </w:tcBorders>
            <w:shd w:val="clear" w:color="auto" w:fill="C6EFCE"/>
            <w:noWrap/>
          </w:tcPr>
          <w:p w14:paraId="43F673B6" w14:textId="77777777" w:rsidR="00EB245A" w:rsidRDefault="006021EE">
            <w:pPr>
              <w:pStyle w:val="P68B1DB1-Normal26"/>
              <w:spacing w:after="0" w:line="240" w:lineRule="auto"/>
              <w:jc w:val="center"/>
              <w:rPr>
                <w:rFonts w:eastAsia="Times New Roman" w:cs="Times New Roman"/>
                <w:noProof/>
              </w:rPr>
            </w:pPr>
            <w:r>
              <w:rPr>
                <w:noProof/>
              </w:rPr>
              <w:t>70</w:t>
            </w:r>
          </w:p>
        </w:tc>
        <w:tc>
          <w:tcPr>
            <w:tcW w:w="992" w:type="dxa"/>
            <w:tcBorders>
              <w:top w:val="nil"/>
              <w:left w:val="nil"/>
              <w:bottom w:val="single" w:sz="4" w:space="0" w:color="auto"/>
              <w:right w:val="single" w:sz="4" w:space="0" w:color="auto"/>
            </w:tcBorders>
            <w:shd w:val="clear" w:color="auto" w:fill="C6EFCE"/>
            <w:noWrap/>
          </w:tcPr>
          <w:p w14:paraId="60C1F172" w14:textId="77777777" w:rsidR="00EB245A" w:rsidRDefault="006021EE">
            <w:pPr>
              <w:pStyle w:val="P68B1DB1-Normal26"/>
              <w:spacing w:after="0" w:line="240" w:lineRule="auto"/>
              <w:jc w:val="center"/>
              <w:rPr>
                <w:rFonts w:eastAsia="Times New Roman" w:cs="Times New Roman"/>
                <w:noProof/>
              </w:rPr>
            </w:pPr>
            <w:r>
              <w:rPr>
                <w:noProof/>
              </w:rPr>
              <w:t>Q4</w:t>
            </w:r>
          </w:p>
        </w:tc>
        <w:tc>
          <w:tcPr>
            <w:tcW w:w="992" w:type="dxa"/>
            <w:tcBorders>
              <w:top w:val="nil"/>
              <w:left w:val="nil"/>
              <w:bottom w:val="single" w:sz="4" w:space="0" w:color="auto"/>
              <w:right w:val="single" w:sz="4" w:space="0" w:color="auto"/>
            </w:tcBorders>
            <w:shd w:val="clear" w:color="auto" w:fill="C6EFCE"/>
            <w:noWrap/>
          </w:tcPr>
          <w:p w14:paraId="0B588493" w14:textId="77777777" w:rsidR="00EB245A" w:rsidRDefault="006021EE">
            <w:pPr>
              <w:pStyle w:val="P68B1DB1-Normal26"/>
              <w:spacing w:after="0" w:line="240" w:lineRule="auto"/>
              <w:jc w:val="center"/>
              <w:rPr>
                <w:rFonts w:eastAsia="Times New Roman" w:cs="Times New Roman"/>
                <w:noProof/>
              </w:rPr>
            </w:pPr>
            <w:r>
              <w:rPr>
                <w:noProof/>
              </w:rPr>
              <w:t>2024</w:t>
            </w:r>
          </w:p>
        </w:tc>
        <w:tc>
          <w:tcPr>
            <w:tcW w:w="2698" w:type="dxa"/>
            <w:tcBorders>
              <w:top w:val="nil"/>
              <w:left w:val="nil"/>
              <w:bottom w:val="single" w:sz="4" w:space="0" w:color="auto"/>
              <w:right w:val="single" w:sz="4" w:space="0" w:color="auto"/>
            </w:tcBorders>
            <w:shd w:val="clear" w:color="auto" w:fill="C6EFCE"/>
            <w:noWrap/>
          </w:tcPr>
          <w:p w14:paraId="5DE2ACEE" w14:textId="77777777" w:rsidR="00EB245A" w:rsidRDefault="006021EE">
            <w:pPr>
              <w:pStyle w:val="P68B1DB1-Normal26"/>
              <w:spacing w:after="0" w:line="240" w:lineRule="auto"/>
              <w:rPr>
                <w:rFonts w:eastAsia="Times New Roman" w:cs="Times New Roman"/>
                <w:noProof/>
              </w:rPr>
            </w:pPr>
            <w:r>
              <w:rPr>
                <w:noProof/>
              </w:rPr>
              <w:t>Kilometerzahl neu gebauter oder modernisierter Abschnitte von Stromübertragungsnetzprojekten (400 kV). Die Länge jedes Abschnitts ist nur einmal zu berechnen (unabhängig davon, ob es sich um eine Ein- oder Doppelschlussleitung handelt).</w:t>
            </w:r>
          </w:p>
        </w:tc>
      </w:tr>
      <w:tr w:rsidR="00EB245A" w14:paraId="76CF75EF" w14:textId="77777777" w:rsidTr="00396F21">
        <w:trPr>
          <w:trHeight w:val="309"/>
          <w:jc w:val="center"/>
        </w:trPr>
        <w:tc>
          <w:tcPr>
            <w:tcW w:w="846" w:type="dxa"/>
            <w:tcBorders>
              <w:top w:val="nil"/>
              <w:left w:val="single" w:sz="4" w:space="0" w:color="auto"/>
              <w:bottom w:val="single" w:sz="4" w:space="0" w:color="auto"/>
              <w:right w:val="single" w:sz="4" w:space="0" w:color="auto"/>
            </w:tcBorders>
            <w:shd w:val="clear" w:color="auto" w:fill="C6EFCE"/>
            <w:noWrap/>
          </w:tcPr>
          <w:p w14:paraId="13A43761" w14:textId="6C65C122" w:rsidR="00EB245A" w:rsidRDefault="006021EE">
            <w:pPr>
              <w:pStyle w:val="P68B1DB1-Normal26"/>
              <w:spacing w:after="0" w:line="240" w:lineRule="auto"/>
              <w:jc w:val="center"/>
              <w:rPr>
                <w:rFonts w:eastAsia="Times New Roman" w:cs="Times New Roman"/>
                <w:noProof/>
              </w:rPr>
            </w:pPr>
            <w:r>
              <w:rPr>
                <w:noProof/>
              </w:rPr>
              <w:t>G16G</w:t>
            </w:r>
          </w:p>
        </w:tc>
        <w:tc>
          <w:tcPr>
            <w:tcW w:w="1559" w:type="dxa"/>
            <w:tcBorders>
              <w:top w:val="nil"/>
              <w:left w:val="nil"/>
              <w:bottom w:val="single" w:sz="4" w:space="0" w:color="auto"/>
              <w:right w:val="single" w:sz="4" w:space="0" w:color="auto"/>
            </w:tcBorders>
            <w:shd w:val="clear" w:color="auto" w:fill="C6EFCE"/>
            <w:noWrap/>
          </w:tcPr>
          <w:p w14:paraId="1DED48BA" w14:textId="757267F4" w:rsidR="00EB245A" w:rsidRDefault="006021EE">
            <w:pPr>
              <w:pStyle w:val="P68B1DB1-Normal26"/>
              <w:spacing w:after="0" w:line="240" w:lineRule="auto"/>
              <w:rPr>
                <w:rFonts w:eastAsia="Times New Roman" w:cs="Times New Roman"/>
                <w:noProof/>
              </w:rPr>
            </w:pPr>
            <w:r>
              <w:rPr>
                <w:noProof/>
              </w:rPr>
              <w:t>G1.2.3 Ausbau der Übertragungsnetze, intelligente Strominfrastruktur</w:t>
            </w:r>
          </w:p>
        </w:tc>
        <w:tc>
          <w:tcPr>
            <w:tcW w:w="1276" w:type="dxa"/>
            <w:tcBorders>
              <w:top w:val="nil"/>
              <w:left w:val="nil"/>
              <w:bottom w:val="single" w:sz="4" w:space="0" w:color="auto"/>
              <w:right w:val="single" w:sz="4" w:space="0" w:color="auto"/>
            </w:tcBorders>
            <w:shd w:val="clear" w:color="auto" w:fill="C6EFCE"/>
            <w:noWrap/>
          </w:tcPr>
          <w:p w14:paraId="330BBBCC" w14:textId="77777777" w:rsidR="00EB245A" w:rsidRDefault="006021EE">
            <w:pPr>
              <w:pStyle w:val="P68B1DB1-Normal26"/>
              <w:spacing w:after="0" w:line="240" w:lineRule="auto"/>
              <w:rPr>
                <w:rFonts w:eastAsia="Times New Roman" w:cs="Times New Roman"/>
                <w:noProof/>
              </w:rPr>
            </w:pPr>
            <w:r>
              <w:rPr>
                <w:noProof/>
              </w:rPr>
              <w:t>Ziel</w:t>
            </w:r>
          </w:p>
        </w:tc>
        <w:tc>
          <w:tcPr>
            <w:tcW w:w="1701" w:type="dxa"/>
            <w:tcBorders>
              <w:top w:val="nil"/>
              <w:left w:val="nil"/>
              <w:bottom w:val="single" w:sz="4" w:space="0" w:color="auto"/>
              <w:right w:val="single" w:sz="4" w:space="0" w:color="auto"/>
            </w:tcBorders>
            <w:shd w:val="clear" w:color="auto" w:fill="C6EFCE"/>
            <w:noWrap/>
          </w:tcPr>
          <w:p w14:paraId="64304BBC" w14:textId="175D0C67" w:rsidR="00EB245A" w:rsidRDefault="006021EE">
            <w:pPr>
              <w:pStyle w:val="P68B1DB1-Normal26"/>
              <w:spacing w:after="0" w:line="240" w:lineRule="auto"/>
              <w:rPr>
                <w:rFonts w:eastAsia="Times New Roman" w:cs="Times New Roman"/>
                <w:noProof/>
              </w:rPr>
            </w:pPr>
            <w:r>
              <w:rPr>
                <w:noProof/>
              </w:rPr>
              <w:t xml:space="preserve">Länge der neuen </w:t>
            </w:r>
          </w:p>
          <w:p w14:paraId="2BD66834" w14:textId="77777777" w:rsidR="00EB245A" w:rsidRDefault="006021EE">
            <w:pPr>
              <w:pStyle w:val="P68B1DB1-Normal26"/>
              <w:spacing w:after="0" w:line="240" w:lineRule="auto"/>
              <w:rPr>
                <w:rFonts w:eastAsia="Times New Roman" w:cs="Times New Roman"/>
                <w:noProof/>
              </w:rPr>
            </w:pPr>
            <w:r>
              <w:rPr>
                <w:noProof/>
              </w:rPr>
              <w:t xml:space="preserve">gebaut oder modernisiert </w:t>
            </w:r>
          </w:p>
          <w:p w14:paraId="5B6864DC" w14:textId="77777777" w:rsidR="00EB245A" w:rsidRDefault="006021EE">
            <w:pPr>
              <w:pStyle w:val="P68B1DB1-Normal26"/>
              <w:spacing w:after="0" w:line="240" w:lineRule="auto"/>
              <w:rPr>
                <w:rFonts w:eastAsia="Times New Roman" w:cs="Times New Roman"/>
                <w:noProof/>
              </w:rPr>
            </w:pPr>
            <w:r>
              <w:rPr>
                <w:noProof/>
              </w:rPr>
              <w:t xml:space="preserve">Stromübertragung </w:t>
            </w:r>
          </w:p>
          <w:p w14:paraId="4EF2412F" w14:textId="77777777" w:rsidR="00EB245A" w:rsidRDefault="006021EE">
            <w:pPr>
              <w:pStyle w:val="P68B1DB1-Normal26"/>
              <w:spacing w:after="0" w:line="240" w:lineRule="auto"/>
              <w:rPr>
                <w:rFonts w:eastAsia="Times New Roman" w:cs="Times New Roman"/>
                <w:noProof/>
              </w:rPr>
            </w:pPr>
            <w:r>
              <w:rPr>
                <w:noProof/>
              </w:rPr>
              <w:t>Netz (km)</w:t>
            </w:r>
          </w:p>
        </w:tc>
        <w:tc>
          <w:tcPr>
            <w:tcW w:w="1843" w:type="dxa"/>
            <w:tcBorders>
              <w:top w:val="nil"/>
              <w:left w:val="nil"/>
              <w:bottom w:val="single" w:sz="4" w:space="0" w:color="auto"/>
              <w:right w:val="single" w:sz="4" w:space="0" w:color="auto"/>
            </w:tcBorders>
            <w:shd w:val="clear" w:color="auto" w:fill="C6EFCE"/>
            <w:noWrap/>
          </w:tcPr>
          <w:p w14:paraId="3EBB8C2E" w14:textId="77777777" w:rsidR="00EB245A" w:rsidRDefault="00EB245A">
            <w:pPr>
              <w:spacing w:after="0" w:line="240" w:lineRule="auto"/>
              <w:rPr>
                <w:rFonts w:ascii="Times New Roman" w:eastAsia="Times New Roman" w:hAnsi="Times New Roman" w:cs="Times New Roman"/>
                <w:noProof/>
                <w:sz w:val="18"/>
              </w:rPr>
            </w:pPr>
          </w:p>
        </w:tc>
        <w:tc>
          <w:tcPr>
            <w:tcW w:w="1134" w:type="dxa"/>
            <w:tcBorders>
              <w:top w:val="nil"/>
              <w:left w:val="nil"/>
              <w:bottom w:val="single" w:sz="4" w:space="0" w:color="auto"/>
              <w:right w:val="single" w:sz="4" w:space="0" w:color="auto"/>
            </w:tcBorders>
            <w:shd w:val="clear" w:color="auto" w:fill="C6EFCE"/>
            <w:noWrap/>
          </w:tcPr>
          <w:p w14:paraId="3BFD8DF6" w14:textId="77777777" w:rsidR="00EB245A" w:rsidRDefault="006021EE">
            <w:pPr>
              <w:pStyle w:val="P68B1DB1-Normal26"/>
              <w:spacing w:after="0" w:line="240" w:lineRule="auto"/>
              <w:rPr>
                <w:rFonts w:eastAsia="Times New Roman" w:cs="Times New Roman"/>
                <w:noProof/>
              </w:rPr>
            </w:pPr>
            <w:r>
              <w:rPr>
                <w:noProof/>
              </w:rPr>
              <w:t>Anzahl</w:t>
            </w:r>
          </w:p>
        </w:tc>
        <w:tc>
          <w:tcPr>
            <w:tcW w:w="1275" w:type="dxa"/>
            <w:tcBorders>
              <w:top w:val="nil"/>
              <w:left w:val="nil"/>
              <w:bottom w:val="single" w:sz="4" w:space="0" w:color="auto"/>
              <w:right w:val="single" w:sz="4" w:space="0" w:color="auto"/>
            </w:tcBorders>
            <w:shd w:val="clear" w:color="auto" w:fill="C6EFCE"/>
            <w:noWrap/>
          </w:tcPr>
          <w:p w14:paraId="093BFAA0" w14:textId="77777777" w:rsidR="00EB245A" w:rsidRDefault="006021EE">
            <w:pPr>
              <w:pStyle w:val="P68B1DB1-Normal26"/>
              <w:spacing w:after="0" w:line="240" w:lineRule="auto"/>
              <w:jc w:val="center"/>
              <w:rPr>
                <w:rFonts w:eastAsia="Times New Roman" w:cs="Times New Roman"/>
                <w:noProof/>
              </w:rPr>
            </w:pPr>
            <w:r>
              <w:rPr>
                <w:noProof/>
              </w:rPr>
              <w:t>70</w:t>
            </w:r>
          </w:p>
        </w:tc>
        <w:tc>
          <w:tcPr>
            <w:tcW w:w="993" w:type="dxa"/>
            <w:tcBorders>
              <w:top w:val="nil"/>
              <w:left w:val="nil"/>
              <w:bottom w:val="single" w:sz="4" w:space="0" w:color="auto"/>
              <w:right w:val="single" w:sz="4" w:space="0" w:color="auto"/>
            </w:tcBorders>
            <w:shd w:val="clear" w:color="auto" w:fill="C6EFCE"/>
            <w:noWrap/>
          </w:tcPr>
          <w:p w14:paraId="5D0A80F3" w14:textId="77777777" w:rsidR="00EB245A" w:rsidRDefault="006021EE">
            <w:pPr>
              <w:pStyle w:val="P68B1DB1-Normal26"/>
              <w:spacing w:after="0" w:line="240" w:lineRule="auto"/>
              <w:jc w:val="center"/>
              <w:rPr>
                <w:rFonts w:eastAsia="Times New Roman" w:cs="Times New Roman"/>
                <w:noProof/>
              </w:rPr>
            </w:pPr>
            <w:r>
              <w:rPr>
                <w:noProof/>
              </w:rPr>
              <w:t>190</w:t>
            </w:r>
          </w:p>
        </w:tc>
        <w:tc>
          <w:tcPr>
            <w:tcW w:w="992" w:type="dxa"/>
            <w:tcBorders>
              <w:top w:val="nil"/>
              <w:left w:val="nil"/>
              <w:bottom w:val="single" w:sz="4" w:space="0" w:color="auto"/>
              <w:right w:val="single" w:sz="4" w:space="0" w:color="auto"/>
            </w:tcBorders>
            <w:shd w:val="clear" w:color="auto" w:fill="C6EFCE"/>
            <w:noWrap/>
          </w:tcPr>
          <w:p w14:paraId="7701C649" w14:textId="77777777" w:rsidR="00EB245A" w:rsidRDefault="006021EE">
            <w:pPr>
              <w:pStyle w:val="P68B1DB1-Normal26"/>
              <w:spacing w:after="0" w:line="240" w:lineRule="auto"/>
              <w:jc w:val="center"/>
              <w:rPr>
                <w:rFonts w:eastAsia="Times New Roman" w:cs="Times New Roman"/>
                <w:noProof/>
              </w:rPr>
            </w:pPr>
            <w:r>
              <w:rPr>
                <w:noProof/>
              </w:rPr>
              <w:t>Q4</w:t>
            </w:r>
          </w:p>
        </w:tc>
        <w:tc>
          <w:tcPr>
            <w:tcW w:w="992" w:type="dxa"/>
            <w:tcBorders>
              <w:top w:val="nil"/>
              <w:left w:val="nil"/>
              <w:bottom w:val="single" w:sz="4" w:space="0" w:color="auto"/>
              <w:right w:val="single" w:sz="4" w:space="0" w:color="auto"/>
            </w:tcBorders>
            <w:shd w:val="clear" w:color="auto" w:fill="C6EFCE"/>
            <w:noWrap/>
          </w:tcPr>
          <w:p w14:paraId="1A20E0D3" w14:textId="77777777" w:rsidR="00EB245A" w:rsidRDefault="006021EE">
            <w:pPr>
              <w:pStyle w:val="P68B1DB1-Normal26"/>
              <w:spacing w:after="0" w:line="240" w:lineRule="auto"/>
              <w:jc w:val="center"/>
              <w:rPr>
                <w:rFonts w:eastAsia="Times New Roman" w:cs="Times New Roman"/>
                <w:noProof/>
              </w:rPr>
            </w:pPr>
            <w:r>
              <w:rPr>
                <w:noProof/>
              </w:rPr>
              <w:t>2025</w:t>
            </w:r>
          </w:p>
        </w:tc>
        <w:tc>
          <w:tcPr>
            <w:tcW w:w="2698" w:type="dxa"/>
            <w:tcBorders>
              <w:top w:val="nil"/>
              <w:left w:val="nil"/>
              <w:bottom w:val="single" w:sz="4" w:space="0" w:color="auto"/>
              <w:right w:val="single" w:sz="4" w:space="0" w:color="auto"/>
            </w:tcBorders>
            <w:shd w:val="clear" w:color="auto" w:fill="C6EFCE"/>
            <w:noWrap/>
          </w:tcPr>
          <w:p w14:paraId="7A5DAD54" w14:textId="77777777" w:rsidR="00EB245A" w:rsidRDefault="006021EE">
            <w:pPr>
              <w:pStyle w:val="P68B1DB1-Normal26"/>
              <w:spacing w:after="0" w:line="240" w:lineRule="auto"/>
              <w:rPr>
                <w:rFonts w:eastAsia="Times New Roman" w:cs="Times New Roman"/>
                <w:noProof/>
              </w:rPr>
            </w:pPr>
            <w:r>
              <w:rPr>
                <w:noProof/>
              </w:rPr>
              <w:t xml:space="preserve">Kilometerzahl neu gebauter oder modernisierter Abschnitte von </w:t>
            </w:r>
            <w:r>
              <w:rPr>
                <w:noProof/>
              </w:rPr>
              <w:t>Stromübertragungsnetzprojekten (400 kV). Die Länge jedes Abschnitts ist nur einmal zu berechnen (unabhängig davon, ob es sich um eine Ein- oder Doppelschlussleitung handelt).</w:t>
            </w:r>
          </w:p>
        </w:tc>
      </w:tr>
      <w:tr w:rsidR="00EB245A" w14:paraId="5D06295D" w14:textId="77777777" w:rsidTr="00396F21">
        <w:trPr>
          <w:trHeight w:val="309"/>
          <w:jc w:val="center"/>
        </w:trPr>
        <w:tc>
          <w:tcPr>
            <w:tcW w:w="846" w:type="dxa"/>
            <w:tcBorders>
              <w:top w:val="nil"/>
              <w:left w:val="single" w:sz="4" w:space="0" w:color="auto"/>
              <w:bottom w:val="single" w:sz="4" w:space="0" w:color="auto"/>
              <w:right w:val="single" w:sz="4" w:space="0" w:color="auto"/>
            </w:tcBorders>
            <w:shd w:val="clear" w:color="auto" w:fill="C6EFCE"/>
            <w:noWrap/>
          </w:tcPr>
          <w:p w14:paraId="0FEC4CEF" w14:textId="16AF3422" w:rsidR="00EB245A" w:rsidRDefault="006021EE">
            <w:pPr>
              <w:pStyle w:val="P68B1DB1-Normal26"/>
              <w:spacing w:after="0" w:line="240" w:lineRule="auto"/>
              <w:jc w:val="center"/>
              <w:rPr>
                <w:rFonts w:eastAsia="Times New Roman" w:cs="Times New Roman"/>
                <w:noProof/>
              </w:rPr>
            </w:pPr>
            <w:r>
              <w:rPr>
                <w:noProof/>
              </w:rPr>
              <w:t>G17G</w:t>
            </w:r>
          </w:p>
        </w:tc>
        <w:tc>
          <w:tcPr>
            <w:tcW w:w="1559" w:type="dxa"/>
            <w:tcBorders>
              <w:top w:val="nil"/>
              <w:left w:val="nil"/>
              <w:bottom w:val="single" w:sz="4" w:space="0" w:color="auto"/>
              <w:right w:val="single" w:sz="4" w:space="0" w:color="auto"/>
            </w:tcBorders>
            <w:shd w:val="clear" w:color="auto" w:fill="C6EFCE"/>
            <w:noWrap/>
          </w:tcPr>
          <w:p w14:paraId="77503115" w14:textId="78765273" w:rsidR="00EB245A" w:rsidRDefault="006021EE">
            <w:pPr>
              <w:pStyle w:val="P68B1DB1-Normal26"/>
              <w:spacing w:after="0" w:line="240" w:lineRule="auto"/>
              <w:rPr>
                <w:rFonts w:eastAsia="Times New Roman" w:cs="Times New Roman"/>
                <w:noProof/>
              </w:rPr>
            </w:pPr>
            <w:r>
              <w:rPr>
                <w:noProof/>
              </w:rPr>
              <w:t>G1.2.3 Ausbau der Übertragungsnetze, intelligente Strominfrastruktur</w:t>
            </w:r>
          </w:p>
        </w:tc>
        <w:tc>
          <w:tcPr>
            <w:tcW w:w="1276" w:type="dxa"/>
            <w:tcBorders>
              <w:top w:val="nil"/>
              <w:left w:val="nil"/>
              <w:bottom w:val="single" w:sz="4" w:space="0" w:color="auto"/>
              <w:right w:val="single" w:sz="4" w:space="0" w:color="auto"/>
            </w:tcBorders>
            <w:shd w:val="clear" w:color="auto" w:fill="C6EFCE"/>
            <w:noWrap/>
          </w:tcPr>
          <w:p w14:paraId="5A77DEAD" w14:textId="77777777" w:rsidR="00EB245A" w:rsidRDefault="006021EE">
            <w:pPr>
              <w:pStyle w:val="P68B1DB1-Normal26"/>
              <w:spacing w:after="0" w:line="240" w:lineRule="auto"/>
              <w:rPr>
                <w:rFonts w:eastAsia="Times New Roman" w:cs="Times New Roman"/>
                <w:noProof/>
              </w:rPr>
            </w:pPr>
            <w:r>
              <w:rPr>
                <w:noProof/>
              </w:rPr>
              <w:t>Ziel</w:t>
            </w:r>
          </w:p>
        </w:tc>
        <w:tc>
          <w:tcPr>
            <w:tcW w:w="1701" w:type="dxa"/>
            <w:tcBorders>
              <w:top w:val="nil"/>
              <w:left w:val="nil"/>
              <w:bottom w:val="single" w:sz="4" w:space="0" w:color="auto"/>
              <w:right w:val="single" w:sz="4" w:space="0" w:color="auto"/>
            </w:tcBorders>
            <w:shd w:val="clear" w:color="auto" w:fill="C6EFCE"/>
            <w:noWrap/>
          </w:tcPr>
          <w:p w14:paraId="43A669FD" w14:textId="67B179A6" w:rsidR="00EB245A" w:rsidRDefault="006021EE">
            <w:pPr>
              <w:pStyle w:val="P68B1DB1-Normal26"/>
              <w:spacing w:after="0" w:line="240" w:lineRule="auto"/>
              <w:rPr>
                <w:rFonts w:eastAsia="Times New Roman" w:cs="Times New Roman"/>
                <w:noProof/>
              </w:rPr>
            </w:pPr>
            <w:r>
              <w:rPr>
                <w:noProof/>
              </w:rPr>
              <w:t xml:space="preserve">Länge der neuen </w:t>
            </w:r>
          </w:p>
          <w:p w14:paraId="623CF243" w14:textId="77777777" w:rsidR="00EB245A" w:rsidRDefault="006021EE">
            <w:pPr>
              <w:pStyle w:val="P68B1DB1-Normal26"/>
              <w:spacing w:after="0" w:line="240" w:lineRule="auto"/>
              <w:rPr>
                <w:rFonts w:eastAsia="Times New Roman" w:cs="Times New Roman"/>
                <w:noProof/>
              </w:rPr>
            </w:pPr>
            <w:r>
              <w:rPr>
                <w:noProof/>
              </w:rPr>
              <w:t xml:space="preserve">gebaut oder modernisiert </w:t>
            </w:r>
          </w:p>
          <w:p w14:paraId="5726EEFF" w14:textId="77777777" w:rsidR="00EB245A" w:rsidRDefault="006021EE">
            <w:pPr>
              <w:pStyle w:val="P68B1DB1-Normal26"/>
              <w:spacing w:after="0" w:line="240" w:lineRule="auto"/>
              <w:rPr>
                <w:rFonts w:eastAsia="Times New Roman" w:cs="Times New Roman"/>
                <w:noProof/>
              </w:rPr>
            </w:pPr>
            <w:r>
              <w:rPr>
                <w:noProof/>
              </w:rPr>
              <w:t xml:space="preserve">Stromübertragung </w:t>
            </w:r>
          </w:p>
          <w:p w14:paraId="0BAB93BE" w14:textId="77777777" w:rsidR="00EB245A" w:rsidRDefault="006021EE">
            <w:pPr>
              <w:pStyle w:val="P68B1DB1-Normal26"/>
              <w:spacing w:after="0" w:line="240" w:lineRule="auto"/>
              <w:rPr>
                <w:rFonts w:eastAsia="Times New Roman" w:cs="Times New Roman"/>
                <w:noProof/>
              </w:rPr>
            </w:pPr>
            <w:r>
              <w:rPr>
                <w:noProof/>
              </w:rPr>
              <w:t>Netz (km)</w:t>
            </w:r>
          </w:p>
        </w:tc>
        <w:tc>
          <w:tcPr>
            <w:tcW w:w="1843" w:type="dxa"/>
            <w:tcBorders>
              <w:top w:val="nil"/>
              <w:left w:val="nil"/>
              <w:bottom w:val="single" w:sz="4" w:space="0" w:color="auto"/>
              <w:right w:val="single" w:sz="4" w:space="0" w:color="auto"/>
            </w:tcBorders>
            <w:shd w:val="clear" w:color="auto" w:fill="C6EFCE"/>
            <w:noWrap/>
          </w:tcPr>
          <w:p w14:paraId="504F911A" w14:textId="77777777" w:rsidR="00EB245A" w:rsidRDefault="00EB245A">
            <w:pPr>
              <w:spacing w:after="0" w:line="240" w:lineRule="auto"/>
              <w:rPr>
                <w:rFonts w:ascii="Times New Roman" w:eastAsia="Times New Roman" w:hAnsi="Times New Roman" w:cs="Times New Roman"/>
                <w:noProof/>
                <w:sz w:val="18"/>
              </w:rPr>
            </w:pPr>
          </w:p>
        </w:tc>
        <w:tc>
          <w:tcPr>
            <w:tcW w:w="1134" w:type="dxa"/>
            <w:tcBorders>
              <w:top w:val="nil"/>
              <w:left w:val="nil"/>
              <w:bottom w:val="single" w:sz="4" w:space="0" w:color="auto"/>
              <w:right w:val="single" w:sz="4" w:space="0" w:color="auto"/>
            </w:tcBorders>
            <w:shd w:val="clear" w:color="auto" w:fill="C6EFCE"/>
            <w:noWrap/>
          </w:tcPr>
          <w:p w14:paraId="177E6B50" w14:textId="77777777" w:rsidR="00EB245A" w:rsidRDefault="006021EE">
            <w:pPr>
              <w:pStyle w:val="P68B1DB1-Normal26"/>
              <w:spacing w:after="0" w:line="240" w:lineRule="auto"/>
              <w:rPr>
                <w:rFonts w:eastAsia="Times New Roman" w:cs="Times New Roman"/>
                <w:noProof/>
              </w:rPr>
            </w:pPr>
            <w:r>
              <w:rPr>
                <w:noProof/>
              </w:rPr>
              <w:t>Anzahl</w:t>
            </w:r>
          </w:p>
        </w:tc>
        <w:tc>
          <w:tcPr>
            <w:tcW w:w="1275" w:type="dxa"/>
            <w:tcBorders>
              <w:top w:val="nil"/>
              <w:left w:val="nil"/>
              <w:bottom w:val="single" w:sz="4" w:space="0" w:color="auto"/>
              <w:right w:val="single" w:sz="4" w:space="0" w:color="auto"/>
            </w:tcBorders>
            <w:shd w:val="clear" w:color="auto" w:fill="C6EFCE"/>
            <w:noWrap/>
          </w:tcPr>
          <w:p w14:paraId="67E79FDF" w14:textId="77777777" w:rsidR="00EB245A" w:rsidRDefault="006021EE">
            <w:pPr>
              <w:pStyle w:val="P68B1DB1-Normal26"/>
              <w:spacing w:after="0" w:line="240" w:lineRule="auto"/>
              <w:jc w:val="center"/>
              <w:rPr>
                <w:rFonts w:eastAsia="Times New Roman" w:cs="Times New Roman"/>
                <w:noProof/>
              </w:rPr>
            </w:pPr>
            <w:r>
              <w:rPr>
                <w:noProof/>
              </w:rPr>
              <w:t>190</w:t>
            </w:r>
          </w:p>
        </w:tc>
        <w:tc>
          <w:tcPr>
            <w:tcW w:w="993" w:type="dxa"/>
            <w:tcBorders>
              <w:top w:val="nil"/>
              <w:left w:val="nil"/>
              <w:bottom w:val="single" w:sz="4" w:space="0" w:color="auto"/>
              <w:right w:val="single" w:sz="4" w:space="0" w:color="auto"/>
            </w:tcBorders>
            <w:shd w:val="clear" w:color="auto" w:fill="C6EFCE"/>
            <w:noWrap/>
          </w:tcPr>
          <w:p w14:paraId="3BED169D" w14:textId="77777777" w:rsidR="00EB245A" w:rsidRDefault="006021EE">
            <w:pPr>
              <w:pStyle w:val="P68B1DB1-Normal26"/>
              <w:spacing w:after="0" w:line="240" w:lineRule="auto"/>
              <w:jc w:val="center"/>
              <w:rPr>
                <w:rFonts w:eastAsia="Times New Roman" w:cs="Times New Roman"/>
                <w:noProof/>
              </w:rPr>
            </w:pPr>
            <w:r>
              <w:rPr>
                <w:noProof/>
              </w:rPr>
              <w:t>320</w:t>
            </w:r>
          </w:p>
        </w:tc>
        <w:tc>
          <w:tcPr>
            <w:tcW w:w="992" w:type="dxa"/>
            <w:tcBorders>
              <w:top w:val="nil"/>
              <w:left w:val="nil"/>
              <w:bottom w:val="single" w:sz="4" w:space="0" w:color="auto"/>
              <w:right w:val="single" w:sz="4" w:space="0" w:color="auto"/>
            </w:tcBorders>
            <w:shd w:val="clear" w:color="auto" w:fill="C6EFCE"/>
            <w:noWrap/>
          </w:tcPr>
          <w:p w14:paraId="11894E65" w14:textId="77777777" w:rsidR="00EB245A" w:rsidRDefault="006021EE">
            <w:pPr>
              <w:pStyle w:val="P68B1DB1-Normal26"/>
              <w:spacing w:after="0" w:line="240" w:lineRule="auto"/>
              <w:jc w:val="center"/>
              <w:rPr>
                <w:rFonts w:eastAsia="Times New Roman" w:cs="Times New Roman"/>
                <w:noProof/>
              </w:rPr>
            </w:pPr>
            <w:r>
              <w:rPr>
                <w:noProof/>
              </w:rPr>
              <w:t>Q2</w:t>
            </w:r>
          </w:p>
        </w:tc>
        <w:tc>
          <w:tcPr>
            <w:tcW w:w="992" w:type="dxa"/>
            <w:tcBorders>
              <w:top w:val="nil"/>
              <w:left w:val="nil"/>
              <w:bottom w:val="single" w:sz="4" w:space="0" w:color="auto"/>
              <w:right w:val="single" w:sz="4" w:space="0" w:color="auto"/>
            </w:tcBorders>
            <w:shd w:val="clear" w:color="auto" w:fill="C6EFCE"/>
            <w:noWrap/>
          </w:tcPr>
          <w:p w14:paraId="5B91257F" w14:textId="77777777" w:rsidR="00EB245A" w:rsidRDefault="006021EE">
            <w:pPr>
              <w:pStyle w:val="P68B1DB1-Normal26"/>
              <w:spacing w:after="0" w:line="240" w:lineRule="auto"/>
              <w:jc w:val="center"/>
              <w:rPr>
                <w:rFonts w:eastAsia="Times New Roman" w:cs="Times New Roman"/>
                <w:noProof/>
              </w:rPr>
            </w:pPr>
            <w:r>
              <w:rPr>
                <w:noProof/>
              </w:rPr>
              <w:t>2026</w:t>
            </w:r>
          </w:p>
        </w:tc>
        <w:tc>
          <w:tcPr>
            <w:tcW w:w="2698" w:type="dxa"/>
            <w:tcBorders>
              <w:top w:val="nil"/>
              <w:left w:val="nil"/>
              <w:bottom w:val="single" w:sz="4" w:space="0" w:color="auto"/>
              <w:right w:val="single" w:sz="4" w:space="0" w:color="auto"/>
            </w:tcBorders>
            <w:shd w:val="clear" w:color="auto" w:fill="C6EFCE"/>
            <w:noWrap/>
          </w:tcPr>
          <w:p w14:paraId="6A586ACD" w14:textId="77777777" w:rsidR="00EB245A" w:rsidRDefault="006021EE">
            <w:pPr>
              <w:pStyle w:val="P68B1DB1-Normal26"/>
              <w:spacing w:after="0" w:line="240" w:lineRule="auto"/>
              <w:rPr>
                <w:rFonts w:eastAsia="Times New Roman" w:cs="Times New Roman"/>
                <w:noProof/>
              </w:rPr>
            </w:pPr>
            <w:r>
              <w:rPr>
                <w:noProof/>
              </w:rPr>
              <w:t>Kilometerzahl neu gebauter oder modernisierter Abschnitte von Stromübertragungsnetzprojekten (400 kV). Die Länge jedes Abschnitts ist nur einmal zu berechnen (un</w:t>
            </w:r>
            <w:r>
              <w:rPr>
                <w:noProof/>
              </w:rPr>
              <w:t>abhängig davon, ob es sich um eine Ein- oder Doppelschlussleitung handelt).</w:t>
            </w:r>
          </w:p>
        </w:tc>
      </w:tr>
      <w:tr w:rsidR="00EB245A" w14:paraId="5A503187" w14:textId="77777777" w:rsidTr="00396F21">
        <w:trPr>
          <w:trHeight w:val="309"/>
          <w:jc w:val="center"/>
        </w:trPr>
        <w:tc>
          <w:tcPr>
            <w:tcW w:w="846" w:type="dxa"/>
            <w:tcBorders>
              <w:top w:val="nil"/>
              <w:left w:val="single" w:sz="4" w:space="0" w:color="auto"/>
              <w:bottom w:val="single" w:sz="4" w:space="0" w:color="auto"/>
              <w:right w:val="single" w:sz="4" w:space="0" w:color="auto"/>
            </w:tcBorders>
            <w:shd w:val="clear" w:color="auto" w:fill="C6EFCE"/>
            <w:noWrap/>
          </w:tcPr>
          <w:p w14:paraId="506DCE65" w14:textId="5A6FBCB7" w:rsidR="00EB245A" w:rsidRDefault="006021EE">
            <w:pPr>
              <w:pStyle w:val="P68B1DB1-Normal26"/>
              <w:spacing w:after="0" w:line="240" w:lineRule="auto"/>
              <w:jc w:val="center"/>
              <w:rPr>
                <w:rFonts w:eastAsia="Times New Roman" w:cs="Times New Roman"/>
                <w:noProof/>
              </w:rPr>
            </w:pPr>
            <w:r>
              <w:rPr>
                <w:noProof/>
              </w:rPr>
              <w:t>G18G</w:t>
            </w:r>
          </w:p>
        </w:tc>
        <w:tc>
          <w:tcPr>
            <w:tcW w:w="1559" w:type="dxa"/>
            <w:tcBorders>
              <w:top w:val="nil"/>
              <w:left w:val="nil"/>
              <w:bottom w:val="single" w:sz="4" w:space="0" w:color="auto"/>
              <w:right w:val="single" w:sz="4" w:space="0" w:color="auto"/>
            </w:tcBorders>
            <w:shd w:val="clear" w:color="auto" w:fill="C6EFCE"/>
            <w:noWrap/>
          </w:tcPr>
          <w:p w14:paraId="1F93CAF7" w14:textId="0F3B468E" w:rsidR="00EB245A" w:rsidRDefault="006021EE">
            <w:pPr>
              <w:pStyle w:val="P68B1DB1-Normal26"/>
              <w:spacing w:after="0" w:line="240" w:lineRule="auto"/>
              <w:rPr>
                <w:rFonts w:eastAsia="Times New Roman" w:cs="Times New Roman"/>
                <w:noProof/>
              </w:rPr>
            </w:pPr>
            <w:r>
              <w:rPr>
                <w:noProof/>
              </w:rPr>
              <w:t>G1.2.3 Ausbau der Übertragungsnetze, intelligente Strominfrastruktur</w:t>
            </w:r>
          </w:p>
        </w:tc>
        <w:tc>
          <w:tcPr>
            <w:tcW w:w="1276" w:type="dxa"/>
            <w:tcBorders>
              <w:top w:val="nil"/>
              <w:left w:val="nil"/>
              <w:bottom w:val="single" w:sz="4" w:space="0" w:color="auto"/>
              <w:right w:val="single" w:sz="4" w:space="0" w:color="auto"/>
            </w:tcBorders>
            <w:shd w:val="clear" w:color="auto" w:fill="C6EFCE"/>
            <w:noWrap/>
          </w:tcPr>
          <w:p w14:paraId="03DE2A25" w14:textId="77777777" w:rsidR="00EB245A" w:rsidRDefault="006021EE">
            <w:pPr>
              <w:pStyle w:val="P68B1DB1-Normal26"/>
              <w:spacing w:after="0" w:line="240" w:lineRule="auto"/>
              <w:rPr>
                <w:rFonts w:eastAsia="Times New Roman" w:cs="Times New Roman"/>
                <w:noProof/>
              </w:rPr>
            </w:pPr>
            <w:r>
              <w:rPr>
                <w:noProof/>
              </w:rPr>
              <w:t>Meilenstein</w:t>
            </w:r>
          </w:p>
        </w:tc>
        <w:tc>
          <w:tcPr>
            <w:tcW w:w="1701" w:type="dxa"/>
            <w:tcBorders>
              <w:top w:val="nil"/>
              <w:left w:val="nil"/>
              <w:bottom w:val="single" w:sz="4" w:space="0" w:color="auto"/>
              <w:right w:val="single" w:sz="4" w:space="0" w:color="auto"/>
            </w:tcBorders>
            <w:shd w:val="clear" w:color="auto" w:fill="C6EFCE"/>
            <w:noWrap/>
          </w:tcPr>
          <w:p w14:paraId="7D037AB2" w14:textId="77777777" w:rsidR="00EB245A" w:rsidRDefault="006021EE">
            <w:pPr>
              <w:pStyle w:val="P68B1DB1-Normal26"/>
              <w:spacing w:after="0" w:line="240" w:lineRule="auto"/>
              <w:rPr>
                <w:rFonts w:eastAsia="Times New Roman" w:cs="Times New Roman"/>
                <w:noProof/>
              </w:rPr>
            </w:pPr>
            <w:r>
              <w:rPr>
                <w:noProof/>
              </w:rPr>
              <w:t>Finanzhilfevereinbarung</w:t>
            </w:r>
          </w:p>
          <w:p w14:paraId="0986F3C8" w14:textId="77777777" w:rsidR="00EB245A" w:rsidRDefault="006021EE">
            <w:pPr>
              <w:pStyle w:val="P68B1DB1-Normal26"/>
              <w:spacing w:after="0" w:line="240" w:lineRule="auto"/>
              <w:rPr>
                <w:rFonts w:eastAsia="Times New Roman" w:cs="Times New Roman"/>
                <w:noProof/>
              </w:rPr>
            </w:pPr>
            <w:r>
              <w:rPr>
                <w:noProof/>
              </w:rPr>
              <w:t xml:space="preserve">zwischen dem Übertragungsnetzbetreiber (ÜNB) und den Behörden über </w:t>
            </w:r>
            <w:r>
              <w:rPr>
                <w:noProof/>
              </w:rPr>
              <w:t>den Aufbau und die Unterstützung von Übertragungsnetzen</w:t>
            </w:r>
          </w:p>
        </w:tc>
        <w:tc>
          <w:tcPr>
            <w:tcW w:w="1843" w:type="dxa"/>
            <w:tcBorders>
              <w:top w:val="nil"/>
              <w:left w:val="nil"/>
              <w:bottom w:val="single" w:sz="4" w:space="0" w:color="auto"/>
              <w:right w:val="single" w:sz="4" w:space="0" w:color="auto"/>
            </w:tcBorders>
            <w:shd w:val="clear" w:color="auto" w:fill="C6EFCE"/>
            <w:noWrap/>
          </w:tcPr>
          <w:p w14:paraId="1942EF8A" w14:textId="77777777" w:rsidR="00EB245A" w:rsidRDefault="006021EE">
            <w:pPr>
              <w:pStyle w:val="P68B1DB1-Normal26"/>
              <w:spacing w:after="0" w:line="240" w:lineRule="auto"/>
              <w:rPr>
                <w:rFonts w:eastAsia="Times New Roman" w:cs="Times New Roman"/>
                <w:noProof/>
              </w:rPr>
            </w:pPr>
            <w:r>
              <w:rPr>
                <w:noProof/>
              </w:rPr>
              <w:t>Unterzeichnete Finanzhilfevereinbarungen</w:t>
            </w:r>
          </w:p>
        </w:tc>
        <w:tc>
          <w:tcPr>
            <w:tcW w:w="1134" w:type="dxa"/>
            <w:tcBorders>
              <w:top w:val="nil"/>
              <w:left w:val="nil"/>
              <w:bottom w:val="single" w:sz="4" w:space="0" w:color="auto"/>
              <w:right w:val="single" w:sz="4" w:space="0" w:color="auto"/>
            </w:tcBorders>
            <w:shd w:val="clear" w:color="auto" w:fill="C6EFCE"/>
            <w:noWrap/>
          </w:tcPr>
          <w:p w14:paraId="37EC373B" w14:textId="77777777" w:rsidR="00EB245A" w:rsidRDefault="00EB245A">
            <w:pPr>
              <w:spacing w:after="0" w:line="240" w:lineRule="auto"/>
              <w:rPr>
                <w:rFonts w:ascii="Times New Roman" w:eastAsia="Times New Roman" w:hAnsi="Times New Roman" w:cs="Times New Roman"/>
                <w:noProof/>
                <w:sz w:val="18"/>
              </w:rPr>
            </w:pPr>
          </w:p>
        </w:tc>
        <w:tc>
          <w:tcPr>
            <w:tcW w:w="1275" w:type="dxa"/>
            <w:tcBorders>
              <w:top w:val="nil"/>
              <w:left w:val="nil"/>
              <w:bottom w:val="single" w:sz="4" w:space="0" w:color="auto"/>
              <w:right w:val="single" w:sz="4" w:space="0" w:color="auto"/>
            </w:tcBorders>
            <w:shd w:val="clear" w:color="auto" w:fill="C6EFCE"/>
            <w:noWrap/>
          </w:tcPr>
          <w:p w14:paraId="7C0FB1D0" w14:textId="77777777" w:rsidR="00EB245A" w:rsidRDefault="00EB245A">
            <w:pPr>
              <w:spacing w:after="0" w:line="240" w:lineRule="auto"/>
              <w:jc w:val="center"/>
              <w:rPr>
                <w:rFonts w:ascii="Times New Roman" w:eastAsia="Times New Roman" w:hAnsi="Times New Roman" w:cs="Times New Roman"/>
                <w:noProof/>
                <w:sz w:val="18"/>
              </w:rPr>
            </w:pPr>
          </w:p>
        </w:tc>
        <w:tc>
          <w:tcPr>
            <w:tcW w:w="993" w:type="dxa"/>
            <w:tcBorders>
              <w:top w:val="nil"/>
              <w:left w:val="nil"/>
              <w:bottom w:val="single" w:sz="4" w:space="0" w:color="auto"/>
              <w:right w:val="single" w:sz="4" w:space="0" w:color="auto"/>
            </w:tcBorders>
            <w:shd w:val="clear" w:color="auto" w:fill="C6EFCE"/>
            <w:noWrap/>
          </w:tcPr>
          <w:p w14:paraId="01258189" w14:textId="77777777" w:rsidR="00EB245A" w:rsidRDefault="00EB245A">
            <w:pPr>
              <w:spacing w:after="0" w:line="240" w:lineRule="auto"/>
              <w:jc w:val="center"/>
              <w:rPr>
                <w:rFonts w:ascii="Times New Roman" w:eastAsia="Times New Roman" w:hAnsi="Times New Roman" w:cs="Times New Roman"/>
                <w:noProof/>
                <w:sz w:val="18"/>
              </w:rPr>
            </w:pPr>
          </w:p>
        </w:tc>
        <w:tc>
          <w:tcPr>
            <w:tcW w:w="992" w:type="dxa"/>
            <w:tcBorders>
              <w:top w:val="nil"/>
              <w:left w:val="nil"/>
              <w:bottom w:val="single" w:sz="4" w:space="0" w:color="auto"/>
              <w:right w:val="single" w:sz="4" w:space="0" w:color="auto"/>
            </w:tcBorders>
            <w:shd w:val="clear" w:color="auto" w:fill="C6EFCE"/>
            <w:noWrap/>
          </w:tcPr>
          <w:p w14:paraId="16E719BF" w14:textId="77777777" w:rsidR="00EB245A" w:rsidRDefault="006021EE">
            <w:pPr>
              <w:pStyle w:val="P68B1DB1-Normal26"/>
              <w:spacing w:after="0" w:line="240" w:lineRule="auto"/>
              <w:jc w:val="center"/>
              <w:rPr>
                <w:rFonts w:eastAsia="Times New Roman" w:cs="Times New Roman"/>
                <w:noProof/>
              </w:rPr>
            </w:pPr>
            <w:r>
              <w:rPr>
                <w:noProof/>
              </w:rPr>
              <w:t>Q4</w:t>
            </w:r>
          </w:p>
        </w:tc>
        <w:tc>
          <w:tcPr>
            <w:tcW w:w="992" w:type="dxa"/>
            <w:tcBorders>
              <w:top w:val="nil"/>
              <w:left w:val="nil"/>
              <w:bottom w:val="single" w:sz="4" w:space="0" w:color="auto"/>
              <w:right w:val="single" w:sz="4" w:space="0" w:color="auto"/>
            </w:tcBorders>
            <w:shd w:val="clear" w:color="auto" w:fill="C6EFCE"/>
            <w:noWrap/>
          </w:tcPr>
          <w:p w14:paraId="3AD377F9" w14:textId="77777777" w:rsidR="00EB245A" w:rsidRDefault="006021EE">
            <w:pPr>
              <w:pStyle w:val="P68B1DB1-Normal26"/>
              <w:spacing w:after="0" w:line="240" w:lineRule="auto"/>
              <w:jc w:val="center"/>
              <w:rPr>
                <w:rFonts w:eastAsia="Times New Roman" w:cs="Times New Roman"/>
                <w:noProof/>
              </w:rPr>
            </w:pPr>
            <w:r>
              <w:rPr>
                <w:noProof/>
              </w:rPr>
              <w:t>2024</w:t>
            </w:r>
          </w:p>
        </w:tc>
        <w:tc>
          <w:tcPr>
            <w:tcW w:w="2698" w:type="dxa"/>
            <w:tcBorders>
              <w:top w:val="nil"/>
              <w:left w:val="nil"/>
              <w:bottom w:val="single" w:sz="4" w:space="0" w:color="auto"/>
              <w:right w:val="single" w:sz="4" w:space="0" w:color="auto"/>
            </w:tcBorders>
            <w:shd w:val="clear" w:color="auto" w:fill="C6EFCE"/>
            <w:noWrap/>
          </w:tcPr>
          <w:p w14:paraId="5DAE6AA7" w14:textId="7D6F01AA" w:rsidR="00EB245A" w:rsidRDefault="006021EE">
            <w:pPr>
              <w:pStyle w:val="P68B1DB1-Normal26"/>
              <w:spacing w:after="0" w:line="240" w:lineRule="auto"/>
              <w:rPr>
                <w:rFonts w:eastAsia="Times New Roman" w:cs="Times New Roman"/>
                <w:noProof/>
              </w:rPr>
            </w:pPr>
            <w:r>
              <w:rPr>
                <w:noProof/>
              </w:rPr>
              <w:t xml:space="preserve">Unterzeichnung von Finanzhilfevereinbarungen für Projekte zum Bau oder zur Modernisierung von Abschnitten des Stromübertragungsnetzes (220 kV), die </w:t>
            </w:r>
            <w:r>
              <w:rPr>
                <w:noProof/>
              </w:rPr>
              <w:t>50 km Abschnitte und 5 mit diesen Abschnitten zusammenhängende Stationen repräsentieren.</w:t>
            </w:r>
          </w:p>
          <w:p w14:paraId="073E6D13" w14:textId="77777777" w:rsidR="00EB245A" w:rsidRDefault="00EB245A">
            <w:pPr>
              <w:spacing w:after="0" w:line="240" w:lineRule="auto"/>
              <w:rPr>
                <w:rFonts w:ascii="Times New Roman" w:eastAsia="Times New Roman" w:hAnsi="Times New Roman" w:cs="Times New Roman"/>
                <w:noProof/>
                <w:sz w:val="18"/>
              </w:rPr>
            </w:pPr>
          </w:p>
          <w:p w14:paraId="00EB34AB" w14:textId="3BD758A8" w:rsidR="00EB245A" w:rsidRDefault="006021EE">
            <w:pPr>
              <w:pStyle w:val="P68B1DB1-Normal26"/>
              <w:spacing w:after="0" w:line="240" w:lineRule="auto"/>
              <w:rPr>
                <w:rFonts w:eastAsia="Times New Roman" w:cs="Times New Roman"/>
                <w:noProof/>
              </w:rPr>
            </w:pPr>
            <w:r>
              <w:rPr>
                <w:noProof/>
              </w:rPr>
              <w:t xml:space="preserve">Projekte, die im Rahmen der Finanzhilfevereinbarungen unterstützt werden, müssen intelligente Netzfunktionen umfassen, um zur Entwicklung erneuerbarer Energiequellen </w:t>
            </w:r>
            <w:r>
              <w:rPr>
                <w:noProof/>
              </w:rPr>
              <w:t xml:space="preserve">beizutragen. </w:t>
            </w:r>
          </w:p>
        </w:tc>
      </w:tr>
      <w:tr w:rsidR="00EB245A" w14:paraId="062891DA" w14:textId="77777777" w:rsidTr="00396F21">
        <w:trPr>
          <w:trHeight w:val="309"/>
          <w:jc w:val="center"/>
        </w:trPr>
        <w:tc>
          <w:tcPr>
            <w:tcW w:w="846" w:type="dxa"/>
            <w:tcBorders>
              <w:top w:val="nil"/>
              <w:left w:val="single" w:sz="4" w:space="0" w:color="auto"/>
              <w:bottom w:val="single" w:sz="4" w:space="0" w:color="auto"/>
              <w:right w:val="single" w:sz="4" w:space="0" w:color="auto"/>
            </w:tcBorders>
            <w:shd w:val="clear" w:color="auto" w:fill="C6EFCE"/>
            <w:noWrap/>
          </w:tcPr>
          <w:p w14:paraId="5188E4BB" w14:textId="0BA79372" w:rsidR="00EB245A" w:rsidRDefault="006021EE">
            <w:pPr>
              <w:pStyle w:val="P68B1DB1-Normal26"/>
              <w:spacing w:after="0" w:line="240" w:lineRule="auto"/>
              <w:jc w:val="center"/>
              <w:rPr>
                <w:rFonts w:eastAsia="Times New Roman" w:cs="Times New Roman"/>
                <w:noProof/>
              </w:rPr>
            </w:pPr>
            <w:r>
              <w:rPr>
                <w:noProof/>
              </w:rPr>
              <w:t>G19G</w:t>
            </w:r>
          </w:p>
        </w:tc>
        <w:tc>
          <w:tcPr>
            <w:tcW w:w="1559" w:type="dxa"/>
            <w:tcBorders>
              <w:top w:val="nil"/>
              <w:left w:val="nil"/>
              <w:bottom w:val="single" w:sz="4" w:space="0" w:color="auto"/>
              <w:right w:val="single" w:sz="4" w:space="0" w:color="auto"/>
            </w:tcBorders>
            <w:shd w:val="clear" w:color="auto" w:fill="C6EFCE"/>
            <w:noWrap/>
          </w:tcPr>
          <w:p w14:paraId="0BBBB354" w14:textId="77777777" w:rsidR="00EB245A" w:rsidRDefault="006021EE">
            <w:pPr>
              <w:pStyle w:val="P68B1DB1-Normal26"/>
              <w:spacing w:after="0" w:line="240" w:lineRule="auto"/>
              <w:rPr>
                <w:rFonts w:eastAsia="Times New Roman" w:cs="Times New Roman"/>
                <w:noProof/>
              </w:rPr>
            </w:pPr>
            <w:r>
              <w:rPr>
                <w:noProof/>
              </w:rPr>
              <w:t>G1.2.3. Ausbau der Übertragungsnetze, intelligente Strominfrastruktur</w:t>
            </w:r>
          </w:p>
        </w:tc>
        <w:tc>
          <w:tcPr>
            <w:tcW w:w="1276" w:type="dxa"/>
            <w:tcBorders>
              <w:top w:val="nil"/>
              <w:left w:val="nil"/>
              <w:bottom w:val="single" w:sz="4" w:space="0" w:color="auto"/>
              <w:right w:val="single" w:sz="4" w:space="0" w:color="auto"/>
            </w:tcBorders>
            <w:shd w:val="clear" w:color="auto" w:fill="C6EFCE"/>
            <w:noWrap/>
          </w:tcPr>
          <w:p w14:paraId="3ADB4561" w14:textId="77777777" w:rsidR="00EB245A" w:rsidRDefault="006021EE">
            <w:pPr>
              <w:pStyle w:val="P68B1DB1-Normal26"/>
              <w:spacing w:after="0" w:line="240" w:lineRule="auto"/>
              <w:rPr>
                <w:rFonts w:eastAsia="Times New Roman" w:cs="Times New Roman"/>
                <w:noProof/>
              </w:rPr>
            </w:pPr>
            <w:r>
              <w:rPr>
                <w:noProof/>
              </w:rPr>
              <w:t>Ziel</w:t>
            </w:r>
          </w:p>
        </w:tc>
        <w:tc>
          <w:tcPr>
            <w:tcW w:w="1701" w:type="dxa"/>
            <w:tcBorders>
              <w:top w:val="nil"/>
              <w:left w:val="nil"/>
              <w:bottom w:val="single" w:sz="4" w:space="0" w:color="auto"/>
              <w:right w:val="single" w:sz="4" w:space="0" w:color="auto"/>
            </w:tcBorders>
            <w:shd w:val="clear" w:color="auto" w:fill="C6EFCE"/>
            <w:noWrap/>
          </w:tcPr>
          <w:p w14:paraId="090165FF" w14:textId="67175670" w:rsidR="00EB245A" w:rsidRDefault="006021EE">
            <w:pPr>
              <w:pStyle w:val="P68B1DB1-Normal26"/>
              <w:spacing w:after="0" w:line="240" w:lineRule="auto"/>
              <w:rPr>
                <w:rFonts w:eastAsia="Times New Roman" w:cs="Times New Roman"/>
                <w:noProof/>
              </w:rPr>
            </w:pPr>
            <w:r>
              <w:rPr>
                <w:noProof/>
              </w:rPr>
              <w:t xml:space="preserve">Länge der neuen </w:t>
            </w:r>
          </w:p>
          <w:p w14:paraId="15B28D41" w14:textId="77777777" w:rsidR="00EB245A" w:rsidRDefault="006021EE">
            <w:pPr>
              <w:pStyle w:val="P68B1DB1-Normal26"/>
              <w:spacing w:after="0" w:line="240" w:lineRule="auto"/>
              <w:rPr>
                <w:rFonts w:eastAsia="Times New Roman" w:cs="Times New Roman"/>
                <w:noProof/>
              </w:rPr>
            </w:pPr>
            <w:r>
              <w:rPr>
                <w:noProof/>
              </w:rPr>
              <w:t xml:space="preserve">gebaut oder modernisiert </w:t>
            </w:r>
          </w:p>
          <w:p w14:paraId="7DE1B121" w14:textId="36D04386" w:rsidR="00EB245A" w:rsidRDefault="006021EE">
            <w:pPr>
              <w:pStyle w:val="P68B1DB1-Normal26"/>
              <w:spacing w:after="0" w:line="240" w:lineRule="auto"/>
              <w:rPr>
                <w:rFonts w:eastAsia="Times New Roman" w:cs="Times New Roman"/>
                <w:noProof/>
              </w:rPr>
            </w:pPr>
            <w:r>
              <w:rPr>
                <w:noProof/>
              </w:rPr>
              <w:t xml:space="preserve">Stromübertragung </w:t>
            </w:r>
          </w:p>
          <w:p w14:paraId="565539DF" w14:textId="77777777" w:rsidR="00EB245A" w:rsidRDefault="006021EE">
            <w:pPr>
              <w:pStyle w:val="P68B1DB1-Normal26"/>
              <w:spacing w:after="0" w:line="240" w:lineRule="auto"/>
              <w:rPr>
                <w:rFonts w:eastAsia="Times New Roman" w:cs="Times New Roman"/>
                <w:noProof/>
              </w:rPr>
            </w:pPr>
            <w:r>
              <w:rPr>
                <w:noProof/>
              </w:rPr>
              <w:t>Netz (km)</w:t>
            </w:r>
          </w:p>
        </w:tc>
        <w:tc>
          <w:tcPr>
            <w:tcW w:w="1843" w:type="dxa"/>
            <w:tcBorders>
              <w:top w:val="nil"/>
              <w:left w:val="nil"/>
              <w:bottom w:val="single" w:sz="4" w:space="0" w:color="auto"/>
              <w:right w:val="single" w:sz="4" w:space="0" w:color="auto"/>
            </w:tcBorders>
            <w:shd w:val="clear" w:color="auto" w:fill="C6EFCE"/>
            <w:noWrap/>
          </w:tcPr>
          <w:p w14:paraId="1E99F5A8" w14:textId="77777777" w:rsidR="00EB245A" w:rsidRDefault="00EB245A">
            <w:pPr>
              <w:spacing w:after="0" w:line="240" w:lineRule="auto"/>
              <w:rPr>
                <w:rFonts w:ascii="Times New Roman" w:eastAsia="Times New Roman" w:hAnsi="Times New Roman" w:cs="Times New Roman"/>
                <w:noProof/>
                <w:sz w:val="18"/>
              </w:rPr>
            </w:pPr>
          </w:p>
        </w:tc>
        <w:tc>
          <w:tcPr>
            <w:tcW w:w="1134" w:type="dxa"/>
            <w:tcBorders>
              <w:top w:val="nil"/>
              <w:left w:val="nil"/>
              <w:bottom w:val="single" w:sz="4" w:space="0" w:color="auto"/>
              <w:right w:val="single" w:sz="4" w:space="0" w:color="auto"/>
            </w:tcBorders>
            <w:shd w:val="clear" w:color="auto" w:fill="C6EFCE"/>
            <w:noWrap/>
          </w:tcPr>
          <w:p w14:paraId="1371F91D" w14:textId="77777777" w:rsidR="00EB245A" w:rsidRDefault="006021EE">
            <w:pPr>
              <w:pStyle w:val="P68B1DB1-Normal26"/>
              <w:spacing w:after="0" w:line="240" w:lineRule="auto"/>
              <w:rPr>
                <w:rFonts w:eastAsia="Times New Roman" w:cs="Times New Roman"/>
                <w:noProof/>
              </w:rPr>
            </w:pPr>
            <w:r>
              <w:rPr>
                <w:noProof/>
              </w:rPr>
              <w:t>Anzahl</w:t>
            </w:r>
          </w:p>
        </w:tc>
        <w:tc>
          <w:tcPr>
            <w:tcW w:w="1275" w:type="dxa"/>
            <w:tcBorders>
              <w:top w:val="nil"/>
              <w:left w:val="nil"/>
              <w:bottom w:val="single" w:sz="4" w:space="0" w:color="auto"/>
              <w:right w:val="single" w:sz="4" w:space="0" w:color="auto"/>
            </w:tcBorders>
            <w:shd w:val="clear" w:color="auto" w:fill="C6EFCE"/>
            <w:noWrap/>
          </w:tcPr>
          <w:p w14:paraId="166E812A" w14:textId="77777777" w:rsidR="00EB245A" w:rsidRDefault="006021EE">
            <w:pPr>
              <w:pStyle w:val="P68B1DB1-Normal26"/>
              <w:spacing w:after="0" w:line="240" w:lineRule="auto"/>
              <w:jc w:val="center"/>
              <w:rPr>
                <w:rFonts w:eastAsia="Times New Roman" w:cs="Times New Roman"/>
                <w:noProof/>
              </w:rPr>
            </w:pPr>
            <w:r>
              <w:rPr>
                <w:noProof/>
              </w:rPr>
              <w:t>0</w:t>
            </w:r>
          </w:p>
        </w:tc>
        <w:tc>
          <w:tcPr>
            <w:tcW w:w="993" w:type="dxa"/>
            <w:tcBorders>
              <w:top w:val="nil"/>
              <w:left w:val="nil"/>
              <w:bottom w:val="single" w:sz="4" w:space="0" w:color="auto"/>
              <w:right w:val="single" w:sz="4" w:space="0" w:color="auto"/>
            </w:tcBorders>
            <w:shd w:val="clear" w:color="auto" w:fill="C6EFCE"/>
            <w:noWrap/>
          </w:tcPr>
          <w:p w14:paraId="285DE181" w14:textId="3D7A2DA4" w:rsidR="00EB245A" w:rsidRDefault="006021EE">
            <w:pPr>
              <w:pStyle w:val="P68B1DB1-Normal26"/>
              <w:spacing w:after="0" w:line="240" w:lineRule="auto"/>
              <w:rPr>
                <w:rFonts w:eastAsia="Times New Roman" w:cs="Times New Roman"/>
                <w:noProof/>
              </w:rPr>
            </w:pPr>
            <w:r>
              <w:rPr>
                <w:noProof/>
              </w:rPr>
              <w:t>50</w:t>
            </w:r>
          </w:p>
        </w:tc>
        <w:tc>
          <w:tcPr>
            <w:tcW w:w="992" w:type="dxa"/>
            <w:tcBorders>
              <w:top w:val="nil"/>
              <w:left w:val="nil"/>
              <w:bottom w:val="single" w:sz="4" w:space="0" w:color="auto"/>
              <w:right w:val="single" w:sz="4" w:space="0" w:color="auto"/>
            </w:tcBorders>
            <w:shd w:val="clear" w:color="auto" w:fill="C6EFCE"/>
            <w:noWrap/>
          </w:tcPr>
          <w:p w14:paraId="34A0E303" w14:textId="77777777" w:rsidR="00EB245A" w:rsidRDefault="006021EE">
            <w:pPr>
              <w:pStyle w:val="P68B1DB1-Normal26"/>
              <w:spacing w:after="0" w:line="240" w:lineRule="auto"/>
              <w:jc w:val="center"/>
              <w:rPr>
                <w:rFonts w:eastAsia="Times New Roman" w:cs="Times New Roman"/>
                <w:noProof/>
              </w:rPr>
            </w:pPr>
            <w:r>
              <w:rPr>
                <w:noProof/>
              </w:rPr>
              <w:t>Q2</w:t>
            </w:r>
          </w:p>
        </w:tc>
        <w:tc>
          <w:tcPr>
            <w:tcW w:w="992" w:type="dxa"/>
            <w:tcBorders>
              <w:top w:val="nil"/>
              <w:left w:val="nil"/>
              <w:bottom w:val="single" w:sz="4" w:space="0" w:color="auto"/>
              <w:right w:val="single" w:sz="4" w:space="0" w:color="auto"/>
            </w:tcBorders>
            <w:shd w:val="clear" w:color="auto" w:fill="C6EFCE"/>
            <w:noWrap/>
          </w:tcPr>
          <w:p w14:paraId="1B31B911" w14:textId="77777777" w:rsidR="00EB245A" w:rsidRDefault="006021EE">
            <w:pPr>
              <w:pStyle w:val="P68B1DB1-Normal26"/>
              <w:spacing w:after="0" w:line="240" w:lineRule="auto"/>
              <w:jc w:val="center"/>
              <w:rPr>
                <w:rFonts w:eastAsia="Times New Roman" w:cs="Times New Roman"/>
                <w:noProof/>
              </w:rPr>
            </w:pPr>
            <w:r>
              <w:rPr>
                <w:noProof/>
              </w:rPr>
              <w:t>2026</w:t>
            </w:r>
          </w:p>
        </w:tc>
        <w:tc>
          <w:tcPr>
            <w:tcW w:w="2698" w:type="dxa"/>
            <w:tcBorders>
              <w:top w:val="nil"/>
              <w:left w:val="nil"/>
              <w:bottom w:val="single" w:sz="4" w:space="0" w:color="auto"/>
              <w:right w:val="single" w:sz="4" w:space="0" w:color="auto"/>
            </w:tcBorders>
            <w:shd w:val="clear" w:color="auto" w:fill="C6EFCE"/>
            <w:noWrap/>
          </w:tcPr>
          <w:p w14:paraId="5D9585E2" w14:textId="77777777" w:rsidR="00EB245A" w:rsidRDefault="006021EE">
            <w:pPr>
              <w:pStyle w:val="P68B1DB1-Normal26"/>
              <w:spacing w:after="0" w:line="240" w:lineRule="auto"/>
              <w:rPr>
                <w:rFonts w:eastAsia="Times New Roman" w:cs="Times New Roman"/>
                <w:noProof/>
              </w:rPr>
            </w:pPr>
            <w:r>
              <w:rPr>
                <w:noProof/>
              </w:rPr>
              <w:t xml:space="preserve">Kilometerzahl neu gebauter oder modernisierter Abschnitte von </w:t>
            </w:r>
            <w:r>
              <w:rPr>
                <w:noProof/>
              </w:rPr>
              <w:t>Stromübertragungsnetzprojekten (220 kV). Die Länge jedes Abschnitts ist nur einmal zu berechnen (unabhängig davon, ob es sich um eine Ein- oder Doppelschlussleitung handelt).</w:t>
            </w:r>
          </w:p>
          <w:p w14:paraId="4C3E1E98" w14:textId="77777777" w:rsidR="00EB245A" w:rsidRDefault="00EB245A">
            <w:pPr>
              <w:spacing w:after="0" w:line="240" w:lineRule="auto"/>
              <w:rPr>
                <w:rFonts w:ascii="Times New Roman" w:eastAsia="Times New Roman" w:hAnsi="Times New Roman" w:cs="Times New Roman"/>
                <w:noProof/>
                <w:sz w:val="18"/>
              </w:rPr>
            </w:pPr>
          </w:p>
        </w:tc>
      </w:tr>
      <w:tr w:rsidR="00EB245A" w14:paraId="559B7987" w14:textId="77777777" w:rsidTr="00396F21">
        <w:trPr>
          <w:trHeight w:val="309"/>
          <w:jc w:val="center"/>
        </w:trPr>
        <w:tc>
          <w:tcPr>
            <w:tcW w:w="846" w:type="dxa"/>
            <w:tcBorders>
              <w:top w:val="nil"/>
              <w:left w:val="single" w:sz="4" w:space="0" w:color="auto"/>
              <w:bottom w:val="single" w:sz="4" w:space="0" w:color="auto"/>
              <w:right w:val="single" w:sz="4" w:space="0" w:color="auto"/>
            </w:tcBorders>
            <w:shd w:val="clear" w:color="auto" w:fill="C6EFCE"/>
            <w:noWrap/>
          </w:tcPr>
          <w:p w14:paraId="5D70097F" w14:textId="6EBB2D9D" w:rsidR="00EB245A" w:rsidRDefault="006021EE">
            <w:pPr>
              <w:pStyle w:val="P68B1DB1-Normal26"/>
              <w:spacing w:after="0" w:line="240" w:lineRule="auto"/>
              <w:jc w:val="center"/>
              <w:rPr>
                <w:rFonts w:eastAsia="Times New Roman" w:cs="Times New Roman"/>
                <w:noProof/>
              </w:rPr>
            </w:pPr>
            <w:r>
              <w:rPr>
                <w:noProof/>
              </w:rPr>
              <w:t>G20G</w:t>
            </w:r>
          </w:p>
        </w:tc>
        <w:tc>
          <w:tcPr>
            <w:tcW w:w="1559" w:type="dxa"/>
            <w:tcBorders>
              <w:top w:val="nil"/>
              <w:left w:val="nil"/>
              <w:bottom w:val="single" w:sz="4" w:space="0" w:color="auto"/>
              <w:right w:val="single" w:sz="4" w:space="0" w:color="auto"/>
            </w:tcBorders>
            <w:shd w:val="clear" w:color="auto" w:fill="C6EFCE"/>
            <w:noWrap/>
          </w:tcPr>
          <w:p w14:paraId="2E293AE8" w14:textId="01689A13" w:rsidR="00EB245A" w:rsidRDefault="006021EE">
            <w:pPr>
              <w:pStyle w:val="P68B1DB1-Normal26"/>
              <w:spacing w:after="0" w:line="240" w:lineRule="auto"/>
              <w:rPr>
                <w:rFonts w:eastAsia="Times New Roman" w:cs="Times New Roman"/>
                <w:noProof/>
              </w:rPr>
            </w:pPr>
            <w:r>
              <w:rPr>
                <w:noProof/>
              </w:rPr>
              <w:t>G1.2.3 Ausbau der Übertragungsnetze, intelligente Strominfrastruktur</w:t>
            </w:r>
          </w:p>
        </w:tc>
        <w:tc>
          <w:tcPr>
            <w:tcW w:w="1276" w:type="dxa"/>
            <w:tcBorders>
              <w:top w:val="nil"/>
              <w:left w:val="nil"/>
              <w:bottom w:val="single" w:sz="4" w:space="0" w:color="auto"/>
              <w:right w:val="single" w:sz="4" w:space="0" w:color="auto"/>
            </w:tcBorders>
            <w:shd w:val="clear" w:color="auto" w:fill="C6EFCE"/>
            <w:noWrap/>
          </w:tcPr>
          <w:p w14:paraId="7EC5B417" w14:textId="77777777" w:rsidR="00EB245A" w:rsidRDefault="006021EE">
            <w:pPr>
              <w:pStyle w:val="P68B1DB1-Normal26"/>
              <w:spacing w:after="0" w:line="240" w:lineRule="auto"/>
              <w:rPr>
                <w:rFonts w:eastAsia="Times New Roman" w:cs="Times New Roman"/>
                <w:noProof/>
              </w:rPr>
            </w:pPr>
            <w:r>
              <w:rPr>
                <w:noProof/>
              </w:rPr>
              <w:t>Ziel</w:t>
            </w:r>
          </w:p>
        </w:tc>
        <w:tc>
          <w:tcPr>
            <w:tcW w:w="1701" w:type="dxa"/>
            <w:tcBorders>
              <w:top w:val="nil"/>
              <w:left w:val="nil"/>
              <w:bottom w:val="single" w:sz="4" w:space="0" w:color="auto"/>
              <w:right w:val="single" w:sz="4" w:space="0" w:color="auto"/>
            </w:tcBorders>
            <w:shd w:val="clear" w:color="auto" w:fill="C6EFCE"/>
            <w:noWrap/>
          </w:tcPr>
          <w:p w14:paraId="019AC015" w14:textId="77777777" w:rsidR="00EB245A" w:rsidRDefault="006021EE">
            <w:pPr>
              <w:pStyle w:val="P68B1DB1-Normal26"/>
              <w:spacing w:after="0" w:line="240" w:lineRule="auto"/>
              <w:rPr>
                <w:rFonts w:eastAsia="Times New Roman" w:cs="Times New Roman"/>
                <w:noProof/>
              </w:rPr>
            </w:pPr>
            <w:r>
              <w:rPr>
                <w:noProof/>
              </w:rPr>
              <w:t>Erweiterte oder umgerüstete Kraftwerke innerhalb des Übertragungsnetzes</w:t>
            </w:r>
          </w:p>
        </w:tc>
        <w:tc>
          <w:tcPr>
            <w:tcW w:w="1843" w:type="dxa"/>
            <w:tcBorders>
              <w:top w:val="nil"/>
              <w:left w:val="nil"/>
              <w:bottom w:val="single" w:sz="4" w:space="0" w:color="auto"/>
              <w:right w:val="single" w:sz="4" w:space="0" w:color="auto"/>
            </w:tcBorders>
            <w:shd w:val="clear" w:color="auto" w:fill="C6EFCE"/>
            <w:noWrap/>
          </w:tcPr>
          <w:p w14:paraId="28C7A47F" w14:textId="77777777" w:rsidR="00EB245A" w:rsidRDefault="00EB245A">
            <w:pPr>
              <w:spacing w:after="0" w:line="240" w:lineRule="auto"/>
              <w:rPr>
                <w:rFonts w:ascii="Times New Roman" w:eastAsia="Times New Roman" w:hAnsi="Times New Roman" w:cs="Times New Roman"/>
                <w:noProof/>
                <w:sz w:val="18"/>
              </w:rPr>
            </w:pPr>
          </w:p>
        </w:tc>
        <w:tc>
          <w:tcPr>
            <w:tcW w:w="1134" w:type="dxa"/>
            <w:tcBorders>
              <w:top w:val="nil"/>
              <w:left w:val="nil"/>
              <w:bottom w:val="single" w:sz="4" w:space="0" w:color="auto"/>
              <w:right w:val="single" w:sz="4" w:space="0" w:color="auto"/>
            </w:tcBorders>
            <w:shd w:val="clear" w:color="auto" w:fill="C6EFCE"/>
            <w:noWrap/>
          </w:tcPr>
          <w:p w14:paraId="0DFE5ED4" w14:textId="77777777" w:rsidR="00EB245A" w:rsidRDefault="006021EE">
            <w:pPr>
              <w:pStyle w:val="P68B1DB1-Normal26"/>
              <w:spacing w:after="0" w:line="240" w:lineRule="auto"/>
              <w:rPr>
                <w:rFonts w:eastAsia="Times New Roman" w:cs="Times New Roman"/>
                <w:noProof/>
              </w:rPr>
            </w:pPr>
            <w:r>
              <w:rPr>
                <w:noProof/>
              </w:rPr>
              <w:t>Anzahl</w:t>
            </w:r>
          </w:p>
        </w:tc>
        <w:tc>
          <w:tcPr>
            <w:tcW w:w="1275" w:type="dxa"/>
            <w:tcBorders>
              <w:top w:val="nil"/>
              <w:left w:val="nil"/>
              <w:bottom w:val="single" w:sz="4" w:space="0" w:color="auto"/>
              <w:right w:val="single" w:sz="4" w:space="0" w:color="auto"/>
            </w:tcBorders>
            <w:shd w:val="clear" w:color="auto" w:fill="C6EFCE"/>
            <w:noWrap/>
          </w:tcPr>
          <w:p w14:paraId="72889CF4" w14:textId="77777777" w:rsidR="00EB245A" w:rsidRDefault="006021EE">
            <w:pPr>
              <w:pStyle w:val="P68B1DB1-Normal26"/>
              <w:spacing w:after="0" w:line="240" w:lineRule="auto"/>
              <w:jc w:val="center"/>
              <w:rPr>
                <w:rFonts w:eastAsia="Times New Roman" w:cs="Times New Roman"/>
                <w:noProof/>
              </w:rPr>
            </w:pPr>
            <w:r>
              <w:rPr>
                <w:noProof/>
              </w:rPr>
              <w:t>0</w:t>
            </w:r>
          </w:p>
        </w:tc>
        <w:tc>
          <w:tcPr>
            <w:tcW w:w="993" w:type="dxa"/>
            <w:tcBorders>
              <w:top w:val="nil"/>
              <w:left w:val="nil"/>
              <w:bottom w:val="single" w:sz="4" w:space="0" w:color="auto"/>
              <w:right w:val="single" w:sz="4" w:space="0" w:color="auto"/>
            </w:tcBorders>
            <w:shd w:val="clear" w:color="auto" w:fill="C6EFCE"/>
            <w:noWrap/>
          </w:tcPr>
          <w:p w14:paraId="7DFA2C18" w14:textId="77777777" w:rsidR="00EB245A" w:rsidRDefault="006021EE">
            <w:pPr>
              <w:pStyle w:val="P68B1DB1-Normal26"/>
              <w:spacing w:after="0" w:line="240" w:lineRule="auto"/>
              <w:jc w:val="center"/>
              <w:rPr>
                <w:rFonts w:eastAsia="Times New Roman" w:cs="Times New Roman"/>
                <w:noProof/>
              </w:rPr>
            </w:pPr>
            <w:r>
              <w:rPr>
                <w:noProof/>
              </w:rPr>
              <w:t>5</w:t>
            </w:r>
          </w:p>
        </w:tc>
        <w:tc>
          <w:tcPr>
            <w:tcW w:w="992" w:type="dxa"/>
            <w:tcBorders>
              <w:top w:val="nil"/>
              <w:left w:val="nil"/>
              <w:bottom w:val="single" w:sz="4" w:space="0" w:color="auto"/>
              <w:right w:val="single" w:sz="4" w:space="0" w:color="auto"/>
            </w:tcBorders>
            <w:shd w:val="clear" w:color="auto" w:fill="C6EFCE"/>
            <w:noWrap/>
          </w:tcPr>
          <w:p w14:paraId="017A8916" w14:textId="77777777" w:rsidR="00EB245A" w:rsidRDefault="006021EE">
            <w:pPr>
              <w:pStyle w:val="P68B1DB1-Normal26"/>
              <w:spacing w:after="0" w:line="240" w:lineRule="auto"/>
              <w:jc w:val="center"/>
              <w:rPr>
                <w:rFonts w:eastAsia="Times New Roman" w:cs="Times New Roman"/>
                <w:noProof/>
              </w:rPr>
            </w:pPr>
            <w:r>
              <w:rPr>
                <w:noProof/>
              </w:rPr>
              <w:t>Q2</w:t>
            </w:r>
          </w:p>
        </w:tc>
        <w:tc>
          <w:tcPr>
            <w:tcW w:w="992" w:type="dxa"/>
            <w:tcBorders>
              <w:top w:val="nil"/>
              <w:left w:val="nil"/>
              <w:bottom w:val="single" w:sz="4" w:space="0" w:color="auto"/>
              <w:right w:val="single" w:sz="4" w:space="0" w:color="auto"/>
            </w:tcBorders>
            <w:shd w:val="clear" w:color="auto" w:fill="C6EFCE"/>
            <w:noWrap/>
          </w:tcPr>
          <w:p w14:paraId="54E9C7EA" w14:textId="77777777" w:rsidR="00EB245A" w:rsidRDefault="006021EE">
            <w:pPr>
              <w:pStyle w:val="P68B1DB1-Normal26"/>
              <w:spacing w:after="0" w:line="240" w:lineRule="auto"/>
              <w:jc w:val="center"/>
              <w:rPr>
                <w:rFonts w:eastAsia="Times New Roman" w:cs="Times New Roman"/>
                <w:noProof/>
              </w:rPr>
            </w:pPr>
            <w:r>
              <w:rPr>
                <w:noProof/>
              </w:rPr>
              <w:t>2026</w:t>
            </w:r>
          </w:p>
        </w:tc>
        <w:tc>
          <w:tcPr>
            <w:tcW w:w="2698" w:type="dxa"/>
            <w:tcBorders>
              <w:top w:val="nil"/>
              <w:left w:val="nil"/>
              <w:bottom w:val="single" w:sz="4" w:space="0" w:color="auto"/>
              <w:right w:val="single" w:sz="4" w:space="0" w:color="auto"/>
            </w:tcBorders>
            <w:shd w:val="clear" w:color="auto" w:fill="C6EFCE"/>
            <w:noWrap/>
          </w:tcPr>
          <w:p w14:paraId="27A73B52" w14:textId="71D62471" w:rsidR="00EB245A" w:rsidRDefault="006021EE">
            <w:pPr>
              <w:pStyle w:val="P68B1DB1-Normal26"/>
              <w:spacing w:after="0" w:line="240" w:lineRule="auto"/>
              <w:rPr>
                <w:rFonts w:eastAsia="Times New Roman" w:cs="Times New Roman"/>
                <w:noProof/>
              </w:rPr>
            </w:pPr>
            <w:r>
              <w:rPr>
                <w:noProof/>
              </w:rPr>
              <w:t>Anzahl der erweiterten oder modernisierten Kraftwerke des Stromübertragungsnetzes, die die Integration neuer Kapazitäten für erneuerbare Energien beschleunigen soll</w:t>
            </w:r>
            <w:r>
              <w:rPr>
                <w:noProof/>
              </w:rPr>
              <w:t>en.</w:t>
            </w:r>
          </w:p>
        </w:tc>
      </w:tr>
      <w:tr w:rsidR="00EB245A" w14:paraId="0225BCDE" w14:textId="77777777" w:rsidTr="00396F21">
        <w:trPr>
          <w:trHeight w:val="309"/>
          <w:jc w:val="center"/>
        </w:trPr>
        <w:tc>
          <w:tcPr>
            <w:tcW w:w="846" w:type="dxa"/>
            <w:tcBorders>
              <w:top w:val="nil"/>
              <w:left w:val="single" w:sz="4" w:space="0" w:color="auto"/>
              <w:bottom w:val="single" w:sz="4" w:space="0" w:color="auto"/>
              <w:right w:val="single" w:sz="4" w:space="0" w:color="auto"/>
            </w:tcBorders>
            <w:shd w:val="clear" w:color="auto" w:fill="C6EFCE"/>
            <w:noWrap/>
          </w:tcPr>
          <w:p w14:paraId="4892077C" w14:textId="1DD1DA3F" w:rsidR="00EB245A" w:rsidRDefault="006021EE">
            <w:pPr>
              <w:pStyle w:val="P68B1DB1-Normal26"/>
              <w:spacing w:after="0" w:line="240" w:lineRule="auto"/>
              <w:jc w:val="center"/>
              <w:rPr>
                <w:rFonts w:eastAsia="Times New Roman" w:cs="Times New Roman"/>
                <w:noProof/>
              </w:rPr>
            </w:pPr>
            <w:r>
              <w:rPr>
                <w:noProof/>
              </w:rPr>
              <w:t>G21G</w:t>
            </w:r>
          </w:p>
        </w:tc>
        <w:tc>
          <w:tcPr>
            <w:tcW w:w="1559" w:type="dxa"/>
            <w:tcBorders>
              <w:top w:val="nil"/>
              <w:left w:val="nil"/>
              <w:bottom w:val="single" w:sz="4" w:space="0" w:color="auto"/>
              <w:right w:val="single" w:sz="4" w:space="0" w:color="auto"/>
            </w:tcBorders>
            <w:shd w:val="clear" w:color="auto" w:fill="C6EFCE"/>
            <w:noWrap/>
          </w:tcPr>
          <w:p w14:paraId="2535F8EA" w14:textId="49D0A252" w:rsidR="00EB245A" w:rsidRDefault="006021EE">
            <w:pPr>
              <w:pStyle w:val="P68B1DB1-Normal26"/>
              <w:spacing w:after="0" w:line="240" w:lineRule="auto"/>
              <w:rPr>
                <w:rFonts w:eastAsia="Times New Roman" w:cs="Times New Roman"/>
                <w:noProof/>
              </w:rPr>
            </w:pPr>
            <w:r>
              <w:rPr>
                <w:noProof/>
              </w:rPr>
              <w:t>G1.2.3 Ausbau der Übertragungsnetze, intelligente Strominfrastruktur</w:t>
            </w:r>
          </w:p>
        </w:tc>
        <w:tc>
          <w:tcPr>
            <w:tcW w:w="1276" w:type="dxa"/>
            <w:tcBorders>
              <w:top w:val="nil"/>
              <w:left w:val="nil"/>
              <w:bottom w:val="single" w:sz="4" w:space="0" w:color="auto"/>
              <w:right w:val="single" w:sz="4" w:space="0" w:color="auto"/>
            </w:tcBorders>
            <w:shd w:val="clear" w:color="auto" w:fill="C6EFCE"/>
            <w:noWrap/>
          </w:tcPr>
          <w:p w14:paraId="229AECD2" w14:textId="77777777" w:rsidR="00EB245A" w:rsidRDefault="006021EE">
            <w:pPr>
              <w:pStyle w:val="P68B1DB1-Normal26"/>
              <w:spacing w:after="0" w:line="240" w:lineRule="auto"/>
              <w:rPr>
                <w:rFonts w:eastAsia="Times New Roman" w:cs="Times New Roman"/>
                <w:noProof/>
              </w:rPr>
            </w:pPr>
            <w:r>
              <w:rPr>
                <w:noProof/>
              </w:rPr>
              <w:t>Meilenstein</w:t>
            </w:r>
          </w:p>
        </w:tc>
        <w:tc>
          <w:tcPr>
            <w:tcW w:w="1701" w:type="dxa"/>
            <w:tcBorders>
              <w:top w:val="nil"/>
              <w:left w:val="nil"/>
              <w:bottom w:val="single" w:sz="4" w:space="0" w:color="auto"/>
              <w:right w:val="single" w:sz="4" w:space="0" w:color="auto"/>
            </w:tcBorders>
            <w:shd w:val="clear" w:color="auto" w:fill="C6EFCE"/>
            <w:noWrap/>
          </w:tcPr>
          <w:p w14:paraId="2C7BF687" w14:textId="77777777" w:rsidR="00EB245A" w:rsidRDefault="006021EE">
            <w:pPr>
              <w:pStyle w:val="P68B1DB1-Normal26"/>
              <w:spacing w:after="0" w:line="240" w:lineRule="auto"/>
              <w:rPr>
                <w:rFonts w:eastAsia="Times New Roman" w:cs="Times New Roman"/>
                <w:noProof/>
              </w:rPr>
            </w:pPr>
            <w:r>
              <w:rPr>
                <w:noProof/>
              </w:rPr>
              <w:t>Einführung des Datendrehkreuzes auf dem Strommarkt (OIRE/CSIRE)</w:t>
            </w:r>
          </w:p>
        </w:tc>
        <w:tc>
          <w:tcPr>
            <w:tcW w:w="1843" w:type="dxa"/>
            <w:tcBorders>
              <w:top w:val="nil"/>
              <w:left w:val="nil"/>
              <w:bottom w:val="single" w:sz="4" w:space="0" w:color="auto"/>
              <w:right w:val="single" w:sz="4" w:space="0" w:color="auto"/>
            </w:tcBorders>
            <w:shd w:val="clear" w:color="auto" w:fill="C6EFCE"/>
            <w:noWrap/>
          </w:tcPr>
          <w:p w14:paraId="2AAD6266" w14:textId="77777777" w:rsidR="00EB245A" w:rsidRDefault="006021EE">
            <w:pPr>
              <w:pStyle w:val="P68B1DB1-Normal26"/>
              <w:spacing w:after="0" w:line="240" w:lineRule="auto"/>
              <w:rPr>
                <w:rFonts w:eastAsia="Times New Roman" w:cs="Times New Roman"/>
                <w:noProof/>
              </w:rPr>
            </w:pPr>
            <w:r>
              <w:rPr>
                <w:noProof/>
              </w:rPr>
              <w:t>Inbetriebnahme</w:t>
            </w:r>
          </w:p>
        </w:tc>
        <w:tc>
          <w:tcPr>
            <w:tcW w:w="1134" w:type="dxa"/>
            <w:tcBorders>
              <w:top w:val="nil"/>
              <w:left w:val="nil"/>
              <w:bottom w:val="single" w:sz="4" w:space="0" w:color="auto"/>
              <w:right w:val="single" w:sz="4" w:space="0" w:color="auto"/>
            </w:tcBorders>
            <w:shd w:val="clear" w:color="auto" w:fill="C6EFCE"/>
            <w:noWrap/>
          </w:tcPr>
          <w:p w14:paraId="58A4B639" w14:textId="77777777" w:rsidR="00EB245A" w:rsidRDefault="00EB245A">
            <w:pPr>
              <w:spacing w:after="0" w:line="240" w:lineRule="auto"/>
              <w:rPr>
                <w:rFonts w:ascii="Times New Roman" w:eastAsia="Times New Roman" w:hAnsi="Times New Roman" w:cs="Times New Roman"/>
                <w:noProof/>
                <w:sz w:val="18"/>
              </w:rPr>
            </w:pPr>
          </w:p>
        </w:tc>
        <w:tc>
          <w:tcPr>
            <w:tcW w:w="1275" w:type="dxa"/>
            <w:tcBorders>
              <w:top w:val="nil"/>
              <w:left w:val="nil"/>
              <w:bottom w:val="single" w:sz="4" w:space="0" w:color="auto"/>
              <w:right w:val="single" w:sz="4" w:space="0" w:color="auto"/>
            </w:tcBorders>
            <w:shd w:val="clear" w:color="auto" w:fill="C6EFCE"/>
            <w:noWrap/>
          </w:tcPr>
          <w:p w14:paraId="41EF9A60" w14:textId="77777777" w:rsidR="00EB245A" w:rsidRDefault="00EB245A">
            <w:pPr>
              <w:spacing w:after="0" w:line="240" w:lineRule="auto"/>
              <w:jc w:val="center"/>
              <w:rPr>
                <w:rFonts w:ascii="Times New Roman" w:eastAsia="Times New Roman" w:hAnsi="Times New Roman" w:cs="Times New Roman"/>
                <w:noProof/>
                <w:sz w:val="18"/>
              </w:rPr>
            </w:pPr>
          </w:p>
        </w:tc>
        <w:tc>
          <w:tcPr>
            <w:tcW w:w="993" w:type="dxa"/>
            <w:tcBorders>
              <w:top w:val="nil"/>
              <w:left w:val="nil"/>
              <w:bottom w:val="single" w:sz="4" w:space="0" w:color="auto"/>
              <w:right w:val="single" w:sz="4" w:space="0" w:color="auto"/>
            </w:tcBorders>
            <w:shd w:val="clear" w:color="auto" w:fill="C6EFCE"/>
            <w:noWrap/>
          </w:tcPr>
          <w:p w14:paraId="20021D68" w14:textId="77777777" w:rsidR="00EB245A" w:rsidRDefault="00EB245A">
            <w:pPr>
              <w:spacing w:after="0" w:line="240" w:lineRule="auto"/>
              <w:jc w:val="center"/>
              <w:rPr>
                <w:rFonts w:ascii="Times New Roman" w:eastAsia="Times New Roman" w:hAnsi="Times New Roman" w:cs="Times New Roman"/>
                <w:noProof/>
                <w:sz w:val="18"/>
              </w:rPr>
            </w:pPr>
          </w:p>
        </w:tc>
        <w:tc>
          <w:tcPr>
            <w:tcW w:w="992" w:type="dxa"/>
            <w:tcBorders>
              <w:top w:val="nil"/>
              <w:left w:val="nil"/>
              <w:bottom w:val="single" w:sz="4" w:space="0" w:color="auto"/>
              <w:right w:val="single" w:sz="4" w:space="0" w:color="auto"/>
            </w:tcBorders>
            <w:shd w:val="clear" w:color="auto" w:fill="C6EFCE"/>
            <w:noWrap/>
          </w:tcPr>
          <w:p w14:paraId="0C2EF208" w14:textId="77777777" w:rsidR="00EB245A" w:rsidRDefault="006021EE">
            <w:pPr>
              <w:pStyle w:val="P68B1DB1-Normal26"/>
              <w:spacing w:after="0" w:line="240" w:lineRule="auto"/>
              <w:jc w:val="center"/>
              <w:rPr>
                <w:rFonts w:eastAsia="Times New Roman" w:cs="Times New Roman"/>
                <w:noProof/>
              </w:rPr>
            </w:pPr>
            <w:r>
              <w:rPr>
                <w:noProof/>
              </w:rPr>
              <w:t>Q3</w:t>
            </w:r>
          </w:p>
        </w:tc>
        <w:tc>
          <w:tcPr>
            <w:tcW w:w="992" w:type="dxa"/>
            <w:tcBorders>
              <w:top w:val="nil"/>
              <w:left w:val="nil"/>
              <w:bottom w:val="single" w:sz="4" w:space="0" w:color="auto"/>
              <w:right w:val="single" w:sz="4" w:space="0" w:color="auto"/>
            </w:tcBorders>
            <w:shd w:val="clear" w:color="auto" w:fill="C6EFCE"/>
            <w:noWrap/>
          </w:tcPr>
          <w:p w14:paraId="0007C8D2" w14:textId="77777777" w:rsidR="00EB245A" w:rsidRDefault="006021EE">
            <w:pPr>
              <w:pStyle w:val="P68B1DB1-Normal26"/>
              <w:spacing w:after="0" w:line="240" w:lineRule="auto"/>
              <w:jc w:val="center"/>
              <w:rPr>
                <w:rFonts w:eastAsia="Times New Roman" w:cs="Times New Roman"/>
                <w:noProof/>
              </w:rPr>
            </w:pPr>
            <w:r>
              <w:rPr>
                <w:noProof/>
              </w:rPr>
              <w:t>2025</w:t>
            </w:r>
          </w:p>
        </w:tc>
        <w:tc>
          <w:tcPr>
            <w:tcW w:w="2698" w:type="dxa"/>
            <w:tcBorders>
              <w:top w:val="nil"/>
              <w:left w:val="nil"/>
              <w:bottom w:val="single" w:sz="4" w:space="0" w:color="auto"/>
              <w:right w:val="single" w:sz="4" w:space="0" w:color="auto"/>
            </w:tcBorders>
            <w:shd w:val="clear" w:color="auto" w:fill="C6EFCE"/>
            <w:noWrap/>
          </w:tcPr>
          <w:p w14:paraId="45AFBE56" w14:textId="16AE6041" w:rsidR="00EB245A" w:rsidRDefault="006021EE">
            <w:pPr>
              <w:pStyle w:val="P68B1DB1-Normal26"/>
              <w:spacing w:after="0" w:line="240" w:lineRule="auto"/>
              <w:rPr>
                <w:rFonts w:eastAsia="Times New Roman" w:cs="Times New Roman"/>
                <w:noProof/>
              </w:rPr>
            </w:pPr>
            <w:r>
              <w:rPr>
                <w:noProof/>
              </w:rPr>
              <w:t xml:space="preserve">Inbetriebnahme einer Datendrehscheibe und Installation eines </w:t>
            </w:r>
            <w:r>
              <w:rPr>
                <w:noProof/>
              </w:rPr>
              <w:t>Leistungsqualitätsanalysators auf dem Strommarkt (OIRE/CSIRE).</w:t>
            </w:r>
          </w:p>
        </w:tc>
      </w:tr>
      <w:tr w:rsidR="00EB245A" w14:paraId="29B33ADA" w14:textId="77777777" w:rsidTr="00396F21">
        <w:trPr>
          <w:trHeight w:val="309"/>
          <w:jc w:val="center"/>
        </w:trPr>
        <w:tc>
          <w:tcPr>
            <w:tcW w:w="846" w:type="dxa"/>
            <w:tcBorders>
              <w:top w:val="nil"/>
              <w:left w:val="single" w:sz="4" w:space="0" w:color="auto"/>
              <w:bottom w:val="single" w:sz="4" w:space="0" w:color="auto"/>
              <w:right w:val="single" w:sz="4" w:space="0" w:color="auto"/>
            </w:tcBorders>
            <w:shd w:val="clear" w:color="auto" w:fill="C6EFCE"/>
            <w:noWrap/>
          </w:tcPr>
          <w:p w14:paraId="7CCB46AB" w14:textId="3AAF6E63" w:rsidR="00EB245A" w:rsidRDefault="006021EE">
            <w:pPr>
              <w:pStyle w:val="P68B1DB1-Normal26"/>
              <w:spacing w:after="0" w:line="240" w:lineRule="auto"/>
              <w:jc w:val="center"/>
              <w:rPr>
                <w:rFonts w:eastAsia="Times New Roman" w:cs="Times New Roman"/>
                <w:noProof/>
              </w:rPr>
            </w:pPr>
            <w:r>
              <w:rPr>
                <w:noProof/>
              </w:rPr>
              <w:t>G22G</w:t>
            </w:r>
          </w:p>
        </w:tc>
        <w:tc>
          <w:tcPr>
            <w:tcW w:w="1559" w:type="dxa"/>
            <w:tcBorders>
              <w:top w:val="nil"/>
              <w:left w:val="nil"/>
              <w:bottom w:val="single" w:sz="4" w:space="0" w:color="auto"/>
              <w:right w:val="single" w:sz="4" w:space="0" w:color="auto"/>
            </w:tcBorders>
            <w:shd w:val="clear" w:color="auto" w:fill="C6EFCE"/>
            <w:noWrap/>
          </w:tcPr>
          <w:p w14:paraId="1D630CE8" w14:textId="58FE3396" w:rsidR="00EB245A" w:rsidRDefault="006021EE">
            <w:pPr>
              <w:pStyle w:val="P68B1DB1-Normal26"/>
              <w:spacing w:after="0" w:line="240" w:lineRule="auto"/>
              <w:rPr>
                <w:rFonts w:eastAsia="Times New Roman" w:cs="Times New Roman"/>
                <w:noProof/>
              </w:rPr>
            </w:pPr>
            <w:r>
              <w:rPr>
                <w:noProof/>
              </w:rPr>
              <w:t>G1.2.3 Ausbau der Übertragungsnetze, intelligente Strominfrastruktur</w:t>
            </w:r>
          </w:p>
        </w:tc>
        <w:tc>
          <w:tcPr>
            <w:tcW w:w="1276" w:type="dxa"/>
            <w:tcBorders>
              <w:top w:val="nil"/>
              <w:left w:val="nil"/>
              <w:bottom w:val="single" w:sz="4" w:space="0" w:color="auto"/>
              <w:right w:val="single" w:sz="4" w:space="0" w:color="auto"/>
            </w:tcBorders>
            <w:shd w:val="clear" w:color="auto" w:fill="C6EFCE"/>
            <w:noWrap/>
          </w:tcPr>
          <w:p w14:paraId="7BF2D15B" w14:textId="77777777" w:rsidR="00EB245A" w:rsidRDefault="006021EE">
            <w:pPr>
              <w:pStyle w:val="P68B1DB1-Normal26"/>
              <w:spacing w:after="0" w:line="240" w:lineRule="auto"/>
              <w:rPr>
                <w:rFonts w:eastAsia="Times New Roman" w:cs="Times New Roman"/>
                <w:noProof/>
              </w:rPr>
            </w:pPr>
            <w:r>
              <w:rPr>
                <w:noProof/>
              </w:rPr>
              <w:t>Ziel</w:t>
            </w:r>
          </w:p>
        </w:tc>
        <w:tc>
          <w:tcPr>
            <w:tcW w:w="1701" w:type="dxa"/>
            <w:tcBorders>
              <w:top w:val="nil"/>
              <w:left w:val="nil"/>
              <w:bottom w:val="single" w:sz="4" w:space="0" w:color="auto"/>
              <w:right w:val="single" w:sz="4" w:space="0" w:color="auto"/>
            </w:tcBorders>
            <w:shd w:val="clear" w:color="auto" w:fill="C6EFCE"/>
            <w:noWrap/>
          </w:tcPr>
          <w:p w14:paraId="2D568F4A" w14:textId="3EE8EB3D" w:rsidR="00EB245A" w:rsidRDefault="006021EE">
            <w:pPr>
              <w:pStyle w:val="P68B1DB1-Normal26"/>
              <w:spacing w:after="0" w:line="240" w:lineRule="auto"/>
              <w:rPr>
                <w:rFonts w:eastAsia="Times New Roman" w:cs="Times New Roman"/>
                <w:noProof/>
              </w:rPr>
            </w:pPr>
            <w:r>
              <w:rPr>
                <w:noProof/>
              </w:rPr>
              <w:t>Einführung von IKT-Systemen im Übertragungsnetz (Anzahl der Lösungen)</w:t>
            </w:r>
          </w:p>
        </w:tc>
        <w:tc>
          <w:tcPr>
            <w:tcW w:w="1843" w:type="dxa"/>
            <w:tcBorders>
              <w:top w:val="nil"/>
              <w:left w:val="nil"/>
              <w:bottom w:val="single" w:sz="4" w:space="0" w:color="auto"/>
              <w:right w:val="single" w:sz="4" w:space="0" w:color="auto"/>
            </w:tcBorders>
            <w:shd w:val="clear" w:color="auto" w:fill="C6EFCE"/>
            <w:noWrap/>
          </w:tcPr>
          <w:p w14:paraId="6CC3CDD7" w14:textId="77777777" w:rsidR="00EB245A" w:rsidRDefault="00EB245A">
            <w:pPr>
              <w:spacing w:after="0" w:line="240" w:lineRule="auto"/>
              <w:rPr>
                <w:rFonts w:ascii="Times New Roman" w:eastAsia="Times New Roman" w:hAnsi="Times New Roman" w:cs="Times New Roman"/>
                <w:noProof/>
                <w:sz w:val="18"/>
              </w:rPr>
            </w:pPr>
          </w:p>
        </w:tc>
        <w:tc>
          <w:tcPr>
            <w:tcW w:w="1134" w:type="dxa"/>
            <w:tcBorders>
              <w:top w:val="nil"/>
              <w:left w:val="nil"/>
              <w:bottom w:val="single" w:sz="4" w:space="0" w:color="auto"/>
              <w:right w:val="single" w:sz="4" w:space="0" w:color="auto"/>
            </w:tcBorders>
            <w:shd w:val="clear" w:color="auto" w:fill="C6EFCE"/>
            <w:noWrap/>
          </w:tcPr>
          <w:p w14:paraId="2EBCA7A5" w14:textId="77777777" w:rsidR="00EB245A" w:rsidRDefault="006021EE">
            <w:pPr>
              <w:pStyle w:val="P68B1DB1-Normal26"/>
              <w:spacing w:after="0" w:line="240" w:lineRule="auto"/>
              <w:rPr>
                <w:rFonts w:eastAsia="Times New Roman" w:cs="Times New Roman"/>
                <w:noProof/>
              </w:rPr>
            </w:pPr>
            <w:r>
              <w:rPr>
                <w:noProof/>
              </w:rPr>
              <w:t>Anzahl</w:t>
            </w:r>
          </w:p>
        </w:tc>
        <w:tc>
          <w:tcPr>
            <w:tcW w:w="1275" w:type="dxa"/>
            <w:tcBorders>
              <w:top w:val="nil"/>
              <w:left w:val="nil"/>
              <w:bottom w:val="single" w:sz="4" w:space="0" w:color="auto"/>
              <w:right w:val="single" w:sz="4" w:space="0" w:color="auto"/>
            </w:tcBorders>
            <w:shd w:val="clear" w:color="auto" w:fill="C6EFCE"/>
            <w:noWrap/>
          </w:tcPr>
          <w:p w14:paraId="16782635" w14:textId="77777777" w:rsidR="00EB245A" w:rsidRDefault="006021EE">
            <w:pPr>
              <w:pStyle w:val="P68B1DB1-Normal26"/>
              <w:spacing w:after="0" w:line="240" w:lineRule="auto"/>
              <w:jc w:val="center"/>
              <w:rPr>
                <w:rFonts w:eastAsia="Times New Roman" w:cs="Times New Roman"/>
                <w:noProof/>
              </w:rPr>
            </w:pPr>
            <w:r>
              <w:rPr>
                <w:noProof/>
              </w:rPr>
              <w:t>0</w:t>
            </w:r>
          </w:p>
        </w:tc>
        <w:tc>
          <w:tcPr>
            <w:tcW w:w="993" w:type="dxa"/>
            <w:tcBorders>
              <w:top w:val="nil"/>
              <w:left w:val="nil"/>
              <w:bottom w:val="single" w:sz="4" w:space="0" w:color="auto"/>
              <w:right w:val="single" w:sz="4" w:space="0" w:color="auto"/>
            </w:tcBorders>
            <w:shd w:val="clear" w:color="auto" w:fill="C6EFCE"/>
            <w:noWrap/>
          </w:tcPr>
          <w:p w14:paraId="1A5E7AC0" w14:textId="77777777" w:rsidR="00EB245A" w:rsidRDefault="006021EE">
            <w:pPr>
              <w:pStyle w:val="P68B1DB1-Normal26"/>
              <w:spacing w:after="0" w:line="240" w:lineRule="auto"/>
              <w:jc w:val="center"/>
              <w:rPr>
                <w:rFonts w:eastAsia="Times New Roman" w:cs="Times New Roman"/>
                <w:noProof/>
              </w:rPr>
            </w:pPr>
            <w:r>
              <w:rPr>
                <w:noProof/>
              </w:rPr>
              <w:t>3</w:t>
            </w:r>
          </w:p>
        </w:tc>
        <w:tc>
          <w:tcPr>
            <w:tcW w:w="992" w:type="dxa"/>
            <w:tcBorders>
              <w:top w:val="nil"/>
              <w:left w:val="nil"/>
              <w:bottom w:val="single" w:sz="4" w:space="0" w:color="auto"/>
              <w:right w:val="single" w:sz="4" w:space="0" w:color="auto"/>
            </w:tcBorders>
            <w:shd w:val="clear" w:color="auto" w:fill="C6EFCE"/>
            <w:noWrap/>
          </w:tcPr>
          <w:p w14:paraId="3597D3C5" w14:textId="77777777" w:rsidR="00EB245A" w:rsidRDefault="006021EE">
            <w:pPr>
              <w:pStyle w:val="P68B1DB1-Normal26"/>
              <w:spacing w:after="0" w:line="240" w:lineRule="auto"/>
              <w:jc w:val="center"/>
              <w:rPr>
                <w:rFonts w:eastAsia="Times New Roman" w:cs="Times New Roman"/>
                <w:noProof/>
              </w:rPr>
            </w:pPr>
            <w:r>
              <w:rPr>
                <w:noProof/>
              </w:rPr>
              <w:t>Q2</w:t>
            </w:r>
          </w:p>
        </w:tc>
        <w:tc>
          <w:tcPr>
            <w:tcW w:w="992" w:type="dxa"/>
            <w:tcBorders>
              <w:top w:val="nil"/>
              <w:left w:val="nil"/>
              <w:bottom w:val="single" w:sz="4" w:space="0" w:color="auto"/>
              <w:right w:val="single" w:sz="4" w:space="0" w:color="auto"/>
            </w:tcBorders>
            <w:shd w:val="clear" w:color="auto" w:fill="C6EFCE"/>
            <w:noWrap/>
          </w:tcPr>
          <w:p w14:paraId="1CA3F300" w14:textId="77777777" w:rsidR="00EB245A" w:rsidRDefault="006021EE">
            <w:pPr>
              <w:pStyle w:val="P68B1DB1-Normal26"/>
              <w:spacing w:after="0" w:line="240" w:lineRule="auto"/>
              <w:jc w:val="center"/>
              <w:rPr>
                <w:rFonts w:eastAsia="Times New Roman" w:cs="Times New Roman"/>
                <w:noProof/>
              </w:rPr>
            </w:pPr>
            <w:r>
              <w:rPr>
                <w:noProof/>
              </w:rPr>
              <w:t>2025</w:t>
            </w:r>
          </w:p>
        </w:tc>
        <w:tc>
          <w:tcPr>
            <w:tcW w:w="2698" w:type="dxa"/>
            <w:tcBorders>
              <w:top w:val="nil"/>
              <w:left w:val="nil"/>
              <w:bottom w:val="single" w:sz="4" w:space="0" w:color="auto"/>
              <w:right w:val="single" w:sz="4" w:space="0" w:color="auto"/>
            </w:tcBorders>
            <w:shd w:val="clear" w:color="auto" w:fill="C6EFCE"/>
            <w:noWrap/>
          </w:tcPr>
          <w:p w14:paraId="58AE16F3" w14:textId="772A9E75" w:rsidR="00EB245A" w:rsidRDefault="006021EE">
            <w:pPr>
              <w:pStyle w:val="P68B1DB1-Normal26"/>
              <w:spacing w:after="0" w:line="240" w:lineRule="auto"/>
              <w:rPr>
                <w:rFonts w:eastAsia="Times New Roman" w:cs="Times New Roman"/>
                <w:noProof/>
              </w:rPr>
            </w:pPr>
            <w:r>
              <w:rPr>
                <w:noProof/>
              </w:rPr>
              <w:t>Inbetriebnahme von mindestens drei neuen, aufgerüsteten oder erweiterten Informationssystemen zur Digitalisierung des Übertragungsnetzes.</w:t>
            </w:r>
          </w:p>
        </w:tc>
      </w:tr>
      <w:tr w:rsidR="00EB245A" w14:paraId="4A0E947C" w14:textId="77777777" w:rsidTr="00396F21">
        <w:trPr>
          <w:trHeight w:val="309"/>
          <w:jc w:val="center"/>
        </w:trPr>
        <w:tc>
          <w:tcPr>
            <w:tcW w:w="846" w:type="dxa"/>
            <w:tcBorders>
              <w:top w:val="nil"/>
              <w:left w:val="single" w:sz="4" w:space="0" w:color="auto"/>
              <w:bottom w:val="single" w:sz="4" w:space="0" w:color="auto"/>
              <w:right w:val="single" w:sz="4" w:space="0" w:color="auto"/>
            </w:tcBorders>
            <w:shd w:val="clear" w:color="auto" w:fill="C6EFCE"/>
            <w:noWrap/>
          </w:tcPr>
          <w:p w14:paraId="5BE5771D" w14:textId="390DEE2F" w:rsidR="00EB245A" w:rsidRDefault="006021EE">
            <w:pPr>
              <w:pStyle w:val="P68B1DB1-Normal26"/>
              <w:spacing w:after="0" w:line="240" w:lineRule="auto"/>
              <w:jc w:val="center"/>
              <w:rPr>
                <w:rFonts w:eastAsia="Times New Roman" w:cs="Times New Roman"/>
                <w:noProof/>
              </w:rPr>
            </w:pPr>
            <w:r>
              <w:rPr>
                <w:noProof/>
              </w:rPr>
              <w:t>G23G</w:t>
            </w:r>
          </w:p>
        </w:tc>
        <w:tc>
          <w:tcPr>
            <w:tcW w:w="1559" w:type="dxa"/>
            <w:tcBorders>
              <w:top w:val="nil"/>
              <w:left w:val="nil"/>
              <w:bottom w:val="single" w:sz="4" w:space="0" w:color="auto"/>
              <w:right w:val="single" w:sz="4" w:space="0" w:color="auto"/>
            </w:tcBorders>
            <w:shd w:val="clear" w:color="auto" w:fill="C6EFCE"/>
            <w:noWrap/>
          </w:tcPr>
          <w:p w14:paraId="0D177D0A" w14:textId="23E290F5" w:rsidR="00EB245A" w:rsidRDefault="006021EE">
            <w:pPr>
              <w:pStyle w:val="P68B1DB1-Normal26"/>
              <w:spacing w:after="0" w:line="240" w:lineRule="auto"/>
              <w:rPr>
                <w:rFonts w:eastAsia="Times New Roman" w:cs="Times New Roman"/>
                <w:noProof/>
              </w:rPr>
            </w:pPr>
            <w:r>
              <w:rPr>
                <w:noProof/>
              </w:rPr>
              <w:t xml:space="preserve">G1.2.4 Bau oder Modernisierung von Stromverteilungsnetzen in ländlichen Gebieten, um den Anschluss neuer </w:t>
            </w:r>
            <w:r>
              <w:rPr>
                <w:noProof/>
              </w:rPr>
              <w:t>erneuerbarer Energiequellen zu ermöglichen</w:t>
            </w:r>
          </w:p>
        </w:tc>
        <w:tc>
          <w:tcPr>
            <w:tcW w:w="1276" w:type="dxa"/>
            <w:tcBorders>
              <w:top w:val="nil"/>
              <w:left w:val="nil"/>
              <w:bottom w:val="single" w:sz="4" w:space="0" w:color="auto"/>
              <w:right w:val="single" w:sz="4" w:space="0" w:color="auto"/>
            </w:tcBorders>
            <w:shd w:val="clear" w:color="auto" w:fill="C6EFCE"/>
            <w:noWrap/>
          </w:tcPr>
          <w:p w14:paraId="59249284" w14:textId="77777777" w:rsidR="00EB245A" w:rsidRDefault="006021EE">
            <w:pPr>
              <w:pStyle w:val="P68B1DB1-Normal26"/>
              <w:spacing w:after="0" w:line="240" w:lineRule="auto"/>
              <w:rPr>
                <w:rFonts w:eastAsia="Times New Roman" w:cs="Times New Roman"/>
                <w:noProof/>
              </w:rPr>
            </w:pPr>
            <w:r>
              <w:rPr>
                <w:noProof/>
              </w:rPr>
              <w:t>Meilenstein</w:t>
            </w:r>
          </w:p>
        </w:tc>
        <w:tc>
          <w:tcPr>
            <w:tcW w:w="1701" w:type="dxa"/>
            <w:tcBorders>
              <w:top w:val="nil"/>
              <w:left w:val="nil"/>
              <w:bottom w:val="single" w:sz="4" w:space="0" w:color="auto"/>
              <w:right w:val="single" w:sz="4" w:space="0" w:color="auto"/>
            </w:tcBorders>
            <w:shd w:val="clear" w:color="auto" w:fill="C6EFCE"/>
            <w:noWrap/>
          </w:tcPr>
          <w:p w14:paraId="6B15C065" w14:textId="77777777" w:rsidR="00EB245A" w:rsidRDefault="006021EE">
            <w:pPr>
              <w:pStyle w:val="P68B1DB1-Normal26"/>
              <w:spacing w:after="0" w:line="240" w:lineRule="auto"/>
              <w:rPr>
                <w:rFonts w:eastAsia="Times New Roman" w:cs="Times New Roman"/>
                <w:noProof/>
              </w:rPr>
            </w:pPr>
            <w:r>
              <w:rPr>
                <w:noProof/>
              </w:rPr>
              <w:t xml:space="preserve">Ermittlung und Definition von Projekten </w:t>
            </w:r>
          </w:p>
        </w:tc>
        <w:tc>
          <w:tcPr>
            <w:tcW w:w="1843" w:type="dxa"/>
            <w:tcBorders>
              <w:top w:val="nil"/>
              <w:left w:val="nil"/>
              <w:bottom w:val="single" w:sz="4" w:space="0" w:color="auto"/>
              <w:right w:val="single" w:sz="4" w:space="0" w:color="auto"/>
            </w:tcBorders>
            <w:shd w:val="clear" w:color="auto" w:fill="C6EFCE"/>
            <w:noWrap/>
          </w:tcPr>
          <w:p w14:paraId="3C82D8DB" w14:textId="425B0B20" w:rsidR="00EB245A" w:rsidRDefault="006021EE">
            <w:pPr>
              <w:pStyle w:val="P68B1DB1-Normal26"/>
              <w:spacing w:after="0" w:line="240" w:lineRule="auto"/>
              <w:rPr>
                <w:rFonts w:eastAsia="Times New Roman" w:cs="Times New Roman"/>
                <w:noProof/>
              </w:rPr>
            </w:pPr>
            <w:r>
              <w:rPr>
                <w:noProof/>
              </w:rPr>
              <w:t>Interne Genehmigung eines endgültigen Analysedokuments zur Ermittlung und Festlegung von Projekten</w:t>
            </w:r>
          </w:p>
        </w:tc>
        <w:tc>
          <w:tcPr>
            <w:tcW w:w="1134" w:type="dxa"/>
            <w:tcBorders>
              <w:top w:val="nil"/>
              <w:left w:val="nil"/>
              <w:bottom w:val="single" w:sz="4" w:space="0" w:color="auto"/>
              <w:right w:val="single" w:sz="4" w:space="0" w:color="auto"/>
            </w:tcBorders>
            <w:shd w:val="clear" w:color="auto" w:fill="C6EFCE"/>
            <w:noWrap/>
          </w:tcPr>
          <w:p w14:paraId="02C60E46" w14:textId="77777777" w:rsidR="00EB245A" w:rsidRDefault="00EB245A">
            <w:pPr>
              <w:spacing w:after="0" w:line="240" w:lineRule="auto"/>
              <w:rPr>
                <w:rFonts w:ascii="Times New Roman" w:eastAsia="Times New Roman" w:hAnsi="Times New Roman" w:cs="Times New Roman"/>
                <w:noProof/>
                <w:sz w:val="18"/>
              </w:rPr>
            </w:pPr>
          </w:p>
        </w:tc>
        <w:tc>
          <w:tcPr>
            <w:tcW w:w="1275" w:type="dxa"/>
            <w:tcBorders>
              <w:top w:val="nil"/>
              <w:left w:val="nil"/>
              <w:bottom w:val="single" w:sz="4" w:space="0" w:color="auto"/>
              <w:right w:val="single" w:sz="4" w:space="0" w:color="auto"/>
            </w:tcBorders>
            <w:shd w:val="clear" w:color="auto" w:fill="C6EFCE"/>
            <w:noWrap/>
          </w:tcPr>
          <w:p w14:paraId="031E3633" w14:textId="77777777" w:rsidR="00EB245A" w:rsidRDefault="00EB245A">
            <w:pPr>
              <w:spacing w:after="0" w:line="240" w:lineRule="auto"/>
              <w:jc w:val="center"/>
              <w:rPr>
                <w:rFonts w:ascii="Times New Roman" w:eastAsia="Times New Roman" w:hAnsi="Times New Roman" w:cs="Times New Roman"/>
                <w:noProof/>
                <w:sz w:val="18"/>
              </w:rPr>
            </w:pPr>
          </w:p>
        </w:tc>
        <w:tc>
          <w:tcPr>
            <w:tcW w:w="993" w:type="dxa"/>
            <w:tcBorders>
              <w:top w:val="nil"/>
              <w:left w:val="nil"/>
              <w:bottom w:val="single" w:sz="4" w:space="0" w:color="auto"/>
              <w:right w:val="single" w:sz="4" w:space="0" w:color="auto"/>
            </w:tcBorders>
            <w:shd w:val="clear" w:color="auto" w:fill="C6EFCE"/>
            <w:noWrap/>
          </w:tcPr>
          <w:p w14:paraId="391200CC" w14:textId="77777777" w:rsidR="00EB245A" w:rsidRDefault="00EB245A">
            <w:pPr>
              <w:spacing w:after="0" w:line="240" w:lineRule="auto"/>
              <w:jc w:val="center"/>
              <w:rPr>
                <w:rFonts w:ascii="Times New Roman" w:eastAsia="Times New Roman" w:hAnsi="Times New Roman" w:cs="Times New Roman"/>
                <w:noProof/>
                <w:sz w:val="18"/>
              </w:rPr>
            </w:pPr>
          </w:p>
        </w:tc>
        <w:tc>
          <w:tcPr>
            <w:tcW w:w="992" w:type="dxa"/>
            <w:tcBorders>
              <w:top w:val="nil"/>
              <w:left w:val="nil"/>
              <w:bottom w:val="single" w:sz="4" w:space="0" w:color="auto"/>
              <w:right w:val="single" w:sz="4" w:space="0" w:color="auto"/>
            </w:tcBorders>
            <w:shd w:val="clear" w:color="auto" w:fill="C6EFCE"/>
            <w:noWrap/>
          </w:tcPr>
          <w:p w14:paraId="02B55A6A" w14:textId="77777777" w:rsidR="00EB245A" w:rsidRDefault="006021EE">
            <w:pPr>
              <w:pStyle w:val="P68B1DB1-Normal26"/>
              <w:spacing w:after="0" w:line="240" w:lineRule="auto"/>
              <w:jc w:val="center"/>
              <w:rPr>
                <w:rFonts w:eastAsia="Times New Roman" w:cs="Times New Roman"/>
                <w:noProof/>
              </w:rPr>
            </w:pPr>
            <w:r>
              <w:rPr>
                <w:noProof/>
              </w:rPr>
              <w:t>Q4</w:t>
            </w:r>
          </w:p>
        </w:tc>
        <w:tc>
          <w:tcPr>
            <w:tcW w:w="992" w:type="dxa"/>
            <w:tcBorders>
              <w:top w:val="nil"/>
              <w:left w:val="nil"/>
              <w:bottom w:val="single" w:sz="4" w:space="0" w:color="auto"/>
              <w:right w:val="single" w:sz="4" w:space="0" w:color="auto"/>
            </w:tcBorders>
            <w:shd w:val="clear" w:color="auto" w:fill="C6EFCE"/>
            <w:noWrap/>
          </w:tcPr>
          <w:p w14:paraId="025A4B36" w14:textId="77777777" w:rsidR="00EB245A" w:rsidRDefault="006021EE">
            <w:pPr>
              <w:pStyle w:val="P68B1DB1-Normal26"/>
              <w:spacing w:after="0" w:line="240" w:lineRule="auto"/>
              <w:jc w:val="center"/>
              <w:rPr>
                <w:rFonts w:eastAsia="Times New Roman" w:cs="Times New Roman"/>
                <w:noProof/>
              </w:rPr>
            </w:pPr>
            <w:r>
              <w:rPr>
                <w:noProof/>
              </w:rPr>
              <w:t>2024</w:t>
            </w:r>
          </w:p>
        </w:tc>
        <w:tc>
          <w:tcPr>
            <w:tcW w:w="2698" w:type="dxa"/>
            <w:tcBorders>
              <w:top w:val="nil"/>
              <w:left w:val="nil"/>
              <w:bottom w:val="single" w:sz="4" w:space="0" w:color="auto"/>
              <w:right w:val="single" w:sz="4" w:space="0" w:color="auto"/>
            </w:tcBorders>
            <w:shd w:val="clear" w:color="auto" w:fill="C6EFCE"/>
            <w:noWrap/>
            <w:vAlign w:val="bottom"/>
          </w:tcPr>
          <w:p w14:paraId="5D03FAA9" w14:textId="39C6A7D6" w:rsidR="00EB245A" w:rsidRDefault="006021EE">
            <w:pPr>
              <w:pStyle w:val="P68B1DB1-Normal26"/>
              <w:spacing w:after="0" w:line="240" w:lineRule="auto"/>
              <w:rPr>
                <w:rFonts w:eastAsia="Times New Roman" w:cs="Times New Roman"/>
                <w:noProof/>
              </w:rPr>
            </w:pPr>
            <w:r>
              <w:rPr>
                <w:noProof/>
              </w:rPr>
              <w:t xml:space="preserve">Projekte in ländlichen Gebieten zur Verbesserung </w:t>
            </w:r>
            <w:r>
              <w:rPr>
                <w:noProof/>
              </w:rPr>
              <w:t>der Verteilungsnetze werden ermittelt und in einem von der zuständigen polnischen Behörde intern genehmigten endgültigen Analysedokument dargelegt. In diesem Dokument ist für jedes Projekt auch die Finanzierungsquelle anzugeben, die keine anderen EU-Quelle</w:t>
            </w:r>
            <w:r>
              <w:rPr>
                <w:noProof/>
              </w:rPr>
              <w:t>n umfasst.</w:t>
            </w:r>
          </w:p>
          <w:p w14:paraId="7CB3FE07" w14:textId="77777777" w:rsidR="00EB245A" w:rsidRDefault="00EB245A">
            <w:pPr>
              <w:spacing w:after="0" w:line="240" w:lineRule="auto"/>
              <w:rPr>
                <w:rFonts w:ascii="Times New Roman" w:eastAsia="Times New Roman" w:hAnsi="Times New Roman" w:cs="Times New Roman"/>
                <w:noProof/>
                <w:sz w:val="18"/>
              </w:rPr>
            </w:pPr>
          </w:p>
          <w:p w14:paraId="510FB023" w14:textId="2C0D380D" w:rsidR="00EB245A" w:rsidRDefault="006021EE">
            <w:pPr>
              <w:pStyle w:val="P68B1DB1-Normal26"/>
              <w:spacing w:after="0" w:line="240" w:lineRule="auto"/>
              <w:rPr>
                <w:rFonts w:eastAsia="Times New Roman" w:cs="Times New Roman"/>
                <w:noProof/>
              </w:rPr>
            </w:pPr>
            <w:r>
              <w:rPr>
                <w:noProof/>
              </w:rPr>
              <w:t xml:space="preserve">Zusammen müssen die ermittelten Projekte zum Bau oder zur Modernisierung von mindestens 880 km Verteilernetzen </w:t>
            </w:r>
            <w:r>
              <w:rPr>
                <w:noProof/>
              </w:rPr>
              <w:t xml:space="preserve">(unabhängig von der Spannung) führen, einschließlich des Baus oder der Modernisierung notwendiger zugehöriger Stationen (unabhängig von der Art der Station). </w:t>
            </w:r>
          </w:p>
          <w:p w14:paraId="61E51BA9" w14:textId="77777777" w:rsidR="00EB245A" w:rsidRDefault="00EB245A">
            <w:pPr>
              <w:spacing w:after="0" w:line="240" w:lineRule="auto"/>
              <w:rPr>
                <w:rFonts w:ascii="Times New Roman" w:eastAsia="Times New Roman" w:hAnsi="Times New Roman" w:cs="Times New Roman"/>
                <w:noProof/>
                <w:sz w:val="18"/>
              </w:rPr>
            </w:pPr>
          </w:p>
          <w:p w14:paraId="2D630048" w14:textId="69F42620" w:rsidR="00EB245A" w:rsidRDefault="006021EE">
            <w:pPr>
              <w:pStyle w:val="P68B1DB1-Normal26"/>
              <w:spacing w:after="0" w:line="240" w:lineRule="auto"/>
              <w:rPr>
                <w:rFonts w:eastAsia="Times New Roman" w:cs="Times New Roman"/>
                <w:noProof/>
              </w:rPr>
            </w:pPr>
            <w:r>
              <w:rPr>
                <w:noProof/>
              </w:rPr>
              <w:t>Die ermittelten Vorhaben umfassen gemeinsam und/oder im Rahmen spezifischer festgelegter Projekt</w:t>
            </w:r>
            <w:r>
              <w:rPr>
                <w:noProof/>
              </w:rPr>
              <w:t>e die erforderlichen Maßnahmen, damit mindestens 880 km der neu errichteten oder modernisierten Verteilernetze intelligente Netzfunktionen integrieren, indem Ausrüstungen und Anlagen aufgenommen werden, die eine digitale Kommunikation in Echtzeit oder echt</w:t>
            </w:r>
            <w:r>
              <w:rPr>
                <w:noProof/>
              </w:rPr>
              <w:t>zeitnah, interaktive und intelligente Überwachung und Verwaltung der Stromerzeugung, -übertragung, -verteilung und des Stromverbrauchs innerhalb eines Stromnetzes ermöglichen, und in einer Weise, die zur Entwicklung erneuerbarer Energiequellen beiträgt.</w:t>
            </w:r>
          </w:p>
        </w:tc>
      </w:tr>
      <w:tr w:rsidR="00EB245A" w14:paraId="1952B946" w14:textId="77777777" w:rsidTr="00396F21">
        <w:trPr>
          <w:trHeight w:val="309"/>
          <w:jc w:val="center"/>
        </w:trPr>
        <w:tc>
          <w:tcPr>
            <w:tcW w:w="846" w:type="dxa"/>
            <w:tcBorders>
              <w:top w:val="single" w:sz="4" w:space="0" w:color="auto"/>
              <w:left w:val="single" w:sz="4" w:space="0" w:color="auto"/>
              <w:bottom w:val="single" w:sz="4" w:space="0" w:color="auto"/>
              <w:right w:val="single" w:sz="4" w:space="0" w:color="auto"/>
            </w:tcBorders>
            <w:shd w:val="clear" w:color="auto" w:fill="C6EFCE"/>
            <w:noWrap/>
          </w:tcPr>
          <w:p w14:paraId="2C633A15" w14:textId="66774854" w:rsidR="00EB245A" w:rsidRDefault="006021EE">
            <w:pPr>
              <w:pStyle w:val="P68B1DB1-Normal26"/>
              <w:spacing w:after="0" w:line="240" w:lineRule="auto"/>
              <w:jc w:val="center"/>
              <w:rPr>
                <w:rFonts w:eastAsia="Times New Roman" w:cs="Times New Roman"/>
                <w:noProof/>
              </w:rPr>
            </w:pPr>
            <w:r>
              <w:rPr>
                <w:noProof/>
              </w:rPr>
              <w:t>G24G</w:t>
            </w:r>
          </w:p>
        </w:tc>
        <w:tc>
          <w:tcPr>
            <w:tcW w:w="1559" w:type="dxa"/>
            <w:tcBorders>
              <w:top w:val="single" w:sz="4" w:space="0" w:color="auto"/>
              <w:left w:val="single" w:sz="4" w:space="0" w:color="auto"/>
              <w:bottom w:val="single" w:sz="4" w:space="0" w:color="auto"/>
              <w:right w:val="single" w:sz="4" w:space="0" w:color="auto"/>
            </w:tcBorders>
            <w:shd w:val="clear" w:color="auto" w:fill="C6EFCE"/>
            <w:noWrap/>
          </w:tcPr>
          <w:p w14:paraId="75B7F3B8" w14:textId="70B03078" w:rsidR="00EB245A" w:rsidRDefault="006021EE">
            <w:pPr>
              <w:pStyle w:val="P68B1DB1-Normal26"/>
              <w:spacing w:after="0" w:line="240" w:lineRule="auto"/>
              <w:rPr>
                <w:rFonts w:eastAsia="Times New Roman" w:cs="Times New Roman"/>
                <w:noProof/>
              </w:rPr>
            </w:pPr>
            <w:r>
              <w:rPr>
                <w:noProof/>
              </w:rPr>
              <w:t>G1.2.4 Bau oder Modernisierung von Stromverteilungsnetzen in ländlichen Gebieten, um den Anschluss neuer erneuerbarer Energiequellen zu ermöglichen</w:t>
            </w:r>
          </w:p>
        </w:tc>
        <w:tc>
          <w:tcPr>
            <w:tcW w:w="1276" w:type="dxa"/>
            <w:tcBorders>
              <w:top w:val="single" w:sz="4" w:space="0" w:color="auto"/>
              <w:left w:val="single" w:sz="4" w:space="0" w:color="auto"/>
              <w:bottom w:val="single" w:sz="4" w:space="0" w:color="auto"/>
              <w:right w:val="single" w:sz="4" w:space="0" w:color="auto"/>
            </w:tcBorders>
            <w:shd w:val="clear" w:color="auto" w:fill="C6EFCE"/>
            <w:noWrap/>
          </w:tcPr>
          <w:p w14:paraId="2D0DCD9C" w14:textId="77777777" w:rsidR="00EB245A" w:rsidRDefault="006021EE">
            <w:pPr>
              <w:pStyle w:val="P68B1DB1-Normal26"/>
              <w:spacing w:after="0" w:line="240" w:lineRule="auto"/>
              <w:rPr>
                <w:rFonts w:eastAsia="Times New Roman" w:cs="Times New Roman"/>
                <w:noProof/>
              </w:rPr>
            </w:pPr>
            <w:r>
              <w:rPr>
                <w:noProof/>
              </w:rPr>
              <w:t>Ziel</w:t>
            </w:r>
          </w:p>
        </w:tc>
        <w:tc>
          <w:tcPr>
            <w:tcW w:w="1701" w:type="dxa"/>
            <w:tcBorders>
              <w:top w:val="single" w:sz="4" w:space="0" w:color="auto"/>
              <w:left w:val="single" w:sz="4" w:space="0" w:color="auto"/>
              <w:bottom w:val="single" w:sz="4" w:space="0" w:color="auto"/>
              <w:right w:val="single" w:sz="4" w:space="0" w:color="auto"/>
            </w:tcBorders>
            <w:shd w:val="clear" w:color="auto" w:fill="C6EFCE"/>
            <w:noWrap/>
          </w:tcPr>
          <w:p w14:paraId="0595A594" w14:textId="77777777" w:rsidR="00EB245A" w:rsidRDefault="006021EE">
            <w:pPr>
              <w:pStyle w:val="P68B1DB1-Normal26"/>
              <w:spacing w:after="0" w:line="240" w:lineRule="auto"/>
              <w:rPr>
                <w:rFonts w:eastAsia="Times New Roman" w:cs="Times New Roman"/>
                <w:noProof/>
              </w:rPr>
            </w:pPr>
            <w:r>
              <w:rPr>
                <w:noProof/>
              </w:rPr>
              <w:t>Länge neu gebauter oder modernisierter Leitungen in Verteilernetzen (km)</w:t>
            </w:r>
          </w:p>
        </w:tc>
        <w:tc>
          <w:tcPr>
            <w:tcW w:w="1843" w:type="dxa"/>
            <w:tcBorders>
              <w:top w:val="single" w:sz="4" w:space="0" w:color="auto"/>
              <w:left w:val="single" w:sz="4" w:space="0" w:color="auto"/>
              <w:bottom w:val="single" w:sz="4" w:space="0" w:color="auto"/>
              <w:right w:val="single" w:sz="4" w:space="0" w:color="auto"/>
            </w:tcBorders>
            <w:shd w:val="clear" w:color="auto" w:fill="C6EFCE"/>
            <w:noWrap/>
          </w:tcPr>
          <w:p w14:paraId="58FDD251" w14:textId="77777777" w:rsidR="00EB245A" w:rsidRDefault="00EB245A">
            <w:pPr>
              <w:spacing w:after="0" w:line="240" w:lineRule="auto"/>
              <w:rPr>
                <w:rFonts w:ascii="Times New Roman" w:eastAsia="Times New Roman" w:hAnsi="Times New Roman" w:cs="Times New Roman"/>
                <w:noProof/>
                <w:sz w:val="18"/>
              </w:rPr>
            </w:pPr>
          </w:p>
        </w:tc>
        <w:tc>
          <w:tcPr>
            <w:tcW w:w="1134" w:type="dxa"/>
            <w:tcBorders>
              <w:top w:val="single" w:sz="4" w:space="0" w:color="auto"/>
              <w:left w:val="single" w:sz="4" w:space="0" w:color="auto"/>
              <w:bottom w:val="single" w:sz="4" w:space="0" w:color="auto"/>
              <w:right w:val="single" w:sz="4" w:space="0" w:color="auto"/>
            </w:tcBorders>
            <w:shd w:val="clear" w:color="auto" w:fill="C6EFCE"/>
            <w:noWrap/>
          </w:tcPr>
          <w:p w14:paraId="1C7A4612" w14:textId="77777777" w:rsidR="00EB245A" w:rsidRDefault="006021EE">
            <w:pPr>
              <w:pStyle w:val="P68B1DB1-Normal26"/>
              <w:spacing w:after="0" w:line="240" w:lineRule="auto"/>
              <w:rPr>
                <w:rFonts w:eastAsia="Times New Roman" w:cs="Times New Roman"/>
                <w:noProof/>
              </w:rPr>
            </w:pPr>
            <w:r>
              <w:rPr>
                <w:noProof/>
              </w:rPr>
              <w:t>Anzahl</w:t>
            </w:r>
          </w:p>
        </w:tc>
        <w:tc>
          <w:tcPr>
            <w:tcW w:w="1275" w:type="dxa"/>
            <w:tcBorders>
              <w:top w:val="single" w:sz="4" w:space="0" w:color="auto"/>
              <w:left w:val="single" w:sz="4" w:space="0" w:color="auto"/>
              <w:bottom w:val="single" w:sz="4" w:space="0" w:color="auto"/>
              <w:right w:val="single" w:sz="4" w:space="0" w:color="auto"/>
            </w:tcBorders>
            <w:shd w:val="clear" w:color="auto" w:fill="C6EFCE"/>
            <w:noWrap/>
          </w:tcPr>
          <w:p w14:paraId="19DECF72" w14:textId="77777777" w:rsidR="00EB245A" w:rsidRDefault="006021EE">
            <w:pPr>
              <w:pStyle w:val="P68B1DB1-Normal26"/>
              <w:spacing w:after="0" w:line="240" w:lineRule="auto"/>
              <w:jc w:val="center"/>
              <w:rPr>
                <w:rFonts w:eastAsia="Times New Roman" w:cs="Times New Roman"/>
                <w:noProof/>
              </w:rPr>
            </w:pPr>
            <w:r>
              <w:rPr>
                <w:noProof/>
              </w:rPr>
              <w:t>0</w:t>
            </w:r>
          </w:p>
        </w:tc>
        <w:tc>
          <w:tcPr>
            <w:tcW w:w="993" w:type="dxa"/>
            <w:tcBorders>
              <w:top w:val="single" w:sz="4" w:space="0" w:color="auto"/>
              <w:left w:val="single" w:sz="4" w:space="0" w:color="auto"/>
              <w:bottom w:val="single" w:sz="4" w:space="0" w:color="auto"/>
              <w:right w:val="single" w:sz="4" w:space="0" w:color="auto"/>
            </w:tcBorders>
            <w:shd w:val="clear" w:color="auto" w:fill="C6EFCE"/>
            <w:noWrap/>
          </w:tcPr>
          <w:p w14:paraId="13C91704" w14:textId="77777777" w:rsidR="00EB245A" w:rsidRDefault="006021EE">
            <w:pPr>
              <w:pStyle w:val="P68B1DB1-Normal26"/>
              <w:spacing w:after="0" w:line="240" w:lineRule="auto"/>
              <w:jc w:val="center"/>
              <w:rPr>
                <w:rFonts w:eastAsia="Times New Roman" w:cs="Times New Roman"/>
                <w:noProof/>
              </w:rPr>
            </w:pPr>
            <w:r>
              <w:rPr>
                <w:noProof/>
              </w:rPr>
              <w:t>880</w:t>
            </w:r>
          </w:p>
        </w:tc>
        <w:tc>
          <w:tcPr>
            <w:tcW w:w="992" w:type="dxa"/>
            <w:tcBorders>
              <w:top w:val="single" w:sz="4" w:space="0" w:color="auto"/>
              <w:left w:val="single" w:sz="4" w:space="0" w:color="auto"/>
              <w:bottom w:val="single" w:sz="4" w:space="0" w:color="auto"/>
              <w:right w:val="single" w:sz="4" w:space="0" w:color="auto"/>
            </w:tcBorders>
            <w:shd w:val="clear" w:color="auto" w:fill="C6EFCE"/>
            <w:noWrap/>
          </w:tcPr>
          <w:p w14:paraId="2484BCB0" w14:textId="77777777" w:rsidR="00EB245A" w:rsidRDefault="006021EE">
            <w:pPr>
              <w:pStyle w:val="P68B1DB1-Normal26"/>
              <w:spacing w:after="0" w:line="240" w:lineRule="auto"/>
              <w:jc w:val="center"/>
              <w:rPr>
                <w:rFonts w:eastAsia="Times New Roman" w:cs="Times New Roman"/>
                <w:noProof/>
              </w:rPr>
            </w:pPr>
            <w:r>
              <w:rPr>
                <w:noProof/>
              </w:rPr>
              <w:t>Q2</w:t>
            </w:r>
          </w:p>
        </w:tc>
        <w:tc>
          <w:tcPr>
            <w:tcW w:w="992" w:type="dxa"/>
            <w:tcBorders>
              <w:top w:val="single" w:sz="4" w:space="0" w:color="auto"/>
              <w:left w:val="single" w:sz="4" w:space="0" w:color="auto"/>
              <w:bottom w:val="single" w:sz="4" w:space="0" w:color="auto"/>
              <w:right w:val="single" w:sz="4" w:space="0" w:color="auto"/>
            </w:tcBorders>
            <w:shd w:val="clear" w:color="auto" w:fill="C6EFCE"/>
            <w:noWrap/>
          </w:tcPr>
          <w:p w14:paraId="13476350" w14:textId="77777777" w:rsidR="00EB245A" w:rsidRDefault="006021EE">
            <w:pPr>
              <w:pStyle w:val="P68B1DB1-Normal26"/>
              <w:spacing w:after="0" w:line="240" w:lineRule="auto"/>
              <w:jc w:val="center"/>
              <w:rPr>
                <w:rFonts w:eastAsia="Times New Roman" w:cs="Times New Roman"/>
                <w:noProof/>
              </w:rPr>
            </w:pPr>
            <w:r>
              <w:rPr>
                <w:noProof/>
              </w:rPr>
              <w:t>2026</w:t>
            </w:r>
          </w:p>
        </w:tc>
        <w:tc>
          <w:tcPr>
            <w:tcW w:w="2698" w:type="dxa"/>
            <w:tcBorders>
              <w:top w:val="single" w:sz="4" w:space="0" w:color="auto"/>
              <w:left w:val="single" w:sz="4" w:space="0" w:color="auto"/>
              <w:bottom w:val="single" w:sz="4" w:space="0" w:color="auto"/>
              <w:right w:val="single" w:sz="4" w:space="0" w:color="auto"/>
            </w:tcBorders>
            <w:shd w:val="clear" w:color="auto" w:fill="C6EFCE"/>
            <w:noWrap/>
          </w:tcPr>
          <w:p w14:paraId="34B9B075" w14:textId="77777777" w:rsidR="00EB245A" w:rsidRDefault="006021EE">
            <w:pPr>
              <w:pStyle w:val="P68B1DB1-Normal26"/>
              <w:spacing w:after="0" w:line="240" w:lineRule="auto"/>
              <w:rPr>
                <w:rFonts w:eastAsia="Times New Roman" w:cs="Times New Roman"/>
                <w:noProof/>
              </w:rPr>
            </w:pPr>
            <w:r>
              <w:rPr>
                <w:noProof/>
              </w:rPr>
              <w:t xml:space="preserve">Anzahl der neu gebauten Kilometer oder </w:t>
            </w:r>
          </w:p>
          <w:p w14:paraId="7FE8996C" w14:textId="644D5959" w:rsidR="00EB245A" w:rsidRDefault="006021EE">
            <w:pPr>
              <w:pStyle w:val="P68B1DB1-Normal26"/>
              <w:spacing w:after="0" w:line="240" w:lineRule="auto"/>
              <w:rPr>
                <w:rFonts w:eastAsia="Times New Roman" w:cs="Times New Roman"/>
                <w:noProof/>
              </w:rPr>
            </w:pPr>
            <w:r>
              <w:rPr>
                <w:noProof/>
              </w:rPr>
              <w:t>modernisierte Verteilernetze zusammen mit den zugehörigen Bahnhöfen und Integration intelligenter Netzfunktionen, die den im Etappenziel G26G angegebenen Anforderungen für die ermittelten Projekte entsprechen oder di</w:t>
            </w:r>
            <w:r>
              <w:rPr>
                <w:noProof/>
              </w:rPr>
              <w:t>ese erfüllen.</w:t>
            </w:r>
          </w:p>
        </w:tc>
      </w:tr>
    </w:tbl>
    <w:p w14:paraId="048A5C6A" w14:textId="4D1864C4" w:rsidR="00EB245A" w:rsidRDefault="006021EE">
      <w:pPr>
        <w:pStyle w:val="P68B1DB1-Text14"/>
        <w:pageBreakBefore/>
        <w:ind w:left="0"/>
        <w:rPr>
          <w:noProof/>
        </w:rPr>
      </w:pPr>
      <w:r>
        <w:rPr>
          <w:noProof/>
        </w:rPr>
        <w:t>Teilkomponente G1.3 – Entwicklung eines nachhaltigen Verkehrs</w:t>
      </w:r>
    </w:p>
    <w:tbl>
      <w:tblPr>
        <w:tblW w:w="15309" w:type="dxa"/>
        <w:jc w:val="center"/>
        <w:tblLayout w:type="fixed"/>
        <w:tblLook w:val="04A0" w:firstRow="1" w:lastRow="0" w:firstColumn="1" w:lastColumn="0" w:noHBand="0" w:noVBand="1"/>
      </w:tblPr>
      <w:tblGrid>
        <w:gridCol w:w="840"/>
        <w:gridCol w:w="1565"/>
        <w:gridCol w:w="1276"/>
        <w:gridCol w:w="1701"/>
        <w:gridCol w:w="1843"/>
        <w:gridCol w:w="1134"/>
        <w:gridCol w:w="1275"/>
        <w:gridCol w:w="709"/>
        <w:gridCol w:w="992"/>
        <w:gridCol w:w="993"/>
        <w:gridCol w:w="2981"/>
      </w:tblGrid>
      <w:tr w:rsidR="00EB245A" w14:paraId="09377D90" w14:textId="77777777" w:rsidTr="00396F21">
        <w:trPr>
          <w:trHeight w:val="731"/>
          <w:tblHeader/>
          <w:jc w:val="center"/>
        </w:trPr>
        <w:tc>
          <w:tcPr>
            <w:tcW w:w="84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D8E8EBB" w14:textId="0D09A339" w:rsidR="00EB245A" w:rsidRDefault="006021EE">
            <w:pPr>
              <w:pStyle w:val="P68B1DB1-Normal41"/>
              <w:spacing w:after="0" w:line="240" w:lineRule="auto"/>
              <w:jc w:val="center"/>
              <w:rPr>
                <w:rFonts w:eastAsia="Times New Roman" w:cs="Times New Roman"/>
                <w:noProof/>
              </w:rPr>
            </w:pPr>
            <w:r>
              <w:rPr>
                <w:noProof/>
              </w:rPr>
              <w:t>Lfd. Nr. Nr.</w:t>
            </w:r>
          </w:p>
        </w:tc>
        <w:tc>
          <w:tcPr>
            <w:tcW w:w="156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10652C8" w14:textId="77777777" w:rsidR="00EB245A" w:rsidRDefault="006021EE">
            <w:pPr>
              <w:pStyle w:val="P68B1DB1-Normal42"/>
              <w:spacing w:after="0" w:line="240" w:lineRule="auto"/>
              <w:jc w:val="center"/>
              <w:rPr>
                <w:rFonts w:eastAsia="Times New Roman" w:cs="Times New Roman"/>
                <w:noProof/>
                <w:sz w:val="24"/>
              </w:rPr>
            </w:pPr>
            <w:r>
              <w:rPr>
                <w:noProof/>
              </w:rPr>
              <w:t>Verbundene Maßnahme (Reform oder Investition)</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AA29AFF" w14:textId="77777777" w:rsidR="00EB245A" w:rsidRDefault="006021EE">
            <w:pPr>
              <w:pStyle w:val="P68B1DB1-Normal42"/>
              <w:keepNext/>
              <w:keepLines/>
              <w:spacing w:after="0" w:line="240" w:lineRule="auto"/>
              <w:jc w:val="center"/>
              <w:rPr>
                <w:rFonts w:eastAsia="Times New Roman" w:cs="Times New Roman"/>
                <w:noProof/>
                <w:sz w:val="24"/>
              </w:rPr>
            </w:pPr>
            <w:r>
              <w:rPr>
                <w:noProof/>
              </w:rPr>
              <w:t>Etappenziel/Zielwert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B210866" w14:textId="77777777" w:rsidR="00EB245A" w:rsidRDefault="006021EE">
            <w:pPr>
              <w:pStyle w:val="P68B1DB1-Normal42"/>
              <w:spacing w:after="0" w:line="240" w:lineRule="auto"/>
              <w:jc w:val="center"/>
              <w:rPr>
                <w:rFonts w:eastAsia="Times New Roman" w:cs="Times New Roman"/>
                <w:noProof/>
                <w:sz w:val="24"/>
              </w:rPr>
            </w:pPr>
            <w:r>
              <w:rPr>
                <w:noProof/>
              </w:rPr>
              <w:t>Namen</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D4BE9C7" w14:textId="77777777" w:rsidR="00EB245A" w:rsidRDefault="006021EE">
            <w:pPr>
              <w:spacing w:after="0" w:line="240" w:lineRule="auto"/>
              <w:jc w:val="center"/>
              <w:rPr>
                <w:rFonts w:ascii="Times New Roman" w:eastAsia="Times New Roman" w:hAnsi="Times New Roman" w:cs="Times New Roman"/>
                <w:b/>
                <w:noProof/>
                <w:sz w:val="24"/>
              </w:rPr>
            </w:pPr>
            <w:r>
              <w:rPr>
                <w:rFonts w:ascii="Times New Roman" w:hAnsi="Times New Roman"/>
                <w:b/>
                <w:noProof/>
                <w:color w:val="000000"/>
                <w:sz w:val="18"/>
              </w:rPr>
              <w:t>Etappenziel/Zielwert</w:t>
            </w:r>
            <w:r>
              <w:rPr>
                <w:noProof/>
              </w:rPr>
              <w:t xml:space="preserve">  </w:t>
            </w:r>
            <w:r>
              <w:rPr>
                <w:noProof/>
              </w:rPr>
              <w:br/>
            </w:r>
            <w:r>
              <w:rPr>
                <w:rFonts w:ascii="Times New Roman" w:hAnsi="Times New Roman"/>
                <w:b/>
                <w:noProof/>
                <w:color w:val="000000"/>
                <w:sz w:val="18"/>
              </w:rPr>
              <w:t>(für Etappenziele)</w:t>
            </w:r>
          </w:p>
        </w:tc>
        <w:tc>
          <w:tcPr>
            <w:tcW w:w="3118"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54543E06" w14:textId="77777777" w:rsidR="00EB245A" w:rsidRDefault="006021EE">
            <w:pPr>
              <w:spacing w:after="0" w:line="240" w:lineRule="auto"/>
              <w:jc w:val="center"/>
              <w:rPr>
                <w:rFonts w:ascii="Times New Roman" w:eastAsia="Times New Roman" w:hAnsi="Times New Roman" w:cs="Times New Roman"/>
                <w:b/>
                <w:noProof/>
                <w:sz w:val="24"/>
              </w:rPr>
            </w:pPr>
            <w:r>
              <w:rPr>
                <w:rFonts w:ascii="Times New Roman" w:hAnsi="Times New Roman"/>
                <w:b/>
                <w:noProof/>
                <w:color w:val="000000"/>
                <w:sz w:val="18"/>
              </w:rPr>
              <w:t>Qualitative Indikatoren (für Etappenziele)</w:t>
            </w:r>
            <w:r>
              <w:rPr>
                <w:noProof/>
              </w:rPr>
              <w:t xml:space="preserve">  </w:t>
            </w:r>
            <w:r>
              <w:rPr>
                <w:noProof/>
              </w:rPr>
              <w:br/>
            </w:r>
            <w:r>
              <w:rPr>
                <w:rFonts w:ascii="Times New Roman" w:hAnsi="Times New Roman"/>
                <w:b/>
                <w:noProof/>
                <w:color w:val="000000"/>
                <w:sz w:val="18"/>
              </w:rPr>
              <w:t xml:space="preserve">(für </w:t>
            </w:r>
            <w:r>
              <w:rPr>
                <w:rFonts w:ascii="Times New Roman" w:hAnsi="Times New Roman"/>
                <w:b/>
                <w:noProof/>
                <w:color w:val="000000"/>
                <w:sz w:val="18"/>
              </w:rPr>
              <w:t>Ziele)</w:t>
            </w:r>
          </w:p>
        </w:tc>
        <w:tc>
          <w:tcPr>
            <w:tcW w:w="1985" w:type="dxa"/>
            <w:gridSpan w:val="2"/>
            <w:tcBorders>
              <w:top w:val="single" w:sz="4" w:space="0" w:color="auto"/>
              <w:left w:val="nil"/>
              <w:bottom w:val="single" w:sz="4" w:space="0" w:color="auto"/>
              <w:right w:val="single" w:sz="4" w:space="0" w:color="auto"/>
            </w:tcBorders>
            <w:shd w:val="clear" w:color="auto" w:fill="BDD7EE"/>
            <w:vAlign w:val="center"/>
            <w:hideMark/>
          </w:tcPr>
          <w:p w14:paraId="3EDC5800" w14:textId="77777777" w:rsidR="00EB245A" w:rsidRDefault="006021EE">
            <w:pPr>
              <w:pStyle w:val="P68B1DB1-Normal42"/>
              <w:spacing w:after="0" w:line="240" w:lineRule="auto"/>
              <w:jc w:val="center"/>
              <w:rPr>
                <w:rFonts w:eastAsia="Times New Roman" w:cs="Times New Roman"/>
                <w:noProof/>
                <w:sz w:val="24"/>
              </w:rPr>
            </w:pPr>
            <w:r>
              <w:rPr>
                <w:noProof/>
              </w:rPr>
              <w:t xml:space="preserve">Vorläufiger Zeitplan für die Fertigstellung </w:t>
            </w:r>
          </w:p>
        </w:tc>
        <w:tc>
          <w:tcPr>
            <w:tcW w:w="298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628E074" w14:textId="77777777" w:rsidR="00EB245A" w:rsidRDefault="006021EE">
            <w:pPr>
              <w:pStyle w:val="P68B1DB1-Normal42"/>
              <w:spacing w:after="0" w:line="240" w:lineRule="auto"/>
              <w:jc w:val="center"/>
              <w:rPr>
                <w:rFonts w:eastAsia="Times New Roman" w:cs="Times New Roman"/>
                <w:noProof/>
                <w:sz w:val="24"/>
              </w:rPr>
            </w:pPr>
            <w:r>
              <w:rPr>
                <w:noProof/>
              </w:rPr>
              <w:t>Beschreibung der einzelnen Etappenziele und Zielvorgaben</w:t>
            </w:r>
          </w:p>
        </w:tc>
      </w:tr>
      <w:tr w:rsidR="00EB245A" w14:paraId="1F7FAA36" w14:textId="77777777" w:rsidTr="00396F21">
        <w:trPr>
          <w:trHeight w:val="699"/>
          <w:tblHeader/>
          <w:jc w:val="center"/>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30D8B25D" w14:textId="77777777" w:rsidR="00EB245A" w:rsidRDefault="00EB245A">
            <w:pPr>
              <w:spacing w:after="0" w:line="240" w:lineRule="auto"/>
              <w:rPr>
                <w:rFonts w:ascii="Times New Roman" w:eastAsia="Times New Roman" w:hAnsi="Times New Roman" w:cs="Times New Roman"/>
                <w:b/>
                <w:noProof/>
                <w:sz w:val="18"/>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043F6458" w14:textId="77777777" w:rsidR="00EB245A" w:rsidRDefault="00EB245A">
            <w:pPr>
              <w:spacing w:after="0" w:line="240" w:lineRule="auto"/>
              <w:rPr>
                <w:rFonts w:ascii="Times New Roman" w:eastAsia="Times New Roman" w:hAnsi="Times New Roman" w:cs="Times New Roman"/>
                <w:b/>
                <w:noProof/>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EF92D2F" w14:textId="77777777" w:rsidR="00EB245A" w:rsidRDefault="00EB245A">
            <w:pPr>
              <w:spacing w:after="0" w:line="240" w:lineRule="auto"/>
              <w:rPr>
                <w:rFonts w:ascii="Times New Roman" w:eastAsia="Times New Roman" w:hAnsi="Times New Roman" w:cs="Times New Roman"/>
                <w:b/>
                <w:noProof/>
                <w:sz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84713CF" w14:textId="77777777" w:rsidR="00EB245A" w:rsidRDefault="00EB245A">
            <w:pPr>
              <w:spacing w:after="0" w:line="240" w:lineRule="auto"/>
              <w:rPr>
                <w:rFonts w:ascii="Times New Roman" w:eastAsia="Times New Roman" w:hAnsi="Times New Roman" w:cs="Times New Roman"/>
                <w:b/>
                <w:noProof/>
                <w:sz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9CF945D" w14:textId="77777777" w:rsidR="00EB245A" w:rsidRDefault="00EB245A">
            <w:pPr>
              <w:spacing w:after="0" w:line="240" w:lineRule="auto"/>
              <w:rPr>
                <w:rFonts w:ascii="Times New Roman" w:eastAsia="Times New Roman" w:hAnsi="Times New Roman" w:cs="Times New Roman"/>
                <w:b/>
                <w:noProof/>
                <w:sz w:val="24"/>
              </w:rPr>
            </w:pPr>
          </w:p>
        </w:tc>
        <w:tc>
          <w:tcPr>
            <w:tcW w:w="1134" w:type="dxa"/>
            <w:tcBorders>
              <w:top w:val="nil"/>
              <w:left w:val="single" w:sz="4" w:space="0" w:color="auto"/>
              <w:bottom w:val="single" w:sz="4" w:space="0" w:color="auto"/>
              <w:right w:val="single" w:sz="4" w:space="0" w:color="auto"/>
            </w:tcBorders>
            <w:shd w:val="clear" w:color="auto" w:fill="BDD7EE"/>
            <w:vAlign w:val="center"/>
            <w:hideMark/>
          </w:tcPr>
          <w:p w14:paraId="1B7B750D" w14:textId="77777777" w:rsidR="00EB245A" w:rsidRDefault="006021EE">
            <w:pPr>
              <w:pStyle w:val="P68B1DB1-Normal41"/>
              <w:spacing w:after="0" w:line="240" w:lineRule="auto"/>
              <w:jc w:val="center"/>
              <w:rPr>
                <w:rFonts w:eastAsia="Times New Roman" w:cs="Times New Roman"/>
                <w:noProof/>
              </w:rPr>
            </w:pPr>
            <w:r>
              <w:rPr>
                <w:noProof/>
              </w:rPr>
              <w:t>Maßeinheit</w:t>
            </w:r>
          </w:p>
        </w:tc>
        <w:tc>
          <w:tcPr>
            <w:tcW w:w="1275" w:type="dxa"/>
            <w:tcBorders>
              <w:top w:val="nil"/>
              <w:left w:val="nil"/>
              <w:bottom w:val="single" w:sz="4" w:space="0" w:color="auto"/>
              <w:right w:val="single" w:sz="4" w:space="0" w:color="auto"/>
            </w:tcBorders>
            <w:shd w:val="clear" w:color="auto" w:fill="BDD7EE"/>
            <w:vAlign w:val="center"/>
            <w:hideMark/>
          </w:tcPr>
          <w:p w14:paraId="6A462F37" w14:textId="77777777" w:rsidR="00EB245A" w:rsidRDefault="006021EE">
            <w:pPr>
              <w:pStyle w:val="P68B1DB1-Normal41"/>
              <w:spacing w:after="0" w:line="240" w:lineRule="auto"/>
              <w:jc w:val="center"/>
              <w:rPr>
                <w:rFonts w:eastAsia="Times New Roman" w:cs="Times New Roman"/>
                <w:noProof/>
              </w:rPr>
            </w:pPr>
            <w:r>
              <w:rPr>
                <w:noProof/>
              </w:rPr>
              <w:t xml:space="preserve">Ausgangslage </w:t>
            </w:r>
          </w:p>
        </w:tc>
        <w:tc>
          <w:tcPr>
            <w:tcW w:w="709" w:type="dxa"/>
            <w:tcBorders>
              <w:top w:val="nil"/>
              <w:left w:val="nil"/>
              <w:bottom w:val="single" w:sz="4" w:space="0" w:color="auto"/>
              <w:right w:val="single" w:sz="4" w:space="0" w:color="auto"/>
            </w:tcBorders>
            <w:shd w:val="clear" w:color="auto" w:fill="BDD7EE"/>
            <w:vAlign w:val="center"/>
            <w:hideMark/>
          </w:tcPr>
          <w:p w14:paraId="218E335D" w14:textId="77777777" w:rsidR="00EB245A" w:rsidRDefault="006021EE">
            <w:pPr>
              <w:pStyle w:val="P68B1DB1-Normal41"/>
              <w:spacing w:after="0" w:line="240" w:lineRule="auto"/>
              <w:jc w:val="center"/>
              <w:rPr>
                <w:rFonts w:eastAsia="Times New Roman" w:cs="Times New Roman"/>
                <w:noProof/>
              </w:rPr>
            </w:pPr>
            <w:r>
              <w:rPr>
                <w:noProof/>
              </w:rPr>
              <w:t xml:space="preserve">Ziel </w:t>
            </w:r>
          </w:p>
        </w:tc>
        <w:tc>
          <w:tcPr>
            <w:tcW w:w="992" w:type="dxa"/>
            <w:tcBorders>
              <w:top w:val="nil"/>
              <w:left w:val="nil"/>
              <w:bottom w:val="single" w:sz="4" w:space="0" w:color="auto"/>
              <w:right w:val="single" w:sz="4" w:space="0" w:color="auto"/>
            </w:tcBorders>
            <w:shd w:val="clear" w:color="auto" w:fill="BDD7EE"/>
            <w:vAlign w:val="center"/>
            <w:hideMark/>
          </w:tcPr>
          <w:p w14:paraId="67553D37" w14:textId="77777777" w:rsidR="00EB245A" w:rsidRDefault="006021EE">
            <w:pPr>
              <w:pStyle w:val="P68B1DB1-Normal41"/>
              <w:spacing w:after="0" w:line="240" w:lineRule="auto"/>
              <w:jc w:val="center"/>
              <w:rPr>
                <w:rFonts w:eastAsia="Times New Roman" w:cs="Times New Roman"/>
                <w:noProof/>
              </w:rPr>
            </w:pPr>
            <w:r>
              <w:rPr>
                <w:noProof/>
              </w:rPr>
              <w:t>Viertel</w:t>
            </w:r>
          </w:p>
        </w:tc>
        <w:tc>
          <w:tcPr>
            <w:tcW w:w="993" w:type="dxa"/>
            <w:tcBorders>
              <w:top w:val="nil"/>
              <w:left w:val="nil"/>
              <w:bottom w:val="single" w:sz="4" w:space="0" w:color="auto"/>
              <w:right w:val="single" w:sz="4" w:space="0" w:color="auto"/>
            </w:tcBorders>
            <w:shd w:val="clear" w:color="auto" w:fill="BDD7EE"/>
            <w:vAlign w:val="center"/>
            <w:hideMark/>
          </w:tcPr>
          <w:p w14:paraId="4C1A5D4B" w14:textId="77777777" w:rsidR="00EB245A" w:rsidRDefault="006021EE">
            <w:pPr>
              <w:pStyle w:val="P68B1DB1-Normal41"/>
              <w:spacing w:after="0" w:line="240" w:lineRule="auto"/>
              <w:jc w:val="center"/>
              <w:rPr>
                <w:rFonts w:eastAsia="Times New Roman" w:cs="Times New Roman"/>
                <w:noProof/>
              </w:rPr>
            </w:pPr>
            <w:r>
              <w:rPr>
                <w:noProof/>
              </w:rPr>
              <w:t>Jahre</w:t>
            </w:r>
          </w:p>
        </w:tc>
        <w:tc>
          <w:tcPr>
            <w:tcW w:w="2981" w:type="dxa"/>
            <w:vMerge/>
            <w:tcBorders>
              <w:top w:val="single" w:sz="4" w:space="0" w:color="auto"/>
              <w:bottom w:val="single" w:sz="4" w:space="0" w:color="auto"/>
              <w:right w:val="single" w:sz="4" w:space="0" w:color="auto"/>
            </w:tcBorders>
            <w:vAlign w:val="center"/>
            <w:hideMark/>
          </w:tcPr>
          <w:p w14:paraId="2A79D8D2" w14:textId="77777777" w:rsidR="00EB245A" w:rsidRDefault="00EB245A">
            <w:pPr>
              <w:spacing w:after="0" w:line="240" w:lineRule="auto"/>
              <w:rPr>
                <w:rFonts w:ascii="Times New Roman" w:eastAsia="Times New Roman" w:hAnsi="Times New Roman" w:cs="Times New Roman"/>
                <w:b/>
                <w:noProof/>
                <w:sz w:val="24"/>
              </w:rPr>
            </w:pPr>
          </w:p>
        </w:tc>
      </w:tr>
      <w:tr w:rsidR="00EB245A" w14:paraId="054D7765" w14:textId="77777777" w:rsidTr="00396F21">
        <w:trPr>
          <w:trHeight w:val="309"/>
          <w:jc w:val="center"/>
        </w:trPr>
        <w:tc>
          <w:tcPr>
            <w:tcW w:w="840" w:type="dxa"/>
            <w:tcBorders>
              <w:top w:val="single" w:sz="4" w:space="0" w:color="auto"/>
              <w:left w:val="single" w:sz="4" w:space="0" w:color="auto"/>
              <w:bottom w:val="single" w:sz="4" w:space="0" w:color="auto"/>
              <w:right w:val="single" w:sz="4" w:space="0" w:color="auto"/>
            </w:tcBorders>
            <w:shd w:val="clear" w:color="auto" w:fill="C6EFCE"/>
            <w:noWrap/>
          </w:tcPr>
          <w:p w14:paraId="7FB19CC0" w14:textId="091EB4C2" w:rsidR="00EB245A" w:rsidRDefault="006021EE">
            <w:pPr>
              <w:pStyle w:val="P68B1DB1-Normal26"/>
              <w:spacing w:after="0" w:line="240" w:lineRule="auto"/>
              <w:jc w:val="center"/>
              <w:rPr>
                <w:rFonts w:eastAsia="Times New Roman" w:cs="Times New Roman"/>
                <w:noProof/>
              </w:rPr>
            </w:pPr>
            <w:r>
              <w:rPr>
                <w:noProof/>
              </w:rPr>
              <w:t>G25G</w:t>
            </w:r>
          </w:p>
        </w:tc>
        <w:tc>
          <w:tcPr>
            <w:tcW w:w="1565" w:type="dxa"/>
            <w:tcBorders>
              <w:top w:val="single" w:sz="4" w:space="0" w:color="auto"/>
              <w:left w:val="nil"/>
              <w:bottom w:val="single" w:sz="4" w:space="0" w:color="auto"/>
              <w:right w:val="single" w:sz="4" w:space="0" w:color="auto"/>
            </w:tcBorders>
            <w:shd w:val="clear" w:color="auto" w:fill="C6EFCE"/>
            <w:noWrap/>
          </w:tcPr>
          <w:p w14:paraId="5BD7685C" w14:textId="03040AE3" w:rsidR="00EB245A" w:rsidRDefault="006021EE">
            <w:pPr>
              <w:pStyle w:val="P68B1DB1-Normal26"/>
              <w:spacing w:after="0" w:line="240" w:lineRule="auto"/>
              <w:rPr>
                <w:rFonts w:eastAsia="Times New Roman" w:cs="Times New Roman"/>
                <w:noProof/>
              </w:rPr>
            </w:pPr>
            <w:r>
              <w:rPr>
                <w:noProof/>
              </w:rPr>
              <w:t>G1.3.1 Förderung eines nachhaltigen Verkehrs</w:t>
            </w:r>
          </w:p>
        </w:tc>
        <w:tc>
          <w:tcPr>
            <w:tcW w:w="1276" w:type="dxa"/>
            <w:tcBorders>
              <w:top w:val="single" w:sz="4" w:space="0" w:color="auto"/>
              <w:left w:val="nil"/>
              <w:bottom w:val="single" w:sz="4" w:space="0" w:color="auto"/>
              <w:right w:val="single" w:sz="4" w:space="0" w:color="auto"/>
            </w:tcBorders>
            <w:shd w:val="clear" w:color="auto" w:fill="C6EFCE"/>
            <w:noWrap/>
          </w:tcPr>
          <w:p w14:paraId="71CB7FF0" w14:textId="77777777" w:rsidR="00EB245A" w:rsidRDefault="006021EE">
            <w:pPr>
              <w:pStyle w:val="P68B1DB1-Normal26"/>
              <w:spacing w:after="0" w:line="240" w:lineRule="auto"/>
              <w:rPr>
                <w:rFonts w:eastAsia="Times New Roman" w:cs="Times New Roman"/>
                <w:noProof/>
              </w:rPr>
            </w:pPr>
            <w:r>
              <w:rPr>
                <w:noProof/>
              </w:rPr>
              <w:t>Meilenstein</w:t>
            </w:r>
          </w:p>
        </w:tc>
        <w:tc>
          <w:tcPr>
            <w:tcW w:w="1701" w:type="dxa"/>
            <w:tcBorders>
              <w:top w:val="single" w:sz="4" w:space="0" w:color="auto"/>
              <w:left w:val="nil"/>
              <w:bottom w:val="single" w:sz="4" w:space="0" w:color="auto"/>
              <w:right w:val="single" w:sz="4" w:space="0" w:color="auto"/>
            </w:tcBorders>
            <w:shd w:val="clear" w:color="auto" w:fill="C6EFCE"/>
            <w:noWrap/>
          </w:tcPr>
          <w:p w14:paraId="26F81752" w14:textId="6181073E" w:rsidR="00EB245A" w:rsidRDefault="006021EE">
            <w:pPr>
              <w:pStyle w:val="P68B1DB1-Normal26"/>
              <w:spacing w:after="0" w:line="240" w:lineRule="auto"/>
              <w:rPr>
                <w:rFonts w:eastAsia="Times New Roman" w:cs="Times New Roman"/>
                <w:noProof/>
              </w:rPr>
            </w:pPr>
            <w:r>
              <w:rPr>
                <w:noProof/>
              </w:rPr>
              <w:t xml:space="preserve">Aktionsplan für nachhaltigen </w:t>
            </w:r>
            <w:r>
              <w:rPr>
                <w:noProof/>
              </w:rPr>
              <w:t>Verkehr in Polen</w:t>
            </w:r>
          </w:p>
        </w:tc>
        <w:tc>
          <w:tcPr>
            <w:tcW w:w="1843" w:type="dxa"/>
            <w:tcBorders>
              <w:top w:val="single" w:sz="4" w:space="0" w:color="auto"/>
              <w:left w:val="nil"/>
              <w:bottom w:val="single" w:sz="4" w:space="0" w:color="auto"/>
              <w:right w:val="single" w:sz="4" w:space="0" w:color="auto"/>
            </w:tcBorders>
            <w:shd w:val="clear" w:color="auto" w:fill="C6EFCE"/>
            <w:noWrap/>
          </w:tcPr>
          <w:p w14:paraId="16A36574" w14:textId="77777777" w:rsidR="00EB245A" w:rsidRDefault="006021EE">
            <w:pPr>
              <w:pStyle w:val="P68B1DB1-Normal26"/>
              <w:spacing w:after="0" w:line="240" w:lineRule="auto"/>
              <w:rPr>
                <w:rFonts w:eastAsia="Times New Roman" w:cs="Times New Roman"/>
                <w:noProof/>
              </w:rPr>
            </w:pPr>
            <w:r>
              <w:rPr>
                <w:noProof/>
              </w:rPr>
              <w:t xml:space="preserve">Veröffentlichung durch das für Verkehr zuständige Ministerium </w:t>
            </w:r>
          </w:p>
        </w:tc>
        <w:tc>
          <w:tcPr>
            <w:tcW w:w="1134" w:type="dxa"/>
            <w:tcBorders>
              <w:top w:val="nil"/>
              <w:left w:val="nil"/>
              <w:bottom w:val="single" w:sz="4" w:space="0" w:color="auto"/>
              <w:right w:val="single" w:sz="4" w:space="0" w:color="auto"/>
            </w:tcBorders>
            <w:shd w:val="clear" w:color="auto" w:fill="C6EFCE"/>
            <w:noWrap/>
            <w:vAlign w:val="bottom"/>
          </w:tcPr>
          <w:p w14:paraId="1577E39E" w14:textId="77777777" w:rsidR="00EB245A" w:rsidRDefault="00EB245A">
            <w:pPr>
              <w:spacing w:after="0" w:line="240" w:lineRule="auto"/>
              <w:rPr>
                <w:rFonts w:ascii="Times New Roman" w:eastAsia="Times New Roman" w:hAnsi="Times New Roman" w:cs="Times New Roman"/>
                <w:noProof/>
                <w:sz w:val="18"/>
              </w:rPr>
            </w:pPr>
          </w:p>
        </w:tc>
        <w:tc>
          <w:tcPr>
            <w:tcW w:w="1275" w:type="dxa"/>
            <w:tcBorders>
              <w:top w:val="nil"/>
              <w:left w:val="nil"/>
              <w:bottom w:val="single" w:sz="4" w:space="0" w:color="auto"/>
              <w:right w:val="single" w:sz="4" w:space="0" w:color="auto"/>
            </w:tcBorders>
            <w:shd w:val="clear" w:color="auto" w:fill="C6EFCE"/>
            <w:noWrap/>
            <w:vAlign w:val="bottom"/>
          </w:tcPr>
          <w:p w14:paraId="3363DB06" w14:textId="77777777" w:rsidR="00EB245A" w:rsidRDefault="00EB245A">
            <w:pPr>
              <w:spacing w:after="0" w:line="240" w:lineRule="auto"/>
              <w:jc w:val="right"/>
              <w:rPr>
                <w:rFonts w:ascii="Times New Roman" w:eastAsia="Times New Roman" w:hAnsi="Times New Roman" w:cs="Times New Roman"/>
                <w:noProof/>
                <w:sz w:val="18"/>
              </w:rPr>
            </w:pPr>
          </w:p>
        </w:tc>
        <w:tc>
          <w:tcPr>
            <w:tcW w:w="709" w:type="dxa"/>
            <w:tcBorders>
              <w:top w:val="nil"/>
              <w:left w:val="nil"/>
              <w:bottom w:val="single" w:sz="4" w:space="0" w:color="auto"/>
              <w:right w:val="single" w:sz="4" w:space="0" w:color="auto"/>
            </w:tcBorders>
            <w:shd w:val="clear" w:color="auto" w:fill="C6EFCE"/>
            <w:noWrap/>
            <w:vAlign w:val="bottom"/>
          </w:tcPr>
          <w:p w14:paraId="18D6389E" w14:textId="77777777" w:rsidR="00EB245A" w:rsidRDefault="00EB245A">
            <w:pPr>
              <w:spacing w:after="0" w:line="240" w:lineRule="auto"/>
              <w:jc w:val="right"/>
              <w:rPr>
                <w:rFonts w:ascii="Times New Roman" w:eastAsia="Times New Roman" w:hAnsi="Times New Roman" w:cs="Times New Roman"/>
                <w:noProof/>
                <w:sz w:val="18"/>
              </w:rPr>
            </w:pPr>
          </w:p>
        </w:tc>
        <w:tc>
          <w:tcPr>
            <w:tcW w:w="992" w:type="dxa"/>
            <w:tcBorders>
              <w:top w:val="nil"/>
              <w:left w:val="nil"/>
              <w:bottom w:val="single" w:sz="4" w:space="0" w:color="auto"/>
              <w:right w:val="single" w:sz="4" w:space="0" w:color="auto"/>
            </w:tcBorders>
            <w:shd w:val="clear" w:color="auto" w:fill="C6EFCE"/>
            <w:noWrap/>
          </w:tcPr>
          <w:p w14:paraId="6D46CB27" w14:textId="77777777" w:rsidR="00EB245A" w:rsidRDefault="006021EE">
            <w:pPr>
              <w:pStyle w:val="P68B1DB1-Normal26"/>
              <w:spacing w:after="0" w:line="240" w:lineRule="auto"/>
              <w:jc w:val="center"/>
              <w:rPr>
                <w:rFonts w:eastAsia="Times New Roman" w:cs="Times New Roman"/>
                <w:noProof/>
              </w:rPr>
            </w:pPr>
            <w:r>
              <w:rPr>
                <w:noProof/>
              </w:rPr>
              <w:t>Q3</w:t>
            </w:r>
          </w:p>
        </w:tc>
        <w:tc>
          <w:tcPr>
            <w:tcW w:w="993" w:type="dxa"/>
            <w:tcBorders>
              <w:top w:val="nil"/>
              <w:left w:val="nil"/>
              <w:bottom w:val="single" w:sz="4" w:space="0" w:color="auto"/>
              <w:right w:val="single" w:sz="4" w:space="0" w:color="auto"/>
            </w:tcBorders>
            <w:shd w:val="clear" w:color="auto" w:fill="C6EFCE"/>
            <w:noWrap/>
          </w:tcPr>
          <w:p w14:paraId="4FEC9B7E" w14:textId="77777777" w:rsidR="00EB245A" w:rsidRDefault="006021EE">
            <w:pPr>
              <w:pStyle w:val="P68B1DB1-Normal26"/>
              <w:spacing w:after="0" w:line="240" w:lineRule="auto"/>
              <w:jc w:val="center"/>
              <w:rPr>
                <w:rFonts w:eastAsia="Times New Roman" w:cs="Times New Roman"/>
                <w:noProof/>
              </w:rPr>
            </w:pPr>
            <w:r>
              <w:rPr>
                <w:noProof/>
              </w:rPr>
              <w:t>2025</w:t>
            </w:r>
          </w:p>
        </w:tc>
        <w:tc>
          <w:tcPr>
            <w:tcW w:w="2981" w:type="dxa"/>
            <w:tcBorders>
              <w:top w:val="single" w:sz="4" w:space="0" w:color="auto"/>
              <w:left w:val="nil"/>
              <w:bottom w:val="single" w:sz="4" w:space="0" w:color="auto"/>
              <w:right w:val="single" w:sz="4" w:space="0" w:color="auto"/>
            </w:tcBorders>
            <w:shd w:val="clear" w:color="auto" w:fill="C6EFCE"/>
            <w:noWrap/>
            <w:vAlign w:val="bottom"/>
          </w:tcPr>
          <w:p w14:paraId="43160238" w14:textId="5F0850FD" w:rsidR="00EB245A" w:rsidRDefault="006021EE">
            <w:pPr>
              <w:pStyle w:val="P68B1DB1-Normal26"/>
              <w:spacing w:after="0" w:line="240" w:lineRule="auto"/>
              <w:rPr>
                <w:rFonts w:eastAsia="Times New Roman" w:cs="Times New Roman"/>
                <w:noProof/>
              </w:rPr>
            </w:pPr>
            <w:r>
              <w:rPr>
                <w:noProof/>
              </w:rPr>
              <w:t>Das für Verkehr zuständige Ministerium erstellt und veröffentlicht einen Aktionsplan für nachhaltigen Verkehr in Polen. Dem Bericht wird eine Analyse der Maßnahmen b</w:t>
            </w:r>
            <w:r>
              <w:rPr>
                <w:noProof/>
              </w:rPr>
              <w:t xml:space="preserve">eigefügt, die bereits in bestehenden strategischen Dokumenten auf nationaler Ebene enthalten sind. </w:t>
            </w:r>
          </w:p>
          <w:p w14:paraId="3E600931" w14:textId="11FC31D7" w:rsidR="00EB245A" w:rsidRDefault="006021EE">
            <w:pPr>
              <w:pStyle w:val="P68B1DB1-Normal26"/>
              <w:spacing w:after="0" w:line="240" w:lineRule="auto"/>
              <w:rPr>
                <w:rFonts w:eastAsia="Times New Roman" w:cs="Times New Roman"/>
                <w:noProof/>
              </w:rPr>
            </w:pPr>
            <w:r>
              <w:rPr>
                <w:noProof/>
              </w:rPr>
              <w:t>In dem Aktionsplan werden die vorrangigen Reformen und Investitionen festgelegt, die für einen nachhaltigen Wandel des polnischen Verkehrssektors im Einklan</w:t>
            </w:r>
            <w:r>
              <w:rPr>
                <w:noProof/>
              </w:rPr>
              <w:t xml:space="preserve">g mit den Klimazielen der EU erforderlich sind. </w:t>
            </w:r>
          </w:p>
        </w:tc>
      </w:tr>
      <w:tr w:rsidR="00EB245A" w14:paraId="22A5363C" w14:textId="77777777" w:rsidTr="00396F21">
        <w:trPr>
          <w:trHeight w:val="309"/>
          <w:jc w:val="center"/>
        </w:trPr>
        <w:tc>
          <w:tcPr>
            <w:tcW w:w="840" w:type="dxa"/>
            <w:tcBorders>
              <w:top w:val="nil"/>
              <w:left w:val="single" w:sz="4" w:space="0" w:color="auto"/>
              <w:bottom w:val="single" w:sz="4" w:space="0" w:color="auto"/>
              <w:right w:val="single" w:sz="4" w:space="0" w:color="auto"/>
            </w:tcBorders>
            <w:shd w:val="clear" w:color="auto" w:fill="C6EFCE"/>
            <w:noWrap/>
          </w:tcPr>
          <w:p w14:paraId="07EA01F6" w14:textId="7A091BB6" w:rsidR="00EB245A" w:rsidRDefault="006021EE">
            <w:pPr>
              <w:pStyle w:val="P68B1DB1-Normal26"/>
              <w:spacing w:after="0" w:line="240" w:lineRule="auto"/>
              <w:jc w:val="center"/>
              <w:rPr>
                <w:rFonts w:eastAsia="Times New Roman" w:cs="Times New Roman"/>
                <w:noProof/>
              </w:rPr>
            </w:pPr>
            <w:r>
              <w:rPr>
                <w:noProof/>
              </w:rPr>
              <w:t>G26G</w:t>
            </w:r>
          </w:p>
        </w:tc>
        <w:tc>
          <w:tcPr>
            <w:tcW w:w="1565" w:type="dxa"/>
            <w:tcBorders>
              <w:top w:val="nil"/>
              <w:left w:val="nil"/>
              <w:bottom w:val="single" w:sz="4" w:space="0" w:color="auto"/>
              <w:right w:val="single" w:sz="4" w:space="0" w:color="auto"/>
            </w:tcBorders>
            <w:shd w:val="clear" w:color="auto" w:fill="C6EFCE"/>
            <w:noWrap/>
          </w:tcPr>
          <w:p w14:paraId="3759EA8C" w14:textId="03A2E698" w:rsidR="00EB245A" w:rsidRDefault="006021EE">
            <w:pPr>
              <w:pStyle w:val="P68B1DB1-Normal26"/>
              <w:spacing w:after="0" w:line="240" w:lineRule="auto"/>
              <w:rPr>
                <w:rFonts w:eastAsia="Times New Roman" w:cs="Times New Roman"/>
                <w:noProof/>
              </w:rPr>
            </w:pPr>
            <w:r>
              <w:rPr>
                <w:noProof/>
              </w:rPr>
              <w:t>G1.3.2 Nullemissionsfreier öffentlicher Verkehr (Busse)</w:t>
            </w:r>
          </w:p>
        </w:tc>
        <w:tc>
          <w:tcPr>
            <w:tcW w:w="1276" w:type="dxa"/>
            <w:tcBorders>
              <w:top w:val="nil"/>
              <w:left w:val="nil"/>
              <w:bottom w:val="single" w:sz="4" w:space="0" w:color="auto"/>
              <w:right w:val="single" w:sz="4" w:space="0" w:color="auto"/>
            </w:tcBorders>
            <w:shd w:val="clear" w:color="auto" w:fill="C6EFCE"/>
            <w:noWrap/>
          </w:tcPr>
          <w:p w14:paraId="0F87CED6" w14:textId="77777777" w:rsidR="00EB245A" w:rsidRDefault="006021EE">
            <w:pPr>
              <w:pStyle w:val="P68B1DB1-Normal26"/>
              <w:spacing w:after="0" w:line="240" w:lineRule="auto"/>
              <w:rPr>
                <w:rFonts w:eastAsia="Times New Roman" w:cs="Times New Roman"/>
                <w:noProof/>
              </w:rPr>
            </w:pPr>
            <w:r>
              <w:rPr>
                <w:noProof/>
              </w:rPr>
              <w:t>Meilenstein</w:t>
            </w:r>
          </w:p>
        </w:tc>
        <w:tc>
          <w:tcPr>
            <w:tcW w:w="1701" w:type="dxa"/>
            <w:tcBorders>
              <w:top w:val="nil"/>
              <w:left w:val="nil"/>
              <w:bottom w:val="single" w:sz="4" w:space="0" w:color="auto"/>
              <w:right w:val="single" w:sz="4" w:space="0" w:color="auto"/>
            </w:tcBorders>
            <w:shd w:val="clear" w:color="auto" w:fill="C6EFCE"/>
            <w:noWrap/>
          </w:tcPr>
          <w:p w14:paraId="68169047" w14:textId="77777777" w:rsidR="00EB245A" w:rsidRDefault="006021EE">
            <w:pPr>
              <w:pStyle w:val="P68B1DB1-Normal26"/>
              <w:spacing w:after="0" w:line="240" w:lineRule="auto"/>
              <w:rPr>
                <w:rFonts w:eastAsia="Times New Roman" w:cs="Times New Roman"/>
                <w:noProof/>
              </w:rPr>
            </w:pPr>
            <w:r>
              <w:rPr>
                <w:noProof/>
              </w:rPr>
              <w:t>Emissionsfreie Fahrzeuge für den Stadtverkehr: Auswahl der Begünstigten</w:t>
            </w:r>
          </w:p>
        </w:tc>
        <w:tc>
          <w:tcPr>
            <w:tcW w:w="1843" w:type="dxa"/>
            <w:tcBorders>
              <w:top w:val="nil"/>
              <w:left w:val="nil"/>
              <w:bottom w:val="single" w:sz="4" w:space="0" w:color="auto"/>
              <w:right w:val="single" w:sz="4" w:space="0" w:color="auto"/>
            </w:tcBorders>
            <w:shd w:val="clear" w:color="auto" w:fill="C6EFCE"/>
            <w:noWrap/>
          </w:tcPr>
          <w:p w14:paraId="44A9D7E6" w14:textId="77777777" w:rsidR="00EB245A" w:rsidRDefault="006021EE">
            <w:pPr>
              <w:pStyle w:val="P68B1DB1-Normal26"/>
              <w:spacing w:after="0" w:line="240" w:lineRule="auto"/>
              <w:rPr>
                <w:rFonts w:eastAsia="Times New Roman" w:cs="Times New Roman"/>
                <w:noProof/>
              </w:rPr>
            </w:pPr>
            <w:r>
              <w:rPr>
                <w:noProof/>
              </w:rPr>
              <w:t>Unterzeichnete Verträge</w:t>
            </w:r>
          </w:p>
        </w:tc>
        <w:tc>
          <w:tcPr>
            <w:tcW w:w="1134" w:type="dxa"/>
            <w:tcBorders>
              <w:top w:val="nil"/>
              <w:left w:val="nil"/>
              <w:bottom w:val="single" w:sz="4" w:space="0" w:color="auto"/>
              <w:right w:val="single" w:sz="4" w:space="0" w:color="auto"/>
            </w:tcBorders>
            <w:shd w:val="clear" w:color="auto" w:fill="C6EFCE"/>
            <w:noWrap/>
          </w:tcPr>
          <w:p w14:paraId="42CC5FCE" w14:textId="77777777" w:rsidR="00EB245A" w:rsidRDefault="00EB245A">
            <w:pPr>
              <w:spacing w:after="0" w:line="240" w:lineRule="auto"/>
              <w:rPr>
                <w:rFonts w:ascii="Times New Roman" w:eastAsia="Times New Roman" w:hAnsi="Times New Roman" w:cs="Times New Roman"/>
                <w:noProof/>
                <w:sz w:val="18"/>
              </w:rPr>
            </w:pPr>
          </w:p>
        </w:tc>
        <w:tc>
          <w:tcPr>
            <w:tcW w:w="1275" w:type="dxa"/>
            <w:tcBorders>
              <w:top w:val="nil"/>
              <w:left w:val="nil"/>
              <w:bottom w:val="single" w:sz="4" w:space="0" w:color="auto"/>
              <w:right w:val="single" w:sz="4" w:space="0" w:color="auto"/>
            </w:tcBorders>
            <w:shd w:val="clear" w:color="auto" w:fill="C6EFCE"/>
            <w:noWrap/>
          </w:tcPr>
          <w:p w14:paraId="35844617" w14:textId="77777777" w:rsidR="00EB245A" w:rsidRDefault="00EB245A">
            <w:pPr>
              <w:spacing w:after="0" w:line="240" w:lineRule="auto"/>
              <w:jc w:val="right"/>
              <w:rPr>
                <w:rFonts w:ascii="Times New Roman" w:eastAsia="Times New Roman" w:hAnsi="Times New Roman" w:cs="Times New Roman"/>
                <w:noProof/>
                <w:sz w:val="18"/>
              </w:rPr>
            </w:pPr>
          </w:p>
        </w:tc>
        <w:tc>
          <w:tcPr>
            <w:tcW w:w="709" w:type="dxa"/>
            <w:tcBorders>
              <w:top w:val="nil"/>
              <w:left w:val="nil"/>
              <w:bottom w:val="single" w:sz="4" w:space="0" w:color="auto"/>
              <w:right w:val="single" w:sz="4" w:space="0" w:color="auto"/>
            </w:tcBorders>
            <w:shd w:val="clear" w:color="auto" w:fill="C6EFCE"/>
            <w:noWrap/>
          </w:tcPr>
          <w:p w14:paraId="2E81BB8B" w14:textId="77777777" w:rsidR="00EB245A" w:rsidRDefault="00EB245A">
            <w:pPr>
              <w:spacing w:after="0" w:line="240" w:lineRule="auto"/>
              <w:jc w:val="right"/>
              <w:rPr>
                <w:rFonts w:ascii="Times New Roman" w:eastAsia="Times New Roman" w:hAnsi="Times New Roman" w:cs="Times New Roman"/>
                <w:noProof/>
                <w:sz w:val="18"/>
              </w:rPr>
            </w:pPr>
          </w:p>
        </w:tc>
        <w:tc>
          <w:tcPr>
            <w:tcW w:w="992" w:type="dxa"/>
            <w:tcBorders>
              <w:top w:val="nil"/>
              <w:left w:val="nil"/>
              <w:bottom w:val="single" w:sz="4" w:space="0" w:color="auto"/>
              <w:right w:val="single" w:sz="4" w:space="0" w:color="auto"/>
            </w:tcBorders>
            <w:shd w:val="clear" w:color="auto" w:fill="C6EFCE"/>
            <w:noWrap/>
          </w:tcPr>
          <w:p w14:paraId="42049F82" w14:textId="77777777" w:rsidR="00EB245A" w:rsidRDefault="006021EE">
            <w:pPr>
              <w:pStyle w:val="P68B1DB1-Normal26"/>
              <w:spacing w:after="0" w:line="240" w:lineRule="auto"/>
              <w:jc w:val="center"/>
              <w:rPr>
                <w:rFonts w:eastAsia="Times New Roman" w:cs="Times New Roman"/>
                <w:noProof/>
              </w:rPr>
            </w:pPr>
            <w:r>
              <w:rPr>
                <w:noProof/>
              </w:rPr>
              <w:t>Q3</w:t>
            </w:r>
          </w:p>
        </w:tc>
        <w:tc>
          <w:tcPr>
            <w:tcW w:w="993" w:type="dxa"/>
            <w:tcBorders>
              <w:top w:val="nil"/>
              <w:left w:val="nil"/>
              <w:bottom w:val="single" w:sz="4" w:space="0" w:color="auto"/>
              <w:right w:val="single" w:sz="4" w:space="0" w:color="auto"/>
            </w:tcBorders>
            <w:shd w:val="clear" w:color="auto" w:fill="C6EFCE"/>
            <w:noWrap/>
          </w:tcPr>
          <w:p w14:paraId="46681A2A" w14:textId="77777777" w:rsidR="00EB245A" w:rsidRDefault="006021EE">
            <w:pPr>
              <w:pStyle w:val="P68B1DB1-Normal26"/>
              <w:spacing w:after="0" w:line="240" w:lineRule="auto"/>
              <w:jc w:val="center"/>
              <w:rPr>
                <w:rFonts w:eastAsia="Times New Roman" w:cs="Times New Roman"/>
                <w:noProof/>
              </w:rPr>
            </w:pPr>
            <w:r>
              <w:rPr>
                <w:noProof/>
              </w:rPr>
              <w:t>2024</w:t>
            </w:r>
          </w:p>
        </w:tc>
        <w:tc>
          <w:tcPr>
            <w:tcW w:w="2981" w:type="dxa"/>
            <w:tcBorders>
              <w:top w:val="nil"/>
              <w:left w:val="nil"/>
              <w:bottom w:val="single" w:sz="4" w:space="0" w:color="auto"/>
              <w:right w:val="single" w:sz="4" w:space="0" w:color="auto"/>
            </w:tcBorders>
            <w:shd w:val="clear" w:color="auto" w:fill="C6EFCE"/>
            <w:noWrap/>
            <w:vAlign w:val="bottom"/>
          </w:tcPr>
          <w:p w14:paraId="22C0923B" w14:textId="77777777" w:rsidR="00EB245A" w:rsidRDefault="006021EE">
            <w:pPr>
              <w:pStyle w:val="P68B1DB1-Normal26"/>
              <w:spacing w:after="0" w:line="240" w:lineRule="auto"/>
              <w:rPr>
                <w:rFonts w:eastAsia="Times New Roman" w:cs="Times New Roman"/>
                <w:noProof/>
              </w:rPr>
            </w:pPr>
            <w:r>
              <w:rPr>
                <w:noProof/>
              </w:rPr>
              <w:t xml:space="preserve">Mit den ausgewählten </w:t>
            </w:r>
            <w:r>
              <w:rPr>
                <w:noProof/>
              </w:rPr>
              <w:t>begünstigten Stellen (lokale Behörden oder Betreiber eines öffentlichen Dienstes) werden Verträge für 1159 neue emissionsfreie Busse unterzeichnet.</w:t>
            </w:r>
          </w:p>
          <w:p w14:paraId="50B69429" w14:textId="77777777" w:rsidR="00EB245A" w:rsidRDefault="006021EE">
            <w:pPr>
              <w:pStyle w:val="P68B1DB1-Normal26"/>
              <w:spacing w:after="0" w:line="240" w:lineRule="auto"/>
              <w:rPr>
                <w:rFonts w:eastAsia="Times New Roman" w:cs="Times New Roman"/>
                <w:noProof/>
              </w:rPr>
            </w:pPr>
            <w:r>
              <w:rPr>
                <w:noProof/>
              </w:rPr>
              <w:t xml:space="preserve"> </w:t>
            </w:r>
          </w:p>
          <w:p w14:paraId="15240A20" w14:textId="20CC2E60" w:rsidR="00EB245A" w:rsidRDefault="006021EE">
            <w:pPr>
              <w:pStyle w:val="P68B1DB1-Normal26"/>
              <w:spacing w:after="0" w:line="240" w:lineRule="auto"/>
              <w:rPr>
                <w:rFonts w:eastAsia="Times New Roman" w:cs="Times New Roman"/>
                <w:noProof/>
              </w:rPr>
            </w:pPr>
            <w:r>
              <w:rPr>
                <w:noProof/>
              </w:rPr>
              <w:t>Die begünstigten Einrichtungen werden im Wege transparenter und wettbewerbsorientierter Aufforderungen aus</w:t>
            </w:r>
            <w:r>
              <w:rPr>
                <w:noProof/>
              </w:rPr>
              <w:t>gewählt, die allen lokalen Behörden und Betreibern öffentlicher Dienste für emissionsfreien Verkehr in städtischen Gebieten offen stehen. Es dürfen nur Elektrobusse unterstützt werden.</w:t>
            </w:r>
          </w:p>
        </w:tc>
      </w:tr>
      <w:tr w:rsidR="00EB245A" w14:paraId="79A80666" w14:textId="77777777" w:rsidTr="00396F21">
        <w:trPr>
          <w:trHeight w:val="309"/>
          <w:jc w:val="center"/>
        </w:trPr>
        <w:tc>
          <w:tcPr>
            <w:tcW w:w="840" w:type="dxa"/>
            <w:tcBorders>
              <w:top w:val="nil"/>
              <w:left w:val="single" w:sz="4" w:space="0" w:color="auto"/>
              <w:bottom w:val="single" w:sz="4" w:space="0" w:color="auto"/>
              <w:right w:val="single" w:sz="4" w:space="0" w:color="auto"/>
            </w:tcBorders>
            <w:shd w:val="clear" w:color="auto" w:fill="C6EFCE"/>
            <w:noWrap/>
          </w:tcPr>
          <w:p w14:paraId="371E4FA6" w14:textId="4A791FE2" w:rsidR="00EB245A" w:rsidRDefault="006021EE">
            <w:pPr>
              <w:pStyle w:val="P68B1DB1-Normal26"/>
              <w:spacing w:after="0" w:line="240" w:lineRule="auto"/>
              <w:jc w:val="center"/>
              <w:rPr>
                <w:rFonts w:eastAsia="Times New Roman" w:cs="Times New Roman"/>
                <w:noProof/>
              </w:rPr>
            </w:pPr>
            <w:r>
              <w:rPr>
                <w:noProof/>
              </w:rPr>
              <w:t>G27G</w:t>
            </w:r>
          </w:p>
        </w:tc>
        <w:tc>
          <w:tcPr>
            <w:tcW w:w="1565" w:type="dxa"/>
            <w:tcBorders>
              <w:top w:val="nil"/>
              <w:left w:val="nil"/>
              <w:bottom w:val="single" w:sz="4" w:space="0" w:color="auto"/>
              <w:right w:val="single" w:sz="4" w:space="0" w:color="auto"/>
            </w:tcBorders>
            <w:shd w:val="clear" w:color="auto" w:fill="C6EFCE"/>
            <w:noWrap/>
          </w:tcPr>
          <w:p w14:paraId="20E26175" w14:textId="77777777" w:rsidR="00EB245A" w:rsidRDefault="006021EE">
            <w:pPr>
              <w:pStyle w:val="P68B1DB1-Normal26"/>
              <w:spacing w:after="0" w:line="240" w:lineRule="auto"/>
              <w:rPr>
                <w:rFonts w:eastAsia="Times New Roman" w:cs="Times New Roman"/>
                <w:noProof/>
              </w:rPr>
            </w:pPr>
            <w:r>
              <w:rPr>
                <w:noProof/>
              </w:rPr>
              <w:t>G1.3.2 Nullemissionsfreier öffentlicher Verkehr (Busse)</w:t>
            </w:r>
          </w:p>
        </w:tc>
        <w:tc>
          <w:tcPr>
            <w:tcW w:w="1276" w:type="dxa"/>
            <w:tcBorders>
              <w:top w:val="nil"/>
              <w:left w:val="nil"/>
              <w:bottom w:val="single" w:sz="4" w:space="0" w:color="auto"/>
              <w:right w:val="single" w:sz="4" w:space="0" w:color="auto"/>
            </w:tcBorders>
            <w:shd w:val="clear" w:color="auto" w:fill="C6EFCE"/>
            <w:noWrap/>
          </w:tcPr>
          <w:p w14:paraId="27C18A4A" w14:textId="77777777" w:rsidR="00EB245A" w:rsidRDefault="006021EE">
            <w:pPr>
              <w:pStyle w:val="P68B1DB1-Normal26"/>
              <w:spacing w:after="0" w:line="240" w:lineRule="auto"/>
              <w:rPr>
                <w:rFonts w:eastAsia="Times New Roman" w:cs="Times New Roman"/>
                <w:noProof/>
              </w:rPr>
            </w:pPr>
            <w:r>
              <w:rPr>
                <w:noProof/>
              </w:rPr>
              <w:t>Ziel</w:t>
            </w:r>
          </w:p>
        </w:tc>
        <w:tc>
          <w:tcPr>
            <w:tcW w:w="1701" w:type="dxa"/>
            <w:tcBorders>
              <w:top w:val="nil"/>
              <w:left w:val="nil"/>
              <w:bottom w:val="single" w:sz="4" w:space="0" w:color="auto"/>
              <w:right w:val="single" w:sz="4" w:space="0" w:color="auto"/>
            </w:tcBorders>
            <w:shd w:val="clear" w:color="auto" w:fill="C6EFCE"/>
            <w:noWrap/>
          </w:tcPr>
          <w:p w14:paraId="46E308FB" w14:textId="77777777" w:rsidR="00EB245A" w:rsidRDefault="006021EE">
            <w:pPr>
              <w:pStyle w:val="P68B1DB1-Normal26"/>
              <w:spacing w:after="0" w:line="240" w:lineRule="auto"/>
              <w:rPr>
                <w:rFonts w:eastAsia="Times New Roman" w:cs="Times New Roman"/>
                <w:noProof/>
              </w:rPr>
            </w:pPr>
            <w:r>
              <w:rPr>
                <w:noProof/>
              </w:rPr>
              <w:t>Neue</w:t>
            </w:r>
            <w:r>
              <w:rPr>
                <w:noProof/>
              </w:rPr>
              <w:t xml:space="preserve"> emissionsfreie Fahrzeuge in Betrieb</w:t>
            </w:r>
          </w:p>
        </w:tc>
        <w:tc>
          <w:tcPr>
            <w:tcW w:w="1843" w:type="dxa"/>
            <w:tcBorders>
              <w:top w:val="nil"/>
              <w:left w:val="nil"/>
              <w:bottom w:val="single" w:sz="4" w:space="0" w:color="auto"/>
              <w:right w:val="single" w:sz="4" w:space="0" w:color="auto"/>
            </w:tcBorders>
            <w:shd w:val="clear" w:color="auto" w:fill="C6EFCE"/>
            <w:noWrap/>
          </w:tcPr>
          <w:p w14:paraId="0EDC65B2" w14:textId="77777777" w:rsidR="00EB245A" w:rsidRDefault="00EB245A">
            <w:pPr>
              <w:spacing w:after="0" w:line="240" w:lineRule="auto"/>
              <w:rPr>
                <w:rFonts w:ascii="Times New Roman" w:eastAsia="Times New Roman" w:hAnsi="Times New Roman" w:cs="Times New Roman"/>
                <w:noProof/>
                <w:sz w:val="18"/>
              </w:rPr>
            </w:pPr>
          </w:p>
        </w:tc>
        <w:tc>
          <w:tcPr>
            <w:tcW w:w="1134" w:type="dxa"/>
            <w:tcBorders>
              <w:top w:val="nil"/>
              <w:left w:val="nil"/>
              <w:bottom w:val="single" w:sz="4" w:space="0" w:color="auto"/>
              <w:right w:val="single" w:sz="4" w:space="0" w:color="auto"/>
            </w:tcBorders>
            <w:shd w:val="clear" w:color="auto" w:fill="C6EFCE"/>
            <w:noWrap/>
          </w:tcPr>
          <w:p w14:paraId="38360F58" w14:textId="77777777" w:rsidR="00EB245A" w:rsidRDefault="006021EE">
            <w:pPr>
              <w:pStyle w:val="P68B1DB1-Normal26"/>
              <w:spacing w:after="0" w:line="240" w:lineRule="auto"/>
              <w:rPr>
                <w:rFonts w:eastAsia="Times New Roman" w:cs="Times New Roman"/>
                <w:noProof/>
              </w:rPr>
            </w:pPr>
            <w:r>
              <w:rPr>
                <w:noProof/>
              </w:rPr>
              <w:t>Anzahl</w:t>
            </w:r>
          </w:p>
        </w:tc>
        <w:tc>
          <w:tcPr>
            <w:tcW w:w="1275" w:type="dxa"/>
            <w:tcBorders>
              <w:top w:val="nil"/>
              <w:left w:val="nil"/>
              <w:bottom w:val="single" w:sz="4" w:space="0" w:color="auto"/>
              <w:right w:val="single" w:sz="4" w:space="0" w:color="auto"/>
            </w:tcBorders>
            <w:shd w:val="clear" w:color="auto" w:fill="C6EFCE"/>
            <w:noWrap/>
          </w:tcPr>
          <w:p w14:paraId="0CF766DB" w14:textId="77777777" w:rsidR="00EB245A" w:rsidRDefault="006021EE">
            <w:pPr>
              <w:pStyle w:val="P68B1DB1-Normal26"/>
              <w:spacing w:after="0" w:line="240" w:lineRule="auto"/>
              <w:jc w:val="right"/>
              <w:rPr>
                <w:rFonts w:eastAsia="Times New Roman" w:cs="Times New Roman"/>
                <w:noProof/>
              </w:rPr>
            </w:pPr>
            <w:r>
              <w:rPr>
                <w:noProof/>
              </w:rPr>
              <w:t>0</w:t>
            </w:r>
          </w:p>
        </w:tc>
        <w:tc>
          <w:tcPr>
            <w:tcW w:w="709" w:type="dxa"/>
            <w:tcBorders>
              <w:top w:val="nil"/>
              <w:left w:val="nil"/>
              <w:bottom w:val="single" w:sz="4" w:space="0" w:color="auto"/>
              <w:right w:val="single" w:sz="4" w:space="0" w:color="auto"/>
            </w:tcBorders>
            <w:shd w:val="clear" w:color="auto" w:fill="C6EFCE"/>
            <w:noWrap/>
          </w:tcPr>
          <w:p w14:paraId="0A31A8C4" w14:textId="18D0985D" w:rsidR="00EB245A" w:rsidRDefault="006021EE">
            <w:pPr>
              <w:pStyle w:val="P68B1DB1-Normal26"/>
              <w:spacing w:after="0" w:line="240" w:lineRule="auto"/>
              <w:jc w:val="right"/>
              <w:rPr>
                <w:rFonts w:eastAsia="Times New Roman" w:cs="Times New Roman"/>
                <w:noProof/>
              </w:rPr>
            </w:pPr>
            <w:r>
              <w:rPr>
                <w:noProof/>
              </w:rPr>
              <w:t>1159</w:t>
            </w:r>
          </w:p>
        </w:tc>
        <w:tc>
          <w:tcPr>
            <w:tcW w:w="992" w:type="dxa"/>
            <w:tcBorders>
              <w:top w:val="nil"/>
              <w:left w:val="nil"/>
              <w:bottom w:val="single" w:sz="4" w:space="0" w:color="auto"/>
              <w:right w:val="single" w:sz="4" w:space="0" w:color="auto"/>
            </w:tcBorders>
            <w:shd w:val="clear" w:color="auto" w:fill="C6EFCE"/>
            <w:noWrap/>
          </w:tcPr>
          <w:p w14:paraId="2E242C70" w14:textId="77777777" w:rsidR="00EB245A" w:rsidRDefault="006021EE">
            <w:pPr>
              <w:pStyle w:val="P68B1DB1-Normal26"/>
              <w:spacing w:after="0" w:line="240" w:lineRule="auto"/>
              <w:jc w:val="center"/>
              <w:rPr>
                <w:rFonts w:eastAsia="Times New Roman" w:cs="Times New Roman"/>
                <w:noProof/>
              </w:rPr>
            </w:pPr>
            <w:r>
              <w:rPr>
                <w:noProof/>
              </w:rPr>
              <w:t>Q2</w:t>
            </w:r>
          </w:p>
        </w:tc>
        <w:tc>
          <w:tcPr>
            <w:tcW w:w="993" w:type="dxa"/>
            <w:tcBorders>
              <w:top w:val="nil"/>
              <w:left w:val="nil"/>
              <w:bottom w:val="single" w:sz="4" w:space="0" w:color="auto"/>
              <w:right w:val="single" w:sz="4" w:space="0" w:color="auto"/>
            </w:tcBorders>
            <w:shd w:val="clear" w:color="auto" w:fill="C6EFCE"/>
            <w:noWrap/>
          </w:tcPr>
          <w:p w14:paraId="3CC9983C" w14:textId="77777777" w:rsidR="00EB245A" w:rsidRDefault="006021EE">
            <w:pPr>
              <w:pStyle w:val="P68B1DB1-Normal26"/>
              <w:spacing w:after="0" w:line="240" w:lineRule="auto"/>
              <w:jc w:val="center"/>
              <w:rPr>
                <w:rFonts w:eastAsia="Times New Roman" w:cs="Times New Roman"/>
                <w:noProof/>
              </w:rPr>
            </w:pPr>
            <w:r>
              <w:rPr>
                <w:noProof/>
              </w:rPr>
              <w:t>2026</w:t>
            </w:r>
          </w:p>
        </w:tc>
        <w:tc>
          <w:tcPr>
            <w:tcW w:w="2981" w:type="dxa"/>
            <w:tcBorders>
              <w:top w:val="nil"/>
              <w:left w:val="nil"/>
              <w:bottom w:val="single" w:sz="4" w:space="0" w:color="auto"/>
              <w:right w:val="single" w:sz="4" w:space="0" w:color="auto"/>
            </w:tcBorders>
            <w:shd w:val="clear" w:color="auto" w:fill="C6EFCE"/>
            <w:noWrap/>
            <w:vAlign w:val="bottom"/>
          </w:tcPr>
          <w:p w14:paraId="1CE1FD95" w14:textId="521E9024" w:rsidR="00EB245A" w:rsidRDefault="006021EE">
            <w:pPr>
              <w:pStyle w:val="P68B1DB1-Normal26"/>
              <w:spacing w:after="0" w:line="240" w:lineRule="auto"/>
              <w:rPr>
                <w:rFonts w:eastAsia="Times New Roman" w:cs="Times New Roman"/>
                <w:noProof/>
              </w:rPr>
            </w:pPr>
            <w:r>
              <w:rPr>
                <w:noProof/>
              </w:rPr>
              <w:t>Neue emissionsfreie Busse, die im Rahmen von Verträgen geliefert werden, die durch diese Investition für den öffentlichen Nahverkehr finanziert werden.</w:t>
            </w:r>
          </w:p>
          <w:p w14:paraId="24C9F10E" w14:textId="77777777" w:rsidR="00EB245A" w:rsidRDefault="00EB245A">
            <w:pPr>
              <w:spacing w:after="0" w:line="240" w:lineRule="auto"/>
              <w:rPr>
                <w:rFonts w:ascii="Times New Roman" w:eastAsia="Times New Roman" w:hAnsi="Times New Roman" w:cs="Times New Roman"/>
                <w:noProof/>
                <w:sz w:val="18"/>
              </w:rPr>
            </w:pPr>
          </w:p>
          <w:p w14:paraId="72317B34" w14:textId="77777777" w:rsidR="00EB245A" w:rsidRDefault="006021EE">
            <w:pPr>
              <w:pStyle w:val="P68B1DB1-Normal26"/>
              <w:spacing w:after="0" w:line="240" w:lineRule="auto"/>
              <w:rPr>
                <w:rFonts w:eastAsia="Times New Roman" w:cs="Times New Roman"/>
                <w:noProof/>
              </w:rPr>
            </w:pPr>
            <w:r>
              <w:rPr>
                <w:noProof/>
              </w:rPr>
              <w:t xml:space="preserve">Die Beschaffung von Bussen erfolgt im Wege offener und wettbewerblicher Ausschreibungen. </w:t>
            </w:r>
          </w:p>
          <w:p w14:paraId="6F5060EA" w14:textId="77777777" w:rsidR="00EB245A" w:rsidRDefault="00EB245A">
            <w:pPr>
              <w:spacing w:after="0" w:line="240" w:lineRule="auto"/>
              <w:rPr>
                <w:rFonts w:ascii="Times New Roman" w:eastAsia="Times New Roman" w:hAnsi="Times New Roman" w:cs="Times New Roman"/>
                <w:noProof/>
                <w:sz w:val="18"/>
              </w:rPr>
            </w:pPr>
          </w:p>
          <w:p w14:paraId="79A2E7EA" w14:textId="77777777" w:rsidR="00EB245A" w:rsidRDefault="006021EE">
            <w:pPr>
              <w:pStyle w:val="P68B1DB1-Normal26"/>
              <w:spacing w:after="0" w:line="240" w:lineRule="auto"/>
              <w:rPr>
                <w:rFonts w:eastAsia="Times New Roman" w:cs="Times New Roman"/>
                <w:noProof/>
              </w:rPr>
            </w:pPr>
            <w:r>
              <w:rPr>
                <w:noProof/>
              </w:rPr>
              <w:t>Es werden nur Elektrobusse gekauft.</w:t>
            </w:r>
          </w:p>
        </w:tc>
      </w:tr>
    </w:tbl>
    <w:p w14:paraId="71B5501B" w14:textId="3ACC3A2A" w:rsidR="00EB245A" w:rsidRDefault="00EB245A">
      <w:pPr>
        <w:rPr>
          <w:rFonts w:ascii="Times New Roman" w:hAnsi="Times New Roman" w:cs="Times New Roman"/>
          <w:noProof/>
          <w:sz w:val="24"/>
        </w:rPr>
      </w:pPr>
    </w:p>
    <w:p w14:paraId="5CA4C5D3" w14:textId="77777777" w:rsidR="00EB245A" w:rsidRDefault="00EB245A">
      <w:pPr>
        <w:rPr>
          <w:rFonts w:ascii="Times New Roman" w:eastAsia="Times New Roman" w:hAnsi="Times New Roman" w:cs="Times New Roman"/>
          <w:noProof/>
          <w:color w:val="000000" w:themeColor="text1"/>
        </w:rPr>
        <w:sectPr w:rsidR="00EB245A" w:rsidSect="005E6922">
          <w:headerReference w:type="even" r:id="rId169"/>
          <w:headerReference w:type="default" r:id="rId170"/>
          <w:footerReference w:type="even" r:id="rId171"/>
          <w:footerReference w:type="default" r:id="rId172"/>
          <w:headerReference w:type="first" r:id="rId173"/>
          <w:footerReference w:type="first" r:id="rId174"/>
          <w:pgSz w:w="16839" w:h="11907" w:orient="landscape"/>
          <w:pgMar w:top="1134" w:right="1134" w:bottom="1134" w:left="1134" w:header="567" w:footer="567" w:gutter="0"/>
          <w:cols w:space="720"/>
          <w:docGrid w:linePitch="299"/>
        </w:sectPr>
      </w:pPr>
    </w:p>
    <w:p w14:paraId="1A51F0D2" w14:textId="4FFC2B1C" w:rsidR="00EB245A" w:rsidRDefault="006021EE">
      <w:pPr>
        <w:pStyle w:val="Text1"/>
        <w:ind w:left="0"/>
        <w:rPr>
          <w:smallCaps/>
          <w:noProof/>
        </w:rPr>
      </w:pPr>
      <w:r>
        <w:rPr>
          <w:b/>
          <w:noProof/>
        </w:rPr>
        <w:t xml:space="preserve">G3. </w:t>
      </w:r>
      <w:r>
        <w:rPr>
          <w:noProof/>
        </w:rPr>
        <w:t xml:space="preserve"> </w:t>
      </w:r>
      <w:r>
        <w:rPr>
          <w:b/>
          <w:noProof/>
        </w:rPr>
        <w:t xml:space="preserve">Beschreibung der Reformen und Investitionen (Darlehen) </w:t>
      </w:r>
    </w:p>
    <w:p w14:paraId="54907098" w14:textId="77777777" w:rsidR="00EB245A" w:rsidRDefault="00EB245A">
      <w:pPr>
        <w:spacing w:before="120" w:after="120" w:line="240" w:lineRule="auto"/>
        <w:rPr>
          <w:noProof/>
        </w:rPr>
      </w:pPr>
    </w:p>
    <w:p w14:paraId="443C5BEC" w14:textId="51F1DB19" w:rsidR="00EB245A" w:rsidRDefault="006021EE">
      <w:pPr>
        <w:pStyle w:val="P68B1DB1-Text14"/>
        <w:ind w:left="0"/>
        <w:rPr>
          <w:noProof/>
        </w:rPr>
      </w:pPr>
      <w:r>
        <w:rPr>
          <w:noProof/>
        </w:rPr>
        <w:t>Teilkomponente G3.1 – Verbesserung des Einsatzes erneuerbarer Energien, grüner Kompetenzen und Energieeffizienz</w:t>
      </w:r>
    </w:p>
    <w:p w14:paraId="5A9F4B5E" w14:textId="0B49DCF0" w:rsidR="00EB245A" w:rsidRDefault="006021EE">
      <w:pPr>
        <w:pStyle w:val="P68B1DB1-Normal24"/>
        <w:spacing w:before="120" w:after="120" w:line="240" w:lineRule="auto"/>
        <w:jc w:val="both"/>
        <w:rPr>
          <w:rFonts w:cs="Times New Roman"/>
          <w:noProof/>
        </w:rPr>
      </w:pPr>
      <w:r>
        <w:rPr>
          <w:noProof/>
        </w:rPr>
        <w:t xml:space="preserve">Die Teilkomponente zielt darauf ab, die Genehmigungsverfahren zu straffen, um den Einsatz erneuerbarer Energien zu beschleunigen, das Tempo der </w:t>
      </w:r>
      <w:r>
        <w:rPr>
          <w:noProof/>
        </w:rPr>
        <w:t>Energieeffizienzsanierungen zu beschleunigen und die Umschulung der Arbeitskräfte im Hinblick auf grüne Kompetenzen zu fördern. Es wird auch erwartet, dass sie Anreize für private Investitionen schafft und den Zugang zu Finanzmitteln im Energiesektor, eins</w:t>
      </w:r>
      <w:r>
        <w:rPr>
          <w:noProof/>
        </w:rPr>
        <w:t xml:space="preserve">chließlich Offshore-Windenergie, verbessert. </w:t>
      </w:r>
    </w:p>
    <w:p w14:paraId="1DCF4AE3" w14:textId="77777777" w:rsidR="00EB245A" w:rsidRDefault="00EB245A">
      <w:pPr>
        <w:spacing w:before="120" w:after="120" w:line="240" w:lineRule="auto"/>
        <w:jc w:val="both"/>
        <w:rPr>
          <w:rFonts w:ascii="Times New Roman" w:hAnsi="Times New Roman" w:cs="Times New Roman"/>
          <w:noProof/>
          <w:sz w:val="24"/>
        </w:rPr>
      </w:pPr>
    </w:p>
    <w:p w14:paraId="3478AB06" w14:textId="7B41500E" w:rsidR="00EB245A" w:rsidRDefault="006021EE">
      <w:pPr>
        <w:pStyle w:val="P68B1DB1-Normal36"/>
        <w:spacing w:before="120" w:after="120" w:line="240" w:lineRule="auto"/>
        <w:jc w:val="both"/>
        <w:rPr>
          <w:rFonts w:cs="Times New Roman"/>
          <w:noProof/>
        </w:rPr>
      </w:pPr>
      <w:r>
        <w:rPr>
          <w:noProof/>
        </w:rPr>
        <w:t>G3.1.1 Straffung der Genehmigungen für erneuerbare Energiequellen</w:t>
      </w:r>
    </w:p>
    <w:p w14:paraId="58B1A72B" w14:textId="7648D062" w:rsidR="00EB245A" w:rsidRDefault="006021EE">
      <w:pPr>
        <w:pStyle w:val="Text1"/>
        <w:ind w:left="0"/>
        <w:rPr>
          <w:noProof/>
        </w:rPr>
      </w:pPr>
      <w:r>
        <w:rPr>
          <w:noProof/>
        </w:rPr>
        <w:t>Ziel dieser Reform ist es, den Einsatz erneuerbarer Energiequellen zu beschleunigen, indem die Genehmigungsverfahren gestrafft und eine install</w:t>
      </w:r>
      <w:r>
        <w:rPr>
          <w:noProof/>
        </w:rPr>
        <w:t xml:space="preserve">ierte Gesamtkapazität von 30 GW an Photovoltaik- und Onshore-Windenergieanlagen in Polen ermöglicht werden. </w:t>
      </w:r>
    </w:p>
    <w:p w14:paraId="3299C395" w14:textId="24D330B7" w:rsidR="00EB245A" w:rsidRDefault="006021EE">
      <w:pPr>
        <w:pStyle w:val="P68B1DB1-Normal24"/>
        <w:spacing w:before="120" w:after="120" w:line="240" w:lineRule="auto"/>
        <w:jc w:val="both"/>
        <w:rPr>
          <w:rFonts w:cs="Times New Roman"/>
          <w:noProof/>
        </w:rPr>
      </w:pPr>
      <w:r>
        <w:rPr>
          <w:noProof/>
        </w:rPr>
        <w:t>Der erste Teil umfasst die Kartierung des Potenzials erneuerbarer Energien für Photovoltaik- und Onshore-Windkraftanlagen. Die daraus resultierende</w:t>
      </w:r>
      <w:r>
        <w:rPr>
          <w:noProof/>
        </w:rPr>
        <w:t xml:space="preserve"> Ressourcenkarte wird öffentlich zugänglich gemacht, um die Planungs- und Genehmigungsverfahren für solche Anlagen zu erleichtern.</w:t>
      </w:r>
    </w:p>
    <w:p w14:paraId="4FF10BC9" w14:textId="729A26D6" w:rsidR="00EB245A" w:rsidRDefault="006021EE">
      <w:pPr>
        <w:pStyle w:val="P68B1DB1-Normal24"/>
        <w:spacing w:before="120" w:after="120" w:line="240" w:lineRule="auto"/>
        <w:jc w:val="both"/>
        <w:rPr>
          <w:rFonts w:cs="Times New Roman"/>
          <w:noProof/>
        </w:rPr>
      </w:pPr>
      <w:r>
        <w:rPr>
          <w:noProof/>
        </w:rPr>
        <w:t>Der zweite Teil umfasst die Ausweisung von Beschleunigungsgebieten für erneuerbare Energien für Photovoltaik- und Onshore-Win</w:t>
      </w:r>
      <w:r>
        <w:rPr>
          <w:noProof/>
        </w:rPr>
        <w:t xml:space="preserve">dkraftanlagen. </w:t>
      </w:r>
    </w:p>
    <w:p w14:paraId="4BF8C1E4" w14:textId="7BF16CF0" w:rsidR="00EB245A" w:rsidRDefault="006021EE">
      <w:pPr>
        <w:pStyle w:val="Text1"/>
        <w:ind w:left="0"/>
        <w:rPr>
          <w:noProof/>
        </w:rPr>
      </w:pPr>
      <w:r>
        <w:rPr>
          <w:noProof/>
        </w:rPr>
        <w:t>Der dritte Teil der Reform besteht in der Einrichtung einer einheitlichen Plattform für den digitalen Rahmen für Genehmigungen für erneuerbare Energien.</w:t>
      </w:r>
    </w:p>
    <w:p w14:paraId="6D5E03FF" w14:textId="5EE55692" w:rsidR="00EB245A" w:rsidRDefault="006021EE">
      <w:pPr>
        <w:pStyle w:val="Text1"/>
        <w:ind w:left="0"/>
        <w:rPr>
          <w:noProof/>
        </w:rPr>
      </w:pPr>
      <w:r>
        <w:rPr>
          <w:noProof/>
        </w:rPr>
        <w:t xml:space="preserve">Die Durchführung der Reform muss bis zum 30. Juni 2026 abgeschlossen sein. </w:t>
      </w:r>
    </w:p>
    <w:p w14:paraId="4ACC2FA5" w14:textId="25031869" w:rsidR="00EB245A" w:rsidRDefault="006021EE">
      <w:pPr>
        <w:pStyle w:val="Text1"/>
        <w:ind w:left="0"/>
        <w:rPr>
          <w:noProof/>
        </w:rPr>
      </w:pPr>
      <w:r>
        <w:rPr>
          <w:noProof/>
        </w:rPr>
        <w:t xml:space="preserve">Das Ziel </w:t>
      </w:r>
      <w:r>
        <w:rPr>
          <w:noProof/>
        </w:rPr>
        <w:t>von 30 GW an Photovoltaik- und Onshore-Windenergieanlagen in Polen soll bis zum 30. Juni 2026 erreicht werden.</w:t>
      </w:r>
    </w:p>
    <w:p w14:paraId="164C96E6" w14:textId="77777777" w:rsidR="00EB245A" w:rsidRDefault="00EB245A">
      <w:pPr>
        <w:spacing w:before="120" w:after="120" w:line="240" w:lineRule="auto"/>
        <w:jc w:val="both"/>
        <w:rPr>
          <w:rFonts w:ascii="Times New Roman" w:hAnsi="Times New Roman" w:cs="Times New Roman"/>
          <w:noProof/>
          <w:sz w:val="24"/>
        </w:rPr>
      </w:pPr>
    </w:p>
    <w:p w14:paraId="1345B3C0" w14:textId="4A394A61" w:rsidR="00EB245A" w:rsidRDefault="006021EE">
      <w:pPr>
        <w:pStyle w:val="P68B1DB1-Normal36"/>
        <w:keepNext/>
        <w:spacing w:before="120" w:after="120" w:line="240" w:lineRule="auto"/>
        <w:jc w:val="both"/>
        <w:rPr>
          <w:rFonts w:cs="Times New Roman"/>
          <w:noProof/>
        </w:rPr>
      </w:pPr>
      <w:r>
        <w:rPr>
          <w:noProof/>
        </w:rPr>
        <w:t>G3.1.2. Kompetenzen für den ökologischen Wandel</w:t>
      </w:r>
    </w:p>
    <w:p w14:paraId="740D7715" w14:textId="0CAB9C6B" w:rsidR="00EB245A" w:rsidRDefault="006021EE">
      <w:pPr>
        <w:pStyle w:val="P68B1DB1-Normal24"/>
        <w:spacing w:before="120" w:after="120" w:line="240" w:lineRule="auto"/>
        <w:jc w:val="both"/>
        <w:rPr>
          <w:rFonts w:eastAsia="Times New Roman" w:cs="Times New Roman"/>
          <w:noProof/>
        </w:rPr>
      </w:pPr>
      <w:r>
        <w:rPr>
          <w:noProof/>
        </w:rPr>
        <w:t>Ziel der Reform ist es, die sektoralen Qualifikationsrahmen in den kritischsten Sektoren des öko</w:t>
      </w:r>
      <w:r>
        <w:rPr>
          <w:noProof/>
        </w:rPr>
        <w:t xml:space="preserve">logischen Wandels zu ändern, um der wachsenden Nachfrage nach grünen Arbeitsplätzen auf dem Arbeitsmarkt gerecht zu werden, um die Ziele des europäischen Grünen Deals und die Klimaneutralität bis 2050 zu erreichen. </w:t>
      </w:r>
    </w:p>
    <w:p w14:paraId="43C63560" w14:textId="11A363E9" w:rsidR="00EB245A" w:rsidRDefault="006021EE">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Die Reform besteht darin, die bestehenden branchenspezifischen Qualifikationsrahmen für Bauwesen, Wasserwirtschaft und Abfallwirtschaft zu ändern, indem Qualifikationen aufgenommen werden, die gewährleisten, dass die erforderlichen Kompetenzen in diesen Se</w:t>
      </w:r>
      <w:r>
        <w:rPr>
          <w:rFonts w:ascii="Times New Roman" w:hAnsi="Times New Roman"/>
          <w:noProof/>
          <w:sz w:val="24"/>
        </w:rPr>
        <w:t>ktoren erworben werden.</w:t>
      </w:r>
      <w:r>
        <w:rPr>
          <w:noProof/>
        </w:rPr>
        <w:t xml:space="preserve"> </w:t>
      </w:r>
      <w:r>
        <w:rPr>
          <w:rFonts w:ascii="Times New Roman" w:hAnsi="Times New Roman"/>
          <w:noProof/>
          <w:sz w:val="24"/>
        </w:rPr>
        <w:t>Darüber hinaus wird ein sektoraler Qualifikationsrahmen für Energie geändert, um den Qualifikationen für erneuerbare Energiequellen Rechnung zu tragen. Diese Qualifikationsrahmen werden in Zusammenarbeit mit den einschlägigen Intere</w:t>
      </w:r>
      <w:r>
        <w:rPr>
          <w:rFonts w:ascii="Times New Roman" w:hAnsi="Times New Roman"/>
          <w:noProof/>
          <w:sz w:val="24"/>
        </w:rPr>
        <w:t>ssenträgern, einschließlich der Fachkompetenzräte, erstellt.</w:t>
      </w:r>
    </w:p>
    <w:p w14:paraId="2BD095C1" w14:textId="30D46F5D" w:rsidR="00EB245A" w:rsidRDefault="006021EE">
      <w:pPr>
        <w:pStyle w:val="P68B1DB1-Normal24"/>
        <w:spacing w:before="120" w:after="120" w:line="240" w:lineRule="auto"/>
        <w:jc w:val="both"/>
        <w:rPr>
          <w:rFonts w:eastAsia="Times New Roman" w:cs="Times New Roman"/>
          <w:noProof/>
        </w:rPr>
      </w:pPr>
      <w:r>
        <w:rPr>
          <w:noProof/>
        </w:rPr>
        <w:t xml:space="preserve">Die oben genannten sektoralen Qualifikationsrahmen werden durch Verordnungen in das integrierte Qualifikationssystem integriert. </w:t>
      </w:r>
    </w:p>
    <w:p w14:paraId="398AB108" w14:textId="252AF629" w:rsidR="00EB245A" w:rsidRDefault="006021EE">
      <w:pPr>
        <w:pStyle w:val="P68B1DB1-Normal24"/>
        <w:spacing w:before="120" w:line="257" w:lineRule="auto"/>
        <w:jc w:val="both"/>
        <w:rPr>
          <w:noProof/>
        </w:rPr>
      </w:pPr>
      <w:r>
        <w:rPr>
          <w:noProof/>
        </w:rPr>
        <w:t>Die Durchführung der Reform muss bis zum 31. Dezember 2025 abgesc</w:t>
      </w:r>
      <w:r>
        <w:rPr>
          <w:noProof/>
        </w:rPr>
        <w:t>hlossen sein.</w:t>
      </w:r>
    </w:p>
    <w:p w14:paraId="18B66031" w14:textId="77777777" w:rsidR="00EB245A" w:rsidRDefault="00EB245A">
      <w:pPr>
        <w:spacing w:before="120" w:after="120" w:line="240" w:lineRule="auto"/>
        <w:jc w:val="both"/>
        <w:rPr>
          <w:rFonts w:ascii="Times New Roman" w:hAnsi="Times New Roman" w:cs="Times New Roman"/>
          <w:noProof/>
          <w:sz w:val="24"/>
        </w:rPr>
      </w:pPr>
    </w:p>
    <w:p w14:paraId="2794FAF0" w14:textId="18857FA8" w:rsidR="00EB245A" w:rsidRDefault="006021EE">
      <w:pPr>
        <w:pStyle w:val="P68B1DB1-Normal36"/>
        <w:keepNext/>
        <w:spacing w:before="120" w:after="120" w:line="240" w:lineRule="auto"/>
        <w:jc w:val="both"/>
        <w:rPr>
          <w:rFonts w:cs="Times New Roman"/>
          <w:noProof/>
        </w:rPr>
      </w:pPr>
      <w:r>
        <w:rPr>
          <w:noProof/>
        </w:rPr>
        <w:t>G3.1.3. Steigerung der Energieeffizienz und Beschleunigung des Ausstiegs aus fossilen Brennstoffen in der Wärmeerzeugung</w:t>
      </w:r>
    </w:p>
    <w:p w14:paraId="196B9970" w14:textId="77777777" w:rsidR="00EB245A" w:rsidRDefault="006021EE">
      <w:pPr>
        <w:pStyle w:val="P68B1DB1-Text13"/>
        <w:ind w:left="0"/>
        <w:rPr>
          <w:rFonts w:eastAsia="Times New Roman"/>
          <w:noProof/>
        </w:rPr>
      </w:pPr>
      <w:r>
        <w:rPr>
          <w:noProof/>
        </w:rPr>
        <w:t>Ziel der Reform ist es, die Abhängigkeit von und den Verbrauch fossiler Brennstoffe zu verringern, indem Renovierungen i</w:t>
      </w:r>
      <w:r>
        <w:rPr>
          <w:noProof/>
        </w:rPr>
        <w:t>n Privathaushalten beschleunigt und fossile Brennstoffe im Heizbereich schrittweise abgeschafft werden und gleichzeitig die Energiearmut verringert wird.</w:t>
      </w:r>
    </w:p>
    <w:p w14:paraId="4FEA25C5" w14:textId="77777777" w:rsidR="00EB245A" w:rsidRDefault="006021EE">
      <w:pPr>
        <w:pStyle w:val="P68B1DB1-Text13"/>
        <w:ind w:left="0"/>
        <w:rPr>
          <w:rFonts w:eastAsia="Times New Roman"/>
          <w:noProof/>
        </w:rPr>
      </w:pPr>
      <w:r>
        <w:rPr>
          <w:noProof/>
        </w:rPr>
        <w:t>Die Reform besteht in der Aktualisierung eines bestehenden vorrangigen Programms oder der Annahme eine</w:t>
      </w:r>
      <w:r>
        <w:rPr>
          <w:noProof/>
        </w:rPr>
        <w:t>s neuen vorrangigen Programms zur Unterstützung integrierter Hausrenovierungsdienste. Die Reform baut auf den Erfahrungen mit der Pilotumsetzung von „Hausrenovierungsbetreibern“ auf und bietet Unterstützung für Heimrenovierungsunternehmen in ganz Polen.</w:t>
      </w:r>
    </w:p>
    <w:p w14:paraId="64B7C65D" w14:textId="77777777" w:rsidR="00EB245A" w:rsidRDefault="006021EE">
      <w:pPr>
        <w:pStyle w:val="P68B1DB1-Text13"/>
        <w:ind w:left="0"/>
        <w:rPr>
          <w:rFonts w:eastAsia="Times New Roman"/>
          <w:noProof/>
        </w:rPr>
      </w:pPr>
      <w:r>
        <w:rPr>
          <w:noProof/>
        </w:rPr>
        <w:t>Di</w:t>
      </w:r>
      <w:r>
        <w:rPr>
          <w:noProof/>
        </w:rPr>
        <w:t>e Durchführung der Reform muss bis zum 31. Dezember 2024 abgeschlossen sein.</w:t>
      </w:r>
    </w:p>
    <w:p w14:paraId="7C2E1745" w14:textId="77777777" w:rsidR="00EB245A" w:rsidRDefault="00EB245A">
      <w:pPr>
        <w:rPr>
          <w:rFonts w:ascii="Times New Roman" w:eastAsia="Times New Roman" w:hAnsi="Times New Roman" w:cs="Times New Roman"/>
          <w:noProof/>
          <w:color w:val="000000" w:themeColor="text1"/>
        </w:rPr>
      </w:pPr>
    </w:p>
    <w:p w14:paraId="7C34D8FA" w14:textId="4AD5DE54" w:rsidR="00EB245A" w:rsidRDefault="006021EE">
      <w:pPr>
        <w:pStyle w:val="P68B1DB1-Normal36"/>
        <w:spacing w:before="120" w:after="120" w:line="240" w:lineRule="auto"/>
        <w:jc w:val="both"/>
        <w:rPr>
          <w:rFonts w:cs="Times New Roman"/>
          <w:noProof/>
        </w:rPr>
      </w:pPr>
      <w:r>
        <w:rPr>
          <w:noProof/>
        </w:rPr>
        <w:t>G3.1.4. Unterstützung des nationalen Energiesystems (Energiehilfefonds)</w:t>
      </w:r>
    </w:p>
    <w:p w14:paraId="2CAED795" w14:textId="3DFBFE39" w:rsidR="00EB245A" w:rsidRDefault="006021EE">
      <w:pPr>
        <w:pStyle w:val="paragraph"/>
        <w:spacing w:before="0" w:beforeAutospacing="0" w:after="0" w:afterAutospacing="0"/>
        <w:jc w:val="both"/>
        <w:rPr>
          <w:rStyle w:val="eop"/>
          <w:noProof/>
        </w:rPr>
      </w:pPr>
      <w:r>
        <w:rPr>
          <w:rStyle w:val="normaltextrun"/>
          <w:noProof/>
        </w:rPr>
        <w:t>Diese Maßnahme besteht aus einer öffentlichen Investition in eine Fazilität, den Energiehilfefonds, um Anr</w:t>
      </w:r>
      <w:r>
        <w:rPr>
          <w:rStyle w:val="normaltextrun"/>
          <w:noProof/>
        </w:rPr>
        <w:t>eize für private Investitionen zu schaffen und den Zugang zu Finanzmitteln in den Sektoren der polnischen Wirtschaft zu verbessern, die unmittelbar die Kosten der Energiewende tragen. Im Rahmen der Fazilität werden Darlehen an den privaten Sektor und priva</w:t>
      </w:r>
      <w:r>
        <w:rPr>
          <w:rStyle w:val="normaltextrun"/>
          <w:noProof/>
        </w:rPr>
        <w:t>te Haushalte sowie an Einrichtungen des öffentlichen Sektors, die ähnliche Tätigkeiten ausüben, vergeben. Alle aus der Fazilität unterstützten Investitionen müssen mit den einschlägigen REPowerEU-Zielen gemäß Artikel 21c Absatz 3 der ARF-Verordnung, mit Au</w:t>
      </w:r>
      <w:r>
        <w:rPr>
          <w:rStyle w:val="normaltextrun"/>
          <w:noProof/>
        </w:rPr>
        <w:t>snahme von Artikel 21c Absatz 3 Buchstabe a, im Einklang stehen. Auf der Grundlage der Investitionen aus der Aufbau- und Resilienzfazilität zielt die Fazilität zunächst darauf ab, Finanzmittel in Höhe von mindestens 16 270 261 630 EUR bereitzustellen. </w:t>
      </w:r>
    </w:p>
    <w:p w14:paraId="24D4851E" w14:textId="6CE49E18" w:rsidR="00EB245A" w:rsidRDefault="00EB245A">
      <w:pPr>
        <w:pStyle w:val="paragraph"/>
        <w:spacing w:before="0" w:beforeAutospacing="0" w:after="0" w:afterAutospacing="0"/>
        <w:jc w:val="both"/>
        <w:rPr>
          <w:rStyle w:val="normaltextrun"/>
          <w:noProof/>
        </w:rPr>
      </w:pPr>
    </w:p>
    <w:p w14:paraId="4A91484B" w14:textId="77777777" w:rsidR="00EB245A" w:rsidRDefault="006021EE">
      <w:pPr>
        <w:pStyle w:val="paragraph"/>
        <w:spacing w:before="0" w:beforeAutospacing="0" w:after="0" w:afterAutospacing="0"/>
        <w:jc w:val="both"/>
        <w:textAlignment w:val="baseline"/>
        <w:rPr>
          <w:rStyle w:val="normaltextrun"/>
          <w:rFonts w:eastAsiaTheme="majorEastAsia"/>
          <w:noProof/>
        </w:rPr>
      </w:pPr>
      <w:r>
        <w:rPr>
          <w:rStyle w:val="normaltextrun"/>
          <w:noProof/>
        </w:rPr>
        <w:t>Di</w:t>
      </w:r>
      <w:r>
        <w:rPr>
          <w:rStyle w:val="normaltextrun"/>
          <w:noProof/>
        </w:rPr>
        <w:t xml:space="preserve">e Fazilität wird von der Bank Gospodarstwa Krajowego (BGK) als Durchführungspartner verwaltet. </w:t>
      </w:r>
    </w:p>
    <w:p w14:paraId="428F44EE" w14:textId="77777777" w:rsidR="00EB245A" w:rsidRDefault="00EB245A">
      <w:pPr>
        <w:pStyle w:val="paragraph"/>
        <w:spacing w:before="0" w:beforeAutospacing="0" w:after="0" w:afterAutospacing="0"/>
        <w:jc w:val="both"/>
        <w:rPr>
          <w:rStyle w:val="normaltextrun"/>
          <w:rFonts w:eastAsiaTheme="majorEastAsia"/>
          <w:noProof/>
        </w:rPr>
      </w:pPr>
    </w:p>
    <w:p w14:paraId="0D543694" w14:textId="77777777" w:rsidR="00EB245A" w:rsidRDefault="006021EE">
      <w:pPr>
        <w:pStyle w:val="paragraph"/>
        <w:spacing w:before="0" w:beforeAutospacing="0" w:after="0" w:afterAutospacing="0"/>
        <w:jc w:val="both"/>
        <w:textAlignment w:val="baseline"/>
        <w:rPr>
          <w:rFonts w:ascii="Segoe UI" w:hAnsi="Segoe UI" w:cs="Segoe UI"/>
          <w:noProof/>
          <w:sz w:val="18"/>
        </w:rPr>
      </w:pPr>
      <w:r>
        <w:rPr>
          <w:rStyle w:val="normaltextrun"/>
          <w:noProof/>
        </w:rPr>
        <w:t xml:space="preserve">Die Fazilität umfasst die folgenden Produktlinien: </w:t>
      </w:r>
    </w:p>
    <w:p w14:paraId="1C6A4898" w14:textId="77777777" w:rsidR="00EB245A" w:rsidRDefault="006021EE">
      <w:pPr>
        <w:pStyle w:val="paragraph"/>
        <w:numPr>
          <w:ilvl w:val="0"/>
          <w:numId w:val="50"/>
        </w:numPr>
        <w:spacing w:before="0" w:beforeAutospacing="0" w:after="0" w:afterAutospacing="0"/>
        <w:jc w:val="both"/>
        <w:textAlignment w:val="baseline"/>
        <w:rPr>
          <w:rStyle w:val="eop"/>
          <w:noProof/>
        </w:rPr>
      </w:pPr>
      <w:r>
        <w:rPr>
          <w:rStyle w:val="normaltextrun"/>
          <w:noProof/>
        </w:rPr>
        <w:t xml:space="preserve">BGK Direktfinanzierung: im Rahmen dieser Haushaltslinie werden direkte Darlehen an die Endbegünstigten zur </w:t>
      </w:r>
      <w:r>
        <w:rPr>
          <w:rStyle w:val="normaltextrun"/>
          <w:noProof/>
        </w:rPr>
        <w:t xml:space="preserve">Finanzierung grüner Projekte bereitgestellt. Die Darlehen werden direkt von BGK gewährt, und jedes Projekt wird von einem oder mehreren privaten Drittinvestoren oder öffentlichen Stellen, die ähnliche Tätigkeiten ausüben, kofinanziert.  </w:t>
      </w:r>
    </w:p>
    <w:p w14:paraId="346FA6D1" w14:textId="77777777" w:rsidR="00EB245A" w:rsidRDefault="00EB245A">
      <w:pPr>
        <w:pStyle w:val="paragraph"/>
        <w:spacing w:before="0" w:beforeAutospacing="0" w:after="0" w:afterAutospacing="0"/>
        <w:jc w:val="both"/>
        <w:textAlignment w:val="baseline"/>
        <w:rPr>
          <w:rStyle w:val="normaltextrun"/>
          <w:rFonts w:eastAsiaTheme="majorEastAsia"/>
          <w:noProof/>
        </w:rPr>
      </w:pPr>
    </w:p>
    <w:p w14:paraId="3A5F7139" w14:textId="77777777" w:rsidR="00EB245A" w:rsidRDefault="006021EE">
      <w:pPr>
        <w:pStyle w:val="paragraph"/>
        <w:spacing w:before="0" w:beforeAutospacing="0" w:after="0" w:afterAutospacing="0"/>
        <w:jc w:val="both"/>
        <w:textAlignment w:val="baseline"/>
        <w:rPr>
          <w:rStyle w:val="eop"/>
          <w:noProof/>
        </w:rPr>
      </w:pPr>
      <w:r>
        <w:rPr>
          <w:rStyle w:val="normaltextrun"/>
          <w:noProof/>
        </w:rPr>
        <w:t xml:space="preserve">Zur Durchführung der Investition in die Fazilität unterzeichnen Polen und BGK ein Durchführungsabkommen mit folgendem Inhalt: </w:t>
      </w:r>
    </w:p>
    <w:p w14:paraId="7A87749D" w14:textId="77777777" w:rsidR="00EB245A" w:rsidRDefault="00EB245A">
      <w:pPr>
        <w:pStyle w:val="paragraph"/>
        <w:spacing w:before="0" w:beforeAutospacing="0" w:after="0" w:afterAutospacing="0"/>
        <w:jc w:val="both"/>
        <w:textAlignment w:val="baseline"/>
        <w:rPr>
          <w:rFonts w:ascii="Segoe UI" w:hAnsi="Segoe UI" w:cs="Segoe UI"/>
          <w:noProof/>
          <w:sz w:val="18"/>
        </w:rPr>
      </w:pPr>
    </w:p>
    <w:p w14:paraId="3991B43B" w14:textId="6A6FA60B" w:rsidR="00EB245A" w:rsidRDefault="006021EE">
      <w:pPr>
        <w:pStyle w:val="paragraph"/>
        <w:numPr>
          <w:ilvl w:val="0"/>
          <w:numId w:val="101"/>
        </w:numPr>
        <w:spacing w:before="0" w:beforeAutospacing="0" w:after="0" w:afterAutospacing="0"/>
        <w:jc w:val="both"/>
        <w:rPr>
          <w:rStyle w:val="eop"/>
          <w:noProof/>
        </w:rPr>
      </w:pPr>
      <w:r>
        <w:rPr>
          <w:rStyle w:val="normaltextrun"/>
          <w:noProof/>
        </w:rPr>
        <w:t>Beschreibung des Entscheidungsprozesses der Fazilität: Die endgültige Investitionsentscheidung der Fazilität wird von einem Inve</w:t>
      </w:r>
      <w:r>
        <w:rPr>
          <w:rStyle w:val="normaltextrun"/>
          <w:noProof/>
        </w:rPr>
        <w:t xml:space="preserve">stitionsausschuss oder einem anderen einschlägigen gleichwertigen Leitungsgremium getroffen und mit der Mehrheit der Stimmen von Mitgliedern, die von der Regierung unabhängig sind, gebilligt. </w:t>
      </w:r>
    </w:p>
    <w:p w14:paraId="25BC0564" w14:textId="77777777" w:rsidR="00EB245A" w:rsidRDefault="00EB245A">
      <w:pPr>
        <w:pStyle w:val="paragraph"/>
        <w:spacing w:before="0" w:beforeAutospacing="0" w:after="0" w:afterAutospacing="0"/>
        <w:jc w:val="both"/>
        <w:textAlignment w:val="baseline"/>
        <w:rPr>
          <w:noProof/>
        </w:rPr>
      </w:pPr>
    </w:p>
    <w:p w14:paraId="39278B85" w14:textId="77777777" w:rsidR="00EB245A" w:rsidRDefault="006021EE">
      <w:pPr>
        <w:pStyle w:val="paragraph"/>
        <w:numPr>
          <w:ilvl w:val="0"/>
          <w:numId w:val="101"/>
        </w:numPr>
        <w:spacing w:before="0" w:beforeAutospacing="0" w:after="0" w:afterAutospacing="0"/>
        <w:jc w:val="both"/>
        <w:rPr>
          <w:noProof/>
        </w:rPr>
      </w:pPr>
      <w:r>
        <w:rPr>
          <w:rStyle w:val="normaltextrun"/>
          <w:noProof/>
        </w:rPr>
        <w:t>Kernanforderungen der damit verbundenen Anlagepolitik,</w:t>
      </w:r>
      <w:r>
        <w:rPr>
          <w:rStyle w:val="normaltextrun"/>
          <w:b/>
          <w:noProof/>
        </w:rPr>
        <w:t xml:space="preserve"> </w:t>
      </w:r>
      <w:r>
        <w:rPr>
          <w:rStyle w:val="normaltextrun"/>
          <w:noProof/>
        </w:rPr>
        <w:t>die Fol</w:t>
      </w:r>
      <w:r>
        <w:rPr>
          <w:rStyle w:val="normaltextrun"/>
          <w:noProof/>
        </w:rPr>
        <w:t xml:space="preserve">gendes umfassen: </w:t>
      </w:r>
    </w:p>
    <w:p w14:paraId="3D203E04" w14:textId="77777777" w:rsidR="00EB245A" w:rsidRDefault="006021EE">
      <w:pPr>
        <w:pStyle w:val="paragraph"/>
        <w:numPr>
          <w:ilvl w:val="0"/>
          <w:numId w:val="48"/>
        </w:numPr>
        <w:spacing w:before="0" w:beforeAutospacing="0" w:after="0" w:afterAutospacing="0"/>
        <w:ind w:left="1080"/>
        <w:jc w:val="both"/>
        <w:textAlignment w:val="baseline"/>
        <w:rPr>
          <w:rStyle w:val="eop"/>
          <w:noProof/>
        </w:rPr>
      </w:pPr>
      <w:r>
        <w:rPr>
          <w:rStyle w:val="normaltextrun"/>
          <w:noProof/>
        </w:rPr>
        <w:t xml:space="preserve">Die Beschreibung der Finanzprodukte und der förderfähigen Endbegünstigten.  </w:t>
      </w:r>
    </w:p>
    <w:p w14:paraId="18F7EAFC" w14:textId="77777777" w:rsidR="00EB245A" w:rsidRDefault="006021EE">
      <w:pPr>
        <w:pStyle w:val="paragraph"/>
        <w:numPr>
          <w:ilvl w:val="0"/>
          <w:numId w:val="48"/>
        </w:numPr>
        <w:spacing w:before="0" w:beforeAutospacing="0" w:after="0" w:afterAutospacing="0"/>
        <w:ind w:left="1080"/>
        <w:jc w:val="both"/>
        <w:textAlignment w:val="baseline"/>
        <w:rPr>
          <w:rStyle w:val="eop"/>
          <w:noProof/>
        </w:rPr>
      </w:pPr>
      <w:r>
        <w:rPr>
          <w:rStyle w:val="normaltextrun"/>
          <w:noProof/>
        </w:rPr>
        <w:t>Die Anforderung, dass alle geförderten Investitionen wirtschaftlich tragfähig sein müssen</w:t>
      </w:r>
      <w:r>
        <w:rPr>
          <w:rStyle w:val="normaltextrun"/>
          <w:b/>
          <w:noProof/>
        </w:rPr>
        <w:t>.</w:t>
      </w:r>
      <w:r>
        <w:rPr>
          <w:rStyle w:val="eop"/>
          <w:noProof/>
        </w:rPr>
        <w:t xml:space="preserve"> </w:t>
      </w:r>
    </w:p>
    <w:p w14:paraId="7BFAA967" w14:textId="7961C991" w:rsidR="00EB245A" w:rsidRDefault="006021EE">
      <w:pPr>
        <w:pStyle w:val="paragraph"/>
        <w:numPr>
          <w:ilvl w:val="0"/>
          <w:numId w:val="48"/>
        </w:numPr>
        <w:spacing w:before="0" w:beforeAutospacing="0" w:after="0" w:afterAutospacing="0"/>
        <w:ind w:left="1080"/>
        <w:jc w:val="both"/>
        <w:textAlignment w:val="baseline"/>
        <w:rPr>
          <w:rStyle w:val="eop"/>
          <w:noProof/>
        </w:rPr>
      </w:pPr>
      <w:r>
        <w:rPr>
          <w:rStyle w:val="normaltextrun"/>
          <w:noProof/>
        </w:rPr>
        <w:t>Die Anforderung, den Grundsatz der „Vermeidung erheblicher Beeinträch</w:t>
      </w:r>
      <w:r>
        <w:rPr>
          <w:rStyle w:val="normaltextrun"/>
          <w:noProof/>
        </w:rPr>
        <w:t>tigungen“ gemäß den Technischen Leitlinien für die Vermeidung erheblicher Beeinträchtigungen (C(2023) 6454 final) einzuhalten. Insbesondere:</w:t>
      </w:r>
    </w:p>
    <w:p w14:paraId="110DB756" w14:textId="29B22E13" w:rsidR="00EB245A" w:rsidRDefault="006021EE">
      <w:pPr>
        <w:pStyle w:val="paragraph"/>
        <w:numPr>
          <w:ilvl w:val="0"/>
          <w:numId w:val="52"/>
        </w:numPr>
        <w:spacing w:before="0" w:beforeAutospacing="0" w:after="0" w:afterAutospacing="0"/>
        <w:ind w:left="1440"/>
        <w:jc w:val="both"/>
        <w:textAlignment w:val="baseline"/>
        <w:rPr>
          <w:rStyle w:val="eop"/>
          <w:noProof/>
        </w:rPr>
      </w:pPr>
      <w:r>
        <w:rPr>
          <w:rStyle w:val="normaltextrun"/>
          <w:noProof/>
        </w:rPr>
        <w:t>Die Anlagepolitik schließt folgende Liste von Tätigkeiten und Vermögenswerten von der Förderfähigkeit aus: I) Tätig</w:t>
      </w:r>
      <w:r>
        <w:rPr>
          <w:rStyle w:val="normaltextrun"/>
          <w:noProof/>
        </w:rPr>
        <w:t>keiten und Vermögenswerte im Zusammenhang mit fossilen Brennstoffen, einschließlich der nachgelagerten Nutzung,</w:t>
      </w:r>
      <w:r w:rsidRPr="004E1987">
        <w:rPr>
          <w:rStyle w:val="FootnoteReference"/>
          <w:rFonts w:eastAsiaTheme="majorEastAsia"/>
          <w:noProof/>
        </w:rPr>
        <w:footnoteReference w:id="32"/>
      </w:r>
      <w:r>
        <w:rPr>
          <w:rStyle w:val="normaltextrun"/>
          <w:noProof/>
        </w:rPr>
        <w:t>ii) Tätigkeiten und Vermögenswerte im Rahmen des EU-Emissionshandelssystems (EHS), mit denen prognostizierte Treibhausgasemissionen erreicht wer</w:t>
      </w:r>
      <w:r>
        <w:rPr>
          <w:rStyle w:val="normaltextrun"/>
          <w:noProof/>
        </w:rPr>
        <w:t>den, die nicht unter den einschlägigen Benchmarks liegen,</w:t>
      </w:r>
      <w:r w:rsidRPr="004E1987">
        <w:rPr>
          <w:rStyle w:val="FootnoteReference"/>
          <w:rFonts w:eastAsiaTheme="majorEastAsia"/>
          <w:noProof/>
        </w:rPr>
        <w:footnoteReference w:id="33"/>
      </w:r>
      <w:r>
        <w:rPr>
          <w:rStyle w:val="normaltextrun"/>
          <w:noProof/>
        </w:rPr>
        <w:t>iii) Tätigkeiten und Vermögenswerte im Zusammenhang mit Abfalldeponien, Verbrennungsanlagen</w:t>
      </w:r>
      <w:r w:rsidRPr="004E1987">
        <w:rPr>
          <w:rStyle w:val="FootnoteReference"/>
          <w:rFonts w:eastAsiaTheme="majorEastAsia"/>
          <w:noProof/>
        </w:rPr>
        <w:footnoteReference w:id="34"/>
      </w:r>
      <w:r>
        <w:rPr>
          <w:rStyle w:val="normaltextrun"/>
          <w:noProof/>
        </w:rPr>
        <w:t xml:space="preserve"> und Anlagen zur mechanisch-biologischen Behandlung</w:t>
      </w:r>
      <w:r w:rsidRPr="004E1987">
        <w:rPr>
          <w:rStyle w:val="FootnoteReference"/>
          <w:rFonts w:eastAsiaTheme="majorEastAsia"/>
          <w:noProof/>
        </w:rPr>
        <w:footnoteReference w:id="35"/>
      </w:r>
      <w:r>
        <w:rPr>
          <w:rStyle w:val="normaltextrun"/>
          <w:noProof/>
        </w:rPr>
        <w:t xml:space="preserve"> und iv) Tätigkeiten und Vermögenswerte im Zusammenhan</w:t>
      </w:r>
      <w:r>
        <w:rPr>
          <w:rStyle w:val="normaltextrun"/>
          <w:noProof/>
        </w:rPr>
        <w:t xml:space="preserve">g mit dem Bergbau. </w:t>
      </w:r>
    </w:p>
    <w:p w14:paraId="4E25A26F" w14:textId="377EA5CE" w:rsidR="00EB245A" w:rsidRDefault="006021EE">
      <w:pPr>
        <w:pStyle w:val="paragraph"/>
        <w:numPr>
          <w:ilvl w:val="0"/>
          <w:numId w:val="52"/>
        </w:numPr>
        <w:spacing w:before="0" w:beforeAutospacing="0" w:after="0" w:afterAutospacing="0"/>
        <w:ind w:left="1440"/>
        <w:jc w:val="both"/>
        <w:textAlignment w:val="baseline"/>
        <w:rPr>
          <w:rStyle w:val="normaltextrun"/>
          <w:rFonts w:eastAsiaTheme="majorEastAsia"/>
          <w:noProof/>
        </w:rPr>
      </w:pPr>
      <w:r>
        <w:rPr>
          <w:rStyle w:val="normaltextrun"/>
          <w:noProof/>
        </w:rPr>
        <w:t xml:space="preserve">Im Rahmen der Investitionspolitik wird erneuerbarer Wasserstoff nur gemäß den einschlägigen delegierten Rechtsakten gemäß der Richtlinie (EU) 2018/2001 des Europäischen Parlaments und des Rates vom 11. Dezember 2018 unterstützt. </w:t>
      </w:r>
    </w:p>
    <w:p w14:paraId="74B6BCD2" w14:textId="70297489" w:rsidR="00EB245A" w:rsidRDefault="006021EE">
      <w:pPr>
        <w:pStyle w:val="paragraph"/>
        <w:numPr>
          <w:ilvl w:val="0"/>
          <w:numId w:val="52"/>
        </w:numPr>
        <w:spacing w:before="0" w:beforeAutospacing="0" w:after="0" w:afterAutospacing="0"/>
        <w:ind w:left="1440"/>
        <w:jc w:val="both"/>
        <w:rPr>
          <w:rStyle w:val="normaltextrun"/>
          <w:noProof/>
        </w:rPr>
      </w:pPr>
      <w:r>
        <w:rPr>
          <w:rStyle w:val="normaltextrun"/>
          <w:noProof/>
        </w:rPr>
        <w:t>Die In</w:t>
      </w:r>
      <w:r>
        <w:rPr>
          <w:rStyle w:val="normaltextrun"/>
          <w:noProof/>
        </w:rPr>
        <w:t>vestitionspolitik unterstützt die Erzeugung, Übertragung, Verteilung und Speicherung von nachhaltigem Biomethan nur im Einklang mit den Nachhaltigkeitskriterien und den Kriterien für Treibhausgaseinsparungen gemäß den Artikeln 29 bis 31 und den Vorschrifte</w:t>
      </w:r>
      <w:r>
        <w:rPr>
          <w:rStyle w:val="normaltextrun"/>
          <w:noProof/>
        </w:rPr>
        <w:t>n für Biokraftstoffe auf Lebens- und Futtermittelbasis gemäß Artikel 26 der überarbeiteten Erneuerbare-Energien-Richtlinie (EU) 2018/2001 und den damit verbundenen Durchführungsrechtsakten und delegierten Rechtsakten. Bei Investitionen in die Übertragung u</w:t>
      </w:r>
      <w:r>
        <w:rPr>
          <w:rStyle w:val="normaltextrun"/>
          <w:noProof/>
        </w:rPr>
        <w:t>nd Verteilung von nachhaltigem Biomethan wird die Einhaltung des Konzepts des „intelligenten Gasnetzes“ im Sinne des Vorschlags für eine überarbeitete TEN-E-Verordnung (KOM(2020) 824 final) in der Investitionspolitik gewährleistet, und es werden Bestimmung</w:t>
      </w:r>
      <w:r>
        <w:rPr>
          <w:rStyle w:val="normaltextrun"/>
          <w:noProof/>
        </w:rPr>
        <w:t>en eingeführt, mit denen sichergestellt wird, dass Normen zur Erkennung und Vermeidung von Methan- und Biomethan-Leckagen eingeführt werden.</w:t>
      </w:r>
    </w:p>
    <w:p w14:paraId="3AFDB233" w14:textId="6DED4528" w:rsidR="00EB245A" w:rsidRDefault="006021EE">
      <w:pPr>
        <w:pStyle w:val="paragraph"/>
        <w:numPr>
          <w:ilvl w:val="0"/>
          <w:numId w:val="52"/>
        </w:numPr>
        <w:spacing w:before="0" w:beforeAutospacing="0" w:after="0" w:afterAutospacing="0"/>
        <w:ind w:left="1440"/>
        <w:jc w:val="both"/>
        <w:rPr>
          <w:rStyle w:val="normaltextrun"/>
          <w:noProof/>
        </w:rPr>
      </w:pPr>
      <w:r>
        <w:rPr>
          <w:rStyle w:val="normaltextrun"/>
          <w:noProof/>
        </w:rPr>
        <w:t>Die Investitionspolitik unterstützt nur die Energieeffizienzrenovierung von Gebäuden, mit denen Primärenergieeinspa</w:t>
      </w:r>
      <w:r>
        <w:rPr>
          <w:rStyle w:val="normaltextrun"/>
          <w:noProof/>
        </w:rPr>
        <w:t>rungen von mindestens 30 % erzielt werden.</w:t>
      </w:r>
    </w:p>
    <w:p w14:paraId="1CE66B8E" w14:textId="09768F80" w:rsidR="00EB245A" w:rsidRDefault="006021EE">
      <w:pPr>
        <w:pStyle w:val="paragraph"/>
        <w:numPr>
          <w:ilvl w:val="0"/>
          <w:numId w:val="52"/>
        </w:numPr>
        <w:spacing w:before="0" w:beforeAutospacing="0" w:after="0" w:afterAutospacing="0"/>
        <w:ind w:left="1440"/>
        <w:jc w:val="both"/>
        <w:rPr>
          <w:rStyle w:val="eop"/>
          <w:noProof/>
        </w:rPr>
      </w:pPr>
      <w:r>
        <w:rPr>
          <w:noProof/>
        </w:rPr>
        <w:t>Darüber hinaus erfordert die Investitionspolitik die Einhaltung der einschlägigen Umweltvorschriften der EU und der Mitgliedstaaten durch die Endbegünstigten der Fazilität.</w:t>
      </w:r>
    </w:p>
    <w:p w14:paraId="32FFA6A5" w14:textId="77777777" w:rsidR="00EB245A" w:rsidRDefault="006021EE">
      <w:pPr>
        <w:pStyle w:val="paragraph"/>
        <w:numPr>
          <w:ilvl w:val="0"/>
          <w:numId w:val="48"/>
        </w:numPr>
        <w:spacing w:before="0" w:beforeAutospacing="0" w:after="0" w:afterAutospacing="0"/>
        <w:ind w:left="1080"/>
        <w:jc w:val="both"/>
        <w:textAlignment w:val="baseline"/>
        <w:rPr>
          <w:rStyle w:val="eop"/>
          <w:noProof/>
        </w:rPr>
      </w:pPr>
      <w:r>
        <w:rPr>
          <w:rStyle w:val="normaltextrun"/>
          <w:noProof/>
        </w:rPr>
        <w:t>Die Anforderung, dass Endempfänger der F</w:t>
      </w:r>
      <w:r>
        <w:rPr>
          <w:rStyle w:val="normaltextrun"/>
          <w:noProof/>
        </w:rPr>
        <w:t xml:space="preserve">azilität keine Unterstützung aus anderen Unionsinstrumenten erhalten dürfen, um dieselben Kosten zu decken. </w:t>
      </w:r>
    </w:p>
    <w:p w14:paraId="14A8DB7D" w14:textId="77777777" w:rsidR="00EB245A" w:rsidRDefault="00EB245A">
      <w:pPr>
        <w:pStyle w:val="paragraph"/>
        <w:spacing w:before="0" w:beforeAutospacing="0" w:after="0" w:afterAutospacing="0"/>
        <w:ind w:left="1080"/>
        <w:jc w:val="both"/>
        <w:textAlignment w:val="baseline"/>
        <w:rPr>
          <w:noProof/>
        </w:rPr>
      </w:pPr>
    </w:p>
    <w:p w14:paraId="2CF91231" w14:textId="747FF2EE" w:rsidR="00EB245A" w:rsidRDefault="006021EE">
      <w:pPr>
        <w:pStyle w:val="paragraph"/>
        <w:numPr>
          <w:ilvl w:val="0"/>
          <w:numId w:val="101"/>
        </w:numPr>
        <w:spacing w:before="0" w:beforeAutospacing="0" w:after="0" w:afterAutospacing="0"/>
        <w:jc w:val="both"/>
        <w:rPr>
          <w:rStyle w:val="normaltextrun"/>
          <w:rFonts w:eastAsiaTheme="majorEastAsia"/>
          <w:noProof/>
        </w:rPr>
      </w:pPr>
      <w:r>
        <w:rPr>
          <w:rStyle w:val="normaltextrun"/>
          <w:noProof/>
        </w:rPr>
        <w:t xml:space="preserve">Den unter die Durchführungsvereinbarung fallenden Betrag, die Gebührenstruktur für den Durchführungspartner und die Anforderung, Rückflüsse gemäß </w:t>
      </w:r>
      <w:r>
        <w:rPr>
          <w:rStyle w:val="normaltextrun"/>
          <w:noProof/>
        </w:rPr>
        <w:t>der Investitionspolitik der Fazilität zu reinvestieren, es sei denn, sie werden für Rückzahlungen von Darlehen im Rahmen der Aufbau- und Resilienzfazilität verwendet. </w:t>
      </w:r>
    </w:p>
    <w:p w14:paraId="6A3BBC16" w14:textId="77777777" w:rsidR="00EB245A" w:rsidRDefault="00EB245A">
      <w:pPr>
        <w:pStyle w:val="paragraph"/>
        <w:spacing w:before="0" w:beforeAutospacing="0" w:after="0" w:afterAutospacing="0"/>
        <w:jc w:val="both"/>
        <w:textAlignment w:val="baseline"/>
        <w:rPr>
          <w:noProof/>
        </w:rPr>
      </w:pPr>
    </w:p>
    <w:p w14:paraId="10AB937A" w14:textId="6C4D9E7E" w:rsidR="00EB245A" w:rsidRDefault="006021EE">
      <w:pPr>
        <w:pStyle w:val="paragraph"/>
        <w:numPr>
          <w:ilvl w:val="0"/>
          <w:numId w:val="101"/>
        </w:numPr>
        <w:spacing w:before="0" w:beforeAutospacing="0" w:after="0" w:afterAutospacing="0"/>
        <w:jc w:val="both"/>
        <w:rPr>
          <w:rStyle w:val="normaltextrun"/>
          <w:noProof/>
        </w:rPr>
      </w:pPr>
      <w:r>
        <w:rPr>
          <w:rStyle w:val="normaltextrun"/>
          <w:noProof/>
        </w:rPr>
        <w:t xml:space="preserve">Überwachungs-, Audit- und Kontrollanforderungen, einschließlich: </w:t>
      </w:r>
    </w:p>
    <w:p w14:paraId="21456FFC" w14:textId="77777777" w:rsidR="00EB245A" w:rsidRDefault="006021EE">
      <w:pPr>
        <w:pStyle w:val="paragraph"/>
        <w:numPr>
          <w:ilvl w:val="0"/>
          <w:numId w:val="49"/>
        </w:numPr>
        <w:spacing w:before="0" w:beforeAutospacing="0" w:after="0" w:afterAutospacing="0"/>
        <w:ind w:left="1080"/>
        <w:jc w:val="both"/>
        <w:textAlignment w:val="baseline"/>
        <w:rPr>
          <w:noProof/>
        </w:rPr>
      </w:pPr>
      <w:r>
        <w:rPr>
          <w:rStyle w:val="normaltextrun"/>
          <w:noProof/>
        </w:rPr>
        <w:t xml:space="preserve">Die Beschreibung des Überwachungssystems des Durchführungspartners zur Berichterstattung über die mobilisierten Investitionen. </w:t>
      </w:r>
    </w:p>
    <w:p w14:paraId="7FE5E704" w14:textId="77777777" w:rsidR="00EB245A" w:rsidRDefault="006021EE">
      <w:pPr>
        <w:pStyle w:val="paragraph"/>
        <w:numPr>
          <w:ilvl w:val="0"/>
          <w:numId w:val="49"/>
        </w:numPr>
        <w:spacing w:before="0" w:beforeAutospacing="0" w:after="0" w:afterAutospacing="0"/>
        <w:ind w:left="1080"/>
        <w:jc w:val="both"/>
        <w:textAlignment w:val="baseline"/>
        <w:rPr>
          <w:noProof/>
        </w:rPr>
      </w:pPr>
      <w:r>
        <w:rPr>
          <w:rStyle w:val="normaltextrun"/>
          <w:noProof/>
        </w:rPr>
        <w:t>Die Beschreibung der Verfahren des Durchführungspartners, mit denen die Prävention, Aufdeckung und Behebung von Betrug, Korrupti</w:t>
      </w:r>
      <w:r>
        <w:rPr>
          <w:rStyle w:val="normaltextrun"/>
          <w:noProof/>
        </w:rPr>
        <w:t xml:space="preserve">on und Interessenkonflikten sichergestellt wird.  </w:t>
      </w:r>
    </w:p>
    <w:p w14:paraId="31DC87CE" w14:textId="77777777" w:rsidR="00EB245A" w:rsidRDefault="006021EE">
      <w:pPr>
        <w:pStyle w:val="paragraph"/>
        <w:numPr>
          <w:ilvl w:val="0"/>
          <w:numId w:val="49"/>
        </w:numPr>
        <w:spacing w:before="0" w:beforeAutospacing="0" w:after="0" w:afterAutospacing="0"/>
        <w:ind w:left="1080"/>
        <w:jc w:val="both"/>
        <w:textAlignment w:val="baseline"/>
        <w:rPr>
          <w:noProof/>
        </w:rPr>
      </w:pPr>
      <w:r>
        <w:rPr>
          <w:rStyle w:val="normaltextrun"/>
          <w:noProof/>
        </w:rPr>
        <w:t xml:space="preserve">Die Verpflichtung, die Förderfähigkeit jeder Operation im Einklang mit den Anforderungen des Durchführungsübereinkommens zu überprüfen, bevor sie sich zur Finanzierung einer Operation verpflichtet. </w:t>
      </w:r>
    </w:p>
    <w:p w14:paraId="7452AD58" w14:textId="77777777" w:rsidR="00EB245A" w:rsidRDefault="006021EE">
      <w:pPr>
        <w:pStyle w:val="paragraph"/>
        <w:numPr>
          <w:ilvl w:val="0"/>
          <w:numId w:val="49"/>
        </w:numPr>
        <w:spacing w:before="0" w:beforeAutospacing="0" w:after="0" w:afterAutospacing="0"/>
        <w:ind w:left="1080"/>
        <w:jc w:val="both"/>
        <w:textAlignment w:val="baseline"/>
        <w:rPr>
          <w:rStyle w:val="eop"/>
          <w:noProof/>
        </w:rPr>
      </w:pPr>
      <w:r>
        <w:rPr>
          <w:rStyle w:val="normaltextrun"/>
          <w:noProof/>
        </w:rPr>
        <w:t>Die Ve</w:t>
      </w:r>
      <w:r>
        <w:rPr>
          <w:rStyle w:val="normaltextrun"/>
          <w:noProof/>
        </w:rPr>
        <w:t>rpflichtung zur Durchführung risikobasierter Ex-post-Prüfungen gemäß einem Prüfplan der BGK. Bei diesen Prüfungen wird überprüft, i) ob die Kontrollsysteme wirksam sind, einschließlich der Aufdeckung von Betrug, Korruption und Interessenkonflikten; II) Ein</w:t>
      </w:r>
      <w:r>
        <w:rPr>
          <w:rStyle w:val="normaltextrun"/>
          <w:noProof/>
        </w:rPr>
        <w:t>haltung des Grundsatzes der Vermeidung erheblicher Beeinträchtigungen, der Vorschriften über staatliche Beihilfen und der Anforderungen an die Klimaziele; und iii) die Anforderung, dass die Endbegünstigten der Fazilität keine Unterstützung aus anderen Unio</w:t>
      </w:r>
      <w:r>
        <w:rPr>
          <w:rStyle w:val="normaltextrun"/>
          <w:noProof/>
        </w:rPr>
        <w:t>nsinstrumenten erhalten haben dürfen, um dieselben Kosten zu decken, eingehalten wird. Bei den Prüfungen wird auch die Rechtmäßigkeit der Transaktionen und die Einhaltung der Bedingungen des geltenden Durchführungsübereinkommens und der Finanzierungsverein</w:t>
      </w:r>
      <w:r>
        <w:rPr>
          <w:rStyle w:val="normaltextrun"/>
          <w:noProof/>
        </w:rPr>
        <w:t xml:space="preserve">barungen überprüft.  </w:t>
      </w:r>
    </w:p>
    <w:p w14:paraId="22D0FC10" w14:textId="77777777" w:rsidR="00EB245A" w:rsidRDefault="00EB245A">
      <w:pPr>
        <w:pStyle w:val="paragraph"/>
        <w:spacing w:before="0" w:beforeAutospacing="0" w:after="0" w:afterAutospacing="0"/>
        <w:ind w:left="1080"/>
        <w:jc w:val="both"/>
        <w:textAlignment w:val="baseline"/>
        <w:rPr>
          <w:noProof/>
        </w:rPr>
      </w:pPr>
    </w:p>
    <w:p w14:paraId="4662A54A" w14:textId="20D7F423" w:rsidR="00EB245A" w:rsidRDefault="006021EE">
      <w:pPr>
        <w:pStyle w:val="paragraph"/>
        <w:numPr>
          <w:ilvl w:val="0"/>
          <w:numId w:val="101"/>
        </w:numPr>
        <w:spacing w:before="0" w:beforeAutospacing="0" w:after="0" w:afterAutospacing="0"/>
        <w:jc w:val="both"/>
        <w:rPr>
          <w:rStyle w:val="eop"/>
          <w:noProof/>
        </w:rPr>
      </w:pPr>
      <w:r>
        <w:rPr>
          <w:rStyle w:val="normaltextrun"/>
          <w:noProof/>
        </w:rPr>
        <w:t>Anforderungen an Klimainvestitionen, die vom Durchführungspartner durchgeführt werden: mindestens 9 087 361 627 EUR der ARF-Investitionen in die Fazilität sollen zu den Klimaschutzzielen gemäß Anhang VI der ARF-Verordnung beitragen.</w:t>
      </w:r>
      <w:r w:rsidRPr="004E1987">
        <w:rPr>
          <w:rStyle w:val="FootnoteReference"/>
          <w:rFonts w:eastAsiaTheme="majorEastAsia"/>
          <w:noProof/>
        </w:rPr>
        <w:footnoteReference w:id="36"/>
      </w:r>
      <w:r>
        <w:rPr>
          <w:rStyle w:val="normaltextrun"/>
          <w:noProof/>
        </w:rPr>
        <w:t xml:space="preserve">  </w:t>
      </w:r>
    </w:p>
    <w:p w14:paraId="516BD98E" w14:textId="77777777" w:rsidR="00EB245A" w:rsidRDefault="00EB245A">
      <w:pPr>
        <w:pStyle w:val="paragraph"/>
        <w:spacing w:before="0" w:beforeAutospacing="0" w:after="0" w:afterAutospacing="0"/>
        <w:jc w:val="both"/>
        <w:textAlignment w:val="baseline"/>
        <w:rPr>
          <w:rStyle w:val="normaltextrun"/>
          <w:rFonts w:eastAsiaTheme="majorEastAsia"/>
          <w:noProof/>
        </w:rPr>
      </w:pPr>
    </w:p>
    <w:p w14:paraId="3185F5FA" w14:textId="77777777" w:rsidR="00EB245A" w:rsidRDefault="006021EE">
      <w:pPr>
        <w:pStyle w:val="paragraph"/>
        <w:spacing w:before="0" w:beforeAutospacing="0" w:after="0" w:afterAutospacing="0"/>
        <w:jc w:val="both"/>
        <w:textAlignment w:val="baseline"/>
        <w:rPr>
          <w:rFonts w:ascii="Segoe UI" w:hAnsi="Segoe UI" w:cs="Segoe UI"/>
          <w:noProof/>
          <w:sz w:val="18"/>
        </w:rPr>
      </w:pPr>
      <w:r>
        <w:rPr>
          <w:rStyle w:val="normaltextrun"/>
          <w:noProof/>
        </w:rPr>
        <w:t xml:space="preserve">Die Umsetzung der Maßnahme wird bis 31. August 2026 abgeschlossen sein. </w:t>
      </w:r>
    </w:p>
    <w:p w14:paraId="7B3A460B" w14:textId="77777777" w:rsidR="00EB245A" w:rsidRDefault="00EB245A">
      <w:pPr>
        <w:spacing w:before="120" w:after="120" w:line="240" w:lineRule="auto"/>
        <w:jc w:val="both"/>
        <w:rPr>
          <w:rFonts w:ascii="Times New Roman" w:hAnsi="Times New Roman" w:cs="Times New Roman"/>
          <w:noProof/>
          <w:sz w:val="24"/>
        </w:rPr>
      </w:pPr>
    </w:p>
    <w:p w14:paraId="059E061E" w14:textId="48775482" w:rsidR="00EB245A" w:rsidRDefault="006021EE">
      <w:pPr>
        <w:pStyle w:val="P68B1DB1-Normal36"/>
        <w:spacing w:before="120" w:after="120" w:line="240" w:lineRule="auto"/>
        <w:jc w:val="both"/>
        <w:rPr>
          <w:rFonts w:cs="Times New Roman"/>
          <w:noProof/>
        </w:rPr>
      </w:pPr>
      <w:r>
        <w:rPr>
          <w:noProof/>
        </w:rPr>
        <w:t>G3.1.5. Bau von Offshore-Windparks (Offshore-Windenergiefonds)</w:t>
      </w:r>
    </w:p>
    <w:p w14:paraId="1A5D5297" w14:textId="5F95602C" w:rsidR="00EB245A" w:rsidRDefault="006021EE">
      <w:pPr>
        <w:pStyle w:val="paragraph"/>
        <w:spacing w:before="0" w:beforeAutospacing="0" w:after="0" w:afterAutospacing="0"/>
        <w:jc w:val="both"/>
        <w:textAlignment w:val="baseline"/>
        <w:rPr>
          <w:rFonts w:ascii="Segoe UI" w:hAnsi="Segoe UI" w:cs="Segoe UI"/>
          <w:noProof/>
          <w:sz w:val="18"/>
        </w:rPr>
      </w:pPr>
      <w:r>
        <w:rPr>
          <w:rStyle w:val="normaltextrun"/>
          <w:noProof/>
        </w:rPr>
        <w:t xml:space="preserve">Diese Maßnahme besteht in einer öffentlichen Investition in eine Fazilität, den Offshore-Windenergiefonds, um </w:t>
      </w:r>
      <w:r>
        <w:rPr>
          <w:rStyle w:val="normaltextrun"/>
          <w:noProof/>
        </w:rPr>
        <w:t>Anreize für private Investitionen zu schaffen und den Zugang zu Finanzmitteln im polnischen Offshore-Windenergiesektor zu verbessern, wobei die Finanzierungsvereinbarungen zwischen der Fazilität und den Endbegünstigten auf eine installierte Offshore-Winden</w:t>
      </w:r>
      <w:r>
        <w:rPr>
          <w:rStyle w:val="normaltextrun"/>
          <w:noProof/>
        </w:rPr>
        <w:t>ergiekapazität von mindestens 3 GW abzielen, die durch mindestens zwei Projekte erzeugt wird. Im Rahmen der Fazilität werden Darlehen direkt an den privaten Sektor sowie an Einrichtungen des öffentlichen Sektors, die ähnliche Tätigkeiten ausüben, vergeben.</w:t>
      </w:r>
      <w:r>
        <w:rPr>
          <w:rStyle w:val="normaltextrun"/>
          <w:noProof/>
        </w:rPr>
        <w:t xml:space="preserve"> Auf der Grundlage der Investitionen aus der Aufbau- und Resilienzfazilität zielt die Fazilität zunächst darauf ab, Finanzmittel in Höhe von mindestens 4 785 000 000 EUR bereitzustellen. </w:t>
      </w:r>
    </w:p>
    <w:p w14:paraId="09362C59" w14:textId="77777777" w:rsidR="00EB245A" w:rsidRDefault="00EB245A">
      <w:pPr>
        <w:pStyle w:val="paragraph"/>
        <w:spacing w:before="0" w:beforeAutospacing="0" w:after="0" w:afterAutospacing="0"/>
        <w:jc w:val="both"/>
        <w:rPr>
          <w:rStyle w:val="eop"/>
          <w:noProof/>
        </w:rPr>
      </w:pPr>
    </w:p>
    <w:p w14:paraId="7E4FFC5D" w14:textId="77777777" w:rsidR="00EB245A" w:rsidRDefault="006021EE">
      <w:pPr>
        <w:pStyle w:val="paragraph"/>
        <w:spacing w:before="0" w:beforeAutospacing="0" w:after="0" w:afterAutospacing="0"/>
        <w:jc w:val="both"/>
        <w:textAlignment w:val="baseline"/>
        <w:rPr>
          <w:rStyle w:val="normaltextrun"/>
          <w:rFonts w:eastAsiaTheme="majorEastAsia"/>
          <w:noProof/>
        </w:rPr>
      </w:pPr>
      <w:r>
        <w:rPr>
          <w:rStyle w:val="normaltextrun"/>
          <w:noProof/>
        </w:rPr>
        <w:t>Die Fazilität wird von der Bank Gospodarstwa Krajowego (BGK) als Du</w:t>
      </w:r>
      <w:r>
        <w:rPr>
          <w:rStyle w:val="normaltextrun"/>
          <w:noProof/>
        </w:rPr>
        <w:t xml:space="preserve">rchführungspartner verwaltet. </w:t>
      </w:r>
    </w:p>
    <w:p w14:paraId="5D91782A" w14:textId="77777777" w:rsidR="00EB245A" w:rsidRDefault="00EB245A">
      <w:pPr>
        <w:pStyle w:val="paragraph"/>
        <w:spacing w:before="0" w:beforeAutospacing="0" w:after="0" w:afterAutospacing="0"/>
        <w:jc w:val="both"/>
        <w:textAlignment w:val="baseline"/>
        <w:rPr>
          <w:rStyle w:val="normaltextrun"/>
          <w:rFonts w:eastAsiaTheme="majorEastAsia"/>
          <w:noProof/>
        </w:rPr>
      </w:pPr>
    </w:p>
    <w:p w14:paraId="30BBD12E" w14:textId="77777777" w:rsidR="00EB245A" w:rsidRDefault="006021EE">
      <w:pPr>
        <w:pStyle w:val="paragraph"/>
        <w:spacing w:before="0" w:beforeAutospacing="0" w:after="0" w:afterAutospacing="0"/>
        <w:jc w:val="both"/>
        <w:textAlignment w:val="baseline"/>
        <w:rPr>
          <w:rFonts w:ascii="Segoe UI" w:hAnsi="Segoe UI" w:cs="Segoe UI"/>
          <w:noProof/>
          <w:sz w:val="18"/>
        </w:rPr>
      </w:pPr>
      <w:r>
        <w:rPr>
          <w:rStyle w:val="normaltextrun"/>
          <w:noProof/>
        </w:rPr>
        <w:t xml:space="preserve">Die Fazilität umfasst die folgende Produktlinie: </w:t>
      </w:r>
    </w:p>
    <w:p w14:paraId="30549719" w14:textId="77777777" w:rsidR="00EB245A" w:rsidRDefault="00EB245A">
      <w:pPr>
        <w:pStyle w:val="paragraph"/>
        <w:spacing w:before="0" w:beforeAutospacing="0" w:after="0" w:afterAutospacing="0"/>
        <w:textAlignment w:val="baseline"/>
        <w:rPr>
          <w:rStyle w:val="normaltextrun"/>
          <w:rFonts w:eastAsiaTheme="majorEastAsia"/>
          <w:noProof/>
        </w:rPr>
      </w:pPr>
    </w:p>
    <w:p w14:paraId="38355534" w14:textId="788BB0B6" w:rsidR="00EB245A" w:rsidRDefault="006021EE">
      <w:pPr>
        <w:pStyle w:val="paragraph"/>
        <w:numPr>
          <w:ilvl w:val="0"/>
          <w:numId w:val="50"/>
        </w:numPr>
        <w:spacing w:before="0" w:beforeAutospacing="0" w:after="0" w:afterAutospacing="0"/>
        <w:textAlignment w:val="baseline"/>
        <w:rPr>
          <w:rStyle w:val="eop"/>
          <w:noProof/>
        </w:rPr>
      </w:pPr>
      <w:r>
        <w:rPr>
          <w:rStyle w:val="normaltextrun"/>
          <w:noProof/>
        </w:rPr>
        <w:t xml:space="preserve">BGK Direktfinanzierung: im Rahmen dieser Haushaltslinie werden Direktdarlehen an private Unternehmen, die Strom aus Offshore-Windenergie in Offshore-Windparks erzeugen oder </w:t>
      </w:r>
      <w:r>
        <w:rPr>
          <w:rStyle w:val="normaltextrun"/>
          <w:noProof/>
        </w:rPr>
        <w:t xml:space="preserve">zu erzeugen beabsichtigen, sowie an Einrichtungen des öffentlichen Sektors, die ähnliche Tätigkeiten ausüben, gewährt. Die Darlehen werden direkt von BGK und jedes Projekt, das von einem oder mehreren privaten und/oder öffentlichen Investoren kofinanziert </w:t>
      </w:r>
      <w:r>
        <w:rPr>
          <w:rStyle w:val="normaltextrun"/>
          <w:noProof/>
        </w:rPr>
        <w:t xml:space="preserve">wird, bereitgestellt.  </w:t>
      </w:r>
    </w:p>
    <w:p w14:paraId="71126B6D" w14:textId="77777777" w:rsidR="00EB245A" w:rsidRDefault="00EB245A">
      <w:pPr>
        <w:pStyle w:val="paragraph"/>
        <w:spacing w:before="0" w:beforeAutospacing="0" w:after="0" w:afterAutospacing="0"/>
        <w:jc w:val="both"/>
        <w:textAlignment w:val="baseline"/>
        <w:rPr>
          <w:rStyle w:val="normaltextrun"/>
          <w:rFonts w:eastAsiaTheme="majorEastAsia"/>
          <w:noProof/>
        </w:rPr>
      </w:pPr>
    </w:p>
    <w:p w14:paraId="6AB035FF" w14:textId="77777777" w:rsidR="00EB245A" w:rsidRDefault="006021EE">
      <w:pPr>
        <w:pStyle w:val="paragraph"/>
        <w:spacing w:before="0" w:beforeAutospacing="0" w:after="0" w:afterAutospacing="0"/>
        <w:jc w:val="both"/>
        <w:textAlignment w:val="baseline"/>
        <w:rPr>
          <w:rStyle w:val="eop"/>
          <w:noProof/>
        </w:rPr>
      </w:pPr>
      <w:r>
        <w:rPr>
          <w:rStyle w:val="normaltextrun"/>
          <w:noProof/>
        </w:rPr>
        <w:t xml:space="preserve">Zur Durchführung der Investition in die Fazilität unterzeichnen Polen und BGK ein Durchführungsabkommen mit folgendem Inhalt: </w:t>
      </w:r>
    </w:p>
    <w:p w14:paraId="05146C27" w14:textId="77777777" w:rsidR="00EB245A" w:rsidRDefault="00EB245A">
      <w:pPr>
        <w:pStyle w:val="paragraph"/>
        <w:spacing w:before="0" w:beforeAutospacing="0" w:after="0" w:afterAutospacing="0"/>
        <w:jc w:val="both"/>
        <w:textAlignment w:val="baseline"/>
        <w:rPr>
          <w:rFonts w:ascii="Segoe UI" w:hAnsi="Segoe UI" w:cs="Segoe UI"/>
          <w:noProof/>
          <w:sz w:val="18"/>
        </w:rPr>
      </w:pPr>
    </w:p>
    <w:p w14:paraId="7B85D8F3" w14:textId="09571082" w:rsidR="00EB245A" w:rsidRDefault="006021EE">
      <w:pPr>
        <w:pStyle w:val="paragraph"/>
        <w:numPr>
          <w:ilvl w:val="0"/>
          <w:numId w:val="51"/>
        </w:numPr>
        <w:spacing w:before="0" w:beforeAutospacing="0" w:after="0" w:afterAutospacing="0"/>
        <w:jc w:val="both"/>
        <w:textAlignment w:val="baseline"/>
        <w:rPr>
          <w:rStyle w:val="eop"/>
          <w:noProof/>
        </w:rPr>
      </w:pPr>
      <w:r>
        <w:rPr>
          <w:rStyle w:val="normaltextrun"/>
          <w:noProof/>
        </w:rPr>
        <w:t>Beschreibung des Entscheidungsprozesses der Fazilität: Die endgültige Investitionsentscheidung der Fazi</w:t>
      </w:r>
      <w:r>
        <w:rPr>
          <w:rStyle w:val="normaltextrun"/>
          <w:noProof/>
        </w:rPr>
        <w:t xml:space="preserve">lität wird von einem Investitionsausschuss oder einem anderen einschlägigen gleichwertigen Leitungsgremium getroffen und mit der Mehrheit der Stimmen von Mitgliedern, die von der Regierung unabhängig sind, gebilligt. </w:t>
      </w:r>
    </w:p>
    <w:p w14:paraId="44E7AB3E" w14:textId="77777777" w:rsidR="00EB245A" w:rsidRDefault="006021EE">
      <w:pPr>
        <w:pStyle w:val="paragraph"/>
        <w:numPr>
          <w:ilvl w:val="0"/>
          <w:numId w:val="51"/>
        </w:numPr>
        <w:spacing w:before="0" w:beforeAutospacing="0" w:after="0" w:afterAutospacing="0"/>
        <w:jc w:val="both"/>
        <w:rPr>
          <w:rStyle w:val="normaltextrun"/>
          <w:rFonts w:eastAsiaTheme="majorEastAsia"/>
          <w:noProof/>
        </w:rPr>
      </w:pPr>
      <w:r>
        <w:rPr>
          <w:rStyle w:val="normaltextrun"/>
          <w:noProof/>
        </w:rPr>
        <w:t>Kernanforderungen der damit verbundene</w:t>
      </w:r>
      <w:r>
        <w:rPr>
          <w:rStyle w:val="normaltextrun"/>
          <w:noProof/>
        </w:rPr>
        <w:t>n Anlagepolitik, die Folgendes umfassen: </w:t>
      </w:r>
    </w:p>
    <w:p w14:paraId="06A14889" w14:textId="19350C62" w:rsidR="00EB245A" w:rsidRDefault="006021EE">
      <w:pPr>
        <w:pStyle w:val="paragraph"/>
        <w:numPr>
          <w:ilvl w:val="0"/>
          <w:numId w:val="98"/>
        </w:numPr>
        <w:spacing w:before="0" w:beforeAutospacing="0" w:after="0" w:afterAutospacing="0"/>
        <w:jc w:val="both"/>
        <w:textAlignment w:val="baseline"/>
        <w:rPr>
          <w:rStyle w:val="eop"/>
          <w:noProof/>
        </w:rPr>
      </w:pPr>
      <w:r>
        <w:rPr>
          <w:rStyle w:val="normaltextrun"/>
          <w:noProof/>
        </w:rPr>
        <w:t xml:space="preserve">Die Beschreibung des Finanzprodukts und der förderfähigen Endbegünstigten.  </w:t>
      </w:r>
    </w:p>
    <w:p w14:paraId="6B0B2C1B" w14:textId="7C7B0164" w:rsidR="00EB245A" w:rsidRDefault="006021EE">
      <w:pPr>
        <w:pStyle w:val="paragraph"/>
        <w:numPr>
          <w:ilvl w:val="0"/>
          <w:numId w:val="98"/>
        </w:numPr>
        <w:spacing w:before="0" w:beforeAutospacing="0" w:after="0" w:afterAutospacing="0"/>
        <w:jc w:val="both"/>
        <w:textAlignment w:val="baseline"/>
        <w:rPr>
          <w:rStyle w:val="eop"/>
          <w:noProof/>
        </w:rPr>
      </w:pPr>
      <w:r>
        <w:rPr>
          <w:rStyle w:val="normaltextrun"/>
          <w:noProof/>
        </w:rPr>
        <w:t>Die Anforderung, dass alle geförderten Investitionen wirtschaftlich tragfähig sein müssen</w:t>
      </w:r>
      <w:r>
        <w:rPr>
          <w:rStyle w:val="normaltextrun"/>
          <w:b/>
          <w:noProof/>
        </w:rPr>
        <w:t>.</w:t>
      </w:r>
      <w:r>
        <w:rPr>
          <w:rStyle w:val="eop"/>
          <w:noProof/>
        </w:rPr>
        <w:t xml:space="preserve"> </w:t>
      </w:r>
    </w:p>
    <w:p w14:paraId="0E7F8DD3" w14:textId="23FB6D9B" w:rsidR="00EB245A" w:rsidRDefault="006021EE">
      <w:pPr>
        <w:pStyle w:val="paragraph"/>
        <w:numPr>
          <w:ilvl w:val="0"/>
          <w:numId w:val="98"/>
        </w:numPr>
        <w:spacing w:before="0" w:beforeAutospacing="0" w:after="0" w:afterAutospacing="0"/>
        <w:jc w:val="both"/>
        <w:textAlignment w:val="baseline"/>
        <w:rPr>
          <w:rStyle w:val="eop"/>
          <w:noProof/>
        </w:rPr>
      </w:pPr>
      <w:r>
        <w:rPr>
          <w:rStyle w:val="normaltextrun"/>
          <w:noProof/>
        </w:rPr>
        <w:t>Die Anforderung, den Grundsatz der „Vermeidun</w:t>
      </w:r>
      <w:r>
        <w:rPr>
          <w:rStyle w:val="normaltextrun"/>
          <w:noProof/>
        </w:rPr>
        <w:t>g erheblicher Beeinträchtigungen“ gemäß den Technischen Leitlinien für die Vermeidung erheblicher Beeinträchtigungen (</w:t>
      </w:r>
      <w:bookmarkStart w:id="4" w:name="_Hlk150284959"/>
      <w:r>
        <w:rPr>
          <w:rStyle w:val="normaltextrun"/>
          <w:noProof/>
        </w:rPr>
        <w:t>C(2023) 6454 final)</w:t>
      </w:r>
      <w:bookmarkEnd w:id="4"/>
      <w:r>
        <w:rPr>
          <w:rStyle w:val="normaltextrun"/>
          <w:noProof/>
        </w:rPr>
        <w:t>einzuhalten. Die Anlagepolitik schließt insbesondere folgende Liste von Tätigkeiten und Vermögenswerten von der Förderf</w:t>
      </w:r>
      <w:r>
        <w:rPr>
          <w:rStyle w:val="normaltextrun"/>
          <w:noProof/>
        </w:rPr>
        <w:t>ähigkeit aus: I) Tätigkeiten und Vermögenswerte im Zusammenhang mit fossilen Brennstoffen, einschließlich der nachgelagerten Nutzung,</w:t>
      </w:r>
      <w:r w:rsidRPr="004E1987">
        <w:rPr>
          <w:rStyle w:val="FootnoteReference"/>
          <w:rFonts w:eastAsiaTheme="majorEastAsia"/>
          <w:noProof/>
        </w:rPr>
        <w:footnoteReference w:id="37"/>
      </w:r>
      <w:r>
        <w:rPr>
          <w:rStyle w:val="normaltextrun"/>
          <w:noProof/>
        </w:rPr>
        <w:t>ii) Tätigkeiten und Vermögenswerte im Rahmen des EU-Emissionshandelssystems (EHS), mit denen prognostizierte Treibhausgase</w:t>
      </w:r>
      <w:r>
        <w:rPr>
          <w:rStyle w:val="normaltextrun"/>
          <w:noProof/>
        </w:rPr>
        <w:t>missionen erreicht werden, die nicht unter den einschlägigen Richtwerten liegen,</w:t>
      </w:r>
      <w:r w:rsidRPr="004E1987">
        <w:rPr>
          <w:rStyle w:val="FootnoteReference"/>
          <w:rFonts w:eastAsiaTheme="majorEastAsia"/>
          <w:noProof/>
        </w:rPr>
        <w:footnoteReference w:id="38"/>
      </w:r>
      <w:r>
        <w:rPr>
          <w:rStyle w:val="normaltextrun"/>
          <w:noProof/>
        </w:rPr>
        <w:t>iii) Tätigkeiten und Vermögenswerte im Zusammenhang mit Abfalldeponien, Verbrennungsanlagen</w:t>
      </w:r>
      <w:r w:rsidRPr="004E1987">
        <w:rPr>
          <w:rStyle w:val="FootnoteReference"/>
          <w:rFonts w:eastAsiaTheme="majorEastAsia"/>
          <w:noProof/>
        </w:rPr>
        <w:footnoteReference w:id="39"/>
      </w:r>
      <w:r>
        <w:rPr>
          <w:rStyle w:val="normaltextrun"/>
          <w:noProof/>
        </w:rPr>
        <w:t xml:space="preserve"> und Anlagen zur mechanisch-biologischen Behandlung</w:t>
      </w:r>
      <w:r w:rsidRPr="004E1987">
        <w:rPr>
          <w:rStyle w:val="FootnoteReference"/>
          <w:rFonts w:eastAsiaTheme="majorEastAsia"/>
          <w:noProof/>
        </w:rPr>
        <w:footnoteReference w:id="40"/>
      </w:r>
      <w:r>
        <w:rPr>
          <w:rStyle w:val="normaltextrun"/>
          <w:noProof/>
        </w:rPr>
        <w:t xml:space="preserve">.  </w:t>
      </w:r>
    </w:p>
    <w:p w14:paraId="392CD28F" w14:textId="545AA255" w:rsidR="00EB245A" w:rsidRDefault="006021EE">
      <w:pPr>
        <w:pStyle w:val="paragraph"/>
        <w:numPr>
          <w:ilvl w:val="0"/>
          <w:numId w:val="98"/>
        </w:numPr>
        <w:spacing w:before="0" w:beforeAutospacing="0" w:after="0" w:afterAutospacing="0"/>
        <w:jc w:val="both"/>
        <w:textAlignment w:val="baseline"/>
        <w:rPr>
          <w:rStyle w:val="eop"/>
          <w:noProof/>
        </w:rPr>
      </w:pPr>
      <w:r>
        <w:rPr>
          <w:rStyle w:val="normaltextrun"/>
          <w:noProof/>
        </w:rPr>
        <w:t>Die Anforderung, dass Endem</w:t>
      </w:r>
      <w:r>
        <w:rPr>
          <w:rStyle w:val="normaltextrun"/>
          <w:noProof/>
        </w:rPr>
        <w:t xml:space="preserve">pfänger der Fazilität keine Unterstützung aus anderen Unionsinstrumenten erhalten dürfen, um dieselben Kosten zu decken. </w:t>
      </w:r>
    </w:p>
    <w:p w14:paraId="079684D4" w14:textId="77777777" w:rsidR="00EB245A" w:rsidRDefault="00EB245A">
      <w:pPr>
        <w:pStyle w:val="paragraph"/>
        <w:spacing w:before="0" w:beforeAutospacing="0" w:after="0" w:afterAutospacing="0"/>
        <w:jc w:val="both"/>
        <w:textAlignment w:val="baseline"/>
        <w:rPr>
          <w:noProof/>
        </w:rPr>
      </w:pPr>
    </w:p>
    <w:p w14:paraId="34727A6E" w14:textId="77777777" w:rsidR="00EB245A" w:rsidRDefault="006021EE">
      <w:pPr>
        <w:pStyle w:val="paragraph"/>
        <w:numPr>
          <w:ilvl w:val="0"/>
          <w:numId w:val="51"/>
        </w:numPr>
        <w:spacing w:before="0" w:beforeAutospacing="0" w:after="0" w:afterAutospacing="0"/>
        <w:jc w:val="both"/>
        <w:textAlignment w:val="baseline"/>
        <w:rPr>
          <w:rStyle w:val="normaltextrun"/>
          <w:rFonts w:eastAsiaTheme="majorEastAsia"/>
          <w:noProof/>
        </w:rPr>
      </w:pPr>
      <w:r>
        <w:rPr>
          <w:rStyle w:val="normaltextrun"/>
          <w:noProof/>
        </w:rPr>
        <w:t>Den unter die Durchführungsvereinbarung fallenden Betrag, die Gebührenstruktur für den Durchführungspartner und die Anforderung, Rück</w:t>
      </w:r>
      <w:r>
        <w:rPr>
          <w:rStyle w:val="normaltextrun"/>
          <w:noProof/>
        </w:rPr>
        <w:t>flüsse gemäß der Investitionspolitik der Fazilität zu reinvestieren, es sei denn, sie werden für Rückzahlungen von Darlehen im Rahmen der Aufbau- und Resilienzfazilität verwendet. </w:t>
      </w:r>
    </w:p>
    <w:p w14:paraId="26CF9764" w14:textId="77777777" w:rsidR="00EB245A" w:rsidRDefault="00EB245A">
      <w:pPr>
        <w:pStyle w:val="paragraph"/>
        <w:spacing w:before="0" w:beforeAutospacing="0" w:after="0" w:afterAutospacing="0"/>
        <w:ind w:left="360"/>
        <w:jc w:val="both"/>
        <w:textAlignment w:val="baseline"/>
        <w:rPr>
          <w:rStyle w:val="normaltextrun"/>
          <w:rFonts w:eastAsiaTheme="majorEastAsia"/>
          <w:noProof/>
        </w:rPr>
      </w:pPr>
    </w:p>
    <w:p w14:paraId="04EFB179" w14:textId="77777777" w:rsidR="00EB245A" w:rsidRDefault="006021EE">
      <w:pPr>
        <w:pStyle w:val="paragraph"/>
        <w:numPr>
          <w:ilvl w:val="0"/>
          <w:numId w:val="51"/>
        </w:numPr>
        <w:spacing w:before="0" w:beforeAutospacing="0" w:after="0" w:afterAutospacing="0"/>
        <w:jc w:val="both"/>
        <w:textAlignment w:val="baseline"/>
        <w:rPr>
          <w:rStyle w:val="normaltextrun"/>
          <w:rFonts w:eastAsiaTheme="majorEastAsia"/>
          <w:noProof/>
        </w:rPr>
      </w:pPr>
      <w:r>
        <w:rPr>
          <w:rStyle w:val="normaltextrun"/>
          <w:noProof/>
        </w:rPr>
        <w:t>Überwachungs-, Audit- und Kontrollanforderungen, einschließlich: </w:t>
      </w:r>
    </w:p>
    <w:p w14:paraId="612400E2" w14:textId="77777777" w:rsidR="00EB245A" w:rsidRDefault="006021EE">
      <w:pPr>
        <w:pStyle w:val="paragraph"/>
        <w:numPr>
          <w:ilvl w:val="1"/>
          <w:numId w:val="99"/>
        </w:numPr>
        <w:spacing w:before="0" w:beforeAutospacing="0" w:after="0" w:afterAutospacing="0"/>
        <w:jc w:val="both"/>
        <w:textAlignment w:val="baseline"/>
        <w:rPr>
          <w:rStyle w:val="eop"/>
          <w:noProof/>
        </w:rPr>
      </w:pPr>
      <w:r>
        <w:rPr>
          <w:rStyle w:val="normaltextrun"/>
          <w:noProof/>
        </w:rPr>
        <w:t xml:space="preserve">Die Beschreibung des Überwachungssystems des Durchführungspartners zur Berichterstattung über die mobilisierten Investitionen. </w:t>
      </w:r>
    </w:p>
    <w:p w14:paraId="3D42BBFD" w14:textId="77777777" w:rsidR="00EB245A" w:rsidRDefault="006021EE">
      <w:pPr>
        <w:pStyle w:val="paragraph"/>
        <w:numPr>
          <w:ilvl w:val="1"/>
          <w:numId w:val="99"/>
        </w:numPr>
        <w:spacing w:before="0" w:beforeAutospacing="0" w:after="0" w:afterAutospacing="0"/>
        <w:jc w:val="both"/>
        <w:textAlignment w:val="baseline"/>
        <w:rPr>
          <w:rStyle w:val="eop"/>
          <w:noProof/>
        </w:rPr>
      </w:pPr>
      <w:r>
        <w:rPr>
          <w:rStyle w:val="normaltextrun"/>
          <w:noProof/>
        </w:rPr>
        <w:t>Die Beschreibung der Verfahren des Durchführungspartners, mit denen die Prävention, Aufdeckung und Behebung von Betrug, Korrupti</w:t>
      </w:r>
      <w:r>
        <w:rPr>
          <w:rStyle w:val="normaltextrun"/>
          <w:noProof/>
        </w:rPr>
        <w:t xml:space="preserve">on und Interessenkonflikten sichergestellt wird.  </w:t>
      </w:r>
    </w:p>
    <w:p w14:paraId="4432A33D" w14:textId="77777777" w:rsidR="00EB245A" w:rsidRDefault="006021EE">
      <w:pPr>
        <w:pStyle w:val="paragraph"/>
        <w:numPr>
          <w:ilvl w:val="1"/>
          <w:numId w:val="99"/>
        </w:numPr>
        <w:spacing w:before="0" w:beforeAutospacing="0" w:after="0" w:afterAutospacing="0"/>
        <w:jc w:val="both"/>
        <w:textAlignment w:val="baseline"/>
        <w:rPr>
          <w:rStyle w:val="eop"/>
          <w:noProof/>
        </w:rPr>
      </w:pPr>
      <w:r>
        <w:rPr>
          <w:rStyle w:val="normaltextrun"/>
          <w:noProof/>
        </w:rPr>
        <w:t xml:space="preserve">Die Verpflichtung, die Förderfähigkeit jeder Operation im Einklang mit den Anforderungen des Durchführungsübereinkommens zu überprüfen, bevor sie sich zur Finanzierung einer Operation verpflichtet. </w:t>
      </w:r>
    </w:p>
    <w:p w14:paraId="65AD3C31" w14:textId="77777777" w:rsidR="00EB245A" w:rsidRDefault="006021EE">
      <w:pPr>
        <w:pStyle w:val="paragraph"/>
        <w:numPr>
          <w:ilvl w:val="1"/>
          <w:numId w:val="99"/>
        </w:numPr>
        <w:spacing w:before="0" w:beforeAutospacing="0" w:after="0" w:afterAutospacing="0"/>
        <w:jc w:val="both"/>
        <w:textAlignment w:val="baseline"/>
        <w:rPr>
          <w:rStyle w:val="eop"/>
          <w:noProof/>
        </w:rPr>
      </w:pPr>
      <w:r>
        <w:rPr>
          <w:rStyle w:val="normaltextrun"/>
          <w:noProof/>
        </w:rPr>
        <w:t>Die Ve</w:t>
      </w:r>
      <w:r>
        <w:rPr>
          <w:rStyle w:val="normaltextrun"/>
          <w:noProof/>
        </w:rPr>
        <w:t>rpflichtung zur Durchführung risikobasierter Ex-post-Prüfungen gemäß einem Prüfplan der BGK. Bei diesen Prüfungen wird überprüft, i) ob die Kontrollsysteme wirksam sind, einschließlich der Aufdeckung von Betrug, Korruption und Interessenkonflikten; II) Ein</w:t>
      </w:r>
      <w:r>
        <w:rPr>
          <w:rStyle w:val="normaltextrun"/>
          <w:noProof/>
        </w:rPr>
        <w:t>haltung des Grundsatzes der Vermeidung erheblicher Beeinträchtigungen, der Vorschriften über staatliche Beihilfen und der Anforderungen an die Klimaziele; und iii) die Anforderung, dass die Endbegünstigten der Fazilität keine Unterstützung aus anderen Unio</w:t>
      </w:r>
      <w:r>
        <w:rPr>
          <w:rStyle w:val="normaltextrun"/>
          <w:noProof/>
        </w:rPr>
        <w:t xml:space="preserve">nsinstrumenten erhalten haben dürfen, um dieselben Kosten zu decken, eingehalten wird. Bei den Prüfungen wird auch die Rechtmäßigkeit der Transaktionen und die Einhaltung der Bedingungen des geltenden Durchführungsübereinkommens überprüft.  </w:t>
      </w:r>
    </w:p>
    <w:p w14:paraId="4E0B9CFF" w14:textId="3554F2B7" w:rsidR="00EB245A" w:rsidRDefault="006021EE">
      <w:pPr>
        <w:pStyle w:val="paragraph"/>
        <w:numPr>
          <w:ilvl w:val="0"/>
          <w:numId w:val="51"/>
        </w:numPr>
        <w:spacing w:before="0" w:beforeAutospacing="0" w:after="0" w:afterAutospacing="0"/>
        <w:jc w:val="both"/>
        <w:textAlignment w:val="baseline"/>
        <w:rPr>
          <w:rStyle w:val="normaltextrun"/>
          <w:rFonts w:eastAsiaTheme="majorEastAsia"/>
          <w:noProof/>
        </w:rPr>
      </w:pPr>
      <w:r>
        <w:rPr>
          <w:noProof/>
        </w:rPr>
        <w:t xml:space="preserve">Anforderungen </w:t>
      </w:r>
      <w:r>
        <w:rPr>
          <w:noProof/>
        </w:rPr>
        <w:t>an Klimainvestitionen, die vom Durchführungspartner durchgeführt werden:  4 785 000 000 EUR der ARF-Investitionen in die Fazilität sollen gemäß Anhang VI der ARF-Verordnung zu den Klimaschutzzielen beitragen.</w:t>
      </w:r>
      <w:r w:rsidRPr="004E1987">
        <w:rPr>
          <w:rStyle w:val="FootnoteReference"/>
          <w:rFonts w:eastAsiaTheme="majorEastAsia"/>
          <w:noProof/>
        </w:rPr>
        <w:footnoteReference w:id="41"/>
      </w:r>
    </w:p>
    <w:p w14:paraId="6E85E4D8" w14:textId="563C44B0" w:rsidR="00EB245A" w:rsidRDefault="00EB245A">
      <w:pPr>
        <w:pStyle w:val="paragraph"/>
        <w:spacing w:before="0" w:beforeAutospacing="0" w:after="0" w:afterAutospacing="0"/>
        <w:jc w:val="both"/>
        <w:textAlignment w:val="baseline"/>
        <w:rPr>
          <w:rStyle w:val="eop"/>
          <w:rFonts w:ascii="Calibri" w:eastAsia="Calibri" w:hAnsi="Calibri" w:cs="Calibri"/>
          <w:noProof/>
          <w:sz w:val="22"/>
        </w:rPr>
      </w:pPr>
    </w:p>
    <w:p w14:paraId="5B7AE333" w14:textId="000D1D82" w:rsidR="00EB245A" w:rsidRDefault="00EB245A">
      <w:pPr>
        <w:pStyle w:val="paragraph"/>
        <w:spacing w:before="0" w:beforeAutospacing="0" w:after="0" w:afterAutospacing="0"/>
        <w:jc w:val="both"/>
        <w:textAlignment w:val="baseline"/>
        <w:rPr>
          <w:rStyle w:val="normaltextrun"/>
          <w:rFonts w:eastAsiaTheme="majorEastAsia"/>
          <w:noProof/>
        </w:rPr>
      </w:pPr>
    </w:p>
    <w:p w14:paraId="146B0029" w14:textId="77777777" w:rsidR="00EB245A" w:rsidRDefault="006021EE">
      <w:pPr>
        <w:pStyle w:val="paragraph"/>
        <w:spacing w:before="0" w:beforeAutospacing="0" w:after="0" w:afterAutospacing="0"/>
        <w:jc w:val="both"/>
        <w:textAlignment w:val="baseline"/>
        <w:rPr>
          <w:rFonts w:ascii="Segoe UI" w:hAnsi="Segoe UI" w:cs="Segoe UI"/>
          <w:noProof/>
          <w:sz w:val="18"/>
        </w:rPr>
      </w:pPr>
      <w:r>
        <w:rPr>
          <w:rStyle w:val="normaltextrun"/>
          <w:noProof/>
        </w:rPr>
        <w:t>Die Umsetzung der Maßnahme wird bis 31. Augu</w:t>
      </w:r>
      <w:r>
        <w:rPr>
          <w:rStyle w:val="normaltextrun"/>
          <w:noProof/>
        </w:rPr>
        <w:t xml:space="preserve">st 2026 abgeschlossen sein. </w:t>
      </w:r>
    </w:p>
    <w:p w14:paraId="67F1D632" w14:textId="77777777" w:rsidR="00EB245A" w:rsidRDefault="00EB245A">
      <w:pPr>
        <w:spacing w:before="120" w:after="120" w:line="240" w:lineRule="auto"/>
        <w:jc w:val="both"/>
        <w:rPr>
          <w:rFonts w:ascii="Times New Roman" w:hAnsi="Times New Roman" w:cs="Times New Roman"/>
          <w:noProof/>
          <w:sz w:val="24"/>
        </w:rPr>
      </w:pPr>
    </w:p>
    <w:p w14:paraId="43B329EF" w14:textId="76791D3E" w:rsidR="00EB245A" w:rsidRDefault="006021EE">
      <w:pPr>
        <w:pStyle w:val="P68B1DB1-Text14"/>
        <w:keepNext/>
        <w:ind w:left="0"/>
        <w:rPr>
          <w:noProof/>
        </w:rPr>
      </w:pPr>
      <w:r>
        <w:rPr>
          <w:noProof/>
        </w:rPr>
        <w:t>Teilkomponente G3.2 – Verbesserung der Energieinfrastruktur und der Energieanlagen zur Deckung des unmittelbaren Bedarfs an Gasversorgungssicherheit</w:t>
      </w:r>
    </w:p>
    <w:p w14:paraId="4B5C93A2" w14:textId="77777777" w:rsidR="00EB245A" w:rsidRDefault="00EB245A">
      <w:pPr>
        <w:keepNext/>
        <w:spacing w:before="120" w:after="120" w:line="240" w:lineRule="auto"/>
        <w:rPr>
          <w:noProof/>
        </w:rPr>
      </w:pPr>
    </w:p>
    <w:p w14:paraId="39989793" w14:textId="6CAEC925" w:rsidR="00EB245A" w:rsidRDefault="006021EE">
      <w:pPr>
        <w:pStyle w:val="P68B1DB1-Normal36"/>
        <w:keepNext/>
        <w:spacing w:before="120" w:after="120" w:line="240" w:lineRule="auto"/>
        <w:jc w:val="both"/>
        <w:rPr>
          <w:rFonts w:cs="Times New Roman"/>
          <w:noProof/>
        </w:rPr>
      </w:pPr>
      <w:r>
        <w:rPr>
          <w:noProof/>
        </w:rPr>
        <w:t>G3.2.1. Bau von Erdgasinfrastruktur zur Gewährleistung der Energieversorgung</w:t>
      </w:r>
      <w:r>
        <w:rPr>
          <w:noProof/>
        </w:rPr>
        <w:t>ssicherheit</w:t>
      </w:r>
    </w:p>
    <w:p w14:paraId="2DFBC78F" w14:textId="45173FCD" w:rsidR="00EB245A" w:rsidRDefault="006021EE">
      <w:pPr>
        <w:pStyle w:val="P68B1DB1-Normal24"/>
        <w:spacing w:before="120" w:after="120" w:line="240" w:lineRule="auto"/>
        <w:jc w:val="both"/>
        <w:rPr>
          <w:rFonts w:cs="Times New Roman"/>
          <w:noProof/>
        </w:rPr>
      </w:pPr>
      <w:r>
        <w:rPr>
          <w:noProof/>
        </w:rPr>
        <w:t>Ziel dieser Investition ist die Verbesserung der Energieinfrastruktur und der Energieanlagen zur Deckung des für die Versorgungssicherheit erforderlichen unmittelbaren Bedarfs an Gas, einschließlich Flüssigerdgas, insbesondere um eine Diversifi</w:t>
      </w:r>
      <w:r>
        <w:rPr>
          <w:noProof/>
        </w:rPr>
        <w:t xml:space="preserve">zierung der Versorgung im Interesse der Union als Ganzes zu ermöglichen. </w:t>
      </w:r>
    </w:p>
    <w:p w14:paraId="2F2374AB" w14:textId="3B73A324" w:rsidR="00EB245A" w:rsidRDefault="006021EE">
      <w:pPr>
        <w:pStyle w:val="P68B1DB1-Normal24"/>
        <w:spacing w:before="120" w:after="120" w:line="240" w:lineRule="auto"/>
        <w:jc w:val="both"/>
        <w:rPr>
          <w:rFonts w:cs="Times New Roman"/>
          <w:noProof/>
        </w:rPr>
      </w:pPr>
      <w:r>
        <w:rPr>
          <w:noProof/>
        </w:rPr>
        <w:t xml:space="preserve">Diese Investition besteht im Bau einer 250 km langen Erweiterung des Fernleitungsnetzes zwischen Danzig und Gustorzyn. Nach Abschluss der Arbeiten muss die neu gebaute Infrastruktur </w:t>
      </w:r>
      <w:r>
        <w:rPr>
          <w:noProof/>
        </w:rPr>
        <w:t>eine Kapazität für den Gastransport von 1 320 000 m³/h haben.</w:t>
      </w:r>
      <w:r>
        <w:rPr>
          <w:noProof/>
          <w:color w:val="000000" w:themeColor="text1"/>
        </w:rPr>
        <w:t xml:space="preserve"> </w:t>
      </w:r>
      <w:r>
        <w:rPr>
          <w:noProof/>
        </w:rPr>
        <w:t xml:space="preserve"> </w:t>
      </w:r>
    </w:p>
    <w:p w14:paraId="7E3F950A" w14:textId="77777777" w:rsidR="00EB245A" w:rsidRDefault="006021EE">
      <w:pPr>
        <w:pStyle w:val="P68B1DB1-Normal24"/>
        <w:spacing w:before="120" w:after="120" w:line="240" w:lineRule="auto"/>
        <w:jc w:val="both"/>
        <w:rPr>
          <w:noProof/>
        </w:rPr>
      </w:pPr>
      <w:r>
        <w:rPr>
          <w:noProof/>
        </w:rPr>
        <w:t>Die Durchführung der Maßnahme muss bis spätestens 31. August 2026 abgeschlossen sein.</w:t>
      </w:r>
    </w:p>
    <w:p w14:paraId="3C7EB7A6" w14:textId="0BD57FDF" w:rsidR="00EB245A" w:rsidRDefault="006021EE">
      <w:pPr>
        <w:pStyle w:val="P68B1DB1-Normal43"/>
        <w:spacing w:before="120" w:after="120" w:line="240" w:lineRule="auto"/>
        <w:jc w:val="both"/>
        <w:rPr>
          <w:noProof/>
        </w:rPr>
      </w:pPr>
      <w:r>
        <w:rPr>
          <w:noProof/>
        </w:rPr>
        <w:t>Teilkomponente G3.3 – Energiespeichersysteme (rückzahlbare Unterstützung)</w:t>
      </w:r>
    </w:p>
    <w:p w14:paraId="16EA5531" w14:textId="29D5B489" w:rsidR="00EB245A" w:rsidRDefault="006021EE">
      <w:pPr>
        <w:pStyle w:val="P68B1DB1-Normal36"/>
        <w:keepNext/>
        <w:spacing w:before="120" w:after="120" w:line="240" w:lineRule="auto"/>
        <w:jc w:val="both"/>
        <w:rPr>
          <w:rFonts w:cs="Times New Roman"/>
          <w:noProof/>
        </w:rPr>
      </w:pPr>
      <w:r>
        <w:rPr>
          <w:noProof/>
        </w:rPr>
        <w:t xml:space="preserve">G3.3.1 Energiespeichersysteme </w:t>
      </w:r>
      <w:r>
        <w:rPr>
          <w:noProof/>
        </w:rPr>
        <w:t>(rückzahlbare Unterstützung)</w:t>
      </w:r>
    </w:p>
    <w:p w14:paraId="5BD0BCA2" w14:textId="77777777" w:rsidR="00EB245A" w:rsidRDefault="006021EE">
      <w:pPr>
        <w:pStyle w:val="P68B1DB1-Normal24"/>
        <w:spacing w:before="120" w:after="120" w:line="240" w:lineRule="auto"/>
        <w:jc w:val="both"/>
        <w:rPr>
          <w:rFonts w:cs="Times New Roman"/>
          <w:noProof/>
        </w:rPr>
      </w:pPr>
      <w:r>
        <w:rPr>
          <w:noProof/>
        </w:rPr>
        <w:t>Ziel dieser Investition ist es, die Kontinuität der Stromversorgung der Kunden zu gewährleisten und die Effizienz der Nutzung erneuerbarer Energiequellen durch Investitionen in Technologien zur Erleichterung des Stromausgleichs</w:t>
      </w:r>
      <w:r>
        <w:rPr>
          <w:noProof/>
        </w:rPr>
        <w:t xml:space="preserve"> im Elektrizitätssystem zu steigern.</w:t>
      </w:r>
    </w:p>
    <w:p w14:paraId="44D1B7D6" w14:textId="26FC50D4" w:rsidR="00EB245A" w:rsidRDefault="006021EE">
      <w:pPr>
        <w:pStyle w:val="P68B1DB1-Normal24"/>
        <w:spacing w:before="120" w:after="120" w:line="240" w:lineRule="auto"/>
        <w:jc w:val="both"/>
        <w:rPr>
          <w:noProof/>
        </w:rPr>
      </w:pPr>
      <w:r>
        <w:rPr>
          <w:noProof/>
        </w:rPr>
        <w:t>Die Investition besteht in der teilweisen Modernisierung eines bestehenden Pumpspeichers für Strom aus Wasserkraft mit dem Ziel, diese Anlage an die aktuellen und künftigen Regulierungs- und Markterfordernisse anzupasse</w:t>
      </w:r>
      <w:r>
        <w:rPr>
          <w:noProof/>
        </w:rPr>
        <w:t>n, um einen rentablen Betrieb der Anlage zu gewährleisten. Die Investition umfasst auch die Modernisierung des oberen Reservoirs (Renovierung der stromaufwärts gerichteten Fläche aus bituminösem Beton), des oberen Wassereinlasses und der abgeleiteten Tunne</w:t>
      </w:r>
      <w:r>
        <w:rPr>
          <w:noProof/>
        </w:rPr>
        <w:t>l sowie in mindestens einem Hydrogenerator entsprechend 135 MW.</w:t>
      </w:r>
    </w:p>
    <w:p w14:paraId="36DC5645" w14:textId="083FECAE" w:rsidR="00EB245A" w:rsidRDefault="006021EE">
      <w:pPr>
        <w:pStyle w:val="P68B1DB1-Normal24"/>
        <w:spacing w:before="120" w:after="120" w:line="240" w:lineRule="auto"/>
        <w:jc w:val="both"/>
        <w:rPr>
          <w:noProof/>
        </w:rPr>
      </w:pPr>
      <w:r>
        <w:rPr>
          <w:noProof/>
        </w:rPr>
        <w:t>Die Durchführung der Investition muss bis zum 30. Juni 2026 abgeschlossen sein.</w:t>
      </w:r>
    </w:p>
    <w:p w14:paraId="6D5E53D8" w14:textId="77777777" w:rsidR="00EB245A" w:rsidRDefault="00EB245A">
      <w:pPr>
        <w:spacing w:before="120" w:after="120" w:line="240" w:lineRule="auto"/>
        <w:jc w:val="both"/>
        <w:rPr>
          <w:rFonts w:ascii="Times New Roman" w:hAnsi="Times New Roman" w:cs="Times New Roman"/>
          <w:noProof/>
          <w:sz w:val="24"/>
        </w:rPr>
      </w:pPr>
    </w:p>
    <w:p w14:paraId="1056950A" w14:textId="0938D53C" w:rsidR="00EB245A" w:rsidRDefault="00EB245A">
      <w:pPr>
        <w:spacing w:before="120" w:after="120" w:line="240" w:lineRule="auto"/>
        <w:rPr>
          <w:rFonts w:ascii="Times New Roman" w:hAnsi="Times New Roman" w:cs="Times New Roman"/>
          <w:noProof/>
          <w:sz w:val="24"/>
        </w:rPr>
        <w:sectPr w:rsidR="00EB245A" w:rsidSect="005E6922">
          <w:headerReference w:type="even" r:id="rId175"/>
          <w:headerReference w:type="default" r:id="rId176"/>
          <w:footerReference w:type="even" r:id="rId177"/>
          <w:footerReference w:type="default" r:id="rId178"/>
          <w:headerReference w:type="first" r:id="rId179"/>
          <w:footerReference w:type="first" r:id="rId180"/>
          <w:pgSz w:w="11907" w:h="16839"/>
          <w:pgMar w:top="1134" w:right="1134" w:bottom="1134" w:left="1134" w:header="567" w:footer="567" w:gutter="0"/>
          <w:cols w:space="720"/>
          <w:docGrid w:linePitch="299"/>
        </w:sectPr>
      </w:pPr>
    </w:p>
    <w:p w14:paraId="17753C12" w14:textId="77777777" w:rsidR="00EB245A" w:rsidRDefault="006021EE">
      <w:pPr>
        <w:pStyle w:val="Text1"/>
        <w:ind w:left="0"/>
        <w:rPr>
          <w:b/>
          <w:smallCaps/>
          <w:noProof/>
        </w:rPr>
      </w:pPr>
      <w:r>
        <w:rPr>
          <w:b/>
          <w:noProof/>
        </w:rPr>
        <w:t xml:space="preserve">G4. </w:t>
      </w:r>
      <w:r>
        <w:rPr>
          <w:noProof/>
        </w:rPr>
        <w:t xml:space="preserve"> </w:t>
      </w:r>
      <w:r>
        <w:rPr>
          <w:b/>
          <w:noProof/>
        </w:rPr>
        <w:t xml:space="preserve">Etappenziele, Zielwerte, Indikatoren und </w:t>
      </w:r>
      <w:r>
        <w:rPr>
          <w:b/>
          <w:noProof/>
        </w:rPr>
        <w:t>Zeitplan für die Überwachung und Durchführung (Darlehen)</w:t>
      </w:r>
    </w:p>
    <w:p w14:paraId="078E4D84" w14:textId="77777777" w:rsidR="00EB245A" w:rsidRDefault="00EB245A">
      <w:pPr>
        <w:spacing w:before="120" w:after="120" w:line="240" w:lineRule="auto"/>
        <w:rPr>
          <w:noProof/>
        </w:rPr>
      </w:pPr>
    </w:p>
    <w:p w14:paraId="794085A9" w14:textId="77777777" w:rsidR="00EB245A" w:rsidRDefault="006021EE">
      <w:pPr>
        <w:pStyle w:val="P68B1DB1-Text14"/>
        <w:keepNext/>
        <w:ind w:left="0"/>
        <w:rPr>
          <w:noProof/>
        </w:rPr>
      </w:pPr>
      <w:r>
        <w:rPr>
          <w:noProof/>
        </w:rPr>
        <w:t>Teilkomponente G3.1 – Verbesserung des Einsatzes erneuerbarer Energien, grüner Kompetenzen und Energieeffizienz</w:t>
      </w:r>
    </w:p>
    <w:tbl>
      <w:tblPr>
        <w:tblW w:w="15309" w:type="dxa"/>
        <w:jc w:val="center"/>
        <w:tblLayout w:type="fixed"/>
        <w:tblLook w:val="04A0" w:firstRow="1" w:lastRow="0" w:firstColumn="1" w:lastColumn="0" w:noHBand="0" w:noVBand="1"/>
      </w:tblPr>
      <w:tblGrid>
        <w:gridCol w:w="803"/>
        <w:gridCol w:w="1461"/>
        <w:gridCol w:w="1275"/>
        <w:gridCol w:w="1650"/>
        <w:gridCol w:w="1894"/>
        <w:gridCol w:w="1134"/>
        <w:gridCol w:w="1276"/>
        <w:gridCol w:w="708"/>
        <w:gridCol w:w="1134"/>
        <w:gridCol w:w="1134"/>
        <w:gridCol w:w="2840"/>
      </w:tblGrid>
      <w:tr w:rsidR="00EB245A" w14:paraId="023CA7BC" w14:textId="77777777" w:rsidTr="00396F21">
        <w:trPr>
          <w:trHeight w:val="799"/>
          <w:tblHeader/>
          <w:jc w:val="center"/>
        </w:trPr>
        <w:tc>
          <w:tcPr>
            <w:tcW w:w="80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AEABD58" w14:textId="02F6210A" w:rsidR="00EB245A" w:rsidRDefault="006021EE">
            <w:pPr>
              <w:pStyle w:val="P68B1DB1-Normal41"/>
              <w:spacing w:after="0" w:line="240" w:lineRule="auto"/>
              <w:jc w:val="center"/>
              <w:rPr>
                <w:rFonts w:eastAsia="Times New Roman" w:cs="Times New Roman"/>
                <w:noProof/>
              </w:rPr>
            </w:pPr>
            <w:r>
              <w:rPr>
                <w:noProof/>
              </w:rPr>
              <w:t>Lfd. Nr. Nr.</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A6E8AB9" w14:textId="77777777" w:rsidR="00EB245A" w:rsidRDefault="006021EE">
            <w:pPr>
              <w:pStyle w:val="P68B1DB1-Normal42"/>
              <w:spacing w:after="0" w:line="240" w:lineRule="auto"/>
              <w:jc w:val="center"/>
              <w:rPr>
                <w:rFonts w:eastAsia="Times New Roman" w:cs="Times New Roman"/>
                <w:noProof/>
                <w:sz w:val="24"/>
              </w:rPr>
            </w:pPr>
            <w:r>
              <w:rPr>
                <w:noProof/>
              </w:rPr>
              <w:t>Verbundene Maßnahme (Reform oder Investition)</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DCCA610" w14:textId="77777777" w:rsidR="00EB245A" w:rsidRDefault="006021EE">
            <w:pPr>
              <w:pStyle w:val="P68B1DB1-Normal42"/>
              <w:spacing w:after="0" w:line="240" w:lineRule="auto"/>
              <w:jc w:val="center"/>
              <w:rPr>
                <w:rFonts w:eastAsia="Times New Roman" w:cs="Times New Roman"/>
                <w:noProof/>
                <w:sz w:val="24"/>
              </w:rPr>
            </w:pPr>
            <w:r>
              <w:rPr>
                <w:noProof/>
              </w:rPr>
              <w:t>Etappenziel/Zielwert</w:t>
            </w:r>
          </w:p>
        </w:tc>
        <w:tc>
          <w:tcPr>
            <w:tcW w:w="165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F0B78E5" w14:textId="77777777" w:rsidR="00EB245A" w:rsidRDefault="006021EE">
            <w:pPr>
              <w:pStyle w:val="P68B1DB1-Normal42"/>
              <w:spacing w:after="0" w:line="240" w:lineRule="auto"/>
              <w:jc w:val="center"/>
              <w:rPr>
                <w:rFonts w:eastAsia="Times New Roman" w:cs="Times New Roman"/>
                <w:noProof/>
                <w:sz w:val="24"/>
              </w:rPr>
            </w:pPr>
            <w:r>
              <w:rPr>
                <w:noProof/>
              </w:rPr>
              <w:t>Namen</w:t>
            </w:r>
          </w:p>
        </w:tc>
        <w:tc>
          <w:tcPr>
            <w:tcW w:w="189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629D52A" w14:textId="77777777" w:rsidR="00EB245A" w:rsidRDefault="006021EE">
            <w:pPr>
              <w:spacing w:after="0" w:line="240" w:lineRule="auto"/>
              <w:jc w:val="center"/>
              <w:rPr>
                <w:rFonts w:ascii="Times New Roman" w:eastAsia="Times New Roman" w:hAnsi="Times New Roman" w:cs="Times New Roman"/>
                <w:b/>
                <w:noProof/>
                <w:sz w:val="24"/>
              </w:rPr>
            </w:pPr>
            <w:r>
              <w:rPr>
                <w:rFonts w:ascii="Times New Roman" w:hAnsi="Times New Roman"/>
                <w:b/>
                <w:noProof/>
                <w:color w:val="000000"/>
                <w:sz w:val="18"/>
              </w:rPr>
              <w:t>Etappenziel/Zielwert</w:t>
            </w:r>
            <w:r>
              <w:rPr>
                <w:noProof/>
              </w:rPr>
              <w:t xml:space="preserve">  </w:t>
            </w:r>
            <w:r>
              <w:rPr>
                <w:noProof/>
              </w:rPr>
              <w:br/>
            </w:r>
            <w:r>
              <w:rPr>
                <w:rFonts w:ascii="Times New Roman" w:hAnsi="Times New Roman"/>
                <w:b/>
                <w:noProof/>
                <w:color w:val="000000"/>
                <w:sz w:val="18"/>
              </w:rPr>
              <w:t>(für Etappenziele)</w:t>
            </w:r>
          </w:p>
        </w:tc>
        <w:tc>
          <w:tcPr>
            <w:tcW w:w="3118"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2DE37C5C" w14:textId="77777777" w:rsidR="00EB245A" w:rsidRDefault="006021EE">
            <w:pPr>
              <w:spacing w:after="0" w:line="240" w:lineRule="auto"/>
              <w:jc w:val="center"/>
              <w:rPr>
                <w:rFonts w:ascii="Times New Roman" w:eastAsia="Times New Roman" w:hAnsi="Times New Roman" w:cs="Times New Roman"/>
                <w:b/>
                <w:noProof/>
                <w:sz w:val="24"/>
              </w:rPr>
            </w:pPr>
            <w:r>
              <w:rPr>
                <w:rFonts w:ascii="Times New Roman" w:hAnsi="Times New Roman"/>
                <w:b/>
                <w:noProof/>
                <w:color w:val="000000"/>
                <w:sz w:val="18"/>
              </w:rPr>
              <w:t>Qualitative Indikatoren (für Etappenziele)</w:t>
            </w:r>
            <w:r>
              <w:rPr>
                <w:noProof/>
              </w:rPr>
              <w:t xml:space="preserve">  </w:t>
            </w:r>
            <w:r>
              <w:rPr>
                <w:noProof/>
              </w:rPr>
              <w:br/>
            </w:r>
            <w:r>
              <w:rPr>
                <w:rFonts w:ascii="Times New Roman" w:hAnsi="Times New Roman"/>
                <w:b/>
                <w:noProof/>
                <w:color w:val="000000"/>
                <w:sz w:val="18"/>
              </w:rPr>
              <w:t>(für Ziele)</w:t>
            </w:r>
          </w:p>
        </w:tc>
        <w:tc>
          <w:tcPr>
            <w:tcW w:w="2268" w:type="dxa"/>
            <w:gridSpan w:val="2"/>
            <w:tcBorders>
              <w:top w:val="single" w:sz="4" w:space="0" w:color="auto"/>
              <w:left w:val="nil"/>
              <w:bottom w:val="single" w:sz="4" w:space="0" w:color="auto"/>
              <w:right w:val="single" w:sz="4" w:space="0" w:color="auto"/>
            </w:tcBorders>
            <w:shd w:val="clear" w:color="auto" w:fill="BDD7EE"/>
            <w:vAlign w:val="center"/>
            <w:hideMark/>
          </w:tcPr>
          <w:p w14:paraId="0B268F92" w14:textId="494777AE" w:rsidR="00EB245A" w:rsidRDefault="006021EE">
            <w:pPr>
              <w:pStyle w:val="P68B1DB1-Normal42"/>
              <w:spacing w:after="0" w:line="240" w:lineRule="auto"/>
              <w:jc w:val="center"/>
              <w:rPr>
                <w:rFonts w:eastAsia="Times New Roman" w:cs="Times New Roman"/>
                <w:noProof/>
                <w:sz w:val="24"/>
              </w:rPr>
            </w:pPr>
            <w:r>
              <w:rPr>
                <w:noProof/>
              </w:rPr>
              <w:t>Vorläufiger Zeitplan für die Fertigstellung</w:t>
            </w:r>
          </w:p>
        </w:tc>
        <w:tc>
          <w:tcPr>
            <w:tcW w:w="284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15E85B7" w14:textId="77777777" w:rsidR="00EB245A" w:rsidRDefault="006021EE">
            <w:pPr>
              <w:pStyle w:val="P68B1DB1-Normal42"/>
              <w:spacing w:after="0" w:line="240" w:lineRule="auto"/>
              <w:jc w:val="center"/>
              <w:rPr>
                <w:rFonts w:eastAsia="Times New Roman" w:cs="Times New Roman"/>
                <w:noProof/>
                <w:sz w:val="24"/>
              </w:rPr>
            </w:pPr>
            <w:r>
              <w:rPr>
                <w:noProof/>
              </w:rPr>
              <w:t>Beschreibung der einzelnen Etappenziele und Zielvorgaben</w:t>
            </w:r>
          </w:p>
        </w:tc>
      </w:tr>
      <w:tr w:rsidR="00EB245A" w14:paraId="79B69BD9" w14:textId="77777777" w:rsidTr="00396F21">
        <w:trPr>
          <w:trHeight w:val="605"/>
          <w:tblHeader/>
          <w:jc w:val="center"/>
        </w:trPr>
        <w:tc>
          <w:tcPr>
            <w:tcW w:w="803" w:type="dxa"/>
            <w:vMerge/>
            <w:tcBorders>
              <w:top w:val="single" w:sz="4" w:space="0" w:color="auto"/>
              <w:left w:val="single" w:sz="4" w:space="0" w:color="auto"/>
              <w:bottom w:val="single" w:sz="4" w:space="0" w:color="auto"/>
              <w:right w:val="single" w:sz="4" w:space="0" w:color="auto"/>
            </w:tcBorders>
            <w:hideMark/>
          </w:tcPr>
          <w:p w14:paraId="6BFB7A23" w14:textId="77777777" w:rsidR="00EB245A" w:rsidRDefault="00EB245A">
            <w:pPr>
              <w:spacing w:after="0" w:line="240" w:lineRule="auto"/>
              <w:jc w:val="center"/>
              <w:rPr>
                <w:rFonts w:ascii="Times New Roman" w:eastAsia="Times New Roman" w:hAnsi="Times New Roman" w:cs="Times New Roman"/>
                <w:b/>
                <w:noProof/>
                <w:sz w:val="18"/>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29897C51" w14:textId="77777777" w:rsidR="00EB245A" w:rsidRDefault="00EB245A">
            <w:pPr>
              <w:spacing w:after="0" w:line="240" w:lineRule="auto"/>
              <w:rPr>
                <w:rFonts w:ascii="Times New Roman" w:eastAsia="Times New Roman" w:hAnsi="Times New Roman" w:cs="Times New Roman"/>
                <w:b/>
                <w:noProof/>
                <w:sz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A72F3B0" w14:textId="77777777" w:rsidR="00EB245A" w:rsidRDefault="00EB245A">
            <w:pPr>
              <w:spacing w:after="0" w:line="240" w:lineRule="auto"/>
              <w:rPr>
                <w:rFonts w:ascii="Times New Roman" w:eastAsia="Times New Roman" w:hAnsi="Times New Roman" w:cs="Times New Roman"/>
                <w:b/>
                <w:noProof/>
                <w:sz w:val="24"/>
              </w:rPr>
            </w:pPr>
          </w:p>
        </w:tc>
        <w:tc>
          <w:tcPr>
            <w:tcW w:w="1650" w:type="dxa"/>
            <w:vMerge/>
            <w:tcBorders>
              <w:top w:val="single" w:sz="4" w:space="0" w:color="auto"/>
              <w:left w:val="single" w:sz="4" w:space="0" w:color="auto"/>
              <w:bottom w:val="single" w:sz="4" w:space="0" w:color="auto"/>
              <w:right w:val="single" w:sz="4" w:space="0" w:color="auto"/>
            </w:tcBorders>
            <w:vAlign w:val="center"/>
            <w:hideMark/>
          </w:tcPr>
          <w:p w14:paraId="46FB6C9F" w14:textId="77777777" w:rsidR="00EB245A" w:rsidRDefault="00EB245A">
            <w:pPr>
              <w:spacing w:after="0" w:line="240" w:lineRule="auto"/>
              <w:rPr>
                <w:rFonts w:ascii="Times New Roman" w:eastAsia="Times New Roman" w:hAnsi="Times New Roman" w:cs="Times New Roman"/>
                <w:b/>
                <w:noProof/>
                <w:sz w:val="24"/>
              </w:rPr>
            </w:pPr>
          </w:p>
        </w:tc>
        <w:tc>
          <w:tcPr>
            <w:tcW w:w="1894" w:type="dxa"/>
            <w:vMerge/>
            <w:tcBorders>
              <w:top w:val="single" w:sz="4" w:space="0" w:color="auto"/>
              <w:left w:val="single" w:sz="4" w:space="0" w:color="auto"/>
              <w:bottom w:val="single" w:sz="4" w:space="0" w:color="auto"/>
              <w:right w:val="single" w:sz="4" w:space="0" w:color="auto"/>
            </w:tcBorders>
            <w:vAlign w:val="center"/>
            <w:hideMark/>
          </w:tcPr>
          <w:p w14:paraId="3682E6C1" w14:textId="77777777" w:rsidR="00EB245A" w:rsidRDefault="00EB245A">
            <w:pPr>
              <w:spacing w:after="0" w:line="240" w:lineRule="auto"/>
              <w:rPr>
                <w:rFonts w:ascii="Times New Roman" w:eastAsia="Times New Roman" w:hAnsi="Times New Roman" w:cs="Times New Roman"/>
                <w:b/>
                <w:noProof/>
                <w:sz w:val="24"/>
              </w:rPr>
            </w:pPr>
          </w:p>
        </w:tc>
        <w:tc>
          <w:tcPr>
            <w:tcW w:w="1134" w:type="dxa"/>
            <w:tcBorders>
              <w:top w:val="nil"/>
              <w:left w:val="single" w:sz="4" w:space="0" w:color="auto"/>
              <w:bottom w:val="single" w:sz="4" w:space="0" w:color="auto"/>
              <w:right w:val="single" w:sz="4" w:space="0" w:color="auto"/>
            </w:tcBorders>
            <w:shd w:val="clear" w:color="auto" w:fill="BDD7EE"/>
            <w:vAlign w:val="center"/>
            <w:hideMark/>
          </w:tcPr>
          <w:p w14:paraId="56DB4F88" w14:textId="77777777" w:rsidR="00EB245A" w:rsidRDefault="006021EE">
            <w:pPr>
              <w:pStyle w:val="P68B1DB1-Normal41"/>
              <w:spacing w:after="0" w:line="240" w:lineRule="auto"/>
              <w:jc w:val="center"/>
              <w:rPr>
                <w:rFonts w:eastAsia="Times New Roman" w:cs="Times New Roman"/>
                <w:noProof/>
              </w:rPr>
            </w:pPr>
            <w:r>
              <w:rPr>
                <w:noProof/>
              </w:rPr>
              <w:t>Maßeinheit</w:t>
            </w:r>
          </w:p>
        </w:tc>
        <w:tc>
          <w:tcPr>
            <w:tcW w:w="1276" w:type="dxa"/>
            <w:tcBorders>
              <w:top w:val="nil"/>
              <w:left w:val="nil"/>
              <w:bottom w:val="single" w:sz="4" w:space="0" w:color="auto"/>
              <w:right w:val="single" w:sz="4" w:space="0" w:color="auto"/>
            </w:tcBorders>
            <w:shd w:val="clear" w:color="auto" w:fill="BDD7EE"/>
            <w:vAlign w:val="center"/>
            <w:hideMark/>
          </w:tcPr>
          <w:p w14:paraId="3686F0F2" w14:textId="43548EF5" w:rsidR="00EB245A" w:rsidRDefault="006021EE">
            <w:pPr>
              <w:pStyle w:val="P68B1DB1-Normal41"/>
              <w:spacing w:after="0" w:line="240" w:lineRule="auto"/>
              <w:jc w:val="center"/>
              <w:rPr>
                <w:rFonts w:eastAsia="Times New Roman" w:cs="Times New Roman"/>
                <w:noProof/>
              </w:rPr>
            </w:pPr>
            <w:r>
              <w:rPr>
                <w:noProof/>
              </w:rPr>
              <w:t>Ausgangslage</w:t>
            </w:r>
          </w:p>
        </w:tc>
        <w:tc>
          <w:tcPr>
            <w:tcW w:w="708" w:type="dxa"/>
            <w:tcBorders>
              <w:top w:val="nil"/>
              <w:left w:val="nil"/>
              <w:bottom w:val="single" w:sz="4" w:space="0" w:color="auto"/>
              <w:right w:val="single" w:sz="4" w:space="0" w:color="auto"/>
            </w:tcBorders>
            <w:shd w:val="clear" w:color="auto" w:fill="BDD7EE"/>
            <w:vAlign w:val="center"/>
            <w:hideMark/>
          </w:tcPr>
          <w:p w14:paraId="71D633E6" w14:textId="1DFD27BF" w:rsidR="00EB245A" w:rsidRDefault="006021EE">
            <w:pPr>
              <w:pStyle w:val="P68B1DB1-Normal41"/>
              <w:spacing w:after="0" w:line="240" w:lineRule="auto"/>
              <w:jc w:val="center"/>
              <w:rPr>
                <w:rFonts w:eastAsia="Times New Roman" w:cs="Times New Roman"/>
                <w:noProof/>
              </w:rPr>
            </w:pPr>
            <w:r>
              <w:rPr>
                <w:noProof/>
              </w:rPr>
              <w:t>Ziel</w:t>
            </w:r>
          </w:p>
        </w:tc>
        <w:tc>
          <w:tcPr>
            <w:tcW w:w="1134" w:type="dxa"/>
            <w:tcBorders>
              <w:top w:val="nil"/>
              <w:left w:val="nil"/>
              <w:bottom w:val="single" w:sz="4" w:space="0" w:color="auto"/>
              <w:right w:val="single" w:sz="4" w:space="0" w:color="auto"/>
            </w:tcBorders>
            <w:shd w:val="clear" w:color="auto" w:fill="BDD7EE"/>
            <w:vAlign w:val="center"/>
            <w:hideMark/>
          </w:tcPr>
          <w:p w14:paraId="41920367" w14:textId="77777777" w:rsidR="00EB245A" w:rsidRDefault="006021EE">
            <w:pPr>
              <w:pStyle w:val="P68B1DB1-Normal41"/>
              <w:spacing w:after="0" w:line="240" w:lineRule="auto"/>
              <w:jc w:val="center"/>
              <w:rPr>
                <w:rFonts w:eastAsia="Times New Roman" w:cs="Times New Roman"/>
                <w:noProof/>
              </w:rPr>
            </w:pPr>
            <w:r>
              <w:rPr>
                <w:noProof/>
              </w:rPr>
              <w:t>Viertel</w:t>
            </w:r>
          </w:p>
        </w:tc>
        <w:tc>
          <w:tcPr>
            <w:tcW w:w="1134" w:type="dxa"/>
            <w:tcBorders>
              <w:top w:val="nil"/>
              <w:left w:val="nil"/>
              <w:bottom w:val="single" w:sz="4" w:space="0" w:color="auto"/>
              <w:right w:val="single" w:sz="4" w:space="0" w:color="auto"/>
            </w:tcBorders>
            <w:shd w:val="clear" w:color="auto" w:fill="BDD7EE"/>
            <w:vAlign w:val="center"/>
            <w:hideMark/>
          </w:tcPr>
          <w:p w14:paraId="19996235" w14:textId="77777777" w:rsidR="00EB245A" w:rsidRDefault="006021EE">
            <w:pPr>
              <w:pStyle w:val="P68B1DB1-Normal41"/>
              <w:spacing w:after="0" w:line="240" w:lineRule="auto"/>
              <w:jc w:val="center"/>
              <w:rPr>
                <w:rFonts w:eastAsia="Times New Roman" w:cs="Times New Roman"/>
                <w:noProof/>
              </w:rPr>
            </w:pPr>
            <w:r>
              <w:rPr>
                <w:noProof/>
              </w:rPr>
              <w:t>Jahre</w:t>
            </w:r>
          </w:p>
        </w:tc>
        <w:tc>
          <w:tcPr>
            <w:tcW w:w="2840" w:type="dxa"/>
            <w:vMerge/>
            <w:tcBorders>
              <w:top w:val="single" w:sz="4" w:space="0" w:color="auto"/>
              <w:bottom w:val="single" w:sz="4" w:space="0" w:color="auto"/>
              <w:right w:val="single" w:sz="4" w:space="0" w:color="auto"/>
            </w:tcBorders>
            <w:vAlign w:val="center"/>
            <w:hideMark/>
          </w:tcPr>
          <w:p w14:paraId="2C59524A" w14:textId="77777777" w:rsidR="00EB245A" w:rsidRDefault="00EB245A">
            <w:pPr>
              <w:spacing w:after="0" w:line="240" w:lineRule="auto"/>
              <w:rPr>
                <w:rFonts w:ascii="Times New Roman" w:eastAsia="Times New Roman" w:hAnsi="Times New Roman" w:cs="Times New Roman"/>
                <w:b/>
                <w:noProof/>
                <w:sz w:val="24"/>
              </w:rPr>
            </w:pPr>
          </w:p>
        </w:tc>
      </w:tr>
      <w:tr w:rsidR="00EB245A" w14:paraId="0137BD41" w14:textId="77777777" w:rsidTr="00396F21">
        <w:trPr>
          <w:trHeight w:val="309"/>
          <w:jc w:val="center"/>
        </w:trPr>
        <w:tc>
          <w:tcPr>
            <w:tcW w:w="803" w:type="dxa"/>
            <w:tcBorders>
              <w:top w:val="single" w:sz="4" w:space="0" w:color="auto"/>
              <w:left w:val="single" w:sz="4" w:space="0" w:color="auto"/>
              <w:bottom w:val="single" w:sz="4" w:space="0" w:color="auto"/>
              <w:right w:val="single" w:sz="4" w:space="0" w:color="auto"/>
            </w:tcBorders>
            <w:shd w:val="clear" w:color="auto" w:fill="C6EFCE"/>
            <w:noWrap/>
          </w:tcPr>
          <w:p w14:paraId="6D85D229" w14:textId="6E8D852C" w:rsidR="00EB245A" w:rsidRDefault="006021EE">
            <w:pPr>
              <w:pStyle w:val="P68B1DB1-Normal26"/>
              <w:spacing w:after="0" w:line="240" w:lineRule="auto"/>
              <w:jc w:val="center"/>
              <w:rPr>
                <w:rFonts w:eastAsia="Times New Roman" w:cs="Times New Roman"/>
                <w:noProof/>
              </w:rPr>
            </w:pPr>
            <w:r>
              <w:rPr>
                <w:noProof/>
              </w:rPr>
              <w:t>G1L</w:t>
            </w:r>
          </w:p>
        </w:tc>
        <w:tc>
          <w:tcPr>
            <w:tcW w:w="1461" w:type="dxa"/>
            <w:tcBorders>
              <w:top w:val="single" w:sz="4" w:space="0" w:color="auto"/>
              <w:left w:val="single" w:sz="4" w:space="0" w:color="auto"/>
              <w:bottom w:val="single" w:sz="4" w:space="0" w:color="auto"/>
              <w:right w:val="single" w:sz="4" w:space="0" w:color="auto"/>
            </w:tcBorders>
            <w:shd w:val="clear" w:color="auto" w:fill="C6EFCE"/>
            <w:noWrap/>
          </w:tcPr>
          <w:p w14:paraId="3C4F157E" w14:textId="33A1552B" w:rsidR="00EB245A" w:rsidRDefault="006021EE">
            <w:pPr>
              <w:pStyle w:val="P68B1DB1-Normal26"/>
              <w:spacing w:after="0" w:line="240" w:lineRule="auto"/>
              <w:rPr>
                <w:rFonts w:eastAsia="Times New Roman" w:cs="Times New Roman"/>
                <w:noProof/>
              </w:rPr>
            </w:pPr>
            <w:r>
              <w:rPr>
                <w:noProof/>
              </w:rPr>
              <w:t>G3.1.1 Straffung des Genehmigungsverfahrens für erneuerbare Energiequellen</w:t>
            </w:r>
          </w:p>
        </w:tc>
        <w:tc>
          <w:tcPr>
            <w:tcW w:w="1275" w:type="dxa"/>
            <w:tcBorders>
              <w:top w:val="single" w:sz="4" w:space="0" w:color="auto"/>
              <w:left w:val="single" w:sz="4" w:space="0" w:color="auto"/>
              <w:bottom w:val="single" w:sz="4" w:space="0" w:color="auto"/>
              <w:right w:val="single" w:sz="4" w:space="0" w:color="auto"/>
            </w:tcBorders>
            <w:shd w:val="clear" w:color="auto" w:fill="C6EFCE"/>
            <w:noWrap/>
          </w:tcPr>
          <w:p w14:paraId="40F8465C" w14:textId="77777777" w:rsidR="00EB245A" w:rsidRDefault="006021EE">
            <w:pPr>
              <w:pStyle w:val="P68B1DB1-Normal26"/>
              <w:spacing w:after="0" w:line="240" w:lineRule="auto"/>
              <w:rPr>
                <w:rFonts w:eastAsia="Times New Roman" w:cs="Times New Roman"/>
                <w:noProof/>
              </w:rPr>
            </w:pPr>
            <w:r>
              <w:rPr>
                <w:noProof/>
              </w:rPr>
              <w:t>Meilenstein</w:t>
            </w:r>
          </w:p>
        </w:tc>
        <w:tc>
          <w:tcPr>
            <w:tcW w:w="1650" w:type="dxa"/>
            <w:tcBorders>
              <w:top w:val="single" w:sz="4" w:space="0" w:color="auto"/>
              <w:left w:val="single" w:sz="4" w:space="0" w:color="auto"/>
              <w:bottom w:val="single" w:sz="4" w:space="0" w:color="auto"/>
              <w:right w:val="single" w:sz="4" w:space="0" w:color="auto"/>
            </w:tcBorders>
            <w:shd w:val="clear" w:color="auto" w:fill="C6EFCE"/>
            <w:noWrap/>
          </w:tcPr>
          <w:p w14:paraId="0FB00B1F" w14:textId="77777777" w:rsidR="00EB245A" w:rsidRDefault="006021EE">
            <w:pPr>
              <w:pStyle w:val="P68B1DB1-Normal26"/>
              <w:spacing w:after="0" w:line="240" w:lineRule="auto"/>
              <w:rPr>
                <w:rFonts w:eastAsia="Times New Roman" w:cs="Times New Roman"/>
                <w:noProof/>
              </w:rPr>
            </w:pPr>
            <w:r>
              <w:rPr>
                <w:noProof/>
              </w:rPr>
              <w:t>Kartierung des Potenzials erneuerbarer Energien für Photovoltaik- und Onshore-Windkraftanlagen</w:t>
            </w:r>
          </w:p>
        </w:tc>
        <w:tc>
          <w:tcPr>
            <w:tcW w:w="1894" w:type="dxa"/>
            <w:tcBorders>
              <w:top w:val="single" w:sz="4" w:space="0" w:color="auto"/>
              <w:left w:val="single" w:sz="4" w:space="0" w:color="auto"/>
              <w:bottom w:val="single" w:sz="4" w:space="0" w:color="auto"/>
              <w:right w:val="single" w:sz="4" w:space="0" w:color="auto"/>
            </w:tcBorders>
            <w:shd w:val="clear" w:color="auto" w:fill="C6EFCE"/>
            <w:noWrap/>
          </w:tcPr>
          <w:p w14:paraId="013FA673" w14:textId="43CC38BF" w:rsidR="00EB245A" w:rsidRDefault="006021EE">
            <w:pPr>
              <w:pStyle w:val="P68B1DB1-Normal26"/>
              <w:spacing w:after="0" w:line="240" w:lineRule="auto"/>
              <w:rPr>
                <w:rFonts w:eastAsia="Times New Roman" w:cs="Times New Roman"/>
                <w:noProof/>
              </w:rPr>
            </w:pPr>
            <w:r>
              <w:rPr>
                <w:noProof/>
              </w:rPr>
              <w:t>Veröffentlichung von Karten über das Potenzial erneuerbarer Energien für P</w:t>
            </w:r>
            <w:r>
              <w:rPr>
                <w:noProof/>
              </w:rPr>
              <w:t>hotovoltaik und Onshore-Windkraft über einen geeigneten digitalen Kanal</w:t>
            </w:r>
          </w:p>
        </w:tc>
        <w:tc>
          <w:tcPr>
            <w:tcW w:w="1134" w:type="dxa"/>
            <w:tcBorders>
              <w:top w:val="single" w:sz="4" w:space="0" w:color="auto"/>
              <w:left w:val="single" w:sz="4" w:space="0" w:color="auto"/>
              <w:bottom w:val="single" w:sz="4" w:space="0" w:color="auto"/>
              <w:right w:val="single" w:sz="4" w:space="0" w:color="auto"/>
            </w:tcBorders>
            <w:shd w:val="clear" w:color="auto" w:fill="C6EFCE"/>
            <w:noWrap/>
          </w:tcPr>
          <w:p w14:paraId="01E1395C" w14:textId="77777777" w:rsidR="00EB245A" w:rsidRDefault="00EB245A">
            <w:pPr>
              <w:spacing w:after="0" w:line="240" w:lineRule="auto"/>
              <w:rPr>
                <w:rFonts w:ascii="Times New Roman" w:eastAsia="Times New Roman" w:hAnsi="Times New Roman" w:cs="Times New Roman"/>
                <w:noProof/>
                <w:sz w:val="18"/>
              </w:rPr>
            </w:pPr>
          </w:p>
        </w:tc>
        <w:tc>
          <w:tcPr>
            <w:tcW w:w="1276" w:type="dxa"/>
            <w:tcBorders>
              <w:top w:val="single" w:sz="4" w:space="0" w:color="auto"/>
              <w:left w:val="single" w:sz="4" w:space="0" w:color="auto"/>
              <w:bottom w:val="single" w:sz="4" w:space="0" w:color="auto"/>
              <w:right w:val="single" w:sz="4" w:space="0" w:color="auto"/>
            </w:tcBorders>
            <w:shd w:val="clear" w:color="auto" w:fill="C6EFCE"/>
            <w:noWrap/>
          </w:tcPr>
          <w:p w14:paraId="38623F03" w14:textId="77777777" w:rsidR="00EB245A" w:rsidRDefault="00EB245A">
            <w:pPr>
              <w:spacing w:after="0" w:line="240" w:lineRule="auto"/>
              <w:jc w:val="center"/>
              <w:rPr>
                <w:rFonts w:ascii="Times New Roman" w:eastAsia="Times New Roman" w:hAnsi="Times New Roman" w:cs="Times New Roman"/>
                <w:noProof/>
                <w:sz w:val="18"/>
              </w:rPr>
            </w:pPr>
          </w:p>
        </w:tc>
        <w:tc>
          <w:tcPr>
            <w:tcW w:w="708" w:type="dxa"/>
            <w:tcBorders>
              <w:top w:val="single" w:sz="4" w:space="0" w:color="auto"/>
              <w:left w:val="single" w:sz="4" w:space="0" w:color="auto"/>
              <w:bottom w:val="single" w:sz="4" w:space="0" w:color="auto"/>
              <w:right w:val="single" w:sz="4" w:space="0" w:color="auto"/>
            </w:tcBorders>
            <w:shd w:val="clear" w:color="auto" w:fill="C6EFCE"/>
            <w:noWrap/>
          </w:tcPr>
          <w:p w14:paraId="2C182B18" w14:textId="77777777" w:rsidR="00EB245A" w:rsidRDefault="00EB245A">
            <w:pPr>
              <w:spacing w:after="0" w:line="240" w:lineRule="auto"/>
              <w:jc w:val="center"/>
              <w:rPr>
                <w:rFonts w:ascii="Times New Roman" w:eastAsia="Times New Roman" w:hAnsi="Times New Roman" w:cs="Times New Roman"/>
                <w:noProof/>
                <w:sz w:val="18"/>
              </w:rPr>
            </w:pPr>
          </w:p>
        </w:tc>
        <w:tc>
          <w:tcPr>
            <w:tcW w:w="1134" w:type="dxa"/>
            <w:tcBorders>
              <w:top w:val="single" w:sz="4" w:space="0" w:color="auto"/>
              <w:left w:val="single" w:sz="4" w:space="0" w:color="auto"/>
              <w:bottom w:val="single" w:sz="4" w:space="0" w:color="auto"/>
              <w:right w:val="single" w:sz="4" w:space="0" w:color="auto"/>
            </w:tcBorders>
            <w:shd w:val="clear" w:color="auto" w:fill="C6EFCE"/>
            <w:noWrap/>
          </w:tcPr>
          <w:p w14:paraId="363A1082" w14:textId="77777777" w:rsidR="00EB245A" w:rsidRDefault="006021EE">
            <w:pPr>
              <w:pStyle w:val="P68B1DB1-Normal26"/>
              <w:jc w:val="center"/>
              <w:rPr>
                <w:rFonts w:eastAsia="Times New Roman" w:cs="Times New Roman"/>
                <w:noProof/>
              </w:rPr>
            </w:pPr>
            <w:r>
              <w:rPr>
                <w:noProof/>
              </w:rPr>
              <w:t>Q4</w:t>
            </w:r>
          </w:p>
        </w:tc>
        <w:tc>
          <w:tcPr>
            <w:tcW w:w="1134" w:type="dxa"/>
            <w:tcBorders>
              <w:top w:val="single" w:sz="4" w:space="0" w:color="auto"/>
              <w:left w:val="single" w:sz="4" w:space="0" w:color="auto"/>
              <w:bottom w:val="single" w:sz="4" w:space="0" w:color="auto"/>
              <w:right w:val="single" w:sz="4" w:space="0" w:color="auto"/>
            </w:tcBorders>
            <w:shd w:val="clear" w:color="auto" w:fill="C6EFCE"/>
            <w:noWrap/>
          </w:tcPr>
          <w:p w14:paraId="6C982E6E" w14:textId="77777777" w:rsidR="00EB245A" w:rsidRDefault="006021EE">
            <w:pPr>
              <w:pStyle w:val="P68B1DB1-Normal26"/>
              <w:spacing w:after="0" w:line="240" w:lineRule="auto"/>
              <w:jc w:val="center"/>
              <w:rPr>
                <w:rFonts w:eastAsia="Times New Roman" w:cs="Times New Roman"/>
                <w:noProof/>
              </w:rPr>
            </w:pPr>
            <w:r>
              <w:rPr>
                <w:noProof/>
              </w:rPr>
              <w:t>2024</w:t>
            </w:r>
          </w:p>
        </w:tc>
        <w:tc>
          <w:tcPr>
            <w:tcW w:w="2840" w:type="dxa"/>
            <w:tcBorders>
              <w:top w:val="single" w:sz="4" w:space="0" w:color="auto"/>
              <w:left w:val="single" w:sz="4" w:space="0" w:color="auto"/>
              <w:bottom w:val="single" w:sz="4" w:space="0" w:color="auto"/>
              <w:right w:val="single" w:sz="4" w:space="0" w:color="auto"/>
            </w:tcBorders>
            <w:shd w:val="clear" w:color="auto" w:fill="C6EFCE"/>
            <w:noWrap/>
          </w:tcPr>
          <w:p w14:paraId="58C65B43" w14:textId="77777777" w:rsidR="00EB245A" w:rsidRDefault="006021EE">
            <w:pPr>
              <w:pStyle w:val="P68B1DB1-Normal26"/>
              <w:spacing w:after="0" w:line="240" w:lineRule="auto"/>
              <w:rPr>
                <w:rFonts w:eastAsia="Times New Roman" w:cs="Times New Roman"/>
                <w:noProof/>
              </w:rPr>
            </w:pPr>
            <w:r>
              <w:rPr>
                <w:noProof/>
              </w:rPr>
              <w:t xml:space="preserve">Das Ministerium für Klima und Umwelt gibt die Kartierung des Potenzials erneuerbarer Energien für Photovoltaik- und Onshore-Windkraftanlagen in Auftrag und macht die daraus </w:t>
            </w:r>
            <w:r>
              <w:rPr>
                <w:noProof/>
              </w:rPr>
              <w:t xml:space="preserve">resultierende Ressourcenkarte über einen geeigneten digitalen Kanal, z. B. über eine Website, öffentlich zugänglich.  </w:t>
            </w:r>
          </w:p>
          <w:p w14:paraId="3E1F2F13" w14:textId="77777777" w:rsidR="00EB245A" w:rsidRDefault="00EB245A">
            <w:pPr>
              <w:spacing w:after="0" w:line="240" w:lineRule="auto"/>
              <w:rPr>
                <w:rFonts w:ascii="Times New Roman" w:eastAsia="Times New Roman" w:hAnsi="Times New Roman" w:cs="Times New Roman"/>
                <w:noProof/>
                <w:sz w:val="18"/>
              </w:rPr>
            </w:pPr>
          </w:p>
          <w:p w14:paraId="253A1EAF" w14:textId="64D79941" w:rsidR="00EB245A" w:rsidRDefault="006021EE">
            <w:pPr>
              <w:pStyle w:val="P68B1DB1-Normal26"/>
              <w:spacing w:after="0" w:line="240" w:lineRule="auto"/>
              <w:rPr>
                <w:rFonts w:eastAsia="Times New Roman" w:cs="Times New Roman"/>
                <w:noProof/>
              </w:rPr>
            </w:pPr>
            <w:r>
              <w:rPr>
                <w:noProof/>
              </w:rPr>
              <w:t xml:space="preserve">Die Ressourcenkarte muss das gesamte Hoheitsgebiet Polens abdecken und in einem Format verfügbar sein, das eine einfache Integration in </w:t>
            </w:r>
            <w:r>
              <w:rPr>
                <w:noProof/>
              </w:rPr>
              <w:t>die Raumplanungsverfahren im Hinblick auf die Ausweisung von Gebieten für erneuerbare Energie (im Sinne von Artikel 15b der Richtlinie (EU) 2023/2413 vom 18. Oktober 2023 (RED III) und von Beschleunigungsgebieten für erneuerbare Energien (im Sinne von Arti</w:t>
            </w:r>
            <w:r>
              <w:rPr>
                <w:noProof/>
              </w:rPr>
              <w:t xml:space="preserve">kel 2 Absatz 2 Nummer 9a und Artikel 15c der RED III) ermöglicht. </w:t>
            </w:r>
          </w:p>
          <w:p w14:paraId="41B7E8A1" w14:textId="77777777" w:rsidR="00EB245A" w:rsidRDefault="00EB245A">
            <w:pPr>
              <w:spacing w:after="0" w:line="240" w:lineRule="auto"/>
              <w:rPr>
                <w:rFonts w:ascii="Times New Roman" w:eastAsia="Times New Roman" w:hAnsi="Times New Roman" w:cs="Times New Roman"/>
                <w:noProof/>
                <w:sz w:val="18"/>
              </w:rPr>
            </w:pPr>
          </w:p>
          <w:p w14:paraId="6CE3FB97" w14:textId="17E206CF" w:rsidR="00EB245A" w:rsidRDefault="006021EE">
            <w:pPr>
              <w:pStyle w:val="P68B1DB1-Normal26"/>
              <w:spacing w:after="0" w:line="240" w:lineRule="auto"/>
              <w:rPr>
                <w:rFonts w:eastAsia="Times New Roman" w:cs="Times New Roman"/>
                <w:noProof/>
              </w:rPr>
            </w:pPr>
            <w:r>
              <w:rPr>
                <w:noProof/>
              </w:rPr>
              <w:t>Die Kartierung umfasst eine Analyse der Energiedichten für Photovoltaik und Onshore-Windenergie sowie anderer Aspekte, die für die Integration von Photovoltaikanlagen und Onshore-Windkraft</w:t>
            </w:r>
            <w:r>
              <w:rPr>
                <w:noProof/>
              </w:rPr>
              <w:t>anlagen in die Raumplanung relevant sind, wie z. B. Umwelt- und Naturschutzbeschränkungen oder die Zugänglichkeit von Netzen, einschließlich der Ausweisung von Beschleunigungsgebieten;</w:t>
            </w:r>
          </w:p>
        </w:tc>
      </w:tr>
      <w:tr w:rsidR="00EB245A" w14:paraId="6584318B" w14:textId="77777777" w:rsidTr="00396F21">
        <w:trPr>
          <w:trHeight w:val="309"/>
          <w:jc w:val="center"/>
        </w:trPr>
        <w:tc>
          <w:tcPr>
            <w:tcW w:w="803" w:type="dxa"/>
            <w:tcBorders>
              <w:top w:val="single" w:sz="4" w:space="0" w:color="auto"/>
              <w:left w:val="single" w:sz="4" w:space="0" w:color="auto"/>
              <w:bottom w:val="single" w:sz="4" w:space="0" w:color="auto"/>
              <w:right w:val="single" w:sz="4" w:space="0" w:color="auto"/>
            </w:tcBorders>
            <w:shd w:val="clear" w:color="auto" w:fill="C6EFCE"/>
            <w:noWrap/>
          </w:tcPr>
          <w:p w14:paraId="52642195" w14:textId="37D91754" w:rsidR="00EB245A" w:rsidRDefault="006021EE">
            <w:pPr>
              <w:pStyle w:val="P68B1DB1-Normal26"/>
              <w:spacing w:after="0" w:line="240" w:lineRule="auto"/>
              <w:jc w:val="center"/>
              <w:rPr>
                <w:rFonts w:eastAsia="Times New Roman" w:cs="Times New Roman"/>
                <w:noProof/>
              </w:rPr>
            </w:pPr>
            <w:r>
              <w:rPr>
                <w:noProof/>
              </w:rPr>
              <w:t>G2L</w:t>
            </w:r>
          </w:p>
        </w:tc>
        <w:tc>
          <w:tcPr>
            <w:tcW w:w="1461" w:type="dxa"/>
            <w:tcBorders>
              <w:top w:val="single" w:sz="4" w:space="0" w:color="auto"/>
              <w:left w:val="nil"/>
              <w:bottom w:val="single" w:sz="4" w:space="0" w:color="auto"/>
              <w:right w:val="single" w:sz="4" w:space="0" w:color="auto"/>
            </w:tcBorders>
            <w:shd w:val="clear" w:color="auto" w:fill="C6EFCE"/>
            <w:noWrap/>
          </w:tcPr>
          <w:p w14:paraId="6B5A6C76" w14:textId="2D973408" w:rsidR="00EB245A" w:rsidRDefault="006021EE">
            <w:pPr>
              <w:pStyle w:val="P68B1DB1-Normal26"/>
              <w:spacing w:after="0" w:line="240" w:lineRule="auto"/>
              <w:rPr>
                <w:rFonts w:eastAsia="Times New Roman" w:cs="Times New Roman"/>
                <w:noProof/>
              </w:rPr>
            </w:pPr>
            <w:r>
              <w:rPr>
                <w:noProof/>
              </w:rPr>
              <w:t xml:space="preserve">G3.1.1 Straffung des Genehmigungsverfahrens für erneuerbare </w:t>
            </w:r>
            <w:r>
              <w:rPr>
                <w:noProof/>
              </w:rPr>
              <w:t>Energiequellen</w:t>
            </w:r>
          </w:p>
        </w:tc>
        <w:tc>
          <w:tcPr>
            <w:tcW w:w="1275" w:type="dxa"/>
            <w:tcBorders>
              <w:top w:val="single" w:sz="4" w:space="0" w:color="auto"/>
              <w:left w:val="nil"/>
              <w:bottom w:val="single" w:sz="4" w:space="0" w:color="auto"/>
              <w:right w:val="single" w:sz="4" w:space="0" w:color="auto"/>
            </w:tcBorders>
            <w:shd w:val="clear" w:color="auto" w:fill="C6EFCE"/>
            <w:noWrap/>
          </w:tcPr>
          <w:p w14:paraId="06FFD68B" w14:textId="77777777" w:rsidR="00EB245A" w:rsidRDefault="006021EE">
            <w:pPr>
              <w:pStyle w:val="P68B1DB1-Normal26"/>
              <w:spacing w:after="0" w:line="240" w:lineRule="auto"/>
              <w:rPr>
                <w:rFonts w:eastAsia="Times New Roman" w:cs="Times New Roman"/>
                <w:noProof/>
              </w:rPr>
            </w:pPr>
            <w:r>
              <w:rPr>
                <w:noProof/>
              </w:rPr>
              <w:t>Meilenstein</w:t>
            </w:r>
          </w:p>
        </w:tc>
        <w:tc>
          <w:tcPr>
            <w:tcW w:w="1650" w:type="dxa"/>
            <w:tcBorders>
              <w:top w:val="single" w:sz="4" w:space="0" w:color="auto"/>
              <w:left w:val="nil"/>
              <w:bottom w:val="single" w:sz="4" w:space="0" w:color="auto"/>
              <w:right w:val="single" w:sz="4" w:space="0" w:color="auto"/>
            </w:tcBorders>
            <w:shd w:val="clear" w:color="auto" w:fill="C6EFCE"/>
            <w:noWrap/>
          </w:tcPr>
          <w:p w14:paraId="1FD646B9" w14:textId="10EF8481" w:rsidR="00EB245A" w:rsidRDefault="006021EE">
            <w:pPr>
              <w:pStyle w:val="P68B1DB1-Normal26"/>
              <w:spacing w:after="0" w:line="240" w:lineRule="auto"/>
              <w:rPr>
                <w:rFonts w:eastAsia="Times New Roman" w:cs="Times New Roman"/>
                <w:noProof/>
              </w:rPr>
            </w:pPr>
            <w:r>
              <w:rPr>
                <w:noProof/>
              </w:rPr>
              <w:t>Beschleunigung der Genehmigungsverfahren</w:t>
            </w:r>
          </w:p>
        </w:tc>
        <w:tc>
          <w:tcPr>
            <w:tcW w:w="1894" w:type="dxa"/>
            <w:tcBorders>
              <w:top w:val="single" w:sz="4" w:space="0" w:color="auto"/>
              <w:left w:val="nil"/>
              <w:bottom w:val="single" w:sz="4" w:space="0" w:color="auto"/>
              <w:right w:val="single" w:sz="4" w:space="0" w:color="auto"/>
            </w:tcBorders>
            <w:shd w:val="clear" w:color="auto" w:fill="C6EFCE"/>
            <w:noWrap/>
          </w:tcPr>
          <w:p w14:paraId="7A63F1D5" w14:textId="77777777" w:rsidR="00EB245A" w:rsidRDefault="006021EE">
            <w:pPr>
              <w:pStyle w:val="P68B1DB1-Normal26"/>
              <w:spacing w:after="0" w:line="240" w:lineRule="auto"/>
              <w:rPr>
                <w:rFonts w:eastAsia="Times New Roman" w:cs="Times New Roman"/>
                <w:noProof/>
              </w:rPr>
            </w:pPr>
            <w:r>
              <w:rPr>
                <w:noProof/>
              </w:rPr>
              <w:t xml:space="preserve">Bestimmung in den Rechtsakten, aus denen hervorgeht, dass sie in Kraft treten   </w:t>
            </w:r>
          </w:p>
          <w:p w14:paraId="67417548" w14:textId="77777777" w:rsidR="00EB245A" w:rsidRDefault="00EB245A">
            <w:pPr>
              <w:spacing w:after="0" w:line="240" w:lineRule="auto"/>
              <w:rPr>
                <w:rFonts w:ascii="Times New Roman" w:eastAsia="Times New Roman" w:hAnsi="Times New Roman" w:cs="Times New Roman"/>
                <w:noProof/>
                <w:sz w:val="18"/>
              </w:rPr>
            </w:pPr>
          </w:p>
          <w:p w14:paraId="553D4391" w14:textId="77777777" w:rsidR="00EB245A" w:rsidRDefault="00EB245A">
            <w:pPr>
              <w:pStyle w:val="Normal0"/>
              <w:spacing w:after="0" w:line="240" w:lineRule="auto"/>
              <w:rPr>
                <w:rFonts w:ascii="Times New Roman" w:eastAsia="Times New Roman" w:hAnsi="Times New Roman" w:cs="Times New Roman"/>
                <w:noProof/>
                <w:sz w:val="18"/>
              </w:rPr>
            </w:pPr>
          </w:p>
        </w:tc>
        <w:tc>
          <w:tcPr>
            <w:tcW w:w="1134" w:type="dxa"/>
            <w:tcBorders>
              <w:top w:val="single" w:sz="4" w:space="0" w:color="auto"/>
              <w:left w:val="nil"/>
              <w:bottom w:val="single" w:sz="4" w:space="0" w:color="auto"/>
              <w:right w:val="single" w:sz="4" w:space="0" w:color="auto"/>
            </w:tcBorders>
            <w:shd w:val="clear" w:color="auto" w:fill="C6EFCE"/>
            <w:noWrap/>
          </w:tcPr>
          <w:p w14:paraId="2A55E78C" w14:textId="77777777" w:rsidR="00EB245A" w:rsidRDefault="00EB245A">
            <w:pPr>
              <w:spacing w:after="0" w:line="240" w:lineRule="auto"/>
              <w:rPr>
                <w:rFonts w:ascii="Times New Roman" w:eastAsia="Times New Roman" w:hAnsi="Times New Roman" w:cs="Times New Roman"/>
                <w:noProof/>
                <w:sz w:val="18"/>
              </w:rPr>
            </w:pPr>
          </w:p>
        </w:tc>
        <w:tc>
          <w:tcPr>
            <w:tcW w:w="1276" w:type="dxa"/>
            <w:tcBorders>
              <w:top w:val="single" w:sz="4" w:space="0" w:color="auto"/>
              <w:left w:val="nil"/>
              <w:bottom w:val="single" w:sz="4" w:space="0" w:color="auto"/>
              <w:right w:val="single" w:sz="4" w:space="0" w:color="auto"/>
            </w:tcBorders>
            <w:shd w:val="clear" w:color="auto" w:fill="C6EFCE"/>
            <w:noWrap/>
          </w:tcPr>
          <w:p w14:paraId="3CA09F7B" w14:textId="77777777" w:rsidR="00EB245A" w:rsidRDefault="00EB245A">
            <w:pPr>
              <w:spacing w:after="0" w:line="240" w:lineRule="auto"/>
              <w:jc w:val="center"/>
              <w:rPr>
                <w:rFonts w:ascii="Times New Roman" w:eastAsia="Times New Roman" w:hAnsi="Times New Roman" w:cs="Times New Roman"/>
                <w:noProof/>
                <w:sz w:val="18"/>
              </w:rPr>
            </w:pPr>
          </w:p>
        </w:tc>
        <w:tc>
          <w:tcPr>
            <w:tcW w:w="708" w:type="dxa"/>
            <w:tcBorders>
              <w:top w:val="single" w:sz="4" w:space="0" w:color="auto"/>
              <w:left w:val="nil"/>
              <w:bottom w:val="single" w:sz="4" w:space="0" w:color="auto"/>
              <w:right w:val="single" w:sz="4" w:space="0" w:color="auto"/>
            </w:tcBorders>
            <w:shd w:val="clear" w:color="auto" w:fill="C6EFCE"/>
            <w:noWrap/>
          </w:tcPr>
          <w:p w14:paraId="7912FF4E" w14:textId="77777777" w:rsidR="00EB245A" w:rsidRDefault="00EB245A">
            <w:pPr>
              <w:spacing w:after="0" w:line="240" w:lineRule="auto"/>
              <w:jc w:val="center"/>
              <w:rPr>
                <w:rFonts w:ascii="Times New Roman" w:eastAsia="Times New Roman" w:hAnsi="Times New Roman" w:cs="Times New Roman"/>
                <w:noProof/>
                <w:sz w:val="18"/>
              </w:rPr>
            </w:pPr>
          </w:p>
        </w:tc>
        <w:tc>
          <w:tcPr>
            <w:tcW w:w="1134" w:type="dxa"/>
            <w:tcBorders>
              <w:top w:val="single" w:sz="4" w:space="0" w:color="auto"/>
              <w:left w:val="nil"/>
              <w:bottom w:val="single" w:sz="4" w:space="0" w:color="auto"/>
              <w:right w:val="single" w:sz="4" w:space="0" w:color="auto"/>
            </w:tcBorders>
            <w:shd w:val="clear" w:color="auto" w:fill="C6EFCE"/>
            <w:noWrap/>
          </w:tcPr>
          <w:p w14:paraId="68D95A6E" w14:textId="77777777" w:rsidR="00EB245A" w:rsidRDefault="006021EE">
            <w:pPr>
              <w:pStyle w:val="P68B1DB1-Normal26"/>
              <w:spacing w:after="0" w:line="240" w:lineRule="auto"/>
              <w:jc w:val="center"/>
              <w:rPr>
                <w:rFonts w:eastAsia="Times New Roman" w:cs="Times New Roman"/>
                <w:noProof/>
              </w:rPr>
            </w:pPr>
            <w:r>
              <w:rPr>
                <w:noProof/>
              </w:rPr>
              <w:t>Q4</w:t>
            </w:r>
          </w:p>
        </w:tc>
        <w:tc>
          <w:tcPr>
            <w:tcW w:w="1134" w:type="dxa"/>
            <w:tcBorders>
              <w:top w:val="single" w:sz="4" w:space="0" w:color="auto"/>
              <w:left w:val="nil"/>
              <w:bottom w:val="single" w:sz="4" w:space="0" w:color="auto"/>
              <w:right w:val="single" w:sz="4" w:space="0" w:color="auto"/>
            </w:tcBorders>
            <w:shd w:val="clear" w:color="auto" w:fill="C6EFCE"/>
            <w:noWrap/>
          </w:tcPr>
          <w:p w14:paraId="756F1AFB" w14:textId="77777777" w:rsidR="00EB245A" w:rsidRDefault="006021EE">
            <w:pPr>
              <w:pStyle w:val="P68B1DB1-Normal26"/>
              <w:spacing w:after="0" w:line="240" w:lineRule="auto"/>
              <w:jc w:val="center"/>
              <w:rPr>
                <w:rFonts w:eastAsia="Times New Roman" w:cs="Times New Roman"/>
                <w:noProof/>
              </w:rPr>
            </w:pPr>
            <w:r>
              <w:rPr>
                <w:noProof/>
              </w:rPr>
              <w:t>2024</w:t>
            </w:r>
          </w:p>
        </w:tc>
        <w:tc>
          <w:tcPr>
            <w:tcW w:w="2840" w:type="dxa"/>
            <w:tcBorders>
              <w:top w:val="single" w:sz="4" w:space="0" w:color="auto"/>
              <w:left w:val="nil"/>
              <w:bottom w:val="single" w:sz="4" w:space="0" w:color="auto"/>
              <w:right w:val="single" w:sz="4" w:space="0" w:color="auto"/>
            </w:tcBorders>
            <w:shd w:val="clear" w:color="auto" w:fill="C6EFCE"/>
            <w:noWrap/>
          </w:tcPr>
          <w:p w14:paraId="6E9D0985" w14:textId="7963CD9F" w:rsidR="00EB245A" w:rsidRDefault="006021EE">
            <w:pPr>
              <w:pStyle w:val="P68B1DB1-Normal26"/>
              <w:spacing w:after="0" w:line="240" w:lineRule="auto"/>
              <w:rPr>
                <w:rFonts w:eastAsia="Times New Roman" w:cs="Times New Roman"/>
                <w:noProof/>
              </w:rPr>
            </w:pPr>
            <w:r>
              <w:rPr>
                <w:noProof/>
              </w:rPr>
              <w:t xml:space="preserve">Inkrafttreten von Rechtsakten, mit denen ein Rechtsrahmen für die Ausweisung von Beschleunigungsgebieten für erneuerbare Energien sowohl für Onshore-Windkraftanlagen als auch für Photovoltaikanlagen festgelegt wird. </w:t>
            </w:r>
          </w:p>
          <w:p w14:paraId="40B203B3" w14:textId="77777777" w:rsidR="00EB245A" w:rsidRDefault="00EB245A">
            <w:pPr>
              <w:spacing w:after="0" w:line="240" w:lineRule="auto"/>
              <w:rPr>
                <w:rFonts w:ascii="Times New Roman" w:eastAsia="Times New Roman" w:hAnsi="Times New Roman" w:cs="Times New Roman"/>
                <w:noProof/>
                <w:sz w:val="18"/>
              </w:rPr>
            </w:pPr>
          </w:p>
          <w:p w14:paraId="28920A1F" w14:textId="5552518D" w:rsidR="00EB245A" w:rsidRDefault="006021EE">
            <w:pPr>
              <w:pStyle w:val="P68B1DB1-Normal26"/>
              <w:spacing w:after="0" w:line="240" w:lineRule="auto"/>
              <w:rPr>
                <w:rFonts w:eastAsia="Times New Roman" w:cs="Times New Roman"/>
                <w:noProof/>
              </w:rPr>
            </w:pPr>
            <w:r>
              <w:rPr>
                <w:noProof/>
              </w:rPr>
              <w:t>Für die Zwecke dieses Etappenziels sin</w:t>
            </w:r>
            <w:r>
              <w:rPr>
                <w:noProof/>
              </w:rPr>
              <w:t>d Beschleunigungsgebiete so zu verstehen, wie sie in der Erneuerbare-Energien-Richtlinie III (Artikel 2 Absatz 2 Nummer 9a, Artikel 15c, Artikel 16 Absatz 2, Artikel 16a und Artikel 16c Absätze 2 und 3 der Richtlinie (EU) 2018/2001 in der durch die Richtli</w:t>
            </w:r>
            <w:r>
              <w:rPr>
                <w:noProof/>
              </w:rPr>
              <w:t xml:space="preserve">nie (EU) 2023/2413 vom 18. Oktober 2023 geänderten Fassung) definiert und geregelt sind. </w:t>
            </w:r>
          </w:p>
          <w:p w14:paraId="2B06F77B" w14:textId="77777777" w:rsidR="00EB245A" w:rsidRDefault="00EB245A">
            <w:pPr>
              <w:spacing w:after="0" w:line="240" w:lineRule="auto"/>
              <w:rPr>
                <w:rFonts w:ascii="Times New Roman" w:eastAsia="Times New Roman" w:hAnsi="Times New Roman" w:cs="Times New Roman"/>
                <w:noProof/>
                <w:sz w:val="18"/>
              </w:rPr>
            </w:pPr>
          </w:p>
          <w:p w14:paraId="6612423E" w14:textId="1BD95A69" w:rsidR="00EB245A" w:rsidRDefault="006021EE">
            <w:pPr>
              <w:pStyle w:val="P68B1DB1-Normal26"/>
              <w:spacing w:after="0" w:line="240" w:lineRule="auto"/>
              <w:rPr>
                <w:rFonts w:eastAsia="Times New Roman" w:cs="Times New Roman"/>
                <w:noProof/>
              </w:rPr>
            </w:pPr>
            <w:r>
              <w:rPr>
                <w:noProof/>
              </w:rPr>
              <w:t>In diesem Rechtsrahmen werden mindestens i) die zuständigen Behörden festgelegt, die für die Ausweisung von Beschleunigungsgebieten für erneuerbare Energien zuständi</w:t>
            </w:r>
            <w:r>
              <w:rPr>
                <w:noProof/>
              </w:rPr>
              <w:t>g sind, ii) ihre Verpflichtungen, auch in Bezug auf die Sicherstellung, dass sich die Ausweisung von Beschleunigungsgebieten für erneuerbare Energien nicht nachteilig auf den Schutz der Natur und der biologischen Vielfalt auswirkt; und iii) die Genehmigung</w:t>
            </w:r>
            <w:r>
              <w:rPr>
                <w:noProof/>
              </w:rPr>
              <w:t>sverfahren für Onshore-Windkraft- und Photovoltaikanlagen, die für Beschleunigungsgebiete für erneuerbare Energien gelten.</w:t>
            </w:r>
          </w:p>
        </w:tc>
      </w:tr>
      <w:tr w:rsidR="00EB245A" w14:paraId="002F5C9C" w14:textId="77777777" w:rsidTr="00396F21">
        <w:trPr>
          <w:trHeight w:val="309"/>
          <w:jc w:val="center"/>
        </w:trPr>
        <w:tc>
          <w:tcPr>
            <w:tcW w:w="803" w:type="dxa"/>
            <w:tcBorders>
              <w:top w:val="nil"/>
              <w:left w:val="single" w:sz="4" w:space="0" w:color="auto"/>
              <w:bottom w:val="single" w:sz="4" w:space="0" w:color="auto"/>
              <w:right w:val="single" w:sz="4" w:space="0" w:color="auto"/>
            </w:tcBorders>
            <w:shd w:val="clear" w:color="auto" w:fill="C6EFCE"/>
            <w:noWrap/>
          </w:tcPr>
          <w:p w14:paraId="39ABAB6B" w14:textId="37AF14DA" w:rsidR="00EB245A" w:rsidRDefault="006021EE">
            <w:pPr>
              <w:pStyle w:val="P68B1DB1-Normal26"/>
              <w:spacing w:after="0" w:line="240" w:lineRule="auto"/>
              <w:jc w:val="center"/>
              <w:rPr>
                <w:rFonts w:eastAsia="Times New Roman" w:cs="Times New Roman"/>
                <w:noProof/>
              </w:rPr>
            </w:pPr>
            <w:r>
              <w:rPr>
                <w:noProof/>
              </w:rPr>
              <w:t>G3L</w:t>
            </w:r>
          </w:p>
        </w:tc>
        <w:tc>
          <w:tcPr>
            <w:tcW w:w="1461" w:type="dxa"/>
            <w:tcBorders>
              <w:top w:val="nil"/>
              <w:left w:val="nil"/>
              <w:bottom w:val="single" w:sz="4" w:space="0" w:color="auto"/>
              <w:right w:val="single" w:sz="4" w:space="0" w:color="auto"/>
            </w:tcBorders>
            <w:shd w:val="clear" w:color="auto" w:fill="C6EFCE"/>
            <w:noWrap/>
          </w:tcPr>
          <w:p w14:paraId="09DBEAC9" w14:textId="28071B09" w:rsidR="00EB245A" w:rsidRDefault="006021EE">
            <w:pPr>
              <w:pStyle w:val="P68B1DB1-Normal26"/>
              <w:spacing w:after="0" w:line="240" w:lineRule="auto"/>
              <w:rPr>
                <w:rFonts w:eastAsia="Times New Roman" w:cs="Times New Roman"/>
                <w:noProof/>
              </w:rPr>
            </w:pPr>
            <w:r>
              <w:rPr>
                <w:noProof/>
              </w:rPr>
              <w:t>G3.1.1 Straffung des Genehmigungsverfahrens für erneuerbare Energiequellen</w:t>
            </w:r>
          </w:p>
        </w:tc>
        <w:tc>
          <w:tcPr>
            <w:tcW w:w="1275" w:type="dxa"/>
            <w:tcBorders>
              <w:top w:val="nil"/>
              <w:left w:val="nil"/>
              <w:bottom w:val="single" w:sz="4" w:space="0" w:color="auto"/>
              <w:right w:val="single" w:sz="4" w:space="0" w:color="auto"/>
            </w:tcBorders>
            <w:shd w:val="clear" w:color="auto" w:fill="C6EFCE"/>
            <w:noWrap/>
          </w:tcPr>
          <w:p w14:paraId="33A4E915" w14:textId="77777777" w:rsidR="00EB245A" w:rsidRDefault="006021EE">
            <w:pPr>
              <w:pStyle w:val="P68B1DB1-Normal26"/>
              <w:spacing w:line="240" w:lineRule="auto"/>
              <w:rPr>
                <w:rFonts w:eastAsia="Times New Roman" w:cs="Times New Roman"/>
                <w:noProof/>
              </w:rPr>
            </w:pPr>
            <w:r>
              <w:rPr>
                <w:noProof/>
              </w:rPr>
              <w:t>Meilenstein</w:t>
            </w:r>
          </w:p>
          <w:p w14:paraId="54CADC5D" w14:textId="77777777" w:rsidR="00EB245A" w:rsidRDefault="00EB245A">
            <w:pPr>
              <w:spacing w:after="0" w:line="240" w:lineRule="auto"/>
              <w:rPr>
                <w:rFonts w:ascii="Times New Roman" w:eastAsia="Times New Roman" w:hAnsi="Times New Roman" w:cs="Times New Roman"/>
                <w:noProof/>
                <w:sz w:val="18"/>
              </w:rPr>
            </w:pPr>
          </w:p>
        </w:tc>
        <w:tc>
          <w:tcPr>
            <w:tcW w:w="1650" w:type="dxa"/>
            <w:tcBorders>
              <w:top w:val="nil"/>
              <w:left w:val="nil"/>
              <w:bottom w:val="single" w:sz="4" w:space="0" w:color="auto"/>
              <w:right w:val="single" w:sz="4" w:space="0" w:color="auto"/>
            </w:tcBorders>
            <w:shd w:val="clear" w:color="auto" w:fill="C6EFCE"/>
            <w:noWrap/>
          </w:tcPr>
          <w:p w14:paraId="588EA90A" w14:textId="77777777" w:rsidR="00EB245A" w:rsidRDefault="006021EE">
            <w:pPr>
              <w:pStyle w:val="P68B1DB1-Normal26"/>
              <w:spacing w:after="0" w:line="240" w:lineRule="auto"/>
              <w:rPr>
                <w:rFonts w:eastAsia="Times New Roman" w:cs="Times New Roman"/>
                <w:noProof/>
              </w:rPr>
            </w:pPr>
            <w:r>
              <w:rPr>
                <w:noProof/>
              </w:rPr>
              <w:t xml:space="preserve">Digitalisierung der Genehmigungsverfahren  </w:t>
            </w:r>
          </w:p>
          <w:p w14:paraId="0574B03C" w14:textId="77777777" w:rsidR="00EB245A" w:rsidRDefault="00EB245A">
            <w:pPr>
              <w:spacing w:after="0" w:line="240" w:lineRule="auto"/>
              <w:rPr>
                <w:rFonts w:ascii="Times New Roman" w:eastAsia="Times New Roman" w:hAnsi="Times New Roman" w:cs="Times New Roman"/>
                <w:noProof/>
                <w:sz w:val="18"/>
              </w:rPr>
            </w:pPr>
          </w:p>
        </w:tc>
        <w:tc>
          <w:tcPr>
            <w:tcW w:w="1894" w:type="dxa"/>
            <w:tcBorders>
              <w:top w:val="nil"/>
              <w:left w:val="nil"/>
              <w:bottom w:val="single" w:sz="4" w:space="0" w:color="auto"/>
              <w:right w:val="single" w:sz="4" w:space="0" w:color="auto"/>
            </w:tcBorders>
            <w:shd w:val="clear" w:color="auto" w:fill="C6EFCE"/>
            <w:noWrap/>
          </w:tcPr>
          <w:p w14:paraId="6899961B" w14:textId="750E42E9" w:rsidR="00EB245A" w:rsidRDefault="006021EE">
            <w:pPr>
              <w:pStyle w:val="P68B1DB1-Normal26"/>
              <w:spacing w:after="0" w:line="240" w:lineRule="auto"/>
              <w:rPr>
                <w:rFonts w:eastAsia="Times New Roman" w:cs="Times New Roman"/>
                <w:noProof/>
              </w:rPr>
            </w:pPr>
            <w:r>
              <w:rPr>
                <w:noProof/>
              </w:rPr>
              <w:t>Fertigstellung der allgemeinen technischen Spezifikationen für die IT-Plattform für einen einheitlichen digitalen Rahmen für die Genehmigung erneuerbarer Energiequellen</w:t>
            </w:r>
          </w:p>
        </w:tc>
        <w:tc>
          <w:tcPr>
            <w:tcW w:w="1134" w:type="dxa"/>
            <w:tcBorders>
              <w:top w:val="nil"/>
              <w:left w:val="nil"/>
              <w:bottom w:val="single" w:sz="4" w:space="0" w:color="auto"/>
              <w:right w:val="single" w:sz="4" w:space="0" w:color="auto"/>
            </w:tcBorders>
            <w:shd w:val="clear" w:color="auto" w:fill="C6EFCE"/>
            <w:noWrap/>
          </w:tcPr>
          <w:p w14:paraId="67207F5E" w14:textId="77777777" w:rsidR="00EB245A" w:rsidRDefault="00EB245A">
            <w:pPr>
              <w:spacing w:after="0" w:line="240" w:lineRule="auto"/>
              <w:rPr>
                <w:rFonts w:ascii="Times New Roman" w:eastAsia="Times New Roman" w:hAnsi="Times New Roman" w:cs="Times New Roman"/>
                <w:noProof/>
                <w:sz w:val="18"/>
              </w:rPr>
            </w:pPr>
          </w:p>
        </w:tc>
        <w:tc>
          <w:tcPr>
            <w:tcW w:w="1276" w:type="dxa"/>
            <w:tcBorders>
              <w:top w:val="nil"/>
              <w:left w:val="nil"/>
              <w:bottom w:val="single" w:sz="4" w:space="0" w:color="auto"/>
              <w:right w:val="single" w:sz="4" w:space="0" w:color="auto"/>
            </w:tcBorders>
            <w:shd w:val="clear" w:color="auto" w:fill="C6EFCE"/>
            <w:noWrap/>
          </w:tcPr>
          <w:p w14:paraId="64C33920" w14:textId="77777777" w:rsidR="00EB245A" w:rsidRDefault="00EB245A">
            <w:pPr>
              <w:spacing w:after="0" w:line="240" w:lineRule="auto"/>
              <w:jc w:val="center"/>
              <w:rPr>
                <w:rFonts w:ascii="Times New Roman" w:eastAsia="Times New Roman" w:hAnsi="Times New Roman" w:cs="Times New Roman"/>
                <w:noProof/>
                <w:sz w:val="18"/>
              </w:rPr>
            </w:pPr>
          </w:p>
        </w:tc>
        <w:tc>
          <w:tcPr>
            <w:tcW w:w="708" w:type="dxa"/>
            <w:tcBorders>
              <w:top w:val="nil"/>
              <w:left w:val="nil"/>
              <w:bottom w:val="single" w:sz="4" w:space="0" w:color="auto"/>
              <w:right w:val="single" w:sz="4" w:space="0" w:color="auto"/>
            </w:tcBorders>
            <w:shd w:val="clear" w:color="auto" w:fill="C6EFCE"/>
            <w:noWrap/>
          </w:tcPr>
          <w:p w14:paraId="307363C2" w14:textId="77777777" w:rsidR="00EB245A" w:rsidRDefault="00EB245A">
            <w:pPr>
              <w:spacing w:after="0" w:line="240" w:lineRule="auto"/>
              <w:jc w:val="center"/>
              <w:rPr>
                <w:rFonts w:ascii="Times New Roman" w:eastAsia="Times New Roman" w:hAnsi="Times New Roman" w:cs="Times New Roman"/>
                <w:noProof/>
                <w:sz w:val="18"/>
              </w:rPr>
            </w:pPr>
          </w:p>
        </w:tc>
        <w:tc>
          <w:tcPr>
            <w:tcW w:w="1134" w:type="dxa"/>
            <w:tcBorders>
              <w:top w:val="nil"/>
              <w:left w:val="nil"/>
              <w:bottom w:val="single" w:sz="4" w:space="0" w:color="auto"/>
              <w:right w:val="single" w:sz="4" w:space="0" w:color="auto"/>
            </w:tcBorders>
            <w:shd w:val="clear" w:color="auto" w:fill="C6EFCE"/>
            <w:noWrap/>
          </w:tcPr>
          <w:p w14:paraId="55C6C8DD" w14:textId="7B8389D3" w:rsidR="00EB245A" w:rsidRDefault="006021EE">
            <w:pPr>
              <w:pStyle w:val="P68B1DB1-Normal26"/>
              <w:spacing w:after="0" w:line="240" w:lineRule="auto"/>
              <w:jc w:val="center"/>
              <w:rPr>
                <w:rFonts w:eastAsia="Times New Roman" w:cs="Times New Roman"/>
                <w:noProof/>
              </w:rPr>
            </w:pPr>
            <w:r>
              <w:rPr>
                <w:noProof/>
              </w:rPr>
              <w:t>Q3</w:t>
            </w:r>
          </w:p>
        </w:tc>
        <w:tc>
          <w:tcPr>
            <w:tcW w:w="1134" w:type="dxa"/>
            <w:tcBorders>
              <w:top w:val="nil"/>
              <w:left w:val="nil"/>
              <w:bottom w:val="single" w:sz="4" w:space="0" w:color="auto"/>
              <w:right w:val="single" w:sz="4" w:space="0" w:color="auto"/>
            </w:tcBorders>
            <w:shd w:val="clear" w:color="auto" w:fill="C6EFCE"/>
            <w:noWrap/>
          </w:tcPr>
          <w:p w14:paraId="4614B9C0" w14:textId="497314C3" w:rsidR="00EB245A" w:rsidRDefault="006021EE">
            <w:pPr>
              <w:pStyle w:val="P68B1DB1-Normal26"/>
              <w:spacing w:after="0" w:line="240" w:lineRule="auto"/>
              <w:jc w:val="center"/>
              <w:rPr>
                <w:rFonts w:eastAsia="Times New Roman" w:cs="Times New Roman"/>
                <w:noProof/>
              </w:rPr>
            </w:pPr>
            <w:r>
              <w:rPr>
                <w:noProof/>
              </w:rPr>
              <w:t>2024</w:t>
            </w:r>
          </w:p>
        </w:tc>
        <w:tc>
          <w:tcPr>
            <w:tcW w:w="2840" w:type="dxa"/>
            <w:tcBorders>
              <w:top w:val="nil"/>
              <w:left w:val="nil"/>
              <w:bottom w:val="single" w:sz="4" w:space="0" w:color="auto"/>
              <w:right w:val="single" w:sz="4" w:space="0" w:color="auto"/>
            </w:tcBorders>
            <w:shd w:val="clear" w:color="auto" w:fill="C6EFCE"/>
            <w:noWrap/>
          </w:tcPr>
          <w:p w14:paraId="058D223A" w14:textId="520F65D0" w:rsidR="00EB245A" w:rsidRDefault="006021EE">
            <w:pPr>
              <w:pStyle w:val="P68B1DB1-Normal26"/>
              <w:spacing w:after="0" w:line="240" w:lineRule="auto"/>
              <w:rPr>
                <w:rFonts w:eastAsia="Times New Roman" w:cs="Times New Roman"/>
                <w:noProof/>
              </w:rPr>
            </w:pPr>
            <w:r>
              <w:rPr>
                <w:noProof/>
              </w:rPr>
              <w:t>Die zuständigen polnischen Behö</w:t>
            </w:r>
            <w:r>
              <w:rPr>
                <w:noProof/>
              </w:rPr>
              <w:t>rden müssen allgemeine technische Spezifikationen für die Entwicklung und Einführung einer IT-Plattform für einen einheitlichen digitalen Rahmen für Genehmigungsverfahren für erneuerbare Energiequellen ausgearbeitet und fertiggestellt haben, die gegebenenf</w:t>
            </w:r>
            <w:r>
              <w:rPr>
                <w:noProof/>
              </w:rPr>
              <w:t>alls für öffentliche Vergabeverfahren verwendet werden könnten.</w:t>
            </w:r>
          </w:p>
          <w:p w14:paraId="279C0A16" w14:textId="77777777" w:rsidR="00EB245A" w:rsidRDefault="00EB245A">
            <w:pPr>
              <w:spacing w:after="0" w:line="240" w:lineRule="auto"/>
              <w:rPr>
                <w:rFonts w:ascii="Times New Roman" w:eastAsia="Times New Roman" w:hAnsi="Times New Roman" w:cs="Times New Roman"/>
                <w:noProof/>
                <w:sz w:val="18"/>
              </w:rPr>
            </w:pPr>
          </w:p>
          <w:p w14:paraId="461FEF5F" w14:textId="2F42C458" w:rsidR="00EB245A" w:rsidRDefault="006021EE">
            <w:pPr>
              <w:pStyle w:val="P68B1DB1-Normal26"/>
              <w:spacing w:after="0" w:line="240" w:lineRule="auto"/>
              <w:rPr>
                <w:rFonts w:eastAsia="Times New Roman" w:cs="Times New Roman"/>
                <w:noProof/>
              </w:rPr>
            </w:pPr>
            <w:r>
              <w:rPr>
                <w:noProof/>
              </w:rPr>
              <w:t>Die IT-Plattform deckt alle relevanten administrativen Schritte ab, die für die Genehmigung des Baus und des Betriebs von Anlagen zur Erzeugung erneuerbarer Energie erforderlich sind (mit Aus</w:t>
            </w:r>
            <w:r>
              <w:rPr>
                <w:noProof/>
              </w:rPr>
              <w:t>nahme des Netzanschlusses). Die Einführung dieser IT-Plattform berührt nicht die Zuweisung der Zuständigkeiten in Bezug auf die Genehmigung (d. h., dass sie keine Auswirkungen darauf hat, welche Verwaltungsbehörde für eine bestimmte Genehmigung zuständig i</w:t>
            </w:r>
            <w:r>
              <w:rPr>
                <w:noProof/>
              </w:rPr>
              <w:t>st).</w:t>
            </w:r>
          </w:p>
          <w:p w14:paraId="3378CF29" w14:textId="77777777" w:rsidR="00EB245A" w:rsidRDefault="00EB245A">
            <w:pPr>
              <w:spacing w:after="0" w:line="240" w:lineRule="auto"/>
              <w:rPr>
                <w:rFonts w:ascii="Times New Roman" w:eastAsia="Times New Roman" w:hAnsi="Times New Roman" w:cs="Times New Roman"/>
                <w:noProof/>
                <w:sz w:val="18"/>
              </w:rPr>
            </w:pPr>
          </w:p>
          <w:p w14:paraId="070F4496" w14:textId="43B17EC9" w:rsidR="00EB245A" w:rsidRDefault="006021EE">
            <w:pPr>
              <w:pStyle w:val="P68B1DB1-Normal26"/>
              <w:spacing w:after="0" w:line="240" w:lineRule="auto"/>
              <w:rPr>
                <w:rFonts w:eastAsia="Times New Roman" w:cs="Times New Roman"/>
                <w:noProof/>
              </w:rPr>
            </w:pPr>
            <w:r>
              <w:rPr>
                <w:noProof/>
              </w:rPr>
              <w:t>Die IT-Plattform kann in eine bestehende digitale Plattform (z. B. ePUAP) integriert werden und darauf aufbauen.</w:t>
            </w:r>
          </w:p>
          <w:p w14:paraId="5F2B3AEB" w14:textId="77777777" w:rsidR="00EB245A" w:rsidRDefault="00EB245A">
            <w:pPr>
              <w:spacing w:after="0" w:line="240" w:lineRule="auto"/>
              <w:rPr>
                <w:rFonts w:ascii="Times New Roman" w:eastAsia="Times New Roman" w:hAnsi="Times New Roman" w:cs="Times New Roman"/>
                <w:noProof/>
                <w:sz w:val="18"/>
              </w:rPr>
            </w:pPr>
          </w:p>
          <w:p w14:paraId="6D02DE89" w14:textId="3943F73A" w:rsidR="00EB245A" w:rsidRDefault="006021EE">
            <w:pPr>
              <w:pStyle w:val="P68B1DB1-Normal26"/>
              <w:spacing w:after="0" w:line="240" w:lineRule="auto"/>
              <w:rPr>
                <w:rFonts w:eastAsia="Times New Roman" w:cs="Times New Roman"/>
                <w:noProof/>
              </w:rPr>
            </w:pPr>
            <w:r>
              <w:rPr>
                <w:noProof/>
              </w:rPr>
              <w:t>Die IT-Plattform bietet ein Dashboard mit mindestens folgenden Merkmalen:</w:t>
            </w:r>
          </w:p>
          <w:p w14:paraId="45621685" w14:textId="45E2ABEC" w:rsidR="00EB245A" w:rsidRDefault="006021EE">
            <w:pPr>
              <w:pStyle w:val="P68B1DB1-ListParagraph37"/>
              <w:numPr>
                <w:ilvl w:val="1"/>
                <w:numId w:val="23"/>
              </w:numPr>
              <w:spacing w:after="0" w:line="240" w:lineRule="auto"/>
              <w:ind w:left="421" w:hanging="142"/>
              <w:rPr>
                <w:rFonts w:eastAsia="Times New Roman" w:cs="Times New Roman"/>
                <w:noProof/>
              </w:rPr>
            </w:pPr>
            <w:r>
              <w:rPr>
                <w:noProof/>
              </w:rPr>
              <w:t xml:space="preserve">in leicht zugänglicher Form einen umfassenden Überblick über </w:t>
            </w:r>
            <w:r>
              <w:rPr>
                <w:noProof/>
              </w:rPr>
              <w:t>die Anforderungen an den Bau und den Betrieb von Anlagen zur Nutzung erneuerbarer Energien in Bezug auf alle einschlägigen Genehmigungen (z. B. Einteilung in Zonen, Bau, Nutzung), Entscheidungen (z. B. Umwelt), Lizenzen, sonstige Dokumente oder Konsultatio</w:t>
            </w:r>
            <w:r>
              <w:rPr>
                <w:noProof/>
              </w:rPr>
              <w:t>nen bietet;</w:t>
            </w:r>
          </w:p>
          <w:p w14:paraId="27F4E8B1" w14:textId="2A70E6E4" w:rsidR="00EB245A" w:rsidRDefault="006021EE">
            <w:pPr>
              <w:pStyle w:val="P68B1DB1-ListParagraph37"/>
              <w:numPr>
                <w:ilvl w:val="1"/>
                <w:numId w:val="23"/>
              </w:numPr>
              <w:spacing w:after="0" w:line="240" w:lineRule="auto"/>
              <w:ind w:left="421" w:hanging="142"/>
              <w:rPr>
                <w:rFonts w:eastAsia="Times New Roman" w:cs="Times New Roman"/>
                <w:noProof/>
              </w:rPr>
            </w:pPr>
            <w:r>
              <w:rPr>
                <w:noProof/>
              </w:rPr>
              <w:t>Ermittlung a) der jeweils zuständigen Verwaltungsbehörden, Agenturen, Einrichtungen oder sonstigen Stellen, die die Dokumente erteilen oder daran beteiligt sind oder an den Konsultationen nach i) beteiligt sind; B) die Kontaktdaten dieser Stell</w:t>
            </w:r>
            <w:r>
              <w:rPr>
                <w:noProof/>
              </w:rPr>
              <w:t>en; und, fakultativ, c) der Sachbearbeiter in jeder Einrichtung für ein bestimmtes Projekt;</w:t>
            </w:r>
          </w:p>
          <w:p w14:paraId="1678E7B5" w14:textId="07C6C547" w:rsidR="00EB245A" w:rsidRDefault="006021EE">
            <w:pPr>
              <w:pStyle w:val="P68B1DB1-ListParagraph37"/>
              <w:numPr>
                <w:ilvl w:val="1"/>
                <w:numId w:val="23"/>
              </w:numPr>
              <w:spacing w:after="0" w:line="240" w:lineRule="auto"/>
              <w:ind w:left="421" w:hanging="142"/>
              <w:rPr>
                <w:rFonts w:eastAsia="Times New Roman" w:cs="Times New Roman"/>
                <w:noProof/>
              </w:rPr>
            </w:pPr>
            <w:r>
              <w:rPr>
                <w:noProof/>
              </w:rPr>
              <w:t>Auflistung und Bereitstellung aller einschlägigen Rechtsvorschriften, Rechtsvorschriften, Vorlagen und Leitlinien für die Projektvorbereitung;</w:t>
            </w:r>
          </w:p>
          <w:p w14:paraId="4EB128BD" w14:textId="33C1C35D" w:rsidR="00EB245A" w:rsidRDefault="006021EE">
            <w:pPr>
              <w:pStyle w:val="P68B1DB1-ListParagraph37"/>
              <w:numPr>
                <w:ilvl w:val="1"/>
                <w:numId w:val="23"/>
              </w:numPr>
              <w:spacing w:after="0" w:line="240" w:lineRule="auto"/>
              <w:ind w:left="421" w:hanging="142"/>
              <w:rPr>
                <w:rFonts w:eastAsia="Times New Roman" w:cs="Times New Roman"/>
                <w:noProof/>
              </w:rPr>
            </w:pPr>
            <w:r>
              <w:rPr>
                <w:noProof/>
              </w:rPr>
              <w:t>Angebot der Möglichke</w:t>
            </w:r>
            <w:r>
              <w:rPr>
                <w:noProof/>
              </w:rPr>
              <w:t>it, Anträge online bei allen unter Ziffer ii Buchstabe a genannten Stellen einzureichen und das gesamte Antragsverfahren digital über die IT-Plattform abzuwickeln;</w:t>
            </w:r>
          </w:p>
          <w:p w14:paraId="438EBAA2" w14:textId="14ED76B2" w:rsidR="00EB245A" w:rsidRDefault="006021EE">
            <w:pPr>
              <w:pStyle w:val="P68B1DB1-ListParagraph37"/>
              <w:numPr>
                <w:ilvl w:val="1"/>
                <w:numId w:val="23"/>
              </w:numPr>
              <w:spacing w:after="0" w:line="240" w:lineRule="auto"/>
              <w:ind w:left="421" w:hanging="142"/>
              <w:rPr>
                <w:rFonts w:eastAsia="Times New Roman" w:cs="Times New Roman"/>
                <w:noProof/>
              </w:rPr>
            </w:pPr>
            <w:r>
              <w:rPr>
                <w:noProof/>
              </w:rPr>
              <w:t xml:space="preserve">eine Funktion zur optionalen Nutzung durch die zuständigen Stellen, die die Überwachung der </w:t>
            </w:r>
            <w:r>
              <w:rPr>
                <w:noProof/>
              </w:rPr>
              <w:t>Bearbeitung eines Antrags ermöglicht, indem der Status des Antrags angezeigt und die Kommunikation mit dem zuständigen Sachbearbeiter über die IT-Plattform ermöglicht wird;</w:t>
            </w:r>
          </w:p>
          <w:p w14:paraId="735D7A16" w14:textId="6E8AE529" w:rsidR="00EB245A" w:rsidRDefault="006021EE">
            <w:pPr>
              <w:pStyle w:val="P68B1DB1-ListParagraph37"/>
              <w:numPr>
                <w:ilvl w:val="1"/>
                <w:numId w:val="23"/>
              </w:numPr>
              <w:spacing w:after="0" w:line="240" w:lineRule="auto"/>
              <w:ind w:left="421" w:hanging="142"/>
              <w:rPr>
                <w:rFonts w:eastAsia="Times New Roman" w:cs="Times New Roman"/>
                <w:noProof/>
              </w:rPr>
            </w:pPr>
            <w:r>
              <w:rPr>
                <w:noProof/>
              </w:rPr>
              <w:t>Möglichkeit, sich an eine zentrale (bestehende) nationale Stelle zu wenden, um Bede</w:t>
            </w:r>
            <w:r>
              <w:rPr>
                <w:noProof/>
              </w:rPr>
              <w:t>nken geltend zu machen oder Verbesserungen in den Genehmigungsverfahren vorzuschlagen (dies stellt keine bestehenden Möglichkeiten der verwaltungsbehördlichen oder gerichtlichen Überprüfung dar oder ersetzt diese);</w:t>
            </w:r>
          </w:p>
          <w:p w14:paraId="23BCF8E8" w14:textId="17C2AD2D" w:rsidR="00EB245A" w:rsidRDefault="006021EE">
            <w:pPr>
              <w:pStyle w:val="P68B1DB1-ListParagraph37"/>
              <w:numPr>
                <w:ilvl w:val="1"/>
                <w:numId w:val="23"/>
              </w:numPr>
              <w:spacing w:after="0" w:line="240" w:lineRule="auto"/>
              <w:ind w:left="421" w:hanging="142"/>
              <w:rPr>
                <w:rFonts w:eastAsia="Times New Roman" w:cs="Times New Roman"/>
                <w:noProof/>
              </w:rPr>
            </w:pPr>
            <w:r>
              <w:rPr>
                <w:noProof/>
              </w:rPr>
              <w:t xml:space="preserve"> Bereitstellung (oder Link zu der entspre</w:t>
            </w:r>
            <w:r>
              <w:rPr>
                <w:noProof/>
              </w:rPr>
              <w:t>chenden bestehenden Landeseite, von der aus das Antragsverfahren eingeleitet werden kann, oder zur Web-Anwendung) die Informationen oder Daten, die an die Öffentlichkeit weitergegeben werden können, und</w:t>
            </w:r>
          </w:p>
          <w:p w14:paraId="78ECBC70" w14:textId="49840B6B" w:rsidR="00EB245A" w:rsidRDefault="006021EE">
            <w:pPr>
              <w:pStyle w:val="P68B1DB1-ListParagraph37"/>
              <w:numPr>
                <w:ilvl w:val="2"/>
                <w:numId w:val="23"/>
              </w:numPr>
              <w:spacing w:after="0" w:line="240" w:lineRule="auto"/>
              <w:ind w:left="846"/>
              <w:rPr>
                <w:rFonts w:eastAsia="Times New Roman" w:cs="Times New Roman"/>
                <w:noProof/>
              </w:rPr>
            </w:pPr>
            <w:r>
              <w:rPr>
                <w:noProof/>
              </w:rPr>
              <w:t>sich aus den Funktionen des IT-Tools ergeben, auf die</w:t>
            </w:r>
            <w:r>
              <w:rPr>
                <w:noProof/>
              </w:rPr>
              <w:t xml:space="preserve"> in den Meilensteinen G10G und G11G Bezug genommen wird;</w:t>
            </w:r>
          </w:p>
          <w:p w14:paraId="12410069" w14:textId="275CDC08" w:rsidR="00EB245A" w:rsidRDefault="006021EE">
            <w:pPr>
              <w:pStyle w:val="P68B1DB1-ListParagraph37"/>
              <w:numPr>
                <w:ilvl w:val="2"/>
                <w:numId w:val="23"/>
              </w:numPr>
              <w:spacing w:after="0" w:line="240" w:lineRule="auto"/>
              <w:ind w:left="846"/>
              <w:rPr>
                <w:rFonts w:eastAsia="Times New Roman" w:cs="Times New Roman"/>
                <w:noProof/>
              </w:rPr>
            </w:pPr>
            <w:r>
              <w:rPr>
                <w:noProof/>
              </w:rPr>
              <w:t>auf das Etappenziel G14G unter b Bezug genommen wird;</w:t>
            </w:r>
          </w:p>
          <w:p w14:paraId="19000CAF" w14:textId="32BAAE1E" w:rsidR="00EB245A" w:rsidRDefault="006021EE">
            <w:pPr>
              <w:pStyle w:val="P68B1DB1-ListParagraph37"/>
              <w:numPr>
                <w:ilvl w:val="2"/>
                <w:numId w:val="23"/>
              </w:numPr>
              <w:spacing w:after="0" w:line="240" w:lineRule="auto"/>
              <w:ind w:left="846"/>
              <w:rPr>
                <w:rFonts w:eastAsia="Times New Roman" w:cs="Times New Roman"/>
                <w:noProof/>
              </w:rPr>
            </w:pPr>
            <w:r>
              <w:rPr>
                <w:noProof/>
              </w:rPr>
              <w:t>steht im Zusammenhang mit der für das Etappenziel G1L erforderlichen Kartierung; und</w:t>
            </w:r>
          </w:p>
          <w:p w14:paraId="7A50EF06" w14:textId="1F6C43F5" w:rsidR="00EB245A" w:rsidRDefault="006021EE">
            <w:pPr>
              <w:pStyle w:val="P68B1DB1-ListParagraph37"/>
              <w:numPr>
                <w:ilvl w:val="2"/>
                <w:numId w:val="23"/>
              </w:numPr>
              <w:spacing w:after="0" w:line="240" w:lineRule="auto"/>
              <w:ind w:left="846"/>
              <w:rPr>
                <w:rFonts w:eastAsia="Times New Roman" w:cs="Times New Roman"/>
                <w:noProof/>
              </w:rPr>
            </w:pPr>
            <w:r>
              <w:rPr>
                <w:noProof/>
              </w:rPr>
              <w:t>steht im Zusammenhang mit den im Etappenziel G2L genannten B</w:t>
            </w:r>
            <w:r>
              <w:rPr>
                <w:noProof/>
              </w:rPr>
              <w:t>eschleunigungsgebieten für erneuerbare Energien.</w:t>
            </w:r>
          </w:p>
          <w:p w14:paraId="2426D112" w14:textId="29F36AB2" w:rsidR="00EB245A" w:rsidRDefault="00EB245A">
            <w:pPr>
              <w:spacing w:after="0" w:line="240" w:lineRule="auto"/>
              <w:rPr>
                <w:rFonts w:ascii="Times New Roman" w:eastAsia="Times New Roman" w:hAnsi="Times New Roman" w:cs="Times New Roman"/>
                <w:noProof/>
                <w:sz w:val="18"/>
              </w:rPr>
            </w:pPr>
          </w:p>
        </w:tc>
      </w:tr>
      <w:tr w:rsidR="00EB245A" w14:paraId="30BBD9E1" w14:textId="77777777" w:rsidTr="00396F21">
        <w:trPr>
          <w:trHeight w:val="309"/>
          <w:jc w:val="center"/>
        </w:trPr>
        <w:tc>
          <w:tcPr>
            <w:tcW w:w="803" w:type="dxa"/>
            <w:tcBorders>
              <w:top w:val="nil"/>
              <w:left w:val="single" w:sz="4" w:space="0" w:color="auto"/>
              <w:bottom w:val="single" w:sz="4" w:space="0" w:color="auto"/>
              <w:right w:val="single" w:sz="4" w:space="0" w:color="auto"/>
            </w:tcBorders>
            <w:shd w:val="clear" w:color="auto" w:fill="C6EFCE"/>
            <w:noWrap/>
          </w:tcPr>
          <w:p w14:paraId="4043EA97" w14:textId="485BBB92" w:rsidR="00EB245A" w:rsidRDefault="006021EE">
            <w:pPr>
              <w:pStyle w:val="P68B1DB1-Normal26"/>
              <w:spacing w:after="0" w:line="240" w:lineRule="auto"/>
              <w:jc w:val="center"/>
              <w:rPr>
                <w:rFonts w:eastAsia="Times New Roman" w:cs="Times New Roman"/>
                <w:noProof/>
              </w:rPr>
            </w:pPr>
            <w:r>
              <w:rPr>
                <w:noProof/>
              </w:rPr>
              <w:t>G4L</w:t>
            </w:r>
          </w:p>
        </w:tc>
        <w:tc>
          <w:tcPr>
            <w:tcW w:w="1461" w:type="dxa"/>
            <w:tcBorders>
              <w:top w:val="nil"/>
              <w:left w:val="nil"/>
              <w:bottom w:val="single" w:sz="4" w:space="0" w:color="auto"/>
              <w:right w:val="single" w:sz="4" w:space="0" w:color="auto"/>
            </w:tcBorders>
            <w:shd w:val="clear" w:color="auto" w:fill="C6EFCE"/>
            <w:noWrap/>
          </w:tcPr>
          <w:p w14:paraId="088B8B29" w14:textId="30E8FD42" w:rsidR="00EB245A" w:rsidRDefault="006021EE">
            <w:pPr>
              <w:pStyle w:val="P68B1DB1-Normal26"/>
              <w:spacing w:after="0" w:line="240" w:lineRule="auto"/>
              <w:rPr>
                <w:rFonts w:eastAsia="Times New Roman" w:cs="Times New Roman"/>
                <w:noProof/>
              </w:rPr>
            </w:pPr>
            <w:r>
              <w:rPr>
                <w:noProof/>
              </w:rPr>
              <w:t>G3.1.1 Straffung des Genehmigungsverfahrens für erneuerbare Energiequellen</w:t>
            </w:r>
          </w:p>
        </w:tc>
        <w:tc>
          <w:tcPr>
            <w:tcW w:w="1275" w:type="dxa"/>
            <w:tcBorders>
              <w:top w:val="nil"/>
              <w:left w:val="nil"/>
              <w:bottom w:val="single" w:sz="4" w:space="0" w:color="auto"/>
              <w:right w:val="single" w:sz="4" w:space="0" w:color="auto"/>
            </w:tcBorders>
            <w:shd w:val="clear" w:color="auto" w:fill="C6EFCE"/>
            <w:noWrap/>
          </w:tcPr>
          <w:p w14:paraId="7548A29E" w14:textId="77777777" w:rsidR="00EB245A" w:rsidRDefault="006021EE">
            <w:pPr>
              <w:pStyle w:val="P68B1DB1-Normal26"/>
              <w:spacing w:line="240" w:lineRule="auto"/>
              <w:rPr>
                <w:rFonts w:eastAsia="Times New Roman" w:cs="Times New Roman"/>
                <w:noProof/>
              </w:rPr>
            </w:pPr>
            <w:r>
              <w:rPr>
                <w:noProof/>
              </w:rPr>
              <w:t>Meilenstein</w:t>
            </w:r>
          </w:p>
          <w:p w14:paraId="6C665160" w14:textId="77777777" w:rsidR="00EB245A" w:rsidRDefault="00EB245A">
            <w:pPr>
              <w:spacing w:after="0" w:line="240" w:lineRule="auto"/>
              <w:rPr>
                <w:rFonts w:ascii="Times New Roman" w:eastAsia="Times New Roman" w:hAnsi="Times New Roman" w:cs="Times New Roman"/>
                <w:noProof/>
                <w:sz w:val="18"/>
              </w:rPr>
            </w:pPr>
          </w:p>
        </w:tc>
        <w:tc>
          <w:tcPr>
            <w:tcW w:w="1650" w:type="dxa"/>
            <w:tcBorders>
              <w:top w:val="nil"/>
              <w:left w:val="nil"/>
              <w:bottom w:val="single" w:sz="4" w:space="0" w:color="auto"/>
              <w:right w:val="single" w:sz="4" w:space="0" w:color="auto"/>
            </w:tcBorders>
            <w:shd w:val="clear" w:color="auto" w:fill="C6EFCE"/>
            <w:noWrap/>
          </w:tcPr>
          <w:p w14:paraId="7E9378D6" w14:textId="77777777" w:rsidR="00EB245A" w:rsidRDefault="006021EE">
            <w:pPr>
              <w:pStyle w:val="P68B1DB1-Normal26"/>
              <w:spacing w:after="0" w:line="240" w:lineRule="auto"/>
              <w:rPr>
                <w:rFonts w:eastAsia="Times New Roman" w:cs="Times New Roman"/>
                <w:noProof/>
              </w:rPr>
            </w:pPr>
            <w:r>
              <w:rPr>
                <w:noProof/>
              </w:rPr>
              <w:t xml:space="preserve">Digitalisierung der Genehmigungsverfahren  </w:t>
            </w:r>
          </w:p>
          <w:p w14:paraId="2C4CB388" w14:textId="77777777" w:rsidR="00EB245A" w:rsidRDefault="00EB245A">
            <w:pPr>
              <w:spacing w:after="0" w:line="240" w:lineRule="auto"/>
              <w:rPr>
                <w:rFonts w:ascii="Times New Roman" w:eastAsia="Times New Roman" w:hAnsi="Times New Roman" w:cs="Times New Roman"/>
                <w:noProof/>
                <w:sz w:val="18"/>
              </w:rPr>
            </w:pPr>
          </w:p>
        </w:tc>
        <w:tc>
          <w:tcPr>
            <w:tcW w:w="1894" w:type="dxa"/>
            <w:tcBorders>
              <w:top w:val="nil"/>
              <w:left w:val="nil"/>
              <w:bottom w:val="single" w:sz="4" w:space="0" w:color="auto"/>
              <w:right w:val="single" w:sz="4" w:space="0" w:color="auto"/>
            </w:tcBorders>
            <w:shd w:val="clear" w:color="auto" w:fill="C6EFCE"/>
            <w:noWrap/>
          </w:tcPr>
          <w:p w14:paraId="1590325D" w14:textId="1F3954A4" w:rsidR="00EB245A" w:rsidRDefault="006021EE">
            <w:pPr>
              <w:pStyle w:val="P68B1DB1-Normal26"/>
              <w:spacing w:after="0" w:line="240" w:lineRule="auto"/>
              <w:rPr>
                <w:rFonts w:eastAsia="Times New Roman" w:cs="Times New Roman"/>
                <w:noProof/>
              </w:rPr>
            </w:pPr>
            <w:r>
              <w:rPr>
                <w:noProof/>
              </w:rPr>
              <w:t xml:space="preserve">Erprobung einer Pilotversion für die IT-Plattform für einen </w:t>
            </w:r>
            <w:r>
              <w:rPr>
                <w:noProof/>
              </w:rPr>
              <w:t>einheitlichen digitalen Rahmen für die Genehmigung erneuerbarer Energiequellen abgeschlossen</w:t>
            </w:r>
          </w:p>
        </w:tc>
        <w:tc>
          <w:tcPr>
            <w:tcW w:w="1134" w:type="dxa"/>
            <w:tcBorders>
              <w:top w:val="nil"/>
              <w:left w:val="nil"/>
              <w:bottom w:val="single" w:sz="4" w:space="0" w:color="auto"/>
              <w:right w:val="single" w:sz="4" w:space="0" w:color="auto"/>
            </w:tcBorders>
            <w:shd w:val="clear" w:color="auto" w:fill="C6EFCE"/>
            <w:noWrap/>
          </w:tcPr>
          <w:p w14:paraId="57E8D7F9" w14:textId="77777777" w:rsidR="00EB245A" w:rsidRDefault="00EB245A">
            <w:pPr>
              <w:spacing w:after="0" w:line="240" w:lineRule="auto"/>
              <w:rPr>
                <w:rFonts w:ascii="Times New Roman" w:eastAsia="Times New Roman" w:hAnsi="Times New Roman" w:cs="Times New Roman"/>
                <w:noProof/>
                <w:sz w:val="18"/>
              </w:rPr>
            </w:pPr>
          </w:p>
        </w:tc>
        <w:tc>
          <w:tcPr>
            <w:tcW w:w="1276" w:type="dxa"/>
            <w:tcBorders>
              <w:top w:val="nil"/>
              <w:left w:val="nil"/>
              <w:bottom w:val="single" w:sz="4" w:space="0" w:color="auto"/>
              <w:right w:val="single" w:sz="4" w:space="0" w:color="auto"/>
            </w:tcBorders>
            <w:shd w:val="clear" w:color="auto" w:fill="C6EFCE"/>
            <w:noWrap/>
          </w:tcPr>
          <w:p w14:paraId="1AB26285" w14:textId="77777777" w:rsidR="00EB245A" w:rsidRDefault="00EB245A">
            <w:pPr>
              <w:spacing w:after="0" w:line="240" w:lineRule="auto"/>
              <w:jc w:val="center"/>
              <w:rPr>
                <w:rFonts w:ascii="Times New Roman" w:eastAsia="Times New Roman" w:hAnsi="Times New Roman" w:cs="Times New Roman"/>
                <w:noProof/>
                <w:sz w:val="18"/>
              </w:rPr>
            </w:pPr>
          </w:p>
        </w:tc>
        <w:tc>
          <w:tcPr>
            <w:tcW w:w="708" w:type="dxa"/>
            <w:tcBorders>
              <w:top w:val="nil"/>
              <w:left w:val="nil"/>
              <w:bottom w:val="single" w:sz="4" w:space="0" w:color="auto"/>
              <w:right w:val="single" w:sz="4" w:space="0" w:color="auto"/>
            </w:tcBorders>
            <w:shd w:val="clear" w:color="auto" w:fill="C6EFCE"/>
            <w:noWrap/>
          </w:tcPr>
          <w:p w14:paraId="487A53D8" w14:textId="77777777" w:rsidR="00EB245A" w:rsidRDefault="00EB245A">
            <w:pPr>
              <w:spacing w:after="0" w:line="240" w:lineRule="auto"/>
              <w:jc w:val="center"/>
              <w:rPr>
                <w:rFonts w:ascii="Times New Roman" w:eastAsia="Times New Roman" w:hAnsi="Times New Roman" w:cs="Times New Roman"/>
                <w:noProof/>
                <w:sz w:val="18"/>
              </w:rPr>
            </w:pPr>
          </w:p>
        </w:tc>
        <w:tc>
          <w:tcPr>
            <w:tcW w:w="1134" w:type="dxa"/>
            <w:tcBorders>
              <w:top w:val="nil"/>
              <w:left w:val="nil"/>
              <w:bottom w:val="single" w:sz="4" w:space="0" w:color="auto"/>
              <w:right w:val="single" w:sz="4" w:space="0" w:color="auto"/>
            </w:tcBorders>
            <w:shd w:val="clear" w:color="auto" w:fill="C6EFCE"/>
            <w:noWrap/>
          </w:tcPr>
          <w:p w14:paraId="17EF62E8" w14:textId="6032FF81" w:rsidR="00EB245A" w:rsidRDefault="006021EE">
            <w:pPr>
              <w:pStyle w:val="P68B1DB1-Normal26"/>
              <w:spacing w:after="0" w:line="240" w:lineRule="auto"/>
              <w:jc w:val="center"/>
              <w:rPr>
                <w:rFonts w:eastAsia="Times New Roman" w:cs="Times New Roman"/>
                <w:noProof/>
              </w:rPr>
            </w:pPr>
            <w:r>
              <w:rPr>
                <w:noProof/>
              </w:rPr>
              <w:t>Q4</w:t>
            </w:r>
          </w:p>
        </w:tc>
        <w:tc>
          <w:tcPr>
            <w:tcW w:w="1134" w:type="dxa"/>
            <w:tcBorders>
              <w:top w:val="nil"/>
              <w:left w:val="nil"/>
              <w:bottom w:val="single" w:sz="4" w:space="0" w:color="auto"/>
              <w:right w:val="single" w:sz="4" w:space="0" w:color="auto"/>
            </w:tcBorders>
            <w:shd w:val="clear" w:color="auto" w:fill="C6EFCE"/>
            <w:noWrap/>
          </w:tcPr>
          <w:p w14:paraId="55B2252A" w14:textId="63853783" w:rsidR="00EB245A" w:rsidRDefault="006021EE">
            <w:pPr>
              <w:pStyle w:val="P68B1DB1-Normal26"/>
              <w:spacing w:after="0" w:line="240" w:lineRule="auto"/>
              <w:jc w:val="center"/>
              <w:rPr>
                <w:rFonts w:eastAsia="Times New Roman" w:cs="Times New Roman"/>
                <w:noProof/>
              </w:rPr>
            </w:pPr>
            <w:r>
              <w:rPr>
                <w:noProof/>
              </w:rPr>
              <w:t>2025</w:t>
            </w:r>
          </w:p>
        </w:tc>
        <w:tc>
          <w:tcPr>
            <w:tcW w:w="2840" w:type="dxa"/>
            <w:tcBorders>
              <w:top w:val="nil"/>
              <w:left w:val="nil"/>
              <w:bottom w:val="single" w:sz="4" w:space="0" w:color="auto"/>
              <w:right w:val="single" w:sz="4" w:space="0" w:color="auto"/>
            </w:tcBorders>
            <w:shd w:val="clear" w:color="auto" w:fill="C6EFCE"/>
            <w:noWrap/>
          </w:tcPr>
          <w:p w14:paraId="2E488FA8" w14:textId="7765FA5D" w:rsidR="00EB245A" w:rsidRDefault="006021EE">
            <w:pPr>
              <w:pStyle w:val="P68B1DB1-Normal26"/>
              <w:spacing w:after="0" w:line="240" w:lineRule="auto"/>
              <w:rPr>
                <w:rFonts w:eastAsia="Times New Roman" w:cs="Times New Roman"/>
                <w:noProof/>
              </w:rPr>
            </w:pPr>
            <w:r>
              <w:rPr>
                <w:noProof/>
              </w:rPr>
              <w:t>Die Erprobung einer Pilotversion der IT-Plattform für einen einheitlichen digitalen Rahmen für die Genehmigung erneuerbarer Energiequellen, die die Anfo</w:t>
            </w:r>
            <w:r>
              <w:rPr>
                <w:noProof/>
              </w:rPr>
              <w:t>rderungen des Etappenziels G3L erfüllt, ist abzuschließen.</w:t>
            </w:r>
          </w:p>
        </w:tc>
      </w:tr>
      <w:tr w:rsidR="00EB245A" w14:paraId="24E63644" w14:textId="77777777" w:rsidTr="00396F21">
        <w:trPr>
          <w:trHeight w:val="309"/>
          <w:jc w:val="center"/>
        </w:trPr>
        <w:tc>
          <w:tcPr>
            <w:tcW w:w="803" w:type="dxa"/>
            <w:tcBorders>
              <w:top w:val="nil"/>
              <w:left w:val="single" w:sz="4" w:space="0" w:color="auto"/>
              <w:bottom w:val="single" w:sz="4" w:space="0" w:color="auto"/>
              <w:right w:val="single" w:sz="4" w:space="0" w:color="auto"/>
            </w:tcBorders>
            <w:shd w:val="clear" w:color="auto" w:fill="C6EFCE"/>
            <w:noWrap/>
          </w:tcPr>
          <w:p w14:paraId="1A7495FB" w14:textId="0A955CF4" w:rsidR="00EB245A" w:rsidRDefault="006021EE">
            <w:pPr>
              <w:pStyle w:val="P68B1DB1-Normal26"/>
              <w:spacing w:after="0" w:line="240" w:lineRule="auto"/>
              <w:jc w:val="center"/>
              <w:rPr>
                <w:rFonts w:eastAsia="Times New Roman" w:cs="Times New Roman"/>
                <w:noProof/>
              </w:rPr>
            </w:pPr>
            <w:r>
              <w:rPr>
                <w:noProof/>
              </w:rPr>
              <w:t>G5L</w:t>
            </w:r>
          </w:p>
        </w:tc>
        <w:tc>
          <w:tcPr>
            <w:tcW w:w="1461" w:type="dxa"/>
            <w:tcBorders>
              <w:top w:val="nil"/>
              <w:left w:val="nil"/>
              <w:bottom w:val="single" w:sz="4" w:space="0" w:color="auto"/>
              <w:right w:val="single" w:sz="4" w:space="0" w:color="auto"/>
            </w:tcBorders>
            <w:shd w:val="clear" w:color="auto" w:fill="C6EFCE"/>
            <w:noWrap/>
          </w:tcPr>
          <w:p w14:paraId="05AA8179" w14:textId="3640A851" w:rsidR="00EB245A" w:rsidRDefault="006021EE">
            <w:pPr>
              <w:pStyle w:val="P68B1DB1-Normal26"/>
              <w:spacing w:after="0" w:line="240" w:lineRule="auto"/>
              <w:rPr>
                <w:rFonts w:eastAsia="Times New Roman" w:cs="Times New Roman"/>
                <w:noProof/>
              </w:rPr>
            </w:pPr>
            <w:r>
              <w:rPr>
                <w:noProof/>
              </w:rPr>
              <w:t>G3.1.1 Straffung des Genehmigungsverfahrens für erneuerbare Energiequellen</w:t>
            </w:r>
          </w:p>
        </w:tc>
        <w:tc>
          <w:tcPr>
            <w:tcW w:w="1275" w:type="dxa"/>
            <w:tcBorders>
              <w:top w:val="nil"/>
              <w:left w:val="nil"/>
              <w:bottom w:val="single" w:sz="4" w:space="0" w:color="auto"/>
              <w:right w:val="single" w:sz="4" w:space="0" w:color="auto"/>
            </w:tcBorders>
            <w:shd w:val="clear" w:color="auto" w:fill="C6EFCE"/>
            <w:noWrap/>
          </w:tcPr>
          <w:p w14:paraId="6985EC76" w14:textId="77777777" w:rsidR="00EB245A" w:rsidRDefault="006021EE">
            <w:pPr>
              <w:pStyle w:val="P68B1DB1-Normal26"/>
              <w:spacing w:line="240" w:lineRule="auto"/>
              <w:rPr>
                <w:rFonts w:eastAsia="Times New Roman" w:cs="Times New Roman"/>
                <w:noProof/>
              </w:rPr>
            </w:pPr>
            <w:r>
              <w:rPr>
                <w:noProof/>
              </w:rPr>
              <w:t>Meilenstein</w:t>
            </w:r>
          </w:p>
          <w:p w14:paraId="7935B6C7" w14:textId="77777777" w:rsidR="00EB245A" w:rsidRDefault="00EB245A">
            <w:pPr>
              <w:spacing w:after="0" w:line="240" w:lineRule="auto"/>
              <w:rPr>
                <w:rFonts w:ascii="Times New Roman" w:eastAsia="Times New Roman" w:hAnsi="Times New Roman" w:cs="Times New Roman"/>
                <w:noProof/>
                <w:sz w:val="18"/>
              </w:rPr>
            </w:pPr>
          </w:p>
        </w:tc>
        <w:tc>
          <w:tcPr>
            <w:tcW w:w="1650" w:type="dxa"/>
            <w:tcBorders>
              <w:top w:val="nil"/>
              <w:left w:val="nil"/>
              <w:bottom w:val="single" w:sz="4" w:space="0" w:color="auto"/>
              <w:right w:val="single" w:sz="4" w:space="0" w:color="auto"/>
            </w:tcBorders>
            <w:shd w:val="clear" w:color="auto" w:fill="C6EFCE"/>
            <w:noWrap/>
          </w:tcPr>
          <w:p w14:paraId="51CD5E2E" w14:textId="77777777" w:rsidR="00EB245A" w:rsidRDefault="006021EE">
            <w:pPr>
              <w:pStyle w:val="P68B1DB1-Normal26"/>
              <w:spacing w:after="0" w:line="240" w:lineRule="auto"/>
              <w:rPr>
                <w:rFonts w:eastAsia="Times New Roman" w:cs="Times New Roman"/>
                <w:noProof/>
              </w:rPr>
            </w:pPr>
            <w:r>
              <w:rPr>
                <w:noProof/>
              </w:rPr>
              <w:t xml:space="preserve">Digitalisierung der Genehmigungsverfahren  </w:t>
            </w:r>
          </w:p>
          <w:p w14:paraId="1CB1D67F" w14:textId="77777777" w:rsidR="00EB245A" w:rsidRDefault="00EB245A">
            <w:pPr>
              <w:spacing w:after="0" w:line="240" w:lineRule="auto"/>
              <w:rPr>
                <w:rFonts w:ascii="Times New Roman" w:eastAsia="Times New Roman" w:hAnsi="Times New Roman" w:cs="Times New Roman"/>
                <w:noProof/>
                <w:sz w:val="18"/>
              </w:rPr>
            </w:pPr>
          </w:p>
        </w:tc>
        <w:tc>
          <w:tcPr>
            <w:tcW w:w="1894" w:type="dxa"/>
            <w:tcBorders>
              <w:top w:val="nil"/>
              <w:left w:val="nil"/>
              <w:bottom w:val="single" w:sz="4" w:space="0" w:color="auto"/>
              <w:right w:val="single" w:sz="4" w:space="0" w:color="auto"/>
            </w:tcBorders>
            <w:shd w:val="clear" w:color="auto" w:fill="C6EFCE"/>
            <w:noWrap/>
          </w:tcPr>
          <w:p w14:paraId="6D7E96AF" w14:textId="188E14A3" w:rsidR="00EB245A" w:rsidRDefault="006021EE">
            <w:pPr>
              <w:pStyle w:val="P68B1DB1-Normal26"/>
              <w:spacing w:after="0" w:line="240" w:lineRule="auto"/>
              <w:rPr>
                <w:rFonts w:eastAsia="Times New Roman" w:cs="Times New Roman"/>
                <w:noProof/>
              </w:rPr>
            </w:pPr>
            <w:r>
              <w:rPr>
                <w:noProof/>
              </w:rPr>
              <w:t xml:space="preserve">Inbetriebnahme der IT-Plattform für einen einheitlichen </w:t>
            </w:r>
            <w:r>
              <w:rPr>
                <w:noProof/>
              </w:rPr>
              <w:t>digitalen Rahmen für die Genehmigung erneuerbarer Energiequellen</w:t>
            </w:r>
          </w:p>
        </w:tc>
        <w:tc>
          <w:tcPr>
            <w:tcW w:w="1134" w:type="dxa"/>
            <w:tcBorders>
              <w:top w:val="nil"/>
              <w:left w:val="nil"/>
              <w:bottom w:val="single" w:sz="4" w:space="0" w:color="auto"/>
              <w:right w:val="single" w:sz="4" w:space="0" w:color="auto"/>
            </w:tcBorders>
            <w:shd w:val="clear" w:color="auto" w:fill="C6EFCE"/>
            <w:noWrap/>
          </w:tcPr>
          <w:p w14:paraId="2C679B88" w14:textId="77777777" w:rsidR="00EB245A" w:rsidRDefault="00EB245A">
            <w:pPr>
              <w:spacing w:after="0" w:line="240" w:lineRule="auto"/>
              <w:rPr>
                <w:rFonts w:ascii="Times New Roman" w:eastAsia="Times New Roman" w:hAnsi="Times New Roman" w:cs="Times New Roman"/>
                <w:noProof/>
                <w:sz w:val="18"/>
              </w:rPr>
            </w:pPr>
          </w:p>
        </w:tc>
        <w:tc>
          <w:tcPr>
            <w:tcW w:w="1276" w:type="dxa"/>
            <w:tcBorders>
              <w:top w:val="nil"/>
              <w:left w:val="nil"/>
              <w:bottom w:val="single" w:sz="4" w:space="0" w:color="auto"/>
              <w:right w:val="single" w:sz="4" w:space="0" w:color="auto"/>
            </w:tcBorders>
            <w:shd w:val="clear" w:color="auto" w:fill="C6EFCE"/>
            <w:noWrap/>
          </w:tcPr>
          <w:p w14:paraId="1DC66FDF" w14:textId="77777777" w:rsidR="00EB245A" w:rsidRDefault="00EB245A">
            <w:pPr>
              <w:spacing w:after="0" w:line="240" w:lineRule="auto"/>
              <w:jc w:val="center"/>
              <w:rPr>
                <w:rFonts w:ascii="Times New Roman" w:eastAsia="Times New Roman" w:hAnsi="Times New Roman" w:cs="Times New Roman"/>
                <w:noProof/>
                <w:sz w:val="18"/>
              </w:rPr>
            </w:pPr>
          </w:p>
        </w:tc>
        <w:tc>
          <w:tcPr>
            <w:tcW w:w="708" w:type="dxa"/>
            <w:tcBorders>
              <w:top w:val="nil"/>
              <w:left w:val="nil"/>
              <w:bottom w:val="single" w:sz="4" w:space="0" w:color="auto"/>
              <w:right w:val="single" w:sz="4" w:space="0" w:color="auto"/>
            </w:tcBorders>
            <w:shd w:val="clear" w:color="auto" w:fill="C6EFCE"/>
            <w:noWrap/>
          </w:tcPr>
          <w:p w14:paraId="60BE9214" w14:textId="77777777" w:rsidR="00EB245A" w:rsidRDefault="00EB245A">
            <w:pPr>
              <w:spacing w:after="0" w:line="240" w:lineRule="auto"/>
              <w:jc w:val="center"/>
              <w:rPr>
                <w:rFonts w:ascii="Times New Roman" w:eastAsia="Times New Roman" w:hAnsi="Times New Roman" w:cs="Times New Roman"/>
                <w:noProof/>
                <w:sz w:val="18"/>
              </w:rPr>
            </w:pPr>
          </w:p>
        </w:tc>
        <w:tc>
          <w:tcPr>
            <w:tcW w:w="1134" w:type="dxa"/>
            <w:tcBorders>
              <w:top w:val="nil"/>
              <w:left w:val="nil"/>
              <w:bottom w:val="single" w:sz="4" w:space="0" w:color="auto"/>
              <w:right w:val="single" w:sz="4" w:space="0" w:color="auto"/>
            </w:tcBorders>
            <w:shd w:val="clear" w:color="auto" w:fill="C6EFCE"/>
            <w:noWrap/>
          </w:tcPr>
          <w:p w14:paraId="09F701D4" w14:textId="0DA40D97" w:rsidR="00EB245A" w:rsidRDefault="006021EE">
            <w:pPr>
              <w:pStyle w:val="P68B1DB1-Normal26"/>
              <w:spacing w:after="0" w:line="240" w:lineRule="auto"/>
              <w:jc w:val="center"/>
              <w:rPr>
                <w:rFonts w:eastAsia="Times New Roman" w:cs="Times New Roman"/>
                <w:noProof/>
              </w:rPr>
            </w:pPr>
            <w:r>
              <w:rPr>
                <w:noProof/>
              </w:rPr>
              <w:t>Q2</w:t>
            </w:r>
          </w:p>
        </w:tc>
        <w:tc>
          <w:tcPr>
            <w:tcW w:w="1134" w:type="dxa"/>
            <w:tcBorders>
              <w:top w:val="nil"/>
              <w:left w:val="nil"/>
              <w:bottom w:val="single" w:sz="4" w:space="0" w:color="auto"/>
              <w:right w:val="single" w:sz="4" w:space="0" w:color="auto"/>
            </w:tcBorders>
            <w:shd w:val="clear" w:color="auto" w:fill="C6EFCE"/>
            <w:noWrap/>
          </w:tcPr>
          <w:p w14:paraId="640DDF74" w14:textId="563C50FA" w:rsidR="00EB245A" w:rsidRDefault="006021EE">
            <w:pPr>
              <w:pStyle w:val="P68B1DB1-Normal26"/>
              <w:spacing w:after="0" w:line="240" w:lineRule="auto"/>
              <w:jc w:val="center"/>
              <w:rPr>
                <w:rFonts w:eastAsia="Times New Roman" w:cs="Times New Roman"/>
                <w:noProof/>
              </w:rPr>
            </w:pPr>
            <w:r>
              <w:rPr>
                <w:noProof/>
              </w:rPr>
              <w:t>2026</w:t>
            </w:r>
          </w:p>
        </w:tc>
        <w:tc>
          <w:tcPr>
            <w:tcW w:w="2840" w:type="dxa"/>
            <w:tcBorders>
              <w:top w:val="nil"/>
              <w:left w:val="nil"/>
              <w:bottom w:val="single" w:sz="4" w:space="0" w:color="auto"/>
              <w:right w:val="single" w:sz="4" w:space="0" w:color="auto"/>
            </w:tcBorders>
            <w:shd w:val="clear" w:color="auto" w:fill="C6EFCE"/>
            <w:noWrap/>
          </w:tcPr>
          <w:p w14:paraId="03426340" w14:textId="59E90933" w:rsidR="00EB245A" w:rsidRDefault="006021EE">
            <w:pPr>
              <w:pStyle w:val="P68B1DB1-Normal26"/>
              <w:spacing w:after="0" w:line="240" w:lineRule="auto"/>
              <w:rPr>
                <w:rFonts w:eastAsia="Times New Roman" w:cs="Times New Roman"/>
                <w:noProof/>
              </w:rPr>
            </w:pPr>
            <w:r>
              <w:rPr>
                <w:noProof/>
              </w:rPr>
              <w:t>Inbetriebnahme der IT-Plattform für einen einheitlichen digitalen Rahmen für die Genehmigung erneuerbarer Energiequellen, der die Anforderungen des Etappenziels G3L erfüllt.</w:t>
            </w:r>
          </w:p>
        </w:tc>
      </w:tr>
      <w:tr w:rsidR="00EB245A" w14:paraId="2750927D" w14:textId="77777777" w:rsidTr="00396F21">
        <w:trPr>
          <w:trHeight w:val="309"/>
          <w:jc w:val="center"/>
        </w:trPr>
        <w:tc>
          <w:tcPr>
            <w:tcW w:w="803" w:type="dxa"/>
            <w:tcBorders>
              <w:top w:val="nil"/>
              <w:left w:val="single" w:sz="4" w:space="0" w:color="auto"/>
              <w:bottom w:val="single" w:sz="4" w:space="0" w:color="auto"/>
              <w:right w:val="single" w:sz="4" w:space="0" w:color="auto"/>
            </w:tcBorders>
            <w:shd w:val="clear" w:color="auto" w:fill="C6EFCE"/>
            <w:noWrap/>
          </w:tcPr>
          <w:p w14:paraId="60899DF8" w14:textId="1F1BAE78" w:rsidR="00EB245A" w:rsidRDefault="006021EE">
            <w:pPr>
              <w:pStyle w:val="P68B1DB1-Normal26"/>
              <w:spacing w:after="0" w:line="240" w:lineRule="auto"/>
              <w:jc w:val="center"/>
              <w:rPr>
                <w:rFonts w:eastAsia="Times New Roman" w:cs="Times New Roman"/>
                <w:noProof/>
              </w:rPr>
            </w:pPr>
            <w:r>
              <w:rPr>
                <w:noProof/>
              </w:rPr>
              <w:t>G6L</w:t>
            </w:r>
          </w:p>
        </w:tc>
        <w:tc>
          <w:tcPr>
            <w:tcW w:w="1461" w:type="dxa"/>
            <w:tcBorders>
              <w:top w:val="nil"/>
              <w:left w:val="nil"/>
              <w:bottom w:val="single" w:sz="4" w:space="0" w:color="auto"/>
              <w:right w:val="single" w:sz="4" w:space="0" w:color="auto"/>
            </w:tcBorders>
            <w:shd w:val="clear" w:color="auto" w:fill="C6EFCE"/>
            <w:noWrap/>
          </w:tcPr>
          <w:p w14:paraId="18FED290" w14:textId="77777777" w:rsidR="00EB245A" w:rsidRDefault="006021EE">
            <w:pPr>
              <w:pStyle w:val="P68B1DB1-Normal26"/>
              <w:spacing w:line="240" w:lineRule="auto"/>
              <w:rPr>
                <w:rFonts w:eastAsia="Times New Roman" w:cs="Times New Roman"/>
                <w:noProof/>
              </w:rPr>
            </w:pPr>
            <w:r>
              <w:rPr>
                <w:noProof/>
              </w:rPr>
              <w:t>G3.1.1 Straffung des Genehmigungsverfahrens für erneuerbare Energiequellen</w:t>
            </w:r>
          </w:p>
          <w:p w14:paraId="1A7E1387" w14:textId="77777777" w:rsidR="00EB245A" w:rsidRDefault="00EB245A">
            <w:pPr>
              <w:spacing w:after="0" w:line="240" w:lineRule="auto"/>
              <w:rPr>
                <w:rFonts w:ascii="Times New Roman" w:eastAsia="Times New Roman" w:hAnsi="Times New Roman" w:cs="Times New Roman"/>
                <w:noProof/>
                <w:sz w:val="18"/>
              </w:rPr>
            </w:pPr>
          </w:p>
        </w:tc>
        <w:tc>
          <w:tcPr>
            <w:tcW w:w="1275" w:type="dxa"/>
            <w:tcBorders>
              <w:top w:val="nil"/>
              <w:left w:val="nil"/>
              <w:bottom w:val="single" w:sz="4" w:space="0" w:color="auto"/>
              <w:right w:val="single" w:sz="4" w:space="0" w:color="auto"/>
            </w:tcBorders>
            <w:shd w:val="clear" w:color="auto" w:fill="C6EFCE"/>
            <w:noWrap/>
          </w:tcPr>
          <w:p w14:paraId="71BFF31D" w14:textId="02E095EA" w:rsidR="00EB245A" w:rsidRDefault="006021EE">
            <w:pPr>
              <w:pStyle w:val="P68B1DB1-Normal26"/>
              <w:spacing w:line="240" w:lineRule="auto"/>
              <w:rPr>
                <w:rFonts w:eastAsia="Times New Roman" w:cs="Times New Roman"/>
                <w:noProof/>
              </w:rPr>
            </w:pPr>
            <w:r>
              <w:rPr>
                <w:noProof/>
              </w:rPr>
              <w:t>Ziel</w:t>
            </w:r>
          </w:p>
        </w:tc>
        <w:tc>
          <w:tcPr>
            <w:tcW w:w="1650" w:type="dxa"/>
            <w:tcBorders>
              <w:top w:val="nil"/>
              <w:left w:val="nil"/>
              <w:bottom w:val="single" w:sz="4" w:space="0" w:color="auto"/>
              <w:right w:val="single" w:sz="4" w:space="0" w:color="auto"/>
            </w:tcBorders>
            <w:shd w:val="clear" w:color="auto" w:fill="C6EFCE"/>
            <w:noWrap/>
          </w:tcPr>
          <w:p w14:paraId="6BDE8DE7" w14:textId="7CE3DCF0" w:rsidR="00EB245A" w:rsidRDefault="006021EE">
            <w:pPr>
              <w:pStyle w:val="P68B1DB1-Normal26"/>
              <w:spacing w:after="0" w:line="240" w:lineRule="auto"/>
              <w:rPr>
                <w:rFonts w:eastAsia="Times New Roman" w:cs="Times New Roman"/>
                <w:noProof/>
              </w:rPr>
            </w:pPr>
            <w:r>
              <w:rPr>
                <w:noProof/>
              </w:rPr>
              <w:t>Installierte Kapazität von Onshore-Wind- und Photovoltaikanlagen (in GW)</w:t>
            </w:r>
          </w:p>
        </w:tc>
        <w:tc>
          <w:tcPr>
            <w:tcW w:w="1894" w:type="dxa"/>
            <w:tcBorders>
              <w:top w:val="nil"/>
              <w:left w:val="nil"/>
              <w:bottom w:val="single" w:sz="4" w:space="0" w:color="auto"/>
              <w:right w:val="single" w:sz="4" w:space="0" w:color="auto"/>
            </w:tcBorders>
            <w:shd w:val="clear" w:color="auto" w:fill="C6EFCE"/>
            <w:noWrap/>
          </w:tcPr>
          <w:p w14:paraId="53F6C630" w14:textId="3726E674" w:rsidR="00EB245A" w:rsidRDefault="00EB245A">
            <w:pPr>
              <w:spacing w:after="0" w:line="240" w:lineRule="auto"/>
              <w:rPr>
                <w:rFonts w:ascii="Times New Roman" w:eastAsia="Times New Roman" w:hAnsi="Times New Roman" w:cs="Times New Roman"/>
                <w:noProof/>
                <w:sz w:val="18"/>
              </w:rPr>
            </w:pPr>
          </w:p>
        </w:tc>
        <w:tc>
          <w:tcPr>
            <w:tcW w:w="1134" w:type="dxa"/>
            <w:tcBorders>
              <w:top w:val="nil"/>
              <w:left w:val="nil"/>
              <w:bottom w:val="single" w:sz="4" w:space="0" w:color="auto"/>
              <w:right w:val="single" w:sz="4" w:space="0" w:color="auto"/>
            </w:tcBorders>
            <w:shd w:val="clear" w:color="auto" w:fill="C6EFCE"/>
            <w:noWrap/>
          </w:tcPr>
          <w:p w14:paraId="3D1DEF3D" w14:textId="7294553A" w:rsidR="00EB245A" w:rsidRDefault="006021EE">
            <w:pPr>
              <w:pStyle w:val="P68B1DB1-Normal26"/>
              <w:spacing w:after="0" w:line="240" w:lineRule="auto"/>
              <w:rPr>
                <w:rFonts w:eastAsia="Times New Roman" w:cs="Times New Roman"/>
                <w:noProof/>
              </w:rPr>
            </w:pPr>
            <w:r>
              <w:rPr>
                <w:noProof/>
              </w:rPr>
              <w:t>Anzahl</w:t>
            </w:r>
          </w:p>
        </w:tc>
        <w:tc>
          <w:tcPr>
            <w:tcW w:w="1276" w:type="dxa"/>
            <w:tcBorders>
              <w:top w:val="nil"/>
              <w:left w:val="nil"/>
              <w:bottom w:val="single" w:sz="4" w:space="0" w:color="auto"/>
              <w:right w:val="single" w:sz="4" w:space="0" w:color="auto"/>
            </w:tcBorders>
            <w:shd w:val="clear" w:color="auto" w:fill="C6EFCE"/>
            <w:noWrap/>
          </w:tcPr>
          <w:p w14:paraId="406FBBCB" w14:textId="025631C5" w:rsidR="00EB245A" w:rsidRDefault="006021EE">
            <w:pPr>
              <w:pStyle w:val="P68B1DB1-Normal26"/>
              <w:spacing w:after="0" w:line="240" w:lineRule="auto"/>
              <w:jc w:val="center"/>
              <w:rPr>
                <w:rFonts w:eastAsia="Times New Roman" w:cs="Times New Roman"/>
                <w:noProof/>
              </w:rPr>
            </w:pPr>
            <w:r>
              <w:rPr>
                <w:noProof/>
              </w:rPr>
              <w:t>23.5.</w:t>
            </w:r>
          </w:p>
        </w:tc>
        <w:tc>
          <w:tcPr>
            <w:tcW w:w="708" w:type="dxa"/>
            <w:tcBorders>
              <w:top w:val="nil"/>
              <w:left w:val="nil"/>
              <w:bottom w:val="single" w:sz="4" w:space="0" w:color="auto"/>
              <w:right w:val="single" w:sz="4" w:space="0" w:color="auto"/>
            </w:tcBorders>
            <w:shd w:val="clear" w:color="auto" w:fill="C6EFCE"/>
            <w:noWrap/>
          </w:tcPr>
          <w:p w14:paraId="19844346" w14:textId="4427CC02" w:rsidR="00EB245A" w:rsidRDefault="006021EE">
            <w:pPr>
              <w:pStyle w:val="P68B1DB1-Normal26"/>
              <w:spacing w:after="0" w:line="240" w:lineRule="auto"/>
              <w:jc w:val="center"/>
              <w:rPr>
                <w:rFonts w:eastAsia="Times New Roman" w:cs="Times New Roman"/>
                <w:noProof/>
              </w:rPr>
            </w:pPr>
            <w:r>
              <w:rPr>
                <w:noProof/>
              </w:rPr>
              <w:t>28</w:t>
            </w:r>
          </w:p>
        </w:tc>
        <w:tc>
          <w:tcPr>
            <w:tcW w:w="1134" w:type="dxa"/>
            <w:tcBorders>
              <w:top w:val="nil"/>
              <w:left w:val="nil"/>
              <w:bottom w:val="single" w:sz="4" w:space="0" w:color="auto"/>
              <w:right w:val="single" w:sz="4" w:space="0" w:color="auto"/>
            </w:tcBorders>
            <w:shd w:val="clear" w:color="auto" w:fill="C6EFCE"/>
            <w:noWrap/>
          </w:tcPr>
          <w:p w14:paraId="021596D2" w14:textId="7A8E102C" w:rsidR="00EB245A" w:rsidRDefault="006021EE">
            <w:pPr>
              <w:pStyle w:val="P68B1DB1-Normal26"/>
              <w:spacing w:after="0" w:line="240" w:lineRule="auto"/>
              <w:jc w:val="center"/>
              <w:rPr>
                <w:rFonts w:eastAsia="Times New Roman" w:cs="Times New Roman"/>
                <w:noProof/>
              </w:rPr>
            </w:pPr>
            <w:r>
              <w:rPr>
                <w:noProof/>
              </w:rPr>
              <w:t>Q4</w:t>
            </w:r>
          </w:p>
        </w:tc>
        <w:tc>
          <w:tcPr>
            <w:tcW w:w="1134" w:type="dxa"/>
            <w:tcBorders>
              <w:top w:val="nil"/>
              <w:left w:val="nil"/>
              <w:bottom w:val="single" w:sz="4" w:space="0" w:color="auto"/>
              <w:right w:val="single" w:sz="4" w:space="0" w:color="auto"/>
            </w:tcBorders>
            <w:shd w:val="clear" w:color="auto" w:fill="C6EFCE"/>
            <w:noWrap/>
          </w:tcPr>
          <w:p w14:paraId="1147A738" w14:textId="65FD0118" w:rsidR="00EB245A" w:rsidRDefault="006021EE">
            <w:pPr>
              <w:pStyle w:val="P68B1DB1-Normal26"/>
              <w:spacing w:after="0" w:line="240" w:lineRule="auto"/>
              <w:jc w:val="center"/>
              <w:rPr>
                <w:rFonts w:eastAsia="Times New Roman" w:cs="Times New Roman"/>
                <w:noProof/>
              </w:rPr>
            </w:pPr>
            <w:r>
              <w:rPr>
                <w:noProof/>
              </w:rPr>
              <w:t>2025</w:t>
            </w:r>
          </w:p>
        </w:tc>
        <w:tc>
          <w:tcPr>
            <w:tcW w:w="2840" w:type="dxa"/>
            <w:tcBorders>
              <w:top w:val="nil"/>
              <w:left w:val="nil"/>
              <w:bottom w:val="single" w:sz="4" w:space="0" w:color="auto"/>
              <w:right w:val="single" w:sz="4" w:space="0" w:color="auto"/>
            </w:tcBorders>
            <w:shd w:val="clear" w:color="auto" w:fill="C6EFCE"/>
            <w:noWrap/>
          </w:tcPr>
          <w:p w14:paraId="04E6DA47" w14:textId="3E5B7FE0" w:rsidR="00EB245A" w:rsidRDefault="006021EE">
            <w:pPr>
              <w:pStyle w:val="P68B1DB1-Normal011"/>
              <w:spacing w:after="0" w:line="240" w:lineRule="auto"/>
              <w:rPr>
                <w:rFonts w:eastAsia="Times New Roman" w:cs="Times New Roman"/>
                <w:noProof/>
              </w:rPr>
            </w:pPr>
            <w:r>
              <w:rPr>
                <w:noProof/>
              </w:rPr>
              <w:t xml:space="preserve">Installierte Gesamtkapazität (in GW) von Onshore-Windkraft- und </w:t>
            </w:r>
            <w:r>
              <w:rPr>
                <w:noProof/>
              </w:rPr>
              <w:t>Photovoltaikanlagen.</w:t>
            </w:r>
          </w:p>
        </w:tc>
      </w:tr>
      <w:tr w:rsidR="00EB245A" w14:paraId="49D83CE3" w14:textId="77777777" w:rsidTr="00396F21">
        <w:trPr>
          <w:trHeight w:val="563"/>
          <w:jc w:val="center"/>
        </w:trPr>
        <w:tc>
          <w:tcPr>
            <w:tcW w:w="803" w:type="dxa"/>
            <w:tcBorders>
              <w:top w:val="nil"/>
              <w:left w:val="single" w:sz="4" w:space="0" w:color="auto"/>
              <w:bottom w:val="single" w:sz="4" w:space="0" w:color="auto"/>
              <w:right w:val="single" w:sz="4" w:space="0" w:color="auto"/>
            </w:tcBorders>
            <w:shd w:val="clear" w:color="auto" w:fill="C6EFCE"/>
            <w:noWrap/>
          </w:tcPr>
          <w:p w14:paraId="0A3E0C3B" w14:textId="5B7A37B9" w:rsidR="00EB245A" w:rsidRDefault="006021EE">
            <w:pPr>
              <w:pStyle w:val="P68B1DB1-Normal26"/>
              <w:spacing w:after="0" w:line="240" w:lineRule="auto"/>
              <w:jc w:val="center"/>
              <w:rPr>
                <w:rFonts w:eastAsia="Times New Roman" w:cs="Times New Roman"/>
                <w:noProof/>
              </w:rPr>
            </w:pPr>
            <w:r>
              <w:rPr>
                <w:noProof/>
              </w:rPr>
              <w:t>G7L</w:t>
            </w:r>
          </w:p>
        </w:tc>
        <w:tc>
          <w:tcPr>
            <w:tcW w:w="1461" w:type="dxa"/>
            <w:tcBorders>
              <w:top w:val="nil"/>
              <w:left w:val="nil"/>
              <w:bottom w:val="single" w:sz="4" w:space="0" w:color="auto"/>
              <w:right w:val="single" w:sz="4" w:space="0" w:color="auto"/>
            </w:tcBorders>
            <w:shd w:val="clear" w:color="auto" w:fill="C6EFCE"/>
            <w:noWrap/>
          </w:tcPr>
          <w:p w14:paraId="7B17151A" w14:textId="77777777" w:rsidR="00EB245A" w:rsidRDefault="006021EE">
            <w:pPr>
              <w:pStyle w:val="P68B1DB1-Normal26"/>
              <w:spacing w:line="240" w:lineRule="auto"/>
              <w:rPr>
                <w:rFonts w:eastAsia="Times New Roman" w:cs="Times New Roman"/>
                <w:noProof/>
              </w:rPr>
            </w:pPr>
            <w:r>
              <w:rPr>
                <w:noProof/>
              </w:rPr>
              <w:t>G3.1.1 Straffung des Genehmigungsverfahrens für erneuerbare Energiequellen</w:t>
            </w:r>
          </w:p>
          <w:p w14:paraId="0967E9D6" w14:textId="77777777" w:rsidR="00EB245A" w:rsidRDefault="00EB245A">
            <w:pPr>
              <w:spacing w:after="0" w:line="240" w:lineRule="auto"/>
              <w:rPr>
                <w:rFonts w:ascii="Times New Roman" w:eastAsia="Times New Roman" w:hAnsi="Times New Roman" w:cs="Times New Roman"/>
                <w:noProof/>
                <w:sz w:val="18"/>
              </w:rPr>
            </w:pPr>
          </w:p>
        </w:tc>
        <w:tc>
          <w:tcPr>
            <w:tcW w:w="1275" w:type="dxa"/>
            <w:tcBorders>
              <w:top w:val="nil"/>
              <w:left w:val="nil"/>
              <w:bottom w:val="single" w:sz="4" w:space="0" w:color="auto"/>
              <w:right w:val="single" w:sz="4" w:space="0" w:color="auto"/>
            </w:tcBorders>
            <w:shd w:val="clear" w:color="auto" w:fill="C6EFCE"/>
            <w:noWrap/>
          </w:tcPr>
          <w:p w14:paraId="72826545" w14:textId="3F91727E" w:rsidR="00EB245A" w:rsidRDefault="006021EE">
            <w:pPr>
              <w:pStyle w:val="P68B1DB1-Normal26"/>
              <w:spacing w:line="240" w:lineRule="auto"/>
              <w:rPr>
                <w:rFonts w:eastAsia="Times New Roman" w:cs="Times New Roman"/>
                <w:noProof/>
              </w:rPr>
            </w:pPr>
            <w:r>
              <w:rPr>
                <w:noProof/>
              </w:rPr>
              <w:t>Ziel</w:t>
            </w:r>
          </w:p>
        </w:tc>
        <w:tc>
          <w:tcPr>
            <w:tcW w:w="1650" w:type="dxa"/>
            <w:tcBorders>
              <w:top w:val="nil"/>
              <w:left w:val="nil"/>
              <w:bottom w:val="single" w:sz="4" w:space="0" w:color="auto"/>
              <w:right w:val="single" w:sz="4" w:space="0" w:color="auto"/>
            </w:tcBorders>
            <w:shd w:val="clear" w:color="auto" w:fill="C6EFCE"/>
            <w:noWrap/>
          </w:tcPr>
          <w:p w14:paraId="0F74008E" w14:textId="49E222EA" w:rsidR="00EB245A" w:rsidRDefault="006021EE">
            <w:pPr>
              <w:pStyle w:val="P68B1DB1-Normal26"/>
              <w:spacing w:after="0" w:line="240" w:lineRule="auto"/>
              <w:rPr>
                <w:rFonts w:eastAsia="Times New Roman" w:cs="Times New Roman"/>
                <w:noProof/>
              </w:rPr>
            </w:pPr>
            <w:r>
              <w:rPr>
                <w:noProof/>
              </w:rPr>
              <w:t>Installierte Kapazität von Onshore-Wind- und Photovoltaikanlagen (in GW)</w:t>
            </w:r>
          </w:p>
        </w:tc>
        <w:tc>
          <w:tcPr>
            <w:tcW w:w="1894" w:type="dxa"/>
            <w:tcBorders>
              <w:top w:val="nil"/>
              <w:left w:val="nil"/>
              <w:bottom w:val="single" w:sz="4" w:space="0" w:color="auto"/>
              <w:right w:val="single" w:sz="4" w:space="0" w:color="auto"/>
            </w:tcBorders>
            <w:shd w:val="clear" w:color="auto" w:fill="C6EFCE"/>
            <w:noWrap/>
          </w:tcPr>
          <w:p w14:paraId="7045FE0E" w14:textId="33BD2C4F" w:rsidR="00EB245A" w:rsidRDefault="00EB245A">
            <w:pPr>
              <w:spacing w:after="0" w:line="240" w:lineRule="auto"/>
              <w:rPr>
                <w:rFonts w:ascii="Times New Roman" w:eastAsia="Times New Roman" w:hAnsi="Times New Roman" w:cs="Times New Roman"/>
                <w:noProof/>
                <w:sz w:val="18"/>
              </w:rPr>
            </w:pPr>
          </w:p>
        </w:tc>
        <w:tc>
          <w:tcPr>
            <w:tcW w:w="1134" w:type="dxa"/>
            <w:tcBorders>
              <w:top w:val="nil"/>
              <w:left w:val="nil"/>
              <w:bottom w:val="single" w:sz="4" w:space="0" w:color="auto"/>
              <w:right w:val="single" w:sz="4" w:space="0" w:color="auto"/>
            </w:tcBorders>
            <w:shd w:val="clear" w:color="auto" w:fill="C6EFCE"/>
            <w:noWrap/>
          </w:tcPr>
          <w:p w14:paraId="48306150" w14:textId="6D651A14" w:rsidR="00EB245A" w:rsidRDefault="006021EE">
            <w:pPr>
              <w:pStyle w:val="P68B1DB1-Normal26"/>
              <w:spacing w:after="0" w:line="240" w:lineRule="auto"/>
              <w:rPr>
                <w:rFonts w:eastAsia="Times New Roman" w:cs="Times New Roman"/>
                <w:noProof/>
              </w:rPr>
            </w:pPr>
            <w:r>
              <w:rPr>
                <w:noProof/>
              </w:rPr>
              <w:t>Anzahl</w:t>
            </w:r>
          </w:p>
        </w:tc>
        <w:tc>
          <w:tcPr>
            <w:tcW w:w="1276" w:type="dxa"/>
            <w:tcBorders>
              <w:top w:val="nil"/>
              <w:left w:val="nil"/>
              <w:bottom w:val="single" w:sz="4" w:space="0" w:color="auto"/>
              <w:right w:val="single" w:sz="4" w:space="0" w:color="auto"/>
            </w:tcBorders>
            <w:shd w:val="clear" w:color="auto" w:fill="C6EFCE"/>
            <w:noWrap/>
          </w:tcPr>
          <w:p w14:paraId="03120837" w14:textId="60A371B3" w:rsidR="00EB245A" w:rsidRDefault="006021EE">
            <w:pPr>
              <w:pStyle w:val="P68B1DB1-Normal26"/>
              <w:spacing w:after="0" w:line="240" w:lineRule="auto"/>
              <w:jc w:val="center"/>
              <w:rPr>
                <w:rFonts w:eastAsia="Times New Roman" w:cs="Times New Roman"/>
                <w:noProof/>
              </w:rPr>
            </w:pPr>
            <w:r>
              <w:rPr>
                <w:noProof/>
              </w:rPr>
              <w:t>28</w:t>
            </w:r>
          </w:p>
        </w:tc>
        <w:tc>
          <w:tcPr>
            <w:tcW w:w="708" w:type="dxa"/>
            <w:tcBorders>
              <w:top w:val="nil"/>
              <w:left w:val="nil"/>
              <w:bottom w:val="single" w:sz="4" w:space="0" w:color="auto"/>
              <w:right w:val="single" w:sz="4" w:space="0" w:color="auto"/>
            </w:tcBorders>
            <w:shd w:val="clear" w:color="auto" w:fill="C6EFCE"/>
            <w:noWrap/>
          </w:tcPr>
          <w:p w14:paraId="65D1EAC3" w14:textId="35B24D64" w:rsidR="00EB245A" w:rsidRDefault="006021EE">
            <w:pPr>
              <w:pStyle w:val="P68B1DB1-Normal26"/>
              <w:spacing w:after="0" w:line="240" w:lineRule="auto"/>
              <w:jc w:val="center"/>
              <w:rPr>
                <w:rFonts w:eastAsia="Times New Roman" w:cs="Times New Roman"/>
                <w:noProof/>
              </w:rPr>
            </w:pPr>
            <w:r>
              <w:rPr>
                <w:noProof/>
              </w:rPr>
              <w:t>30</w:t>
            </w:r>
          </w:p>
        </w:tc>
        <w:tc>
          <w:tcPr>
            <w:tcW w:w="1134" w:type="dxa"/>
            <w:tcBorders>
              <w:top w:val="nil"/>
              <w:left w:val="nil"/>
              <w:bottom w:val="single" w:sz="4" w:space="0" w:color="auto"/>
              <w:right w:val="single" w:sz="4" w:space="0" w:color="auto"/>
            </w:tcBorders>
            <w:shd w:val="clear" w:color="auto" w:fill="C6EFCE"/>
            <w:noWrap/>
          </w:tcPr>
          <w:p w14:paraId="4128314E" w14:textId="5B698642" w:rsidR="00EB245A" w:rsidRDefault="006021EE">
            <w:pPr>
              <w:pStyle w:val="P68B1DB1-Normal26"/>
              <w:spacing w:after="0" w:line="240" w:lineRule="auto"/>
              <w:jc w:val="center"/>
              <w:rPr>
                <w:rFonts w:eastAsia="Times New Roman" w:cs="Times New Roman"/>
                <w:noProof/>
              </w:rPr>
            </w:pPr>
            <w:r>
              <w:rPr>
                <w:noProof/>
              </w:rPr>
              <w:t>Q2</w:t>
            </w:r>
          </w:p>
        </w:tc>
        <w:tc>
          <w:tcPr>
            <w:tcW w:w="1134" w:type="dxa"/>
            <w:tcBorders>
              <w:top w:val="nil"/>
              <w:left w:val="nil"/>
              <w:bottom w:val="single" w:sz="4" w:space="0" w:color="auto"/>
              <w:right w:val="single" w:sz="4" w:space="0" w:color="auto"/>
            </w:tcBorders>
            <w:shd w:val="clear" w:color="auto" w:fill="C6EFCE"/>
            <w:noWrap/>
          </w:tcPr>
          <w:p w14:paraId="3DF84E7C" w14:textId="7A507D1F" w:rsidR="00EB245A" w:rsidRDefault="006021EE">
            <w:pPr>
              <w:pStyle w:val="P68B1DB1-Normal26"/>
              <w:spacing w:after="0" w:line="240" w:lineRule="auto"/>
              <w:jc w:val="center"/>
              <w:rPr>
                <w:rFonts w:eastAsia="Times New Roman" w:cs="Times New Roman"/>
                <w:noProof/>
              </w:rPr>
            </w:pPr>
            <w:r>
              <w:rPr>
                <w:noProof/>
              </w:rPr>
              <w:t>2026</w:t>
            </w:r>
          </w:p>
        </w:tc>
        <w:tc>
          <w:tcPr>
            <w:tcW w:w="2840" w:type="dxa"/>
            <w:tcBorders>
              <w:top w:val="nil"/>
              <w:left w:val="nil"/>
              <w:bottom w:val="single" w:sz="4" w:space="0" w:color="auto"/>
              <w:right w:val="single" w:sz="4" w:space="0" w:color="auto"/>
            </w:tcBorders>
            <w:shd w:val="clear" w:color="auto" w:fill="C6EFCE"/>
            <w:noWrap/>
          </w:tcPr>
          <w:p w14:paraId="79E7BA05" w14:textId="5E859370" w:rsidR="00EB245A" w:rsidRDefault="006021EE">
            <w:pPr>
              <w:pStyle w:val="P68B1DB1-Normal26"/>
              <w:spacing w:after="0" w:line="240" w:lineRule="auto"/>
              <w:rPr>
                <w:rFonts w:eastAsia="Times New Roman" w:cs="Times New Roman"/>
                <w:noProof/>
              </w:rPr>
            </w:pPr>
            <w:r>
              <w:rPr>
                <w:noProof/>
              </w:rPr>
              <w:t xml:space="preserve">Installierte Gesamtkapazität (in GW) von </w:t>
            </w:r>
            <w:r>
              <w:rPr>
                <w:noProof/>
              </w:rPr>
              <w:t>Onshore-Windkraft- und Photovoltaikanlagen.</w:t>
            </w:r>
          </w:p>
        </w:tc>
      </w:tr>
      <w:tr w:rsidR="00EB245A" w14:paraId="4E9808F6" w14:textId="77777777" w:rsidTr="00396F21">
        <w:trPr>
          <w:trHeight w:val="309"/>
          <w:jc w:val="center"/>
        </w:trPr>
        <w:tc>
          <w:tcPr>
            <w:tcW w:w="803" w:type="dxa"/>
            <w:tcBorders>
              <w:top w:val="nil"/>
              <w:left w:val="single" w:sz="4" w:space="0" w:color="auto"/>
              <w:bottom w:val="single" w:sz="4" w:space="0" w:color="auto"/>
              <w:right w:val="single" w:sz="4" w:space="0" w:color="auto"/>
            </w:tcBorders>
            <w:shd w:val="clear" w:color="auto" w:fill="C6EFCE"/>
            <w:noWrap/>
          </w:tcPr>
          <w:p w14:paraId="297A532D" w14:textId="086D17C8" w:rsidR="00EB245A" w:rsidRDefault="006021EE">
            <w:pPr>
              <w:pStyle w:val="P68B1DB1-Normal26"/>
              <w:spacing w:after="0" w:line="240" w:lineRule="auto"/>
              <w:jc w:val="center"/>
              <w:rPr>
                <w:rFonts w:eastAsia="Times New Roman" w:cs="Times New Roman"/>
                <w:noProof/>
              </w:rPr>
            </w:pPr>
            <w:r>
              <w:rPr>
                <w:noProof/>
              </w:rPr>
              <w:t>G8L</w:t>
            </w:r>
          </w:p>
        </w:tc>
        <w:tc>
          <w:tcPr>
            <w:tcW w:w="1461" w:type="dxa"/>
            <w:tcBorders>
              <w:top w:val="nil"/>
              <w:left w:val="nil"/>
              <w:bottom w:val="single" w:sz="4" w:space="0" w:color="auto"/>
              <w:right w:val="single" w:sz="4" w:space="0" w:color="auto"/>
            </w:tcBorders>
            <w:shd w:val="clear" w:color="auto" w:fill="C6EFCE"/>
            <w:noWrap/>
          </w:tcPr>
          <w:p w14:paraId="54D5B9CA" w14:textId="4F3C0632" w:rsidR="00EB245A" w:rsidRDefault="006021EE">
            <w:pPr>
              <w:pStyle w:val="P68B1DB1-Normal26"/>
              <w:spacing w:after="0" w:line="240" w:lineRule="auto"/>
              <w:rPr>
                <w:rFonts w:eastAsia="Times New Roman" w:cs="Times New Roman"/>
                <w:noProof/>
              </w:rPr>
            </w:pPr>
            <w:r>
              <w:rPr>
                <w:noProof/>
              </w:rPr>
              <w:t>G3.1.2 Kompetenzen für den ökologischen Wandel</w:t>
            </w:r>
          </w:p>
        </w:tc>
        <w:tc>
          <w:tcPr>
            <w:tcW w:w="1275" w:type="dxa"/>
            <w:tcBorders>
              <w:top w:val="nil"/>
              <w:left w:val="nil"/>
              <w:bottom w:val="single" w:sz="4" w:space="0" w:color="auto"/>
              <w:right w:val="single" w:sz="4" w:space="0" w:color="auto"/>
            </w:tcBorders>
            <w:shd w:val="clear" w:color="auto" w:fill="C6EFCE"/>
            <w:noWrap/>
          </w:tcPr>
          <w:p w14:paraId="26456F6C" w14:textId="77777777" w:rsidR="00EB245A" w:rsidRDefault="006021EE">
            <w:pPr>
              <w:pStyle w:val="P68B1DB1-Normal26"/>
              <w:spacing w:after="0" w:line="240" w:lineRule="auto"/>
              <w:rPr>
                <w:rFonts w:eastAsia="Times New Roman" w:cs="Times New Roman"/>
                <w:noProof/>
              </w:rPr>
            </w:pPr>
            <w:r>
              <w:rPr>
                <w:noProof/>
              </w:rPr>
              <w:t>Meilenstein</w:t>
            </w:r>
          </w:p>
        </w:tc>
        <w:tc>
          <w:tcPr>
            <w:tcW w:w="1650" w:type="dxa"/>
            <w:tcBorders>
              <w:top w:val="nil"/>
              <w:left w:val="nil"/>
              <w:bottom w:val="single" w:sz="4" w:space="0" w:color="auto"/>
              <w:right w:val="single" w:sz="4" w:space="0" w:color="auto"/>
            </w:tcBorders>
            <w:shd w:val="clear" w:color="auto" w:fill="C6EFCE"/>
            <w:noWrap/>
          </w:tcPr>
          <w:p w14:paraId="50D0516F" w14:textId="5A985C04" w:rsidR="00EB245A" w:rsidRDefault="006021EE">
            <w:pPr>
              <w:pStyle w:val="P68B1DB1-Normal26"/>
              <w:spacing w:after="0" w:line="240" w:lineRule="auto"/>
              <w:rPr>
                <w:rFonts w:eastAsia="Times New Roman" w:cs="Times New Roman"/>
                <w:noProof/>
              </w:rPr>
            </w:pPr>
            <w:r>
              <w:rPr>
                <w:noProof/>
              </w:rPr>
              <w:t xml:space="preserve">Änderung von drei sektoralen Qualifikationsrahmen für den ökologischen Wandel </w:t>
            </w:r>
          </w:p>
        </w:tc>
        <w:tc>
          <w:tcPr>
            <w:tcW w:w="1894" w:type="dxa"/>
            <w:tcBorders>
              <w:top w:val="nil"/>
              <w:left w:val="nil"/>
              <w:bottom w:val="single" w:sz="4" w:space="0" w:color="auto"/>
              <w:right w:val="single" w:sz="4" w:space="0" w:color="auto"/>
            </w:tcBorders>
            <w:shd w:val="clear" w:color="auto" w:fill="C6EFCE"/>
            <w:noWrap/>
          </w:tcPr>
          <w:p w14:paraId="62D0E8F0" w14:textId="7CA52B3F" w:rsidR="00EB245A" w:rsidRDefault="006021EE">
            <w:pPr>
              <w:pStyle w:val="P68B1DB1-Normal26"/>
              <w:spacing w:after="0" w:line="240" w:lineRule="auto"/>
              <w:rPr>
                <w:rFonts w:eastAsia="Times New Roman" w:cs="Times New Roman"/>
                <w:noProof/>
              </w:rPr>
            </w:pPr>
            <w:r>
              <w:rPr>
                <w:noProof/>
              </w:rPr>
              <w:t xml:space="preserve">Veröffentlichung der Berichte mit den geänderten sektoralen </w:t>
            </w:r>
            <w:r>
              <w:rPr>
                <w:noProof/>
              </w:rPr>
              <w:t>Qualifikationsrahmen für Bauwesen, Wasserwirtschaft und Abfallwirtschaft</w:t>
            </w:r>
          </w:p>
        </w:tc>
        <w:tc>
          <w:tcPr>
            <w:tcW w:w="1134" w:type="dxa"/>
            <w:tcBorders>
              <w:top w:val="nil"/>
              <w:left w:val="nil"/>
              <w:bottom w:val="single" w:sz="4" w:space="0" w:color="auto"/>
              <w:right w:val="single" w:sz="4" w:space="0" w:color="auto"/>
            </w:tcBorders>
            <w:shd w:val="clear" w:color="auto" w:fill="C6EFCE"/>
            <w:noWrap/>
          </w:tcPr>
          <w:p w14:paraId="03852252" w14:textId="77777777" w:rsidR="00EB245A" w:rsidRDefault="00EB245A">
            <w:pPr>
              <w:spacing w:after="0" w:line="240" w:lineRule="auto"/>
              <w:rPr>
                <w:rFonts w:ascii="Times New Roman" w:eastAsia="Times New Roman" w:hAnsi="Times New Roman" w:cs="Times New Roman"/>
                <w:noProof/>
                <w:sz w:val="18"/>
              </w:rPr>
            </w:pPr>
          </w:p>
        </w:tc>
        <w:tc>
          <w:tcPr>
            <w:tcW w:w="1276" w:type="dxa"/>
            <w:tcBorders>
              <w:top w:val="nil"/>
              <w:left w:val="nil"/>
              <w:bottom w:val="single" w:sz="4" w:space="0" w:color="auto"/>
              <w:right w:val="single" w:sz="4" w:space="0" w:color="auto"/>
            </w:tcBorders>
            <w:shd w:val="clear" w:color="auto" w:fill="C6EFCE"/>
            <w:noWrap/>
          </w:tcPr>
          <w:p w14:paraId="2582632E" w14:textId="77777777" w:rsidR="00EB245A" w:rsidRDefault="00EB245A">
            <w:pPr>
              <w:spacing w:after="0" w:line="240" w:lineRule="auto"/>
              <w:jc w:val="center"/>
              <w:rPr>
                <w:rFonts w:ascii="Times New Roman" w:eastAsia="Times New Roman" w:hAnsi="Times New Roman" w:cs="Times New Roman"/>
                <w:noProof/>
                <w:sz w:val="18"/>
              </w:rPr>
            </w:pPr>
          </w:p>
        </w:tc>
        <w:tc>
          <w:tcPr>
            <w:tcW w:w="708" w:type="dxa"/>
            <w:tcBorders>
              <w:top w:val="nil"/>
              <w:left w:val="nil"/>
              <w:bottom w:val="single" w:sz="4" w:space="0" w:color="auto"/>
              <w:right w:val="single" w:sz="4" w:space="0" w:color="auto"/>
            </w:tcBorders>
            <w:shd w:val="clear" w:color="auto" w:fill="C6EFCE"/>
            <w:noWrap/>
          </w:tcPr>
          <w:p w14:paraId="1623A8D1" w14:textId="77777777" w:rsidR="00EB245A" w:rsidRDefault="00EB245A">
            <w:pPr>
              <w:spacing w:after="0" w:line="240" w:lineRule="auto"/>
              <w:jc w:val="center"/>
              <w:rPr>
                <w:rFonts w:ascii="Times New Roman" w:eastAsia="Times New Roman" w:hAnsi="Times New Roman" w:cs="Times New Roman"/>
                <w:noProof/>
                <w:sz w:val="18"/>
              </w:rPr>
            </w:pPr>
          </w:p>
        </w:tc>
        <w:tc>
          <w:tcPr>
            <w:tcW w:w="1134" w:type="dxa"/>
            <w:tcBorders>
              <w:top w:val="nil"/>
              <w:left w:val="nil"/>
              <w:bottom w:val="single" w:sz="4" w:space="0" w:color="auto"/>
              <w:right w:val="single" w:sz="4" w:space="0" w:color="auto"/>
            </w:tcBorders>
            <w:shd w:val="clear" w:color="auto" w:fill="C6EFCE"/>
            <w:noWrap/>
          </w:tcPr>
          <w:p w14:paraId="711009E1" w14:textId="0AE2A84E" w:rsidR="00EB245A" w:rsidRDefault="006021EE">
            <w:pPr>
              <w:pStyle w:val="P68B1DB1-Normal26"/>
              <w:spacing w:after="0" w:line="240" w:lineRule="auto"/>
              <w:jc w:val="center"/>
              <w:rPr>
                <w:rFonts w:eastAsia="Times New Roman" w:cs="Times New Roman"/>
                <w:noProof/>
              </w:rPr>
            </w:pPr>
            <w:r>
              <w:rPr>
                <w:noProof/>
              </w:rPr>
              <w:t>Q2</w:t>
            </w:r>
          </w:p>
        </w:tc>
        <w:tc>
          <w:tcPr>
            <w:tcW w:w="1134" w:type="dxa"/>
            <w:tcBorders>
              <w:top w:val="nil"/>
              <w:left w:val="nil"/>
              <w:bottom w:val="single" w:sz="4" w:space="0" w:color="auto"/>
              <w:right w:val="single" w:sz="4" w:space="0" w:color="auto"/>
            </w:tcBorders>
            <w:shd w:val="clear" w:color="auto" w:fill="C6EFCE"/>
            <w:noWrap/>
          </w:tcPr>
          <w:p w14:paraId="0F57E02C" w14:textId="77777777" w:rsidR="00EB245A" w:rsidRDefault="006021EE">
            <w:pPr>
              <w:pStyle w:val="P68B1DB1-Normal26"/>
              <w:spacing w:after="0" w:line="240" w:lineRule="auto"/>
              <w:jc w:val="center"/>
              <w:rPr>
                <w:rFonts w:eastAsia="Times New Roman" w:cs="Times New Roman"/>
                <w:noProof/>
              </w:rPr>
            </w:pPr>
            <w:r>
              <w:rPr>
                <w:noProof/>
              </w:rPr>
              <w:t>2025</w:t>
            </w:r>
          </w:p>
        </w:tc>
        <w:tc>
          <w:tcPr>
            <w:tcW w:w="2840" w:type="dxa"/>
            <w:tcBorders>
              <w:top w:val="nil"/>
              <w:left w:val="nil"/>
              <w:bottom w:val="single" w:sz="4" w:space="0" w:color="auto"/>
              <w:right w:val="single" w:sz="4" w:space="0" w:color="auto"/>
            </w:tcBorders>
            <w:shd w:val="clear" w:color="auto" w:fill="C6EFCE"/>
            <w:noWrap/>
          </w:tcPr>
          <w:p w14:paraId="6109E846" w14:textId="3071F8E5" w:rsidR="00EB245A" w:rsidRDefault="006021EE">
            <w:pPr>
              <w:pStyle w:val="P68B1DB1-Normal26"/>
              <w:spacing w:after="0" w:line="240" w:lineRule="auto"/>
              <w:rPr>
                <w:rFonts w:eastAsia="Times New Roman" w:cs="Times New Roman"/>
                <w:noProof/>
              </w:rPr>
            </w:pPr>
            <w:r>
              <w:rPr>
                <w:noProof/>
              </w:rPr>
              <w:t>In Zusammenarbeit mit den branchenspezifischen Sozialpartnern, einschließlich der sektorspezifischen Kompetenzräte, wird der branchenspezifische Qualifikationsrahmen für di</w:t>
            </w:r>
            <w:r>
              <w:rPr>
                <w:noProof/>
              </w:rPr>
              <w:t>e Sektoren Bauwesen, Wasserwirtschaft und Abfallwirtschaft geändert, um Kompetenzen aufzunehmen, die zur Verwirklichung der Ziele des europäischen Grünen Deals und zur Klimaneutralität bis 2050 beitragen.</w:t>
            </w:r>
          </w:p>
          <w:p w14:paraId="22F29056" w14:textId="5C87DAFA" w:rsidR="00EB245A" w:rsidRDefault="006021EE">
            <w:pPr>
              <w:pStyle w:val="P68B1DB1-Normal26"/>
              <w:spacing w:after="0" w:line="240" w:lineRule="auto"/>
              <w:rPr>
                <w:rFonts w:eastAsia="Times New Roman" w:cs="Times New Roman"/>
                <w:noProof/>
              </w:rPr>
            </w:pPr>
            <w:r>
              <w:rPr>
                <w:noProof/>
              </w:rPr>
              <w:t>Die Berichte mit den geänderten sektoralen Qualifik</w:t>
            </w:r>
            <w:r>
              <w:rPr>
                <w:noProof/>
              </w:rPr>
              <w:t xml:space="preserve">ationsrahmen für Bauwesen, Wasserwirtschaft und Abfallwirtschaft werden veröffentlicht. </w:t>
            </w:r>
          </w:p>
        </w:tc>
      </w:tr>
      <w:tr w:rsidR="00EB245A" w14:paraId="066F317A" w14:textId="77777777" w:rsidTr="00396F21">
        <w:trPr>
          <w:trHeight w:val="309"/>
          <w:jc w:val="center"/>
        </w:trPr>
        <w:tc>
          <w:tcPr>
            <w:tcW w:w="803" w:type="dxa"/>
            <w:tcBorders>
              <w:top w:val="nil"/>
              <w:left w:val="single" w:sz="4" w:space="0" w:color="auto"/>
              <w:bottom w:val="single" w:sz="4" w:space="0" w:color="auto"/>
              <w:right w:val="single" w:sz="4" w:space="0" w:color="auto"/>
            </w:tcBorders>
            <w:shd w:val="clear" w:color="auto" w:fill="C6EFCE"/>
            <w:noWrap/>
          </w:tcPr>
          <w:p w14:paraId="4850F753" w14:textId="1F8017BE" w:rsidR="00EB245A" w:rsidRDefault="006021EE">
            <w:pPr>
              <w:pStyle w:val="P68B1DB1-Normal26"/>
              <w:spacing w:after="0" w:line="240" w:lineRule="auto"/>
              <w:jc w:val="center"/>
              <w:rPr>
                <w:rFonts w:eastAsia="Times New Roman" w:cs="Times New Roman"/>
                <w:noProof/>
              </w:rPr>
            </w:pPr>
            <w:r>
              <w:rPr>
                <w:noProof/>
              </w:rPr>
              <w:t>G9L</w:t>
            </w:r>
          </w:p>
        </w:tc>
        <w:tc>
          <w:tcPr>
            <w:tcW w:w="1461" w:type="dxa"/>
            <w:tcBorders>
              <w:top w:val="nil"/>
              <w:left w:val="nil"/>
              <w:bottom w:val="single" w:sz="4" w:space="0" w:color="auto"/>
              <w:right w:val="single" w:sz="4" w:space="0" w:color="auto"/>
            </w:tcBorders>
            <w:shd w:val="clear" w:color="auto" w:fill="C6EFCE"/>
            <w:noWrap/>
          </w:tcPr>
          <w:p w14:paraId="652D1327" w14:textId="3C4A1D68" w:rsidR="00EB245A" w:rsidRDefault="006021EE">
            <w:pPr>
              <w:pStyle w:val="P68B1DB1-Normal26"/>
              <w:spacing w:after="0" w:line="240" w:lineRule="auto"/>
              <w:rPr>
                <w:rFonts w:eastAsia="Times New Roman" w:cs="Times New Roman"/>
                <w:noProof/>
              </w:rPr>
            </w:pPr>
            <w:r>
              <w:rPr>
                <w:noProof/>
              </w:rPr>
              <w:t>G3.1.2 Kompetenzen für den ökologischen Wandel</w:t>
            </w:r>
          </w:p>
        </w:tc>
        <w:tc>
          <w:tcPr>
            <w:tcW w:w="1275" w:type="dxa"/>
            <w:tcBorders>
              <w:top w:val="nil"/>
              <w:left w:val="nil"/>
              <w:bottom w:val="single" w:sz="4" w:space="0" w:color="auto"/>
              <w:right w:val="single" w:sz="4" w:space="0" w:color="auto"/>
            </w:tcBorders>
            <w:shd w:val="clear" w:color="auto" w:fill="C6EFCE"/>
            <w:noWrap/>
          </w:tcPr>
          <w:p w14:paraId="0D449D82" w14:textId="0256EBA9" w:rsidR="00EB245A" w:rsidRDefault="006021EE">
            <w:pPr>
              <w:pStyle w:val="P68B1DB1-Normal26"/>
              <w:spacing w:after="0" w:line="240" w:lineRule="auto"/>
              <w:rPr>
                <w:rFonts w:eastAsia="Times New Roman" w:cs="Times New Roman"/>
                <w:noProof/>
              </w:rPr>
            </w:pPr>
            <w:r>
              <w:rPr>
                <w:noProof/>
              </w:rPr>
              <w:t>Meilenstein</w:t>
            </w:r>
          </w:p>
        </w:tc>
        <w:tc>
          <w:tcPr>
            <w:tcW w:w="1650" w:type="dxa"/>
            <w:tcBorders>
              <w:top w:val="nil"/>
              <w:left w:val="nil"/>
              <w:bottom w:val="single" w:sz="4" w:space="0" w:color="auto"/>
              <w:right w:val="single" w:sz="4" w:space="0" w:color="auto"/>
            </w:tcBorders>
            <w:shd w:val="clear" w:color="auto" w:fill="C6EFCE"/>
            <w:noWrap/>
          </w:tcPr>
          <w:p w14:paraId="1C5B2BA4" w14:textId="10A15329" w:rsidR="00EB245A" w:rsidRDefault="006021EE">
            <w:pPr>
              <w:pStyle w:val="P68B1DB1-Normal26"/>
              <w:spacing w:after="0" w:line="240" w:lineRule="auto"/>
              <w:rPr>
                <w:rFonts w:eastAsia="Times New Roman" w:cs="Times New Roman"/>
                <w:noProof/>
              </w:rPr>
            </w:pPr>
            <w:r>
              <w:rPr>
                <w:noProof/>
              </w:rPr>
              <w:t>Änderung des sektoralen Qualifikationsrahmens für Energie</w:t>
            </w:r>
          </w:p>
        </w:tc>
        <w:tc>
          <w:tcPr>
            <w:tcW w:w="1894" w:type="dxa"/>
            <w:tcBorders>
              <w:top w:val="nil"/>
              <w:left w:val="nil"/>
              <w:bottom w:val="single" w:sz="4" w:space="0" w:color="auto"/>
              <w:right w:val="single" w:sz="4" w:space="0" w:color="auto"/>
            </w:tcBorders>
            <w:shd w:val="clear" w:color="auto" w:fill="C6EFCE"/>
            <w:noWrap/>
          </w:tcPr>
          <w:p w14:paraId="70A5FAE2" w14:textId="3203B19F" w:rsidR="00EB245A" w:rsidRDefault="006021EE">
            <w:pPr>
              <w:pStyle w:val="P68B1DB1-Normal26"/>
              <w:spacing w:after="0" w:line="240" w:lineRule="auto"/>
              <w:rPr>
                <w:rFonts w:eastAsia="Times New Roman" w:cs="Times New Roman"/>
                <w:noProof/>
              </w:rPr>
            </w:pPr>
            <w:r>
              <w:rPr>
                <w:noProof/>
              </w:rPr>
              <w:t xml:space="preserve">Veröffentlichung des Berichts mit dem </w:t>
            </w:r>
            <w:r>
              <w:rPr>
                <w:noProof/>
              </w:rPr>
              <w:t>geänderten sektoralen Qualifikationsrahmen für Energie</w:t>
            </w:r>
          </w:p>
        </w:tc>
        <w:tc>
          <w:tcPr>
            <w:tcW w:w="1134" w:type="dxa"/>
            <w:tcBorders>
              <w:top w:val="nil"/>
              <w:left w:val="nil"/>
              <w:bottom w:val="single" w:sz="4" w:space="0" w:color="auto"/>
              <w:right w:val="single" w:sz="4" w:space="0" w:color="auto"/>
            </w:tcBorders>
            <w:shd w:val="clear" w:color="auto" w:fill="C6EFCE"/>
            <w:noWrap/>
          </w:tcPr>
          <w:p w14:paraId="2A9694CF" w14:textId="77777777" w:rsidR="00EB245A" w:rsidRDefault="00EB245A">
            <w:pPr>
              <w:spacing w:after="0" w:line="240" w:lineRule="auto"/>
              <w:rPr>
                <w:rFonts w:ascii="Times New Roman" w:eastAsia="Times New Roman" w:hAnsi="Times New Roman" w:cs="Times New Roman"/>
                <w:noProof/>
                <w:sz w:val="18"/>
              </w:rPr>
            </w:pPr>
          </w:p>
        </w:tc>
        <w:tc>
          <w:tcPr>
            <w:tcW w:w="1276" w:type="dxa"/>
            <w:tcBorders>
              <w:top w:val="nil"/>
              <w:left w:val="nil"/>
              <w:bottom w:val="single" w:sz="4" w:space="0" w:color="auto"/>
              <w:right w:val="single" w:sz="4" w:space="0" w:color="auto"/>
            </w:tcBorders>
            <w:shd w:val="clear" w:color="auto" w:fill="C6EFCE"/>
            <w:noWrap/>
          </w:tcPr>
          <w:p w14:paraId="6DD78178" w14:textId="77777777" w:rsidR="00EB245A" w:rsidRDefault="00EB245A">
            <w:pPr>
              <w:spacing w:after="0" w:line="240" w:lineRule="auto"/>
              <w:jc w:val="center"/>
              <w:rPr>
                <w:rFonts w:ascii="Times New Roman" w:eastAsia="Times New Roman" w:hAnsi="Times New Roman" w:cs="Times New Roman"/>
                <w:noProof/>
                <w:sz w:val="18"/>
              </w:rPr>
            </w:pPr>
          </w:p>
        </w:tc>
        <w:tc>
          <w:tcPr>
            <w:tcW w:w="708" w:type="dxa"/>
            <w:tcBorders>
              <w:top w:val="nil"/>
              <w:left w:val="nil"/>
              <w:bottom w:val="single" w:sz="4" w:space="0" w:color="auto"/>
              <w:right w:val="single" w:sz="4" w:space="0" w:color="auto"/>
            </w:tcBorders>
            <w:shd w:val="clear" w:color="auto" w:fill="C6EFCE"/>
            <w:noWrap/>
          </w:tcPr>
          <w:p w14:paraId="7F8EC23D" w14:textId="77777777" w:rsidR="00EB245A" w:rsidRDefault="00EB245A">
            <w:pPr>
              <w:spacing w:after="0" w:line="240" w:lineRule="auto"/>
              <w:jc w:val="center"/>
              <w:rPr>
                <w:rFonts w:ascii="Times New Roman" w:eastAsia="Times New Roman" w:hAnsi="Times New Roman" w:cs="Times New Roman"/>
                <w:noProof/>
                <w:sz w:val="18"/>
              </w:rPr>
            </w:pPr>
          </w:p>
        </w:tc>
        <w:tc>
          <w:tcPr>
            <w:tcW w:w="1134" w:type="dxa"/>
            <w:tcBorders>
              <w:top w:val="nil"/>
              <w:left w:val="nil"/>
              <w:bottom w:val="single" w:sz="4" w:space="0" w:color="auto"/>
              <w:right w:val="single" w:sz="4" w:space="0" w:color="auto"/>
            </w:tcBorders>
            <w:shd w:val="clear" w:color="auto" w:fill="C6EFCE"/>
            <w:noWrap/>
          </w:tcPr>
          <w:p w14:paraId="22BEA2DC" w14:textId="2523678B" w:rsidR="00EB245A" w:rsidRDefault="006021EE">
            <w:pPr>
              <w:pStyle w:val="P68B1DB1-Normal26"/>
              <w:spacing w:after="0" w:line="240" w:lineRule="auto"/>
              <w:jc w:val="center"/>
              <w:rPr>
                <w:rFonts w:eastAsia="Times New Roman" w:cs="Times New Roman"/>
                <w:noProof/>
              </w:rPr>
            </w:pPr>
            <w:r>
              <w:rPr>
                <w:noProof/>
              </w:rPr>
              <w:t xml:space="preserve">Q2 </w:t>
            </w:r>
          </w:p>
        </w:tc>
        <w:tc>
          <w:tcPr>
            <w:tcW w:w="1134" w:type="dxa"/>
            <w:tcBorders>
              <w:top w:val="nil"/>
              <w:left w:val="nil"/>
              <w:bottom w:val="single" w:sz="4" w:space="0" w:color="auto"/>
              <w:right w:val="single" w:sz="4" w:space="0" w:color="auto"/>
            </w:tcBorders>
            <w:shd w:val="clear" w:color="auto" w:fill="C6EFCE"/>
            <w:noWrap/>
          </w:tcPr>
          <w:p w14:paraId="067A9FC7" w14:textId="5A480AF3" w:rsidR="00EB245A" w:rsidRDefault="006021EE">
            <w:pPr>
              <w:pStyle w:val="P68B1DB1-Normal26"/>
              <w:spacing w:after="0" w:line="240" w:lineRule="auto"/>
              <w:jc w:val="center"/>
              <w:rPr>
                <w:rFonts w:eastAsia="Times New Roman" w:cs="Times New Roman"/>
                <w:noProof/>
              </w:rPr>
            </w:pPr>
            <w:r>
              <w:rPr>
                <w:noProof/>
              </w:rPr>
              <w:t>2025</w:t>
            </w:r>
          </w:p>
        </w:tc>
        <w:tc>
          <w:tcPr>
            <w:tcW w:w="2840" w:type="dxa"/>
            <w:tcBorders>
              <w:top w:val="nil"/>
              <w:left w:val="nil"/>
              <w:bottom w:val="single" w:sz="4" w:space="0" w:color="auto"/>
              <w:right w:val="single" w:sz="4" w:space="0" w:color="auto"/>
            </w:tcBorders>
            <w:shd w:val="clear" w:color="auto" w:fill="C6EFCE"/>
            <w:noWrap/>
          </w:tcPr>
          <w:p w14:paraId="1DC3C7C9" w14:textId="0B2A07A5" w:rsidR="00EB245A" w:rsidRDefault="006021EE">
            <w:pPr>
              <w:spacing w:after="0" w:line="240" w:lineRule="auto"/>
              <w:rPr>
                <w:rFonts w:ascii="Times New Roman" w:eastAsia="Times New Roman" w:hAnsi="Times New Roman" w:cs="Times New Roman"/>
                <w:noProof/>
                <w:sz w:val="18"/>
              </w:rPr>
            </w:pPr>
            <w:r>
              <w:rPr>
                <w:rFonts w:ascii="Times New Roman" w:hAnsi="Times New Roman"/>
                <w:noProof/>
                <w:sz w:val="18"/>
              </w:rPr>
              <w:t>In Zusammenarbeit mit den Sozialpartnern der Branche, einschließlich des Branchenkompetenzrates, wird der branchenspezifische Qualifikationsrahmen für Energie geändert, indem die Qualifikat</w:t>
            </w:r>
            <w:r>
              <w:rPr>
                <w:rFonts w:ascii="Times New Roman" w:hAnsi="Times New Roman"/>
                <w:noProof/>
                <w:sz w:val="18"/>
              </w:rPr>
              <w:t>ionen für erneuerbare Energiequellen aufgenommen werden</w:t>
            </w:r>
            <w:r>
              <w:rPr>
                <w:noProof/>
              </w:rPr>
              <w:t xml:space="preserve">, die </w:t>
            </w:r>
            <w:r>
              <w:rPr>
                <w:rFonts w:ascii="Times New Roman" w:hAnsi="Times New Roman"/>
                <w:noProof/>
                <w:sz w:val="18"/>
              </w:rPr>
              <w:t>Kompetenzen abdecken, die zur Verwirklichung der Ziele des europäischen Grünen Deals und zur Klimaneutralität bis 2050 beitragen.</w:t>
            </w:r>
          </w:p>
          <w:p w14:paraId="364B6F6E" w14:textId="77777777" w:rsidR="00EB245A" w:rsidRDefault="00EB245A">
            <w:pPr>
              <w:spacing w:after="0" w:line="240" w:lineRule="auto"/>
              <w:rPr>
                <w:rFonts w:ascii="Times New Roman" w:eastAsia="Times New Roman" w:hAnsi="Times New Roman" w:cs="Times New Roman"/>
                <w:noProof/>
                <w:sz w:val="18"/>
              </w:rPr>
            </w:pPr>
          </w:p>
          <w:p w14:paraId="29503E35" w14:textId="2AA374C2" w:rsidR="00EB245A" w:rsidRDefault="006021EE">
            <w:pPr>
              <w:pStyle w:val="P68B1DB1-Normal26"/>
              <w:spacing w:after="0" w:line="240" w:lineRule="auto"/>
              <w:rPr>
                <w:rFonts w:eastAsia="Times New Roman" w:cs="Times New Roman"/>
                <w:noProof/>
              </w:rPr>
            </w:pPr>
            <w:r>
              <w:rPr>
                <w:noProof/>
              </w:rPr>
              <w:t>Der Bericht mit dem geänderten sektoralen Qualifikationsrahmen w</w:t>
            </w:r>
            <w:r>
              <w:rPr>
                <w:noProof/>
              </w:rPr>
              <w:t xml:space="preserve">ird veröffentlicht. </w:t>
            </w:r>
          </w:p>
        </w:tc>
      </w:tr>
      <w:tr w:rsidR="00EB245A" w14:paraId="184690B6" w14:textId="77777777" w:rsidTr="00396F21">
        <w:trPr>
          <w:trHeight w:val="309"/>
          <w:jc w:val="center"/>
        </w:trPr>
        <w:tc>
          <w:tcPr>
            <w:tcW w:w="803" w:type="dxa"/>
            <w:tcBorders>
              <w:top w:val="nil"/>
              <w:left w:val="single" w:sz="4" w:space="0" w:color="auto"/>
              <w:bottom w:val="single" w:sz="4" w:space="0" w:color="auto"/>
              <w:right w:val="single" w:sz="4" w:space="0" w:color="auto"/>
            </w:tcBorders>
            <w:shd w:val="clear" w:color="auto" w:fill="C6EFCE"/>
            <w:noWrap/>
          </w:tcPr>
          <w:p w14:paraId="1B904DCB" w14:textId="101B90DE" w:rsidR="00EB245A" w:rsidRDefault="006021EE">
            <w:pPr>
              <w:pStyle w:val="P68B1DB1-Normal26"/>
              <w:spacing w:after="0" w:line="240" w:lineRule="auto"/>
              <w:jc w:val="center"/>
              <w:rPr>
                <w:rFonts w:eastAsia="Times New Roman" w:cs="Times New Roman"/>
                <w:noProof/>
              </w:rPr>
            </w:pPr>
            <w:r>
              <w:rPr>
                <w:noProof/>
              </w:rPr>
              <w:t>G10L</w:t>
            </w:r>
          </w:p>
        </w:tc>
        <w:tc>
          <w:tcPr>
            <w:tcW w:w="1461" w:type="dxa"/>
            <w:tcBorders>
              <w:top w:val="nil"/>
              <w:left w:val="nil"/>
              <w:bottom w:val="single" w:sz="4" w:space="0" w:color="auto"/>
              <w:right w:val="single" w:sz="4" w:space="0" w:color="auto"/>
            </w:tcBorders>
            <w:shd w:val="clear" w:color="auto" w:fill="C6EFCE"/>
            <w:noWrap/>
          </w:tcPr>
          <w:p w14:paraId="0A051CDF" w14:textId="4FD4C162" w:rsidR="00EB245A" w:rsidRDefault="006021EE">
            <w:pPr>
              <w:pStyle w:val="P68B1DB1-Normal26"/>
              <w:spacing w:after="0" w:line="240" w:lineRule="auto"/>
              <w:rPr>
                <w:rFonts w:eastAsia="Times New Roman" w:cs="Times New Roman"/>
                <w:noProof/>
              </w:rPr>
            </w:pPr>
            <w:r>
              <w:rPr>
                <w:noProof/>
              </w:rPr>
              <w:t>G3.1.2 Kompetenzen für den ökologischen Wandel</w:t>
            </w:r>
          </w:p>
        </w:tc>
        <w:tc>
          <w:tcPr>
            <w:tcW w:w="1275" w:type="dxa"/>
            <w:tcBorders>
              <w:top w:val="nil"/>
              <w:left w:val="nil"/>
              <w:bottom w:val="single" w:sz="4" w:space="0" w:color="auto"/>
              <w:right w:val="single" w:sz="4" w:space="0" w:color="auto"/>
            </w:tcBorders>
            <w:shd w:val="clear" w:color="auto" w:fill="C6EFCE"/>
            <w:noWrap/>
          </w:tcPr>
          <w:p w14:paraId="01314C5D" w14:textId="300BB7C0" w:rsidR="00EB245A" w:rsidRDefault="006021EE">
            <w:pPr>
              <w:pStyle w:val="P68B1DB1-Normal26"/>
              <w:spacing w:after="0" w:line="240" w:lineRule="auto"/>
              <w:rPr>
                <w:rFonts w:eastAsia="Times New Roman" w:cs="Times New Roman"/>
                <w:noProof/>
              </w:rPr>
            </w:pPr>
            <w:r>
              <w:rPr>
                <w:noProof/>
              </w:rPr>
              <w:t>Meilenstein</w:t>
            </w:r>
          </w:p>
        </w:tc>
        <w:tc>
          <w:tcPr>
            <w:tcW w:w="1650" w:type="dxa"/>
            <w:tcBorders>
              <w:top w:val="nil"/>
              <w:left w:val="nil"/>
              <w:bottom w:val="single" w:sz="4" w:space="0" w:color="auto"/>
              <w:right w:val="single" w:sz="4" w:space="0" w:color="auto"/>
            </w:tcBorders>
            <w:shd w:val="clear" w:color="auto" w:fill="C6EFCE"/>
            <w:noWrap/>
          </w:tcPr>
          <w:p w14:paraId="5B4B4BD9" w14:textId="4C9510D9" w:rsidR="00EB245A" w:rsidRDefault="006021EE">
            <w:pPr>
              <w:pStyle w:val="P68B1DB1-Normal26"/>
              <w:spacing w:after="0" w:line="240" w:lineRule="auto"/>
              <w:rPr>
                <w:rFonts w:eastAsia="Times New Roman" w:cs="Times New Roman"/>
                <w:noProof/>
              </w:rPr>
            </w:pPr>
            <w:r>
              <w:rPr>
                <w:noProof/>
              </w:rPr>
              <w:t>Sektorale Qualifikationsrahmen in den kritischsten Sektoren des ökologischen Wandels, die in das integrierte Qualifikationssystem integriert sind</w:t>
            </w:r>
          </w:p>
        </w:tc>
        <w:tc>
          <w:tcPr>
            <w:tcW w:w="1894" w:type="dxa"/>
            <w:tcBorders>
              <w:top w:val="nil"/>
              <w:left w:val="nil"/>
              <w:bottom w:val="single" w:sz="4" w:space="0" w:color="auto"/>
              <w:right w:val="single" w:sz="4" w:space="0" w:color="auto"/>
            </w:tcBorders>
            <w:shd w:val="clear" w:color="auto" w:fill="C6EFCE"/>
            <w:noWrap/>
          </w:tcPr>
          <w:p w14:paraId="0DB43558" w14:textId="77777777" w:rsidR="00EB245A" w:rsidRDefault="006021EE">
            <w:pPr>
              <w:pStyle w:val="P68B1DB1-Normal26"/>
              <w:spacing w:after="0" w:line="240" w:lineRule="auto"/>
              <w:rPr>
                <w:rFonts w:eastAsia="Times New Roman" w:cs="Times New Roman"/>
                <w:noProof/>
              </w:rPr>
            </w:pPr>
            <w:r>
              <w:rPr>
                <w:noProof/>
              </w:rPr>
              <w:t xml:space="preserve">Bestimmung im einschlägigen Rechtsakt </w:t>
            </w:r>
          </w:p>
          <w:p w14:paraId="72A9A949" w14:textId="556F22A5" w:rsidR="00EB245A" w:rsidRDefault="006021EE">
            <w:pPr>
              <w:pStyle w:val="P68B1DB1-Normal26"/>
              <w:spacing w:after="0" w:line="240" w:lineRule="auto"/>
              <w:rPr>
                <w:rFonts w:eastAsia="Times New Roman" w:cs="Times New Roman"/>
                <w:noProof/>
              </w:rPr>
            </w:pPr>
            <w:r>
              <w:rPr>
                <w:noProof/>
              </w:rPr>
              <w:t>Angabe des Inkrafttretens</w:t>
            </w:r>
          </w:p>
        </w:tc>
        <w:tc>
          <w:tcPr>
            <w:tcW w:w="1134" w:type="dxa"/>
            <w:tcBorders>
              <w:top w:val="nil"/>
              <w:left w:val="nil"/>
              <w:bottom w:val="single" w:sz="4" w:space="0" w:color="auto"/>
              <w:right w:val="single" w:sz="4" w:space="0" w:color="auto"/>
            </w:tcBorders>
            <w:shd w:val="clear" w:color="auto" w:fill="C6EFCE"/>
            <w:noWrap/>
          </w:tcPr>
          <w:p w14:paraId="71D03892" w14:textId="77777777" w:rsidR="00EB245A" w:rsidRDefault="00EB245A">
            <w:pPr>
              <w:spacing w:after="0" w:line="240" w:lineRule="auto"/>
              <w:rPr>
                <w:rFonts w:ascii="Times New Roman" w:eastAsia="Times New Roman" w:hAnsi="Times New Roman" w:cs="Times New Roman"/>
                <w:noProof/>
                <w:sz w:val="18"/>
              </w:rPr>
            </w:pPr>
          </w:p>
        </w:tc>
        <w:tc>
          <w:tcPr>
            <w:tcW w:w="1276" w:type="dxa"/>
            <w:tcBorders>
              <w:top w:val="nil"/>
              <w:left w:val="nil"/>
              <w:bottom w:val="single" w:sz="4" w:space="0" w:color="auto"/>
              <w:right w:val="single" w:sz="4" w:space="0" w:color="auto"/>
            </w:tcBorders>
            <w:shd w:val="clear" w:color="auto" w:fill="C6EFCE"/>
            <w:noWrap/>
          </w:tcPr>
          <w:p w14:paraId="5C173E56" w14:textId="77777777" w:rsidR="00EB245A" w:rsidRDefault="00EB245A">
            <w:pPr>
              <w:spacing w:after="0" w:line="240" w:lineRule="auto"/>
              <w:jc w:val="center"/>
              <w:rPr>
                <w:rFonts w:ascii="Times New Roman" w:eastAsia="Times New Roman" w:hAnsi="Times New Roman" w:cs="Times New Roman"/>
                <w:noProof/>
                <w:sz w:val="18"/>
              </w:rPr>
            </w:pPr>
          </w:p>
        </w:tc>
        <w:tc>
          <w:tcPr>
            <w:tcW w:w="708" w:type="dxa"/>
            <w:tcBorders>
              <w:top w:val="nil"/>
              <w:left w:val="nil"/>
              <w:bottom w:val="single" w:sz="4" w:space="0" w:color="auto"/>
              <w:right w:val="single" w:sz="4" w:space="0" w:color="auto"/>
            </w:tcBorders>
            <w:shd w:val="clear" w:color="auto" w:fill="C6EFCE"/>
            <w:noWrap/>
          </w:tcPr>
          <w:p w14:paraId="02BF487B" w14:textId="77777777" w:rsidR="00EB245A" w:rsidRDefault="00EB245A">
            <w:pPr>
              <w:spacing w:after="0" w:line="240" w:lineRule="auto"/>
              <w:jc w:val="center"/>
              <w:rPr>
                <w:rFonts w:ascii="Times New Roman" w:eastAsia="Times New Roman" w:hAnsi="Times New Roman" w:cs="Times New Roman"/>
                <w:noProof/>
                <w:sz w:val="18"/>
              </w:rPr>
            </w:pPr>
          </w:p>
        </w:tc>
        <w:tc>
          <w:tcPr>
            <w:tcW w:w="1134" w:type="dxa"/>
            <w:tcBorders>
              <w:top w:val="nil"/>
              <w:left w:val="nil"/>
              <w:bottom w:val="single" w:sz="4" w:space="0" w:color="auto"/>
              <w:right w:val="single" w:sz="4" w:space="0" w:color="auto"/>
            </w:tcBorders>
            <w:shd w:val="clear" w:color="auto" w:fill="C6EFCE"/>
            <w:noWrap/>
          </w:tcPr>
          <w:p w14:paraId="7F4C44FC" w14:textId="18D8E2BF" w:rsidR="00EB245A" w:rsidRDefault="006021EE">
            <w:pPr>
              <w:pStyle w:val="P68B1DB1-Normal26"/>
              <w:spacing w:after="0" w:line="240" w:lineRule="auto"/>
              <w:jc w:val="center"/>
              <w:rPr>
                <w:rFonts w:eastAsia="Times New Roman" w:cs="Times New Roman"/>
                <w:noProof/>
              </w:rPr>
            </w:pPr>
            <w:r>
              <w:rPr>
                <w:noProof/>
              </w:rPr>
              <w:t>Q4</w:t>
            </w:r>
          </w:p>
        </w:tc>
        <w:tc>
          <w:tcPr>
            <w:tcW w:w="1134" w:type="dxa"/>
            <w:tcBorders>
              <w:top w:val="nil"/>
              <w:left w:val="nil"/>
              <w:bottom w:val="single" w:sz="4" w:space="0" w:color="auto"/>
              <w:right w:val="single" w:sz="4" w:space="0" w:color="auto"/>
            </w:tcBorders>
            <w:shd w:val="clear" w:color="auto" w:fill="C6EFCE"/>
            <w:noWrap/>
          </w:tcPr>
          <w:p w14:paraId="2BFF817E" w14:textId="537F8464" w:rsidR="00EB245A" w:rsidRDefault="006021EE">
            <w:pPr>
              <w:pStyle w:val="P68B1DB1-Normal26"/>
              <w:spacing w:after="0" w:line="240" w:lineRule="auto"/>
              <w:jc w:val="center"/>
              <w:rPr>
                <w:rFonts w:eastAsia="Times New Roman" w:cs="Times New Roman"/>
                <w:noProof/>
              </w:rPr>
            </w:pPr>
            <w:r>
              <w:rPr>
                <w:noProof/>
              </w:rPr>
              <w:t>2025</w:t>
            </w:r>
          </w:p>
        </w:tc>
        <w:tc>
          <w:tcPr>
            <w:tcW w:w="2840" w:type="dxa"/>
            <w:tcBorders>
              <w:top w:val="nil"/>
              <w:left w:val="nil"/>
              <w:bottom w:val="single" w:sz="4" w:space="0" w:color="auto"/>
              <w:right w:val="single" w:sz="4" w:space="0" w:color="auto"/>
            </w:tcBorders>
            <w:shd w:val="clear" w:color="auto" w:fill="C6EFCE"/>
            <w:noWrap/>
          </w:tcPr>
          <w:p w14:paraId="0417989E" w14:textId="66740334" w:rsidR="00EB245A" w:rsidRDefault="006021EE">
            <w:pPr>
              <w:pStyle w:val="P68B1DB1-Normal26"/>
              <w:spacing w:after="0" w:line="240" w:lineRule="auto"/>
              <w:rPr>
                <w:rFonts w:eastAsia="Times New Roman" w:cs="Times New Roman"/>
                <w:noProof/>
                <w:highlight w:val="yellow"/>
              </w:rPr>
            </w:pPr>
            <w:r>
              <w:rPr>
                <w:noProof/>
              </w:rPr>
              <w:t>Die geänderten sektoralen Qualifikationsrahmen für Bauwesen, Wasserwirtschaft, Abfallwirtschaft und Energie werden durch eine Verordnung in das Integrierte Qualifikationssystem int</w:t>
            </w:r>
            <w:r>
              <w:rPr>
                <w:noProof/>
              </w:rPr>
              <w:t>egriert.</w:t>
            </w:r>
          </w:p>
        </w:tc>
      </w:tr>
      <w:tr w:rsidR="00EB245A" w14:paraId="60D4F6FF" w14:textId="77777777" w:rsidTr="00396F21">
        <w:trPr>
          <w:trHeight w:val="309"/>
          <w:jc w:val="center"/>
        </w:trPr>
        <w:tc>
          <w:tcPr>
            <w:tcW w:w="803" w:type="dxa"/>
            <w:tcBorders>
              <w:top w:val="nil"/>
              <w:left w:val="single" w:sz="4" w:space="0" w:color="auto"/>
              <w:bottom w:val="single" w:sz="4" w:space="0" w:color="auto"/>
              <w:right w:val="single" w:sz="4" w:space="0" w:color="auto"/>
            </w:tcBorders>
            <w:shd w:val="clear" w:color="auto" w:fill="C6EFCE"/>
            <w:noWrap/>
          </w:tcPr>
          <w:p w14:paraId="4AF09233" w14:textId="3F5D24B5" w:rsidR="00EB245A" w:rsidRDefault="006021EE">
            <w:pPr>
              <w:pStyle w:val="P68B1DB1-Normal26"/>
              <w:spacing w:after="0" w:line="240" w:lineRule="auto"/>
              <w:jc w:val="center"/>
              <w:rPr>
                <w:rFonts w:eastAsia="Times New Roman" w:cs="Times New Roman"/>
                <w:noProof/>
              </w:rPr>
            </w:pPr>
            <w:r>
              <w:rPr>
                <w:noProof/>
              </w:rPr>
              <w:t>G11L</w:t>
            </w:r>
          </w:p>
        </w:tc>
        <w:tc>
          <w:tcPr>
            <w:tcW w:w="1461" w:type="dxa"/>
            <w:tcBorders>
              <w:top w:val="nil"/>
              <w:left w:val="nil"/>
              <w:bottom w:val="single" w:sz="4" w:space="0" w:color="auto"/>
              <w:right w:val="single" w:sz="4" w:space="0" w:color="auto"/>
            </w:tcBorders>
            <w:shd w:val="clear" w:color="auto" w:fill="C6EFCE"/>
            <w:noWrap/>
          </w:tcPr>
          <w:p w14:paraId="0A258FF0" w14:textId="4B06AAA3" w:rsidR="00EB245A" w:rsidRDefault="006021EE">
            <w:pPr>
              <w:pStyle w:val="P68B1DB1-Normal26"/>
              <w:spacing w:after="0" w:line="240" w:lineRule="auto"/>
              <w:rPr>
                <w:rFonts w:eastAsia="Times New Roman" w:cs="Times New Roman"/>
                <w:noProof/>
              </w:rPr>
            </w:pPr>
            <w:r>
              <w:rPr>
                <w:noProof/>
              </w:rPr>
              <w:t>G3.1.3 Steigerung der Energieeffizienz und Beschleunigung des Ausstiegs aus fossilen Brennstoffen in der Wärmeerzeugung</w:t>
            </w:r>
          </w:p>
        </w:tc>
        <w:tc>
          <w:tcPr>
            <w:tcW w:w="1275" w:type="dxa"/>
            <w:tcBorders>
              <w:top w:val="nil"/>
              <w:left w:val="nil"/>
              <w:bottom w:val="single" w:sz="4" w:space="0" w:color="auto"/>
              <w:right w:val="single" w:sz="4" w:space="0" w:color="auto"/>
            </w:tcBorders>
            <w:shd w:val="clear" w:color="auto" w:fill="C6EFCE"/>
            <w:noWrap/>
          </w:tcPr>
          <w:p w14:paraId="5E0FA2C2" w14:textId="77777777" w:rsidR="00EB245A" w:rsidRDefault="006021EE">
            <w:pPr>
              <w:pStyle w:val="P68B1DB1-Normal26"/>
              <w:spacing w:after="0" w:line="240" w:lineRule="auto"/>
              <w:rPr>
                <w:rFonts w:eastAsia="Times New Roman" w:cs="Times New Roman"/>
                <w:noProof/>
              </w:rPr>
            </w:pPr>
            <w:r>
              <w:rPr>
                <w:noProof/>
              </w:rPr>
              <w:t>Meilenstein</w:t>
            </w:r>
          </w:p>
        </w:tc>
        <w:tc>
          <w:tcPr>
            <w:tcW w:w="1650" w:type="dxa"/>
            <w:tcBorders>
              <w:top w:val="nil"/>
              <w:left w:val="nil"/>
              <w:bottom w:val="single" w:sz="4" w:space="0" w:color="auto"/>
              <w:right w:val="single" w:sz="4" w:space="0" w:color="auto"/>
            </w:tcBorders>
            <w:shd w:val="clear" w:color="auto" w:fill="C6EFCE"/>
            <w:noWrap/>
          </w:tcPr>
          <w:p w14:paraId="18E3CBA3" w14:textId="0F4257D2" w:rsidR="00EB245A" w:rsidRDefault="006021EE">
            <w:pPr>
              <w:pStyle w:val="P68B1DB1-Normal26"/>
              <w:spacing w:after="0" w:line="240" w:lineRule="auto"/>
              <w:rPr>
                <w:rFonts w:eastAsia="Times New Roman" w:cs="Times New Roman"/>
                <w:noProof/>
              </w:rPr>
            </w:pPr>
            <w:r>
              <w:rPr>
                <w:noProof/>
              </w:rPr>
              <w:t xml:space="preserve">Annahme einer Entschließung zur Aktualisierung oder Einführung eines neuen vorrangigen Programms für </w:t>
            </w:r>
            <w:r>
              <w:rPr>
                <w:noProof/>
              </w:rPr>
              <w:t>integrierte Gebäuderenovierungsdienste</w:t>
            </w:r>
          </w:p>
        </w:tc>
        <w:tc>
          <w:tcPr>
            <w:tcW w:w="1894" w:type="dxa"/>
            <w:tcBorders>
              <w:top w:val="nil"/>
              <w:left w:val="nil"/>
              <w:bottom w:val="single" w:sz="4" w:space="0" w:color="auto"/>
              <w:right w:val="single" w:sz="4" w:space="0" w:color="auto"/>
            </w:tcBorders>
            <w:shd w:val="clear" w:color="auto" w:fill="C6EFCE"/>
            <w:noWrap/>
          </w:tcPr>
          <w:p w14:paraId="2B0B6DB6" w14:textId="15C1ADDC" w:rsidR="00EB245A" w:rsidRDefault="006021EE">
            <w:pPr>
              <w:pStyle w:val="P68B1DB1-Normal26"/>
              <w:spacing w:after="0" w:line="240" w:lineRule="auto"/>
              <w:rPr>
                <w:rFonts w:eastAsia="Times New Roman" w:cs="Times New Roman"/>
                <w:noProof/>
              </w:rPr>
            </w:pPr>
            <w:r>
              <w:rPr>
                <w:noProof/>
              </w:rPr>
              <w:t>Angenommene und in Kraft befindliche Entschließung</w:t>
            </w:r>
          </w:p>
        </w:tc>
        <w:tc>
          <w:tcPr>
            <w:tcW w:w="1134" w:type="dxa"/>
            <w:tcBorders>
              <w:top w:val="nil"/>
              <w:left w:val="nil"/>
              <w:bottom w:val="single" w:sz="4" w:space="0" w:color="auto"/>
              <w:right w:val="single" w:sz="4" w:space="0" w:color="auto"/>
            </w:tcBorders>
            <w:shd w:val="clear" w:color="auto" w:fill="C6EFCE"/>
            <w:noWrap/>
          </w:tcPr>
          <w:p w14:paraId="707CA193" w14:textId="77777777" w:rsidR="00EB245A" w:rsidRDefault="00EB245A">
            <w:pPr>
              <w:spacing w:after="0" w:line="240" w:lineRule="auto"/>
              <w:rPr>
                <w:rFonts w:ascii="Times New Roman" w:eastAsia="Times New Roman" w:hAnsi="Times New Roman" w:cs="Times New Roman"/>
                <w:noProof/>
                <w:sz w:val="18"/>
              </w:rPr>
            </w:pPr>
          </w:p>
        </w:tc>
        <w:tc>
          <w:tcPr>
            <w:tcW w:w="1276" w:type="dxa"/>
            <w:tcBorders>
              <w:top w:val="nil"/>
              <w:left w:val="nil"/>
              <w:bottom w:val="single" w:sz="4" w:space="0" w:color="auto"/>
              <w:right w:val="single" w:sz="4" w:space="0" w:color="auto"/>
            </w:tcBorders>
            <w:shd w:val="clear" w:color="auto" w:fill="C6EFCE"/>
            <w:noWrap/>
          </w:tcPr>
          <w:p w14:paraId="784F8906" w14:textId="77777777" w:rsidR="00EB245A" w:rsidRDefault="00EB245A">
            <w:pPr>
              <w:spacing w:after="0" w:line="240" w:lineRule="auto"/>
              <w:jc w:val="center"/>
              <w:rPr>
                <w:rFonts w:ascii="Times New Roman" w:eastAsia="Times New Roman" w:hAnsi="Times New Roman" w:cs="Times New Roman"/>
                <w:noProof/>
                <w:sz w:val="18"/>
              </w:rPr>
            </w:pPr>
          </w:p>
        </w:tc>
        <w:tc>
          <w:tcPr>
            <w:tcW w:w="708" w:type="dxa"/>
            <w:tcBorders>
              <w:top w:val="nil"/>
              <w:left w:val="nil"/>
              <w:bottom w:val="single" w:sz="4" w:space="0" w:color="auto"/>
              <w:right w:val="single" w:sz="4" w:space="0" w:color="auto"/>
            </w:tcBorders>
            <w:shd w:val="clear" w:color="auto" w:fill="C6EFCE"/>
            <w:noWrap/>
          </w:tcPr>
          <w:p w14:paraId="1E489881" w14:textId="77777777" w:rsidR="00EB245A" w:rsidRDefault="00EB245A">
            <w:pPr>
              <w:spacing w:after="0" w:line="240" w:lineRule="auto"/>
              <w:jc w:val="center"/>
              <w:rPr>
                <w:rFonts w:ascii="Times New Roman" w:eastAsia="Times New Roman" w:hAnsi="Times New Roman" w:cs="Times New Roman"/>
                <w:noProof/>
                <w:sz w:val="18"/>
              </w:rPr>
            </w:pPr>
          </w:p>
        </w:tc>
        <w:tc>
          <w:tcPr>
            <w:tcW w:w="1134" w:type="dxa"/>
            <w:tcBorders>
              <w:top w:val="nil"/>
              <w:left w:val="nil"/>
              <w:bottom w:val="single" w:sz="4" w:space="0" w:color="auto"/>
              <w:right w:val="single" w:sz="4" w:space="0" w:color="auto"/>
            </w:tcBorders>
            <w:shd w:val="clear" w:color="auto" w:fill="C6EFCE"/>
            <w:noWrap/>
          </w:tcPr>
          <w:p w14:paraId="620F40F0" w14:textId="77777777" w:rsidR="00EB245A" w:rsidRDefault="006021EE">
            <w:pPr>
              <w:pStyle w:val="P68B1DB1-Normal26"/>
              <w:spacing w:after="0" w:line="240" w:lineRule="auto"/>
              <w:jc w:val="center"/>
              <w:rPr>
                <w:rFonts w:eastAsia="Times New Roman" w:cs="Times New Roman"/>
                <w:noProof/>
              </w:rPr>
            </w:pPr>
            <w:r>
              <w:rPr>
                <w:noProof/>
              </w:rPr>
              <w:t>Q4</w:t>
            </w:r>
          </w:p>
        </w:tc>
        <w:tc>
          <w:tcPr>
            <w:tcW w:w="1134" w:type="dxa"/>
            <w:tcBorders>
              <w:top w:val="nil"/>
              <w:left w:val="nil"/>
              <w:bottom w:val="single" w:sz="4" w:space="0" w:color="auto"/>
              <w:right w:val="single" w:sz="4" w:space="0" w:color="auto"/>
            </w:tcBorders>
            <w:shd w:val="clear" w:color="auto" w:fill="C6EFCE"/>
            <w:noWrap/>
          </w:tcPr>
          <w:p w14:paraId="7E3B1A3D" w14:textId="77777777" w:rsidR="00EB245A" w:rsidRDefault="006021EE">
            <w:pPr>
              <w:pStyle w:val="P68B1DB1-Normal26"/>
              <w:spacing w:after="0" w:line="240" w:lineRule="auto"/>
              <w:jc w:val="center"/>
              <w:rPr>
                <w:rFonts w:eastAsia="Times New Roman" w:cs="Times New Roman"/>
                <w:noProof/>
              </w:rPr>
            </w:pPr>
            <w:r>
              <w:rPr>
                <w:noProof/>
              </w:rPr>
              <w:t>2024</w:t>
            </w:r>
          </w:p>
        </w:tc>
        <w:tc>
          <w:tcPr>
            <w:tcW w:w="2840" w:type="dxa"/>
            <w:tcBorders>
              <w:top w:val="nil"/>
              <w:left w:val="nil"/>
              <w:bottom w:val="single" w:sz="4" w:space="0" w:color="auto"/>
              <w:right w:val="single" w:sz="4" w:space="0" w:color="auto"/>
            </w:tcBorders>
            <w:shd w:val="clear" w:color="auto" w:fill="C6EFCE"/>
            <w:noWrap/>
          </w:tcPr>
          <w:p w14:paraId="3C6A9B4F" w14:textId="5BBA2824" w:rsidR="00EB245A" w:rsidRDefault="006021EE">
            <w:pPr>
              <w:pStyle w:val="P68B1DB1-Normal26"/>
              <w:spacing w:after="0" w:line="240" w:lineRule="auto"/>
              <w:rPr>
                <w:rFonts w:eastAsia="Times New Roman" w:cs="Times New Roman"/>
                <w:noProof/>
              </w:rPr>
            </w:pPr>
            <w:r>
              <w:rPr>
                <w:noProof/>
              </w:rPr>
              <w:t>Der Verwaltungsrat des Nationalen Fonds für Umweltschutz und Wasserwirtschaft nimmt eine Entschließung an, mit der ein bestehendes vorrangiges Programm akt</w:t>
            </w:r>
            <w:r>
              <w:rPr>
                <w:noProof/>
              </w:rPr>
              <w:t>ualisiert oder ein neues vorrangiges Programm des Nationalen Fonds für Umweltschutz und Wasserwirtschaft eingeführt wird, um integrierte Hausrenovierungsdienste zu unterstützen. Mit dem Programm werden Anbieter integrierter Hausrenovierungsdienste finanzie</w:t>
            </w:r>
            <w:r>
              <w:rPr>
                <w:noProof/>
              </w:rPr>
              <w:t>ll unterstützt, um die Energiearmut zu verringern, indem von Energiearmut bedrohte Immobilieneigentümer bei der Durchführung von Hausrenovierungen unterstützt werden.</w:t>
            </w:r>
          </w:p>
        </w:tc>
      </w:tr>
      <w:tr w:rsidR="00EB245A" w14:paraId="2856CF32" w14:textId="77777777" w:rsidTr="00396F21">
        <w:trPr>
          <w:trHeight w:val="309"/>
          <w:jc w:val="center"/>
        </w:trPr>
        <w:tc>
          <w:tcPr>
            <w:tcW w:w="803" w:type="dxa"/>
            <w:tcBorders>
              <w:top w:val="nil"/>
              <w:left w:val="single" w:sz="4" w:space="0" w:color="auto"/>
              <w:bottom w:val="single" w:sz="4" w:space="0" w:color="auto"/>
              <w:right w:val="single" w:sz="4" w:space="0" w:color="auto"/>
            </w:tcBorders>
            <w:shd w:val="clear" w:color="auto" w:fill="C6EFCE"/>
            <w:noWrap/>
          </w:tcPr>
          <w:p w14:paraId="6514718C" w14:textId="73560A71" w:rsidR="00EB245A" w:rsidRDefault="006021EE">
            <w:pPr>
              <w:pStyle w:val="P68B1DB1-Normal26"/>
              <w:spacing w:after="0" w:line="240" w:lineRule="auto"/>
              <w:jc w:val="center"/>
              <w:rPr>
                <w:rFonts w:eastAsia="Times New Roman" w:cs="Times New Roman"/>
                <w:noProof/>
              </w:rPr>
            </w:pPr>
            <w:r>
              <w:rPr>
                <w:noProof/>
              </w:rPr>
              <w:t>G12L</w:t>
            </w:r>
          </w:p>
        </w:tc>
        <w:tc>
          <w:tcPr>
            <w:tcW w:w="1461" w:type="dxa"/>
            <w:tcBorders>
              <w:top w:val="nil"/>
              <w:left w:val="nil"/>
              <w:bottom w:val="single" w:sz="4" w:space="0" w:color="auto"/>
              <w:right w:val="single" w:sz="4" w:space="0" w:color="auto"/>
            </w:tcBorders>
            <w:shd w:val="clear" w:color="auto" w:fill="C6EFCE"/>
            <w:noWrap/>
          </w:tcPr>
          <w:p w14:paraId="5C54EAB0" w14:textId="0FA2CAE4" w:rsidR="00EB245A" w:rsidRDefault="006021EE">
            <w:pPr>
              <w:pStyle w:val="P68B1DB1-Normal26"/>
              <w:spacing w:after="0" w:line="240" w:lineRule="auto"/>
              <w:rPr>
                <w:rFonts w:eastAsia="Times New Roman" w:cs="Times New Roman"/>
                <w:noProof/>
              </w:rPr>
            </w:pPr>
            <w:r>
              <w:rPr>
                <w:noProof/>
              </w:rPr>
              <w:t>G3.1.4 Unterstützung des nationalen Energiesystems (Energiehilfefonds)</w:t>
            </w:r>
          </w:p>
        </w:tc>
        <w:tc>
          <w:tcPr>
            <w:tcW w:w="1275" w:type="dxa"/>
            <w:tcBorders>
              <w:top w:val="nil"/>
              <w:left w:val="nil"/>
              <w:bottom w:val="single" w:sz="4" w:space="0" w:color="auto"/>
              <w:right w:val="single" w:sz="4" w:space="0" w:color="auto"/>
            </w:tcBorders>
            <w:shd w:val="clear" w:color="auto" w:fill="C6EFCE"/>
            <w:noWrap/>
          </w:tcPr>
          <w:p w14:paraId="40BC522E" w14:textId="77777777" w:rsidR="00EB245A" w:rsidRDefault="006021EE">
            <w:pPr>
              <w:pStyle w:val="P68B1DB1-Normal26"/>
              <w:spacing w:after="0" w:line="240" w:lineRule="auto"/>
              <w:rPr>
                <w:rFonts w:eastAsia="Times New Roman" w:cs="Times New Roman"/>
                <w:noProof/>
              </w:rPr>
            </w:pPr>
            <w:r>
              <w:rPr>
                <w:noProof/>
              </w:rPr>
              <w:t>Meilenstein</w:t>
            </w:r>
          </w:p>
        </w:tc>
        <w:tc>
          <w:tcPr>
            <w:tcW w:w="1650" w:type="dxa"/>
            <w:tcBorders>
              <w:top w:val="nil"/>
              <w:left w:val="nil"/>
              <w:bottom w:val="single" w:sz="4" w:space="0" w:color="auto"/>
              <w:right w:val="single" w:sz="4" w:space="0" w:color="auto"/>
            </w:tcBorders>
            <w:shd w:val="clear" w:color="auto" w:fill="C6EFCE"/>
            <w:noWrap/>
          </w:tcPr>
          <w:p w14:paraId="13A98C4D" w14:textId="77777777" w:rsidR="00EB245A" w:rsidRDefault="006021EE">
            <w:pPr>
              <w:pStyle w:val="P68B1DB1-Normal26"/>
              <w:spacing w:after="0" w:line="240" w:lineRule="auto"/>
              <w:rPr>
                <w:rFonts w:eastAsia="Times New Roman" w:cs="Times New Roman"/>
                <w:noProof/>
              </w:rPr>
            </w:pPr>
            <w:r>
              <w:rPr>
                <w:noProof/>
              </w:rPr>
              <w:t>Durchführungsvereinbarung</w:t>
            </w:r>
          </w:p>
        </w:tc>
        <w:tc>
          <w:tcPr>
            <w:tcW w:w="1894" w:type="dxa"/>
            <w:tcBorders>
              <w:top w:val="nil"/>
              <w:left w:val="nil"/>
              <w:bottom w:val="single" w:sz="4" w:space="0" w:color="auto"/>
              <w:right w:val="single" w:sz="4" w:space="0" w:color="auto"/>
            </w:tcBorders>
            <w:shd w:val="clear" w:color="auto" w:fill="C6EFCE"/>
            <w:noWrap/>
          </w:tcPr>
          <w:p w14:paraId="6A78146D" w14:textId="77777777" w:rsidR="00EB245A" w:rsidRDefault="006021EE">
            <w:pPr>
              <w:pStyle w:val="P68B1DB1-Normal26"/>
              <w:spacing w:after="0" w:line="240" w:lineRule="auto"/>
              <w:rPr>
                <w:rFonts w:eastAsia="Times New Roman" w:cs="Times New Roman"/>
                <w:noProof/>
              </w:rPr>
            </w:pPr>
            <w:r>
              <w:rPr>
                <w:noProof/>
              </w:rPr>
              <w:t>Inkrafttreten des Durchführungsübereinkommens</w:t>
            </w:r>
          </w:p>
        </w:tc>
        <w:tc>
          <w:tcPr>
            <w:tcW w:w="1134" w:type="dxa"/>
            <w:tcBorders>
              <w:top w:val="nil"/>
              <w:left w:val="nil"/>
              <w:bottom w:val="single" w:sz="4" w:space="0" w:color="auto"/>
              <w:right w:val="single" w:sz="4" w:space="0" w:color="auto"/>
            </w:tcBorders>
            <w:shd w:val="clear" w:color="auto" w:fill="C6EFCE"/>
            <w:noWrap/>
          </w:tcPr>
          <w:p w14:paraId="1BB48B1E" w14:textId="77777777" w:rsidR="00EB245A" w:rsidRDefault="00EB245A">
            <w:pPr>
              <w:spacing w:after="0" w:line="240" w:lineRule="auto"/>
              <w:rPr>
                <w:rFonts w:ascii="Times New Roman" w:eastAsia="Times New Roman" w:hAnsi="Times New Roman" w:cs="Times New Roman"/>
                <w:noProof/>
                <w:sz w:val="18"/>
              </w:rPr>
            </w:pPr>
          </w:p>
        </w:tc>
        <w:tc>
          <w:tcPr>
            <w:tcW w:w="1276" w:type="dxa"/>
            <w:tcBorders>
              <w:top w:val="nil"/>
              <w:left w:val="nil"/>
              <w:bottom w:val="single" w:sz="4" w:space="0" w:color="auto"/>
              <w:right w:val="single" w:sz="4" w:space="0" w:color="auto"/>
            </w:tcBorders>
            <w:shd w:val="clear" w:color="auto" w:fill="C6EFCE"/>
            <w:noWrap/>
          </w:tcPr>
          <w:p w14:paraId="7849B87D" w14:textId="77777777" w:rsidR="00EB245A" w:rsidRDefault="00EB245A">
            <w:pPr>
              <w:spacing w:after="0" w:line="240" w:lineRule="auto"/>
              <w:jc w:val="center"/>
              <w:rPr>
                <w:rFonts w:ascii="Times New Roman" w:eastAsia="Times New Roman" w:hAnsi="Times New Roman" w:cs="Times New Roman"/>
                <w:noProof/>
                <w:sz w:val="18"/>
              </w:rPr>
            </w:pPr>
          </w:p>
        </w:tc>
        <w:tc>
          <w:tcPr>
            <w:tcW w:w="708" w:type="dxa"/>
            <w:tcBorders>
              <w:top w:val="nil"/>
              <w:left w:val="nil"/>
              <w:bottom w:val="single" w:sz="4" w:space="0" w:color="auto"/>
              <w:right w:val="single" w:sz="4" w:space="0" w:color="auto"/>
            </w:tcBorders>
            <w:shd w:val="clear" w:color="auto" w:fill="C6EFCE"/>
            <w:noWrap/>
          </w:tcPr>
          <w:p w14:paraId="3F379543" w14:textId="77777777" w:rsidR="00EB245A" w:rsidRDefault="00EB245A">
            <w:pPr>
              <w:spacing w:after="0" w:line="240" w:lineRule="auto"/>
              <w:jc w:val="center"/>
              <w:rPr>
                <w:rFonts w:ascii="Times New Roman" w:eastAsia="Times New Roman" w:hAnsi="Times New Roman" w:cs="Times New Roman"/>
                <w:noProof/>
                <w:sz w:val="18"/>
              </w:rPr>
            </w:pPr>
          </w:p>
        </w:tc>
        <w:tc>
          <w:tcPr>
            <w:tcW w:w="1134" w:type="dxa"/>
            <w:tcBorders>
              <w:top w:val="nil"/>
              <w:left w:val="nil"/>
              <w:bottom w:val="single" w:sz="4" w:space="0" w:color="auto"/>
              <w:right w:val="single" w:sz="4" w:space="0" w:color="auto"/>
            </w:tcBorders>
            <w:shd w:val="clear" w:color="auto" w:fill="C6EFCE"/>
            <w:noWrap/>
          </w:tcPr>
          <w:p w14:paraId="5265FCF0" w14:textId="77777777" w:rsidR="00EB245A" w:rsidRDefault="006021EE">
            <w:pPr>
              <w:pStyle w:val="P68B1DB1-Normal26"/>
              <w:spacing w:after="0" w:line="240" w:lineRule="auto"/>
              <w:jc w:val="center"/>
              <w:rPr>
                <w:rFonts w:eastAsia="Times New Roman" w:cs="Times New Roman"/>
                <w:noProof/>
              </w:rPr>
            </w:pPr>
            <w:r>
              <w:rPr>
                <w:noProof/>
              </w:rPr>
              <w:t>Q2</w:t>
            </w:r>
          </w:p>
        </w:tc>
        <w:tc>
          <w:tcPr>
            <w:tcW w:w="1134" w:type="dxa"/>
            <w:tcBorders>
              <w:top w:val="nil"/>
              <w:left w:val="nil"/>
              <w:bottom w:val="single" w:sz="4" w:space="0" w:color="auto"/>
              <w:right w:val="single" w:sz="4" w:space="0" w:color="auto"/>
            </w:tcBorders>
            <w:shd w:val="clear" w:color="auto" w:fill="C6EFCE"/>
            <w:noWrap/>
          </w:tcPr>
          <w:p w14:paraId="2DA5559C" w14:textId="77777777" w:rsidR="00EB245A" w:rsidRDefault="006021EE">
            <w:pPr>
              <w:pStyle w:val="P68B1DB1-Normal26"/>
              <w:spacing w:after="0" w:line="240" w:lineRule="auto"/>
              <w:jc w:val="center"/>
              <w:rPr>
                <w:rFonts w:eastAsia="Times New Roman" w:cs="Times New Roman"/>
                <w:noProof/>
              </w:rPr>
            </w:pPr>
            <w:r>
              <w:rPr>
                <w:noProof/>
              </w:rPr>
              <w:t>2024</w:t>
            </w:r>
          </w:p>
        </w:tc>
        <w:tc>
          <w:tcPr>
            <w:tcW w:w="2840" w:type="dxa"/>
            <w:tcBorders>
              <w:top w:val="nil"/>
              <w:left w:val="nil"/>
              <w:bottom w:val="single" w:sz="4" w:space="0" w:color="auto"/>
              <w:right w:val="single" w:sz="4" w:space="0" w:color="auto"/>
            </w:tcBorders>
            <w:shd w:val="clear" w:color="auto" w:fill="C6EFCE"/>
            <w:noWrap/>
          </w:tcPr>
          <w:p w14:paraId="3AD21405" w14:textId="77777777" w:rsidR="00EB245A" w:rsidRDefault="006021EE">
            <w:pPr>
              <w:pStyle w:val="P68B1DB1-Normal26"/>
              <w:spacing w:after="0" w:line="240" w:lineRule="auto"/>
              <w:rPr>
                <w:rFonts w:eastAsia="Times New Roman" w:cs="Times New Roman"/>
                <w:noProof/>
              </w:rPr>
            </w:pPr>
            <w:r>
              <w:rPr>
                <w:noProof/>
              </w:rPr>
              <w:t>Inkrafttreten des Durchführungsübereinkommens.</w:t>
            </w:r>
          </w:p>
        </w:tc>
      </w:tr>
      <w:tr w:rsidR="00EB245A" w14:paraId="6FA56F14" w14:textId="77777777" w:rsidTr="00396F21">
        <w:trPr>
          <w:trHeight w:val="309"/>
          <w:jc w:val="center"/>
        </w:trPr>
        <w:tc>
          <w:tcPr>
            <w:tcW w:w="803" w:type="dxa"/>
            <w:tcBorders>
              <w:top w:val="nil"/>
              <w:left w:val="single" w:sz="4" w:space="0" w:color="auto"/>
              <w:bottom w:val="single" w:sz="4" w:space="0" w:color="auto"/>
              <w:right w:val="single" w:sz="4" w:space="0" w:color="auto"/>
            </w:tcBorders>
            <w:shd w:val="clear" w:color="auto" w:fill="C6EFCE"/>
            <w:noWrap/>
          </w:tcPr>
          <w:p w14:paraId="255780AA" w14:textId="46DB9752" w:rsidR="00EB245A" w:rsidRDefault="006021EE">
            <w:pPr>
              <w:pStyle w:val="P68B1DB1-Normal26"/>
              <w:spacing w:after="0" w:line="240" w:lineRule="auto"/>
              <w:jc w:val="center"/>
              <w:rPr>
                <w:rFonts w:eastAsia="Times New Roman" w:cs="Times New Roman"/>
                <w:noProof/>
              </w:rPr>
            </w:pPr>
            <w:r>
              <w:rPr>
                <w:noProof/>
              </w:rPr>
              <w:t>G13L</w:t>
            </w:r>
          </w:p>
        </w:tc>
        <w:tc>
          <w:tcPr>
            <w:tcW w:w="1461" w:type="dxa"/>
            <w:tcBorders>
              <w:top w:val="nil"/>
              <w:left w:val="nil"/>
              <w:bottom w:val="single" w:sz="4" w:space="0" w:color="auto"/>
              <w:right w:val="single" w:sz="4" w:space="0" w:color="auto"/>
            </w:tcBorders>
            <w:shd w:val="clear" w:color="auto" w:fill="C6EFCE"/>
            <w:noWrap/>
          </w:tcPr>
          <w:p w14:paraId="28EFC8E2" w14:textId="734E5030" w:rsidR="00EB245A" w:rsidRDefault="006021EE">
            <w:pPr>
              <w:pStyle w:val="P68B1DB1-Normal26"/>
              <w:spacing w:after="0" w:line="240" w:lineRule="auto"/>
              <w:rPr>
                <w:rFonts w:eastAsia="Times New Roman" w:cs="Times New Roman"/>
                <w:noProof/>
              </w:rPr>
            </w:pPr>
            <w:r>
              <w:rPr>
                <w:noProof/>
              </w:rPr>
              <w:t>G3.1.4 Unterstützung des nationalen Energiesystems (Energiehilfefonds)</w:t>
            </w:r>
          </w:p>
        </w:tc>
        <w:tc>
          <w:tcPr>
            <w:tcW w:w="1275" w:type="dxa"/>
            <w:tcBorders>
              <w:top w:val="nil"/>
              <w:left w:val="nil"/>
              <w:bottom w:val="single" w:sz="4" w:space="0" w:color="auto"/>
              <w:right w:val="single" w:sz="4" w:space="0" w:color="auto"/>
            </w:tcBorders>
            <w:shd w:val="clear" w:color="auto" w:fill="C6EFCE"/>
            <w:noWrap/>
          </w:tcPr>
          <w:p w14:paraId="11FA58C0" w14:textId="77777777" w:rsidR="00EB245A" w:rsidRDefault="006021EE">
            <w:pPr>
              <w:pStyle w:val="P68B1DB1-Normal26"/>
              <w:spacing w:after="0" w:line="240" w:lineRule="auto"/>
              <w:rPr>
                <w:rFonts w:eastAsia="Times New Roman" w:cs="Times New Roman"/>
                <w:noProof/>
              </w:rPr>
            </w:pPr>
            <w:r>
              <w:rPr>
                <w:noProof/>
              </w:rPr>
              <w:t>Ziel</w:t>
            </w:r>
          </w:p>
        </w:tc>
        <w:tc>
          <w:tcPr>
            <w:tcW w:w="1650" w:type="dxa"/>
            <w:tcBorders>
              <w:top w:val="nil"/>
              <w:left w:val="nil"/>
              <w:bottom w:val="single" w:sz="4" w:space="0" w:color="auto"/>
              <w:right w:val="single" w:sz="4" w:space="0" w:color="auto"/>
            </w:tcBorders>
            <w:shd w:val="clear" w:color="auto" w:fill="C6EFCE"/>
            <w:noWrap/>
          </w:tcPr>
          <w:p w14:paraId="4C2B7EA3" w14:textId="77777777" w:rsidR="00EB245A" w:rsidRDefault="006021EE">
            <w:pPr>
              <w:pStyle w:val="P68B1DB1-Normal26"/>
              <w:spacing w:after="0" w:line="240" w:lineRule="auto"/>
              <w:rPr>
                <w:rFonts w:eastAsia="Times New Roman" w:cs="Times New Roman"/>
                <w:noProof/>
              </w:rPr>
            </w:pPr>
            <w:r>
              <w:rPr>
                <w:noProof/>
              </w:rPr>
              <w:t xml:space="preserve">Mit den Endbegünstigten unterzeichnete </w:t>
            </w:r>
            <w:r>
              <w:rPr>
                <w:noProof/>
              </w:rPr>
              <w:t>rechtliche Vereinbarungen</w:t>
            </w:r>
          </w:p>
        </w:tc>
        <w:tc>
          <w:tcPr>
            <w:tcW w:w="1894" w:type="dxa"/>
            <w:tcBorders>
              <w:top w:val="nil"/>
              <w:left w:val="nil"/>
              <w:bottom w:val="single" w:sz="4" w:space="0" w:color="auto"/>
              <w:right w:val="single" w:sz="4" w:space="0" w:color="auto"/>
            </w:tcBorders>
            <w:shd w:val="clear" w:color="auto" w:fill="C6EFCE"/>
            <w:noWrap/>
          </w:tcPr>
          <w:p w14:paraId="3BA61898" w14:textId="77777777" w:rsidR="00EB245A" w:rsidRDefault="00EB245A">
            <w:pPr>
              <w:spacing w:after="0" w:line="240" w:lineRule="auto"/>
              <w:rPr>
                <w:rFonts w:ascii="Times New Roman" w:eastAsia="Times New Roman" w:hAnsi="Times New Roman" w:cs="Times New Roman"/>
                <w:noProof/>
                <w:sz w:val="18"/>
              </w:rPr>
            </w:pPr>
          </w:p>
        </w:tc>
        <w:tc>
          <w:tcPr>
            <w:tcW w:w="1134" w:type="dxa"/>
            <w:tcBorders>
              <w:top w:val="nil"/>
              <w:left w:val="nil"/>
              <w:bottom w:val="single" w:sz="4" w:space="0" w:color="auto"/>
              <w:right w:val="single" w:sz="4" w:space="0" w:color="auto"/>
            </w:tcBorders>
            <w:shd w:val="clear" w:color="auto" w:fill="C6EFCE"/>
            <w:noWrap/>
          </w:tcPr>
          <w:p w14:paraId="6E0A4FD7" w14:textId="77777777" w:rsidR="00EB245A" w:rsidRDefault="006021EE">
            <w:pPr>
              <w:pStyle w:val="P68B1DB1-Normal26"/>
              <w:spacing w:after="0" w:line="240" w:lineRule="auto"/>
              <w:rPr>
                <w:rFonts w:eastAsia="Times New Roman" w:cs="Times New Roman"/>
                <w:noProof/>
              </w:rPr>
            </w:pPr>
            <w:r>
              <w:rPr>
                <w:noProof/>
              </w:rPr>
              <w:t>Prozentsatz (%)</w:t>
            </w:r>
          </w:p>
        </w:tc>
        <w:tc>
          <w:tcPr>
            <w:tcW w:w="1276" w:type="dxa"/>
            <w:tcBorders>
              <w:top w:val="nil"/>
              <w:left w:val="nil"/>
              <w:bottom w:val="single" w:sz="4" w:space="0" w:color="auto"/>
              <w:right w:val="single" w:sz="4" w:space="0" w:color="auto"/>
            </w:tcBorders>
            <w:shd w:val="clear" w:color="auto" w:fill="C6EFCE"/>
            <w:noWrap/>
          </w:tcPr>
          <w:p w14:paraId="1CA5D608" w14:textId="77777777" w:rsidR="00EB245A" w:rsidRDefault="006021EE">
            <w:pPr>
              <w:pStyle w:val="P68B1DB1-Normal26"/>
              <w:spacing w:after="0" w:line="240" w:lineRule="auto"/>
              <w:jc w:val="center"/>
              <w:rPr>
                <w:rFonts w:eastAsia="Times New Roman" w:cs="Times New Roman"/>
                <w:noProof/>
              </w:rPr>
            </w:pPr>
            <w:r>
              <w:rPr>
                <w:noProof/>
              </w:rPr>
              <w:t>0</w:t>
            </w:r>
          </w:p>
        </w:tc>
        <w:tc>
          <w:tcPr>
            <w:tcW w:w="708" w:type="dxa"/>
            <w:tcBorders>
              <w:top w:val="nil"/>
              <w:left w:val="nil"/>
              <w:bottom w:val="single" w:sz="4" w:space="0" w:color="auto"/>
              <w:right w:val="single" w:sz="4" w:space="0" w:color="auto"/>
            </w:tcBorders>
            <w:shd w:val="clear" w:color="auto" w:fill="C6EFCE"/>
            <w:noWrap/>
          </w:tcPr>
          <w:p w14:paraId="2110AC2D" w14:textId="6843E07D" w:rsidR="00EB245A" w:rsidRDefault="006021EE">
            <w:pPr>
              <w:pStyle w:val="P68B1DB1-Normal26"/>
              <w:spacing w:after="0" w:line="240" w:lineRule="auto"/>
              <w:jc w:val="center"/>
              <w:rPr>
                <w:rFonts w:eastAsia="Times New Roman" w:cs="Times New Roman"/>
                <w:noProof/>
              </w:rPr>
            </w:pPr>
            <w:r>
              <w:rPr>
                <w:noProof/>
              </w:rPr>
              <w:t>30 %</w:t>
            </w:r>
          </w:p>
        </w:tc>
        <w:tc>
          <w:tcPr>
            <w:tcW w:w="1134" w:type="dxa"/>
            <w:tcBorders>
              <w:top w:val="nil"/>
              <w:left w:val="nil"/>
              <w:bottom w:val="single" w:sz="4" w:space="0" w:color="auto"/>
              <w:right w:val="single" w:sz="4" w:space="0" w:color="auto"/>
            </w:tcBorders>
            <w:shd w:val="clear" w:color="auto" w:fill="C6EFCE"/>
            <w:noWrap/>
          </w:tcPr>
          <w:p w14:paraId="17AA07D4" w14:textId="0DAF5607" w:rsidR="00EB245A" w:rsidRDefault="006021EE">
            <w:pPr>
              <w:pStyle w:val="P68B1DB1-Normal26"/>
              <w:spacing w:after="0" w:line="240" w:lineRule="auto"/>
              <w:jc w:val="center"/>
              <w:rPr>
                <w:rFonts w:eastAsia="Times New Roman" w:cs="Times New Roman"/>
                <w:noProof/>
              </w:rPr>
            </w:pPr>
            <w:r>
              <w:rPr>
                <w:noProof/>
              </w:rPr>
              <w:t>Q3</w:t>
            </w:r>
          </w:p>
        </w:tc>
        <w:tc>
          <w:tcPr>
            <w:tcW w:w="1134" w:type="dxa"/>
            <w:tcBorders>
              <w:top w:val="nil"/>
              <w:left w:val="nil"/>
              <w:bottom w:val="single" w:sz="4" w:space="0" w:color="auto"/>
              <w:right w:val="single" w:sz="4" w:space="0" w:color="auto"/>
            </w:tcBorders>
            <w:shd w:val="clear" w:color="auto" w:fill="C6EFCE"/>
            <w:noWrap/>
          </w:tcPr>
          <w:p w14:paraId="70FAFC72" w14:textId="77777777" w:rsidR="00EB245A" w:rsidRDefault="006021EE">
            <w:pPr>
              <w:pStyle w:val="P68B1DB1-Normal26"/>
              <w:spacing w:after="0" w:line="240" w:lineRule="auto"/>
              <w:jc w:val="center"/>
              <w:rPr>
                <w:rFonts w:eastAsia="Times New Roman" w:cs="Times New Roman"/>
                <w:noProof/>
              </w:rPr>
            </w:pPr>
            <w:r>
              <w:rPr>
                <w:noProof/>
              </w:rPr>
              <w:t>2025</w:t>
            </w:r>
          </w:p>
        </w:tc>
        <w:tc>
          <w:tcPr>
            <w:tcW w:w="2840" w:type="dxa"/>
            <w:tcBorders>
              <w:top w:val="nil"/>
              <w:left w:val="nil"/>
              <w:bottom w:val="single" w:sz="4" w:space="0" w:color="auto"/>
              <w:right w:val="single" w:sz="4" w:space="0" w:color="auto"/>
            </w:tcBorders>
            <w:shd w:val="clear" w:color="auto" w:fill="C6EFCE"/>
            <w:noWrap/>
          </w:tcPr>
          <w:p w14:paraId="67B3969A" w14:textId="40826D66" w:rsidR="00EB245A" w:rsidRDefault="006021EE">
            <w:pPr>
              <w:pStyle w:val="P68B1DB1-Normal26"/>
              <w:spacing w:after="0" w:line="240" w:lineRule="auto"/>
              <w:rPr>
                <w:rFonts w:eastAsia="Times New Roman" w:cs="Times New Roman"/>
                <w:noProof/>
              </w:rPr>
            </w:pPr>
            <w:r>
              <w:rPr>
                <w:noProof/>
              </w:rPr>
              <w:t xml:space="preserve">BGK muss rechtliche Finanzierungsvereinbarungen mit Endbegünstigten über einen Betrag geschlossen haben, der erforderlich ist, um mindestens 30 % der ARF-Investitionen in die Fazilität zu verwenden </w:t>
            </w:r>
            <w:r>
              <w:rPr>
                <w:noProof/>
              </w:rPr>
              <w:t>(unter Berücksichtigung der Verwaltungsgebühren). BGK erstellt nach der Methode in Anhang VI der ARF-Verordnung einen Bericht, in dem der Prozentsatz dieser Finanzierung, der zu den Klimazielen beiträgt, aufgeführt ist.</w:t>
            </w:r>
          </w:p>
        </w:tc>
      </w:tr>
      <w:tr w:rsidR="00EB245A" w14:paraId="0A36C25C" w14:textId="77777777" w:rsidTr="00396F21">
        <w:trPr>
          <w:trHeight w:val="309"/>
          <w:jc w:val="center"/>
        </w:trPr>
        <w:tc>
          <w:tcPr>
            <w:tcW w:w="803" w:type="dxa"/>
            <w:tcBorders>
              <w:top w:val="nil"/>
              <w:left w:val="single" w:sz="4" w:space="0" w:color="auto"/>
              <w:bottom w:val="single" w:sz="4" w:space="0" w:color="auto"/>
              <w:right w:val="single" w:sz="4" w:space="0" w:color="auto"/>
            </w:tcBorders>
            <w:shd w:val="clear" w:color="auto" w:fill="C6EFCE"/>
            <w:noWrap/>
          </w:tcPr>
          <w:p w14:paraId="38A34A00" w14:textId="714911CF" w:rsidR="00EB245A" w:rsidRDefault="006021EE">
            <w:pPr>
              <w:pStyle w:val="P68B1DB1-Normal26"/>
              <w:spacing w:after="0" w:line="240" w:lineRule="auto"/>
              <w:jc w:val="center"/>
              <w:rPr>
                <w:rFonts w:eastAsia="Times New Roman" w:cs="Times New Roman"/>
                <w:noProof/>
              </w:rPr>
            </w:pPr>
            <w:r>
              <w:rPr>
                <w:noProof/>
              </w:rPr>
              <w:t>G14L</w:t>
            </w:r>
          </w:p>
        </w:tc>
        <w:tc>
          <w:tcPr>
            <w:tcW w:w="1461" w:type="dxa"/>
            <w:tcBorders>
              <w:top w:val="nil"/>
              <w:left w:val="nil"/>
              <w:bottom w:val="single" w:sz="4" w:space="0" w:color="auto"/>
              <w:right w:val="single" w:sz="4" w:space="0" w:color="auto"/>
            </w:tcBorders>
            <w:shd w:val="clear" w:color="auto" w:fill="C6EFCE"/>
            <w:noWrap/>
          </w:tcPr>
          <w:p w14:paraId="6B5AC607" w14:textId="1E672698" w:rsidR="00EB245A" w:rsidRDefault="006021EE">
            <w:pPr>
              <w:pStyle w:val="P68B1DB1-Normal26"/>
              <w:spacing w:after="0" w:line="240" w:lineRule="auto"/>
              <w:rPr>
                <w:rFonts w:eastAsia="Times New Roman" w:cs="Times New Roman"/>
                <w:noProof/>
              </w:rPr>
            </w:pPr>
            <w:r>
              <w:rPr>
                <w:noProof/>
              </w:rPr>
              <w:t xml:space="preserve">G3.1.4 Unterstützung des nationalen Energiesystems (Energiehilfefonds) </w:t>
            </w:r>
          </w:p>
        </w:tc>
        <w:tc>
          <w:tcPr>
            <w:tcW w:w="1275" w:type="dxa"/>
            <w:tcBorders>
              <w:top w:val="nil"/>
              <w:left w:val="nil"/>
              <w:bottom w:val="single" w:sz="4" w:space="0" w:color="auto"/>
              <w:right w:val="single" w:sz="4" w:space="0" w:color="auto"/>
            </w:tcBorders>
            <w:shd w:val="clear" w:color="auto" w:fill="C6EFCE"/>
            <w:noWrap/>
          </w:tcPr>
          <w:p w14:paraId="146BE731" w14:textId="77777777" w:rsidR="00EB245A" w:rsidRDefault="006021EE">
            <w:pPr>
              <w:pStyle w:val="P68B1DB1-Normal26"/>
              <w:spacing w:after="0" w:line="240" w:lineRule="auto"/>
              <w:rPr>
                <w:rFonts w:eastAsia="Times New Roman" w:cs="Times New Roman"/>
                <w:noProof/>
              </w:rPr>
            </w:pPr>
            <w:r>
              <w:rPr>
                <w:noProof/>
              </w:rPr>
              <w:t>Ziel</w:t>
            </w:r>
          </w:p>
        </w:tc>
        <w:tc>
          <w:tcPr>
            <w:tcW w:w="1650" w:type="dxa"/>
            <w:tcBorders>
              <w:top w:val="nil"/>
              <w:left w:val="nil"/>
              <w:bottom w:val="single" w:sz="4" w:space="0" w:color="auto"/>
              <w:right w:val="single" w:sz="4" w:space="0" w:color="auto"/>
            </w:tcBorders>
            <w:shd w:val="clear" w:color="auto" w:fill="C6EFCE"/>
            <w:noWrap/>
          </w:tcPr>
          <w:p w14:paraId="0A9104F7" w14:textId="77777777" w:rsidR="00EB245A" w:rsidRDefault="006021EE">
            <w:pPr>
              <w:pStyle w:val="P68B1DB1-Normal26"/>
              <w:spacing w:after="0" w:line="240" w:lineRule="auto"/>
              <w:rPr>
                <w:rFonts w:eastAsia="Times New Roman" w:cs="Times New Roman"/>
                <w:noProof/>
              </w:rPr>
            </w:pPr>
            <w:r>
              <w:rPr>
                <w:noProof/>
              </w:rPr>
              <w:t>Mit den Endbegünstigten unterzeichnete rechtliche Vereinbarungen</w:t>
            </w:r>
          </w:p>
        </w:tc>
        <w:tc>
          <w:tcPr>
            <w:tcW w:w="1894" w:type="dxa"/>
            <w:tcBorders>
              <w:top w:val="nil"/>
              <w:left w:val="nil"/>
              <w:bottom w:val="single" w:sz="4" w:space="0" w:color="auto"/>
              <w:right w:val="single" w:sz="4" w:space="0" w:color="auto"/>
            </w:tcBorders>
            <w:shd w:val="clear" w:color="auto" w:fill="C6EFCE"/>
            <w:noWrap/>
          </w:tcPr>
          <w:p w14:paraId="78783A1D" w14:textId="77777777" w:rsidR="00EB245A" w:rsidRDefault="00EB245A">
            <w:pPr>
              <w:spacing w:after="0" w:line="240" w:lineRule="auto"/>
              <w:rPr>
                <w:rFonts w:ascii="Times New Roman" w:eastAsia="Times New Roman" w:hAnsi="Times New Roman" w:cs="Times New Roman"/>
                <w:noProof/>
                <w:sz w:val="18"/>
              </w:rPr>
            </w:pPr>
          </w:p>
        </w:tc>
        <w:tc>
          <w:tcPr>
            <w:tcW w:w="1134" w:type="dxa"/>
            <w:tcBorders>
              <w:top w:val="nil"/>
              <w:left w:val="nil"/>
              <w:bottom w:val="single" w:sz="4" w:space="0" w:color="auto"/>
              <w:right w:val="single" w:sz="4" w:space="0" w:color="auto"/>
            </w:tcBorders>
            <w:shd w:val="clear" w:color="auto" w:fill="C6EFCE"/>
            <w:noWrap/>
          </w:tcPr>
          <w:p w14:paraId="375A6831" w14:textId="77777777" w:rsidR="00EB245A" w:rsidRDefault="006021EE">
            <w:pPr>
              <w:pStyle w:val="P68B1DB1-Normal26"/>
              <w:spacing w:after="0" w:line="240" w:lineRule="auto"/>
              <w:rPr>
                <w:rFonts w:eastAsia="Times New Roman" w:cs="Times New Roman"/>
                <w:noProof/>
              </w:rPr>
            </w:pPr>
            <w:r>
              <w:rPr>
                <w:noProof/>
              </w:rPr>
              <w:t>Prozentsatz (%)</w:t>
            </w:r>
          </w:p>
        </w:tc>
        <w:tc>
          <w:tcPr>
            <w:tcW w:w="1276" w:type="dxa"/>
            <w:tcBorders>
              <w:top w:val="nil"/>
              <w:left w:val="nil"/>
              <w:bottom w:val="single" w:sz="4" w:space="0" w:color="auto"/>
              <w:right w:val="single" w:sz="4" w:space="0" w:color="auto"/>
            </w:tcBorders>
            <w:shd w:val="clear" w:color="auto" w:fill="C6EFCE"/>
            <w:noWrap/>
          </w:tcPr>
          <w:p w14:paraId="225BEACE" w14:textId="2C1C7560" w:rsidR="00EB245A" w:rsidRDefault="006021EE">
            <w:pPr>
              <w:pStyle w:val="P68B1DB1-Normal26"/>
              <w:spacing w:after="0" w:line="240" w:lineRule="auto"/>
              <w:jc w:val="center"/>
              <w:rPr>
                <w:rFonts w:eastAsia="Times New Roman" w:cs="Times New Roman"/>
                <w:noProof/>
              </w:rPr>
            </w:pPr>
            <w:r>
              <w:rPr>
                <w:noProof/>
              </w:rPr>
              <w:t>30 %</w:t>
            </w:r>
          </w:p>
        </w:tc>
        <w:tc>
          <w:tcPr>
            <w:tcW w:w="708" w:type="dxa"/>
            <w:tcBorders>
              <w:top w:val="nil"/>
              <w:left w:val="nil"/>
              <w:bottom w:val="single" w:sz="4" w:space="0" w:color="auto"/>
              <w:right w:val="single" w:sz="4" w:space="0" w:color="auto"/>
            </w:tcBorders>
            <w:shd w:val="clear" w:color="auto" w:fill="C6EFCE"/>
            <w:noWrap/>
          </w:tcPr>
          <w:p w14:paraId="3B4BB3DB" w14:textId="77777777" w:rsidR="00EB245A" w:rsidRDefault="006021EE">
            <w:pPr>
              <w:pStyle w:val="P68B1DB1-Normal26"/>
              <w:spacing w:after="0" w:line="240" w:lineRule="auto"/>
              <w:jc w:val="center"/>
              <w:rPr>
                <w:rFonts w:eastAsia="Times New Roman" w:cs="Times New Roman"/>
                <w:noProof/>
              </w:rPr>
            </w:pPr>
            <w:r>
              <w:rPr>
                <w:noProof/>
              </w:rPr>
              <w:t>100 %</w:t>
            </w:r>
          </w:p>
        </w:tc>
        <w:tc>
          <w:tcPr>
            <w:tcW w:w="1134" w:type="dxa"/>
            <w:tcBorders>
              <w:top w:val="nil"/>
              <w:left w:val="nil"/>
              <w:bottom w:val="single" w:sz="4" w:space="0" w:color="auto"/>
              <w:right w:val="single" w:sz="4" w:space="0" w:color="auto"/>
            </w:tcBorders>
            <w:shd w:val="clear" w:color="auto" w:fill="C6EFCE"/>
            <w:noWrap/>
          </w:tcPr>
          <w:p w14:paraId="623FBC49" w14:textId="77777777" w:rsidR="00EB245A" w:rsidRDefault="006021EE">
            <w:pPr>
              <w:pStyle w:val="P68B1DB1-Normal26"/>
              <w:spacing w:after="0" w:line="240" w:lineRule="auto"/>
              <w:jc w:val="center"/>
              <w:rPr>
                <w:rFonts w:eastAsia="Times New Roman" w:cs="Times New Roman"/>
                <w:noProof/>
              </w:rPr>
            </w:pPr>
            <w:r>
              <w:rPr>
                <w:noProof/>
              </w:rPr>
              <w:t>Q3</w:t>
            </w:r>
          </w:p>
        </w:tc>
        <w:tc>
          <w:tcPr>
            <w:tcW w:w="1134" w:type="dxa"/>
            <w:tcBorders>
              <w:top w:val="nil"/>
              <w:left w:val="nil"/>
              <w:bottom w:val="single" w:sz="4" w:space="0" w:color="auto"/>
              <w:right w:val="single" w:sz="4" w:space="0" w:color="auto"/>
            </w:tcBorders>
            <w:shd w:val="clear" w:color="auto" w:fill="C6EFCE"/>
            <w:noWrap/>
          </w:tcPr>
          <w:p w14:paraId="422733A8" w14:textId="77777777" w:rsidR="00EB245A" w:rsidRDefault="006021EE">
            <w:pPr>
              <w:pStyle w:val="P68B1DB1-Normal26"/>
              <w:spacing w:after="0" w:line="240" w:lineRule="auto"/>
              <w:jc w:val="center"/>
              <w:rPr>
                <w:rFonts w:eastAsia="Times New Roman" w:cs="Times New Roman"/>
                <w:noProof/>
              </w:rPr>
            </w:pPr>
            <w:r>
              <w:rPr>
                <w:noProof/>
              </w:rPr>
              <w:t>2026</w:t>
            </w:r>
          </w:p>
        </w:tc>
        <w:tc>
          <w:tcPr>
            <w:tcW w:w="2840" w:type="dxa"/>
            <w:tcBorders>
              <w:top w:val="nil"/>
              <w:left w:val="nil"/>
              <w:bottom w:val="single" w:sz="4" w:space="0" w:color="auto"/>
              <w:right w:val="single" w:sz="4" w:space="0" w:color="auto"/>
            </w:tcBorders>
            <w:shd w:val="clear" w:color="auto" w:fill="C6EFCE"/>
            <w:noWrap/>
          </w:tcPr>
          <w:p w14:paraId="74F58686" w14:textId="17BDB30A" w:rsidR="00EB245A" w:rsidRDefault="006021EE">
            <w:pPr>
              <w:pStyle w:val="P68B1DB1-Normal26"/>
              <w:spacing w:after="0" w:line="240" w:lineRule="auto"/>
              <w:rPr>
                <w:rFonts w:eastAsia="Times New Roman" w:cs="Times New Roman"/>
                <w:noProof/>
              </w:rPr>
            </w:pPr>
            <w:r>
              <w:rPr>
                <w:noProof/>
              </w:rPr>
              <w:t>BGK muss rechtliche Finanzierungsvereinbarungen mit Endbegünstigten über einen</w:t>
            </w:r>
            <w:r>
              <w:rPr>
                <w:noProof/>
              </w:rPr>
              <w:t xml:space="preserve"> Betrag geschlossen haben, der erforderlich ist, um 100 % der ARF-Investitionen in die Fazilität zu nutzen (unter Berücksichtigung der Verwaltungsgebühren). Mindestens 56 % dieser Finanzmittel tragen nach der Methode in Anhang VI der ARF-Verordnung zur Ver</w:t>
            </w:r>
            <w:r>
              <w:rPr>
                <w:noProof/>
              </w:rPr>
              <w:t>wirklichung der Klimaziele bei.</w:t>
            </w:r>
          </w:p>
        </w:tc>
      </w:tr>
      <w:tr w:rsidR="00EB245A" w14:paraId="44F60326" w14:textId="77777777" w:rsidTr="00396F21">
        <w:trPr>
          <w:trHeight w:val="309"/>
          <w:jc w:val="center"/>
        </w:trPr>
        <w:tc>
          <w:tcPr>
            <w:tcW w:w="803" w:type="dxa"/>
            <w:tcBorders>
              <w:top w:val="nil"/>
              <w:left w:val="single" w:sz="4" w:space="0" w:color="auto"/>
              <w:bottom w:val="single" w:sz="4" w:space="0" w:color="auto"/>
              <w:right w:val="single" w:sz="4" w:space="0" w:color="auto"/>
            </w:tcBorders>
            <w:shd w:val="clear" w:color="auto" w:fill="C6EFCE"/>
            <w:noWrap/>
          </w:tcPr>
          <w:p w14:paraId="71CB0AAD" w14:textId="1B3D170E" w:rsidR="00EB245A" w:rsidRDefault="006021EE">
            <w:pPr>
              <w:pStyle w:val="P68B1DB1-Normal26"/>
              <w:spacing w:after="0" w:line="240" w:lineRule="auto"/>
              <w:jc w:val="center"/>
              <w:rPr>
                <w:rFonts w:eastAsia="Times New Roman" w:cs="Times New Roman"/>
                <w:noProof/>
              </w:rPr>
            </w:pPr>
            <w:r>
              <w:rPr>
                <w:noProof/>
              </w:rPr>
              <w:t>G15L</w:t>
            </w:r>
          </w:p>
        </w:tc>
        <w:tc>
          <w:tcPr>
            <w:tcW w:w="1461" w:type="dxa"/>
            <w:tcBorders>
              <w:top w:val="nil"/>
              <w:left w:val="nil"/>
              <w:bottom w:val="single" w:sz="4" w:space="0" w:color="auto"/>
              <w:right w:val="single" w:sz="4" w:space="0" w:color="auto"/>
            </w:tcBorders>
            <w:shd w:val="clear" w:color="auto" w:fill="C6EFCE"/>
            <w:noWrap/>
          </w:tcPr>
          <w:p w14:paraId="15658516" w14:textId="6A3A5320" w:rsidR="00EB245A" w:rsidRDefault="006021EE">
            <w:pPr>
              <w:pStyle w:val="P68B1DB1-Normal26"/>
              <w:spacing w:after="0" w:line="240" w:lineRule="auto"/>
              <w:rPr>
                <w:rFonts w:eastAsia="Times New Roman" w:cs="Times New Roman"/>
                <w:noProof/>
              </w:rPr>
            </w:pPr>
            <w:r>
              <w:rPr>
                <w:noProof/>
              </w:rPr>
              <w:t>G3.1.4 Unterstützung des nationalen Energiesystems (Energiehilfefonds)</w:t>
            </w:r>
          </w:p>
        </w:tc>
        <w:tc>
          <w:tcPr>
            <w:tcW w:w="1275" w:type="dxa"/>
            <w:tcBorders>
              <w:top w:val="nil"/>
              <w:left w:val="nil"/>
              <w:bottom w:val="single" w:sz="4" w:space="0" w:color="auto"/>
              <w:right w:val="single" w:sz="4" w:space="0" w:color="auto"/>
            </w:tcBorders>
            <w:shd w:val="clear" w:color="auto" w:fill="C6EFCE"/>
            <w:noWrap/>
          </w:tcPr>
          <w:p w14:paraId="72AF68BE" w14:textId="77777777" w:rsidR="00EB245A" w:rsidRDefault="006021EE">
            <w:pPr>
              <w:pStyle w:val="P68B1DB1-Normal26"/>
              <w:spacing w:after="0" w:line="240" w:lineRule="auto"/>
              <w:rPr>
                <w:rFonts w:eastAsia="Times New Roman" w:cs="Times New Roman"/>
                <w:noProof/>
              </w:rPr>
            </w:pPr>
            <w:r>
              <w:rPr>
                <w:noProof/>
              </w:rPr>
              <w:t>Meilenstein</w:t>
            </w:r>
          </w:p>
        </w:tc>
        <w:tc>
          <w:tcPr>
            <w:tcW w:w="1650" w:type="dxa"/>
            <w:tcBorders>
              <w:top w:val="nil"/>
              <w:left w:val="nil"/>
              <w:bottom w:val="single" w:sz="4" w:space="0" w:color="auto"/>
              <w:right w:val="single" w:sz="4" w:space="0" w:color="auto"/>
            </w:tcBorders>
            <w:shd w:val="clear" w:color="auto" w:fill="C6EFCE"/>
            <w:noWrap/>
          </w:tcPr>
          <w:p w14:paraId="4E52335D" w14:textId="77777777" w:rsidR="00EB245A" w:rsidRDefault="006021EE">
            <w:pPr>
              <w:pStyle w:val="P68B1DB1-Normal26"/>
              <w:spacing w:after="0" w:line="240" w:lineRule="auto"/>
              <w:rPr>
                <w:rFonts w:eastAsia="Times New Roman" w:cs="Times New Roman"/>
                <w:noProof/>
              </w:rPr>
            </w:pPr>
            <w:r>
              <w:rPr>
                <w:noProof/>
              </w:rPr>
              <w:t>Das Ministerium hat die Investition abgeschlossen.</w:t>
            </w:r>
          </w:p>
        </w:tc>
        <w:tc>
          <w:tcPr>
            <w:tcW w:w="1894" w:type="dxa"/>
            <w:tcBorders>
              <w:top w:val="nil"/>
              <w:left w:val="nil"/>
              <w:bottom w:val="single" w:sz="4" w:space="0" w:color="auto"/>
              <w:right w:val="single" w:sz="4" w:space="0" w:color="auto"/>
            </w:tcBorders>
            <w:shd w:val="clear" w:color="auto" w:fill="C6EFCE"/>
            <w:noWrap/>
          </w:tcPr>
          <w:p w14:paraId="428957D1" w14:textId="77777777" w:rsidR="00EB245A" w:rsidRDefault="006021EE">
            <w:pPr>
              <w:pStyle w:val="P68B1DB1-Normal26"/>
              <w:spacing w:after="0" w:line="240" w:lineRule="auto"/>
              <w:rPr>
                <w:rFonts w:eastAsia="Times New Roman" w:cs="Times New Roman"/>
                <w:noProof/>
              </w:rPr>
            </w:pPr>
            <w:r>
              <w:rPr>
                <w:noProof/>
              </w:rPr>
              <w:t xml:space="preserve">Übertragungsbescheinigung  </w:t>
            </w:r>
          </w:p>
        </w:tc>
        <w:tc>
          <w:tcPr>
            <w:tcW w:w="1134" w:type="dxa"/>
            <w:tcBorders>
              <w:top w:val="nil"/>
              <w:left w:val="nil"/>
              <w:bottom w:val="single" w:sz="4" w:space="0" w:color="auto"/>
              <w:right w:val="single" w:sz="4" w:space="0" w:color="auto"/>
            </w:tcBorders>
            <w:shd w:val="clear" w:color="auto" w:fill="C6EFCE"/>
            <w:noWrap/>
          </w:tcPr>
          <w:p w14:paraId="29FACF62" w14:textId="77777777" w:rsidR="00EB245A" w:rsidRDefault="00EB245A">
            <w:pPr>
              <w:spacing w:after="0" w:line="240" w:lineRule="auto"/>
              <w:rPr>
                <w:rFonts w:ascii="Times New Roman" w:eastAsia="Times New Roman" w:hAnsi="Times New Roman" w:cs="Times New Roman"/>
                <w:noProof/>
                <w:sz w:val="18"/>
              </w:rPr>
            </w:pPr>
          </w:p>
        </w:tc>
        <w:tc>
          <w:tcPr>
            <w:tcW w:w="1276" w:type="dxa"/>
            <w:tcBorders>
              <w:top w:val="nil"/>
              <w:left w:val="nil"/>
              <w:bottom w:val="single" w:sz="4" w:space="0" w:color="auto"/>
              <w:right w:val="single" w:sz="4" w:space="0" w:color="auto"/>
            </w:tcBorders>
            <w:shd w:val="clear" w:color="auto" w:fill="C6EFCE"/>
            <w:noWrap/>
          </w:tcPr>
          <w:p w14:paraId="15F2B001" w14:textId="77777777" w:rsidR="00EB245A" w:rsidRDefault="00EB245A">
            <w:pPr>
              <w:spacing w:after="0" w:line="240" w:lineRule="auto"/>
              <w:jc w:val="center"/>
              <w:rPr>
                <w:rFonts w:ascii="Times New Roman" w:eastAsia="Times New Roman" w:hAnsi="Times New Roman" w:cs="Times New Roman"/>
                <w:noProof/>
                <w:sz w:val="18"/>
              </w:rPr>
            </w:pPr>
          </w:p>
        </w:tc>
        <w:tc>
          <w:tcPr>
            <w:tcW w:w="708" w:type="dxa"/>
            <w:tcBorders>
              <w:top w:val="nil"/>
              <w:left w:val="nil"/>
              <w:bottom w:val="single" w:sz="4" w:space="0" w:color="auto"/>
              <w:right w:val="single" w:sz="4" w:space="0" w:color="auto"/>
            </w:tcBorders>
            <w:shd w:val="clear" w:color="auto" w:fill="C6EFCE"/>
            <w:noWrap/>
          </w:tcPr>
          <w:p w14:paraId="1A56E231" w14:textId="77777777" w:rsidR="00EB245A" w:rsidRDefault="00EB245A">
            <w:pPr>
              <w:spacing w:after="0" w:line="240" w:lineRule="auto"/>
              <w:jc w:val="center"/>
              <w:rPr>
                <w:rFonts w:ascii="Times New Roman" w:eastAsia="Times New Roman" w:hAnsi="Times New Roman" w:cs="Times New Roman"/>
                <w:noProof/>
                <w:sz w:val="18"/>
              </w:rPr>
            </w:pPr>
          </w:p>
        </w:tc>
        <w:tc>
          <w:tcPr>
            <w:tcW w:w="1134" w:type="dxa"/>
            <w:tcBorders>
              <w:top w:val="nil"/>
              <w:left w:val="nil"/>
              <w:bottom w:val="single" w:sz="4" w:space="0" w:color="auto"/>
              <w:right w:val="single" w:sz="4" w:space="0" w:color="auto"/>
            </w:tcBorders>
            <w:shd w:val="clear" w:color="auto" w:fill="C6EFCE"/>
            <w:noWrap/>
          </w:tcPr>
          <w:p w14:paraId="123044C0" w14:textId="77777777" w:rsidR="00EB245A" w:rsidRDefault="006021EE">
            <w:pPr>
              <w:pStyle w:val="P68B1DB1-Normal26"/>
              <w:spacing w:after="0" w:line="240" w:lineRule="auto"/>
              <w:jc w:val="center"/>
              <w:rPr>
                <w:rFonts w:eastAsia="Times New Roman" w:cs="Times New Roman"/>
                <w:noProof/>
              </w:rPr>
            </w:pPr>
            <w:r>
              <w:rPr>
                <w:noProof/>
              </w:rPr>
              <w:t>Q3</w:t>
            </w:r>
          </w:p>
        </w:tc>
        <w:tc>
          <w:tcPr>
            <w:tcW w:w="1134" w:type="dxa"/>
            <w:tcBorders>
              <w:top w:val="nil"/>
              <w:left w:val="nil"/>
              <w:bottom w:val="single" w:sz="4" w:space="0" w:color="auto"/>
              <w:right w:val="single" w:sz="4" w:space="0" w:color="auto"/>
            </w:tcBorders>
            <w:shd w:val="clear" w:color="auto" w:fill="C6EFCE"/>
            <w:noWrap/>
          </w:tcPr>
          <w:p w14:paraId="60CA3025" w14:textId="77777777" w:rsidR="00EB245A" w:rsidRDefault="006021EE">
            <w:pPr>
              <w:pStyle w:val="P68B1DB1-Normal26"/>
              <w:spacing w:after="0" w:line="240" w:lineRule="auto"/>
              <w:jc w:val="center"/>
              <w:rPr>
                <w:rFonts w:eastAsia="Times New Roman" w:cs="Times New Roman"/>
                <w:noProof/>
              </w:rPr>
            </w:pPr>
            <w:r>
              <w:rPr>
                <w:noProof/>
              </w:rPr>
              <w:t>2026</w:t>
            </w:r>
          </w:p>
        </w:tc>
        <w:tc>
          <w:tcPr>
            <w:tcW w:w="2840" w:type="dxa"/>
            <w:tcBorders>
              <w:top w:val="nil"/>
              <w:left w:val="nil"/>
              <w:bottom w:val="single" w:sz="4" w:space="0" w:color="auto"/>
              <w:right w:val="single" w:sz="4" w:space="0" w:color="auto"/>
            </w:tcBorders>
            <w:shd w:val="clear" w:color="auto" w:fill="C6EFCE"/>
            <w:noWrap/>
          </w:tcPr>
          <w:p w14:paraId="47A5F6B3" w14:textId="4F131057" w:rsidR="00EB245A" w:rsidRDefault="006021EE">
            <w:pPr>
              <w:pStyle w:val="P68B1DB1-Normal26"/>
              <w:spacing w:after="0" w:line="240" w:lineRule="auto"/>
              <w:rPr>
                <w:rFonts w:eastAsia="Times New Roman" w:cs="Times New Roman"/>
                <w:noProof/>
              </w:rPr>
            </w:pPr>
            <w:r>
              <w:rPr>
                <w:noProof/>
              </w:rPr>
              <w:t>Polen überträgt 16 270 261 630 EUR an BGK für</w:t>
            </w:r>
            <w:r>
              <w:rPr>
                <w:noProof/>
              </w:rPr>
              <w:t xml:space="preserve"> die Fazilität. </w:t>
            </w:r>
          </w:p>
        </w:tc>
      </w:tr>
      <w:tr w:rsidR="00EB245A" w14:paraId="7EA1F8E3" w14:textId="77777777" w:rsidTr="00396F21">
        <w:trPr>
          <w:trHeight w:val="309"/>
          <w:jc w:val="center"/>
        </w:trPr>
        <w:tc>
          <w:tcPr>
            <w:tcW w:w="803" w:type="dxa"/>
            <w:tcBorders>
              <w:top w:val="nil"/>
              <w:left w:val="single" w:sz="4" w:space="0" w:color="auto"/>
              <w:bottom w:val="single" w:sz="4" w:space="0" w:color="auto"/>
              <w:right w:val="single" w:sz="4" w:space="0" w:color="auto"/>
            </w:tcBorders>
            <w:shd w:val="clear" w:color="auto" w:fill="C6EFCE"/>
            <w:noWrap/>
          </w:tcPr>
          <w:p w14:paraId="2CE3A5A4" w14:textId="11AA3A72" w:rsidR="00EB245A" w:rsidRDefault="006021EE">
            <w:pPr>
              <w:pStyle w:val="P68B1DB1-Normal26"/>
              <w:spacing w:after="0" w:line="240" w:lineRule="auto"/>
              <w:jc w:val="center"/>
              <w:rPr>
                <w:rFonts w:eastAsia="Times New Roman" w:cs="Times New Roman"/>
                <w:noProof/>
              </w:rPr>
            </w:pPr>
            <w:r>
              <w:rPr>
                <w:noProof/>
              </w:rPr>
              <w:t>G16L</w:t>
            </w:r>
          </w:p>
        </w:tc>
        <w:tc>
          <w:tcPr>
            <w:tcW w:w="1461" w:type="dxa"/>
            <w:tcBorders>
              <w:top w:val="nil"/>
              <w:left w:val="nil"/>
              <w:bottom w:val="single" w:sz="4" w:space="0" w:color="auto"/>
              <w:right w:val="single" w:sz="4" w:space="0" w:color="auto"/>
            </w:tcBorders>
            <w:shd w:val="clear" w:color="auto" w:fill="C6EFCE"/>
            <w:noWrap/>
          </w:tcPr>
          <w:p w14:paraId="34566071" w14:textId="264D3F36" w:rsidR="00EB245A" w:rsidRDefault="006021EE">
            <w:pPr>
              <w:pStyle w:val="P68B1DB1-Normal26"/>
              <w:spacing w:after="0" w:line="240" w:lineRule="auto"/>
              <w:rPr>
                <w:rFonts w:eastAsia="Times New Roman" w:cs="Times New Roman"/>
                <w:noProof/>
              </w:rPr>
            </w:pPr>
            <w:r>
              <w:rPr>
                <w:noProof/>
              </w:rPr>
              <w:t>G3.1.5 Bau von Offshore-Windparks (Offshore-Windenergiefonds)</w:t>
            </w:r>
          </w:p>
        </w:tc>
        <w:tc>
          <w:tcPr>
            <w:tcW w:w="1275" w:type="dxa"/>
            <w:tcBorders>
              <w:top w:val="nil"/>
              <w:left w:val="nil"/>
              <w:bottom w:val="single" w:sz="4" w:space="0" w:color="auto"/>
              <w:right w:val="single" w:sz="4" w:space="0" w:color="auto"/>
            </w:tcBorders>
            <w:shd w:val="clear" w:color="auto" w:fill="C6EFCE"/>
            <w:noWrap/>
          </w:tcPr>
          <w:p w14:paraId="70BE9D0C" w14:textId="77777777" w:rsidR="00EB245A" w:rsidRDefault="006021EE">
            <w:pPr>
              <w:pStyle w:val="P68B1DB1-Normal26"/>
              <w:spacing w:after="0" w:line="240" w:lineRule="auto"/>
              <w:rPr>
                <w:rFonts w:eastAsia="Times New Roman" w:cs="Times New Roman"/>
                <w:noProof/>
              </w:rPr>
            </w:pPr>
            <w:r>
              <w:rPr>
                <w:noProof/>
              </w:rPr>
              <w:t>Meilenstein</w:t>
            </w:r>
          </w:p>
        </w:tc>
        <w:tc>
          <w:tcPr>
            <w:tcW w:w="1650" w:type="dxa"/>
            <w:tcBorders>
              <w:top w:val="nil"/>
              <w:left w:val="nil"/>
              <w:bottom w:val="single" w:sz="4" w:space="0" w:color="auto"/>
              <w:right w:val="single" w:sz="4" w:space="0" w:color="auto"/>
            </w:tcBorders>
            <w:shd w:val="clear" w:color="auto" w:fill="C6EFCE"/>
            <w:noWrap/>
          </w:tcPr>
          <w:p w14:paraId="5B9BD8EF" w14:textId="77777777" w:rsidR="00EB245A" w:rsidRDefault="006021EE">
            <w:pPr>
              <w:pStyle w:val="P68B1DB1-Normal26"/>
              <w:spacing w:after="0" w:line="240" w:lineRule="auto"/>
              <w:rPr>
                <w:rFonts w:eastAsia="Times New Roman" w:cs="Times New Roman"/>
                <w:noProof/>
              </w:rPr>
            </w:pPr>
            <w:r>
              <w:rPr>
                <w:noProof/>
              </w:rPr>
              <w:t>Durchführungsvereinbarung</w:t>
            </w:r>
          </w:p>
        </w:tc>
        <w:tc>
          <w:tcPr>
            <w:tcW w:w="1894" w:type="dxa"/>
            <w:tcBorders>
              <w:top w:val="nil"/>
              <w:left w:val="nil"/>
              <w:bottom w:val="single" w:sz="4" w:space="0" w:color="auto"/>
              <w:right w:val="single" w:sz="4" w:space="0" w:color="auto"/>
            </w:tcBorders>
            <w:shd w:val="clear" w:color="auto" w:fill="C6EFCE"/>
            <w:noWrap/>
          </w:tcPr>
          <w:p w14:paraId="04DE212B" w14:textId="77777777" w:rsidR="00EB245A" w:rsidRDefault="006021EE">
            <w:pPr>
              <w:pStyle w:val="P68B1DB1-Normal26"/>
              <w:spacing w:after="0" w:line="240" w:lineRule="auto"/>
              <w:rPr>
                <w:rFonts w:eastAsia="Times New Roman" w:cs="Times New Roman"/>
                <w:noProof/>
              </w:rPr>
            </w:pPr>
            <w:r>
              <w:rPr>
                <w:noProof/>
              </w:rPr>
              <w:t>Inkrafttreten des Durchführungsübereinkommens</w:t>
            </w:r>
          </w:p>
        </w:tc>
        <w:tc>
          <w:tcPr>
            <w:tcW w:w="1134" w:type="dxa"/>
            <w:tcBorders>
              <w:top w:val="nil"/>
              <w:left w:val="nil"/>
              <w:bottom w:val="single" w:sz="4" w:space="0" w:color="auto"/>
              <w:right w:val="single" w:sz="4" w:space="0" w:color="auto"/>
            </w:tcBorders>
            <w:shd w:val="clear" w:color="auto" w:fill="C6EFCE"/>
            <w:noWrap/>
          </w:tcPr>
          <w:p w14:paraId="58AB2804" w14:textId="77777777" w:rsidR="00EB245A" w:rsidRDefault="00EB245A">
            <w:pPr>
              <w:spacing w:after="0" w:line="240" w:lineRule="auto"/>
              <w:rPr>
                <w:rFonts w:ascii="Times New Roman" w:eastAsia="Times New Roman" w:hAnsi="Times New Roman" w:cs="Times New Roman"/>
                <w:noProof/>
                <w:sz w:val="18"/>
              </w:rPr>
            </w:pPr>
          </w:p>
        </w:tc>
        <w:tc>
          <w:tcPr>
            <w:tcW w:w="1276" w:type="dxa"/>
            <w:tcBorders>
              <w:top w:val="nil"/>
              <w:left w:val="nil"/>
              <w:bottom w:val="single" w:sz="4" w:space="0" w:color="auto"/>
              <w:right w:val="single" w:sz="4" w:space="0" w:color="auto"/>
            </w:tcBorders>
            <w:shd w:val="clear" w:color="auto" w:fill="C6EFCE"/>
            <w:noWrap/>
          </w:tcPr>
          <w:p w14:paraId="392B008A" w14:textId="77777777" w:rsidR="00EB245A" w:rsidRDefault="00EB245A">
            <w:pPr>
              <w:spacing w:after="0" w:line="240" w:lineRule="auto"/>
              <w:jc w:val="center"/>
              <w:rPr>
                <w:rFonts w:ascii="Times New Roman" w:eastAsia="Times New Roman" w:hAnsi="Times New Roman" w:cs="Times New Roman"/>
                <w:noProof/>
                <w:sz w:val="18"/>
              </w:rPr>
            </w:pPr>
          </w:p>
        </w:tc>
        <w:tc>
          <w:tcPr>
            <w:tcW w:w="708" w:type="dxa"/>
            <w:tcBorders>
              <w:top w:val="nil"/>
              <w:left w:val="nil"/>
              <w:bottom w:val="single" w:sz="4" w:space="0" w:color="auto"/>
              <w:right w:val="single" w:sz="4" w:space="0" w:color="auto"/>
            </w:tcBorders>
            <w:shd w:val="clear" w:color="auto" w:fill="C6EFCE"/>
            <w:noWrap/>
          </w:tcPr>
          <w:p w14:paraId="41C074DE" w14:textId="77777777" w:rsidR="00EB245A" w:rsidRDefault="00EB245A">
            <w:pPr>
              <w:spacing w:after="0" w:line="240" w:lineRule="auto"/>
              <w:jc w:val="center"/>
              <w:rPr>
                <w:rFonts w:ascii="Times New Roman" w:eastAsia="Times New Roman" w:hAnsi="Times New Roman" w:cs="Times New Roman"/>
                <w:noProof/>
                <w:sz w:val="18"/>
              </w:rPr>
            </w:pPr>
          </w:p>
        </w:tc>
        <w:tc>
          <w:tcPr>
            <w:tcW w:w="1134" w:type="dxa"/>
            <w:tcBorders>
              <w:top w:val="nil"/>
              <w:left w:val="nil"/>
              <w:bottom w:val="single" w:sz="4" w:space="0" w:color="auto"/>
              <w:right w:val="single" w:sz="4" w:space="0" w:color="auto"/>
            </w:tcBorders>
            <w:shd w:val="clear" w:color="auto" w:fill="C6EFCE"/>
            <w:noWrap/>
          </w:tcPr>
          <w:p w14:paraId="0F502E1C" w14:textId="77777777" w:rsidR="00EB245A" w:rsidRDefault="006021EE">
            <w:pPr>
              <w:pStyle w:val="P68B1DB1-Normal26"/>
              <w:spacing w:after="0" w:line="240" w:lineRule="auto"/>
              <w:jc w:val="center"/>
              <w:rPr>
                <w:rFonts w:eastAsia="Times New Roman" w:cs="Times New Roman"/>
                <w:noProof/>
              </w:rPr>
            </w:pPr>
            <w:r>
              <w:rPr>
                <w:noProof/>
              </w:rPr>
              <w:t>Q3</w:t>
            </w:r>
          </w:p>
        </w:tc>
        <w:tc>
          <w:tcPr>
            <w:tcW w:w="1134" w:type="dxa"/>
            <w:tcBorders>
              <w:top w:val="nil"/>
              <w:left w:val="nil"/>
              <w:bottom w:val="single" w:sz="4" w:space="0" w:color="auto"/>
              <w:right w:val="single" w:sz="4" w:space="0" w:color="auto"/>
            </w:tcBorders>
            <w:shd w:val="clear" w:color="auto" w:fill="C6EFCE"/>
            <w:noWrap/>
          </w:tcPr>
          <w:p w14:paraId="1205AA43" w14:textId="77777777" w:rsidR="00EB245A" w:rsidRDefault="006021EE">
            <w:pPr>
              <w:pStyle w:val="P68B1DB1-Normal26"/>
              <w:spacing w:after="0" w:line="240" w:lineRule="auto"/>
              <w:jc w:val="center"/>
              <w:rPr>
                <w:rFonts w:eastAsia="Times New Roman" w:cs="Times New Roman"/>
                <w:noProof/>
              </w:rPr>
            </w:pPr>
            <w:r>
              <w:rPr>
                <w:noProof/>
              </w:rPr>
              <w:t>2024</w:t>
            </w:r>
          </w:p>
        </w:tc>
        <w:tc>
          <w:tcPr>
            <w:tcW w:w="2840" w:type="dxa"/>
            <w:tcBorders>
              <w:top w:val="nil"/>
              <w:left w:val="nil"/>
              <w:bottom w:val="single" w:sz="4" w:space="0" w:color="auto"/>
              <w:right w:val="single" w:sz="4" w:space="0" w:color="auto"/>
            </w:tcBorders>
            <w:shd w:val="clear" w:color="auto" w:fill="C6EFCE"/>
            <w:noWrap/>
          </w:tcPr>
          <w:p w14:paraId="7E6187C1" w14:textId="77777777" w:rsidR="00EB245A" w:rsidRDefault="006021EE">
            <w:pPr>
              <w:pStyle w:val="P68B1DB1-Normal26"/>
              <w:spacing w:after="0" w:line="240" w:lineRule="auto"/>
              <w:rPr>
                <w:rFonts w:eastAsia="Times New Roman" w:cs="Times New Roman"/>
                <w:noProof/>
              </w:rPr>
            </w:pPr>
            <w:r>
              <w:rPr>
                <w:noProof/>
              </w:rPr>
              <w:t>Inkrafttreten des Durchführungsübereinkommens.</w:t>
            </w:r>
          </w:p>
        </w:tc>
      </w:tr>
      <w:tr w:rsidR="00EB245A" w14:paraId="070650F3" w14:textId="77777777" w:rsidTr="00396F21">
        <w:trPr>
          <w:trHeight w:val="309"/>
          <w:jc w:val="center"/>
        </w:trPr>
        <w:tc>
          <w:tcPr>
            <w:tcW w:w="803" w:type="dxa"/>
            <w:tcBorders>
              <w:top w:val="nil"/>
              <w:left w:val="single" w:sz="4" w:space="0" w:color="auto"/>
              <w:bottom w:val="single" w:sz="4" w:space="0" w:color="auto"/>
              <w:right w:val="single" w:sz="4" w:space="0" w:color="auto"/>
            </w:tcBorders>
            <w:shd w:val="clear" w:color="auto" w:fill="C6EFCE"/>
            <w:noWrap/>
          </w:tcPr>
          <w:p w14:paraId="26D60D62" w14:textId="4A90F065" w:rsidR="00EB245A" w:rsidRDefault="006021EE">
            <w:pPr>
              <w:pStyle w:val="P68B1DB1-Normal26"/>
              <w:spacing w:after="0" w:line="240" w:lineRule="auto"/>
              <w:jc w:val="center"/>
              <w:rPr>
                <w:rFonts w:eastAsia="Times New Roman" w:cs="Times New Roman"/>
                <w:noProof/>
              </w:rPr>
            </w:pPr>
            <w:r>
              <w:rPr>
                <w:noProof/>
              </w:rPr>
              <w:t>G17L</w:t>
            </w:r>
          </w:p>
        </w:tc>
        <w:tc>
          <w:tcPr>
            <w:tcW w:w="1461" w:type="dxa"/>
            <w:tcBorders>
              <w:top w:val="nil"/>
              <w:left w:val="nil"/>
              <w:bottom w:val="single" w:sz="4" w:space="0" w:color="auto"/>
              <w:right w:val="single" w:sz="4" w:space="0" w:color="auto"/>
            </w:tcBorders>
            <w:shd w:val="clear" w:color="auto" w:fill="C6EFCE"/>
            <w:noWrap/>
          </w:tcPr>
          <w:p w14:paraId="7CCC383F" w14:textId="2420126D" w:rsidR="00EB245A" w:rsidRDefault="006021EE">
            <w:pPr>
              <w:pStyle w:val="P68B1DB1-Normal26"/>
              <w:spacing w:after="0" w:line="240" w:lineRule="auto"/>
              <w:rPr>
                <w:rFonts w:eastAsia="Times New Roman" w:cs="Times New Roman"/>
                <w:noProof/>
              </w:rPr>
            </w:pPr>
            <w:r>
              <w:rPr>
                <w:noProof/>
              </w:rPr>
              <w:t xml:space="preserve">G3.1.5 Bau von </w:t>
            </w:r>
            <w:r>
              <w:rPr>
                <w:noProof/>
              </w:rPr>
              <w:t>Offshore-Windparks (Offshore-Windenergiefonds)</w:t>
            </w:r>
          </w:p>
        </w:tc>
        <w:tc>
          <w:tcPr>
            <w:tcW w:w="1275" w:type="dxa"/>
            <w:tcBorders>
              <w:top w:val="nil"/>
              <w:left w:val="nil"/>
              <w:bottom w:val="single" w:sz="4" w:space="0" w:color="auto"/>
              <w:right w:val="single" w:sz="4" w:space="0" w:color="auto"/>
            </w:tcBorders>
            <w:shd w:val="clear" w:color="auto" w:fill="C6EFCE"/>
            <w:noWrap/>
          </w:tcPr>
          <w:p w14:paraId="4196CC50" w14:textId="77777777" w:rsidR="00EB245A" w:rsidRDefault="006021EE">
            <w:pPr>
              <w:pStyle w:val="P68B1DB1-Normal26"/>
              <w:spacing w:after="0" w:line="240" w:lineRule="auto"/>
              <w:rPr>
                <w:rFonts w:eastAsia="Times New Roman" w:cs="Times New Roman"/>
                <w:noProof/>
              </w:rPr>
            </w:pPr>
            <w:r>
              <w:rPr>
                <w:noProof/>
              </w:rPr>
              <w:t>Ziel</w:t>
            </w:r>
          </w:p>
        </w:tc>
        <w:tc>
          <w:tcPr>
            <w:tcW w:w="1650" w:type="dxa"/>
            <w:tcBorders>
              <w:top w:val="nil"/>
              <w:left w:val="nil"/>
              <w:bottom w:val="single" w:sz="4" w:space="0" w:color="auto"/>
              <w:right w:val="single" w:sz="4" w:space="0" w:color="auto"/>
            </w:tcBorders>
            <w:shd w:val="clear" w:color="auto" w:fill="C6EFCE"/>
            <w:noWrap/>
          </w:tcPr>
          <w:p w14:paraId="5128E39E" w14:textId="77777777" w:rsidR="00EB245A" w:rsidRDefault="006021EE">
            <w:pPr>
              <w:pStyle w:val="P68B1DB1-Normal26"/>
              <w:spacing w:after="0" w:line="240" w:lineRule="auto"/>
              <w:rPr>
                <w:rFonts w:eastAsia="Times New Roman" w:cs="Times New Roman"/>
                <w:noProof/>
              </w:rPr>
            </w:pPr>
            <w:r>
              <w:rPr>
                <w:noProof/>
              </w:rPr>
              <w:t>Mit den Endbegünstigten unterzeichnete rechtliche Vereinbarungen</w:t>
            </w:r>
          </w:p>
        </w:tc>
        <w:tc>
          <w:tcPr>
            <w:tcW w:w="1894" w:type="dxa"/>
            <w:tcBorders>
              <w:top w:val="nil"/>
              <w:left w:val="nil"/>
              <w:bottom w:val="single" w:sz="4" w:space="0" w:color="auto"/>
              <w:right w:val="single" w:sz="4" w:space="0" w:color="auto"/>
            </w:tcBorders>
            <w:shd w:val="clear" w:color="auto" w:fill="C6EFCE"/>
            <w:noWrap/>
          </w:tcPr>
          <w:p w14:paraId="28B0F3F9" w14:textId="77777777" w:rsidR="00EB245A" w:rsidRDefault="00EB245A">
            <w:pPr>
              <w:spacing w:after="0" w:line="240" w:lineRule="auto"/>
              <w:rPr>
                <w:rFonts w:ascii="Times New Roman" w:eastAsia="Times New Roman" w:hAnsi="Times New Roman" w:cs="Times New Roman"/>
                <w:noProof/>
                <w:sz w:val="18"/>
              </w:rPr>
            </w:pPr>
          </w:p>
        </w:tc>
        <w:tc>
          <w:tcPr>
            <w:tcW w:w="1134" w:type="dxa"/>
            <w:tcBorders>
              <w:top w:val="nil"/>
              <w:left w:val="nil"/>
              <w:bottom w:val="single" w:sz="4" w:space="0" w:color="auto"/>
              <w:right w:val="single" w:sz="4" w:space="0" w:color="auto"/>
            </w:tcBorders>
            <w:shd w:val="clear" w:color="auto" w:fill="C6EFCE"/>
            <w:noWrap/>
          </w:tcPr>
          <w:p w14:paraId="278C6D8D" w14:textId="77777777" w:rsidR="00EB245A" w:rsidRDefault="006021EE">
            <w:pPr>
              <w:pStyle w:val="P68B1DB1-Normal26"/>
              <w:spacing w:after="0" w:line="240" w:lineRule="auto"/>
              <w:rPr>
                <w:rFonts w:eastAsia="Times New Roman" w:cs="Times New Roman"/>
                <w:noProof/>
              </w:rPr>
            </w:pPr>
            <w:r>
              <w:rPr>
                <w:noProof/>
              </w:rPr>
              <w:t>Prozentsatz (%)</w:t>
            </w:r>
          </w:p>
        </w:tc>
        <w:tc>
          <w:tcPr>
            <w:tcW w:w="1276" w:type="dxa"/>
            <w:tcBorders>
              <w:top w:val="nil"/>
              <w:left w:val="nil"/>
              <w:bottom w:val="single" w:sz="4" w:space="0" w:color="auto"/>
              <w:right w:val="single" w:sz="4" w:space="0" w:color="auto"/>
            </w:tcBorders>
            <w:shd w:val="clear" w:color="auto" w:fill="C6EFCE"/>
            <w:noWrap/>
          </w:tcPr>
          <w:p w14:paraId="515388BF" w14:textId="77777777" w:rsidR="00EB245A" w:rsidRDefault="006021EE">
            <w:pPr>
              <w:pStyle w:val="P68B1DB1-Normal26"/>
              <w:spacing w:after="0" w:line="240" w:lineRule="auto"/>
              <w:jc w:val="center"/>
              <w:rPr>
                <w:rFonts w:eastAsia="Times New Roman" w:cs="Times New Roman"/>
                <w:noProof/>
              </w:rPr>
            </w:pPr>
            <w:r>
              <w:rPr>
                <w:noProof/>
              </w:rPr>
              <w:t>0</w:t>
            </w:r>
          </w:p>
        </w:tc>
        <w:tc>
          <w:tcPr>
            <w:tcW w:w="708" w:type="dxa"/>
            <w:tcBorders>
              <w:top w:val="nil"/>
              <w:left w:val="nil"/>
              <w:bottom w:val="single" w:sz="4" w:space="0" w:color="auto"/>
              <w:right w:val="single" w:sz="4" w:space="0" w:color="auto"/>
            </w:tcBorders>
            <w:shd w:val="clear" w:color="auto" w:fill="C6EFCE"/>
            <w:noWrap/>
          </w:tcPr>
          <w:p w14:paraId="0CB1EF04" w14:textId="77777777" w:rsidR="00EB245A" w:rsidRDefault="006021EE">
            <w:pPr>
              <w:pStyle w:val="P68B1DB1-Normal26"/>
              <w:spacing w:after="0" w:line="240" w:lineRule="auto"/>
              <w:jc w:val="center"/>
              <w:rPr>
                <w:rFonts w:eastAsia="Times New Roman" w:cs="Times New Roman"/>
                <w:noProof/>
              </w:rPr>
            </w:pPr>
            <w:r>
              <w:rPr>
                <w:noProof/>
              </w:rPr>
              <w:t>40 %</w:t>
            </w:r>
          </w:p>
        </w:tc>
        <w:tc>
          <w:tcPr>
            <w:tcW w:w="1134" w:type="dxa"/>
            <w:tcBorders>
              <w:top w:val="nil"/>
              <w:left w:val="nil"/>
              <w:bottom w:val="single" w:sz="4" w:space="0" w:color="auto"/>
              <w:right w:val="single" w:sz="4" w:space="0" w:color="auto"/>
            </w:tcBorders>
            <w:shd w:val="clear" w:color="auto" w:fill="C6EFCE"/>
            <w:noWrap/>
          </w:tcPr>
          <w:p w14:paraId="212B27F3" w14:textId="77777777" w:rsidR="00EB245A" w:rsidRDefault="006021EE">
            <w:pPr>
              <w:pStyle w:val="P68B1DB1-Normal26"/>
              <w:spacing w:after="0" w:line="240" w:lineRule="auto"/>
              <w:jc w:val="center"/>
              <w:rPr>
                <w:rFonts w:eastAsia="Times New Roman" w:cs="Times New Roman"/>
                <w:noProof/>
              </w:rPr>
            </w:pPr>
            <w:r>
              <w:rPr>
                <w:noProof/>
              </w:rPr>
              <w:t>Q2</w:t>
            </w:r>
          </w:p>
        </w:tc>
        <w:tc>
          <w:tcPr>
            <w:tcW w:w="1134" w:type="dxa"/>
            <w:tcBorders>
              <w:top w:val="nil"/>
              <w:left w:val="nil"/>
              <w:bottom w:val="single" w:sz="4" w:space="0" w:color="auto"/>
              <w:right w:val="single" w:sz="4" w:space="0" w:color="auto"/>
            </w:tcBorders>
            <w:shd w:val="clear" w:color="auto" w:fill="C6EFCE"/>
            <w:noWrap/>
          </w:tcPr>
          <w:p w14:paraId="0FA8514C" w14:textId="77777777" w:rsidR="00EB245A" w:rsidRDefault="006021EE">
            <w:pPr>
              <w:pStyle w:val="P68B1DB1-Normal26"/>
              <w:spacing w:after="0" w:line="240" w:lineRule="auto"/>
              <w:jc w:val="center"/>
              <w:rPr>
                <w:rFonts w:eastAsia="Times New Roman" w:cs="Times New Roman"/>
                <w:noProof/>
              </w:rPr>
            </w:pPr>
            <w:r>
              <w:rPr>
                <w:noProof/>
              </w:rPr>
              <w:t>2025</w:t>
            </w:r>
          </w:p>
        </w:tc>
        <w:tc>
          <w:tcPr>
            <w:tcW w:w="2840" w:type="dxa"/>
            <w:tcBorders>
              <w:top w:val="nil"/>
              <w:left w:val="nil"/>
              <w:bottom w:val="single" w:sz="4" w:space="0" w:color="auto"/>
              <w:right w:val="single" w:sz="4" w:space="0" w:color="auto"/>
            </w:tcBorders>
            <w:shd w:val="clear" w:color="auto" w:fill="C6EFCE"/>
            <w:noWrap/>
          </w:tcPr>
          <w:p w14:paraId="4743970B" w14:textId="77777777" w:rsidR="00EB245A" w:rsidRDefault="006021EE">
            <w:pPr>
              <w:pStyle w:val="P68B1DB1-Normal26"/>
              <w:spacing w:after="0" w:line="240" w:lineRule="auto"/>
              <w:rPr>
                <w:rFonts w:eastAsia="Times New Roman" w:cs="Times New Roman"/>
                <w:noProof/>
              </w:rPr>
            </w:pPr>
            <w:r>
              <w:rPr>
                <w:noProof/>
              </w:rPr>
              <w:t xml:space="preserve">BGK muss rechtliche Finanzierungsvereinbarungen mit Endbegünstigten über einen Betrag geschlossen haben, </w:t>
            </w:r>
            <w:r>
              <w:rPr>
                <w:noProof/>
              </w:rPr>
              <w:t>der erforderlich ist, um mindestens 40 % der ARF-Investitionen in die Fazilität zu verwenden (unter Berücksichtigung der Verwaltungsgebühren).</w:t>
            </w:r>
          </w:p>
        </w:tc>
      </w:tr>
      <w:tr w:rsidR="00EB245A" w14:paraId="1F94A379" w14:textId="77777777" w:rsidTr="00396F21">
        <w:trPr>
          <w:trHeight w:val="309"/>
          <w:jc w:val="center"/>
        </w:trPr>
        <w:tc>
          <w:tcPr>
            <w:tcW w:w="803" w:type="dxa"/>
            <w:tcBorders>
              <w:top w:val="nil"/>
              <w:left w:val="single" w:sz="4" w:space="0" w:color="auto"/>
              <w:bottom w:val="single" w:sz="4" w:space="0" w:color="auto"/>
              <w:right w:val="single" w:sz="4" w:space="0" w:color="auto"/>
            </w:tcBorders>
            <w:shd w:val="clear" w:color="auto" w:fill="C6EFCE"/>
            <w:noWrap/>
          </w:tcPr>
          <w:p w14:paraId="185C267D" w14:textId="35632962" w:rsidR="00EB245A" w:rsidRDefault="006021EE">
            <w:pPr>
              <w:pStyle w:val="P68B1DB1-Normal26"/>
              <w:spacing w:after="0" w:line="240" w:lineRule="auto"/>
              <w:jc w:val="center"/>
              <w:rPr>
                <w:rFonts w:eastAsia="Times New Roman" w:cs="Times New Roman"/>
                <w:noProof/>
              </w:rPr>
            </w:pPr>
            <w:r>
              <w:rPr>
                <w:noProof/>
              </w:rPr>
              <w:t>G18L</w:t>
            </w:r>
          </w:p>
        </w:tc>
        <w:tc>
          <w:tcPr>
            <w:tcW w:w="1461" w:type="dxa"/>
            <w:tcBorders>
              <w:top w:val="nil"/>
              <w:left w:val="nil"/>
              <w:bottom w:val="single" w:sz="4" w:space="0" w:color="auto"/>
              <w:right w:val="single" w:sz="4" w:space="0" w:color="auto"/>
            </w:tcBorders>
            <w:shd w:val="clear" w:color="auto" w:fill="C6EFCE"/>
            <w:noWrap/>
          </w:tcPr>
          <w:p w14:paraId="223D4355" w14:textId="7D6FA20E" w:rsidR="00EB245A" w:rsidRDefault="006021EE">
            <w:pPr>
              <w:pStyle w:val="P68B1DB1-Normal26"/>
              <w:spacing w:after="0" w:line="240" w:lineRule="auto"/>
              <w:rPr>
                <w:rFonts w:eastAsia="Times New Roman" w:cs="Times New Roman"/>
                <w:noProof/>
              </w:rPr>
            </w:pPr>
            <w:r>
              <w:rPr>
                <w:noProof/>
              </w:rPr>
              <w:t>G3.1.5 Bau von Offshore-Windparks (Offshore-Windenergiefonds)</w:t>
            </w:r>
          </w:p>
        </w:tc>
        <w:tc>
          <w:tcPr>
            <w:tcW w:w="1275" w:type="dxa"/>
            <w:tcBorders>
              <w:top w:val="nil"/>
              <w:left w:val="nil"/>
              <w:bottom w:val="single" w:sz="4" w:space="0" w:color="auto"/>
              <w:right w:val="single" w:sz="4" w:space="0" w:color="auto"/>
            </w:tcBorders>
            <w:shd w:val="clear" w:color="auto" w:fill="C6EFCE"/>
            <w:noWrap/>
          </w:tcPr>
          <w:p w14:paraId="234CD704" w14:textId="77777777" w:rsidR="00EB245A" w:rsidRDefault="006021EE">
            <w:pPr>
              <w:pStyle w:val="P68B1DB1-Normal26"/>
              <w:spacing w:after="0" w:line="240" w:lineRule="auto"/>
              <w:rPr>
                <w:rFonts w:eastAsia="Times New Roman" w:cs="Times New Roman"/>
                <w:noProof/>
              </w:rPr>
            </w:pPr>
            <w:r>
              <w:rPr>
                <w:noProof/>
              </w:rPr>
              <w:t>Ziel</w:t>
            </w:r>
          </w:p>
        </w:tc>
        <w:tc>
          <w:tcPr>
            <w:tcW w:w="1650" w:type="dxa"/>
            <w:tcBorders>
              <w:top w:val="nil"/>
              <w:left w:val="nil"/>
              <w:bottom w:val="single" w:sz="4" w:space="0" w:color="auto"/>
              <w:right w:val="single" w:sz="4" w:space="0" w:color="auto"/>
            </w:tcBorders>
            <w:shd w:val="clear" w:color="auto" w:fill="C6EFCE"/>
            <w:noWrap/>
          </w:tcPr>
          <w:p w14:paraId="55E184B3" w14:textId="77777777" w:rsidR="00EB245A" w:rsidRDefault="006021EE">
            <w:pPr>
              <w:pStyle w:val="P68B1DB1-Normal26"/>
              <w:spacing w:after="0" w:line="240" w:lineRule="auto"/>
              <w:rPr>
                <w:rFonts w:eastAsia="Times New Roman" w:cs="Times New Roman"/>
                <w:noProof/>
              </w:rPr>
            </w:pPr>
            <w:r>
              <w:rPr>
                <w:noProof/>
              </w:rPr>
              <w:t xml:space="preserve">Mit den Endbegünstigten unterzeichnete </w:t>
            </w:r>
            <w:r>
              <w:rPr>
                <w:noProof/>
              </w:rPr>
              <w:t>rechtliche Vereinbarungen</w:t>
            </w:r>
          </w:p>
        </w:tc>
        <w:tc>
          <w:tcPr>
            <w:tcW w:w="1894" w:type="dxa"/>
            <w:tcBorders>
              <w:top w:val="nil"/>
              <w:left w:val="nil"/>
              <w:bottom w:val="single" w:sz="4" w:space="0" w:color="auto"/>
              <w:right w:val="single" w:sz="4" w:space="0" w:color="auto"/>
            </w:tcBorders>
            <w:shd w:val="clear" w:color="auto" w:fill="C6EFCE"/>
            <w:noWrap/>
          </w:tcPr>
          <w:p w14:paraId="47ACB579" w14:textId="77777777" w:rsidR="00EB245A" w:rsidRDefault="00EB245A">
            <w:pPr>
              <w:spacing w:after="0" w:line="240" w:lineRule="auto"/>
              <w:rPr>
                <w:rFonts w:ascii="Times New Roman" w:eastAsia="Times New Roman" w:hAnsi="Times New Roman" w:cs="Times New Roman"/>
                <w:noProof/>
                <w:sz w:val="18"/>
              </w:rPr>
            </w:pPr>
          </w:p>
        </w:tc>
        <w:tc>
          <w:tcPr>
            <w:tcW w:w="1134" w:type="dxa"/>
            <w:tcBorders>
              <w:top w:val="nil"/>
              <w:left w:val="nil"/>
              <w:bottom w:val="single" w:sz="4" w:space="0" w:color="auto"/>
              <w:right w:val="single" w:sz="4" w:space="0" w:color="auto"/>
            </w:tcBorders>
            <w:shd w:val="clear" w:color="auto" w:fill="C6EFCE"/>
            <w:noWrap/>
          </w:tcPr>
          <w:p w14:paraId="47BAB2C1" w14:textId="77777777" w:rsidR="00EB245A" w:rsidRDefault="006021EE">
            <w:pPr>
              <w:pStyle w:val="P68B1DB1-Normal26"/>
              <w:spacing w:after="0" w:line="240" w:lineRule="auto"/>
              <w:rPr>
                <w:rFonts w:eastAsia="Times New Roman" w:cs="Times New Roman"/>
                <w:noProof/>
              </w:rPr>
            </w:pPr>
            <w:r>
              <w:rPr>
                <w:noProof/>
              </w:rPr>
              <w:t>Prozentsatz (%)</w:t>
            </w:r>
          </w:p>
        </w:tc>
        <w:tc>
          <w:tcPr>
            <w:tcW w:w="1276" w:type="dxa"/>
            <w:tcBorders>
              <w:top w:val="nil"/>
              <w:left w:val="nil"/>
              <w:bottom w:val="single" w:sz="4" w:space="0" w:color="auto"/>
              <w:right w:val="single" w:sz="4" w:space="0" w:color="auto"/>
            </w:tcBorders>
            <w:shd w:val="clear" w:color="auto" w:fill="C6EFCE"/>
            <w:noWrap/>
          </w:tcPr>
          <w:p w14:paraId="6068811C" w14:textId="77777777" w:rsidR="00EB245A" w:rsidRDefault="006021EE">
            <w:pPr>
              <w:pStyle w:val="P68B1DB1-Normal26"/>
              <w:spacing w:after="0" w:line="240" w:lineRule="auto"/>
              <w:jc w:val="center"/>
              <w:rPr>
                <w:rFonts w:eastAsia="Times New Roman" w:cs="Times New Roman"/>
                <w:noProof/>
              </w:rPr>
            </w:pPr>
            <w:r>
              <w:rPr>
                <w:noProof/>
              </w:rPr>
              <w:t>40 %</w:t>
            </w:r>
          </w:p>
        </w:tc>
        <w:tc>
          <w:tcPr>
            <w:tcW w:w="708" w:type="dxa"/>
            <w:tcBorders>
              <w:top w:val="nil"/>
              <w:left w:val="nil"/>
              <w:bottom w:val="single" w:sz="4" w:space="0" w:color="auto"/>
              <w:right w:val="single" w:sz="4" w:space="0" w:color="auto"/>
            </w:tcBorders>
            <w:shd w:val="clear" w:color="auto" w:fill="C6EFCE"/>
            <w:noWrap/>
          </w:tcPr>
          <w:p w14:paraId="242DF7B3" w14:textId="77777777" w:rsidR="00EB245A" w:rsidRDefault="006021EE">
            <w:pPr>
              <w:pStyle w:val="P68B1DB1-Normal26"/>
              <w:spacing w:after="0" w:line="240" w:lineRule="auto"/>
              <w:jc w:val="center"/>
              <w:rPr>
                <w:rFonts w:eastAsia="Times New Roman" w:cs="Times New Roman"/>
                <w:noProof/>
              </w:rPr>
            </w:pPr>
            <w:r>
              <w:rPr>
                <w:noProof/>
              </w:rPr>
              <w:t>100 %</w:t>
            </w:r>
          </w:p>
        </w:tc>
        <w:tc>
          <w:tcPr>
            <w:tcW w:w="1134" w:type="dxa"/>
            <w:tcBorders>
              <w:top w:val="nil"/>
              <w:left w:val="nil"/>
              <w:bottom w:val="single" w:sz="4" w:space="0" w:color="auto"/>
              <w:right w:val="single" w:sz="4" w:space="0" w:color="auto"/>
            </w:tcBorders>
            <w:shd w:val="clear" w:color="auto" w:fill="C6EFCE"/>
            <w:noWrap/>
          </w:tcPr>
          <w:p w14:paraId="1284506B" w14:textId="77777777" w:rsidR="00EB245A" w:rsidRDefault="006021EE">
            <w:pPr>
              <w:pStyle w:val="P68B1DB1-Normal26"/>
              <w:spacing w:after="0" w:line="240" w:lineRule="auto"/>
              <w:jc w:val="center"/>
              <w:rPr>
                <w:rFonts w:eastAsia="Times New Roman" w:cs="Times New Roman"/>
                <w:noProof/>
              </w:rPr>
            </w:pPr>
            <w:r>
              <w:rPr>
                <w:noProof/>
              </w:rPr>
              <w:t>Q3</w:t>
            </w:r>
          </w:p>
        </w:tc>
        <w:tc>
          <w:tcPr>
            <w:tcW w:w="1134" w:type="dxa"/>
            <w:tcBorders>
              <w:top w:val="nil"/>
              <w:left w:val="nil"/>
              <w:bottom w:val="single" w:sz="4" w:space="0" w:color="auto"/>
              <w:right w:val="single" w:sz="4" w:space="0" w:color="auto"/>
            </w:tcBorders>
            <w:shd w:val="clear" w:color="auto" w:fill="C6EFCE"/>
            <w:noWrap/>
          </w:tcPr>
          <w:p w14:paraId="790DC9CC" w14:textId="77777777" w:rsidR="00EB245A" w:rsidRDefault="006021EE">
            <w:pPr>
              <w:pStyle w:val="P68B1DB1-Normal26"/>
              <w:spacing w:after="0" w:line="240" w:lineRule="auto"/>
              <w:jc w:val="center"/>
              <w:rPr>
                <w:rFonts w:eastAsia="Times New Roman" w:cs="Times New Roman"/>
                <w:noProof/>
              </w:rPr>
            </w:pPr>
            <w:r>
              <w:rPr>
                <w:noProof/>
              </w:rPr>
              <w:t>2026</w:t>
            </w:r>
          </w:p>
        </w:tc>
        <w:tc>
          <w:tcPr>
            <w:tcW w:w="2840" w:type="dxa"/>
            <w:tcBorders>
              <w:top w:val="nil"/>
              <w:left w:val="nil"/>
              <w:bottom w:val="single" w:sz="4" w:space="0" w:color="auto"/>
              <w:right w:val="single" w:sz="4" w:space="0" w:color="auto"/>
            </w:tcBorders>
            <w:shd w:val="clear" w:color="auto" w:fill="C6EFCE"/>
            <w:noWrap/>
          </w:tcPr>
          <w:p w14:paraId="21038867" w14:textId="77777777" w:rsidR="00EB245A" w:rsidRDefault="006021EE">
            <w:pPr>
              <w:pStyle w:val="P68B1DB1-Normal26"/>
              <w:spacing w:after="0" w:line="240" w:lineRule="auto"/>
              <w:rPr>
                <w:rFonts w:eastAsia="Times New Roman" w:cs="Times New Roman"/>
                <w:noProof/>
              </w:rPr>
            </w:pPr>
            <w:r>
              <w:rPr>
                <w:noProof/>
              </w:rPr>
              <w:t>BGK muss rechtliche Finanzierungsvereinbarungen mit Endbegünstigten über einen Betrag geschlossen haben, der erforderlich ist, um 100 % der ARF-Investitionen in die Fazilität zu nutzen (unter Be</w:t>
            </w:r>
            <w:r>
              <w:rPr>
                <w:noProof/>
              </w:rPr>
              <w:t>rücksichtigung der Verwaltungsgebühren).</w:t>
            </w:r>
          </w:p>
        </w:tc>
      </w:tr>
      <w:tr w:rsidR="00EB245A" w14:paraId="3134BF24" w14:textId="77777777" w:rsidTr="00396F21">
        <w:trPr>
          <w:trHeight w:val="309"/>
          <w:jc w:val="center"/>
        </w:trPr>
        <w:tc>
          <w:tcPr>
            <w:tcW w:w="803" w:type="dxa"/>
            <w:tcBorders>
              <w:top w:val="nil"/>
              <w:left w:val="single" w:sz="4" w:space="0" w:color="auto"/>
              <w:bottom w:val="single" w:sz="4" w:space="0" w:color="auto"/>
              <w:right w:val="single" w:sz="4" w:space="0" w:color="auto"/>
            </w:tcBorders>
            <w:shd w:val="clear" w:color="auto" w:fill="C6EFCE"/>
            <w:noWrap/>
          </w:tcPr>
          <w:p w14:paraId="24501A72" w14:textId="38377483" w:rsidR="00EB245A" w:rsidRDefault="006021EE">
            <w:pPr>
              <w:pStyle w:val="P68B1DB1-Normal26"/>
              <w:spacing w:after="0" w:line="240" w:lineRule="auto"/>
              <w:jc w:val="center"/>
              <w:rPr>
                <w:rFonts w:eastAsia="Times New Roman" w:cs="Times New Roman"/>
                <w:noProof/>
              </w:rPr>
            </w:pPr>
            <w:r>
              <w:rPr>
                <w:noProof/>
              </w:rPr>
              <w:t>G19L</w:t>
            </w:r>
          </w:p>
        </w:tc>
        <w:tc>
          <w:tcPr>
            <w:tcW w:w="1461" w:type="dxa"/>
            <w:tcBorders>
              <w:top w:val="nil"/>
              <w:left w:val="nil"/>
              <w:bottom w:val="single" w:sz="4" w:space="0" w:color="auto"/>
              <w:right w:val="single" w:sz="4" w:space="0" w:color="auto"/>
            </w:tcBorders>
            <w:shd w:val="clear" w:color="auto" w:fill="C6EFCE"/>
            <w:noWrap/>
          </w:tcPr>
          <w:p w14:paraId="301357D0" w14:textId="3EA8F7B6" w:rsidR="00EB245A" w:rsidRDefault="006021EE">
            <w:pPr>
              <w:pStyle w:val="P68B1DB1-Normal26"/>
              <w:spacing w:after="0" w:line="240" w:lineRule="auto"/>
              <w:rPr>
                <w:rFonts w:eastAsia="Times New Roman" w:cs="Times New Roman"/>
                <w:noProof/>
              </w:rPr>
            </w:pPr>
            <w:r>
              <w:rPr>
                <w:noProof/>
              </w:rPr>
              <w:t>G3.1.5 Bau von Offshore-Windparks (Offshore-Windenergiefonds)</w:t>
            </w:r>
          </w:p>
        </w:tc>
        <w:tc>
          <w:tcPr>
            <w:tcW w:w="1275" w:type="dxa"/>
            <w:tcBorders>
              <w:top w:val="nil"/>
              <w:left w:val="nil"/>
              <w:bottom w:val="single" w:sz="4" w:space="0" w:color="auto"/>
              <w:right w:val="single" w:sz="4" w:space="0" w:color="auto"/>
            </w:tcBorders>
            <w:shd w:val="clear" w:color="auto" w:fill="C6EFCE"/>
            <w:noWrap/>
          </w:tcPr>
          <w:p w14:paraId="711C9C94" w14:textId="77777777" w:rsidR="00EB245A" w:rsidRDefault="006021EE">
            <w:pPr>
              <w:pStyle w:val="P68B1DB1-Normal26"/>
              <w:spacing w:after="0" w:line="240" w:lineRule="auto"/>
              <w:rPr>
                <w:rFonts w:eastAsia="Times New Roman" w:cs="Times New Roman"/>
                <w:noProof/>
              </w:rPr>
            </w:pPr>
            <w:r>
              <w:rPr>
                <w:noProof/>
              </w:rPr>
              <w:t>Meilenstein</w:t>
            </w:r>
          </w:p>
        </w:tc>
        <w:tc>
          <w:tcPr>
            <w:tcW w:w="1650" w:type="dxa"/>
            <w:tcBorders>
              <w:top w:val="nil"/>
              <w:left w:val="nil"/>
              <w:bottom w:val="single" w:sz="4" w:space="0" w:color="auto"/>
              <w:right w:val="single" w:sz="4" w:space="0" w:color="auto"/>
            </w:tcBorders>
            <w:shd w:val="clear" w:color="auto" w:fill="C6EFCE"/>
            <w:noWrap/>
          </w:tcPr>
          <w:p w14:paraId="71AFC7AF" w14:textId="77777777" w:rsidR="00EB245A" w:rsidRDefault="006021EE">
            <w:pPr>
              <w:pStyle w:val="P68B1DB1-Normal26"/>
              <w:spacing w:after="0" w:line="240" w:lineRule="auto"/>
              <w:rPr>
                <w:rFonts w:eastAsia="Times New Roman" w:cs="Times New Roman"/>
                <w:noProof/>
              </w:rPr>
            </w:pPr>
            <w:r>
              <w:rPr>
                <w:noProof/>
              </w:rPr>
              <w:t>Das Ministerium hat die Investition abgeschlossen.</w:t>
            </w:r>
          </w:p>
        </w:tc>
        <w:tc>
          <w:tcPr>
            <w:tcW w:w="1894" w:type="dxa"/>
            <w:tcBorders>
              <w:top w:val="nil"/>
              <w:left w:val="nil"/>
              <w:bottom w:val="single" w:sz="4" w:space="0" w:color="auto"/>
              <w:right w:val="single" w:sz="4" w:space="0" w:color="auto"/>
            </w:tcBorders>
            <w:shd w:val="clear" w:color="auto" w:fill="C6EFCE"/>
            <w:noWrap/>
          </w:tcPr>
          <w:p w14:paraId="7F8C7064" w14:textId="77777777" w:rsidR="00EB245A" w:rsidRDefault="006021EE">
            <w:pPr>
              <w:pStyle w:val="P68B1DB1-Normal26"/>
              <w:spacing w:after="0" w:line="240" w:lineRule="auto"/>
              <w:rPr>
                <w:rFonts w:eastAsia="Times New Roman" w:cs="Times New Roman"/>
                <w:noProof/>
              </w:rPr>
            </w:pPr>
            <w:r>
              <w:rPr>
                <w:noProof/>
              </w:rPr>
              <w:t xml:space="preserve">Übertragungsbescheinigung  </w:t>
            </w:r>
          </w:p>
        </w:tc>
        <w:tc>
          <w:tcPr>
            <w:tcW w:w="1134" w:type="dxa"/>
            <w:tcBorders>
              <w:top w:val="nil"/>
              <w:left w:val="nil"/>
              <w:bottom w:val="single" w:sz="4" w:space="0" w:color="auto"/>
              <w:right w:val="single" w:sz="4" w:space="0" w:color="auto"/>
            </w:tcBorders>
            <w:shd w:val="clear" w:color="auto" w:fill="C6EFCE"/>
            <w:noWrap/>
          </w:tcPr>
          <w:p w14:paraId="49C0BB37" w14:textId="77777777" w:rsidR="00EB245A" w:rsidRDefault="00EB245A">
            <w:pPr>
              <w:spacing w:after="0" w:line="240" w:lineRule="auto"/>
              <w:rPr>
                <w:rFonts w:ascii="Times New Roman" w:eastAsia="Times New Roman" w:hAnsi="Times New Roman" w:cs="Times New Roman"/>
                <w:noProof/>
                <w:sz w:val="18"/>
              </w:rPr>
            </w:pPr>
          </w:p>
        </w:tc>
        <w:tc>
          <w:tcPr>
            <w:tcW w:w="1276" w:type="dxa"/>
            <w:tcBorders>
              <w:top w:val="nil"/>
              <w:left w:val="nil"/>
              <w:bottom w:val="single" w:sz="4" w:space="0" w:color="auto"/>
              <w:right w:val="single" w:sz="4" w:space="0" w:color="auto"/>
            </w:tcBorders>
            <w:shd w:val="clear" w:color="auto" w:fill="C6EFCE"/>
            <w:noWrap/>
          </w:tcPr>
          <w:p w14:paraId="01DB15CF" w14:textId="77777777" w:rsidR="00EB245A" w:rsidRDefault="00EB245A">
            <w:pPr>
              <w:spacing w:after="0" w:line="240" w:lineRule="auto"/>
              <w:jc w:val="center"/>
              <w:rPr>
                <w:rFonts w:ascii="Times New Roman" w:eastAsia="Times New Roman" w:hAnsi="Times New Roman" w:cs="Times New Roman"/>
                <w:noProof/>
                <w:sz w:val="18"/>
              </w:rPr>
            </w:pPr>
          </w:p>
        </w:tc>
        <w:tc>
          <w:tcPr>
            <w:tcW w:w="708" w:type="dxa"/>
            <w:tcBorders>
              <w:top w:val="nil"/>
              <w:left w:val="nil"/>
              <w:bottom w:val="single" w:sz="4" w:space="0" w:color="auto"/>
              <w:right w:val="single" w:sz="4" w:space="0" w:color="auto"/>
            </w:tcBorders>
            <w:shd w:val="clear" w:color="auto" w:fill="C6EFCE"/>
            <w:noWrap/>
          </w:tcPr>
          <w:p w14:paraId="4CE05E18" w14:textId="77777777" w:rsidR="00EB245A" w:rsidRDefault="00EB245A">
            <w:pPr>
              <w:spacing w:after="0" w:line="240" w:lineRule="auto"/>
              <w:jc w:val="center"/>
              <w:rPr>
                <w:rFonts w:ascii="Times New Roman" w:eastAsia="Times New Roman" w:hAnsi="Times New Roman" w:cs="Times New Roman"/>
                <w:noProof/>
                <w:sz w:val="18"/>
              </w:rPr>
            </w:pPr>
          </w:p>
        </w:tc>
        <w:tc>
          <w:tcPr>
            <w:tcW w:w="1134" w:type="dxa"/>
            <w:tcBorders>
              <w:top w:val="nil"/>
              <w:left w:val="nil"/>
              <w:bottom w:val="single" w:sz="4" w:space="0" w:color="auto"/>
              <w:right w:val="single" w:sz="4" w:space="0" w:color="auto"/>
            </w:tcBorders>
            <w:shd w:val="clear" w:color="auto" w:fill="C6EFCE"/>
            <w:noWrap/>
          </w:tcPr>
          <w:p w14:paraId="5686ABE4" w14:textId="77777777" w:rsidR="00EB245A" w:rsidRDefault="006021EE">
            <w:pPr>
              <w:pStyle w:val="P68B1DB1-Normal26"/>
              <w:spacing w:after="0" w:line="240" w:lineRule="auto"/>
              <w:jc w:val="center"/>
              <w:rPr>
                <w:rFonts w:eastAsia="Times New Roman" w:cs="Times New Roman"/>
                <w:noProof/>
              </w:rPr>
            </w:pPr>
            <w:r>
              <w:rPr>
                <w:noProof/>
              </w:rPr>
              <w:t>Q3</w:t>
            </w:r>
          </w:p>
        </w:tc>
        <w:tc>
          <w:tcPr>
            <w:tcW w:w="1134" w:type="dxa"/>
            <w:tcBorders>
              <w:top w:val="nil"/>
              <w:left w:val="nil"/>
              <w:bottom w:val="single" w:sz="4" w:space="0" w:color="auto"/>
              <w:right w:val="single" w:sz="4" w:space="0" w:color="auto"/>
            </w:tcBorders>
            <w:shd w:val="clear" w:color="auto" w:fill="C6EFCE"/>
            <w:noWrap/>
          </w:tcPr>
          <w:p w14:paraId="077D2D43" w14:textId="77777777" w:rsidR="00EB245A" w:rsidRDefault="006021EE">
            <w:pPr>
              <w:pStyle w:val="P68B1DB1-Normal26"/>
              <w:spacing w:after="0" w:line="240" w:lineRule="auto"/>
              <w:jc w:val="center"/>
              <w:rPr>
                <w:rFonts w:eastAsia="Times New Roman" w:cs="Times New Roman"/>
                <w:noProof/>
              </w:rPr>
            </w:pPr>
            <w:r>
              <w:rPr>
                <w:noProof/>
              </w:rPr>
              <w:t>2026</w:t>
            </w:r>
          </w:p>
        </w:tc>
        <w:tc>
          <w:tcPr>
            <w:tcW w:w="2840" w:type="dxa"/>
            <w:tcBorders>
              <w:top w:val="nil"/>
              <w:left w:val="nil"/>
              <w:bottom w:val="single" w:sz="4" w:space="0" w:color="auto"/>
              <w:right w:val="single" w:sz="4" w:space="0" w:color="auto"/>
            </w:tcBorders>
            <w:shd w:val="clear" w:color="auto" w:fill="C6EFCE"/>
            <w:noWrap/>
          </w:tcPr>
          <w:p w14:paraId="683E183D" w14:textId="11471113" w:rsidR="00EB245A" w:rsidRDefault="006021EE">
            <w:pPr>
              <w:pStyle w:val="P68B1DB1-Normal26"/>
              <w:spacing w:after="0" w:line="240" w:lineRule="auto"/>
              <w:rPr>
                <w:rFonts w:eastAsia="Times New Roman" w:cs="Times New Roman"/>
                <w:noProof/>
              </w:rPr>
            </w:pPr>
            <w:r>
              <w:rPr>
                <w:noProof/>
              </w:rPr>
              <w:t xml:space="preserve">Polen überträgt 4 785 000 000 EUR an BGK für </w:t>
            </w:r>
            <w:r>
              <w:rPr>
                <w:noProof/>
              </w:rPr>
              <w:t>die Fazilität.</w:t>
            </w:r>
          </w:p>
        </w:tc>
      </w:tr>
    </w:tbl>
    <w:p w14:paraId="4F959FE5" w14:textId="77777777" w:rsidR="00EB245A" w:rsidRDefault="00EB245A">
      <w:pPr>
        <w:spacing w:before="120" w:after="120" w:line="240" w:lineRule="auto"/>
        <w:jc w:val="both"/>
        <w:rPr>
          <w:rFonts w:ascii="Times New Roman" w:hAnsi="Times New Roman" w:cs="Times New Roman"/>
          <w:noProof/>
          <w:sz w:val="24"/>
        </w:rPr>
      </w:pPr>
    </w:p>
    <w:p w14:paraId="4DE5C31D" w14:textId="6E4BFC2C" w:rsidR="00EB245A" w:rsidRDefault="006021EE">
      <w:pPr>
        <w:pStyle w:val="P68B1DB1-Text14"/>
        <w:keepNext/>
        <w:pageBreakBefore/>
        <w:ind w:left="0"/>
        <w:rPr>
          <w:noProof/>
        </w:rPr>
      </w:pPr>
      <w:r>
        <w:rPr>
          <w:noProof/>
        </w:rPr>
        <w:t>Teilkomponente G3.2 – Verbesserung der Energieinfrastruktur und der Energieanlagen zur Deckung des unmittelbaren Bedarfs an Gasversorgungssicherheit</w:t>
      </w:r>
    </w:p>
    <w:tbl>
      <w:tblPr>
        <w:tblW w:w="15309" w:type="dxa"/>
        <w:jc w:val="center"/>
        <w:tblLayout w:type="fixed"/>
        <w:tblLook w:val="04A0" w:firstRow="1" w:lastRow="0" w:firstColumn="1" w:lastColumn="0" w:noHBand="0" w:noVBand="1"/>
      </w:tblPr>
      <w:tblGrid>
        <w:gridCol w:w="803"/>
        <w:gridCol w:w="1461"/>
        <w:gridCol w:w="1275"/>
        <w:gridCol w:w="1650"/>
        <w:gridCol w:w="1894"/>
        <w:gridCol w:w="1276"/>
        <w:gridCol w:w="1275"/>
        <w:gridCol w:w="851"/>
        <w:gridCol w:w="992"/>
        <w:gridCol w:w="992"/>
        <w:gridCol w:w="2840"/>
      </w:tblGrid>
      <w:tr w:rsidR="00EB245A" w14:paraId="35D19366" w14:textId="77777777" w:rsidTr="00D05E52">
        <w:trPr>
          <w:trHeight w:val="752"/>
          <w:tblHeader/>
          <w:jc w:val="center"/>
        </w:trPr>
        <w:tc>
          <w:tcPr>
            <w:tcW w:w="80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C120775" w14:textId="77777777" w:rsidR="00EB245A" w:rsidRDefault="006021EE">
            <w:pPr>
              <w:pStyle w:val="P68B1DB1-Normal41"/>
              <w:spacing w:after="0" w:line="240" w:lineRule="auto"/>
              <w:jc w:val="center"/>
              <w:rPr>
                <w:rFonts w:eastAsia="Times New Roman" w:cs="Times New Roman"/>
                <w:noProof/>
              </w:rPr>
            </w:pPr>
            <w:r>
              <w:rPr>
                <w:noProof/>
              </w:rPr>
              <w:t>Lfd. Nr. Nr.</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AB4EAA5" w14:textId="77777777" w:rsidR="00EB245A" w:rsidRDefault="006021EE">
            <w:pPr>
              <w:pStyle w:val="P68B1DB1-Normal42"/>
              <w:spacing w:after="0" w:line="240" w:lineRule="auto"/>
              <w:jc w:val="center"/>
              <w:rPr>
                <w:rFonts w:eastAsia="Times New Roman" w:cs="Times New Roman"/>
                <w:noProof/>
                <w:sz w:val="24"/>
              </w:rPr>
            </w:pPr>
            <w:r>
              <w:rPr>
                <w:noProof/>
              </w:rPr>
              <w:t>Verbundene Maßnahme (Reform oder Investition)</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99A9F4C" w14:textId="77777777" w:rsidR="00EB245A" w:rsidRDefault="006021EE">
            <w:pPr>
              <w:pStyle w:val="P68B1DB1-Normal42"/>
              <w:spacing w:after="0" w:line="240" w:lineRule="auto"/>
              <w:jc w:val="center"/>
              <w:rPr>
                <w:rFonts w:eastAsia="Times New Roman" w:cs="Times New Roman"/>
                <w:noProof/>
                <w:sz w:val="24"/>
              </w:rPr>
            </w:pPr>
            <w:r>
              <w:rPr>
                <w:noProof/>
              </w:rPr>
              <w:t>Etappenziel/Zielwert</w:t>
            </w:r>
          </w:p>
        </w:tc>
        <w:tc>
          <w:tcPr>
            <w:tcW w:w="165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BDDFAE7" w14:textId="77777777" w:rsidR="00EB245A" w:rsidRDefault="006021EE">
            <w:pPr>
              <w:pStyle w:val="P68B1DB1-Normal42"/>
              <w:spacing w:after="0" w:line="240" w:lineRule="auto"/>
              <w:jc w:val="center"/>
              <w:rPr>
                <w:rFonts w:eastAsia="Times New Roman" w:cs="Times New Roman"/>
                <w:noProof/>
                <w:sz w:val="24"/>
              </w:rPr>
            </w:pPr>
            <w:r>
              <w:rPr>
                <w:noProof/>
              </w:rPr>
              <w:t>Namen</w:t>
            </w:r>
          </w:p>
        </w:tc>
        <w:tc>
          <w:tcPr>
            <w:tcW w:w="189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DEF5706" w14:textId="77777777" w:rsidR="00EB245A" w:rsidRDefault="006021EE">
            <w:pPr>
              <w:spacing w:after="0" w:line="240" w:lineRule="auto"/>
              <w:jc w:val="center"/>
              <w:rPr>
                <w:rFonts w:ascii="Times New Roman" w:eastAsia="Times New Roman" w:hAnsi="Times New Roman" w:cs="Times New Roman"/>
                <w:b/>
                <w:noProof/>
                <w:sz w:val="24"/>
              </w:rPr>
            </w:pPr>
            <w:r>
              <w:rPr>
                <w:rFonts w:ascii="Times New Roman" w:hAnsi="Times New Roman"/>
                <w:b/>
                <w:noProof/>
                <w:color w:val="000000"/>
                <w:sz w:val="18"/>
              </w:rPr>
              <w:t>Etappenziel/Zielwert</w:t>
            </w:r>
            <w:r>
              <w:rPr>
                <w:noProof/>
              </w:rPr>
              <w:t xml:space="preserve">  </w:t>
            </w:r>
            <w:r>
              <w:rPr>
                <w:noProof/>
              </w:rPr>
              <w:br/>
            </w:r>
            <w:r>
              <w:rPr>
                <w:rFonts w:ascii="Times New Roman" w:hAnsi="Times New Roman"/>
                <w:b/>
                <w:noProof/>
                <w:color w:val="000000"/>
                <w:sz w:val="18"/>
              </w:rPr>
              <w:t>(für Etappenziele)</w:t>
            </w:r>
          </w:p>
        </w:tc>
        <w:tc>
          <w:tcPr>
            <w:tcW w:w="3402"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01EA3243" w14:textId="77777777" w:rsidR="00EB245A" w:rsidRDefault="006021EE">
            <w:pPr>
              <w:spacing w:after="0" w:line="240" w:lineRule="auto"/>
              <w:jc w:val="center"/>
              <w:rPr>
                <w:rFonts w:ascii="Times New Roman" w:eastAsia="Times New Roman" w:hAnsi="Times New Roman" w:cs="Times New Roman"/>
                <w:b/>
                <w:noProof/>
                <w:sz w:val="24"/>
              </w:rPr>
            </w:pPr>
            <w:r>
              <w:rPr>
                <w:rFonts w:ascii="Times New Roman" w:hAnsi="Times New Roman"/>
                <w:b/>
                <w:noProof/>
                <w:color w:val="000000"/>
                <w:sz w:val="18"/>
              </w:rPr>
              <w:t>Qualitative Indikatoren (für Etappenziele)</w:t>
            </w:r>
            <w:r>
              <w:rPr>
                <w:noProof/>
              </w:rPr>
              <w:t xml:space="preserve">  </w:t>
            </w:r>
            <w:r>
              <w:rPr>
                <w:noProof/>
              </w:rPr>
              <w:br/>
            </w:r>
            <w:r>
              <w:rPr>
                <w:rFonts w:ascii="Times New Roman" w:hAnsi="Times New Roman"/>
                <w:b/>
                <w:noProof/>
                <w:color w:val="000000"/>
                <w:sz w:val="18"/>
              </w:rPr>
              <w:t>(für Ziele)</w:t>
            </w:r>
          </w:p>
        </w:tc>
        <w:tc>
          <w:tcPr>
            <w:tcW w:w="1984" w:type="dxa"/>
            <w:gridSpan w:val="2"/>
            <w:tcBorders>
              <w:top w:val="single" w:sz="4" w:space="0" w:color="auto"/>
              <w:left w:val="nil"/>
              <w:bottom w:val="single" w:sz="4" w:space="0" w:color="auto"/>
              <w:right w:val="single" w:sz="4" w:space="0" w:color="auto"/>
            </w:tcBorders>
            <w:shd w:val="clear" w:color="auto" w:fill="BDD7EE"/>
            <w:vAlign w:val="center"/>
            <w:hideMark/>
          </w:tcPr>
          <w:p w14:paraId="1096E6D8" w14:textId="77777777" w:rsidR="00EB245A" w:rsidRDefault="006021EE">
            <w:pPr>
              <w:pStyle w:val="P68B1DB1-Normal42"/>
              <w:spacing w:after="0" w:line="240" w:lineRule="auto"/>
              <w:jc w:val="center"/>
              <w:rPr>
                <w:rFonts w:eastAsia="Times New Roman" w:cs="Times New Roman"/>
                <w:noProof/>
                <w:sz w:val="24"/>
              </w:rPr>
            </w:pPr>
            <w:r>
              <w:rPr>
                <w:noProof/>
              </w:rPr>
              <w:t>Vorläufiger Zeitplan für die Fertigstellung</w:t>
            </w:r>
          </w:p>
        </w:tc>
        <w:tc>
          <w:tcPr>
            <w:tcW w:w="284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822B049" w14:textId="77777777" w:rsidR="00EB245A" w:rsidRDefault="006021EE">
            <w:pPr>
              <w:pStyle w:val="P68B1DB1-Normal42"/>
              <w:spacing w:after="0" w:line="240" w:lineRule="auto"/>
              <w:jc w:val="center"/>
              <w:rPr>
                <w:rFonts w:eastAsia="Times New Roman" w:cs="Times New Roman"/>
                <w:noProof/>
                <w:sz w:val="24"/>
              </w:rPr>
            </w:pPr>
            <w:r>
              <w:rPr>
                <w:noProof/>
              </w:rPr>
              <w:t>Beschreibung der einzelnen Etappenziele und Zielvorgaben</w:t>
            </w:r>
          </w:p>
        </w:tc>
      </w:tr>
      <w:tr w:rsidR="00EB245A" w14:paraId="4547436C" w14:textId="77777777" w:rsidTr="00D05E52">
        <w:trPr>
          <w:trHeight w:val="705"/>
          <w:tblHeader/>
          <w:jc w:val="center"/>
        </w:trPr>
        <w:tc>
          <w:tcPr>
            <w:tcW w:w="803" w:type="dxa"/>
            <w:vMerge/>
            <w:tcBorders>
              <w:top w:val="single" w:sz="4" w:space="0" w:color="auto"/>
              <w:left w:val="single" w:sz="4" w:space="0" w:color="auto"/>
              <w:bottom w:val="single" w:sz="4" w:space="0" w:color="auto"/>
              <w:right w:val="single" w:sz="4" w:space="0" w:color="auto"/>
            </w:tcBorders>
            <w:hideMark/>
          </w:tcPr>
          <w:p w14:paraId="44107058" w14:textId="77777777" w:rsidR="00EB245A" w:rsidRDefault="00EB245A">
            <w:pPr>
              <w:spacing w:after="0" w:line="240" w:lineRule="auto"/>
              <w:jc w:val="center"/>
              <w:rPr>
                <w:rFonts w:ascii="Times New Roman" w:eastAsia="Times New Roman" w:hAnsi="Times New Roman" w:cs="Times New Roman"/>
                <w:b/>
                <w:noProof/>
                <w:sz w:val="18"/>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45B2B3F7" w14:textId="77777777" w:rsidR="00EB245A" w:rsidRDefault="00EB245A">
            <w:pPr>
              <w:spacing w:after="0" w:line="240" w:lineRule="auto"/>
              <w:rPr>
                <w:rFonts w:ascii="Times New Roman" w:eastAsia="Times New Roman" w:hAnsi="Times New Roman" w:cs="Times New Roman"/>
                <w:b/>
                <w:noProof/>
                <w:sz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3AED5F5" w14:textId="77777777" w:rsidR="00EB245A" w:rsidRDefault="00EB245A">
            <w:pPr>
              <w:spacing w:after="0" w:line="240" w:lineRule="auto"/>
              <w:rPr>
                <w:rFonts w:ascii="Times New Roman" w:eastAsia="Times New Roman" w:hAnsi="Times New Roman" w:cs="Times New Roman"/>
                <w:b/>
                <w:noProof/>
                <w:sz w:val="24"/>
              </w:rPr>
            </w:pPr>
          </w:p>
        </w:tc>
        <w:tc>
          <w:tcPr>
            <w:tcW w:w="1650" w:type="dxa"/>
            <w:vMerge/>
            <w:tcBorders>
              <w:top w:val="single" w:sz="4" w:space="0" w:color="auto"/>
              <w:left w:val="single" w:sz="4" w:space="0" w:color="auto"/>
              <w:bottom w:val="single" w:sz="4" w:space="0" w:color="auto"/>
              <w:right w:val="single" w:sz="4" w:space="0" w:color="auto"/>
            </w:tcBorders>
            <w:vAlign w:val="center"/>
            <w:hideMark/>
          </w:tcPr>
          <w:p w14:paraId="1552FFEF" w14:textId="77777777" w:rsidR="00EB245A" w:rsidRDefault="00EB245A">
            <w:pPr>
              <w:spacing w:after="0" w:line="240" w:lineRule="auto"/>
              <w:rPr>
                <w:rFonts w:ascii="Times New Roman" w:eastAsia="Times New Roman" w:hAnsi="Times New Roman" w:cs="Times New Roman"/>
                <w:b/>
                <w:noProof/>
                <w:sz w:val="24"/>
              </w:rPr>
            </w:pPr>
          </w:p>
        </w:tc>
        <w:tc>
          <w:tcPr>
            <w:tcW w:w="1894" w:type="dxa"/>
            <w:vMerge/>
            <w:tcBorders>
              <w:top w:val="single" w:sz="4" w:space="0" w:color="auto"/>
              <w:left w:val="single" w:sz="4" w:space="0" w:color="auto"/>
              <w:bottom w:val="single" w:sz="4" w:space="0" w:color="auto"/>
              <w:right w:val="single" w:sz="4" w:space="0" w:color="auto"/>
            </w:tcBorders>
            <w:vAlign w:val="center"/>
            <w:hideMark/>
          </w:tcPr>
          <w:p w14:paraId="2C3124E7" w14:textId="77777777" w:rsidR="00EB245A" w:rsidRDefault="00EB245A">
            <w:pPr>
              <w:spacing w:after="0" w:line="240" w:lineRule="auto"/>
              <w:rPr>
                <w:rFonts w:ascii="Times New Roman" w:eastAsia="Times New Roman" w:hAnsi="Times New Roman" w:cs="Times New Roman"/>
                <w:b/>
                <w:noProof/>
                <w:sz w:val="24"/>
              </w:rPr>
            </w:pPr>
          </w:p>
        </w:tc>
        <w:tc>
          <w:tcPr>
            <w:tcW w:w="1276" w:type="dxa"/>
            <w:tcBorders>
              <w:top w:val="nil"/>
              <w:left w:val="single" w:sz="4" w:space="0" w:color="auto"/>
              <w:bottom w:val="single" w:sz="4" w:space="0" w:color="auto"/>
              <w:right w:val="single" w:sz="4" w:space="0" w:color="auto"/>
            </w:tcBorders>
            <w:shd w:val="clear" w:color="auto" w:fill="BDD7EE"/>
            <w:vAlign w:val="center"/>
            <w:hideMark/>
          </w:tcPr>
          <w:p w14:paraId="74618AC8" w14:textId="77777777" w:rsidR="00EB245A" w:rsidRDefault="006021EE">
            <w:pPr>
              <w:pStyle w:val="P68B1DB1-Normal41"/>
              <w:spacing w:after="0" w:line="240" w:lineRule="auto"/>
              <w:jc w:val="center"/>
              <w:rPr>
                <w:rFonts w:eastAsia="Times New Roman" w:cs="Times New Roman"/>
                <w:noProof/>
              </w:rPr>
            </w:pPr>
            <w:r>
              <w:rPr>
                <w:noProof/>
              </w:rPr>
              <w:t>Maßeinheit</w:t>
            </w:r>
          </w:p>
        </w:tc>
        <w:tc>
          <w:tcPr>
            <w:tcW w:w="1275" w:type="dxa"/>
            <w:tcBorders>
              <w:top w:val="nil"/>
              <w:left w:val="nil"/>
              <w:bottom w:val="single" w:sz="4" w:space="0" w:color="auto"/>
              <w:right w:val="single" w:sz="4" w:space="0" w:color="auto"/>
            </w:tcBorders>
            <w:shd w:val="clear" w:color="auto" w:fill="BDD7EE"/>
            <w:vAlign w:val="center"/>
            <w:hideMark/>
          </w:tcPr>
          <w:p w14:paraId="5D1604D4" w14:textId="77777777" w:rsidR="00EB245A" w:rsidRDefault="006021EE">
            <w:pPr>
              <w:pStyle w:val="P68B1DB1-Normal41"/>
              <w:spacing w:after="0" w:line="240" w:lineRule="auto"/>
              <w:jc w:val="center"/>
              <w:rPr>
                <w:rFonts w:eastAsia="Times New Roman" w:cs="Times New Roman"/>
                <w:noProof/>
              </w:rPr>
            </w:pPr>
            <w:r>
              <w:rPr>
                <w:noProof/>
              </w:rPr>
              <w:t>Ausgangslage</w:t>
            </w:r>
          </w:p>
        </w:tc>
        <w:tc>
          <w:tcPr>
            <w:tcW w:w="851" w:type="dxa"/>
            <w:tcBorders>
              <w:top w:val="nil"/>
              <w:left w:val="nil"/>
              <w:bottom w:val="single" w:sz="4" w:space="0" w:color="auto"/>
              <w:right w:val="single" w:sz="4" w:space="0" w:color="auto"/>
            </w:tcBorders>
            <w:shd w:val="clear" w:color="auto" w:fill="BDD7EE"/>
            <w:vAlign w:val="center"/>
            <w:hideMark/>
          </w:tcPr>
          <w:p w14:paraId="30C421B1" w14:textId="77777777" w:rsidR="00EB245A" w:rsidRDefault="006021EE">
            <w:pPr>
              <w:pStyle w:val="P68B1DB1-Normal41"/>
              <w:spacing w:after="0" w:line="240" w:lineRule="auto"/>
              <w:jc w:val="center"/>
              <w:rPr>
                <w:rFonts w:eastAsia="Times New Roman" w:cs="Times New Roman"/>
                <w:noProof/>
              </w:rPr>
            </w:pPr>
            <w:r>
              <w:rPr>
                <w:noProof/>
              </w:rPr>
              <w:t>Ziel</w:t>
            </w:r>
          </w:p>
        </w:tc>
        <w:tc>
          <w:tcPr>
            <w:tcW w:w="992" w:type="dxa"/>
            <w:tcBorders>
              <w:top w:val="nil"/>
              <w:left w:val="nil"/>
              <w:bottom w:val="single" w:sz="4" w:space="0" w:color="auto"/>
              <w:right w:val="single" w:sz="4" w:space="0" w:color="auto"/>
            </w:tcBorders>
            <w:shd w:val="clear" w:color="auto" w:fill="BDD7EE"/>
            <w:vAlign w:val="center"/>
            <w:hideMark/>
          </w:tcPr>
          <w:p w14:paraId="6F4D539F" w14:textId="77777777" w:rsidR="00EB245A" w:rsidRDefault="006021EE">
            <w:pPr>
              <w:pStyle w:val="P68B1DB1-Normal41"/>
              <w:spacing w:after="0" w:line="240" w:lineRule="auto"/>
              <w:jc w:val="center"/>
              <w:rPr>
                <w:rFonts w:eastAsia="Times New Roman" w:cs="Times New Roman"/>
                <w:noProof/>
              </w:rPr>
            </w:pPr>
            <w:r>
              <w:rPr>
                <w:noProof/>
              </w:rPr>
              <w:t>Viertel</w:t>
            </w:r>
          </w:p>
        </w:tc>
        <w:tc>
          <w:tcPr>
            <w:tcW w:w="992" w:type="dxa"/>
            <w:tcBorders>
              <w:top w:val="nil"/>
              <w:left w:val="nil"/>
              <w:bottom w:val="single" w:sz="4" w:space="0" w:color="auto"/>
              <w:right w:val="single" w:sz="4" w:space="0" w:color="auto"/>
            </w:tcBorders>
            <w:shd w:val="clear" w:color="auto" w:fill="BDD7EE"/>
            <w:vAlign w:val="center"/>
            <w:hideMark/>
          </w:tcPr>
          <w:p w14:paraId="048DF02E" w14:textId="77777777" w:rsidR="00EB245A" w:rsidRDefault="006021EE">
            <w:pPr>
              <w:pStyle w:val="P68B1DB1-Normal41"/>
              <w:spacing w:after="0" w:line="240" w:lineRule="auto"/>
              <w:jc w:val="center"/>
              <w:rPr>
                <w:rFonts w:eastAsia="Times New Roman" w:cs="Times New Roman"/>
                <w:noProof/>
              </w:rPr>
            </w:pPr>
            <w:r>
              <w:rPr>
                <w:noProof/>
              </w:rPr>
              <w:t>Jahre</w:t>
            </w:r>
          </w:p>
        </w:tc>
        <w:tc>
          <w:tcPr>
            <w:tcW w:w="2840" w:type="dxa"/>
            <w:vMerge/>
            <w:tcBorders>
              <w:top w:val="single" w:sz="4" w:space="0" w:color="auto"/>
              <w:bottom w:val="single" w:sz="4" w:space="0" w:color="auto"/>
              <w:right w:val="single" w:sz="4" w:space="0" w:color="auto"/>
            </w:tcBorders>
            <w:vAlign w:val="center"/>
            <w:hideMark/>
          </w:tcPr>
          <w:p w14:paraId="5443BA19" w14:textId="77777777" w:rsidR="00EB245A" w:rsidRDefault="00EB245A">
            <w:pPr>
              <w:spacing w:after="0" w:line="240" w:lineRule="auto"/>
              <w:rPr>
                <w:rFonts w:ascii="Times New Roman" w:eastAsia="Times New Roman" w:hAnsi="Times New Roman" w:cs="Times New Roman"/>
                <w:b/>
                <w:noProof/>
                <w:sz w:val="24"/>
              </w:rPr>
            </w:pPr>
          </w:p>
        </w:tc>
      </w:tr>
      <w:tr w:rsidR="00EB245A" w14:paraId="79A7AC6F" w14:textId="77777777" w:rsidTr="00D05E52">
        <w:trPr>
          <w:trHeight w:val="309"/>
          <w:jc w:val="center"/>
        </w:trPr>
        <w:tc>
          <w:tcPr>
            <w:tcW w:w="803" w:type="dxa"/>
            <w:tcBorders>
              <w:top w:val="single" w:sz="4" w:space="0" w:color="auto"/>
              <w:left w:val="single" w:sz="4" w:space="0" w:color="auto"/>
              <w:bottom w:val="single" w:sz="4" w:space="0" w:color="auto"/>
              <w:right w:val="single" w:sz="4" w:space="0" w:color="auto"/>
            </w:tcBorders>
            <w:shd w:val="clear" w:color="auto" w:fill="C6EFCE"/>
            <w:noWrap/>
          </w:tcPr>
          <w:p w14:paraId="33722662" w14:textId="427D8C3F" w:rsidR="00EB245A" w:rsidRDefault="006021EE">
            <w:pPr>
              <w:pStyle w:val="P68B1DB1-Normal13"/>
              <w:spacing w:after="0" w:line="240" w:lineRule="auto"/>
              <w:jc w:val="center"/>
              <w:rPr>
                <w:rFonts w:eastAsia="Times New Roman" w:cs="Times New Roman"/>
                <w:noProof/>
              </w:rPr>
            </w:pPr>
            <w:r>
              <w:rPr>
                <w:noProof/>
              </w:rPr>
              <w:t>G20L</w:t>
            </w:r>
          </w:p>
        </w:tc>
        <w:tc>
          <w:tcPr>
            <w:tcW w:w="1461" w:type="dxa"/>
            <w:tcBorders>
              <w:top w:val="single" w:sz="4" w:space="0" w:color="auto"/>
              <w:left w:val="nil"/>
              <w:bottom w:val="single" w:sz="4" w:space="0" w:color="auto"/>
              <w:right w:val="single" w:sz="4" w:space="0" w:color="auto"/>
            </w:tcBorders>
            <w:shd w:val="clear" w:color="auto" w:fill="C6EFCE"/>
            <w:noWrap/>
          </w:tcPr>
          <w:p w14:paraId="3D375A83" w14:textId="59ECA877" w:rsidR="00EB245A" w:rsidRDefault="006021EE">
            <w:pPr>
              <w:pStyle w:val="P68B1DB1-Normal13"/>
              <w:spacing w:after="0" w:line="240" w:lineRule="auto"/>
              <w:rPr>
                <w:rFonts w:eastAsia="Times New Roman" w:cs="Times New Roman"/>
                <w:noProof/>
              </w:rPr>
            </w:pPr>
            <w:r>
              <w:rPr>
                <w:noProof/>
              </w:rPr>
              <w:t xml:space="preserve">G3.2.1 Bau von Erdgasinfrastruktur zur Gewährleistung der Energieversorgungssicherheit </w:t>
            </w:r>
          </w:p>
        </w:tc>
        <w:tc>
          <w:tcPr>
            <w:tcW w:w="1275" w:type="dxa"/>
            <w:tcBorders>
              <w:top w:val="single" w:sz="4" w:space="0" w:color="auto"/>
              <w:left w:val="nil"/>
              <w:bottom w:val="single" w:sz="4" w:space="0" w:color="auto"/>
              <w:right w:val="single" w:sz="4" w:space="0" w:color="auto"/>
            </w:tcBorders>
            <w:shd w:val="clear" w:color="auto" w:fill="C6EFCE"/>
            <w:noWrap/>
          </w:tcPr>
          <w:p w14:paraId="0F98366C" w14:textId="6707CDFF" w:rsidR="00EB245A" w:rsidRDefault="006021EE">
            <w:pPr>
              <w:pStyle w:val="P68B1DB1-Normal13"/>
              <w:spacing w:after="0" w:line="240" w:lineRule="auto"/>
              <w:rPr>
                <w:rFonts w:eastAsia="Times New Roman" w:cs="Times New Roman"/>
                <w:noProof/>
              </w:rPr>
            </w:pPr>
            <w:r>
              <w:rPr>
                <w:noProof/>
              </w:rPr>
              <w:t xml:space="preserve">Meilenstein </w:t>
            </w:r>
          </w:p>
        </w:tc>
        <w:tc>
          <w:tcPr>
            <w:tcW w:w="1650" w:type="dxa"/>
            <w:tcBorders>
              <w:top w:val="single" w:sz="4" w:space="0" w:color="auto"/>
              <w:left w:val="nil"/>
              <w:bottom w:val="single" w:sz="4" w:space="0" w:color="auto"/>
              <w:right w:val="single" w:sz="4" w:space="0" w:color="auto"/>
            </w:tcBorders>
            <w:shd w:val="clear" w:color="auto" w:fill="C6EFCE"/>
            <w:noWrap/>
          </w:tcPr>
          <w:p w14:paraId="5D6C971D" w14:textId="19D75728" w:rsidR="00EB245A" w:rsidRDefault="006021EE">
            <w:pPr>
              <w:pStyle w:val="P68B1DB1-Normal13"/>
              <w:spacing w:after="0" w:line="240" w:lineRule="auto"/>
              <w:rPr>
                <w:rFonts w:eastAsia="Times New Roman" w:cs="Times New Roman"/>
                <w:noProof/>
              </w:rPr>
            </w:pPr>
            <w:r>
              <w:rPr>
                <w:noProof/>
              </w:rPr>
              <w:t>Erteilung der Baugenehmigungen</w:t>
            </w:r>
          </w:p>
        </w:tc>
        <w:tc>
          <w:tcPr>
            <w:tcW w:w="1894" w:type="dxa"/>
            <w:tcBorders>
              <w:top w:val="single" w:sz="4" w:space="0" w:color="auto"/>
              <w:left w:val="nil"/>
              <w:bottom w:val="single" w:sz="4" w:space="0" w:color="auto"/>
              <w:right w:val="single" w:sz="4" w:space="0" w:color="auto"/>
            </w:tcBorders>
            <w:shd w:val="clear" w:color="auto" w:fill="C6EFCE"/>
            <w:noWrap/>
          </w:tcPr>
          <w:p w14:paraId="29EE111F" w14:textId="07DBCF60" w:rsidR="00EB245A" w:rsidRDefault="006021EE">
            <w:pPr>
              <w:pStyle w:val="P68B1DB1-Normal13"/>
              <w:spacing w:after="0" w:line="240" w:lineRule="auto"/>
              <w:rPr>
                <w:rFonts w:eastAsia="Times New Roman" w:cs="Times New Roman"/>
                <w:noProof/>
              </w:rPr>
            </w:pPr>
            <w:r>
              <w:rPr>
                <w:noProof/>
              </w:rPr>
              <w:t>Erteilung von Baugenehmigungen</w:t>
            </w:r>
          </w:p>
        </w:tc>
        <w:tc>
          <w:tcPr>
            <w:tcW w:w="1276" w:type="dxa"/>
            <w:tcBorders>
              <w:top w:val="nil"/>
              <w:left w:val="nil"/>
              <w:bottom w:val="single" w:sz="4" w:space="0" w:color="auto"/>
              <w:right w:val="single" w:sz="4" w:space="0" w:color="auto"/>
            </w:tcBorders>
            <w:shd w:val="clear" w:color="auto" w:fill="C6EFCE"/>
            <w:noWrap/>
          </w:tcPr>
          <w:p w14:paraId="2D13A715" w14:textId="77777777" w:rsidR="00EB245A" w:rsidRDefault="00EB245A">
            <w:pPr>
              <w:spacing w:after="0" w:line="240" w:lineRule="auto"/>
              <w:rPr>
                <w:rFonts w:ascii="Times New Roman" w:eastAsia="Times New Roman" w:hAnsi="Times New Roman" w:cs="Times New Roman"/>
                <w:noProof/>
                <w:color w:val="000000" w:themeColor="text1"/>
                <w:sz w:val="18"/>
              </w:rPr>
            </w:pPr>
          </w:p>
        </w:tc>
        <w:tc>
          <w:tcPr>
            <w:tcW w:w="1275" w:type="dxa"/>
            <w:tcBorders>
              <w:top w:val="nil"/>
              <w:left w:val="nil"/>
              <w:bottom w:val="single" w:sz="4" w:space="0" w:color="auto"/>
              <w:right w:val="single" w:sz="4" w:space="0" w:color="auto"/>
            </w:tcBorders>
            <w:shd w:val="clear" w:color="auto" w:fill="C6EFCE"/>
            <w:noWrap/>
          </w:tcPr>
          <w:p w14:paraId="65FD9BC8" w14:textId="77777777" w:rsidR="00EB245A" w:rsidRDefault="00EB245A">
            <w:pPr>
              <w:spacing w:after="0" w:line="240" w:lineRule="auto"/>
              <w:jc w:val="center"/>
              <w:rPr>
                <w:rFonts w:ascii="Times New Roman" w:eastAsia="Times New Roman" w:hAnsi="Times New Roman" w:cs="Times New Roman"/>
                <w:noProof/>
                <w:color w:val="000000" w:themeColor="text1"/>
                <w:sz w:val="18"/>
              </w:rPr>
            </w:pPr>
          </w:p>
        </w:tc>
        <w:tc>
          <w:tcPr>
            <w:tcW w:w="851" w:type="dxa"/>
            <w:tcBorders>
              <w:top w:val="nil"/>
              <w:left w:val="nil"/>
              <w:bottom w:val="single" w:sz="4" w:space="0" w:color="auto"/>
              <w:right w:val="single" w:sz="4" w:space="0" w:color="auto"/>
            </w:tcBorders>
            <w:shd w:val="clear" w:color="auto" w:fill="C6EFCE"/>
            <w:noWrap/>
          </w:tcPr>
          <w:p w14:paraId="4D4E289D" w14:textId="395F9C3C" w:rsidR="00EB245A" w:rsidRDefault="00EB245A">
            <w:pPr>
              <w:spacing w:after="0" w:line="240" w:lineRule="auto"/>
              <w:jc w:val="center"/>
              <w:rPr>
                <w:rFonts w:ascii="Times New Roman" w:eastAsia="Times New Roman" w:hAnsi="Times New Roman" w:cs="Times New Roman"/>
                <w:noProof/>
                <w:color w:val="000000" w:themeColor="text1"/>
                <w:sz w:val="18"/>
              </w:rPr>
            </w:pPr>
          </w:p>
        </w:tc>
        <w:tc>
          <w:tcPr>
            <w:tcW w:w="992" w:type="dxa"/>
            <w:tcBorders>
              <w:top w:val="nil"/>
              <w:left w:val="nil"/>
              <w:bottom w:val="single" w:sz="4" w:space="0" w:color="auto"/>
              <w:right w:val="single" w:sz="4" w:space="0" w:color="auto"/>
            </w:tcBorders>
            <w:shd w:val="clear" w:color="auto" w:fill="C6EFCE"/>
            <w:noWrap/>
          </w:tcPr>
          <w:p w14:paraId="4A78EA86" w14:textId="4B7C730A" w:rsidR="00EB245A" w:rsidRDefault="006021EE">
            <w:pPr>
              <w:pStyle w:val="P68B1DB1-Normal13"/>
              <w:spacing w:after="0" w:line="240" w:lineRule="auto"/>
              <w:jc w:val="center"/>
              <w:rPr>
                <w:rFonts w:eastAsia="Times New Roman" w:cs="Times New Roman"/>
                <w:noProof/>
              </w:rPr>
            </w:pPr>
            <w:r>
              <w:rPr>
                <w:noProof/>
              </w:rPr>
              <w:t>Q2</w:t>
            </w:r>
          </w:p>
        </w:tc>
        <w:tc>
          <w:tcPr>
            <w:tcW w:w="992" w:type="dxa"/>
            <w:tcBorders>
              <w:top w:val="nil"/>
              <w:left w:val="nil"/>
              <w:bottom w:val="single" w:sz="4" w:space="0" w:color="auto"/>
              <w:right w:val="single" w:sz="4" w:space="0" w:color="auto"/>
            </w:tcBorders>
            <w:shd w:val="clear" w:color="auto" w:fill="C6EFCE"/>
            <w:noWrap/>
          </w:tcPr>
          <w:p w14:paraId="1BC9E834" w14:textId="27CA33C9" w:rsidR="00EB245A" w:rsidRDefault="006021EE">
            <w:pPr>
              <w:pStyle w:val="P68B1DB1-Normal13"/>
              <w:spacing w:after="0" w:line="240" w:lineRule="auto"/>
              <w:jc w:val="center"/>
              <w:rPr>
                <w:rFonts w:eastAsia="Times New Roman" w:cs="Times New Roman"/>
                <w:noProof/>
              </w:rPr>
            </w:pPr>
            <w:r>
              <w:rPr>
                <w:noProof/>
              </w:rPr>
              <w:t>2024</w:t>
            </w:r>
          </w:p>
        </w:tc>
        <w:tc>
          <w:tcPr>
            <w:tcW w:w="2840" w:type="dxa"/>
            <w:tcBorders>
              <w:top w:val="single" w:sz="4" w:space="0" w:color="auto"/>
              <w:left w:val="nil"/>
              <w:bottom w:val="single" w:sz="4" w:space="0" w:color="auto"/>
              <w:right w:val="single" w:sz="4" w:space="0" w:color="auto"/>
            </w:tcBorders>
            <w:shd w:val="clear" w:color="auto" w:fill="C6EFCE"/>
            <w:noWrap/>
          </w:tcPr>
          <w:p w14:paraId="2BDDDE58" w14:textId="2CEC5B46" w:rsidR="00EB245A" w:rsidRDefault="006021EE">
            <w:pPr>
              <w:pStyle w:val="P68B1DB1-Normal13"/>
              <w:spacing w:after="0" w:line="240" w:lineRule="auto"/>
              <w:rPr>
                <w:rFonts w:eastAsia="Times New Roman" w:cs="Times New Roman"/>
                <w:noProof/>
              </w:rPr>
            </w:pPr>
            <w:r>
              <w:rPr>
                <w:noProof/>
              </w:rPr>
              <w:t>Die Baugenehmigungen für die Gasfernleitung Danzig und Gustorzyn mit einer Länge v</w:t>
            </w:r>
            <w:r>
              <w:rPr>
                <w:noProof/>
              </w:rPr>
              <w:t>on 250 km müssen erteilt worden sein.</w:t>
            </w:r>
          </w:p>
        </w:tc>
      </w:tr>
      <w:tr w:rsidR="00EB245A" w14:paraId="360C44E3" w14:textId="77777777" w:rsidTr="00D05E52">
        <w:trPr>
          <w:trHeight w:val="309"/>
          <w:jc w:val="center"/>
        </w:trPr>
        <w:tc>
          <w:tcPr>
            <w:tcW w:w="803" w:type="dxa"/>
            <w:tcBorders>
              <w:top w:val="nil"/>
              <w:left w:val="single" w:sz="4" w:space="0" w:color="auto"/>
              <w:bottom w:val="single" w:sz="4" w:space="0" w:color="auto"/>
              <w:right w:val="single" w:sz="4" w:space="0" w:color="auto"/>
            </w:tcBorders>
            <w:shd w:val="clear" w:color="auto" w:fill="C6EFCE"/>
            <w:noWrap/>
          </w:tcPr>
          <w:p w14:paraId="3166D580" w14:textId="1BD30C3C" w:rsidR="00EB245A" w:rsidRDefault="006021EE">
            <w:pPr>
              <w:pStyle w:val="P68B1DB1-Normal26"/>
              <w:spacing w:after="0" w:line="240" w:lineRule="auto"/>
              <w:jc w:val="center"/>
              <w:rPr>
                <w:rFonts w:eastAsia="Times New Roman" w:cs="Times New Roman"/>
                <w:noProof/>
              </w:rPr>
            </w:pPr>
            <w:r>
              <w:rPr>
                <w:noProof/>
                <w:color w:val="000000" w:themeColor="text1"/>
              </w:rPr>
              <w:t>G21L</w:t>
            </w:r>
            <w:r>
              <w:rPr>
                <w:noProof/>
                <w:color w:val="0078D4"/>
              </w:rPr>
              <w:t xml:space="preserve"> </w:t>
            </w:r>
          </w:p>
        </w:tc>
        <w:tc>
          <w:tcPr>
            <w:tcW w:w="1461" w:type="dxa"/>
            <w:tcBorders>
              <w:top w:val="nil"/>
              <w:left w:val="nil"/>
              <w:bottom w:val="single" w:sz="4" w:space="0" w:color="auto"/>
              <w:right w:val="single" w:sz="4" w:space="0" w:color="auto"/>
            </w:tcBorders>
            <w:shd w:val="clear" w:color="auto" w:fill="C6EFCE"/>
            <w:noWrap/>
          </w:tcPr>
          <w:p w14:paraId="5119619F" w14:textId="67DA00B7" w:rsidR="00EB245A" w:rsidRDefault="006021EE">
            <w:pPr>
              <w:pStyle w:val="P68B1DB1-Normal26"/>
              <w:spacing w:after="0" w:line="240" w:lineRule="auto"/>
              <w:rPr>
                <w:rFonts w:eastAsia="Times New Roman" w:cs="Times New Roman"/>
                <w:noProof/>
              </w:rPr>
            </w:pPr>
            <w:r>
              <w:rPr>
                <w:noProof/>
                <w:color w:val="000000" w:themeColor="text1"/>
              </w:rPr>
              <w:t> G3.2.1 Bau von Erdgasinfrastruktur zur Gewährleistung der Energieversorgungssicherheit</w:t>
            </w:r>
            <w:r>
              <w:rPr>
                <w:noProof/>
                <w:color w:val="0078D4"/>
              </w:rPr>
              <w:t xml:space="preserve"> </w:t>
            </w:r>
          </w:p>
        </w:tc>
        <w:tc>
          <w:tcPr>
            <w:tcW w:w="1275" w:type="dxa"/>
            <w:tcBorders>
              <w:top w:val="nil"/>
              <w:left w:val="nil"/>
              <w:bottom w:val="single" w:sz="4" w:space="0" w:color="auto"/>
              <w:right w:val="single" w:sz="4" w:space="0" w:color="auto"/>
            </w:tcBorders>
            <w:shd w:val="clear" w:color="auto" w:fill="C6EFCE"/>
            <w:noWrap/>
          </w:tcPr>
          <w:p w14:paraId="55C2ED99" w14:textId="315A47D2" w:rsidR="00EB245A" w:rsidRDefault="006021EE">
            <w:pPr>
              <w:pStyle w:val="P68B1DB1-Normal26"/>
              <w:spacing w:after="0" w:line="240" w:lineRule="auto"/>
              <w:rPr>
                <w:rFonts w:eastAsia="Times New Roman" w:cs="Times New Roman"/>
                <w:noProof/>
              </w:rPr>
            </w:pPr>
            <w:r>
              <w:rPr>
                <w:noProof/>
                <w:color w:val="000000" w:themeColor="text1"/>
              </w:rPr>
              <w:t>Meilenstein</w:t>
            </w:r>
            <w:r>
              <w:rPr>
                <w:noProof/>
                <w:color w:val="0078D4"/>
              </w:rPr>
              <w:t xml:space="preserve"> </w:t>
            </w:r>
          </w:p>
        </w:tc>
        <w:tc>
          <w:tcPr>
            <w:tcW w:w="1650" w:type="dxa"/>
            <w:tcBorders>
              <w:top w:val="nil"/>
              <w:left w:val="nil"/>
              <w:bottom w:val="single" w:sz="4" w:space="0" w:color="auto"/>
              <w:right w:val="single" w:sz="4" w:space="0" w:color="auto"/>
            </w:tcBorders>
            <w:shd w:val="clear" w:color="auto" w:fill="C6EFCE"/>
            <w:noWrap/>
          </w:tcPr>
          <w:p w14:paraId="3221E272" w14:textId="02765809" w:rsidR="00EB245A" w:rsidRDefault="006021EE">
            <w:pPr>
              <w:pStyle w:val="P68B1DB1-Normal26"/>
              <w:spacing w:after="0" w:line="240" w:lineRule="auto"/>
              <w:rPr>
                <w:rFonts w:eastAsia="Times New Roman" w:cs="Times New Roman"/>
                <w:noProof/>
              </w:rPr>
            </w:pPr>
            <w:r>
              <w:rPr>
                <w:noProof/>
                <w:color w:val="000000" w:themeColor="text1"/>
              </w:rPr>
              <w:t>Auswahl des Auftragnehmers</w:t>
            </w:r>
            <w:r>
              <w:rPr>
                <w:noProof/>
                <w:color w:val="0078D4"/>
              </w:rPr>
              <w:t xml:space="preserve"> </w:t>
            </w:r>
          </w:p>
        </w:tc>
        <w:tc>
          <w:tcPr>
            <w:tcW w:w="1894" w:type="dxa"/>
            <w:tcBorders>
              <w:top w:val="nil"/>
              <w:left w:val="nil"/>
              <w:bottom w:val="single" w:sz="4" w:space="0" w:color="auto"/>
              <w:right w:val="single" w:sz="4" w:space="0" w:color="auto"/>
            </w:tcBorders>
            <w:shd w:val="clear" w:color="auto" w:fill="C6EFCE"/>
            <w:noWrap/>
          </w:tcPr>
          <w:p w14:paraId="58F8FD6A" w14:textId="6A4E9311" w:rsidR="00EB245A" w:rsidRDefault="006021EE">
            <w:pPr>
              <w:pStyle w:val="P68B1DB1-Normal26"/>
              <w:spacing w:after="0" w:line="240" w:lineRule="auto"/>
              <w:rPr>
                <w:rFonts w:eastAsia="Times New Roman" w:cs="Times New Roman"/>
                <w:noProof/>
              </w:rPr>
            </w:pPr>
            <w:r>
              <w:rPr>
                <w:noProof/>
                <w:color w:val="000000" w:themeColor="text1"/>
              </w:rPr>
              <w:t>Mitteilung der Zuschlagserteilung</w:t>
            </w:r>
            <w:r>
              <w:rPr>
                <w:noProof/>
                <w:color w:val="0078D4"/>
              </w:rPr>
              <w:t xml:space="preserve"> </w:t>
            </w:r>
          </w:p>
        </w:tc>
        <w:tc>
          <w:tcPr>
            <w:tcW w:w="1276" w:type="dxa"/>
            <w:tcBorders>
              <w:top w:val="nil"/>
              <w:left w:val="nil"/>
              <w:bottom w:val="single" w:sz="4" w:space="0" w:color="auto"/>
              <w:right w:val="single" w:sz="4" w:space="0" w:color="auto"/>
            </w:tcBorders>
            <w:shd w:val="clear" w:color="auto" w:fill="C6EFCE"/>
            <w:noWrap/>
          </w:tcPr>
          <w:p w14:paraId="631EA8B7" w14:textId="636CEF55" w:rsidR="00EB245A" w:rsidRDefault="006021EE">
            <w:pPr>
              <w:pStyle w:val="P68B1DB1-Normal26"/>
              <w:spacing w:after="0" w:line="240" w:lineRule="auto"/>
              <w:rPr>
                <w:rFonts w:eastAsia="Times New Roman" w:cs="Times New Roman"/>
                <w:noProof/>
              </w:rPr>
            </w:pPr>
            <w:r>
              <w:rPr>
                <w:noProof/>
              </w:rPr>
              <w:t xml:space="preserve"> </w:t>
            </w:r>
          </w:p>
        </w:tc>
        <w:tc>
          <w:tcPr>
            <w:tcW w:w="1275" w:type="dxa"/>
            <w:tcBorders>
              <w:top w:val="nil"/>
              <w:left w:val="nil"/>
              <w:bottom w:val="single" w:sz="4" w:space="0" w:color="auto"/>
              <w:right w:val="single" w:sz="4" w:space="0" w:color="auto"/>
            </w:tcBorders>
            <w:shd w:val="clear" w:color="auto" w:fill="C6EFCE"/>
            <w:noWrap/>
          </w:tcPr>
          <w:p w14:paraId="2A3B7330" w14:textId="652668E4" w:rsidR="00EB245A" w:rsidRDefault="006021EE">
            <w:pPr>
              <w:pStyle w:val="P68B1DB1-Normal26"/>
              <w:spacing w:after="0" w:line="240" w:lineRule="auto"/>
              <w:jc w:val="center"/>
              <w:rPr>
                <w:rFonts w:eastAsia="Times New Roman" w:cs="Times New Roman"/>
                <w:noProof/>
              </w:rPr>
            </w:pPr>
            <w:r>
              <w:rPr>
                <w:noProof/>
              </w:rPr>
              <w:t xml:space="preserve"> </w:t>
            </w:r>
          </w:p>
        </w:tc>
        <w:tc>
          <w:tcPr>
            <w:tcW w:w="851" w:type="dxa"/>
            <w:tcBorders>
              <w:top w:val="nil"/>
              <w:left w:val="nil"/>
              <w:bottom w:val="single" w:sz="4" w:space="0" w:color="auto"/>
              <w:right w:val="single" w:sz="4" w:space="0" w:color="auto"/>
            </w:tcBorders>
            <w:shd w:val="clear" w:color="auto" w:fill="C6EFCE"/>
            <w:noWrap/>
          </w:tcPr>
          <w:p w14:paraId="45BEB1D5" w14:textId="0D92EAF1" w:rsidR="00EB245A" w:rsidRDefault="006021EE">
            <w:pPr>
              <w:pStyle w:val="P68B1DB1-Normal26"/>
              <w:spacing w:after="0" w:line="240" w:lineRule="auto"/>
              <w:jc w:val="center"/>
              <w:rPr>
                <w:rFonts w:eastAsia="Times New Roman" w:cs="Times New Roman"/>
                <w:noProof/>
              </w:rPr>
            </w:pPr>
            <w:r>
              <w:rPr>
                <w:noProof/>
              </w:rPr>
              <w:t xml:space="preserve"> </w:t>
            </w:r>
          </w:p>
        </w:tc>
        <w:tc>
          <w:tcPr>
            <w:tcW w:w="992" w:type="dxa"/>
            <w:tcBorders>
              <w:top w:val="nil"/>
              <w:left w:val="nil"/>
              <w:bottom w:val="single" w:sz="4" w:space="0" w:color="auto"/>
              <w:right w:val="single" w:sz="4" w:space="0" w:color="auto"/>
            </w:tcBorders>
            <w:shd w:val="clear" w:color="auto" w:fill="C6EFCE"/>
            <w:noWrap/>
          </w:tcPr>
          <w:p w14:paraId="3FB91777" w14:textId="584BD98B" w:rsidR="00EB245A" w:rsidRDefault="006021EE">
            <w:pPr>
              <w:pStyle w:val="P68B1DB1-Normal26"/>
              <w:spacing w:after="0" w:line="240" w:lineRule="auto"/>
              <w:jc w:val="center"/>
              <w:rPr>
                <w:rFonts w:eastAsia="Times New Roman" w:cs="Times New Roman"/>
                <w:noProof/>
              </w:rPr>
            </w:pPr>
            <w:r>
              <w:rPr>
                <w:noProof/>
                <w:color w:val="000000" w:themeColor="text1"/>
              </w:rPr>
              <w:t xml:space="preserve">Q1 </w:t>
            </w:r>
            <w:r>
              <w:rPr>
                <w:noProof/>
                <w:color w:val="0078D4"/>
              </w:rPr>
              <w:t xml:space="preserve"> </w:t>
            </w:r>
          </w:p>
        </w:tc>
        <w:tc>
          <w:tcPr>
            <w:tcW w:w="992" w:type="dxa"/>
            <w:tcBorders>
              <w:top w:val="nil"/>
              <w:left w:val="nil"/>
              <w:bottom w:val="single" w:sz="4" w:space="0" w:color="auto"/>
              <w:right w:val="single" w:sz="4" w:space="0" w:color="auto"/>
            </w:tcBorders>
            <w:shd w:val="clear" w:color="auto" w:fill="C6EFCE"/>
            <w:noWrap/>
          </w:tcPr>
          <w:p w14:paraId="3AC5F6F7" w14:textId="70E599F6" w:rsidR="00EB245A" w:rsidRDefault="006021EE">
            <w:pPr>
              <w:pStyle w:val="P68B1DB1-Normal26"/>
              <w:spacing w:after="0" w:line="240" w:lineRule="auto"/>
              <w:jc w:val="center"/>
              <w:rPr>
                <w:rFonts w:eastAsia="Times New Roman" w:cs="Times New Roman"/>
                <w:noProof/>
              </w:rPr>
            </w:pPr>
            <w:r>
              <w:rPr>
                <w:noProof/>
                <w:color w:val="000000" w:themeColor="text1"/>
              </w:rPr>
              <w:t>2025</w:t>
            </w:r>
            <w:r>
              <w:rPr>
                <w:noProof/>
                <w:color w:val="0078D4"/>
              </w:rPr>
              <w:t xml:space="preserve"> </w:t>
            </w:r>
          </w:p>
        </w:tc>
        <w:tc>
          <w:tcPr>
            <w:tcW w:w="2840" w:type="dxa"/>
            <w:tcBorders>
              <w:top w:val="nil"/>
              <w:left w:val="nil"/>
              <w:bottom w:val="single" w:sz="4" w:space="0" w:color="auto"/>
              <w:right w:val="single" w:sz="4" w:space="0" w:color="auto"/>
            </w:tcBorders>
            <w:shd w:val="clear" w:color="auto" w:fill="C6EFCE"/>
            <w:noWrap/>
          </w:tcPr>
          <w:p w14:paraId="57A02730" w14:textId="335064DC" w:rsidR="00EB245A" w:rsidRDefault="006021EE">
            <w:pPr>
              <w:pStyle w:val="P68B1DB1-Normal26"/>
              <w:spacing w:after="0" w:line="240" w:lineRule="auto"/>
              <w:rPr>
                <w:rFonts w:eastAsia="Times New Roman" w:cs="Times New Roman"/>
                <w:noProof/>
              </w:rPr>
            </w:pPr>
            <w:r>
              <w:rPr>
                <w:noProof/>
                <w:color w:val="000000" w:themeColor="text1"/>
              </w:rPr>
              <w:t xml:space="preserve">Mitteilung über die Vergabe </w:t>
            </w:r>
            <w:r>
              <w:rPr>
                <w:noProof/>
                <w:color w:val="000000" w:themeColor="text1"/>
              </w:rPr>
              <w:t>des Auftrags für die Bauarbeiten an der Gasfernleitung Danzig-Gustorzyn.</w:t>
            </w:r>
            <w:r>
              <w:rPr>
                <w:noProof/>
                <w:color w:val="0078D4"/>
              </w:rPr>
              <w:t xml:space="preserve"> </w:t>
            </w:r>
          </w:p>
        </w:tc>
      </w:tr>
      <w:tr w:rsidR="00EB245A" w14:paraId="2C6ED650" w14:textId="77777777" w:rsidTr="00D05E52">
        <w:trPr>
          <w:trHeight w:val="309"/>
          <w:jc w:val="center"/>
        </w:trPr>
        <w:tc>
          <w:tcPr>
            <w:tcW w:w="803" w:type="dxa"/>
            <w:tcBorders>
              <w:top w:val="nil"/>
              <w:left w:val="single" w:sz="4" w:space="0" w:color="auto"/>
              <w:bottom w:val="single" w:sz="4" w:space="0" w:color="auto"/>
              <w:right w:val="single" w:sz="4" w:space="0" w:color="auto"/>
            </w:tcBorders>
            <w:shd w:val="clear" w:color="auto" w:fill="C6EFCE"/>
            <w:noWrap/>
          </w:tcPr>
          <w:p w14:paraId="0AD72A79" w14:textId="0A8914D8" w:rsidR="00EB245A" w:rsidRDefault="006021EE">
            <w:pPr>
              <w:pStyle w:val="P68B1DB1-Normal26"/>
              <w:spacing w:after="0" w:line="240" w:lineRule="auto"/>
              <w:jc w:val="center"/>
              <w:rPr>
                <w:rFonts w:eastAsia="Times New Roman" w:cs="Times New Roman"/>
                <w:noProof/>
              </w:rPr>
            </w:pPr>
            <w:r>
              <w:rPr>
                <w:noProof/>
                <w:color w:val="000000" w:themeColor="text1"/>
              </w:rPr>
              <w:t>G22L</w:t>
            </w:r>
            <w:r>
              <w:rPr>
                <w:noProof/>
                <w:color w:val="0078D4"/>
              </w:rPr>
              <w:t xml:space="preserve"> </w:t>
            </w:r>
          </w:p>
        </w:tc>
        <w:tc>
          <w:tcPr>
            <w:tcW w:w="1461" w:type="dxa"/>
            <w:tcBorders>
              <w:top w:val="nil"/>
              <w:left w:val="nil"/>
              <w:bottom w:val="single" w:sz="4" w:space="0" w:color="auto"/>
              <w:right w:val="single" w:sz="4" w:space="0" w:color="auto"/>
            </w:tcBorders>
            <w:shd w:val="clear" w:color="auto" w:fill="C6EFCE"/>
            <w:noWrap/>
          </w:tcPr>
          <w:p w14:paraId="7B8523A5" w14:textId="5EEB569A" w:rsidR="00EB245A" w:rsidRDefault="006021EE">
            <w:pPr>
              <w:pStyle w:val="P68B1DB1-Normal26"/>
              <w:spacing w:after="0" w:line="240" w:lineRule="auto"/>
              <w:rPr>
                <w:rFonts w:eastAsia="Times New Roman" w:cs="Times New Roman"/>
                <w:noProof/>
              </w:rPr>
            </w:pPr>
            <w:r>
              <w:rPr>
                <w:noProof/>
                <w:color w:val="000000" w:themeColor="text1"/>
              </w:rPr>
              <w:t> G3.2.1 Bau von Erdgasinfrastruktur zur Gewährleistung der Energieversorgungssicherheit</w:t>
            </w:r>
            <w:r>
              <w:rPr>
                <w:noProof/>
                <w:color w:val="0078D4"/>
              </w:rPr>
              <w:t xml:space="preserve"> </w:t>
            </w:r>
          </w:p>
        </w:tc>
        <w:tc>
          <w:tcPr>
            <w:tcW w:w="1275" w:type="dxa"/>
            <w:tcBorders>
              <w:top w:val="nil"/>
              <w:left w:val="nil"/>
              <w:bottom w:val="single" w:sz="4" w:space="0" w:color="auto"/>
              <w:right w:val="single" w:sz="4" w:space="0" w:color="auto"/>
            </w:tcBorders>
            <w:shd w:val="clear" w:color="auto" w:fill="C6EFCE"/>
            <w:noWrap/>
          </w:tcPr>
          <w:p w14:paraId="3DB559EB" w14:textId="05664CAF" w:rsidR="00EB245A" w:rsidRDefault="006021EE">
            <w:pPr>
              <w:pStyle w:val="P68B1DB1-Normal26"/>
              <w:spacing w:after="0" w:line="240" w:lineRule="auto"/>
              <w:rPr>
                <w:rFonts w:eastAsia="Times New Roman" w:cs="Times New Roman"/>
                <w:noProof/>
              </w:rPr>
            </w:pPr>
            <w:r>
              <w:rPr>
                <w:noProof/>
                <w:color w:val="000000" w:themeColor="text1"/>
              </w:rPr>
              <w:t>Meilenstein</w:t>
            </w:r>
            <w:r>
              <w:rPr>
                <w:noProof/>
                <w:color w:val="0078D4"/>
              </w:rPr>
              <w:t xml:space="preserve"> </w:t>
            </w:r>
          </w:p>
        </w:tc>
        <w:tc>
          <w:tcPr>
            <w:tcW w:w="1650" w:type="dxa"/>
            <w:tcBorders>
              <w:top w:val="nil"/>
              <w:left w:val="nil"/>
              <w:bottom w:val="single" w:sz="4" w:space="0" w:color="auto"/>
              <w:right w:val="single" w:sz="4" w:space="0" w:color="auto"/>
            </w:tcBorders>
            <w:shd w:val="clear" w:color="auto" w:fill="C6EFCE"/>
            <w:noWrap/>
          </w:tcPr>
          <w:p w14:paraId="71475247" w14:textId="322F69CC" w:rsidR="00EB245A" w:rsidRDefault="006021EE">
            <w:pPr>
              <w:pStyle w:val="P68B1DB1-Normal26"/>
              <w:spacing w:after="0" w:line="240" w:lineRule="auto"/>
              <w:rPr>
                <w:rFonts w:eastAsia="Times New Roman" w:cs="Times New Roman"/>
                <w:noProof/>
              </w:rPr>
            </w:pPr>
            <w:r>
              <w:rPr>
                <w:noProof/>
              </w:rPr>
              <w:t>Beginn der Bauarbeiten</w:t>
            </w:r>
          </w:p>
        </w:tc>
        <w:tc>
          <w:tcPr>
            <w:tcW w:w="1894" w:type="dxa"/>
            <w:tcBorders>
              <w:top w:val="nil"/>
              <w:left w:val="nil"/>
              <w:bottom w:val="single" w:sz="4" w:space="0" w:color="auto"/>
              <w:right w:val="single" w:sz="4" w:space="0" w:color="auto"/>
            </w:tcBorders>
            <w:shd w:val="clear" w:color="auto" w:fill="C6EFCE"/>
            <w:noWrap/>
          </w:tcPr>
          <w:p w14:paraId="582C59B0" w14:textId="111C0F50" w:rsidR="00EB245A" w:rsidRDefault="006021EE">
            <w:pPr>
              <w:pStyle w:val="P68B1DB1-Normal26"/>
              <w:spacing w:after="0" w:line="240" w:lineRule="auto"/>
              <w:rPr>
                <w:rFonts w:eastAsia="Times New Roman" w:cs="Times New Roman"/>
                <w:noProof/>
              </w:rPr>
            </w:pPr>
            <w:r>
              <w:rPr>
                <w:noProof/>
              </w:rPr>
              <w:t xml:space="preserve">Fortschrittsbericht der zuständigen Behörden über </w:t>
            </w:r>
            <w:r>
              <w:rPr>
                <w:noProof/>
              </w:rPr>
              <w:t>den Beginn der Bauarbeiten</w:t>
            </w:r>
          </w:p>
        </w:tc>
        <w:tc>
          <w:tcPr>
            <w:tcW w:w="1276" w:type="dxa"/>
            <w:tcBorders>
              <w:top w:val="nil"/>
              <w:left w:val="nil"/>
              <w:bottom w:val="single" w:sz="4" w:space="0" w:color="auto"/>
              <w:right w:val="single" w:sz="4" w:space="0" w:color="auto"/>
            </w:tcBorders>
            <w:shd w:val="clear" w:color="auto" w:fill="C6EFCE"/>
            <w:noWrap/>
          </w:tcPr>
          <w:p w14:paraId="3879A45B" w14:textId="77777777" w:rsidR="00EB245A" w:rsidRDefault="00EB245A">
            <w:pPr>
              <w:spacing w:after="0" w:line="240" w:lineRule="auto"/>
              <w:rPr>
                <w:rFonts w:ascii="Times New Roman" w:eastAsia="Times New Roman" w:hAnsi="Times New Roman" w:cs="Times New Roman"/>
                <w:noProof/>
                <w:sz w:val="18"/>
              </w:rPr>
            </w:pPr>
          </w:p>
        </w:tc>
        <w:tc>
          <w:tcPr>
            <w:tcW w:w="1275" w:type="dxa"/>
            <w:tcBorders>
              <w:top w:val="nil"/>
              <w:left w:val="nil"/>
              <w:bottom w:val="single" w:sz="4" w:space="0" w:color="auto"/>
              <w:right w:val="single" w:sz="4" w:space="0" w:color="auto"/>
            </w:tcBorders>
            <w:shd w:val="clear" w:color="auto" w:fill="C6EFCE"/>
            <w:noWrap/>
          </w:tcPr>
          <w:p w14:paraId="2DA314B8" w14:textId="5F71FFF9" w:rsidR="00EB245A" w:rsidRDefault="00EB245A">
            <w:pPr>
              <w:spacing w:after="0" w:line="240" w:lineRule="auto"/>
              <w:jc w:val="center"/>
              <w:rPr>
                <w:rFonts w:ascii="Times New Roman" w:eastAsia="Times New Roman" w:hAnsi="Times New Roman" w:cs="Times New Roman"/>
                <w:noProof/>
                <w:sz w:val="18"/>
              </w:rPr>
            </w:pPr>
          </w:p>
        </w:tc>
        <w:tc>
          <w:tcPr>
            <w:tcW w:w="851" w:type="dxa"/>
            <w:tcBorders>
              <w:top w:val="nil"/>
              <w:left w:val="nil"/>
              <w:bottom w:val="single" w:sz="4" w:space="0" w:color="auto"/>
              <w:right w:val="single" w:sz="4" w:space="0" w:color="auto"/>
            </w:tcBorders>
            <w:shd w:val="clear" w:color="auto" w:fill="C6EFCE"/>
            <w:noWrap/>
          </w:tcPr>
          <w:p w14:paraId="645EB2A1" w14:textId="77777777" w:rsidR="00EB245A" w:rsidRDefault="00EB245A">
            <w:pPr>
              <w:spacing w:after="0" w:line="240" w:lineRule="auto"/>
              <w:jc w:val="center"/>
              <w:rPr>
                <w:rFonts w:ascii="Times New Roman" w:eastAsia="Times New Roman" w:hAnsi="Times New Roman" w:cs="Times New Roman"/>
                <w:noProof/>
                <w:sz w:val="18"/>
              </w:rPr>
            </w:pPr>
          </w:p>
        </w:tc>
        <w:tc>
          <w:tcPr>
            <w:tcW w:w="992" w:type="dxa"/>
            <w:tcBorders>
              <w:top w:val="nil"/>
              <w:left w:val="nil"/>
              <w:bottom w:val="single" w:sz="4" w:space="0" w:color="auto"/>
              <w:right w:val="single" w:sz="4" w:space="0" w:color="auto"/>
            </w:tcBorders>
            <w:shd w:val="clear" w:color="auto" w:fill="C6EFCE"/>
            <w:noWrap/>
          </w:tcPr>
          <w:p w14:paraId="1FF7B7E3" w14:textId="47F15B0A" w:rsidR="00EB245A" w:rsidRDefault="006021EE">
            <w:pPr>
              <w:pStyle w:val="P68B1DB1-Normal26"/>
              <w:spacing w:after="0" w:line="240" w:lineRule="auto"/>
              <w:jc w:val="center"/>
              <w:rPr>
                <w:rFonts w:eastAsia="Times New Roman" w:cs="Times New Roman"/>
                <w:noProof/>
              </w:rPr>
            </w:pPr>
            <w:r>
              <w:rPr>
                <w:noProof/>
              </w:rPr>
              <w:t>Q2</w:t>
            </w:r>
          </w:p>
        </w:tc>
        <w:tc>
          <w:tcPr>
            <w:tcW w:w="992" w:type="dxa"/>
            <w:tcBorders>
              <w:top w:val="nil"/>
              <w:left w:val="nil"/>
              <w:bottom w:val="single" w:sz="4" w:space="0" w:color="auto"/>
              <w:right w:val="single" w:sz="4" w:space="0" w:color="auto"/>
            </w:tcBorders>
            <w:shd w:val="clear" w:color="auto" w:fill="C6EFCE"/>
            <w:noWrap/>
          </w:tcPr>
          <w:p w14:paraId="7D563A6E" w14:textId="4279E61C" w:rsidR="00EB245A" w:rsidRDefault="006021EE">
            <w:pPr>
              <w:pStyle w:val="P68B1DB1-Normal26"/>
              <w:spacing w:after="0" w:line="240" w:lineRule="auto"/>
              <w:jc w:val="center"/>
              <w:rPr>
                <w:rFonts w:eastAsia="Times New Roman" w:cs="Times New Roman"/>
                <w:noProof/>
              </w:rPr>
            </w:pPr>
            <w:r>
              <w:rPr>
                <w:noProof/>
              </w:rPr>
              <w:t>2025</w:t>
            </w:r>
          </w:p>
        </w:tc>
        <w:tc>
          <w:tcPr>
            <w:tcW w:w="2840" w:type="dxa"/>
            <w:tcBorders>
              <w:top w:val="nil"/>
              <w:left w:val="nil"/>
              <w:bottom w:val="single" w:sz="4" w:space="0" w:color="auto"/>
              <w:right w:val="single" w:sz="4" w:space="0" w:color="auto"/>
            </w:tcBorders>
            <w:shd w:val="clear" w:color="auto" w:fill="C6EFCE"/>
            <w:noWrap/>
          </w:tcPr>
          <w:p w14:paraId="700C8C4A" w14:textId="145BAF8A" w:rsidR="00EB245A" w:rsidRDefault="006021EE">
            <w:pPr>
              <w:pStyle w:val="P68B1DB1-Normal26"/>
              <w:spacing w:after="0" w:line="240" w:lineRule="auto"/>
              <w:rPr>
                <w:rFonts w:eastAsia="Times New Roman" w:cs="Times New Roman"/>
                <w:noProof/>
              </w:rPr>
            </w:pPr>
            <w:r>
              <w:rPr>
                <w:noProof/>
              </w:rPr>
              <w:t>Die Bauarbeiten müssen für mindestens einen Abschnitt der Rohrleitung begonnen haben.</w:t>
            </w:r>
          </w:p>
        </w:tc>
      </w:tr>
      <w:tr w:rsidR="00EB245A" w14:paraId="1FE63AA3" w14:textId="77777777" w:rsidTr="00D05E52">
        <w:trPr>
          <w:trHeight w:val="309"/>
          <w:jc w:val="center"/>
        </w:trPr>
        <w:tc>
          <w:tcPr>
            <w:tcW w:w="803" w:type="dxa"/>
            <w:tcBorders>
              <w:top w:val="nil"/>
              <w:left w:val="single" w:sz="4" w:space="0" w:color="auto"/>
              <w:bottom w:val="single" w:sz="4" w:space="0" w:color="auto"/>
              <w:right w:val="single" w:sz="4" w:space="0" w:color="auto"/>
            </w:tcBorders>
            <w:shd w:val="clear" w:color="auto" w:fill="C6EFCE"/>
            <w:noWrap/>
          </w:tcPr>
          <w:p w14:paraId="1A1EA60A" w14:textId="2306D273" w:rsidR="00EB245A" w:rsidRDefault="006021EE">
            <w:pPr>
              <w:pStyle w:val="P68B1DB1-Normal26"/>
              <w:spacing w:after="0" w:line="240" w:lineRule="auto"/>
              <w:jc w:val="center"/>
              <w:rPr>
                <w:rFonts w:eastAsia="Times New Roman" w:cs="Times New Roman"/>
                <w:noProof/>
              </w:rPr>
            </w:pPr>
            <w:r>
              <w:rPr>
                <w:noProof/>
                <w:color w:val="000000" w:themeColor="text1"/>
              </w:rPr>
              <w:t>G23L</w:t>
            </w:r>
            <w:r>
              <w:rPr>
                <w:noProof/>
                <w:color w:val="0078D4"/>
              </w:rPr>
              <w:t xml:space="preserve"> </w:t>
            </w:r>
          </w:p>
        </w:tc>
        <w:tc>
          <w:tcPr>
            <w:tcW w:w="1461" w:type="dxa"/>
            <w:tcBorders>
              <w:top w:val="nil"/>
              <w:left w:val="nil"/>
              <w:bottom w:val="single" w:sz="4" w:space="0" w:color="auto"/>
              <w:right w:val="single" w:sz="4" w:space="0" w:color="auto"/>
            </w:tcBorders>
            <w:shd w:val="clear" w:color="auto" w:fill="C6EFCE"/>
            <w:noWrap/>
          </w:tcPr>
          <w:p w14:paraId="24D49125" w14:textId="6A1894FA" w:rsidR="00EB245A" w:rsidRDefault="006021EE">
            <w:pPr>
              <w:pStyle w:val="P68B1DB1-Normal26"/>
              <w:spacing w:after="0" w:line="240" w:lineRule="auto"/>
              <w:rPr>
                <w:rFonts w:eastAsia="Times New Roman" w:cs="Times New Roman"/>
                <w:noProof/>
              </w:rPr>
            </w:pPr>
            <w:r>
              <w:rPr>
                <w:noProof/>
                <w:color w:val="000000" w:themeColor="text1"/>
              </w:rPr>
              <w:t> G3.2.1 Bau von Erdgasinfrastruktur zur Gewährleistung der Energieversorgungssicherheit</w:t>
            </w:r>
            <w:r>
              <w:rPr>
                <w:noProof/>
                <w:color w:val="0078D4"/>
              </w:rPr>
              <w:t xml:space="preserve"> </w:t>
            </w:r>
          </w:p>
        </w:tc>
        <w:tc>
          <w:tcPr>
            <w:tcW w:w="1275" w:type="dxa"/>
            <w:tcBorders>
              <w:top w:val="nil"/>
              <w:left w:val="nil"/>
              <w:bottom w:val="single" w:sz="4" w:space="0" w:color="auto"/>
              <w:right w:val="single" w:sz="4" w:space="0" w:color="auto"/>
            </w:tcBorders>
            <w:shd w:val="clear" w:color="auto" w:fill="C6EFCE"/>
            <w:noWrap/>
          </w:tcPr>
          <w:p w14:paraId="09D1052C" w14:textId="436B4DB3" w:rsidR="00EB245A" w:rsidRDefault="006021EE">
            <w:pPr>
              <w:pStyle w:val="P68B1DB1-Normal26"/>
              <w:spacing w:after="0" w:line="240" w:lineRule="auto"/>
              <w:rPr>
                <w:rFonts w:eastAsia="Times New Roman" w:cs="Times New Roman"/>
                <w:noProof/>
              </w:rPr>
            </w:pPr>
            <w:r>
              <w:rPr>
                <w:noProof/>
              </w:rPr>
              <w:t>Meilenstein</w:t>
            </w:r>
          </w:p>
        </w:tc>
        <w:tc>
          <w:tcPr>
            <w:tcW w:w="1650" w:type="dxa"/>
            <w:tcBorders>
              <w:top w:val="nil"/>
              <w:left w:val="nil"/>
              <w:bottom w:val="single" w:sz="4" w:space="0" w:color="auto"/>
              <w:right w:val="single" w:sz="4" w:space="0" w:color="auto"/>
            </w:tcBorders>
            <w:shd w:val="clear" w:color="auto" w:fill="C6EFCE"/>
            <w:noWrap/>
          </w:tcPr>
          <w:p w14:paraId="32C01C76" w14:textId="57C4471D" w:rsidR="00EB245A" w:rsidRDefault="006021EE">
            <w:pPr>
              <w:pStyle w:val="P68B1DB1-Normal26"/>
              <w:spacing w:after="0" w:line="240" w:lineRule="auto"/>
              <w:rPr>
                <w:rFonts w:eastAsia="Times New Roman" w:cs="Times New Roman"/>
                <w:noProof/>
              </w:rPr>
            </w:pPr>
            <w:r>
              <w:rPr>
                <w:noProof/>
              </w:rPr>
              <w:t xml:space="preserve">Fertigstellung des Baus </w:t>
            </w:r>
            <w:r>
              <w:rPr>
                <w:noProof/>
              </w:rPr>
              <w:t>der Gaspipeline</w:t>
            </w:r>
          </w:p>
        </w:tc>
        <w:tc>
          <w:tcPr>
            <w:tcW w:w="1894" w:type="dxa"/>
            <w:tcBorders>
              <w:top w:val="nil"/>
              <w:left w:val="nil"/>
              <w:bottom w:val="single" w:sz="4" w:space="0" w:color="auto"/>
              <w:right w:val="single" w:sz="4" w:space="0" w:color="auto"/>
            </w:tcBorders>
            <w:shd w:val="clear" w:color="auto" w:fill="C6EFCE"/>
            <w:noWrap/>
          </w:tcPr>
          <w:p w14:paraId="0F10AC8B" w14:textId="4A8C03AE" w:rsidR="00EB245A" w:rsidRDefault="006021EE">
            <w:pPr>
              <w:pStyle w:val="P68B1DB1-Normal26"/>
              <w:spacing w:after="0" w:line="240" w:lineRule="auto"/>
              <w:rPr>
                <w:rFonts w:eastAsia="Times New Roman" w:cs="Times New Roman"/>
                <w:noProof/>
              </w:rPr>
            </w:pPr>
            <w:r>
              <w:rPr>
                <w:noProof/>
              </w:rPr>
              <w:t>Technische Abnahme der Gaspipeline</w:t>
            </w:r>
          </w:p>
        </w:tc>
        <w:tc>
          <w:tcPr>
            <w:tcW w:w="1276" w:type="dxa"/>
            <w:tcBorders>
              <w:top w:val="nil"/>
              <w:left w:val="nil"/>
              <w:bottom w:val="single" w:sz="4" w:space="0" w:color="auto"/>
              <w:right w:val="single" w:sz="4" w:space="0" w:color="auto"/>
            </w:tcBorders>
            <w:shd w:val="clear" w:color="auto" w:fill="C6EFCE"/>
            <w:noWrap/>
          </w:tcPr>
          <w:p w14:paraId="0DB80387" w14:textId="77777777" w:rsidR="00EB245A" w:rsidRDefault="00EB245A">
            <w:pPr>
              <w:spacing w:after="0" w:line="240" w:lineRule="auto"/>
              <w:rPr>
                <w:rFonts w:ascii="Times New Roman" w:eastAsia="Times New Roman" w:hAnsi="Times New Roman" w:cs="Times New Roman"/>
                <w:noProof/>
                <w:sz w:val="18"/>
              </w:rPr>
            </w:pPr>
          </w:p>
        </w:tc>
        <w:tc>
          <w:tcPr>
            <w:tcW w:w="1275" w:type="dxa"/>
            <w:tcBorders>
              <w:top w:val="nil"/>
              <w:left w:val="nil"/>
              <w:bottom w:val="single" w:sz="4" w:space="0" w:color="auto"/>
              <w:right w:val="single" w:sz="4" w:space="0" w:color="auto"/>
            </w:tcBorders>
            <w:shd w:val="clear" w:color="auto" w:fill="C6EFCE"/>
            <w:noWrap/>
          </w:tcPr>
          <w:p w14:paraId="676BF9E7" w14:textId="77777777" w:rsidR="00EB245A" w:rsidRDefault="00EB245A">
            <w:pPr>
              <w:spacing w:after="0" w:line="240" w:lineRule="auto"/>
              <w:jc w:val="center"/>
              <w:rPr>
                <w:rFonts w:ascii="Times New Roman" w:eastAsia="Times New Roman" w:hAnsi="Times New Roman" w:cs="Times New Roman"/>
                <w:noProof/>
                <w:sz w:val="18"/>
              </w:rPr>
            </w:pPr>
          </w:p>
        </w:tc>
        <w:tc>
          <w:tcPr>
            <w:tcW w:w="851" w:type="dxa"/>
            <w:tcBorders>
              <w:top w:val="nil"/>
              <w:left w:val="nil"/>
              <w:bottom w:val="single" w:sz="4" w:space="0" w:color="auto"/>
              <w:right w:val="single" w:sz="4" w:space="0" w:color="auto"/>
            </w:tcBorders>
            <w:shd w:val="clear" w:color="auto" w:fill="C6EFCE"/>
            <w:noWrap/>
          </w:tcPr>
          <w:p w14:paraId="345F0509" w14:textId="77777777" w:rsidR="00EB245A" w:rsidRDefault="00EB245A">
            <w:pPr>
              <w:spacing w:after="0" w:line="240" w:lineRule="auto"/>
              <w:jc w:val="center"/>
              <w:rPr>
                <w:rFonts w:ascii="Times New Roman" w:eastAsia="Times New Roman" w:hAnsi="Times New Roman" w:cs="Times New Roman"/>
                <w:noProof/>
                <w:sz w:val="18"/>
              </w:rPr>
            </w:pPr>
          </w:p>
        </w:tc>
        <w:tc>
          <w:tcPr>
            <w:tcW w:w="992" w:type="dxa"/>
            <w:tcBorders>
              <w:top w:val="nil"/>
              <w:left w:val="nil"/>
              <w:bottom w:val="single" w:sz="4" w:space="0" w:color="auto"/>
              <w:right w:val="single" w:sz="4" w:space="0" w:color="auto"/>
            </w:tcBorders>
            <w:shd w:val="clear" w:color="auto" w:fill="C6EFCE"/>
            <w:noWrap/>
          </w:tcPr>
          <w:p w14:paraId="3C50F63F" w14:textId="78761761" w:rsidR="00EB245A" w:rsidRDefault="006021EE">
            <w:pPr>
              <w:pStyle w:val="P68B1DB1-Normal26"/>
              <w:spacing w:after="0" w:line="240" w:lineRule="auto"/>
              <w:jc w:val="center"/>
              <w:rPr>
                <w:rFonts w:eastAsia="Times New Roman" w:cs="Times New Roman"/>
                <w:noProof/>
              </w:rPr>
            </w:pPr>
            <w:r>
              <w:rPr>
                <w:noProof/>
              </w:rPr>
              <w:t>Q3</w:t>
            </w:r>
          </w:p>
        </w:tc>
        <w:tc>
          <w:tcPr>
            <w:tcW w:w="992" w:type="dxa"/>
            <w:tcBorders>
              <w:top w:val="nil"/>
              <w:left w:val="nil"/>
              <w:bottom w:val="single" w:sz="4" w:space="0" w:color="auto"/>
              <w:right w:val="single" w:sz="4" w:space="0" w:color="auto"/>
            </w:tcBorders>
            <w:shd w:val="clear" w:color="auto" w:fill="C6EFCE"/>
            <w:noWrap/>
          </w:tcPr>
          <w:p w14:paraId="0903AFC6" w14:textId="3BC2879D" w:rsidR="00EB245A" w:rsidRDefault="006021EE">
            <w:pPr>
              <w:pStyle w:val="P68B1DB1-Normal26"/>
              <w:spacing w:after="0" w:line="240" w:lineRule="auto"/>
              <w:jc w:val="center"/>
              <w:rPr>
                <w:rFonts w:eastAsia="Times New Roman" w:cs="Times New Roman"/>
                <w:noProof/>
              </w:rPr>
            </w:pPr>
            <w:r>
              <w:rPr>
                <w:noProof/>
              </w:rPr>
              <w:t>2026</w:t>
            </w:r>
          </w:p>
        </w:tc>
        <w:tc>
          <w:tcPr>
            <w:tcW w:w="2840" w:type="dxa"/>
            <w:tcBorders>
              <w:top w:val="nil"/>
              <w:left w:val="nil"/>
              <w:bottom w:val="single" w:sz="4" w:space="0" w:color="auto"/>
              <w:right w:val="single" w:sz="4" w:space="0" w:color="auto"/>
            </w:tcBorders>
            <w:shd w:val="clear" w:color="auto" w:fill="C6EFCE"/>
            <w:noWrap/>
          </w:tcPr>
          <w:p w14:paraId="6D7AED15" w14:textId="1A82EBB5" w:rsidR="00EB245A" w:rsidRDefault="006021EE">
            <w:pPr>
              <w:pStyle w:val="P68B1DB1-Normal13"/>
              <w:spacing w:after="0" w:line="240" w:lineRule="auto"/>
              <w:rPr>
                <w:rFonts w:eastAsia="Times New Roman" w:cs="Times New Roman"/>
                <w:noProof/>
              </w:rPr>
            </w:pPr>
            <w:r>
              <w:rPr>
                <w:noProof/>
              </w:rPr>
              <w:t>Die Gasfernleitung Danzig und Gustorzyn mit einer Länge von mindestens 250 km wird bis zum 31. August 2026 gebaut.</w:t>
            </w:r>
          </w:p>
        </w:tc>
      </w:tr>
      <w:tr w:rsidR="00EB245A" w14:paraId="7FBCCA84" w14:textId="77777777" w:rsidTr="00D05E52">
        <w:trPr>
          <w:trHeight w:val="309"/>
          <w:jc w:val="center"/>
        </w:trPr>
        <w:tc>
          <w:tcPr>
            <w:tcW w:w="803" w:type="dxa"/>
            <w:tcBorders>
              <w:top w:val="nil"/>
              <w:left w:val="single" w:sz="4" w:space="0" w:color="auto"/>
              <w:bottom w:val="single" w:sz="4" w:space="0" w:color="auto"/>
              <w:right w:val="single" w:sz="4" w:space="0" w:color="auto"/>
            </w:tcBorders>
            <w:shd w:val="clear" w:color="auto" w:fill="C6EFCE"/>
            <w:noWrap/>
          </w:tcPr>
          <w:p w14:paraId="1AF05490" w14:textId="39CA7A06" w:rsidR="00EB245A" w:rsidRDefault="006021EE">
            <w:pPr>
              <w:pStyle w:val="P68B1DB1-Normal13"/>
              <w:spacing w:line="240" w:lineRule="auto"/>
              <w:jc w:val="center"/>
              <w:rPr>
                <w:noProof/>
              </w:rPr>
            </w:pPr>
            <w:r>
              <w:rPr>
                <w:noProof/>
              </w:rPr>
              <w:t>G24L</w:t>
            </w:r>
          </w:p>
        </w:tc>
        <w:tc>
          <w:tcPr>
            <w:tcW w:w="1461" w:type="dxa"/>
            <w:tcBorders>
              <w:top w:val="nil"/>
              <w:left w:val="nil"/>
              <w:bottom w:val="single" w:sz="4" w:space="0" w:color="auto"/>
              <w:right w:val="single" w:sz="4" w:space="0" w:color="auto"/>
            </w:tcBorders>
            <w:shd w:val="clear" w:color="auto" w:fill="C6EFCE"/>
            <w:noWrap/>
          </w:tcPr>
          <w:p w14:paraId="7F465FB0" w14:textId="6A77041A" w:rsidR="00EB245A" w:rsidRDefault="006021EE">
            <w:pPr>
              <w:pStyle w:val="P68B1DB1-Normal13"/>
              <w:spacing w:line="240" w:lineRule="auto"/>
              <w:rPr>
                <w:noProof/>
              </w:rPr>
            </w:pPr>
            <w:r>
              <w:rPr>
                <w:noProof/>
              </w:rPr>
              <w:t>G3.3.1 Energiespeichersysteme (rückzahlbare Unterstützung)</w:t>
            </w:r>
          </w:p>
        </w:tc>
        <w:tc>
          <w:tcPr>
            <w:tcW w:w="1275" w:type="dxa"/>
            <w:tcBorders>
              <w:top w:val="nil"/>
              <w:left w:val="nil"/>
              <w:bottom w:val="single" w:sz="4" w:space="0" w:color="auto"/>
              <w:right w:val="single" w:sz="4" w:space="0" w:color="auto"/>
            </w:tcBorders>
            <w:shd w:val="clear" w:color="auto" w:fill="C6EFCE"/>
            <w:noWrap/>
          </w:tcPr>
          <w:p w14:paraId="6F1A64FA" w14:textId="11B73C37" w:rsidR="00EB245A" w:rsidRDefault="006021EE">
            <w:pPr>
              <w:pStyle w:val="P68B1DB1-Normal26"/>
              <w:spacing w:line="240" w:lineRule="auto"/>
              <w:rPr>
                <w:noProof/>
              </w:rPr>
            </w:pPr>
            <w:r>
              <w:rPr>
                <w:noProof/>
              </w:rPr>
              <w:t>Meilenstein</w:t>
            </w:r>
          </w:p>
        </w:tc>
        <w:tc>
          <w:tcPr>
            <w:tcW w:w="1650" w:type="dxa"/>
            <w:tcBorders>
              <w:top w:val="nil"/>
              <w:left w:val="nil"/>
              <w:bottom w:val="single" w:sz="4" w:space="0" w:color="auto"/>
              <w:right w:val="single" w:sz="4" w:space="0" w:color="auto"/>
            </w:tcBorders>
            <w:shd w:val="clear" w:color="auto" w:fill="C6EFCE"/>
            <w:noWrap/>
          </w:tcPr>
          <w:p w14:paraId="0C3529A3" w14:textId="2A5C7702" w:rsidR="00EB245A" w:rsidRDefault="006021EE">
            <w:pPr>
              <w:pStyle w:val="P68B1DB1-Normal26"/>
              <w:spacing w:line="240" w:lineRule="auto"/>
              <w:rPr>
                <w:noProof/>
              </w:rPr>
            </w:pPr>
            <w:r>
              <w:rPr>
                <w:noProof/>
              </w:rPr>
              <w:t>Modernisierung bestehender Pumpspeicheranlagen</w:t>
            </w:r>
          </w:p>
        </w:tc>
        <w:tc>
          <w:tcPr>
            <w:tcW w:w="1894" w:type="dxa"/>
            <w:tcBorders>
              <w:top w:val="nil"/>
              <w:left w:val="nil"/>
              <w:bottom w:val="single" w:sz="4" w:space="0" w:color="auto"/>
              <w:right w:val="single" w:sz="4" w:space="0" w:color="auto"/>
            </w:tcBorders>
            <w:shd w:val="clear" w:color="auto" w:fill="C6EFCE"/>
            <w:noWrap/>
          </w:tcPr>
          <w:p w14:paraId="6EBEEE93" w14:textId="42F2B1E6" w:rsidR="00EB245A" w:rsidRDefault="006021EE">
            <w:pPr>
              <w:pStyle w:val="P68B1DB1-Normal26"/>
              <w:spacing w:line="240" w:lineRule="auto"/>
              <w:rPr>
                <w:noProof/>
              </w:rPr>
            </w:pPr>
            <w:r>
              <w:rPr>
                <w:noProof/>
              </w:rPr>
              <w:t>Abschluss der Modernisierung</w:t>
            </w:r>
          </w:p>
        </w:tc>
        <w:tc>
          <w:tcPr>
            <w:tcW w:w="1276" w:type="dxa"/>
            <w:tcBorders>
              <w:top w:val="nil"/>
              <w:left w:val="nil"/>
              <w:bottom w:val="single" w:sz="4" w:space="0" w:color="auto"/>
              <w:right w:val="single" w:sz="4" w:space="0" w:color="auto"/>
            </w:tcBorders>
            <w:shd w:val="clear" w:color="auto" w:fill="C6EFCE"/>
            <w:noWrap/>
          </w:tcPr>
          <w:p w14:paraId="73B6D105" w14:textId="4C09F3A3" w:rsidR="00EB245A" w:rsidRDefault="00EB245A">
            <w:pPr>
              <w:spacing w:line="240" w:lineRule="auto"/>
              <w:rPr>
                <w:rFonts w:ascii="Times New Roman" w:eastAsia="Times New Roman" w:hAnsi="Times New Roman" w:cs="Times New Roman"/>
                <w:noProof/>
                <w:sz w:val="18"/>
              </w:rPr>
            </w:pPr>
          </w:p>
        </w:tc>
        <w:tc>
          <w:tcPr>
            <w:tcW w:w="1275" w:type="dxa"/>
            <w:tcBorders>
              <w:top w:val="nil"/>
              <w:left w:val="nil"/>
              <w:bottom w:val="single" w:sz="4" w:space="0" w:color="auto"/>
              <w:right w:val="single" w:sz="4" w:space="0" w:color="auto"/>
            </w:tcBorders>
            <w:shd w:val="clear" w:color="auto" w:fill="C6EFCE"/>
            <w:noWrap/>
          </w:tcPr>
          <w:p w14:paraId="3F2DDCE4" w14:textId="02E66C7F" w:rsidR="00EB245A" w:rsidRDefault="00EB245A">
            <w:pPr>
              <w:spacing w:line="240" w:lineRule="auto"/>
              <w:jc w:val="center"/>
              <w:rPr>
                <w:rFonts w:ascii="Times New Roman" w:eastAsia="Times New Roman" w:hAnsi="Times New Roman" w:cs="Times New Roman"/>
                <w:noProof/>
                <w:sz w:val="18"/>
              </w:rPr>
            </w:pPr>
          </w:p>
        </w:tc>
        <w:tc>
          <w:tcPr>
            <w:tcW w:w="851" w:type="dxa"/>
            <w:tcBorders>
              <w:top w:val="nil"/>
              <w:left w:val="nil"/>
              <w:bottom w:val="single" w:sz="4" w:space="0" w:color="auto"/>
              <w:right w:val="single" w:sz="4" w:space="0" w:color="auto"/>
            </w:tcBorders>
            <w:shd w:val="clear" w:color="auto" w:fill="C6EFCE"/>
            <w:noWrap/>
          </w:tcPr>
          <w:p w14:paraId="1AB0D6D1" w14:textId="52BB6970" w:rsidR="00EB245A" w:rsidRDefault="00EB245A">
            <w:pPr>
              <w:spacing w:line="240" w:lineRule="auto"/>
              <w:jc w:val="center"/>
              <w:rPr>
                <w:rFonts w:ascii="Times New Roman" w:eastAsia="Times New Roman" w:hAnsi="Times New Roman" w:cs="Times New Roman"/>
                <w:noProof/>
                <w:sz w:val="18"/>
              </w:rPr>
            </w:pPr>
          </w:p>
        </w:tc>
        <w:tc>
          <w:tcPr>
            <w:tcW w:w="992" w:type="dxa"/>
            <w:tcBorders>
              <w:top w:val="nil"/>
              <w:left w:val="nil"/>
              <w:bottom w:val="single" w:sz="4" w:space="0" w:color="auto"/>
              <w:right w:val="single" w:sz="4" w:space="0" w:color="auto"/>
            </w:tcBorders>
            <w:shd w:val="clear" w:color="auto" w:fill="C6EFCE"/>
            <w:noWrap/>
          </w:tcPr>
          <w:p w14:paraId="3C0AEC9B" w14:textId="278444DC" w:rsidR="00EB245A" w:rsidRDefault="006021EE">
            <w:pPr>
              <w:pStyle w:val="P68B1DB1-Normal26"/>
              <w:spacing w:line="240" w:lineRule="auto"/>
              <w:jc w:val="center"/>
              <w:rPr>
                <w:noProof/>
              </w:rPr>
            </w:pPr>
            <w:r>
              <w:rPr>
                <w:noProof/>
              </w:rPr>
              <w:t>Q2</w:t>
            </w:r>
          </w:p>
        </w:tc>
        <w:tc>
          <w:tcPr>
            <w:tcW w:w="992" w:type="dxa"/>
            <w:tcBorders>
              <w:top w:val="nil"/>
              <w:left w:val="nil"/>
              <w:bottom w:val="single" w:sz="4" w:space="0" w:color="auto"/>
              <w:right w:val="single" w:sz="4" w:space="0" w:color="auto"/>
            </w:tcBorders>
            <w:shd w:val="clear" w:color="auto" w:fill="C6EFCE"/>
            <w:noWrap/>
          </w:tcPr>
          <w:p w14:paraId="4B28D3DE" w14:textId="61E0B32A" w:rsidR="00EB245A" w:rsidRDefault="006021EE">
            <w:pPr>
              <w:pStyle w:val="P68B1DB1-Normal26"/>
              <w:spacing w:line="240" w:lineRule="auto"/>
              <w:jc w:val="center"/>
              <w:rPr>
                <w:noProof/>
              </w:rPr>
            </w:pPr>
            <w:r>
              <w:rPr>
                <w:noProof/>
              </w:rPr>
              <w:t>2026</w:t>
            </w:r>
          </w:p>
        </w:tc>
        <w:tc>
          <w:tcPr>
            <w:tcW w:w="2840" w:type="dxa"/>
            <w:tcBorders>
              <w:top w:val="nil"/>
              <w:left w:val="nil"/>
              <w:bottom w:val="single" w:sz="4" w:space="0" w:color="auto"/>
              <w:right w:val="single" w:sz="4" w:space="0" w:color="auto"/>
            </w:tcBorders>
            <w:shd w:val="clear" w:color="auto" w:fill="C6EFCE"/>
            <w:noWrap/>
          </w:tcPr>
          <w:p w14:paraId="02EBF6F6" w14:textId="0FEF713A" w:rsidR="00EB245A" w:rsidRDefault="006021EE">
            <w:pPr>
              <w:pStyle w:val="P68B1DB1-Normal13"/>
              <w:spacing w:line="240" w:lineRule="auto"/>
              <w:rPr>
                <w:noProof/>
              </w:rPr>
            </w:pPr>
            <w:r>
              <w:rPr>
                <w:noProof/>
              </w:rPr>
              <w:t>Abschluss der Modernisierung des oberen Speicherbeckens, des oberen Wassereinlasses und der abgeleiteten Tunnel sowie eines Hydrogenerators des Speicher- und Pumpkraftwe</w:t>
            </w:r>
            <w:r>
              <w:rPr>
                <w:noProof/>
              </w:rPr>
              <w:t>rks.</w:t>
            </w:r>
          </w:p>
          <w:p w14:paraId="034A1DDF" w14:textId="6A935242" w:rsidR="00EB245A" w:rsidRDefault="006021EE">
            <w:pPr>
              <w:pStyle w:val="P68B1DB1-Normal13"/>
              <w:spacing w:line="240" w:lineRule="auto"/>
              <w:rPr>
                <w:noProof/>
              </w:rPr>
            </w:pPr>
            <w:r>
              <w:rPr>
                <w:noProof/>
              </w:rPr>
              <w:t>Das Vorhaben muss zu einer Steigerung der Verfügbarkeit und Effizienz des Kraftwerks im Erzeugungs- und Pumpenmodus führen, und die modernisierte Anlage muss eine Kapazität (Turbinenbetrieb) von mindestens 135 MW haben.</w:t>
            </w:r>
          </w:p>
        </w:tc>
      </w:tr>
    </w:tbl>
    <w:p w14:paraId="2CFB420A" w14:textId="13749C96" w:rsidR="00EB245A" w:rsidRDefault="00EB245A">
      <w:pPr>
        <w:rPr>
          <w:rFonts w:ascii="Times New Roman" w:hAnsi="Times New Roman" w:cs="Times New Roman"/>
          <w:noProof/>
          <w:sz w:val="24"/>
        </w:rPr>
      </w:pPr>
    </w:p>
    <w:p w14:paraId="4B433FB9" w14:textId="5C18582B" w:rsidR="00EB245A" w:rsidRDefault="00EB245A">
      <w:pPr>
        <w:rPr>
          <w:rFonts w:ascii="Times New Roman" w:hAnsi="Times New Roman" w:cs="Times New Roman"/>
          <w:noProof/>
          <w:sz w:val="24"/>
        </w:rPr>
        <w:sectPr w:rsidR="00EB245A" w:rsidSect="005E6922">
          <w:headerReference w:type="even" r:id="rId181"/>
          <w:headerReference w:type="default" r:id="rId182"/>
          <w:footerReference w:type="even" r:id="rId183"/>
          <w:footerReference w:type="default" r:id="rId184"/>
          <w:headerReference w:type="first" r:id="rId185"/>
          <w:footerReference w:type="first" r:id="rId186"/>
          <w:pgSz w:w="16839" w:h="11907" w:orient="landscape"/>
          <w:pgMar w:top="1134" w:right="1134" w:bottom="1134" w:left="1134" w:header="567" w:footer="567" w:gutter="0"/>
          <w:cols w:space="720"/>
          <w:docGrid w:linePitch="299"/>
        </w:sectPr>
      </w:pPr>
    </w:p>
    <w:p w14:paraId="5261C0F7" w14:textId="2D12325B" w:rsidR="00EB245A" w:rsidRDefault="006021EE">
      <w:pPr>
        <w:pStyle w:val="P68B1DB1-Normal44"/>
        <w:rPr>
          <w:rFonts w:eastAsia="Times New Roman" w:cs="Times New Roman"/>
          <w:noProof/>
        </w:rPr>
      </w:pPr>
      <w:r>
        <w:rPr>
          <w:noProof/>
        </w:rPr>
        <w:t>ABSCHNITT 2: FINANZIELLE UNTERSTÜTZUNG</w:t>
      </w:r>
    </w:p>
    <w:p w14:paraId="5A7D5D88" w14:textId="0DC365AD" w:rsidR="00EB245A" w:rsidRDefault="006021EE">
      <w:pPr>
        <w:pStyle w:val="P68B1DB1-ListParagraph45"/>
        <w:tabs>
          <w:tab w:val="num" w:pos="850"/>
        </w:tabs>
        <w:spacing w:before="120" w:after="120" w:line="240" w:lineRule="auto"/>
        <w:ind w:left="426"/>
        <w:jc w:val="both"/>
        <w:rPr>
          <w:rFonts w:eastAsia="Times New Roman" w:cs="Times New Roman"/>
          <w:noProof/>
        </w:rPr>
      </w:pPr>
      <w:r>
        <w:rPr>
          <w:noProof/>
        </w:rPr>
        <w:t xml:space="preserve">Finanziellen Beitrag </w:t>
      </w:r>
    </w:p>
    <w:p w14:paraId="7FE7D52A" w14:textId="625D8D3F" w:rsidR="00EB245A" w:rsidRDefault="006021EE">
      <w:pPr>
        <w:pStyle w:val="P68B1DB1-Normal16"/>
        <w:tabs>
          <w:tab w:val="num" w:pos="850"/>
        </w:tabs>
        <w:spacing w:before="120" w:after="120" w:line="240" w:lineRule="auto"/>
        <w:ind w:left="850" w:hanging="850"/>
        <w:jc w:val="both"/>
        <w:rPr>
          <w:rFonts w:eastAsia="Times New Roman" w:cs="Times New Roman"/>
          <w:noProof/>
        </w:rPr>
      </w:pPr>
      <w:r>
        <w:rPr>
          <w:noProof/>
        </w:rPr>
        <w:t>Die in Artikel 2 Absatz 2 genannten Tranchen werden wie folgt strukturiert:</w:t>
      </w:r>
    </w:p>
    <w:p w14:paraId="3C802FDC" w14:textId="77777777" w:rsidR="00EB245A" w:rsidRDefault="00EB245A">
      <w:pPr>
        <w:spacing w:after="76" w:line="259" w:lineRule="auto"/>
        <w:rPr>
          <w:rFonts w:ascii="Times New Roman" w:hAnsi="Times New Roman" w:cs="Times New Roman"/>
          <w:noProof/>
        </w:rPr>
      </w:pPr>
    </w:p>
    <w:p w14:paraId="1CB8E3DD" w14:textId="77777777" w:rsidR="00EB245A" w:rsidRDefault="006021EE">
      <w:pPr>
        <w:pStyle w:val="P68B1DB1-Normal46"/>
        <w:spacing w:after="3" w:line="259" w:lineRule="auto"/>
        <w:ind w:left="-5"/>
        <w:rPr>
          <w:rFonts w:cs="Times New Roman"/>
          <w:noProof/>
        </w:rPr>
      </w:pPr>
      <w:r>
        <w:rPr>
          <w:noProof/>
        </w:rPr>
        <w:t xml:space="preserve">2.1.1 Erste Tranche (nicht rückzahlbare Unterstützung): </w:t>
      </w:r>
    </w:p>
    <w:tbl>
      <w:tblPr>
        <w:tblStyle w:val="TableGrid0"/>
        <w:tblW w:w="10481" w:type="dxa"/>
        <w:tblInd w:w="10" w:type="dxa"/>
        <w:tblCellMar>
          <w:top w:w="53" w:type="dxa"/>
          <w:left w:w="108" w:type="dxa"/>
          <w:right w:w="58" w:type="dxa"/>
        </w:tblCellMar>
        <w:tblLook w:val="04A0" w:firstRow="1" w:lastRow="0" w:firstColumn="1" w:lastColumn="0" w:noHBand="0" w:noVBand="1"/>
      </w:tblPr>
      <w:tblGrid>
        <w:gridCol w:w="1155"/>
        <w:gridCol w:w="3703"/>
        <w:gridCol w:w="2150"/>
        <w:gridCol w:w="3473"/>
      </w:tblGrid>
      <w:tr w:rsidR="00EB245A" w14:paraId="458C388C" w14:textId="77777777">
        <w:trPr>
          <w:trHeight w:val="719"/>
          <w:tblHeader/>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7C0A600F" w14:textId="77777777" w:rsidR="00EB245A" w:rsidRDefault="006021EE">
            <w:pPr>
              <w:pStyle w:val="P68B1DB1-Normal46"/>
              <w:spacing w:line="259" w:lineRule="auto"/>
              <w:jc w:val="center"/>
              <w:rPr>
                <w:rFonts w:cs="Times New Roman"/>
                <w:noProof/>
              </w:rPr>
            </w:pPr>
            <w:r>
              <w:rPr>
                <w:b/>
                <w:noProof/>
              </w:rPr>
              <w:t>Laufende Nummer</w:t>
            </w:r>
            <w:r>
              <w:rPr>
                <w:noProof/>
              </w:rPr>
              <w:t xml:space="preserve"> </w:t>
            </w:r>
          </w:p>
        </w:tc>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35142A4B" w14:textId="77777777" w:rsidR="00EB245A" w:rsidRDefault="006021EE">
            <w:pPr>
              <w:pStyle w:val="P68B1DB1-Normal46"/>
              <w:spacing w:line="259" w:lineRule="auto"/>
              <w:ind w:left="55"/>
              <w:rPr>
                <w:rFonts w:cs="Times New Roman"/>
                <w:noProof/>
              </w:rPr>
            </w:pPr>
            <w:r>
              <w:rPr>
                <w:b/>
                <w:noProof/>
              </w:rPr>
              <w:t xml:space="preserve">Verbundene </w:t>
            </w:r>
            <w:r>
              <w:rPr>
                <w:b/>
                <w:noProof/>
              </w:rPr>
              <w:t>Maßnahme (Reform oder Investition)</w:t>
            </w:r>
            <w:r>
              <w:rPr>
                <w:noProof/>
              </w:rPr>
              <w:t xml:space="preserve"> </w:t>
            </w:r>
          </w:p>
        </w:tc>
        <w:tc>
          <w:tcPr>
            <w:tcW w:w="12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61A7490C" w14:textId="77777777" w:rsidR="00EB245A" w:rsidRDefault="006021EE">
            <w:pPr>
              <w:pStyle w:val="P68B1DB1-Normal46"/>
              <w:spacing w:line="259" w:lineRule="auto"/>
              <w:ind w:left="10" w:right="6"/>
              <w:jc w:val="center"/>
              <w:rPr>
                <w:rFonts w:cs="Times New Roman"/>
                <w:noProof/>
              </w:rPr>
            </w:pPr>
            <w:r>
              <w:rPr>
                <w:b/>
                <w:noProof/>
              </w:rPr>
              <w:t>Etappenziel/Zielwert</w:t>
            </w:r>
            <w:r>
              <w:rPr>
                <w:noProof/>
              </w:rPr>
              <w:t xml:space="preserve"> </w:t>
            </w:r>
          </w:p>
        </w:tc>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69AA4E56" w14:textId="77777777" w:rsidR="00EB245A" w:rsidRDefault="006021EE">
            <w:pPr>
              <w:pStyle w:val="P68B1DB1-Normal46"/>
              <w:spacing w:line="259" w:lineRule="auto"/>
              <w:ind w:right="45"/>
              <w:jc w:val="center"/>
              <w:rPr>
                <w:rFonts w:cs="Times New Roman"/>
                <w:noProof/>
              </w:rPr>
            </w:pPr>
            <w:r>
              <w:rPr>
                <w:b/>
                <w:noProof/>
              </w:rPr>
              <w:t>Namen</w:t>
            </w:r>
            <w:r>
              <w:rPr>
                <w:noProof/>
              </w:rPr>
              <w:t xml:space="preserve"> </w:t>
            </w:r>
          </w:p>
        </w:tc>
      </w:tr>
      <w:tr w:rsidR="00EB245A" w14:paraId="530DB8AA" w14:textId="77777777">
        <w:trPr>
          <w:trHeight w:val="974"/>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F621DA4" w14:textId="77777777" w:rsidR="00EB245A" w:rsidRDefault="006021EE">
            <w:pPr>
              <w:pStyle w:val="P68B1DB1-Normal46"/>
              <w:spacing w:line="259" w:lineRule="auto"/>
              <w:ind w:right="49"/>
              <w:jc w:val="center"/>
              <w:rPr>
                <w:rFonts w:cs="Times New Roman"/>
                <w:noProof/>
              </w:rPr>
            </w:pPr>
            <w:r>
              <w:rPr>
                <w:noProof/>
              </w:rPr>
              <w:t xml:space="preserve">A1G </w:t>
            </w:r>
          </w:p>
        </w:tc>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217DAB1" w14:textId="77777777" w:rsidR="00EB245A" w:rsidRDefault="006021EE">
            <w:pPr>
              <w:pStyle w:val="P68B1DB1-Normal46"/>
              <w:spacing w:line="259" w:lineRule="auto"/>
              <w:rPr>
                <w:rFonts w:cs="Times New Roman"/>
                <w:noProof/>
              </w:rPr>
            </w:pPr>
            <w:r>
              <w:rPr>
                <w:noProof/>
              </w:rPr>
              <w:t xml:space="preserve">A1.1 Reform des haushaltspolitischen Rahmens </w:t>
            </w:r>
          </w:p>
        </w:tc>
        <w:tc>
          <w:tcPr>
            <w:tcW w:w="12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82DA865" w14:textId="5B1A2305" w:rsidR="00EB245A" w:rsidRDefault="006021EE" w:rsidP="009A3AB9">
            <w:pPr>
              <w:pStyle w:val="P68B1DB1-Normal46"/>
              <w:spacing w:line="259" w:lineRule="auto"/>
              <w:ind w:left="60"/>
              <w:jc w:val="center"/>
              <w:rPr>
                <w:rFonts w:cs="Times New Roman"/>
                <w:noProof/>
              </w:rPr>
            </w:pPr>
            <w:r>
              <w:rPr>
                <w:noProof/>
              </w:rPr>
              <w:t>Meilenstein</w:t>
            </w:r>
          </w:p>
        </w:tc>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AA1FA58" w14:textId="77777777" w:rsidR="00EB245A" w:rsidRDefault="006021EE">
            <w:pPr>
              <w:pStyle w:val="P68B1DB1-Normal46"/>
              <w:spacing w:line="259" w:lineRule="auto"/>
              <w:ind w:left="1"/>
              <w:rPr>
                <w:rFonts w:cs="Times New Roman"/>
                <w:noProof/>
              </w:rPr>
            </w:pPr>
            <w:r>
              <w:rPr>
                <w:noProof/>
              </w:rPr>
              <w:t xml:space="preserve">Ausarbeitung eines Konzeptpapiers zum standardisierten Kontenplan, der in die Haushaltsklassifikation integriert ist </w:t>
            </w:r>
          </w:p>
        </w:tc>
      </w:tr>
      <w:tr w:rsidR="00EB245A" w14:paraId="40F5E485" w14:textId="77777777">
        <w:trPr>
          <w:trHeight w:val="1480"/>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0724286" w14:textId="77777777" w:rsidR="00EB245A" w:rsidRDefault="006021EE">
            <w:pPr>
              <w:pStyle w:val="P68B1DB1-Normal46"/>
              <w:spacing w:line="259" w:lineRule="auto"/>
              <w:ind w:right="49"/>
              <w:jc w:val="center"/>
              <w:rPr>
                <w:rFonts w:cs="Times New Roman"/>
                <w:noProof/>
              </w:rPr>
            </w:pPr>
            <w:r>
              <w:rPr>
                <w:noProof/>
              </w:rPr>
              <w:t xml:space="preserve">A3G </w:t>
            </w:r>
          </w:p>
        </w:tc>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A6EF6AE" w14:textId="77777777" w:rsidR="00EB245A" w:rsidRDefault="006021EE">
            <w:pPr>
              <w:pStyle w:val="P68B1DB1-Normal46"/>
              <w:spacing w:line="259" w:lineRule="auto"/>
              <w:rPr>
                <w:rFonts w:cs="Times New Roman"/>
                <w:noProof/>
              </w:rPr>
            </w:pPr>
            <w:r>
              <w:rPr>
                <w:noProof/>
              </w:rPr>
              <w:t xml:space="preserve">A1.1 Reform des haushaltspolitischen Rahmens </w:t>
            </w:r>
          </w:p>
        </w:tc>
        <w:tc>
          <w:tcPr>
            <w:tcW w:w="12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DFA4F8C" w14:textId="14BE5215" w:rsidR="00EB245A" w:rsidRDefault="006021EE" w:rsidP="009A3AB9">
            <w:pPr>
              <w:pStyle w:val="P68B1DB1-Normal46"/>
              <w:spacing w:line="259" w:lineRule="auto"/>
              <w:ind w:left="60"/>
              <w:jc w:val="center"/>
              <w:rPr>
                <w:rFonts w:cs="Times New Roman"/>
                <w:noProof/>
              </w:rPr>
            </w:pPr>
            <w:r>
              <w:rPr>
                <w:noProof/>
              </w:rPr>
              <w:t>Meilenstein</w:t>
            </w:r>
          </w:p>
        </w:tc>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6CA7BA3" w14:textId="77777777" w:rsidR="00EB245A" w:rsidRDefault="006021EE">
            <w:pPr>
              <w:pStyle w:val="P68B1DB1-Normal46"/>
              <w:spacing w:line="259" w:lineRule="auto"/>
              <w:ind w:left="1"/>
              <w:rPr>
                <w:rFonts w:cs="Times New Roman"/>
                <w:noProof/>
              </w:rPr>
            </w:pPr>
            <w:r>
              <w:rPr>
                <w:noProof/>
              </w:rPr>
              <w:t xml:space="preserve">Inkrafttreten einer Änderung des Gesetzes über die öffentlichen Finanzen, mit der der Anwendungsbereich der Regelung zur Stabilisierung der Ausgaben (SER) auf staatliche Zweckfonds ausgeweitet wird </w:t>
            </w:r>
          </w:p>
        </w:tc>
      </w:tr>
      <w:tr w:rsidR="00EB245A" w14:paraId="3FD39F9A" w14:textId="77777777">
        <w:trPr>
          <w:trHeight w:val="973"/>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44CA705" w14:textId="77777777" w:rsidR="00EB245A" w:rsidRDefault="006021EE">
            <w:pPr>
              <w:pStyle w:val="P68B1DB1-Normal46"/>
              <w:spacing w:line="259" w:lineRule="auto"/>
              <w:ind w:right="49"/>
              <w:jc w:val="center"/>
              <w:rPr>
                <w:rFonts w:cs="Times New Roman"/>
                <w:noProof/>
              </w:rPr>
            </w:pPr>
            <w:r>
              <w:rPr>
                <w:noProof/>
              </w:rPr>
              <w:t xml:space="preserve">A5G </w:t>
            </w:r>
          </w:p>
        </w:tc>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BB04973" w14:textId="77777777" w:rsidR="00EB245A" w:rsidRDefault="006021EE">
            <w:pPr>
              <w:pStyle w:val="P68B1DB1-Normal46"/>
              <w:spacing w:line="259" w:lineRule="auto"/>
              <w:rPr>
                <w:rFonts w:cs="Times New Roman"/>
                <w:noProof/>
              </w:rPr>
            </w:pPr>
            <w:r>
              <w:rPr>
                <w:noProof/>
              </w:rPr>
              <w:t xml:space="preserve">A1.2 Weitere Verringerung des Regelungs- und Verwaltungsaufwands </w:t>
            </w:r>
          </w:p>
        </w:tc>
        <w:tc>
          <w:tcPr>
            <w:tcW w:w="12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4FEAA6D" w14:textId="645FAC3E" w:rsidR="00EB245A" w:rsidRDefault="006021EE" w:rsidP="009A3AB9">
            <w:pPr>
              <w:pStyle w:val="P68B1DB1-Normal46"/>
              <w:spacing w:line="259" w:lineRule="auto"/>
              <w:ind w:left="60"/>
              <w:jc w:val="center"/>
              <w:rPr>
                <w:rFonts w:cs="Times New Roman"/>
                <w:noProof/>
              </w:rPr>
            </w:pPr>
            <w:r>
              <w:rPr>
                <w:noProof/>
              </w:rPr>
              <w:t>Meilenstein</w:t>
            </w:r>
          </w:p>
        </w:tc>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8DCF5EF" w14:textId="77777777" w:rsidR="00EB245A" w:rsidRDefault="006021EE">
            <w:pPr>
              <w:pStyle w:val="P68B1DB1-Normal46"/>
              <w:spacing w:line="259" w:lineRule="auto"/>
              <w:ind w:left="1"/>
              <w:rPr>
                <w:rFonts w:cs="Times New Roman"/>
                <w:noProof/>
              </w:rPr>
            </w:pPr>
            <w:r>
              <w:rPr>
                <w:noProof/>
              </w:rPr>
              <w:t xml:space="preserve">Inkrafttreten eines Legislativpakets zur Verringerung des Verwaltungsaufwands für Unternehmen und Bürger </w:t>
            </w:r>
          </w:p>
        </w:tc>
      </w:tr>
      <w:tr w:rsidR="00EB245A" w14:paraId="359EA574" w14:textId="77777777">
        <w:trPr>
          <w:trHeight w:val="1228"/>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49E9F41" w14:textId="77777777" w:rsidR="00EB245A" w:rsidRDefault="006021EE">
            <w:pPr>
              <w:pStyle w:val="P68B1DB1-Normal46"/>
              <w:spacing w:line="259" w:lineRule="auto"/>
              <w:ind w:right="49"/>
              <w:jc w:val="center"/>
              <w:rPr>
                <w:rFonts w:cs="Times New Roman"/>
                <w:noProof/>
              </w:rPr>
            </w:pPr>
            <w:r>
              <w:rPr>
                <w:noProof/>
              </w:rPr>
              <w:t xml:space="preserve">A18G </w:t>
            </w:r>
          </w:p>
        </w:tc>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4503EF4" w14:textId="77777777" w:rsidR="00EB245A" w:rsidRDefault="006021EE">
            <w:pPr>
              <w:pStyle w:val="P68B1DB1-Normal46"/>
              <w:spacing w:line="259" w:lineRule="auto"/>
              <w:rPr>
                <w:rFonts w:cs="Times New Roman"/>
                <w:noProof/>
              </w:rPr>
            </w:pPr>
            <w:r>
              <w:rPr>
                <w:noProof/>
              </w:rPr>
              <w:t xml:space="preserve">A1.4 Reform zur Verbesserung der Wettbewerbsfähigkeit und des Schutzes der Erzeuger/Verbraucher im Agrarsektor </w:t>
            </w:r>
          </w:p>
        </w:tc>
        <w:tc>
          <w:tcPr>
            <w:tcW w:w="12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58BF546" w14:textId="455FC4B4" w:rsidR="00EB245A" w:rsidRDefault="006021EE" w:rsidP="009A3AB9">
            <w:pPr>
              <w:pStyle w:val="P68B1DB1-Normal46"/>
              <w:spacing w:line="259" w:lineRule="auto"/>
              <w:ind w:left="60"/>
              <w:jc w:val="center"/>
              <w:rPr>
                <w:rFonts w:cs="Times New Roman"/>
                <w:noProof/>
              </w:rPr>
            </w:pPr>
            <w:r>
              <w:rPr>
                <w:noProof/>
              </w:rPr>
              <w:t>Meilenstein</w:t>
            </w:r>
          </w:p>
        </w:tc>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54D6813" w14:textId="77777777" w:rsidR="00EB245A" w:rsidRDefault="006021EE">
            <w:pPr>
              <w:pStyle w:val="P68B1DB1-Normal46"/>
              <w:spacing w:line="259" w:lineRule="auto"/>
              <w:ind w:left="1"/>
              <w:rPr>
                <w:rFonts w:cs="Times New Roman"/>
                <w:noProof/>
              </w:rPr>
            </w:pPr>
            <w:r>
              <w:rPr>
                <w:noProof/>
              </w:rPr>
              <w:t xml:space="preserve">Inkrafttreten eines neuen Gesetzes zur Bekämpfung der unlauteren Nutzung vertraglicher Vorteile im Agrar- und Lebensmittelhandel </w:t>
            </w:r>
          </w:p>
        </w:tc>
      </w:tr>
      <w:tr w:rsidR="00EB245A" w14:paraId="48ACEEF1" w14:textId="77777777">
        <w:trPr>
          <w:trHeight w:val="1227"/>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23E130E" w14:textId="77777777" w:rsidR="00EB245A" w:rsidRDefault="006021EE">
            <w:pPr>
              <w:pStyle w:val="P68B1DB1-Normal46"/>
              <w:spacing w:line="259" w:lineRule="auto"/>
              <w:ind w:right="49"/>
              <w:jc w:val="center"/>
              <w:rPr>
                <w:rFonts w:cs="Times New Roman"/>
                <w:noProof/>
              </w:rPr>
            </w:pPr>
            <w:r>
              <w:rPr>
                <w:noProof/>
              </w:rPr>
              <w:t xml:space="preserve">A20G </w:t>
            </w:r>
          </w:p>
        </w:tc>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26DD79A" w14:textId="77777777" w:rsidR="00EB245A" w:rsidRDefault="006021EE">
            <w:pPr>
              <w:pStyle w:val="P68B1DB1-Normal46"/>
              <w:spacing w:line="259" w:lineRule="auto"/>
              <w:rPr>
                <w:rFonts w:cs="Times New Roman"/>
                <w:noProof/>
              </w:rPr>
            </w:pPr>
            <w:r>
              <w:rPr>
                <w:noProof/>
              </w:rPr>
              <w:t xml:space="preserve">A1.4.1 Investitionen zur Diversifizierung und Verkürzung der Lieferkette von Agrar- und Lebensmittelerzeugnissen und zur Stärkung der Widerstandsfähigkeit der Unternehmen in der Lieferkette </w:t>
            </w:r>
          </w:p>
        </w:tc>
        <w:tc>
          <w:tcPr>
            <w:tcW w:w="12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AF50EC8" w14:textId="060A02BD" w:rsidR="00EB245A" w:rsidRDefault="006021EE" w:rsidP="009A3AB9">
            <w:pPr>
              <w:pStyle w:val="P68B1DB1-Normal46"/>
              <w:spacing w:line="259" w:lineRule="auto"/>
              <w:ind w:left="60"/>
              <w:jc w:val="center"/>
              <w:rPr>
                <w:rFonts w:cs="Times New Roman"/>
                <w:noProof/>
              </w:rPr>
            </w:pPr>
            <w:r>
              <w:rPr>
                <w:noProof/>
              </w:rPr>
              <w:t>Meilenstein</w:t>
            </w:r>
          </w:p>
        </w:tc>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644CE58" w14:textId="77777777" w:rsidR="00EB245A" w:rsidRDefault="006021EE">
            <w:pPr>
              <w:pStyle w:val="P68B1DB1-Normal46"/>
              <w:spacing w:line="259" w:lineRule="auto"/>
              <w:ind w:left="1"/>
              <w:rPr>
                <w:rFonts w:cs="Times New Roman"/>
                <w:noProof/>
              </w:rPr>
            </w:pPr>
            <w:r>
              <w:rPr>
                <w:noProof/>
              </w:rPr>
              <w:t>Annahme von Kriterien für die Auswahl der Begün</w:t>
            </w:r>
            <w:r>
              <w:rPr>
                <w:noProof/>
              </w:rPr>
              <w:t xml:space="preserve">stigten für alle Projekte im Rahmen dieser Investition </w:t>
            </w:r>
          </w:p>
        </w:tc>
      </w:tr>
      <w:tr w:rsidR="00EB245A" w14:paraId="6EC6CE1C" w14:textId="77777777">
        <w:trPr>
          <w:trHeight w:val="1480"/>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D577FD3" w14:textId="77777777" w:rsidR="00EB245A" w:rsidRDefault="006021EE">
            <w:pPr>
              <w:pStyle w:val="P68B1DB1-Normal46"/>
              <w:spacing w:line="259" w:lineRule="auto"/>
              <w:ind w:right="49"/>
              <w:jc w:val="center"/>
              <w:rPr>
                <w:rFonts w:cs="Times New Roman"/>
                <w:noProof/>
              </w:rPr>
            </w:pPr>
            <w:r>
              <w:rPr>
                <w:noProof/>
              </w:rPr>
              <w:t xml:space="preserve">A27G </w:t>
            </w:r>
          </w:p>
        </w:tc>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0CF8730" w14:textId="77777777" w:rsidR="00EB245A" w:rsidRDefault="006021EE">
            <w:pPr>
              <w:pStyle w:val="P68B1DB1-Normal46"/>
              <w:spacing w:line="259" w:lineRule="auto"/>
              <w:rPr>
                <w:rFonts w:cs="Times New Roman"/>
                <w:noProof/>
              </w:rPr>
            </w:pPr>
            <w:r>
              <w:rPr>
                <w:noProof/>
              </w:rPr>
              <w:t xml:space="preserve">A2.1 Beschleunigung von Robotisierungs- und Digitalisierungs- und Innovationsprozessen </w:t>
            </w:r>
          </w:p>
        </w:tc>
        <w:tc>
          <w:tcPr>
            <w:tcW w:w="12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482057F" w14:textId="4917BBDD" w:rsidR="00EB245A" w:rsidRDefault="006021EE" w:rsidP="009A3AB9">
            <w:pPr>
              <w:pStyle w:val="P68B1DB1-Normal46"/>
              <w:spacing w:line="259" w:lineRule="auto"/>
              <w:ind w:left="60"/>
              <w:jc w:val="center"/>
              <w:rPr>
                <w:rFonts w:cs="Times New Roman"/>
                <w:noProof/>
              </w:rPr>
            </w:pPr>
            <w:r>
              <w:rPr>
                <w:noProof/>
              </w:rPr>
              <w:t>Meilenstein</w:t>
            </w:r>
          </w:p>
        </w:tc>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B199070" w14:textId="77777777" w:rsidR="00EB245A" w:rsidRDefault="006021EE">
            <w:pPr>
              <w:pStyle w:val="P68B1DB1-Normal46"/>
              <w:spacing w:line="259" w:lineRule="auto"/>
              <w:ind w:left="1"/>
              <w:rPr>
                <w:rFonts w:cs="Times New Roman"/>
                <w:noProof/>
              </w:rPr>
            </w:pPr>
            <w:r>
              <w:rPr>
                <w:noProof/>
              </w:rPr>
              <w:t xml:space="preserve">Inkrafttreten eines neuen Gesetzes zur Unterstützung der Automatisierung, Digitalisierung und Innovation von Unternehmen durch die Einführung einer Steuererleichterung für Robotisierung </w:t>
            </w:r>
          </w:p>
        </w:tc>
      </w:tr>
      <w:tr w:rsidR="00EB245A" w14:paraId="324A5B33" w14:textId="77777777">
        <w:trPr>
          <w:trHeight w:val="1481"/>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BDDF591" w14:textId="77777777" w:rsidR="00EB245A" w:rsidRDefault="006021EE">
            <w:pPr>
              <w:pStyle w:val="P68B1DB1-Normal46"/>
              <w:spacing w:line="259" w:lineRule="auto"/>
              <w:ind w:right="49"/>
              <w:jc w:val="center"/>
              <w:rPr>
                <w:rFonts w:cs="Times New Roman"/>
                <w:noProof/>
              </w:rPr>
            </w:pPr>
            <w:r>
              <w:rPr>
                <w:noProof/>
              </w:rPr>
              <w:t xml:space="preserve">A38G </w:t>
            </w:r>
          </w:p>
        </w:tc>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D229D01" w14:textId="77777777" w:rsidR="00EB245A" w:rsidRDefault="006021EE">
            <w:pPr>
              <w:pStyle w:val="P68B1DB1-Normal46"/>
              <w:spacing w:line="259" w:lineRule="auto"/>
              <w:rPr>
                <w:rFonts w:cs="Times New Roman"/>
                <w:noProof/>
              </w:rPr>
            </w:pPr>
            <w:r>
              <w:rPr>
                <w:noProof/>
              </w:rPr>
              <w:t xml:space="preserve">A2.4 Stärkung der Mechanismen für die Zusammenarbeit zwischen Wissenschaft und Industrie </w:t>
            </w:r>
          </w:p>
        </w:tc>
        <w:tc>
          <w:tcPr>
            <w:tcW w:w="12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3EE2DB1" w14:textId="2E8EF7C2" w:rsidR="00EB245A" w:rsidRDefault="006021EE" w:rsidP="009A3AB9">
            <w:pPr>
              <w:pStyle w:val="P68B1DB1-Normal46"/>
              <w:spacing w:line="259" w:lineRule="auto"/>
              <w:ind w:left="60"/>
              <w:jc w:val="center"/>
              <w:rPr>
                <w:rFonts w:cs="Times New Roman"/>
                <w:noProof/>
              </w:rPr>
            </w:pPr>
            <w:r>
              <w:rPr>
                <w:noProof/>
              </w:rPr>
              <w:t>Meilenstein</w:t>
            </w:r>
          </w:p>
        </w:tc>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35BC2BB" w14:textId="77777777" w:rsidR="00EB245A" w:rsidRDefault="006021EE">
            <w:pPr>
              <w:pStyle w:val="P68B1DB1-Normal46"/>
              <w:spacing w:line="259" w:lineRule="auto"/>
              <w:ind w:left="1" w:right="17"/>
              <w:rPr>
                <w:rFonts w:cs="Times New Roman"/>
                <w:noProof/>
              </w:rPr>
            </w:pPr>
            <w:r>
              <w:rPr>
                <w:noProof/>
              </w:rPr>
              <w:t>Inkrafttreten eines Gesetzes zur Änderung des Gesetzes über Hochschulbildung und Wissenschaft im Hinblick auf den Katalog der Einrichtungen, die gemeinsam</w:t>
            </w:r>
            <w:r>
              <w:rPr>
                <w:noProof/>
              </w:rPr>
              <w:t xml:space="preserve"> mit Hochschulen Zweckgesellschaften schaffen können </w:t>
            </w:r>
          </w:p>
        </w:tc>
      </w:tr>
      <w:tr w:rsidR="00EB245A" w14:paraId="304970AF" w14:textId="77777777">
        <w:trPr>
          <w:trHeight w:val="1226"/>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9997024" w14:textId="77777777" w:rsidR="00EB245A" w:rsidRDefault="006021EE">
            <w:pPr>
              <w:pStyle w:val="P68B1DB1-Normal46"/>
              <w:spacing w:line="259" w:lineRule="auto"/>
              <w:ind w:right="49"/>
              <w:jc w:val="center"/>
              <w:rPr>
                <w:rFonts w:cs="Times New Roman"/>
                <w:noProof/>
              </w:rPr>
            </w:pPr>
            <w:r>
              <w:rPr>
                <w:noProof/>
              </w:rPr>
              <w:t xml:space="preserve">A39G </w:t>
            </w:r>
          </w:p>
        </w:tc>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E701342" w14:textId="77777777" w:rsidR="00EB245A" w:rsidRDefault="006021EE">
            <w:pPr>
              <w:pStyle w:val="P68B1DB1-Normal46"/>
              <w:spacing w:line="259" w:lineRule="auto"/>
              <w:rPr>
                <w:rFonts w:cs="Times New Roman"/>
                <w:noProof/>
              </w:rPr>
            </w:pPr>
            <w:r>
              <w:rPr>
                <w:noProof/>
              </w:rPr>
              <w:t xml:space="preserve">A2.4 Stärkung der Mechanismen für die Zusammenarbeit zwischen Wissenschaft und Industrie </w:t>
            </w:r>
          </w:p>
        </w:tc>
        <w:tc>
          <w:tcPr>
            <w:tcW w:w="12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C9FA051" w14:textId="3DC3AB96" w:rsidR="00EB245A" w:rsidRDefault="006021EE" w:rsidP="009A3AB9">
            <w:pPr>
              <w:pStyle w:val="P68B1DB1-Normal46"/>
              <w:spacing w:line="259" w:lineRule="auto"/>
              <w:ind w:left="60"/>
              <w:jc w:val="center"/>
              <w:rPr>
                <w:rFonts w:cs="Times New Roman"/>
                <w:noProof/>
              </w:rPr>
            </w:pPr>
            <w:r>
              <w:rPr>
                <w:noProof/>
              </w:rPr>
              <w:t>Meilenstein</w:t>
            </w:r>
          </w:p>
        </w:tc>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2D63F5B" w14:textId="77777777" w:rsidR="00EB245A" w:rsidRDefault="006021EE">
            <w:pPr>
              <w:pStyle w:val="P68B1DB1-Normal46"/>
              <w:spacing w:line="259" w:lineRule="auto"/>
              <w:ind w:left="1"/>
              <w:rPr>
                <w:rFonts w:cs="Times New Roman"/>
                <w:noProof/>
              </w:rPr>
            </w:pPr>
            <w:r>
              <w:rPr>
                <w:noProof/>
              </w:rPr>
              <w:t xml:space="preserve">Festlegung von Regeln für die Nutzung von Laboratorien und den Wissenstransfer von Instituten unter der Aufsicht des Ministers für Landwirtschaft und ländliche Entwicklung   </w:t>
            </w:r>
          </w:p>
        </w:tc>
      </w:tr>
      <w:tr w:rsidR="00EB245A" w14:paraId="61852FFA" w14:textId="77777777">
        <w:trPr>
          <w:trHeight w:val="1025"/>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C74AF43" w14:textId="77777777" w:rsidR="00EB245A" w:rsidRDefault="006021EE">
            <w:pPr>
              <w:pStyle w:val="P68B1DB1-Normal46"/>
              <w:spacing w:line="259" w:lineRule="auto"/>
              <w:ind w:right="49"/>
              <w:jc w:val="center"/>
              <w:rPr>
                <w:rFonts w:cs="Times New Roman"/>
                <w:noProof/>
              </w:rPr>
            </w:pPr>
            <w:r>
              <w:rPr>
                <w:noProof/>
              </w:rPr>
              <w:t xml:space="preserve">A59G </w:t>
            </w:r>
          </w:p>
        </w:tc>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3744DF7" w14:textId="77777777" w:rsidR="00EB245A" w:rsidRDefault="006021EE">
            <w:pPr>
              <w:pStyle w:val="P68B1DB1-Normal46"/>
              <w:spacing w:line="259" w:lineRule="auto"/>
              <w:rPr>
                <w:rFonts w:cs="Times New Roman"/>
                <w:noProof/>
              </w:rPr>
            </w:pPr>
            <w:r>
              <w:rPr>
                <w:noProof/>
              </w:rPr>
              <w:t xml:space="preserve">A4.2 Reform zur Verbesserung der Arbeitsmarktsituation von Eltern durch Verbesserung des Zugangs zu Kinderbetreuung für Kinder bis zum Alter von drei Jahren </w:t>
            </w:r>
          </w:p>
        </w:tc>
        <w:tc>
          <w:tcPr>
            <w:tcW w:w="12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F164C3D" w14:textId="23303CAA" w:rsidR="00EB245A" w:rsidRDefault="006021EE" w:rsidP="009A3AB9">
            <w:pPr>
              <w:pStyle w:val="P68B1DB1-Normal46"/>
              <w:spacing w:line="259" w:lineRule="auto"/>
              <w:ind w:left="60"/>
              <w:jc w:val="center"/>
              <w:rPr>
                <w:noProof/>
              </w:rPr>
            </w:pPr>
            <w:r>
              <w:rPr>
                <w:noProof/>
              </w:rPr>
              <w:t>Meilenstein</w:t>
            </w:r>
          </w:p>
          <w:p w14:paraId="4FDFF883" w14:textId="77777777" w:rsidR="009A3AB9" w:rsidRPr="009A3AB9" w:rsidRDefault="009A3AB9" w:rsidP="009A3AB9">
            <w:pPr>
              <w:ind w:firstLine="720"/>
              <w:rPr>
                <w:noProof/>
              </w:rPr>
            </w:pPr>
          </w:p>
        </w:tc>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E4D9620" w14:textId="32C8EAD9" w:rsidR="00EB245A" w:rsidRDefault="006021EE">
            <w:pPr>
              <w:pStyle w:val="P68B1DB1-Normal46"/>
              <w:spacing w:line="259" w:lineRule="auto"/>
              <w:ind w:left="1"/>
              <w:rPr>
                <w:rFonts w:cs="Times New Roman"/>
                <w:noProof/>
              </w:rPr>
            </w:pPr>
            <w:r>
              <w:rPr>
                <w:noProof/>
              </w:rPr>
              <w:t>Inkrafttreten eines Gesetzes zur Änderung des Gesetzes über die Betreuung von Kindern</w:t>
            </w:r>
            <w:r>
              <w:rPr>
                <w:noProof/>
              </w:rPr>
              <w:t xml:space="preserve"> bis zu drei Jahren zur Änderung der Organisation des Systems zur Finanzierung der Betreuung von Kindern bis zum Alter von drei Jahren im Hinblick auf die Einführung eines einheitlichen, kohärenten Finanzmanagementsystems für die Schaffung und den Betrieb </w:t>
            </w:r>
            <w:r>
              <w:rPr>
                <w:noProof/>
              </w:rPr>
              <w:t xml:space="preserve">von Kinderbetreuungseinrichtungen für Kinder bis zu drei Jahren </w:t>
            </w:r>
          </w:p>
        </w:tc>
      </w:tr>
      <w:tr w:rsidR="00EB245A" w14:paraId="49595F9E" w14:textId="77777777">
        <w:trPr>
          <w:trHeight w:val="1025"/>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D09520C" w14:textId="0F0AEB12" w:rsidR="00EB245A" w:rsidRDefault="006021EE">
            <w:pPr>
              <w:pStyle w:val="P68B1DB1-Normal46"/>
              <w:spacing w:line="259" w:lineRule="auto"/>
              <w:ind w:right="49"/>
              <w:jc w:val="center"/>
              <w:rPr>
                <w:rFonts w:cs="Times New Roman"/>
                <w:noProof/>
              </w:rPr>
            </w:pPr>
            <w:r>
              <w:rPr>
                <w:noProof/>
              </w:rPr>
              <w:t xml:space="preserve">A60G </w:t>
            </w:r>
          </w:p>
        </w:tc>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99D7451" w14:textId="30E8B847" w:rsidR="00EB245A" w:rsidRDefault="006021EE">
            <w:pPr>
              <w:pStyle w:val="P68B1DB1-Normal46"/>
              <w:spacing w:line="259" w:lineRule="auto"/>
              <w:rPr>
                <w:rFonts w:cs="Times New Roman"/>
                <w:noProof/>
              </w:rPr>
            </w:pPr>
            <w:r>
              <w:rPr>
                <w:noProof/>
              </w:rPr>
              <w:t xml:space="preserve">A4.2.1 Unterstützung für Kinderbetreuungseinrichtungen für Kinder bis zu drei Jahren (Kinderkrippen, Kinderclubs) unter Maluch+ </w:t>
            </w:r>
          </w:p>
        </w:tc>
        <w:tc>
          <w:tcPr>
            <w:tcW w:w="12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8843F17" w14:textId="0C93F7F7" w:rsidR="00EB245A" w:rsidRDefault="006021EE" w:rsidP="009A3AB9">
            <w:pPr>
              <w:pStyle w:val="P68B1DB1-Normal46"/>
              <w:spacing w:line="259" w:lineRule="auto"/>
              <w:ind w:left="60"/>
              <w:jc w:val="center"/>
              <w:rPr>
                <w:rFonts w:cs="Times New Roman"/>
                <w:noProof/>
              </w:rPr>
            </w:pPr>
            <w:r>
              <w:rPr>
                <w:noProof/>
              </w:rPr>
              <w:t>Meilenstein</w:t>
            </w:r>
          </w:p>
        </w:tc>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4750BFA" w14:textId="6D44DF99" w:rsidR="00EB245A" w:rsidRDefault="006021EE">
            <w:pPr>
              <w:pStyle w:val="P68B1DB1-Normal46"/>
              <w:spacing w:line="259" w:lineRule="auto"/>
              <w:ind w:left="1"/>
              <w:rPr>
                <w:rFonts w:cs="Times New Roman"/>
                <w:noProof/>
              </w:rPr>
            </w:pPr>
            <w:r>
              <w:rPr>
                <w:noProof/>
              </w:rPr>
              <w:t xml:space="preserve">Schaffung eines IT-Systems zur Verwaltung der Finanzierung und Schaffung von Kinderbetreuungseinrichtungen für Kinder bis zu drei Jahren, in dem verschiedene Finanzierungsquellen für die Kinderbetreuung kombiniert werden </w:t>
            </w:r>
          </w:p>
        </w:tc>
      </w:tr>
      <w:tr w:rsidR="00EB245A" w14:paraId="18806BB8" w14:textId="77777777">
        <w:trPr>
          <w:trHeight w:val="1025"/>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958E562" w14:textId="11B11E21" w:rsidR="00EB245A" w:rsidRDefault="006021EE">
            <w:pPr>
              <w:pStyle w:val="P68B1DB1-Normal46"/>
              <w:spacing w:line="259" w:lineRule="auto"/>
              <w:ind w:right="49"/>
              <w:jc w:val="center"/>
              <w:rPr>
                <w:rFonts w:cs="Times New Roman"/>
                <w:noProof/>
              </w:rPr>
            </w:pPr>
            <w:r>
              <w:rPr>
                <w:noProof/>
              </w:rPr>
              <w:t xml:space="preserve">A62G </w:t>
            </w:r>
          </w:p>
        </w:tc>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2648C96" w14:textId="52DD98E0" w:rsidR="00EB245A" w:rsidRDefault="006021EE">
            <w:pPr>
              <w:pStyle w:val="P68B1DB1-Normal46"/>
              <w:spacing w:line="259" w:lineRule="auto"/>
              <w:rPr>
                <w:rFonts w:cs="Times New Roman"/>
                <w:noProof/>
              </w:rPr>
            </w:pPr>
            <w:r>
              <w:rPr>
                <w:noProof/>
              </w:rPr>
              <w:t>A4.3 Umsetzung des Rechtsra</w:t>
            </w:r>
            <w:r>
              <w:rPr>
                <w:noProof/>
              </w:rPr>
              <w:t xml:space="preserve">hmens für sozialwirtschaftliche Einrichtungen </w:t>
            </w:r>
          </w:p>
        </w:tc>
        <w:tc>
          <w:tcPr>
            <w:tcW w:w="12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67221DE" w14:textId="239C66AB" w:rsidR="00EB245A" w:rsidRDefault="006021EE" w:rsidP="009A3AB9">
            <w:pPr>
              <w:pStyle w:val="P68B1DB1-Normal46"/>
              <w:spacing w:line="259" w:lineRule="auto"/>
              <w:ind w:left="60"/>
              <w:jc w:val="center"/>
              <w:rPr>
                <w:rFonts w:cs="Times New Roman"/>
                <w:noProof/>
              </w:rPr>
            </w:pPr>
            <w:r>
              <w:rPr>
                <w:noProof/>
              </w:rPr>
              <w:t>Meilenstein</w:t>
            </w:r>
          </w:p>
        </w:tc>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38A3782" w14:textId="71C2F2BC" w:rsidR="00EB245A" w:rsidRDefault="006021EE">
            <w:pPr>
              <w:pStyle w:val="P68B1DB1-Normal46"/>
              <w:spacing w:line="259" w:lineRule="auto"/>
              <w:ind w:left="1"/>
              <w:rPr>
                <w:rFonts w:cs="Times New Roman"/>
                <w:noProof/>
              </w:rPr>
            </w:pPr>
            <w:r>
              <w:rPr>
                <w:noProof/>
              </w:rPr>
              <w:t xml:space="preserve">Inkrafttreten eines Gesetzes über die Sozialwirtschaft </w:t>
            </w:r>
          </w:p>
        </w:tc>
      </w:tr>
      <w:tr w:rsidR="00EB245A" w14:paraId="2EE26902" w14:textId="77777777">
        <w:trPr>
          <w:trHeight w:val="1025"/>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DE8909B" w14:textId="3EE333BD" w:rsidR="00EB245A" w:rsidRDefault="006021EE">
            <w:pPr>
              <w:pStyle w:val="P68B1DB1-Normal46"/>
              <w:spacing w:line="259" w:lineRule="auto"/>
              <w:ind w:right="49"/>
              <w:jc w:val="center"/>
              <w:rPr>
                <w:rFonts w:cs="Times New Roman"/>
                <w:noProof/>
              </w:rPr>
            </w:pPr>
            <w:r>
              <w:rPr>
                <w:noProof/>
              </w:rPr>
              <w:t xml:space="preserve">B1G </w:t>
            </w:r>
          </w:p>
        </w:tc>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E006771" w14:textId="2D44B47A" w:rsidR="00EB245A" w:rsidRDefault="006021EE">
            <w:pPr>
              <w:pStyle w:val="P68B1DB1-Normal46"/>
              <w:spacing w:line="259" w:lineRule="auto"/>
              <w:rPr>
                <w:rFonts w:cs="Times New Roman"/>
                <w:noProof/>
              </w:rPr>
            </w:pPr>
            <w:r>
              <w:rPr>
                <w:noProof/>
              </w:rPr>
              <w:t xml:space="preserve">B1.1 Saubere Luft und Energieeffizienz </w:t>
            </w:r>
          </w:p>
        </w:tc>
        <w:tc>
          <w:tcPr>
            <w:tcW w:w="12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08D51CA" w14:textId="421B80D8" w:rsidR="00EB245A" w:rsidRDefault="006021EE" w:rsidP="009A3AB9">
            <w:pPr>
              <w:pStyle w:val="P68B1DB1-Normal46"/>
              <w:spacing w:line="259" w:lineRule="auto"/>
              <w:ind w:left="60"/>
              <w:jc w:val="center"/>
              <w:rPr>
                <w:rFonts w:cs="Times New Roman"/>
                <w:noProof/>
              </w:rPr>
            </w:pPr>
            <w:r>
              <w:rPr>
                <w:noProof/>
              </w:rPr>
              <w:t>Meilenstein</w:t>
            </w:r>
          </w:p>
        </w:tc>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887700C" w14:textId="1F5E5CF4" w:rsidR="00EB245A" w:rsidRDefault="006021EE">
            <w:pPr>
              <w:pStyle w:val="P68B1DB1-Normal46"/>
              <w:spacing w:line="259" w:lineRule="auto"/>
              <w:ind w:left="1"/>
              <w:rPr>
                <w:rFonts w:cs="Times New Roman"/>
                <w:noProof/>
              </w:rPr>
            </w:pPr>
            <w:r>
              <w:rPr>
                <w:noProof/>
              </w:rPr>
              <w:t xml:space="preserve">Inkrafttreten eines Rechtsakts zur Änderung des Energieeffizienzgesetzes und der damit verbundenen Gesetzgebungsakte </w:t>
            </w:r>
          </w:p>
        </w:tc>
      </w:tr>
      <w:tr w:rsidR="00EB245A" w14:paraId="3165E241" w14:textId="77777777">
        <w:trPr>
          <w:trHeight w:val="1025"/>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735A734" w14:textId="2CA5A35E" w:rsidR="00EB245A" w:rsidRDefault="006021EE">
            <w:pPr>
              <w:pStyle w:val="P68B1DB1-Normal46"/>
              <w:spacing w:line="259" w:lineRule="auto"/>
              <w:ind w:right="49"/>
              <w:jc w:val="center"/>
              <w:rPr>
                <w:rFonts w:cs="Times New Roman"/>
                <w:noProof/>
              </w:rPr>
            </w:pPr>
            <w:r>
              <w:rPr>
                <w:noProof/>
              </w:rPr>
              <w:t xml:space="preserve">B3G </w:t>
            </w:r>
          </w:p>
        </w:tc>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05C4FBB" w14:textId="69791920" w:rsidR="00EB245A" w:rsidRDefault="006021EE">
            <w:pPr>
              <w:pStyle w:val="P68B1DB1-Normal46"/>
              <w:spacing w:line="259" w:lineRule="auto"/>
              <w:rPr>
                <w:rFonts w:cs="Times New Roman"/>
                <w:noProof/>
              </w:rPr>
            </w:pPr>
            <w:r>
              <w:rPr>
                <w:noProof/>
              </w:rPr>
              <w:t xml:space="preserve">B1.1 Saubere Luft und Energieeffizienz </w:t>
            </w:r>
          </w:p>
        </w:tc>
        <w:tc>
          <w:tcPr>
            <w:tcW w:w="12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06B8A9B" w14:textId="342AA653" w:rsidR="00EB245A" w:rsidRDefault="006021EE" w:rsidP="009A3AB9">
            <w:pPr>
              <w:pStyle w:val="P68B1DB1-Normal46"/>
              <w:spacing w:line="259" w:lineRule="auto"/>
              <w:ind w:left="60"/>
              <w:jc w:val="center"/>
              <w:rPr>
                <w:rFonts w:cs="Times New Roman"/>
                <w:noProof/>
              </w:rPr>
            </w:pPr>
            <w:r>
              <w:rPr>
                <w:noProof/>
              </w:rPr>
              <w:t>Meilenstein</w:t>
            </w:r>
          </w:p>
        </w:tc>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E9D6CBE" w14:textId="77777777" w:rsidR="00EB245A" w:rsidRDefault="006021EE">
            <w:pPr>
              <w:pStyle w:val="P68B1DB1-Normal46"/>
              <w:spacing w:line="259" w:lineRule="auto"/>
              <w:ind w:left="1"/>
              <w:rPr>
                <w:rFonts w:cs="Times New Roman"/>
                <w:noProof/>
              </w:rPr>
            </w:pPr>
            <w:r>
              <w:rPr>
                <w:noProof/>
              </w:rPr>
              <w:t xml:space="preserve">Aktualisierung des nationalen Luftverkehrsschutzes </w:t>
            </w:r>
          </w:p>
          <w:p w14:paraId="28B135B3" w14:textId="2861B108" w:rsidR="00EB245A" w:rsidRDefault="006021EE">
            <w:pPr>
              <w:pStyle w:val="P68B1DB1-Normal46"/>
              <w:spacing w:line="259" w:lineRule="auto"/>
              <w:ind w:left="1"/>
              <w:rPr>
                <w:rFonts w:cs="Times New Roman"/>
                <w:noProof/>
              </w:rPr>
            </w:pPr>
            <w:r>
              <w:rPr>
                <w:noProof/>
              </w:rPr>
              <w:t xml:space="preserve">Programm </w:t>
            </w:r>
          </w:p>
        </w:tc>
      </w:tr>
      <w:tr w:rsidR="00EB245A" w14:paraId="48B46D2C" w14:textId="77777777">
        <w:trPr>
          <w:trHeight w:val="1025"/>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8958850" w14:textId="4CCD01C2" w:rsidR="00EB245A" w:rsidRDefault="006021EE">
            <w:pPr>
              <w:pStyle w:val="P68B1DB1-Normal46"/>
              <w:spacing w:line="259" w:lineRule="auto"/>
              <w:ind w:right="49"/>
              <w:jc w:val="center"/>
              <w:rPr>
                <w:rFonts w:cs="Times New Roman"/>
                <w:noProof/>
              </w:rPr>
            </w:pPr>
            <w:r>
              <w:rPr>
                <w:noProof/>
              </w:rPr>
              <w:t xml:space="preserve">B16G </w:t>
            </w:r>
          </w:p>
        </w:tc>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B9B152B" w14:textId="6FC941F8" w:rsidR="00EB245A" w:rsidRDefault="006021EE">
            <w:pPr>
              <w:pStyle w:val="P68B1DB1-Normal46"/>
              <w:spacing w:line="259" w:lineRule="auto"/>
              <w:rPr>
                <w:rFonts w:cs="Times New Roman"/>
                <w:noProof/>
              </w:rPr>
            </w:pPr>
            <w:r>
              <w:rPr>
                <w:noProof/>
              </w:rPr>
              <w:t xml:space="preserve">B2.1 Verbesserung der Bedingungen für die Entwicklung von Wasserstofftechnologien und anderen dekarbonisierten Gasen </w:t>
            </w:r>
          </w:p>
        </w:tc>
        <w:tc>
          <w:tcPr>
            <w:tcW w:w="12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787DDA0" w14:textId="633B9F68" w:rsidR="00EB245A" w:rsidRDefault="006021EE" w:rsidP="009A3AB9">
            <w:pPr>
              <w:pStyle w:val="P68B1DB1-Normal46"/>
              <w:spacing w:line="259" w:lineRule="auto"/>
              <w:ind w:left="60"/>
              <w:jc w:val="center"/>
              <w:rPr>
                <w:rFonts w:cs="Times New Roman"/>
                <w:noProof/>
              </w:rPr>
            </w:pPr>
            <w:r>
              <w:rPr>
                <w:noProof/>
              </w:rPr>
              <w:t>Meilenstein</w:t>
            </w:r>
          </w:p>
        </w:tc>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24E1625" w14:textId="477A6130" w:rsidR="00EB245A" w:rsidRDefault="006021EE">
            <w:pPr>
              <w:pStyle w:val="P68B1DB1-Normal46"/>
              <w:spacing w:line="259" w:lineRule="auto"/>
              <w:ind w:left="1"/>
              <w:rPr>
                <w:rFonts w:cs="Times New Roman"/>
                <w:noProof/>
              </w:rPr>
            </w:pPr>
            <w:r>
              <w:rPr>
                <w:noProof/>
              </w:rPr>
              <w:t>Inkrafttreten von Rechtsakten zur Änderung der Gesetzgebungsakte für Wasserstoff als alternativen Kraftstoff im Verkehrssektor</w:t>
            </w:r>
            <w:r>
              <w:rPr>
                <w:noProof/>
              </w:rPr>
              <w:t xml:space="preserve"> </w:t>
            </w:r>
          </w:p>
        </w:tc>
      </w:tr>
      <w:tr w:rsidR="00EB245A" w14:paraId="36EEBDF7" w14:textId="77777777">
        <w:trPr>
          <w:trHeight w:val="1025"/>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892FD97" w14:textId="7FFA8C1C" w:rsidR="00EB245A" w:rsidRDefault="006021EE">
            <w:pPr>
              <w:pStyle w:val="P68B1DB1-Normal46"/>
              <w:spacing w:line="259" w:lineRule="auto"/>
              <w:ind w:right="49"/>
              <w:jc w:val="center"/>
              <w:rPr>
                <w:rFonts w:cs="Times New Roman"/>
                <w:noProof/>
              </w:rPr>
            </w:pPr>
            <w:r>
              <w:rPr>
                <w:noProof/>
              </w:rPr>
              <w:t xml:space="preserve">B39G </w:t>
            </w:r>
          </w:p>
        </w:tc>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A17402F" w14:textId="49DE1724" w:rsidR="00EB245A" w:rsidRDefault="006021EE">
            <w:pPr>
              <w:pStyle w:val="P68B1DB1-Normal46"/>
              <w:spacing w:line="259" w:lineRule="auto"/>
              <w:rPr>
                <w:rFonts w:cs="Times New Roman"/>
                <w:noProof/>
              </w:rPr>
            </w:pPr>
            <w:r>
              <w:rPr>
                <w:noProof/>
              </w:rPr>
              <w:t xml:space="preserve">B3.1 Unterstützung einer nachhaltigen Wasser- und Abwasserbewirtschaftung in ländlichen Gebieten </w:t>
            </w:r>
          </w:p>
        </w:tc>
        <w:tc>
          <w:tcPr>
            <w:tcW w:w="12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905F2A3" w14:textId="015F5025" w:rsidR="00EB245A" w:rsidRDefault="006021EE" w:rsidP="009A3AB9">
            <w:pPr>
              <w:pStyle w:val="P68B1DB1-Normal46"/>
              <w:spacing w:line="259" w:lineRule="auto"/>
              <w:ind w:left="60"/>
              <w:jc w:val="center"/>
              <w:rPr>
                <w:rFonts w:cs="Times New Roman"/>
                <w:noProof/>
              </w:rPr>
            </w:pPr>
            <w:r>
              <w:rPr>
                <w:noProof/>
              </w:rPr>
              <w:t>Meilenstein</w:t>
            </w:r>
          </w:p>
        </w:tc>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43A2D75" w14:textId="45991B75" w:rsidR="00EB245A" w:rsidRDefault="006021EE">
            <w:pPr>
              <w:pStyle w:val="P68B1DB1-Normal46"/>
              <w:spacing w:line="259" w:lineRule="auto"/>
              <w:ind w:left="1"/>
              <w:rPr>
                <w:rFonts w:cs="Times New Roman"/>
                <w:noProof/>
              </w:rPr>
            </w:pPr>
            <w:r>
              <w:rPr>
                <w:noProof/>
              </w:rPr>
              <w:t xml:space="preserve">Ausarbeitung von Vorschriften für die Territorialisierung der Unterstützung für Investitionen in die Wasserversorgung oder Abwasserentsorgung in ländlichen Gebieten </w:t>
            </w:r>
          </w:p>
        </w:tc>
      </w:tr>
      <w:tr w:rsidR="00EB245A" w14:paraId="76C17CCF" w14:textId="77777777">
        <w:trPr>
          <w:trHeight w:val="1025"/>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DC10349" w14:textId="2CC1195B" w:rsidR="00EB245A" w:rsidRDefault="006021EE">
            <w:pPr>
              <w:pStyle w:val="P68B1DB1-Normal46"/>
              <w:spacing w:line="259" w:lineRule="auto"/>
              <w:ind w:right="49"/>
              <w:jc w:val="center"/>
              <w:rPr>
                <w:rFonts w:cs="Times New Roman"/>
                <w:noProof/>
              </w:rPr>
            </w:pPr>
            <w:r>
              <w:rPr>
                <w:noProof/>
              </w:rPr>
              <w:t xml:space="preserve">B40G </w:t>
            </w:r>
          </w:p>
        </w:tc>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0A7D526" w14:textId="19C7D6C7" w:rsidR="00EB245A" w:rsidRDefault="006021EE">
            <w:pPr>
              <w:pStyle w:val="P68B1DB1-Normal46"/>
              <w:spacing w:after="200" w:line="259" w:lineRule="auto"/>
              <w:ind w:right="49"/>
              <w:rPr>
                <w:rFonts w:cs="Times New Roman"/>
                <w:noProof/>
              </w:rPr>
            </w:pPr>
            <w:r>
              <w:rPr>
                <w:noProof/>
              </w:rPr>
              <w:t xml:space="preserve">B3.1 Unterstützung einer nachhaltigen Wasser- und Abwasserbewirtschaftung in ländlichen Gebieten </w:t>
            </w:r>
          </w:p>
        </w:tc>
        <w:tc>
          <w:tcPr>
            <w:tcW w:w="12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1A8CD2D" w14:textId="40925C7B" w:rsidR="00EB245A" w:rsidRDefault="006021EE" w:rsidP="009A3AB9">
            <w:pPr>
              <w:pStyle w:val="P68B1DB1-Normal46"/>
              <w:spacing w:line="259" w:lineRule="auto"/>
              <w:ind w:left="60"/>
              <w:jc w:val="center"/>
              <w:rPr>
                <w:rFonts w:cs="Times New Roman"/>
                <w:noProof/>
              </w:rPr>
            </w:pPr>
            <w:r>
              <w:rPr>
                <w:noProof/>
              </w:rPr>
              <w:t>Meilenstein</w:t>
            </w:r>
          </w:p>
        </w:tc>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3D3FDEF" w14:textId="39AFF4B5" w:rsidR="00EB245A" w:rsidRDefault="006021EE">
            <w:pPr>
              <w:pStyle w:val="P68B1DB1-Normal46"/>
              <w:spacing w:line="259" w:lineRule="auto"/>
              <w:ind w:left="1"/>
              <w:rPr>
                <w:rFonts w:cs="Times New Roman"/>
                <w:noProof/>
              </w:rPr>
            </w:pPr>
            <w:r>
              <w:rPr>
                <w:noProof/>
              </w:rPr>
              <w:t xml:space="preserve">Inkrafttreten eines Rechtsakts, mit dem eine Verpflichtung zur regelmäßigen Überwachung und Kontrolle geeigneter individueller Systeme eingeführt </w:t>
            </w:r>
            <w:r>
              <w:rPr>
                <w:noProof/>
              </w:rPr>
              <w:t xml:space="preserve">wird </w:t>
            </w:r>
          </w:p>
        </w:tc>
      </w:tr>
      <w:tr w:rsidR="00EB245A" w14:paraId="5362B354" w14:textId="77777777">
        <w:trPr>
          <w:trHeight w:val="1025"/>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9642EC3" w14:textId="0C868C0A" w:rsidR="00EB245A" w:rsidRDefault="006021EE">
            <w:pPr>
              <w:pStyle w:val="P68B1DB1-Normal46"/>
              <w:spacing w:line="259" w:lineRule="auto"/>
              <w:ind w:right="49"/>
              <w:jc w:val="center"/>
              <w:rPr>
                <w:rFonts w:cs="Times New Roman"/>
                <w:noProof/>
              </w:rPr>
            </w:pPr>
            <w:r>
              <w:rPr>
                <w:noProof/>
              </w:rPr>
              <w:t xml:space="preserve">C1G </w:t>
            </w:r>
          </w:p>
        </w:tc>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362C169" w14:textId="20B70C0A" w:rsidR="00EB245A" w:rsidRDefault="006021EE">
            <w:pPr>
              <w:pStyle w:val="P68B1DB1-Normal46"/>
              <w:spacing w:line="259" w:lineRule="auto"/>
              <w:rPr>
                <w:rFonts w:cs="Times New Roman"/>
                <w:noProof/>
              </w:rPr>
            </w:pPr>
            <w:r>
              <w:rPr>
                <w:noProof/>
              </w:rPr>
              <w:t xml:space="preserve">C1.1 Erleichterung des Ausbaus der Netzinfrastruktur zur Gewährleistung des universellen Zugangs zum Hochgeschwindigkeitsinternet </w:t>
            </w:r>
          </w:p>
        </w:tc>
        <w:tc>
          <w:tcPr>
            <w:tcW w:w="12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EA2B96D" w14:textId="49F2A7A3" w:rsidR="00EB245A" w:rsidRDefault="006021EE" w:rsidP="009A3AB9">
            <w:pPr>
              <w:pStyle w:val="P68B1DB1-Normal46"/>
              <w:spacing w:line="259" w:lineRule="auto"/>
              <w:ind w:left="60"/>
              <w:jc w:val="center"/>
              <w:rPr>
                <w:rFonts w:cs="Times New Roman"/>
                <w:noProof/>
              </w:rPr>
            </w:pPr>
            <w:r>
              <w:rPr>
                <w:noProof/>
              </w:rPr>
              <w:t>Meilenstein</w:t>
            </w:r>
          </w:p>
        </w:tc>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3B07418" w14:textId="54542057" w:rsidR="00EB245A" w:rsidRDefault="006021EE">
            <w:pPr>
              <w:pStyle w:val="P68B1DB1-Normal46"/>
              <w:spacing w:line="259" w:lineRule="auto"/>
              <w:ind w:left="1"/>
              <w:rPr>
                <w:rFonts w:cs="Times New Roman"/>
                <w:noProof/>
              </w:rPr>
            </w:pPr>
            <w:r>
              <w:rPr>
                <w:noProof/>
              </w:rPr>
              <w:t xml:space="preserve">Von der Kanzlei des Premierministers ausgearbeiteter Rahmen für die Kofinanzierung von Breitbandprojekten in weißen Zugangsgebieten der nächsten Generation (NGA), in denen es derzeit kein NGA-Netz gibt </w:t>
            </w:r>
          </w:p>
        </w:tc>
      </w:tr>
      <w:tr w:rsidR="00EB245A" w14:paraId="717F534B" w14:textId="77777777">
        <w:trPr>
          <w:trHeight w:val="1025"/>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B1E3CBB" w14:textId="3CAB5BC2" w:rsidR="00EB245A" w:rsidRDefault="006021EE">
            <w:pPr>
              <w:pStyle w:val="P68B1DB1-Normal46"/>
              <w:spacing w:line="259" w:lineRule="auto"/>
              <w:ind w:right="49"/>
              <w:jc w:val="center"/>
              <w:rPr>
                <w:rFonts w:cs="Times New Roman"/>
                <w:noProof/>
              </w:rPr>
            </w:pPr>
            <w:r>
              <w:rPr>
                <w:noProof/>
              </w:rPr>
              <w:t xml:space="preserve">D23G </w:t>
            </w:r>
          </w:p>
        </w:tc>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20C8137" w14:textId="14EBF087" w:rsidR="00EB245A" w:rsidRDefault="006021EE">
            <w:pPr>
              <w:pStyle w:val="P68B1DB1-Normal46"/>
              <w:spacing w:line="259" w:lineRule="auto"/>
              <w:rPr>
                <w:rFonts w:cs="Times New Roman"/>
                <w:noProof/>
              </w:rPr>
            </w:pPr>
            <w:r>
              <w:rPr>
                <w:noProof/>
              </w:rPr>
              <w:t>D2.1 Schaffung der richtigen Voraussetzungen f</w:t>
            </w:r>
            <w:r>
              <w:rPr>
                <w:noProof/>
              </w:rPr>
              <w:t xml:space="preserve">ür eine Erhöhung des medizinischen Personals </w:t>
            </w:r>
          </w:p>
        </w:tc>
        <w:tc>
          <w:tcPr>
            <w:tcW w:w="12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4C5E60F" w14:textId="7D15EC0E" w:rsidR="00EB245A" w:rsidRDefault="006021EE" w:rsidP="009A3AB9">
            <w:pPr>
              <w:pStyle w:val="P68B1DB1-Normal46"/>
              <w:spacing w:line="259" w:lineRule="auto"/>
              <w:ind w:left="60"/>
              <w:jc w:val="center"/>
              <w:rPr>
                <w:rFonts w:cs="Times New Roman"/>
                <w:noProof/>
              </w:rPr>
            </w:pPr>
            <w:r>
              <w:rPr>
                <w:noProof/>
              </w:rPr>
              <w:t>Meilenstein</w:t>
            </w:r>
          </w:p>
        </w:tc>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A7B1C38" w14:textId="77777777" w:rsidR="00EB245A" w:rsidRDefault="006021EE">
            <w:pPr>
              <w:pStyle w:val="P68B1DB1-Normal46"/>
              <w:spacing w:line="259" w:lineRule="auto"/>
              <w:ind w:left="1"/>
              <w:rPr>
                <w:rFonts w:cs="Times New Roman"/>
                <w:noProof/>
              </w:rPr>
            </w:pPr>
            <w:r>
              <w:rPr>
                <w:noProof/>
              </w:rPr>
              <w:t xml:space="preserve">Änderung des Gesetzes über die höhere </w:t>
            </w:r>
          </w:p>
          <w:p w14:paraId="4717A770" w14:textId="2FF64EFC" w:rsidR="00EB245A" w:rsidRDefault="006021EE">
            <w:pPr>
              <w:pStyle w:val="P68B1DB1-Normal46"/>
              <w:spacing w:line="259" w:lineRule="auto"/>
              <w:ind w:left="1"/>
              <w:rPr>
                <w:rFonts w:cs="Times New Roman"/>
                <w:noProof/>
              </w:rPr>
            </w:pPr>
            <w:r>
              <w:rPr>
                <w:noProof/>
              </w:rPr>
              <w:t>Bildung und Wissenschaft und über die Berufe von Physiker und Zahnärzten als Rechtsgrundlage für die finanzielle Unterstützung ab dem akademischen Jahr 2021/20</w:t>
            </w:r>
            <w:r>
              <w:rPr>
                <w:noProof/>
              </w:rPr>
              <w:t xml:space="preserve">22 für Studierende im Bereich Medizin in Polen </w:t>
            </w:r>
          </w:p>
        </w:tc>
      </w:tr>
      <w:tr w:rsidR="00EB245A" w14:paraId="3A16250E" w14:textId="77777777">
        <w:trPr>
          <w:trHeight w:val="1025"/>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C67E77B" w14:textId="7E9856E2" w:rsidR="00EB245A" w:rsidRDefault="006021EE">
            <w:pPr>
              <w:pStyle w:val="P68B1DB1-Normal46"/>
              <w:spacing w:line="259" w:lineRule="auto"/>
              <w:ind w:right="49"/>
              <w:jc w:val="center"/>
              <w:rPr>
                <w:rFonts w:cs="Times New Roman"/>
                <w:noProof/>
              </w:rPr>
            </w:pPr>
            <w:r>
              <w:rPr>
                <w:noProof/>
              </w:rPr>
              <w:t xml:space="preserve">D29G </w:t>
            </w:r>
          </w:p>
        </w:tc>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9281EC5" w14:textId="123C7015" w:rsidR="00EB245A" w:rsidRDefault="006021EE">
            <w:pPr>
              <w:pStyle w:val="P68B1DB1-Normal46"/>
              <w:spacing w:line="259" w:lineRule="auto"/>
              <w:rPr>
                <w:rFonts w:cs="Times New Roman"/>
                <w:noProof/>
              </w:rPr>
            </w:pPr>
            <w:r>
              <w:rPr>
                <w:noProof/>
              </w:rPr>
              <w:t>D2.1.1 Investitionen im Zusammenhang mit der Modernisierung und Nachrüstung von Lehreinrichtungen im Hinblick auf die Anhebung der Zulassungsbeschränkungen für medizinische Studien</w:t>
            </w:r>
          </w:p>
        </w:tc>
        <w:tc>
          <w:tcPr>
            <w:tcW w:w="12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331312E" w14:textId="4D0DDF1A" w:rsidR="00EB245A" w:rsidRDefault="006021EE" w:rsidP="009A3AB9">
            <w:pPr>
              <w:pStyle w:val="P68B1DB1-Normal46"/>
              <w:spacing w:line="259" w:lineRule="auto"/>
              <w:ind w:left="60"/>
              <w:jc w:val="center"/>
              <w:rPr>
                <w:rFonts w:cs="Times New Roman"/>
                <w:noProof/>
              </w:rPr>
            </w:pPr>
            <w:r>
              <w:rPr>
                <w:noProof/>
              </w:rPr>
              <w:t>Meilenstein</w:t>
            </w:r>
          </w:p>
        </w:tc>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1385B60" w14:textId="04EF360A" w:rsidR="00EB245A" w:rsidRDefault="006021EE">
            <w:pPr>
              <w:pStyle w:val="P68B1DB1-Normal46"/>
              <w:spacing w:line="259" w:lineRule="auto"/>
              <w:ind w:left="1"/>
              <w:rPr>
                <w:rFonts w:cs="Times New Roman"/>
                <w:noProof/>
              </w:rPr>
            </w:pPr>
            <w:r>
              <w:rPr>
                <w:noProof/>
              </w:rPr>
              <w:t>Inkrafttreten eines Rechtsakts zur Schaffung eines Systems von Anreizen für die Aufnahme und Fortsetzung von Studien an ausgewählten medizinischen Fakultäten durch Stipendien, Studienfinanzierung und Mentoring</w:t>
            </w:r>
          </w:p>
        </w:tc>
      </w:tr>
      <w:tr w:rsidR="00EB245A" w14:paraId="4D6C2726" w14:textId="77777777">
        <w:trPr>
          <w:trHeight w:val="1025"/>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EA6D6C3" w14:textId="06C99871" w:rsidR="00EB245A" w:rsidRDefault="006021EE">
            <w:pPr>
              <w:pStyle w:val="P68B1DB1-Normal46"/>
              <w:spacing w:line="259" w:lineRule="auto"/>
              <w:ind w:right="49"/>
              <w:jc w:val="center"/>
              <w:rPr>
                <w:rFonts w:cs="Times New Roman"/>
                <w:noProof/>
              </w:rPr>
            </w:pPr>
            <w:r>
              <w:rPr>
                <w:noProof/>
              </w:rPr>
              <w:t xml:space="preserve">E8G </w:t>
            </w:r>
          </w:p>
        </w:tc>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189F5C4" w14:textId="7EE9E4B7" w:rsidR="00EB245A" w:rsidRDefault="006021EE">
            <w:pPr>
              <w:pStyle w:val="P68B1DB1-Normal46"/>
              <w:spacing w:line="259" w:lineRule="auto"/>
              <w:rPr>
                <w:rFonts w:cs="Times New Roman"/>
                <w:noProof/>
              </w:rPr>
            </w:pPr>
            <w:r>
              <w:rPr>
                <w:noProof/>
              </w:rPr>
              <w:t>E1.1.1 Unterstützung einer CO2-armen Wir</w:t>
            </w:r>
            <w:r>
              <w:rPr>
                <w:noProof/>
              </w:rPr>
              <w:t xml:space="preserve">tschaft </w:t>
            </w:r>
          </w:p>
        </w:tc>
        <w:tc>
          <w:tcPr>
            <w:tcW w:w="12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4A65505" w14:textId="2834D8C4" w:rsidR="00EB245A" w:rsidRDefault="006021EE" w:rsidP="009A3AB9">
            <w:pPr>
              <w:pStyle w:val="P68B1DB1-Normal46"/>
              <w:spacing w:line="259" w:lineRule="auto"/>
              <w:ind w:left="60"/>
              <w:jc w:val="center"/>
              <w:rPr>
                <w:rFonts w:cs="Times New Roman"/>
                <w:noProof/>
              </w:rPr>
            </w:pPr>
            <w:r>
              <w:rPr>
                <w:noProof/>
              </w:rPr>
              <w:t>Meilenstein</w:t>
            </w:r>
          </w:p>
        </w:tc>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C185B1B" w14:textId="64E80D26" w:rsidR="00EB245A" w:rsidRDefault="006021EE">
            <w:pPr>
              <w:pStyle w:val="P68B1DB1-Normal46"/>
              <w:spacing w:line="259" w:lineRule="auto"/>
              <w:ind w:left="1"/>
              <w:rPr>
                <w:rFonts w:cs="Times New Roman"/>
                <w:noProof/>
              </w:rPr>
            </w:pPr>
            <w:r>
              <w:rPr>
                <w:noProof/>
              </w:rPr>
              <w:t xml:space="preserve">Schaffung eines Finanzierungsinstruments (Fonds) für emissionsfreie/emissionsarme Mobilität und Energie </w:t>
            </w:r>
          </w:p>
        </w:tc>
      </w:tr>
      <w:tr w:rsidR="00EB245A" w14:paraId="4EEAB27B" w14:textId="77777777">
        <w:trPr>
          <w:trHeight w:val="1025"/>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7D2DE13" w14:textId="1CCE0435" w:rsidR="00EB245A" w:rsidRDefault="006021EE">
            <w:pPr>
              <w:pStyle w:val="P68B1DB1-Normal46"/>
              <w:spacing w:line="259" w:lineRule="auto"/>
              <w:ind w:right="49"/>
              <w:jc w:val="center"/>
              <w:rPr>
                <w:rFonts w:cs="Times New Roman"/>
                <w:noProof/>
              </w:rPr>
            </w:pPr>
            <w:r>
              <w:rPr>
                <w:noProof/>
              </w:rPr>
              <w:t xml:space="preserve">E23G </w:t>
            </w:r>
          </w:p>
        </w:tc>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F9E5CEF" w14:textId="268431D5" w:rsidR="00EB245A" w:rsidRDefault="006021EE">
            <w:pPr>
              <w:pStyle w:val="P68B1DB1-Normal46"/>
              <w:spacing w:line="259" w:lineRule="auto"/>
              <w:rPr>
                <w:rFonts w:cs="Times New Roman"/>
                <w:noProof/>
              </w:rPr>
            </w:pPr>
            <w:r>
              <w:rPr>
                <w:noProof/>
              </w:rPr>
              <w:t xml:space="preserve">E2.2 Verbesserung der Verkehrssicherheit </w:t>
            </w:r>
          </w:p>
        </w:tc>
        <w:tc>
          <w:tcPr>
            <w:tcW w:w="12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9603B73" w14:textId="0E6C9566" w:rsidR="00EB245A" w:rsidRDefault="006021EE" w:rsidP="009A3AB9">
            <w:pPr>
              <w:pStyle w:val="P68B1DB1-Normal46"/>
              <w:spacing w:line="259" w:lineRule="auto"/>
              <w:ind w:left="60"/>
              <w:jc w:val="center"/>
              <w:rPr>
                <w:rFonts w:cs="Times New Roman"/>
                <w:noProof/>
              </w:rPr>
            </w:pPr>
            <w:r>
              <w:rPr>
                <w:noProof/>
              </w:rPr>
              <w:t>Meilenstein</w:t>
            </w:r>
          </w:p>
        </w:tc>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BD5AA14" w14:textId="02779813" w:rsidR="00EB245A" w:rsidRDefault="006021EE">
            <w:pPr>
              <w:pStyle w:val="P68B1DB1-Normal46"/>
              <w:spacing w:line="259" w:lineRule="auto"/>
              <w:ind w:left="1"/>
              <w:rPr>
                <w:rFonts w:cs="Times New Roman"/>
                <w:noProof/>
              </w:rPr>
            </w:pPr>
            <w:r>
              <w:rPr>
                <w:noProof/>
              </w:rPr>
              <w:t xml:space="preserve">Inkrafttreten von Rechtsakten, mit denen Folgendes eingeführt wird: </w:t>
            </w:r>
            <w:r>
              <w:rPr>
                <w:noProof/>
              </w:rPr>
              <w:t xml:space="preserve">Priorität für Fußgänger an Kreuzungen, einheitliche Geschwindigkeit in geschlossenen Gebieten Mindestabstand zwischen Fahrzeugen, Ziele für die Straßenverkehrssicherheit bis 2030 (50 % Unfalltote) </w:t>
            </w:r>
          </w:p>
        </w:tc>
      </w:tr>
      <w:tr w:rsidR="00EB245A" w14:paraId="70B63014" w14:textId="77777777">
        <w:trPr>
          <w:trHeight w:val="1025"/>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EDC2F6C" w14:textId="185F67D4" w:rsidR="00EB245A" w:rsidRDefault="006021EE">
            <w:pPr>
              <w:pStyle w:val="P68B1DB1-Normal46"/>
              <w:spacing w:line="259" w:lineRule="auto"/>
              <w:ind w:right="49"/>
              <w:jc w:val="center"/>
              <w:rPr>
                <w:rFonts w:cs="Times New Roman"/>
                <w:noProof/>
              </w:rPr>
            </w:pPr>
            <w:r>
              <w:rPr>
                <w:noProof/>
              </w:rPr>
              <w:t xml:space="preserve">F1G </w:t>
            </w:r>
          </w:p>
        </w:tc>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013FE8E" w14:textId="1F1EED89" w:rsidR="00EB245A" w:rsidRDefault="006021EE">
            <w:pPr>
              <w:pStyle w:val="P68B1DB1-Normal46"/>
              <w:spacing w:line="259" w:lineRule="auto"/>
              <w:rPr>
                <w:rFonts w:cs="Times New Roman"/>
                <w:noProof/>
              </w:rPr>
            </w:pPr>
            <w:r>
              <w:rPr>
                <w:noProof/>
              </w:rPr>
              <w:t>F1.1 Reform zur Stärkung der Unabhängigkeit und Unpa</w:t>
            </w:r>
            <w:r>
              <w:rPr>
                <w:noProof/>
              </w:rPr>
              <w:t xml:space="preserve">rteilichkeit der Gerichte </w:t>
            </w:r>
          </w:p>
        </w:tc>
        <w:tc>
          <w:tcPr>
            <w:tcW w:w="12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A194988" w14:textId="76AC1463" w:rsidR="00EB245A" w:rsidRDefault="006021EE" w:rsidP="009A3AB9">
            <w:pPr>
              <w:pStyle w:val="P68B1DB1-Normal46"/>
              <w:spacing w:line="259" w:lineRule="auto"/>
              <w:ind w:left="60"/>
              <w:jc w:val="center"/>
              <w:rPr>
                <w:rFonts w:cs="Times New Roman"/>
                <w:noProof/>
              </w:rPr>
            </w:pPr>
            <w:r>
              <w:rPr>
                <w:noProof/>
              </w:rPr>
              <w:t>Meilenstein</w:t>
            </w:r>
          </w:p>
        </w:tc>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726A5E0" w14:textId="7CE69E26" w:rsidR="00EB245A" w:rsidRDefault="006021EE">
            <w:pPr>
              <w:pStyle w:val="P68B1DB1-Normal46"/>
              <w:spacing w:line="259" w:lineRule="auto"/>
              <w:ind w:left="1"/>
              <w:rPr>
                <w:rFonts w:cs="Times New Roman"/>
                <w:noProof/>
              </w:rPr>
            </w:pPr>
            <w:r>
              <w:rPr>
                <w:noProof/>
              </w:rPr>
              <w:t xml:space="preserve">Inkrafttreten einer Reform zur Stärkung der Unabhängigkeit und Unparteilichkeit der Gerichte </w:t>
            </w:r>
          </w:p>
        </w:tc>
      </w:tr>
      <w:tr w:rsidR="00EB245A" w14:paraId="116CE20B" w14:textId="77777777">
        <w:trPr>
          <w:trHeight w:val="1025"/>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2CF3B68" w14:textId="19287C94" w:rsidR="00EB245A" w:rsidRDefault="006021EE">
            <w:pPr>
              <w:pStyle w:val="P68B1DB1-Normal46"/>
              <w:spacing w:line="259" w:lineRule="auto"/>
              <w:ind w:right="49"/>
              <w:jc w:val="center"/>
              <w:rPr>
                <w:rFonts w:cs="Times New Roman"/>
                <w:noProof/>
              </w:rPr>
            </w:pPr>
            <w:r>
              <w:rPr>
                <w:noProof/>
              </w:rPr>
              <w:t xml:space="preserve">F2G </w:t>
            </w:r>
          </w:p>
        </w:tc>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326D230" w14:textId="413FFAEB" w:rsidR="00EB245A" w:rsidRDefault="006021EE">
            <w:pPr>
              <w:pStyle w:val="P68B1DB1-Normal46"/>
              <w:spacing w:line="259" w:lineRule="auto"/>
              <w:rPr>
                <w:rFonts w:cs="Times New Roman"/>
                <w:noProof/>
              </w:rPr>
            </w:pPr>
            <w:r>
              <w:rPr>
                <w:noProof/>
              </w:rPr>
              <w:t xml:space="preserve">F2.1 Reform zur Verbesserung der Situation von Richtern, die von den Entscheidungen der Disziplinarkammer des Obersten Gerichts in Disziplinarsachen und Verfahren der richterlichen Immunität betroffen sind </w:t>
            </w:r>
          </w:p>
        </w:tc>
        <w:tc>
          <w:tcPr>
            <w:tcW w:w="12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35A20E8" w14:textId="42970BDB" w:rsidR="00EB245A" w:rsidRDefault="006021EE" w:rsidP="009A3AB9">
            <w:pPr>
              <w:pStyle w:val="P68B1DB1-Normal46"/>
              <w:spacing w:line="259" w:lineRule="auto"/>
              <w:ind w:left="60"/>
              <w:jc w:val="center"/>
              <w:rPr>
                <w:rFonts w:cs="Times New Roman"/>
                <w:noProof/>
              </w:rPr>
            </w:pPr>
            <w:r>
              <w:rPr>
                <w:noProof/>
              </w:rPr>
              <w:t>Meilenstein</w:t>
            </w:r>
          </w:p>
        </w:tc>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3AD10DE" w14:textId="17A115A4" w:rsidR="00EB245A" w:rsidRDefault="006021EE">
            <w:pPr>
              <w:pStyle w:val="P68B1DB1-Normal46"/>
              <w:spacing w:line="259" w:lineRule="auto"/>
              <w:ind w:left="1"/>
              <w:rPr>
                <w:rFonts w:cs="Times New Roman"/>
                <w:noProof/>
              </w:rPr>
            </w:pPr>
            <w:r>
              <w:rPr>
                <w:noProof/>
              </w:rPr>
              <w:t>Inkrafttreten einer Reform zur Stärku</w:t>
            </w:r>
            <w:r>
              <w:rPr>
                <w:noProof/>
              </w:rPr>
              <w:t xml:space="preserve">ng der Unabhängigkeit und Unparteilichkeit der Gerichte </w:t>
            </w:r>
          </w:p>
        </w:tc>
      </w:tr>
      <w:tr w:rsidR="00EB245A" w14:paraId="1C80B5D3" w14:textId="77777777">
        <w:trPr>
          <w:trHeight w:val="1025"/>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244AD69" w14:textId="10CC1E85" w:rsidR="00EB245A" w:rsidRDefault="006021EE">
            <w:pPr>
              <w:pStyle w:val="P68B1DB1-Normal46"/>
              <w:spacing w:line="259" w:lineRule="auto"/>
              <w:ind w:right="49"/>
              <w:jc w:val="center"/>
              <w:rPr>
                <w:rFonts w:cs="Times New Roman"/>
                <w:noProof/>
              </w:rPr>
            </w:pPr>
            <w:r>
              <w:rPr>
                <w:noProof/>
              </w:rPr>
              <w:t xml:space="preserve">F5G </w:t>
            </w:r>
          </w:p>
        </w:tc>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FBD7A98" w14:textId="01BB9702" w:rsidR="00EB245A" w:rsidRDefault="006021EE">
            <w:pPr>
              <w:pStyle w:val="P68B1DB1-Normal46"/>
              <w:spacing w:line="259" w:lineRule="auto"/>
              <w:rPr>
                <w:rFonts w:cs="Times New Roman"/>
                <w:noProof/>
              </w:rPr>
            </w:pPr>
            <w:r>
              <w:rPr>
                <w:noProof/>
              </w:rPr>
              <w:t xml:space="preserve">F3.1 Verbesserung der Bedingungen für die Durchführung des Aufbau- und Resilienzplans </w:t>
            </w:r>
          </w:p>
        </w:tc>
        <w:tc>
          <w:tcPr>
            <w:tcW w:w="12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315172D" w14:textId="37AEADFF" w:rsidR="00EB245A" w:rsidRDefault="006021EE" w:rsidP="009A3AB9">
            <w:pPr>
              <w:pStyle w:val="P68B1DB1-Normal46"/>
              <w:spacing w:line="259" w:lineRule="auto"/>
              <w:ind w:left="60"/>
              <w:jc w:val="center"/>
              <w:rPr>
                <w:rFonts w:cs="Times New Roman"/>
                <w:noProof/>
              </w:rPr>
            </w:pPr>
            <w:r>
              <w:rPr>
                <w:noProof/>
              </w:rPr>
              <w:t>Meilenstein</w:t>
            </w:r>
          </w:p>
        </w:tc>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B26D9DC" w14:textId="5E9E0211" w:rsidR="00EB245A" w:rsidRDefault="006021EE">
            <w:pPr>
              <w:pStyle w:val="P68B1DB1-Normal46"/>
              <w:spacing w:line="259" w:lineRule="auto"/>
              <w:ind w:left="1"/>
              <w:rPr>
                <w:rFonts w:cs="Times New Roman"/>
                <w:noProof/>
              </w:rPr>
            </w:pPr>
            <w:r>
              <w:rPr>
                <w:noProof/>
              </w:rPr>
              <w:t xml:space="preserve"> Inkrafttreten eines Rechtsakts, mit dem ein Begleitausschuss eingesetzt wird und mit der Überwachung der wirksamen Durchführung des Aufbau- und Resilienzplans betraut wird </w:t>
            </w:r>
          </w:p>
        </w:tc>
      </w:tr>
      <w:tr w:rsidR="00EB245A" w14:paraId="15816430" w14:textId="77777777">
        <w:trPr>
          <w:trHeight w:val="1025"/>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C50C59F" w14:textId="1FED3B8A" w:rsidR="00EB245A" w:rsidRDefault="006021EE">
            <w:pPr>
              <w:pStyle w:val="P68B1DB1-Normal46"/>
              <w:spacing w:line="259" w:lineRule="auto"/>
              <w:ind w:right="49"/>
              <w:jc w:val="center"/>
              <w:rPr>
                <w:rFonts w:cs="Times New Roman"/>
                <w:noProof/>
              </w:rPr>
            </w:pPr>
            <w:r>
              <w:rPr>
                <w:noProof/>
              </w:rPr>
              <w:t xml:space="preserve">F6G </w:t>
            </w:r>
          </w:p>
        </w:tc>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1BA3888" w14:textId="6B11D627" w:rsidR="00EB245A" w:rsidRDefault="006021EE">
            <w:pPr>
              <w:pStyle w:val="P68B1DB1-Normal46"/>
              <w:spacing w:line="259" w:lineRule="auto"/>
              <w:rPr>
                <w:rFonts w:cs="Times New Roman"/>
                <w:noProof/>
              </w:rPr>
            </w:pPr>
            <w:r>
              <w:rPr>
                <w:noProof/>
              </w:rPr>
              <w:t>F3.1 Verbesserung der Bedingungen für die Durchführung des Aufbau- und Resil</w:t>
            </w:r>
            <w:r>
              <w:rPr>
                <w:noProof/>
              </w:rPr>
              <w:t xml:space="preserve">ienzplans </w:t>
            </w:r>
          </w:p>
        </w:tc>
        <w:tc>
          <w:tcPr>
            <w:tcW w:w="12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0179618" w14:textId="4355D685" w:rsidR="00EB245A" w:rsidRDefault="006021EE" w:rsidP="009A3AB9">
            <w:pPr>
              <w:pStyle w:val="P68B1DB1-Normal46"/>
              <w:spacing w:line="259" w:lineRule="auto"/>
              <w:ind w:left="60"/>
              <w:jc w:val="center"/>
              <w:rPr>
                <w:rFonts w:cs="Times New Roman"/>
                <w:noProof/>
              </w:rPr>
            </w:pPr>
            <w:r>
              <w:rPr>
                <w:noProof/>
              </w:rPr>
              <w:t>Meilenstein</w:t>
            </w:r>
          </w:p>
        </w:tc>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E931F45" w14:textId="77777777" w:rsidR="00EB245A" w:rsidRDefault="006021EE">
            <w:pPr>
              <w:pStyle w:val="P68B1DB1-Normal46"/>
              <w:spacing w:line="238" w:lineRule="auto"/>
              <w:ind w:left="2"/>
              <w:rPr>
                <w:rFonts w:cs="Times New Roman"/>
                <w:noProof/>
              </w:rPr>
            </w:pPr>
            <w:r>
              <w:rPr>
                <w:noProof/>
              </w:rPr>
              <w:t xml:space="preserve">Annahme der Leitlinien durch den für Regionalentwicklung zuständigen Minister zur Festlegung der Regeln für die Einbeziehung der Interessenträger und der Gesellschaft </w:t>
            </w:r>
          </w:p>
          <w:p w14:paraId="0D235DA8" w14:textId="77777777" w:rsidR="00EB245A" w:rsidRDefault="006021EE">
            <w:pPr>
              <w:pStyle w:val="P68B1DB1-Normal46"/>
              <w:spacing w:line="259" w:lineRule="auto"/>
              <w:ind w:left="2"/>
              <w:rPr>
                <w:rFonts w:cs="Times New Roman"/>
                <w:noProof/>
              </w:rPr>
            </w:pPr>
            <w:r>
              <w:rPr>
                <w:noProof/>
              </w:rPr>
              <w:t xml:space="preserve">Partner bei der Umsetzung des </w:t>
            </w:r>
          </w:p>
          <w:p w14:paraId="33E5E4A5" w14:textId="20CCA35D" w:rsidR="00EB245A" w:rsidRDefault="006021EE">
            <w:pPr>
              <w:pStyle w:val="P68B1DB1-Normal46"/>
              <w:spacing w:line="259" w:lineRule="auto"/>
              <w:ind w:left="1"/>
              <w:rPr>
                <w:rFonts w:cs="Times New Roman"/>
                <w:noProof/>
              </w:rPr>
            </w:pPr>
            <w:r>
              <w:rPr>
                <w:noProof/>
              </w:rPr>
              <w:t xml:space="preserve">AUFBAU- UND RESILIENZPLAN </w:t>
            </w:r>
          </w:p>
        </w:tc>
      </w:tr>
      <w:tr w:rsidR="00EB245A" w14:paraId="1660CA2C" w14:textId="77777777">
        <w:trPr>
          <w:trHeight w:val="1025"/>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EEAEC08" w14:textId="1A38B4A8" w:rsidR="00EB245A" w:rsidRDefault="006021EE">
            <w:pPr>
              <w:pStyle w:val="P68B1DB1-Normal46"/>
              <w:spacing w:line="259" w:lineRule="auto"/>
              <w:ind w:right="49"/>
              <w:jc w:val="center"/>
              <w:rPr>
                <w:rFonts w:cs="Times New Roman"/>
                <w:noProof/>
              </w:rPr>
            </w:pPr>
            <w:r>
              <w:rPr>
                <w:noProof/>
              </w:rPr>
              <w:t xml:space="preserve">F7G </w:t>
            </w:r>
          </w:p>
        </w:tc>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56DA946" w14:textId="0C774D21" w:rsidR="00EB245A" w:rsidRDefault="006021EE">
            <w:pPr>
              <w:pStyle w:val="P68B1DB1-Normal46"/>
              <w:spacing w:line="259" w:lineRule="auto"/>
              <w:rPr>
                <w:rFonts w:cs="Times New Roman"/>
                <w:noProof/>
              </w:rPr>
            </w:pPr>
            <w:r>
              <w:rPr>
                <w:noProof/>
              </w:rPr>
              <w:t xml:space="preserve">F3.1 Verbesserung der Bedingungen für die Durchführung des Aufbau- und Resilienzplans </w:t>
            </w:r>
          </w:p>
        </w:tc>
        <w:tc>
          <w:tcPr>
            <w:tcW w:w="12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B03CF60" w14:textId="4F137FB6" w:rsidR="00EB245A" w:rsidRDefault="006021EE" w:rsidP="009A3AB9">
            <w:pPr>
              <w:pStyle w:val="P68B1DB1-Normal46"/>
              <w:spacing w:line="259" w:lineRule="auto"/>
              <w:ind w:left="60"/>
              <w:jc w:val="center"/>
              <w:rPr>
                <w:rFonts w:cs="Times New Roman"/>
                <w:noProof/>
              </w:rPr>
            </w:pPr>
            <w:r>
              <w:rPr>
                <w:noProof/>
              </w:rPr>
              <w:t>Meilenstein</w:t>
            </w:r>
          </w:p>
        </w:tc>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C3773C3" w14:textId="5DACE25E" w:rsidR="00EB245A" w:rsidRDefault="006021EE">
            <w:pPr>
              <w:pStyle w:val="P68B1DB1-Normal46"/>
              <w:spacing w:line="238" w:lineRule="auto"/>
              <w:ind w:left="2"/>
              <w:rPr>
                <w:rFonts w:cs="Times New Roman"/>
                <w:noProof/>
              </w:rPr>
            </w:pPr>
            <w:r>
              <w:rPr>
                <w:noProof/>
              </w:rPr>
              <w:t xml:space="preserve">Gewährleistung einer wirksamen Prüfung und Kontrolle im Rahmen der Durchführung der Aufbau- und Resilienzfazilität zum Schutz der finanziellen Interessen der Union </w:t>
            </w:r>
          </w:p>
        </w:tc>
      </w:tr>
      <w:tr w:rsidR="00EB245A" w14:paraId="34FE5B8F" w14:textId="77777777">
        <w:trPr>
          <w:trHeight w:val="1025"/>
        </w:trPr>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8E79839" w14:textId="1D0B4508" w:rsidR="00EB245A" w:rsidRDefault="006021EE">
            <w:pPr>
              <w:pStyle w:val="P68B1DB1-Normal46"/>
              <w:spacing w:line="259" w:lineRule="auto"/>
              <w:ind w:right="49"/>
              <w:jc w:val="center"/>
              <w:rPr>
                <w:rFonts w:cs="Times New Roman"/>
                <w:noProof/>
              </w:rPr>
            </w:pPr>
            <w:r>
              <w:rPr>
                <w:noProof/>
              </w:rPr>
              <w:t xml:space="preserve"> </w:t>
            </w:r>
          </w:p>
        </w:tc>
        <w:tc>
          <w:tcPr>
            <w:tcW w:w="4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7C7C4EE" w14:textId="546413B4" w:rsidR="00EB245A" w:rsidRDefault="006021EE">
            <w:pPr>
              <w:pStyle w:val="P68B1DB1-Normal46"/>
              <w:spacing w:line="259" w:lineRule="auto"/>
              <w:rPr>
                <w:rFonts w:cs="Times New Roman"/>
                <w:noProof/>
              </w:rPr>
            </w:pPr>
            <w:r>
              <w:rPr>
                <w:noProof/>
              </w:rPr>
              <w:t xml:space="preserve"> </w:t>
            </w:r>
          </w:p>
        </w:tc>
        <w:tc>
          <w:tcPr>
            <w:tcW w:w="12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5DAD2F9" w14:textId="1E54CB64" w:rsidR="00EB245A" w:rsidRDefault="006021EE">
            <w:pPr>
              <w:pStyle w:val="P68B1DB1-Normal46"/>
              <w:spacing w:line="259" w:lineRule="auto"/>
              <w:ind w:left="60"/>
              <w:rPr>
                <w:rFonts w:cs="Times New Roman"/>
                <w:noProof/>
              </w:rPr>
            </w:pPr>
            <w:r>
              <w:rPr>
                <w:noProof/>
              </w:rPr>
              <w:t xml:space="preserve">Ratenzahlungsbetrag </w:t>
            </w:r>
          </w:p>
        </w:tc>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6DC859A" w14:textId="771C97ED" w:rsidR="00EB245A" w:rsidRDefault="006021EE">
            <w:pPr>
              <w:pStyle w:val="P68B1DB1-Normal46"/>
              <w:spacing w:line="238" w:lineRule="auto"/>
              <w:ind w:left="2"/>
              <w:rPr>
                <w:rFonts w:cs="Times New Roman"/>
                <w:noProof/>
              </w:rPr>
            </w:pPr>
            <w:r>
              <w:rPr>
                <w:noProof/>
              </w:rPr>
              <w:t>2 758 738 902 EUR</w:t>
            </w:r>
          </w:p>
        </w:tc>
      </w:tr>
    </w:tbl>
    <w:p w14:paraId="4D8E684E" w14:textId="77777777" w:rsidR="00EB245A" w:rsidRDefault="00EB245A">
      <w:pPr>
        <w:spacing w:after="0" w:line="259" w:lineRule="auto"/>
        <w:ind w:left="-1133" w:right="10775"/>
        <w:rPr>
          <w:rFonts w:ascii="Times New Roman" w:hAnsi="Times New Roman" w:cs="Times New Roman"/>
          <w:noProof/>
        </w:rPr>
      </w:pPr>
    </w:p>
    <w:p w14:paraId="5ABFCEB2" w14:textId="69E5FD54" w:rsidR="00EB245A" w:rsidRDefault="006021EE">
      <w:pPr>
        <w:pStyle w:val="P68B1DB1-Normal46"/>
        <w:spacing w:after="96" w:line="259" w:lineRule="auto"/>
        <w:rPr>
          <w:rFonts w:cs="Times New Roman"/>
          <w:noProof/>
        </w:rPr>
      </w:pPr>
      <w:r>
        <w:rPr>
          <w:noProof/>
        </w:rPr>
        <w:t xml:space="preserve"> </w:t>
      </w:r>
    </w:p>
    <w:p w14:paraId="373471EF" w14:textId="77777777" w:rsidR="00EB245A" w:rsidRDefault="006021EE">
      <w:pPr>
        <w:rPr>
          <w:rFonts w:ascii="Times New Roman" w:hAnsi="Times New Roman" w:cs="Times New Roman"/>
          <w:noProof/>
        </w:rPr>
      </w:pPr>
      <w:r>
        <w:rPr>
          <w:noProof/>
        </w:rPr>
        <w:br w:type="page"/>
      </w:r>
    </w:p>
    <w:p w14:paraId="0B696E0A" w14:textId="77777777" w:rsidR="00EB245A" w:rsidRDefault="006021EE">
      <w:pPr>
        <w:pStyle w:val="P68B1DB1-Normal46"/>
        <w:spacing w:after="3" w:line="259" w:lineRule="auto"/>
        <w:ind w:left="-5"/>
        <w:rPr>
          <w:rFonts w:cs="Times New Roman"/>
          <w:noProof/>
        </w:rPr>
      </w:pPr>
      <w:r>
        <w:rPr>
          <w:noProof/>
        </w:rPr>
        <w:t xml:space="preserve">2.1.2 Zweite Tranche (nicht rückzahlbare Unterstützung): </w:t>
      </w:r>
    </w:p>
    <w:p w14:paraId="66AF3445" w14:textId="77777777" w:rsidR="00EB245A" w:rsidRDefault="00EB245A">
      <w:pPr>
        <w:spacing w:after="0" w:line="259" w:lineRule="auto"/>
        <w:ind w:left="-1133" w:right="10775"/>
        <w:rPr>
          <w:rFonts w:ascii="Times New Roman" w:hAnsi="Times New Roman" w:cs="Times New Roman"/>
          <w:noProof/>
        </w:rPr>
      </w:pPr>
    </w:p>
    <w:tbl>
      <w:tblPr>
        <w:tblStyle w:val="TableGrid0"/>
        <w:tblW w:w="10481" w:type="dxa"/>
        <w:tblInd w:w="10" w:type="dxa"/>
        <w:tblCellMar>
          <w:top w:w="53" w:type="dxa"/>
          <w:left w:w="108" w:type="dxa"/>
          <w:right w:w="60" w:type="dxa"/>
        </w:tblCellMar>
        <w:tblLook w:val="04A0" w:firstRow="1" w:lastRow="0" w:firstColumn="1" w:lastColumn="0" w:noHBand="0" w:noVBand="1"/>
      </w:tblPr>
      <w:tblGrid>
        <w:gridCol w:w="1217"/>
        <w:gridCol w:w="3455"/>
        <w:gridCol w:w="2179"/>
        <w:gridCol w:w="3630"/>
      </w:tblGrid>
      <w:tr w:rsidR="00EB245A" w14:paraId="404284FD" w14:textId="77777777">
        <w:trPr>
          <w:trHeight w:val="777"/>
          <w:tblHeader/>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6A753592" w14:textId="77777777" w:rsidR="00EB245A" w:rsidRDefault="006021EE">
            <w:pPr>
              <w:pStyle w:val="P68B1DB1-Normal46"/>
              <w:spacing w:line="259" w:lineRule="auto"/>
              <w:jc w:val="center"/>
              <w:rPr>
                <w:rFonts w:cs="Times New Roman"/>
                <w:noProof/>
              </w:rPr>
            </w:pPr>
            <w:r>
              <w:rPr>
                <w:b/>
                <w:noProof/>
              </w:rPr>
              <w:t>Laufende Nummer</w:t>
            </w:r>
            <w:r>
              <w:rPr>
                <w:noProof/>
              </w:rPr>
              <w:t xml:space="preserve">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2D952192" w14:textId="77777777" w:rsidR="00EB245A" w:rsidRDefault="006021EE">
            <w:pPr>
              <w:pStyle w:val="P68B1DB1-Normal46"/>
              <w:spacing w:line="259" w:lineRule="auto"/>
              <w:jc w:val="center"/>
              <w:rPr>
                <w:rFonts w:cs="Times New Roman"/>
                <w:noProof/>
              </w:rPr>
            </w:pPr>
            <w:r>
              <w:rPr>
                <w:b/>
                <w:noProof/>
              </w:rPr>
              <w:t>Verbundene Maßnahme (Reform oder Investition)</w:t>
            </w:r>
            <w:r>
              <w:rPr>
                <w:noProof/>
              </w:rPr>
              <w:t xml:space="preserv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4D35975C" w14:textId="77777777" w:rsidR="00EB245A" w:rsidRDefault="006021EE">
            <w:pPr>
              <w:pStyle w:val="P68B1DB1-Normal46"/>
              <w:spacing w:line="259" w:lineRule="auto"/>
              <w:ind w:left="25" w:right="18"/>
              <w:jc w:val="center"/>
              <w:rPr>
                <w:rFonts w:cs="Times New Roman"/>
                <w:noProof/>
              </w:rPr>
            </w:pPr>
            <w:r>
              <w:rPr>
                <w:b/>
                <w:noProof/>
              </w:rPr>
              <w:t>Etappenziel/Zielwert</w:t>
            </w:r>
            <w:r>
              <w:rPr>
                <w:noProof/>
              </w:rPr>
              <w:t xml:space="preserve">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1BFC7C8A" w14:textId="77777777" w:rsidR="00EB245A" w:rsidRDefault="006021EE">
            <w:pPr>
              <w:pStyle w:val="P68B1DB1-Normal46"/>
              <w:spacing w:line="259" w:lineRule="auto"/>
              <w:ind w:right="47"/>
              <w:jc w:val="center"/>
              <w:rPr>
                <w:rFonts w:cs="Times New Roman"/>
                <w:noProof/>
              </w:rPr>
            </w:pPr>
            <w:r>
              <w:rPr>
                <w:b/>
                <w:noProof/>
              </w:rPr>
              <w:t>Namen</w:t>
            </w:r>
            <w:r>
              <w:rPr>
                <w:noProof/>
              </w:rPr>
              <w:t xml:space="preserve"> </w:t>
            </w:r>
          </w:p>
        </w:tc>
      </w:tr>
      <w:tr w:rsidR="00EB245A" w14:paraId="7C03893C" w14:textId="77777777">
        <w:trPr>
          <w:trHeight w:val="1733"/>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2F4A2FE" w14:textId="77777777" w:rsidR="00EB245A" w:rsidRDefault="006021EE">
            <w:pPr>
              <w:pStyle w:val="P68B1DB1-Normal46"/>
              <w:spacing w:line="259" w:lineRule="auto"/>
              <w:ind w:right="47"/>
              <w:jc w:val="center"/>
              <w:rPr>
                <w:rFonts w:cs="Times New Roman"/>
                <w:noProof/>
              </w:rPr>
            </w:pPr>
            <w:r>
              <w:rPr>
                <w:noProof/>
              </w:rPr>
              <w:t xml:space="preserve">A13G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E1DD640" w14:textId="77777777" w:rsidR="00EB245A" w:rsidRDefault="006021EE">
            <w:pPr>
              <w:pStyle w:val="P68B1DB1-Normal46"/>
              <w:spacing w:line="259" w:lineRule="auto"/>
              <w:rPr>
                <w:rFonts w:cs="Times New Roman"/>
                <w:noProof/>
              </w:rPr>
            </w:pPr>
            <w:r>
              <w:rPr>
                <w:noProof/>
              </w:rPr>
              <w:t xml:space="preserve">A1.3.1 Umsetzung der Raumordnungsreform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9B0FEE9" w14:textId="3A174953" w:rsidR="00EB245A" w:rsidRDefault="006021EE" w:rsidP="009A3AB9">
            <w:pPr>
              <w:pStyle w:val="P68B1DB1-Normal46"/>
              <w:spacing w:line="259" w:lineRule="auto"/>
              <w:ind w:left="74"/>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6300A30" w14:textId="77777777" w:rsidR="00EB245A" w:rsidRDefault="006021EE">
            <w:pPr>
              <w:pStyle w:val="P68B1DB1-Normal46"/>
              <w:spacing w:line="259" w:lineRule="auto"/>
              <w:ind w:right="34"/>
              <w:rPr>
                <w:rFonts w:cs="Times New Roman"/>
                <w:noProof/>
              </w:rPr>
            </w:pPr>
            <w:r>
              <w:rPr>
                <w:noProof/>
              </w:rPr>
              <w:t xml:space="preserve">Veröffentlichung eines Dokuments, in dem der Zuweisungsmechanismus und der Richtbetrag für die einzelnen Gemeinden in Polen für die Umsetzung der Raumplanungsreform festgelegt sind </w:t>
            </w:r>
          </w:p>
        </w:tc>
      </w:tr>
      <w:tr w:rsidR="00EB245A" w14:paraId="286E1DF1" w14:textId="77777777">
        <w:trPr>
          <w:trHeight w:val="1228"/>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EB4ACAC" w14:textId="77777777" w:rsidR="00EB245A" w:rsidRDefault="006021EE">
            <w:pPr>
              <w:pStyle w:val="P68B1DB1-Normal46"/>
              <w:spacing w:line="259" w:lineRule="auto"/>
              <w:ind w:right="47"/>
              <w:jc w:val="center"/>
              <w:rPr>
                <w:rFonts w:cs="Times New Roman"/>
                <w:noProof/>
              </w:rPr>
            </w:pPr>
            <w:r>
              <w:rPr>
                <w:noProof/>
              </w:rPr>
              <w:t xml:space="preserve">A49G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4510F49" w14:textId="77777777" w:rsidR="00EB245A" w:rsidRDefault="006021EE">
            <w:pPr>
              <w:pStyle w:val="P68B1DB1-Normal46"/>
              <w:spacing w:line="259" w:lineRule="auto"/>
              <w:rPr>
                <w:rFonts w:cs="Times New Roman"/>
                <w:noProof/>
              </w:rPr>
            </w:pPr>
            <w:r>
              <w:rPr>
                <w:noProof/>
              </w:rPr>
              <w:t xml:space="preserve">A3.1.1 Investitionen in moderne Berufsbildung, Hochschulbildung und lebenslanges Lernen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4C44454" w14:textId="77777777" w:rsidR="00EB245A" w:rsidRDefault="006021EE">
            <w:pPr>
              <w:pStyle w:val="P68B1DB1-Normal46"/>
              <w:spacing w:line="259" w:lineRule="auto"/>
              <w:ind w:right="47"/>
              <w:jc w:val="center"/>
              <w:rPr>
                <w:rFonts w:cs="Times New Roman"/>
                <w:noProof/>
              </w:rPr>
            </w:pPr>
            <w:r>
              <w:rPr>
                <w:noProof/>
              </w:rPr>
              <w:t xml:space="preserve">Ziel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87E1811" w14:textId="77777777" w:rsidR="00EB245A" w:rsidRDefault="006021EE">
            <w:pPr>
              <w:pStyle w:val="P68B1DB1-Normal46"/>
              <w:spacing w:line="259" w:lineRule="auto"/>
              <w:rPr>
                <w:rFonts w:cs="Times New Roman"/>
                <w:noProof/>
              </w:rPr>
            </w:pPr>
            <w:r>
              <w:rPr>
                <w:noProof/>
              </w:rPr>
              <w:t>Einrichtung funktionierender regionaler Koordinierungsteams zur Koordinierung der Politik in den Bereichen berufliche Aus- und Weiterbildung und lebenslanges Ler</w:t>
            </w:r>
            <w:r>
              <w:rPr>
                <w:noProof/>
              </w:rPr>
              <w:t xml:space="preserve">nen </w:t>
            </w:r>
          </w:p>
        </w:tc>
      </w:tr>
      <w:tr w:rsidR="00EB245A" w14:paraId="71349123" w14:textId="77777777">
        <w:trPr>
          <w:trHeight w:val="1733"/>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36BD310" w14:textId="77777777" w:rsidR="00EB245A" w:rsidRDefault="006021EE">
            <w:pPr>
              <w:pStyle w:val="P68B1DB1-Normal46"/>
              <w:spacing w:line="259" w:lineRule="auto"/>
              <w:ind w:right="47"/>
              <w:jc w:val="center"/>
              <w:rPr>
                <w:rFonts w:cs="Times New Roman"/>
                <w:noProof/>
              </w:rPr>
            </w:pPr>
            <w:r>
              <w:rPr>
                <w:noProof/>
              </w:rPr>
              <w:t xml:space="preserve">A53G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A8CCD9F" w14:textId="77777777" w:rsidR="00EB245A" w:rsidRDefault="006021EE">
            <w:pPr>
              <w:pStyle w:val="P68B1DB1-Normal46"/>
              <w:spacing w:line="259" w:lineRule="auto"/>
              <w:rPr>
                <w:rFonts w:cs="Times New Roman"/>
                <w:noProof/>
              </w:rPr>
            </w:pPr>
            <w:r>
              <w:rPr>
                <w:noProof/>
              </w:rPr>
              <w:t xml:space="preserve">A4.1 Wirksame Arbeitsmarktinstitutionen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6B9518A" w14:textId="2A64D7AF" w:rsidR="00EB245A" w:rsidRDefault="006021EE" w:rsidP="009A3AB9">
            <w:pPr>
              <w:pStyle w:val="P68B1DB1-Normal46"/>
              <w:spacing w:line="259" w:lineRule="auto"/>
              <w:ind w:left="74"/>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E79C984" w14:textId="77777777" w:rsidR="00EB245A" w:rsidRDefault="006021EE">
            <w:pPr>
              <w:pStyle w:val="P68B1DB1-Normal46"/>
              <w:spacing w:line="259" w:lineRule="auto"/>
              <w:rPr>
                <w:rFonts w:cs="Times New Roman"/>
                <w:noProof/>
              </w:rPr>
            </w:pPr>
            <w:r>
              <w:rPr>
                <w:noProof/>
              </w:rPr>
              <w:t xml:space="preserve">Durchführung eines Konsultationsprozesses der Sozialpartner zum Potenzial von Tarifverträgen und Durchführung einer umfassenden Studie über die potenzielle Rolle eines einzigen </w:t>
            </w:r>
            <w:r>
              <w:rPr>
                <w:noProof/>
              </w:rPr>
              <w:t xml:space="preserve">Arbeitsvertrags bei der Schaffung neuer Flexibilität und Sicherheit auf dem polnischen Arbeitsmarkt </w:t>
            </w:r>
          </w:p>
        </w:tc>
      </w:tr>
      <w:tr w:rsidR="00EB245A" w14:paraId="1562697F" w14:textId="77777777">
        <w:trPr>
          <w:trHeight w:val="1734"/>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8B0D0CC" w14:textId="77777777" w:rsidR="00EB245A" w:rsidRDefault="006021EE">
            <w:pPr>
              <w:pStyle w:val="P68B1DB1-Normal46"/>
              <w:spacing w:line="259" w:lineRule="auto"/>
              <w:ind w:right="47"/>
              <w:jc w:val="center"/>
              <w:rPr>
                <w:rFonts w:cs="Times New Roman"/>
                <w:noProof/>
              </w:rPr>
            </w:pPr>
            <w:r>
              <w:rPr>
                <w:noProof/>
              </w:rPr>
              <w:t xml:space="preserve">A65G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246D6F0" w14:textId="77777777" w:rsidR="00EB245A" w:rsidRDefault="006021EE">
            <w:pPr>
              <w:pStyle w:val="P68B1DB1-Normal46"/>
              <w:spacing w:line="259" w:lineRule="auto"/>
              <w:rPr>
                <w:rFonts w:cs="Times New Roman"/>
                <w:noProof/>
              </w:rPr>
            </w:pPr>
            <w:r>
              <w:rPr>
                <w:noProof/>
              </w:rPr>
              <w:t xml:space="preserve">A4.4 Flexibilisierung der Beschäftigungsformen und Einführung von Telearbeit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2B06AD5" w14:textId="7F13EC16" w:rsidR="00EB245A" w:rsidRDefault="006021EE" w:rsidP="009A3AB9">
            <w:pPr>
              <w:pStyle w:val="P68B1DB1-Normal46"/>
              <w:spacing w:line="259" w:lineRule="auto"/>
              <w:ind w:left="74"/>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4FF6FAE" w14:textId="77777777" w:rsidR="00EB245A" w:rsidRDefault="006021EE">
            <w:pPr>
              <w:pStyle w:val="P68B1DB1-Normal46"/>
              <w:spacing w:line="239" w:lineRule="auto"/>
              <w:rPr>
                <w:rFonts w:cs="Times New Roman"/>
                <w:noProof/>
              </w:rPr>
            </w:pPr>
            <w:r>
              <w:rPr>
                <w:noProof/>
              </w:rPr>
              <w:t xml:space="preserve">Inkrafttreten des Gesetzes zur Änderung des Arbeitsgesetzbuchs zur Einführung der dauerhaften </w:t>
            </w:r>
          </w:p>
          <w:p w14:paraId="066C5230" w14:textId="77777777" w:rsidR="00EB245A" w:rsidRDefault="006021EE">
            <w:pPr>
              <w:pStyle w:val="P68B1DB1-Normal46"/>
              <w:spacing w:after="4" w:line="238" w:lineRule="auto"/>
              <w:rPr>
                <w:rFonts w:cs="Times New Roman"/>
                <w:noProof/>
              </w:rPr>
            </w:pPr>
            <w:r>
              <w:rPr>
                <w:noProof/>
              </w:rPr>
              <w:t xml:space="preserve">Einrichtung der Fernarbeit gemäß den Bestimmungen des Arbeitsgesetzbuchs und flexible Arbeitszeitformen </w:t>
            </w:r>
          </w:p>
          <w:p w14:paraId="0499A52D" w14:textId="77777777" w:rsidR="00EB245A" w:rsidRDefault="006021EE">
            <w:pPr>
              <w:pStyle w:val="P68B1DB1-Normal46"/>
              <w:spacing w:line="259" w:lineRule="auto"/>
              <w:rPr>
                <w:rFonts w:cs="Times New Roman"/>
                <w:noProof/>
              </w:rPr>
            </w:pPr>
            <w:r>
              <w:rPr>
                <w:noProof/>
              </w:rPr>
              <w:t xml:space="preserve">Arrangements </w:t>
            </w:r>
          </w:p>
        </w:tc>
      </w:tr>
      <w:tr w:rsidR="00EB245A" w14:paraId="308B5CAC" w14:textId="77777777">
        <w:trPr>
          <w:trHeight w:val="1480"/>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B75DED0" w14:textId="77777777" w:rsidR="00EB245A" w:rsidRDefault="006021EE">
            <w:pPr>
              <w:pStyle w:val="P68B1DB1-Normal46"/>
              <w:spacing w:line="259" w:lineRule="auto"/>
              <w:ind w:right="47"/>
              <w:jc w:val="center"/>
              <w:rPr>
                <w:rFonts w:cs="Times New Roman"/>
                <w:noProof/>
              </w:rPr>
            </w:pPr>
            <w:r>
              <w:rPr>
                <w:noProof/>
              </w:rPr>
              <w:t xml:space="preserve">A67G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3F1BBCF" w14:textId="77777777" w:rsidR="00EB245A" w:rsidRDefault="006021EE">
            <w:pPr>
              <w:pStyle w:val="P68B1DB1-Normal46"/>
              <w:spacing w:line="259" w:lineRule="auto"/>
              <w:rPr>
                <w:rFonts w:cs="Times New Roman"/>
                <w:noProof/>
              </w:rPr>
            </w:pPr>
            <w:r>
              <w:rPr>
                <w:noProof/>
              </w:rPr>
              <w:t xml:space="preserve">A4.5 Verlängerung der beruflichen Laufbahn und Förderung der Arbeit über das gesetzliche Renteneintrittsalter hinaus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BBEE3EB" w14:textId="3A551130" w:rsidR="00EB245A" w:rsidRDefault="006021EE" w:rsidP="009A3AB9">
            <w:pPr>
              <w:pStyle w:val="P68B1DB1-Normal46"/>
              <w:spacing w:line="259" w:lineRule="auto"/>
              <w:ind w:left="74"/>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53A819F" w14:textId="77777777" w:rsidR="00EB245A" w:rsidRDefault="006021EE">
            <w:pPr>
              <w:pStyle w:val="P68B1DB1-Normal46"/>
              <w:spacing w:line="259" w:lineRule="auto"/>
              <w:rPr>
                <w:rFonts w:cs="Times New Roman"/>
                <w:noProof/>
              </w:rPr>
            </w:pPr>
            <w:r>
              <w:rPr>
                <w:noProof/>
              </w:rPr>
              <w:t>Inkrafttreten des Gesetzes zur Änderung des Einkommensteuergesetzes zur Einführung einer Einkommensteuerermäßigung für Persone</w:t>
            </w:r>
            <w:r>
              <w:rPr>
                <w:noProof/>
              </w:rPr>
              <w:t xml:space="preserve">n, die das Rentenalter erreicht haben, aber weiterhin erwerbstätig sind, ab 2023 </w:t>
            </w:r>
          </w:p>
        </w:tc>
      </w:tr>
      <w:tr w:rsidR="00EB245A" w14:paraId="3A2227ED" w14:textId="77777777">
        <w:trPr>
          <w:trHeight w:val="1225"/>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D6EF6E4" w14:textId="77777777" w:rsidR="00EB245A" w:rsidRDefault="006021EE">
            <w:pPr>
              <w:pStyle w:val="P68B1DB1-Normal46"/>
              <w:spacing w:line="259" w:lineRule="auto"/>
              <w:ind w:right="49"/>
              <w:jc w:val="center"/>
              <w:rPr>
                <w:rFonts w:cs="Times New Roman"/>
                <w:noProof/>
              </w:rPr>
            </w:pPr>
            <w:r>
              <w:rPr>
                <w:noProof/>
              </w:rPr>
              <w:t xml:space="preserve">B4G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50282CF" w14:textId="77777777" w:rsidR="00EB245A" w:rsidRDefault="006021EE">
            <w:pPr>
              <w:pStyle w:val="P68B1DB1-Normal46"/>
              <w:spacing w:line="259" w:lineRule="auto"/>
              <w:rPr>
                <w:rFonts w:cs="Times New Roman"/>
                <w:noProof/>
              </w:rPr>
            </w:pPr>
            <w:r>
              <w:rPr>
                <w:noProof/>
              </w:rPr>
              <w:t xml:space="preserve">B1.1 Saubere Luft und Energieeffizienz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C613450" w14:textId="6C812864" w:rsidR="00EB245A" w:rsidRDefault="006021EE" w:rsidP="009A3AB9">
            <w:pPr>
              <w:pStyle w:val="P68B1DB1-Normal46"/>
              <w:spacing w:line="259" w:lineRule="auto"/>
              <w:ind w:left="74"/>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820B73C" w14:textId="77777777" w:rsidR="00EB245A" w:rsidRDefault="006021EE">
            <w:pPr>
              <w:pStyle w:val="P68B1DB1-Normal46"/>
              <w:spacing w:line="259" w:lineRule="auto"/>
              <w:ind w:right="30"/>
              <w:rPr>
                <w:rFonts w:cs="Times New Roman"/>
                <w:noProof/>
              </w:rPr>
            </w:pPr>
            <w:r>
              <w:rPr>
                <w:noProof/>
              </w:rPr>
              <w:t xml:space="preserve">Inkrafttreten einer Änderung der Verordnung des Ministers für Klima und Umwelt über Qualitätsnormen für feste Brennstoffe </w:t>
            </w:r>
          </w:p>
        </w:tc>
      </w:tr>
      <w:tr w:rsidR="00EB245A" w14:paraId="605092A1" w14:textId="77777777">
        <w:trPr>
          <w:trHeight w:val="1225"/>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63384EC" w14:textId="6E241BA2" w:rsidR="00EB245A" w:rsidRDefault="006021EE">
            <w:pPr>
              <w:pStyle w:val="P68B1DB1-Normal46"/>
              <w:spacing w:line="259" w:lineRule="auto"/>
              <w:ind w:right="49"/>
              <w:jc w:val="center"/>
              <w:rPr>
                <w:rFonts w:cs="Times New Roman"/>
                <w:noProof/>
              </w:rPr>
            </w:pPr>
            <w:r>
              <w:rPr>
                <w:noProof/>
              </w:rPr>
              <w:t xml:space="preserve">C3G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17F0A02" w14:textId="7A44F768" w:rsidR="00EB245A" w:rsidRDefault="006021EE">
            <w:pPr>
              <w:pStyle w:val="P68B1DB1-Normal46"/>
              <w:spacing w:line="259" w:lineRule="auto"/>
              <w:rPr>
                <w:rFonts w:cs="Times New Roman"/>
                <w:noProof/>
              </w:rPr>
            </w:pPr>
            <w:r>
              <w:rPr>
                <w:noProof/>
              </w:rPr>
              <w:t xml:space="preserve">C1.1 Erleichterung des Ausbaus der Netzinfrastruktur zur Gewährleistung des universellen Zugangs zum Hochgeschwindigkeitsinternet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1AFB204" w14:textId="31F768E2" w:rsidR="00EB245A" w:rsidRDefault="006021EE" w:rsidP="009A3AB9">
            <w:pPr>
              <w:pStyle w:val="P68B1DB1-Normal46"/>
              <w:spacing w:line="259" w:lineRule="auto"/>
              <w:ind w:left="74"/>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353C666" w14:textId="77777777" w:rsidR="00EB245A" w:rsidRDefault="006021EE">
            <w:pPr>
              <w:pStyle w:val="P68B1DB1-Normal46"/>
              <w:spacing w:line="259" w:lineRule="auto"/>
              <w:rPr>
                <w:rFonts w:cs="Times New Roman"/>
                <w:noProof/>
              </w:rPr>
            </w:pPr>
            <w:r>
              <w:rPr>
                <w:noProof/>
              </w:rPr>
              <w:t xml:space="preserve">Änderung der Verordnung über Einzige </w:t>
            </w:r>
          </w:p>
          <w:p w14:paraId="6C4CFB46" w14:textId="765F109F" w:rsidR="00EB245A" w:rsidRDefault="006021EE">
            <w:pPr>
              <w:pStyle w:val="P68B1DB1-Normal46"/>
              <w:spacing w:line="259" w:lineRule="auto"/>
              <w:ind w:right="30"/>
              <w:rPr>
                <w:rFonts w:cs="Times New Roman"/>
                <w:noProof/>
              </w:rPr>
            </w:pPr>
            <w:r>
              <w:rPr>
                <w:noProof/>
              </w:rPr>
              <w:t xml:space="preserve">Informationsstelle </w:t>
            </w:r>
          </w:p>
        </w:tc>
      </w:tr>
      <w:tr w:rsidR="00EB245A" w14:paraId="25F783B6" w14:textId="77777777">
        <w:trPr>
          <w:trHeight w:val="1225"/>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FC069EC" w14:textId="238498B0" w:rsidR="00EB245A" w:rsidRDefault="006021EE">
            <w:pPr>
              <w:pStyle w:val="P68B1DB1-Normal46"/>
              <w:spacing w:line="259" w:lineRule="auto"/>
              <w:ind w:right="49"/>
              <w:jc w:val="center"/>
              <w:rPr>
                <w:rFonts w:cs="Times New Roman"/>
                <w:noProof/>
              </w:rPr>
            </w:pPr>
            <w:r>
              <w:rPr>
                <w:noProof/>
              </w:rPr>
              <w:t xml:space="preserve">C9G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3AC3397" w14:textId="30E25AED" w:rsidR="00EB245A" w:rsidRDefault="006021EE">
            <w:pPr>
              <w:pStyle w:val="P68B1DB1-Normal46"/>
              <w:spacing w:line="259" w:lineRule="auto"/>
              <w:rPr>
                <w:rFonts w:cs="Times New Roman"/>
                <w:noProof/>
              </w:rPr>
            </w:pPr>
            <w:r>
              <w:rPr>
                <w:noProof/>
              </w:rPr>
              <w:t>C2.1 Ausbau digitaler Anwendungen im öffentlichen</w:t>
            </w:r>
            <w:r>
              <w:rPr>
                <w:noProof/>
              </w:rPr>
              <w:t xml:space="preserve"> Raum, in der Wirtschaft und in der Gesellschaft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043EBD0" w14:textId="7B7F76F2" w:rsidR="00EB245A" w:rsidRDefault="006021EE" w:rsidP="009A3AB9">
            <w:pPr>
              <w:pStyle w:val="P68B1DB1-Normal46"/>
              <w:spacing w:line="259" w:lineRule="auto"/>
              <w:ind w:left="74"/>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8BA8119" w14:textId="4A34A478" w:rsidR="00EB245A" w:rsidRDefault="006021EE">
            <w:pPr>
              <w:pStyle w:val="P68B1DB1-Normal46"/>
              <w:spacing w:line="259" w:lineRule="auto"/>
              <w:rPr>
                <w:rFonts w:cs="Times New Roman"/>
                <w:noProof/>
              </w:rPr>
            </w:pPr>
            <w:r>
              <w:rPr>
                <w:noProof/>
              </w:rPr>
              <w:t xml:space="preserve">Verbindliche Mindeststandards für die Ausstattung aller Schulen mit digitaler Infrastruktur, um den gleichberechtigten Einsatz digitaler Technologien für das Lernen in jeder Schule zu ermöglichen </w:t>
            </w:r>
          </w:p>
        </w:tc>
      </w:tr>
      <w:tr w:rsidR="00EB245A" w14:paraId="7D3AC88B" w14:textId="77777777">
        <w:trPr>
          <w:trHeight w:val="1225"/>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272E630" w14:textId="532C8AC9" w:rsidR="00EB245A" w:rsidRDefault="006021EE">
            <w:pPr>
              <w:pStyle w:val="P68B1DB1-Normal46"/>
              <w:spacing w:line="259" w:lineRule="auto"/>
              <w:ind w:right="49"/>
              <w:jc w:val="center"/>
              <w:rPr>
                <w:rFonts w:cs="Times New Roman"/>
                <w:noProof/>
              </w:rPr>
            </w:pPr>
            <w:r>
              <w:rPr>
                <w:noProof/>
              </w:rPr>
              <w:t xml:space="preserve">C10G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CF57250" w14:textId="6ED51875" w:rsidR="00EB245A" w:rsidRDefault="006021EE">
            <w:pPr>
              <w:pStyle w:val="P68B1DB1-Normal46"/>
              <w:spacing w:line="259" w:lineRule="auto"/>
              <w:rPr>
                <w:rFonts w:cs="Times New Roman"/>
                <w:noProof/>
              </w:rPr>
            </w:pPr>
            <w:r>
              <w:rPr>
                <w:noProof/>
              </w:rPr>
              <w:t>C2.1 Ausbau digitaler Anwendungen im öffentlichen Ra</w:t>
            </w:r>
            <w:r>
              <w:rPr>
                <w:noProof/>
              </w:rPr>
              <w:t xml:space="preserve">um, in der Wirtschaft und in der Gesellschaft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F2F4DB7" w14:textId="640321BD" w:rsidR="00EB245A" w:rsidRDefault="006021EE" w:rsidP="009A3AB9">
            <w:pPr>
              <w:pStyle w:val="P68B1DB1-Normal46"/>
              <w:spacing w:line="259" w:lineRule="auto"/>
              <w:ind w:left="74"/>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D51D342" w14:textId="77777777" w:rsidR="00EB245A" w:rsidRDefault="006021EE">
            <w:pPr>
              <w:pStyle w:val="P68B1DB1-Normal46"/>
              <w:spacing w:line="259" w:lineRule="auto"/>
              <w:rPr>
                <w:rFonts w:cs="Times New Roman"/>
                <w:noProof/>
              </w:rPr>
            </w:pPr>
            <w:r>
              <w:rPr>
                <w:noProof/>
              </w:rPr>
              <w:t xml:space="preserve">Inkrafttreten der Entschließung des </w:t>
            </w:r>
          </w:p>
          <w:p w14:paraId="07225B28" w14:textId="77777777" w:rsidR="00EB245A" w:rsidRDefault="006021EE">
            <w:pPr>
              <w:pStyle w:val="P68B1DB1-Normal46"/>
              <w:spacing w:line="259" w:lineRule="auto"/>
              <w:rPr>
                <w:rFonts w:cs="Times New Roman"/>
                <w:noProof/>
              </w:rPr>
            </w:pPr>
            <w:r>
              <w:rPr>
                <w:noProof/>
              </w:rPr>
              <w:t xml:space="preserve">Ministerrat für Digitales </w:t>
            </w:r>
          </w:p>
          <w:p w14:paraId="64C53979" w14:textId="35087E7F" w:rsidR="00EB245A" w:rsidRDefault="006021EE">
            <w:pPr>
              <w:pStyle w:val="P68B1DB1-Normal46"/>
              <w:spacing w:line="259" w:lineRule="auto"/>
              <w:rPr>
                <w:rFonts w:cs="Times New Roman"/>
                <w:noProof/>
              </w:rPr>
            </w:pPr>
            <w:r>
              <w:rPr>
                <w:noProof/>
              </w:rPr>
              <w:t xml:space="preserve">Kompetenzentwicklungsprogramm </w:t>
            </w:r>
          </w:p>
        </w:tc>
      </w:tr>
      <w:tr w:rsidR="00EB245A" w14:paraId="60CEE5BF" w14:textId="77777777">
        <w:trPr>
          <w:trHeight w:val="1225"/>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C396A95" w14:textId="7C50BBC1" w:rsidR="00EB245A" w:rsidRDefault="006021EE">
            <w:pPr>
              <w:pStyle w:val="P68B1DB1-Normal46"/>
              <w:spacing w:line="259" w:lineRule="auto"/>
              <w:ind w:right="49"/>
              <w:jc w:val="center"/>
              <w:rPr>
                <w:rFonts w:cs="Times New Roman"/>
                <w:noProof/>
              </w:rPr>
            </w:pPr>
            <w:r>
              <w:rPr>
                <w:noProof/>
              </w:rPr>
              <w:t xml:space="preserve">C16G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1BAA7F3" w14:textId="403FE67B" w:rsidR="00EB245A" w:rsidRDefault="006021EE">
            <w:pPr>
              <w:pStyle w:val="P68B1DB1-Normal46"/>
              <w:spacing w:line="259" w:lineRule="auto"/>
              <w:rPr>
                <w:rFonts w:cs="Times New Roman"/>
                <w:noProof/>
              </w:rPr>
            </w:pPr>
            <w:r>
              <w:rPr>
                <w:noProof/>
              </w:rPr>
              <w:t xml:space="preserve">C2.1.3 E-Kompetenzen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0C9FC9A" w14:textId="67324B5D" w:rsidR="00EB245A" w:rsidRDefault="006021EE" w:rsidP="009A3AB9">
            <w:pPr>
              <w:pStyle w:val="P68B1DB1-Normal46"/>
              <w:spacing w:line="259" w:lineRule="auto"/>
              <w:ind w:left="74"/>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FEC8C4A" w14:textId="524D2E2E" w:rsidR="00EB245A" w:rsidRDefault="006021EE">
            <w:pPr>
              <w:pStyle w:val="P68B1DB1-Normal46"/>
              <w:spacing w:line="259" w:lineRule="auto"/>
              <w:rPr>
                <w:rFonts w:cs="Times New Roman"/>
                <w:noProof/>
              </w:rPr>
            </w:pPr>
            <w:r>
              <w:rPr>
                <w:noProof/>
              </w:rPr>
              <w:t xml:space="preserve">Einrichtung eines Zentrums für die Entwicklung digitaler Kompetenzen (DCDC) </w:t>
            </w:r>
          </w:p>
        </w:tc>
      </w:tr>
      <w:tr w:rsidR="00EB245A" w14:paraId="100FC058" w14:textId="77777777">
        <w:trPr>
          <w:trHeight w:val="1225"/>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85B78FA" w14:textId="47529967" w:rsidR="00EB245A" w:rsidRDefault="006021EE">
            <w:pPr>
              <w:pStyle w:val="P68B1DB1-Normal46"/>
              <w:spacing w:line="259" w:lineRule="auto"/>
              <w:ind w:right="49"/>
              <w:jc w:val="center"/>
              <w:rPr>
                <w:rFonts w:cs="Times New Roman"/>
                <w:noProof/>
              </w:rPr>
            </w:pPr>
            <w:r>
              <w:rPr>
                <w:noProof/>
              </w:rPr>
              <w:t xml:space="preserve">D2G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83CEF1A" w14:textId="46D3EF6A" w:rsidR="00EB245A" w:rsidRDefault="006021EE">
            <w:pPr>
              <w:pStyle w:val="P68B1DB1-Normal46"/>
              <w:spacing w:line="259" w:lineRule="auto"/>
              <w:rPr>
                <w:rFonts w:cs="Times New Roman"/>
                <w:noProof/>
              </w:rPr>
            </w:pPr>
            <w:r>
              <w:rPr>
                <w:noProof/>
              </w:rPr>
              <w:t xml:space="preserve">D1.1 Verbesserung der Wirksamkeit, Zugänglichkeit und Qualität der Gesundheitsdienste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4ADA1F2" w14:textId="0F822AB8" w:rsidR="00EB245A" w:rsidRDefault="006021EE" w:rsidP="009A3AB9">
            <w:pPr>
              <w:pStyle w:val="P68B1DB1-Normal46"/>
              <w:spacing w:line="259" w:lineRule="auto"/>
              <w:ind w:left="74"/>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F7F81A9" w14:textId="77777777" w:rsidR="00EB245A" w:rsidRDefault="006021EE">
            <w:pPr>
              <w:pStyle w:val="P68B1DB1-Normal46"/>
              <w:spacing w:line="259" w:lineRule="auto"/>
              <w:rPr>
                <w:rFonts w:cs="Times New Roman"/>
                <w:noProof/>
              </w:rPr>
            </w:pPr>
            <w:r>
              <w:rPr>
                <w:noProof/>
              </w:rPr>
              <w:t xml:space="preserve">Inkrafttreten des Erlasses des </w:t>
            </w:r>
          </w:p>
          <w:p w14:paraId="242A912A" w14:textId="60BC04B6" w:rsidR="00EB245A" w:rsidRDefault="006021EE">
            <w:pPr>
              <w:pStyle w:val="P68B1DB1-Normal46"/>
              <w:spacing w:line="259" w:lineRule="auto"/>
              <w:rPr>
                <w:rFonts w:cs="Times New Roman"/>
                <w:noProof/>
              </w:rPr>
            </w:pPr>
            <w:r>
              <w:rPr>
                <w:noProof/>
              </w:rPr>
              <w:t xml:space="preserve">Präsident des Nationalen Gesundheitsfonds </w:t>
            </w:r>
            <w:r>
              <w:rPr>
                <w:noProof/>
              </w:rPr>
              <w:t xml:space="preserve">(NFZ) und entsprechende Rechtsakte zur Stärkung der Primärversorgung und der koordinierten Versorgung, gefolgt von Finanzbestimmungen (einschließlich Vertragsänderungen), die eine landesweite Umsetzung ermöglichen. </w:t>
            </w:r>
          </w:p>
        </w:tc>
      </w:tr>
      <w:tr w:rsidR="00EB245A" w14:paraId="6526D866" w14:textId="77777777">
        <w:trPr>
          <w:trHeight w:val="1225"/>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ADCCBA2" w14:textId="1E489C18" w:rsidR="00EB245A" w:rsidRDefault="006021EE">
            <w:pPr>
              <w:pStyle w:val="P68B1DB1-Normal46"/>
              <w:spacing w:line="259" w:lineRule="auto"/>
              <w:ind w:right="49"/>
              <w:jc w:val="center"/>
              <w:rPr>
                <w:rFonts w:cs="Times New Roman"/>
                <w:noProof/>
              </w:rPr>
            </w:pPr>
            <w:r>
              <w:rPr>
                <w:noProof/>
              </w:rPr>
              <w:t xml:space="preserve">D3G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37CF3C6" w14:textId="629912CB" w:rsidR="00EB245A" w:rsidRDefault="006021EE">
            <w:pPr>
              <w:pStyle w:val="P68B1DB1-Normal46"/>
              <w:spacing w:line="259" w:lineRule="auto"/>
              <w:rPr>
                <w:rFonts w:cs="Times New Roman"/>
                <w:noProof/>
              </w:rPr>
            </w:pPr>
            <w:r>
              <w:rPr>
                <w:noProof/>
              </w:rPr>
              <w:t xml:space="preserve">D1.1 Verbesserung der Wirksamkeit, Zugänglichkeit und Qualität der Gesundheitsdienste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BA0B850" w14:textId="0FAD98F5" w:rsidR="00EB245A" w:rsidRDefault="006021EE" w:rsidP="009A3AB9">
            <w:pPr>
              <w:pStyle w:val="P68B1DB1-Normal46"/>
              <w:spacing w:line="259" w:lineRule="auto"/>
              <w:ind w:left="74"/>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FCBB68C" w14:textId="421F2D51" w:rsidR="00EB245A" w:rsidRDefault="006021EE">
            <w:pPr>
              <w:pStyle w:val="P68B1DB1-Normal46"/>
              <w:spacing w:line="259" w:lineRule="auto"/>
              <w:rPr>
                <w:rFonts w:cs="Times New Roman"/>
                <w:noProof/>
              </w:rPr>
            </w:pPr>
            <w:r>
              <w:rPr>
                <w:noProof/>
              </w:rPr>
              <w:t xml:space="preserve">Inkrafttreten des Gesetzes über die Qualität des Gesundheitswesens und der Patientensicherheit zusammen mit den erforderlichen Durchführungsverordnungen </w:t>
            </w:r>
          </w:p>
        </w:tc>
      </w:tr>
      <w:tr w:rsidR="00EB245A" w14:paraId="5083CC35" w14:textId="77777777">
        <w:trPr>
          <w:trHeight w:val="1225"/>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6D0C335" w14:textId="6B3DEBE3" w:rsidR="00EB245A" w:rsidRDefault="006021EE">
            <w:pPr>
              <w:pStyle w:val="P68B1DB1-Normal46"/>
              <w:spacing w:line="259" w:lineRule="auto"/>
              <w:ind w:right="49"/>
              <w:jc w:val="center"/>
              <w:rPr>
                <w:rFonts w:cs="Times New Roman"/>
                <w:noProof/>
              </w:rPr>
            </w:pPr>
            <w:r>
              <w:rPr>
                <w:noProof/>
              </w:rPr>
              <w:t>D4</w:t>
            </w:r>
            <w:r>
              <w:rPr>
                <w:noProof/>
              </w:rPr>
              <w:t xml:space="preserve">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1DDB61A" w14:textId="418F4D1D" w:rsidR="00EB245A" w:rsidRDefault="006021EE">
            <w:pPr>
              <w:pStyle w:val="P68B1DB1-Normal46"/>
              <w:spacing w:line="259" w:lineRule="auto"/>
              <w:rPr>
                <w:rFonts w:cs="Times New Roman"/>
                <w:noProof/>
              </w:rPr>
            </w:pPr>
            <w:r>
              <w:rPr>
                <w:noProof/>
              </w:rPr>
              <w:t xml:space="preserve">D1.1 Verbesserung der Wirksamkeit, Zugänglichkeit und Qualität der Gesundheitsdienste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19FC1DC" w14:textId="11D1A6C1" w:rsidR="00EB245A" w:rsidRDefault="006021EE" w:rsidP="009A3AB9">
            <w:pPr>
              <w:pStyle w:val="P68B1DB1-Normal46"/>
              <w:spacing w:line="259" w:lineRule="auto"/>
              <w:ind w:left="74"/>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8DCFA86" w14:textId="21E9ADF9" w:rsidR="00EB245A" w:rsidRDefault="006021EE">
            <w:pPr>
              <w:pStyle w:val="P68B1DB1-Normal46"/>
              <w:spacing w:line="259" w:lineRule="auto"/>
              <w:rPr>
                <w:rFonts w:cs="Times New Roman"/>
                <w:noProof/>
              </w:rPr>
            </w:pPr>
            <w:r>
              <w:rPr>
                <w:noProof/>
              </w:rPr>
              <w:t>Inkrafttreten des Gesetzes über das nationale Onkologische Netz und der einschlägigen Rechtsakte zur Festlegung der Regeln für den Betrieb des Netzes durc</w:t>
            </w:r>
            <w:r>
              <w:rPr>
                <w:noProof/>
              </w:rPr>
              <w:t xml:space="preserve">h Einführung einer neuen Struktur und eines neuen Modells für das Krebsversorgungsmanagement </w:t>
            </w:r>
          </w:p>
        </w:tc>
      </w:tr>
      <w:tr w:rsidR="00EB245A" w14:paraId="64F33BC2" w14:textId="77777777">
        <w:trPr>
          <w:trHeight w:val="1225"/>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84F9443" w14:textId="0A92809B" w:rsidR="00EB245A" w:rsidRDefault="006021EE">
            <w:pPr>
              <w:pStyle w:val="P68B1DB1-Normal46"/>
              <w:spacing w:line="259" w:lineRule="auto"/>
              <w:ind w:right="49"/>
              <w:jc w:val="center"/>
              <w:rPr>
                <w:rFonts w:cs="Times New Roman"/>
                <w:noProof/>
              </w:rPr>
            </w:pPr>
            <w:r>
              <w:rPr>
                <w:noProof/>
              </w:rPr>
              <w:t xml:space="preserve">D9G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FF79F09" w14:textId="315C834A" w:rsidR="00EB245A" w:rsidRDefault="006021EE">
            <w:pPr>
              <w:pStyle w:val="P68B1DB1-Normal46"/>
              <w:spacing w:line="259" w:lineRule="auto"/>
              <w:rPr>
                <w:rFonts w:cs="Times New Roman"/>
                <w:noProof/>
              </w:rPr>
            </w:pPr>
            <w:r>
              <w:rPr>
                <w:noProof/>
              </w:rPr>
              <w:t xml:space="preserve">D1.1.1 Entwicklung und Modernisierung der Infrastruktur hochspezialisierter Pflegezentren und anderer Gesundheitsdienstleister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99D0E29" w14:textId="32F6F2FC" w:rsidR="00EB245A" w:rsidRDefault="006021EE" w:rsidP="009A3AB9">
            <w:pPr>
              <w:pStyle w:val="P68B1DB1-Normal46"/>
              <w:spacing w:line="259" w:lineRule="auto"/>
              <w:ind w:left="74"/>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9351854" w14:textId="4B5BDB4F" w:rsidR="00EB245A" w:rsidRDefault="006021EE">
            <w:pPr>
              <w:pStyle w:val="P68B1DB1-Normal46"/>
              <w:spacing w:line="238" w:lineRule="auto"/>
              <w:rPr>
                <w:rFonts w:cs="Times New Roman"/>
                <w:noProof/>
              </w:rPr>
            </w:pPr>
            <w:r>
              <w:rPr>
                <w:noProof/>
              </w:rPr>
              <w:t xml:space="preserve">Inkrafttreten eines Rechtsakts über die Liste präziser Kriterien für die Einstufung von Krankenhäusern in bestimmte Kategorien als Beitrag zur Bestimmung des sich aus der Reform ergebenden Investitionsbedarfs </w:t>
            </w:r>
          </w:p>
        </w:tc>
      </w:tr>
      <w:tr w:rsidR="00EB245A" w14:paraId="3568ADEA" w14:textId="77777777">
        <w:trPr>
          <w:trHeight w:val="1225"/>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8791E4A" w14:textId="0BE4C174" w:rsidR="00EB245A" w:rsidRDefault="006021EE">
            <w:pPr>
              <w:pStyle w:val="P68B1DB1-Normal46"/>
              <w:spacing w:line="259" w:lineRule="auto"/>
              <w:ind w:right="49"/>
              <w:jc w:val="center"/>
              <w:rPr>
                <w:rFonts w:cs="Times New Roman"/>
                <w:noProof/>
              </w:rPr>
            </w:pPr>
            <w:r>
              <w:rPr>
                <w:noProof/>
              </w:rPr>
              <w:t xml:space="preserve">D25G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98BD406" w14:textId="61DE31A4" w:rsidR="00EB245A" w:rsidRDefault="006021EE">
            <w:pPr>
              <w:pStyle w:val="P68B1DB1-Normal46"/>
              <w:spacing w:line="259" w:lineRule="auto"/>
              <w:rPr>
                <w:rFonts w:cs="Times New Roman"/>
                <w:noProof/>
              </w:rPr>
            </w:pPr>
            <w:r>
              <w:rPr>
                <w:noProof/>
              </w:rPr>
              <w:t>D2.1 Schaffung der richtigen Voraussetz</w:t>
            </w:r>
            <w:r>
              <w:rPr>
                <w:noProof/>
              </w:rPr>
              <w:t xml:space="preserve">ungen für eine Erhöhung des medizinischen Personals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451CD8A" w14:textId="46D48237" w:rsidR="00EB245A" w:rsidRDefault="006021EE" w:rsidP="009A3AB9">
            <w:pPr>
              <w:pStyle w:val="P68B1DB1-Normal46"/>
              <w:spacing w:line="259" w:lineRule="auto"/>
              <w:ind w:left="74"/>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146D511" w14:textId="2E228DCC" w:rsidR="00EB245A" w:rsidRDefault="006021EE">
            <w:pPr>
              <w:pStyle w:val="P68B1DB1-Normal46"/>
              <w:spacing w:line="238" w:lineRule="auto"/>
              <w:rPr>
                <w:rFonts w:cs="Times New Roman"/>
                <w:noProof/>
              </w:rPr>
            </w:pPr>
            <w:r>
              <w:rPr>
                <w:noProof/>
              </w:rPr>
              <w:t>Inkrafttreten des Gesetzes über den Beruf der Sanitäter und die Selbstverwaltung der Sanitäter, mit dem die Möglichkeit eingeführt wird, Programme des zweiten Zyklus im Bereich der Vorbereitu</w:t>
            </w:r>
            <w:r>
              <w:rPr>
                <w:noProof/>
              </w:rPr>
              <w:t xml:space="preserve">ng des Sanitätsberufs einzurichten </w:t>
            </w:r>
          </w:p>
        </w:tc>
      </w:tr>
      <w:tr w:rsidR="00EB245A" w14:paraId="7F7F0139" w14:textId="77777777">
        <w:trPr>
          <w:trHeight w:val="1225"/>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3499EA5" w14:textId="465ED7BA" w:rsidR="00EB245A" w:rsidRDefault="006021EE">
            <w:pPr>
              <w:pStyle w:val="P68B1DB1-Normal46"/>
              <w:spacing w:line="259" w:lineRule="auto"/>
              <w:ind w:right="49"/>
              <w:jc w:val="center"/>
              <w:rPr>
                <w:rFonts w:cs="Times New Roman"/>
                <w:noProof/>
              </w:rPr>
            </w:pPr>
            <w:r>
              <w:rPr>
                <w:noProof/>
              </w:rPr>
              <w:t xml:space="preserve">D27G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A57F5A8" w14:textId="3F86C353" w:rsidR="00EB245A" w:rsidRDefault="006021EE">
            <w:pPr>
              <w:pStyle w:val="P68B1DB1-Normal46"/>
              <w:spacing w:line="259" w:lineRule="auto"/>
              <w:rPr>
                <w:rFonts w:cs="Times New Roman"/>
                <w:noProof/>
              </w:rPr>
            </w:pPr>
            <w:r>
              <w:rPr>
                <w:noProof/>
              </w:rPr>
              <w:t xml:space="preserve">D2.1 Schaffung der richtigen Voraussetzungen für eine Erhöhung des medizinischen Personals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B782672" w14:textId="61945B8F" w:rsidR="00EB245A" w:rsidRDefault="006021EE" w:rsidP="009A3AB9">
            <w:pPr>
              <w:pStyle w:val="P68B1DB1-Normal46"/>
              <w:spacing w:line="259" w:lineRule="auto"/>
              <w:ind w:left="74"/>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B6792FE" w14:textId="1223893F" w:rsidR="00EB245A" w:rsidRDefault="006021EE">
            <w:pPr>
              <w:pStyle w:val="P68B1DB1-Normal46"/>
              <w:spacing w:line="238" w:lineRule="auto"/>
              <w:rPr>
                <w:rFonts w:cs="Times New Roman"/>
                <w:noProof/>
              </w:rPr>
            </w:pPr>
            <w:r>
              <w:rPr>
                <w:noProof/>
              </w:rPr>
              <w:t xml:space="preserve">Inkrafttreten von Rechtsakten zur Verbesserung der Attraktivität medizinischer Berufe und der Arbeitsbedingungen von medizinischen Fachkräften </w:t>
            </w:r>
          </w:p>
        </w:tc>
      </w:tr>
      <w:tr w:rsidR="00EB245A" w14:paraId="579C5840" w14:textId="77777777">
        <w:trPr>
          <w:trHeight w:val="1225"/>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55F4850" w14:textId="23F26AE4" w:rsidR="00EB245A" w:rsidRDefault="006021EE">
            <w:pPr>
              <w:pStyle w:val="P68B1DB1-Normal46"/>
              <w:spacing w:line="259" w:lineRule="auto"/>
              <w:ind w:right="49"/>
              <w:jc w:val="center"/>
              <w:rPr>
                <w:rFonts w:cs="Times New Roman"/>
                <w:noProof/>
              </w:rPr>
            </w:pPr>
            <w:r>
              <w:rPr>
                <w:noProof/>
              </w:rPr>
              <w:t xml:space="preserve">D32G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36602A5" w14:textId="25FB65ED" w:rsidR="00EB245A" w:rsidRDefault="006021EE">
            <w:pPr>
              <w:pStyle w:val="P68B1DB1-Normal46"/>
              <w:spacing w:line="259" w:lineRule="auto"/>
              <w:rPr>
                <w:rFonts w:cs="Times New Roman"/>
                <w:noProof/>
              </w:rPr>
            </w:pPr>
            <w:r>
              <w:rPr>
                <w:noProof/>
              </w:rPr>
              <w:t>D3.1 Steigerung der Effizienz und Qualität des Gesundheitssystems durch Unterstützung des polnischen Fors</w:t>
            </w:r>
            <w:r>
              <w:rPr>
                <w:noProof/>
              </w:rPr>
              <w:t xml:space="preserve">chungs- und Entwicklungspotenzials auf dem Gebiet der Medizin- und Gesundheitswissenschaften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B806F20" w14:textId="13896627" w:rsidR="00EB245A" w:rsidRDefault="006021EE" w:rsidP="009A3AB9">
            <w:pPr>
              <w:pStyle w:val="P68B1DB1-Normal46"/>
              <w:spacing w:line="259" w:lineRule="auto"/>
              <w:ind w:left="74"/>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933E9C6" w14:textId="6D1FC5EA" w:rsidR="00EB245A" w:rsidRDefault="006021EE">
            <w:pPr>
              <w:pStyle w:val="P68B1DB1-Normal46"/>
              <w:spacing w:line="238" w:lineRule="auto"/>
              <w:rPr>
                <w:rFonts w:cs="Times New Roman"/>
                <w:noProof/>
              </w:rPr>
            </w:pPr>
            <w:r>
              <w:rPr>
                <w:noProof/>
              </w:rPr>
              <w:t xml:space="preserve">Inkrafttreten des Gesetzes über klinische Prüfungen von Humanarzneimitteln </w:t>
            </w:r>
          </w:p>
        </w:tc>
      </w:tr>
      <w:tr w:rsidR="00EB245A" w14:paraId="743AA87E" w14:textId="77777777">
        <w:trPr>
          <w:trHeight w:val="1225"/>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E718922" w14:textId="095EF0F3" w:rsidR="00EB245A" w:rsidRDefault="006021EE">
            <w:pPr>
              <w:pStyle w:val="P68B1DB1-Normal46"/>
              <w:spacing w:line="259" w:lineRule="auto"/>
              <w:ind w:right="49"/>
              <w:jc w:val="center"/>
              <w:rPr>
                <w:rFonts w:cs="Times New Roman"/>
                <w:noProof/>
              </w:rPr>
            </w:pPr>
            <w:r>
              <w:rPr>
                <w:noProof/>
              </w:rPr>
              <w:t xml:space="preserve">D33G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4A69FE4" w14:textId="1A4E4178" w:rsidR="00EB245A" w:rsidRDefault="006021EE">
            <w:pPr>
              <w:pStyle w:val="P68B1DB1-Normal46"/>
              <w:spacing w:line="259" w:lineRule="auto"/>
              <w:rPr>
                <w:rFonts w:cs="Times New Roman"/>
                <w:noProof/>
              </w:rPr>
            </w:pPr>
            <w:r>
              <w:rPr>
                <w:noProof/>
              </w:rPr>
              <w:t xml:space="preserve">D3.1 Steigerung der Effizienz und Qualität des Gesundheitssystems durch Unterstützung des polnischen Forschungs- und Entwicklungspotenzials auf dem Gebiet der Medizin- und Gesundheitswissenschaften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750ACB2" w14:textId="19209A8C" w:rsidR="00EB245A" w:rsidRDefault="006021EE" w:rsidP="009A3AB9">
            <w:pPr>
              <w:pStyle w:val="P68B1DB1-Normal46"/>
              <w:spacing w:line="259" w:lineRule="auto"/>
              <w:ind w:left="74"/>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CFDEB5A" w14:textId="6F9A4056" w:rsidR="00EB245A" w:rsidRDefault="006021EE">
            <w:pPr>
              <w:pStyle w:val="P68B1DB1-Normal46"/>
              <w:spacing w:line="238" w:lineRule="auto"/>
              <w:rPr>
                <w:rFonts w:cs="Times New Roman"/>
                <w:noProof/>
              </w:rPr>
            </w:pPr>
            <w:r>
              <w:rPr>
                <w:noProof/>
              </w:rPr>
              <w:t>Inkrafttreten oder Umsetzung der im Strategie</w:t>
            </w:r>
            <w:r>
              <w:rPr>
                <w:noProof/>
              </w:rPr>
              <w:t xml:space="preserve">plan der Regierung für die Entwicklung des biomedizinischen Sektors festgelegten Schlüsselmaßnahmen im Einklang mit dem im Strategieplan festgelegten Zeitplan </w:t>
            </w:r>
          </w:p>
        </w:tc>
      </w:tr>
      <w:tr w:rsidR="00EB245A" w14:paraId="2FF63B37" w14:textId="77777777">
        <w:trPr>
          <w:trHeight w:val="1225"/>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FD055D9" w14:textId="144A76A3" w:rsidR="00EB245A" w:rsidRDefault="006021EE">
            <w:pPr>
              <w:pStyle w:val="P68B1DB1-Normal46"/>
              <w:spacing w:line="259" w:lineRule="auto"/>
              <w:ind w:right="49"/>
              <w:jc w:val="center"/>
              <w:rPr>
                <w:rFonts w:cs="Times New Roman"/>
                <w:noProof/>
              </w:rPr>
            </w:pPr>
            <w:r>
              <w:rPr>
                <w:noProof/>
              </w:rPr>
              <w:t xml:space="preserve">D34G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67A4BF5" w14:textId="07B613E6" w:rsidR="00EB245A" w:rsidRDefault="006021EE">
            <w:pPr>
              <w:pStyle w:val="P68B1DB1-Normal46"/>
              <w:spacing w:line="259" w:lineRule="auto"/>
              <w:rPr>
                <w:rFonts w:cs="Times New Roman"/>
                <w:noProof/>
              </w:rPr>
            </w:pPr>
            <w:r>
              <w:rPr>
                <w:noProof/>
              </w:rPr>
              <w:t>D3.1.1 Umfassende Entwicklung der Forschung auf dem Gebiet der Medizin- und Gesundheitswi</w:t>
            </w:r>
            <w:r>
              <w:rPr>
                <w:noProof/>
              </w:rPr>
              <w:t xml:space="preserve">ssenschaften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CC0E5F3" w14:textId="12D59F10" w:rsidR="00EB245A" w:rsidRDefault="006021EE" w:rsidP="009A3AB9">
            <w:pPr>
              <w:pStyle w:val="P68B1DB1-Normal46"/>
              <w:spacing w:line="259" w:lineRule="auto"/>
              <w:ind w:left="74"/>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F425CFC" w14:textId="14756D8E" w:rsidR="00EB245A" w:rsidRDefault="006021EE">
            <w:pPr>
              <w:pStyle w:val="P68B1DB1-Normal46"/>
              <w:spacing w:line="238" w:lineRule="auto"/>
              <w:rPr>
                <w:rFonts w:cs="Times New Roman"/>
                <w:noProof/>
              </w:rPr>
            </w:pPr>
            <w:r>
              <w:rPr>
                <w:noProof/>
              </w:rPr>
              <w:t>Inbetriebnahme einer elektronischen Plattform für das polnische Netz für klinische Prüfungen</w:t>
            </w:r>
          </w:p>
        </w:tc>
      </w:tr>
      <w:tr w:rsidR="00EB245A" w14:paraId="06D16580" w14:textId="77777777">
        <w:trPr>
          <w:trHeight w:val="1225"/>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009CEEC" w14:textId="2A2F9A78" w:rsidR="00EB245A" w:rsidRDefault="006021EE">
            <w:pPr>
              <w:pStyle w:val="P68B1DB1-Normal46"/>
              <w:spacing w:line="259" w:lineRule="auto"/>
              <w:ind w:right="49"/>
              <w:jc w:val="center"/>
              <w:rPr>
                <w:rFonts w:cs="Times New Roman"/>
                <w:noProof/>
              </w:rPr>
            </w:pPr>
            <w:r>
              <w:rPr>
                <w:noProof/>
              </w:rPr>
              <w:t xml:space="preserve">E15G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353F886" w14:textId="7F45C58E" w:rsidR="00EB245A" w:rsidRDefault="006021EE">
            <w:pPr>
              <w:pStyle w:val="P68B1DB1-Normal46"/>
              <w:spacing w:line="259" w:lineRule="auto"/>
              <w:rPr>
                <w:rFonts w:cs="Times New Roman"/>
                <w:noProof/>
              </w:rPr>
            </w:pPr>
            <w:r>
              <w:rPr>
                <w:noProof/>
              </w:rPr>
              <w:t xml:space="preserve">E2.1 Stärkung der Wettbewerbsfähigkeit des Eisenbahnsektors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771D66A" w14:textId="2843F71D" w:rsidR="00EB245A" w:rsidRDefault="006021EE" w:rsidP="009A3AB9">
            <w:pPr>
              <w:pStyle w:val="P68B1DB1-Normal46"/>
              <w:spacing w:line="259" w:lineRule="auto"/>
              <w:ind w:left="74"/>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53B8104" w14:textId="79CBBED5" w:rsidR="00EB245A" w:rsidRDefault="006021EE">
            <w:pPr>
              <w:pStyle w:val="P68B1DB1-Normal46"/>
              <w:spacing w:after="5" w:line="236" w:lineRule="auto"/>
              <w:rPr>
                <w:rFonts w:cs="Times New Roman"/>
                <w:noProof/>
              </w:rPr>
            </w:pPr>
            <w:r>
              <w:rPr>
                <w:noProof/>
              </w:rPr>
              <w:t xml:space="preserve">Inkrafttreten eines Gesetzes zur Änderung des Eisenbahnverkehrsgesetzes, mit dem die Resilienz der Eisenbahnunternehmen sichergestellt wird. Ministerieller Beschluss über die Festlegung von Prioritäten für den intermodalen Verkehr und über die Beseitigung </w:t>
            </w:r>
            <w:r>
              <w:rPr>
                <w:noProof/>
              </w:rPr>
              <w:t xml:space="preserve">von Engpässen zur Stärkung der Kapazitäten der Eisenbahnen </w:t>
            </w:r>
          </w:p>
        </w:tc>
      </w:tr>
      <w:tr w:rsidR="00EB245A" w14:paraId="3E1A14D3" w14:textId="77777777">
        <w:trPr>
          <w:trHeight w:val="1225"/>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598EA15" w14:textId="099DC5B6" w:rsidR="00EB245A" w:rsidRDefault="006021EE">
            <w:pPr>
              <w:pStyle w:val="P68B1DB1-Normal46"/>
              <w:spacing w:line="259" w:lineRule="auto"/>
              <w:ind w:right="49"/>
              <w:jc w:val="center"/>
              <w:rPr>
                <w:rFonts w:cs="Times New Roman"/>
                <w:noProof/>
              </w:rPr>
            </w:pPr>
            <w:r>
              <w:rPr>
                <w:noProof/>
              </w:rPr>
              <w:t xml:space="preserve">F4G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658FC3A" w14:textId="04B68F8B" w:rsidR="00EB245A" w:rsidRDefault="006021EE">
            <w:pPr>
              <w:pStyle w:val="P68B1DB1-Normal46"/>
              <w:spacing w:line="259" w:lineRule="auto"/>
              <w:rPr>
                <w:rFonts w:cs="Times New Roman"/>
                <w:noProof/>
              </w:rPr>
            </w:pPr>
            <w:r>
              <w:rPr>
                <w:noProof/>
              </w:rPr>
              <w:t xml:space="preserve">F3.1 Verbesserung des Rechtsetzungsprozesses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ED0F351" w14:textId="526BE641" w:rsidR="00EB245A" w:rsidRDefault="006021EE" w:rsidP="009A3AB9">
            <w:pPr>
              <w:pStyle w:val="P68B1DB1-Normal46"/>
              <w:spacing w:line="259" w:lineRule="auto"/>
              <w:ind w:left="74"/>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B54C1FD" w14:textId="4EFCCF5E" w:rsidR="00EB245A" w:rsidRDefault="006021EE">
            <w:pPr>
              <w:pStyle w:val="P68B1DB1-Normal021"/>
              <w:pBdr>
                <w:top w:val="nil"/>
                <w:left w:val="nil"/>
                <w:bottom w:val="nil"/>
                <w:right w:val="nil"/>
                <w:between w:val="nil"/>
              </w:pBdr>
              <w:rPr>
                <w:rFonts w:eastAsia="Times New Roman" w:cs="Times New Roman"/>
                <w:noProof/>
              </w:rPr>
            </w:pPr>
            <w:r>
              <w:rPr>
                <w:noProof/>
                <w:color w:val="000000" w:themeColor="text1"/>
              </w:rPr>
              <w:t>Inkrafttreten von Änderungen der Geschäftsordnung des Sejm, des Senats und des Ministerrates</w:t>
            </w:r>
            <w:r>
              <w:rPr>
                <w:noProof/>
              </w:rPr>
              <w:t xml:space="preserve"> </w:t>
            </w:r>
          </w:p>
          <w:p w14:paraId="611357BF" w14:textId="13A6A1DC" w:rsidR="00EB245A" w:rsidRDefault="00EB245A">
            <w:pPr>
              <w:spacing w:after="5" w:line="236" w:lineRule="auto"/>
              <w:rPr>
                <w:rFonts w:ascii="Times New Roman" w:hAnsi="Times New Roman" w:cs="Times New Roman"/>
                <w:noProof/>
              </w:rPr>
            </w:pPr>
          </w:p>
        </w:tc>
      </w:tr>
      <w:tr w:rsidR="00EB245A" w14:paraId="2528E563" w14:textId="77777777">
        <w:trPr>
          <w:trHeight w:val="1225"/>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8FA0A37" w14:textId="2CF4C1B6" w:rsidR="00EB245A" w:rsidRDefault="006021EE">
            <w:pPr>
              <w:pStyle w:val="P68B1DB1-Normal46"/>
              <w:spacing w:line="259" w:lineRule="auto"/>
              <w:ind w:right="49"/>
              <w:jc w:val="center"/>
              <w:rPr>
                <w:rFonts w:cs="Times New Roman"/>
                <w:noProof/>
              </w:rPr>
            </w:pPr>
            <w:r>
              <w:rPr>
                <w:noProof/>
              </w:rPr>
              <w:t xml:space="preserve">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B66B135" w14:textId="44B8262E" w:rsidR="00EB245A" w:rsidRDefault="006021EE">
            <w:pPr>
              <w:pStyle w:val="P68B1DB1-Normal46"/>
              <w:spacing w:line="259" w:lineRule="auto"/>
              <w:rPr>
                <w:rFonts w:cs="Times New Roman"/>
                <w:noProof/>
              </w:rPr>
            </w:pPr>
            <w:r>
              <w:rPr>
                <w:noProof/>
              </w:rPr>
              <w:t xml:space="preserv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DA8EDD5" w14:textId="679D7BFD" w:rsidR="00EB245A" w:rsidRDefault="006021EE">
            <w:pPr>
              <w:pStyle w:val="P68B1DB1-Normal46"/>
              <w:spacing w:after="200" w:line="259" w:lineRule="auto"/>
              <w:ind w:left="74"/>
              <w:rPr>
                <w:rFonts w:cs="Times New Roman"/>
                <w:noProof/>
              </w:rPr>
            </w:pPr>
            <w:r>
              <w:rPr>
                <w:noProof/>
              </w:rPr>
              <w:t xml:space="preserve">Ratenzahlungsbetrag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4B8EB54" w14:textId="4F001E7E" w:rsidR="00EB245A" w:rsidRDefault="006021EE">
            <w:pPr>
              <w:pStyle w:val="P68B1DB1-Normal46"/>
              <w:spacing w:after="200" w:line="259" w:lineRule="auto"/>
              <w:ind w:left="74"/>
              <w:rPr>
                <w:rFonts w:cs="Times New Roman"/>
                <w:noProof/>
              </w:rPr>
            </w:pPr>
            <w:r>
              <w:rPr>
                <w:noProof/>
              </w:rPr>
              <w:t>2 416 163 752 EUR</w:t>
            </w:r>
          </w:p>
        </w:tc>
      </w:tr>
    </w:tbl>
    <w:p w14:paraId="6BA5F6F2" w14:textId="77777777" w:rsidR="00EB245A" w:rsidRDefault="00EB245A">
      <w:pPr>
        <w:spacing w:after="3" w:line="259" w:lineRule="auto"/>
        <w:ind w:left="-5"/>
        <w:rPr>
          <w:rFonts w:ascii="Times New Roman" w:hAnsi="Times New Roman" w:cs="Times New Roman"/>
          <w:noProof/>
        </w:rPr>
      </w:pPr>
    </w:p>
    <w:p w14:paraId="6101D3FA" w14:textId="77777777" w:rsidR="00EB245A" w:rsidRDefault="006021EE">
      <w:pPr>
        <w:pStyle w:val="P68B1DB1-Normal46"/>
        <w:spacing w:after="3" w:line="259" w:lineRule="auto"/>
        <w:ind w:left="-5"/>
        <w:rPr>
          <w:rFonts w:cs="Times New Roman"/>
          <w:noProof/>
        </w:rPr>
      </w:pPr>
      <w:r>
        <w:rPr>
          <w:noProof/>
        </w:rPr>
        <w:t xml:space="preserve">2.1.3 Dritte Tranche (nicht rückzahlbare Unterstützung): </w:t>
      </w:r>
    </w:p>
    <w:tbl>
      <w:tblPr>
        <w:tblStyle w:val="TableGrid0"/>
        <w:tblW w:w="10481" w:type="dxa"/>
        <w:tblInd w:w="10" w:type="dxa"/>
        <w:tblCellMar>
          <w:top w:w="53" w:type="dxa"/>
          <w:left w:w="107" w:type="dxa"/>
          <w:right w:w="59" w:type="dxa"/>
        </w:tblCellMar>
        <w:tblLook w:val="04A0" w:firstRow="1" w:lastRow="0" w:firstColumn="1" w:lastColumn="0" w:noHBand="0" w:noVBand="1"/>
      </w:tblPr>
      <w:tblGrid>
        <w:gridCol w:w="1215"/>
        <w:gridCol w:w="3441"/>
        <w:gridCol w:w="2177"/>
        <w:gridCol w:w="3648"/>
      </w:tblGrid>
      <w:tr w:rsidR="00EB245A" w14:paraId="75355F00" w14:textId="77777777">
        <w:trPr>
          <w:trHeight w:val="869"/>
          <w:tblHeader/>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1E2E07C5" w14:textId="77777777" w:rsidR="00EB245A" w:rsidRDefault="006021EE">
            <w:pPr>
              <w:pStyle w:val="P68B1DB1-Normal46"/>
              <w:spacing w:line="259" w:lineRule="auto"/>
              <w:jc w:val="center"/>
              <w:rPr>
                <w:rFonts w:cs="Times New Roman"/>
                <w:noProof/>
              </w:rPr>
            </w:pPr>
            <w:r>
              <w:rPr>
                <w:b/>
                <w:noProof/>
              </w:rPr>
              <w:t>Laufende Nummer</w:t>
            </w:r>
            <w:r>
              <w:rPr>
                <w:noProof/>
              </w:rPr>
              <w:t xml:space="preserve"> </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66ECE442" w14:textId="77777777" w:rsidR="00EB245A" w:rsidRDefault="006021EE">
            <w:pPr>
              <w:pStyle w:val="P68B1DB1-Normal46"/>
              <w:spacing w:line="259" w:lineRule="auto"/>
              <w:jc w:val="center"/>
              <w:rPr>
                <w:rFonts w:cs="Times New Roman"/>
                <w:noProof/>
              </w:rPr>
            </w:pPr>
            <w:r>
              <w:rPr>
                <w:b/>
                <w:noProof/>
              </w:rPr>
              <w:t>Verbundene Maßnahme (Reform oder Investition)</w:t>
            </w:r>
            <w:r>
              <w:rPr>
                <w:noProof/>
              </w:rPr>
              <w:t xml:space="preserv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28FDB40F" w14:textId="77777777" w:rsidR="00EB245A" w:rsidRDefault="006021EE">
            <w:pPr>
              <w:pStyle w:val="P68B1DB1-Normal46"/>
              <w:spacing w:line="259" w:lineRule="auto"/>
              <w:ind w:left="25" w:right="18"/>
              <w:jc w:val="center"/>
              <w:rPr>
                <w:rFonts w:cs="Times New Roman"/>
                <w:noProof/>
              </w:rPr>
            </w:pPr>
            <w:r>
              <w:rPr>
                <w:b/>
                <w:noProof/>
              </w:rPr>
              <w:t>Etappenziel/Zielwert</w:t>
            </w:r>
            <w:r>
              <w:rPr>
                <w:noProof/>
              </w:rPr>
              <w:t xml:space="preserve">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27F1757F" w14:textId="77777777" w:rsidR="00EB245A" w:rsidRDefault="006021EE">
            <w:pPr>
              <w:pStyle w:val="P68B1DB1-Normal46"/>
              <w:spacing w:line="259" w:lineRule="auto"/>
              <w:ind w:right="47"/>
              <w:jc w:val="center"/>
              <w:rPr>
                <w:rFonts w:cs="Times New Roman"/>
                <w:noProof/>
              </w:rPr>
            </w:pPr>
            <w:r>
              <w:rPr>
                <w:b/>
                <w:noProof/>
              </w:rPr>
              <w:t>Namen</w:t>
            </w:r>
            <w:r>
              <w:rPr>
                <w:noProof/>
              </w:rPr>
              <w:t xml:space="preserve"> </w:t>
            </w:r>
          </w:p>
        </w:tc>
      </w:tr>
      <w:tr w:rsidR="00EB245A" w14:paraId="5A84A4AF" w14:textId="77777777">
        <w:trPr>
          <w:trHeight w:val="722"/>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B8A8959" w14:textId="77777777" w:rsidR="00EB245A" w:rsidRDefault="006021EE">
            <w:pPr>
              <w:pStyle w:val="P68B1DB1-Normal46"/>
              <w:spacing w:line="259" w:lineRule="auto"/>
              <w:ind w:right="48"/>
              <w:jc w:val="center"/>
              <w:rPr>
                <w:rFonts w:cs="Times New Roman"/>
                <w:noProof/>
              </w:rPr>
            </w:pPr>
            <w:r>
              <w:rPr>
                <w:noProof/>
              </w:rPr>
              <w:t xml:space="preserve">A12G </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CC3E909" w14:textId="77777777" w:rsidR="00EB245A" w:rsidRDefault="006021EE">
            <w:pPr>
              <w:pStyle w:val="P68B1DB1-Normal46"/>
              <w:spacing w:line="259" w:lineRule="auto"/>
              <w:rPr>
                <w:rFonts w:cs="Times New Roman"/>
                <w:noProof/>
              </w:rPr>
            </w:pPr>
            <w:r>
              <w:rPr>
                <w:noProof/>
              </w:rPr>
              <w:t xml:space="preserve">A1.3 Reform der Flächennutzungsplanung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2CFBF9B" w14:textId="106D39D6" w:rsidR="00EB245A" w:rsidRDefault="006021EE" w:rsidP="009A3AB9">
            <w:pPr>
              <w:pStyle w:val="P68B1DB1-Normal46"/>
              <w:spacing w:line="259" w:lineRule="auto"/>
              <w:ind w:left="74"/>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6F68623" w14:textId="77777777" w:rsidR="00EB245A" w:rsidRDefault="006021EE">
            <w:pPr>
              <w:pStyle w:val="P68B1DB1-Normal46"/>
              <w:spacing w:line="259" w:lineRule="auto"/>
              <w:rPr>
                <w:rFonts w:cs="Times New Roman"/>
                <w:noProof/>
              </w:rPr>
            </w:pPr>
            <w:r>
              <w:rPr>
                <w:noProof/>
              </w:rPr>
              <w:t xml:space="preserve">Inkrafttreten eines neuen Gesetzes über die Raumplanung </w:t>
            </w:r>
          </w:p>
        </w:tc>
      </w:tr>
      <w:tr w:rsidR="00EB245A" w14:paraId="6340864C" w14:textId="77777777">
        <w:trPr>
          <w:trHeight w:val="973"/>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DAEC1B7" w14:textId="77777777" w:rsidR="00EB245A" w:rsidRDefault="006021EE">
            <w:pPr>
              <w:pStyle w:val="P68B1DB1-Normal46"/>
              <w:spacing w:line="259" w:lineRule="auto"/>
              <w:ind w:right="48"/>
              <w:jc w:val="center"/>
              <w:rPr>
                <w:rFonts w:cs="Times New Roman"/>
                <w:noProof/>
              </w:rPr>
            </w:pPr>
            <w:r>
              <w:rPr>
                <w:noProof/>
              </w:rPr>
              <w:t xml:space="preserve">A33G </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44A51CA" w14:textId="77777777" w:rsidR="00EB245A" w:rsidRDefault="006021EE">
            <w:pPr>
              <w:pStyle w:val="P68B1DB1-Normal46"/>
              <w:spacing w:line="259" w:lineRule="auto"/>
              <w:rPr>
                <w:rFonts w:cs="Times New Roman"/>
                <w:noProof/>
              </w:rPr>
            </w:pPr>
            <w:r>
              <w:rPr>
                <w:noProof/>
              </w:rPr>
              <w:t xml:space="preserve">A2.3 Schaffung einer institutionellen und rechtlichen Grundlage für die Entwicklung unbemannter Luftfahrzeuge (UAV)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23070B9" w14:textId="495081A3" w:rsidR="00EB245A" w:rsidRDefault="006021EE" w:rsidP="009A3AB9">
            <w:pPr>
              <w:pStyle w:val="P68B1DB1-Normal46"/>
              <w:spacing w:line="259" w:lineRule="auto"/>
              <w:ind w:left="74"/>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76147D8" w14:textId="77777777" w:rsidR="00EB245A" w:rsidRDefault="006021EE">
            <w:pPr>
              <w:pStyle w:val="P68B1DB1-Normal46"/>
              <w:spacing w:line="259" w:lineRule="auto"/>
              <w:rPr>
                <w:rFonts w:cs="Times New Roman"/>
                <w:noProof/>
              </w:rPr>
            </w:pPr>
            <w:r>
              <w:rPr>
                <w:noProof/>
              </w:rPr>
              <w:t xml:space="preserve">Inkrafttreten eines Rechtsakts zur Änderung des </w:t>
            </w:r>
          </w:p>
          <w:p w14:paraId="5A0DECC1" w14:textId="77777777" w:rsidR="00EB245A" w:rsidRDefault="006021EE">
            <w:pPr>
              <w:pStyle w:val="P68B1DB1-Normal46"/>
              <w:spacing w:line="259" w:lineRule="auto"/>
              <w:rPr>
                <w:rFonts w:cs="Times New Roman"/>
                <w:noProof/>
              </w:rPr>
            </w:pPr>
            <w:r>
              <w:rPr>
                <w:noProof/>
              </w:rPr>
              <w:t xml:space="preserve">Gesetz über die polnische Agentur für Flugsicherungsdienste </w:t>
            </w:r>
          </w:p>
        </w:tc>
      </w:tr>
      <w:tr w:rsidR="00EB245A" w14:paraId="3243242C" w14:textId="77777777">
        <w:trPr>
          <w:trHeight w:val="722"/>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D3061E8" w14:textId="77777777" w:rsidR="00EB245A" w:rsidRDefault="006021EE">
            <w:pPr>
              <w:pStyle w:val="P68B1DB1-Normal46"/>
              <w:spacing w:line="259" w:lineRule="auto"/>
              <w:ind w:right="50"/>
              <w:jc w:val="center"/>
              <w:rPr>
                <w:rFonts w:cs="Times New Roman"/>
                <w:noProof/>
              </w:rPr>
            </w:pPr>
            <w:r>
              <w:rPr>
                <w:noProof/>
              </w:rPr>
              <w:t xml:space="preserve">B2G </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428B9DA" w14:textId="77777777" w:rsidR="00EB245A" w:rsidRDefault="006021EE">
            <w:pPr>
              <w:pStyle w:val="P68B1DB1-Normal46"/>
              <w:spacing w:line="259" w:lineRule="auto"/>
              <w:rPr>
                <w:rFonts w:cs="Times New Roman"/>
                <w:noProof/>
              </w:rPr>
            </w:pPr>
            <w:r>
              <w:rPr>
                <w:noProof/>
              </w:rPr>
              <w:t xml:space="preserve">B1.1 Saubere Luft und Energieeffizienz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96EBF5C" w14:textId="308A1B37" w:rsidR="00EB245A" w:rsidRDefault="006021EE" w:rsidP="009A3AB9">
            <w:pPr>
              <w:pStyle w:val="P68B1DB1-Normal46"/>
              <w:spacing w:line="259" w:lineRule="auto"/>
              <w:ind w:left="74"/>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8AFD3C2" w14:textId="77777777" w:rsidR="00EB245A" w:rsidRDefault="006021EE">
            <w:pPr>
              <w:pStyle w:val="P68B1DB1-Normal46"/>
              <w:spacing w:line="259" w:lineRule="auto"/>
              <w:rPr>
                <w:rFonts w:cs="Times New Roman"/>
                <w:noProof/>
              </w:rPr>
            </w:pPr>
            <w:r>
              <w:rPr>
                <w:noProof/>
              </w:rPr>
              <w:t xml:space="preserve">Aktualisierung der Priorität „Saubere Luft“ </w:t>
            </w:r>
          </w:p>
          <w:p w14:paraId="0C5BA12E" w14:textId="77777777" w:rsidR="00EB245A" w:rsidRDefault="006021EE">
            <w:pPr>
              <w:pStyle w:val="P68B1DB1-Normal46"/>
              <w:spacing w:line="259" w:lineRule="auto"/>
              <w:rPr>
                <w:rFonts w:cs="Times New Roman"/>
                <w:noProof/>
              </w:rPr>
            </w:pPr>
            <w:r>
              <w:rPr>
                <w:noProof/>
              </w:rPr>
              <w:t xml:space="preserve">Programm </w:t>
            </w:r>
          </w:p>
        </w:tc>
      </w:tr>
      <w:tr w:rsidR="00EB245A" w14:paraId="4F8A17BB" w14:textId="77777777">
        <w:trPr>
          <w:trHeight w:val="1228"/>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4CF8A3E" w14:textId="77777777" w:rsidR="00EB245A" w:rsidRDefault="006021EE">
            <w:pPr>
              <w:pStyle w:val="P68B1DB1-Normal46"/>
              <w:spacing w:line="259" w:lineRule="auto"/>
              <w:ind w:right="50"/>
              <w:jc w:val="center"/>
              <w:rPr>
                <w:rFonts w:cs="Times New Roman"/>
                <w:noProof/>
              </w:rPr>
            </w:pPr>
            <w:r>
              <w:rPr>
                <w:noProof/>
              </w:rPr>
              <w:t xml:space="preserve">C2G </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8F759B2" w14:textId="77777777" w:rsidR="00EB245A" w:rsidRDefault="006021EE">
            <w:pPr>
              <w:pStyle w:val="P68B1DB1-Normal46"/>
              <w:spacing w:line="259" w:lineRule="auto"/>
              <w:rPr>
                <w:rFonts w:cs="Times New Roman"/>
                <w:noProof/>
              </w:rPr>
            </w:pPr>
            <w:r>
              <w:rPr>
                <w:noProof/>
              </w:rPr>
              <w:t xml:space="preserve">C1.1 Erleichterung des Ausbaus der Netzinfrastruktur zur Gewährleistung des universellen Zugangs zum Hochgeschwindigkeitsinternet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438CE18" w14:textId="3D42CE05" w:rsidR="00EB245A" w:rsidRDefault="006021EE" w:rsidP="009A3AB9">
            <w:pPr>
              <w:pStyle w:val="P68B1DB1-Normal46"/>
              <w:spacing w:line="259" w:lineRule="auto"/>
              <w:ind w:left="74"/>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2472CB0" w14:textId="77777777" w:rsidR="00EB245A" w:rsidRDefault="006021EE">
            <w:pPr>
              <w:pStyle w:val="P68B1DB1-Normal46"/>
              <w:spacing w:line="259" w:lineRule="auto"/>
              <w:rPr>
                <w:rFonts w:cs="Times New Roman"/>
                <w:noProof/>
              </w:rPr>
            </w:pPr>
            <w:r>
              <w:rPr>
                <w:noProof/>
              </w:rPr>
              <w:t>Änderung der Verordnung des Ministers für Digitalisierung über das jährliche Verzeichnis der Telekommunikationsin</w:t>
            </w:r>
            <w:r>
              <w:rPr>
                <w:noProof/>
              </w:rPr>
              <w:t xml:space="preserve">frastrukturen und -dienste </w:t>
            </w:r>
          </w:p>
        </w:tc>
      </w:tr>
      <w:tr w:rsidR="00EB245A" w14:paraId="2BE114C1" w14:textId="77777777">
        <w:trPr>
          <w:trHeight w:val="974"/>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FBD38D2" w14:textId="77777777" w:rsidR="00EB245A" w:rsidRDefault="006021EE">
            <w:pPr>
              <w:pStyle w:val="P68B1DB1-Normal46"/>
              <w:spacing w:line="259" w:lineRule="auto"/>
              <w:ind w:right="48"/>
              <w:jc w:val="center"/>
              <w:rPr>
                <w:rFonts w:cs="Times New Roman"/>
                <w:noProof/>
              </w:rPr>
            </w:pPr>
            <w:r>
              <w:rPr>
                <w:noProof/>
              </w:rPr>
              <w:t xml:space="preserve">D7G </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939D2F7" w14:textId="77777777" w:rsidR="00EB245A" w:rsidRDefault="006021EE">
            <w:pPr>
              <w:pStyle w:val="P68B1DB1-Normal46"/>
              <w:spacing w:line="259" w:lineRule="auto"/>
              <w:rPr>
                <w:rFonts w:cs="Times New Roman"/>
                <w:noProof/>
              </w:rPr>
            </w:pPr>
            <w:r>
              <w:rPr>
                <w:noProof/>
              </w:rPr>
              <w:t xml:space="preserve">D1.1 Verbesserung der Wirksamkeit, Zugänglichkeit und Qualität der Gesundheitsdienste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A5F1F2D" w14:textId="46E662C5" w:rsidR="00EB245A" w:rsidRDefault="006021EE" w:rsidP="009A3AB9">
            <w:pPr>
              <w:pStyle w:val="P68B1DB1-Normal46"/>
              <w:spacing w:line="259" w:lineRule="auto"/>
              <w:ind w:left="74"/>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E3BEC33" w14:textId="77777777" w:rsidR="00EB245A" w:rsidRDefault="006021EE">
            <w:pPr>
              <w:pStyle w:val="P68B1DB1-Normal46"/>
              <w:spacing w:line="259" w:lineRule="auto"/>
              <w:rPr>
                <w:rFonts w:cs="Times New Roman"/>
                <w:noProof/>
              </w:rPr>
            </w:pPr>
            <w:r>
              <w:rPr>
                <w:noProof/>
              </w:rPr>
              <w:t xml:space="preserve">Inkrafttreten der Verordnung über die Liste der Beobachtungsstellen der Woiwodschaften für das onkologische Netz </w:t>
            </w:r>
          </w:p>
        </w:tc>
      </w:tr>
      <w:tr w:rsidR="00EB245A" w14:paraId="3AA9B0C3" w14:textId="77777777">
        <w:trPr>
          <w:trHeight w:val="1983"/>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7AF9E17" w14:textId="77777777" w:rsidR="00EB245A" w:rsidRDefault="006021EE">
            <w:pPr>
              <w:pStyle w:val="P68B1DB1-Normal46"/>
              <w:spacing w:line="259" w:lineRule="auto"/>
              <w:ind w:right="47"/>
              <w:jc w:val="center"/>
              <w:rPr>
                <w:rFonts w:cs="Times New Roman"/>
                <w:noProof/>
              </w:rPr>
            </w:pPr>
            <w:r>
              <w:rPr>
                <w:noProof/>
              </w:rPr>
              <w:t xml:space="preserve">E2G </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750B917" w14:textId="77777777" w:rsidR="00EB245A" w:rsidRDefault="006021EE">
            <w:pPr>
              <w:pStyle w:val="P68B1DB1-Normal46"/>
              <w:spacing w:line="259" w:lineRule="auto"/>
              <w:rPr>
                <w:rFonts w:cs="Times New Roman"/>
                <w:noProof/>
              </w:rPr>
            </w:pPr>
            <w:r>
              <w:rPr>
                <w:noProof/>
              </w:rPr>
              <w:t xml:space="preserve">E1.1 Steigerung der Nutzung umweltfreundlicher Verkehrsmittel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ED96DF0" w14:textId="0F67E7F3" w:rsidR="00EB245A" w:rsidRDefault="006021EE" w:rsidP="009A3AB9">
            <w:pPr>
              <w:pStyle w:val="P68B1DB1-Normal46"/>
              <w:spacing w:line="259" w:lineRule="auto"/>
              <w:ind w:left="74"/>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65B6E13" w14:textId="77777777" w:rsidR="00EB245A" w:rsidRDefault="006021EE">
            <w:pPr>
              <w:pStyle w:val="P68B1DB1-Normal46"/>
              <w:spacing w:line="259" w:lineRule="auto"/>
              <w:rPr>
                <w:rFonts w:cs="Times New Roman"/>
                <w:noProof/>
              </w:rPr>
            </w:pPr>
            <w:r>
              <w:rPr>
                <w:noProof/>
              </w:rPr>
              <w:t xml:space="preserve">Maßnahmen zur Unterstützung der Entwicklung von </w:t>
            </w:r>
          </w:p>
          <w:p w14:paraId="6C9A993B" w14:textId="77777777" w:rsidR="00EB245A" w:rsidRDefault="006021EE">
            <w:pPr>
              <w:pStyle w:val="P68B1DB1-Normal46"/>
              <w:spacing w:line="259" w:lineRule="auto"/>
              <w:rPr>
                <w:rFonts w:cs="Times New Roman"/>
                <w:noProof/>
              </w:rPr>
            </w:pPr>
            <w:r>
              <w:rPr>
                <w:noProof/>
              </w:rPr>
              <w:t xml:space="preserve">Nachhaltige urbane Mobilitätspläne </w:t>
            </w:r>
          </w:p>
          <w:p w14:paraId="01F54D78" w14:textId="77777777" w:rsidR="00EB245A" w:rsidRDefault="006021EE">
            <w:pPr>
              <w:pStyle w:val="P68B1DB1-Normal46"/>
              <w:spacing w:line="259" w:lineRule="auto"/>
              <w:rPr>
                <w:rFonts w:cs="Times New Roman"/>
                <w:noProof/>
              </w:rPr>
            </w:pPr>
            <w:r>
              <w:rPr>
                <w:noProof/>
              </w:rPr>
              <w:t>(SUMP) und Annahme von Anreizen für die Umsetzung der Pläne für nachhaltige urbane Mobilität dur</w:t>
            </w:r>
            <w:r>
              <w:rPr>
                <w:noProof/>
              </w:rPr>
              <w:t xml:space="preserve">ch technische und finanzielle Unterstützung für alle funktionalen städtischen Gebiete durch das Infrastrukturministerium. </w:t>
            </w:r>
          </w:p>
        </w:tc>
      </w:tr>
      <w:tr w:rsidR="00EB245A" w14:paraId="1A1E38DE" w14:textId="77777777">
        <w:trPr>
          <w:trHeight w:val="719"/>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0966A34" w14:textId="77777777" w:rsidR="00EB245A" w:rsidRDefault="006021EE">
            <w:pPr>
              <w:pStyle w:val="P68B1DB1-Normal46"/>
              <w:spacing w:line="259" w:lineRule="auto"/>
              <w:rPr>
                <w:rFonts w:cs="Times New Roman"/>
                <w:noProof/>
              </w:rPr>
            </w:pPr>
            <w:r>
              <w:rPr>
                <w:noProof/>
              </w:rPr>
              <w:t xml:space="preserve"> </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5751C3D" w14:textId="77777777" w:rsidR="00EB245A" w:rsidRDefault="006021EE">
            <w:pPr>
              <w:pStyle w:val="P68B1DB1-Normal46"/>
              <w:spacing w:line="259" w:lineRule="auto"/>
              <w:ind w:left="1"/>
              <w:rPr>
                <w:rFonts w:cs="Times New Roman"/>
                <w:noProof/>
              </w:rPr>
            </w:pPr>
            <w:r>
              <w:rPr>
                <w:noProof/>
              </w:rPr>
              <w:t xml:space="preserv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8C937B6" w14:textId="77777777" w:rsidR="00EB245A" w:rsidRDefault="006021EE">
            <w:pPr>
              <w:pStyle w:val="P68B1DB1-Normal46"/>
              <w:spacing w:after="200" w:line="259" w:lineRule="auto"/>
              <w:ind w:left="1"/>
              <w:rPr>
                <w:rFonts w:cs="Times New Roman"/>
                <w:noProof/>
              </w:rPr>
            </w:pPr>
            <w:r>
              <w:rPr>
                <w:noProof/>
              </w:rPr>
              <w:t xml:space="preserve">Ratenzahlungsbetrag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A6B1C02" w14:textId="603B76CB" w:rsidR="00EB245A" w:rsidRDefault="006021EE">
            <w:pPr>
              <w:pStyle w:val="P68B1DB1-Normal46"/>
              <w:spacing w:after="200" w:line="259" w:lineRule="auto"/>
              <w:ind w:left="1"/>
              <w:rPr>
                <w:rFonts w:cs="Times New Roman"/>
                <w:noProof/>
              </w:rPr>
            </w:pPr>
            <w:r>
              <w:rPr>
                <w:noProof/>
              </w:rPr>
              <w:t>1 725 649 300 EUR</w:t>
            </w:r>
          </w:p>
        </w:tc>
      </w:tr>
    </w:tbl>
    <w:p w14:paraId="147862B6" w14:textId="77777777" w:rsidR="00EB245A" w:rsidRDefault="006021EE">
      <w:pPr>
        <w:pStyle w:val="P68B1DB1-Normal46"/>
        <w:spacing w:after="96" w:line="259" w:lineRule="auto"/>
        <w:rPr>
          <w:rFonts w:cs="Times New Roman"/>
          <w:noProof/>
        </w:rPr>
      </w:pPr>
      <w:r>
        <w:rPr>
          <w:noProof/>
        </w:rPr>
        <w:t xml:space="preserve"> </w:t>
      </w:r>
    </w:p>
    <w:p w14:paraId="696F8D39" w14:textId="77777777" w:rsidR="00EB245A" w:rsidRDefault="006021EE">
      <w:pPr>
        <w:pStyle w:val="P68B1DB1-Normal46"/>
        <w:spacing w:after="3" w:line="259" w:lineRule="auto"/>
        <w:ind w:left="-5"/>
        <w:rPr>
          <w:rFonts w:cs="Times New Roman"/>
          <w:noProof/>
        </w:rPr>
      </w:pPr>
      <w:r>
        <w:rPr>
          <w:noProof/>
        </w:rPr>
        <w:t xml:space="preserve">2.1.4 Vierte Tranche (nicht rückzahlbare Unterstützung): </w:t>
      </w:r>
    </w:p>
    <w:tbl>
      <w:tblPr>
        <w:tblStyle w:val="TableGrid0"/>
        <w:tblW w:w="10481" w:type="dxa"/>
        <w:tblInd w:w="10" w:type="dxa"/>
        <w:tblCellMar>
          <w:top w:w="53" w:type="dxa"/>
          <w:left w:w="108" w:type="dxa"/>
          <w:right w:w="54" w:type="dxa"/>
        </w:tblCellMar>
        <w:tblLook w:val="04A0" w:firstRow="1" w:lastRow="0" w:firstColumn="1" w:lastColumn="0" w:noHBand="0" w:noVBand="1"/>
      </w:tblPr>
      <w:tblGrid>
        <w:gridCol w:w="2126"/>
        <w:gridCol w:w="2951"/>
        <w:gridCol w:w="2179"/>
        <w:gridCol w:w="3225"/>
      </w:tblGrid>
      <w:tr w:rsidR="00EB245A" w14:paraId="4969E18C" w14:textId="77777777">
        <w:trPr>
          <w:trHeight w:val="766"/>
          <w:tblHeader/>
        </w:trPr>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7789AAE1" w14:textId="77777777" w:rsidR="00EB245A" w:rsidRDefault="006021EE">
            <w:pPr>
              <w:pStyle w:val="P68B1DB1-Normal46"/>
              <w:spacing w:line="259" w:lineRule="auto"/>
              <w:jc w:val="center"/>
              <w:rPr>
                <w:rFonts w:cs="Times New Roman"/>
                <w:noProof/>
              </w:rPr>
            </w:pPr>
            <w:r>
              <w:rPr>
                <w:b/>
                <w:noProof/>
              </w:rPr>
              <w:t>Laufende Nummer</w:t>
            </w:r>
            <w:r>
              <w:rPr>
                <w:noProof/>
              </w:rPr>
              <w:t xml:space="preserve"> </w:t>
            </w:r>
          </w:p>
        </w:tc>
        <w:tc>
          <w:tcPr>
            <w:tcW w:w="31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776D7E82" w14:textId="77777777" w:rsidR="00EB245A" w:rsidRDefault="006021EE">
            <w:pPr>
              <w:pStyle w:val="P68B1DB1-Normal46"/>
              <w:spacing w:line="259" w:lineRule="auto"/>
              <w:jc w:val="center"/>
              <w:rPr>
                <w:rFonts w:cs="Times New Roman"/>
                <w:noProof/>
              </w:rPr>
            </w:pPr>
            <w:r>
              <w:rPr>
                <w:b/>
                <w:noProof/>
              </w:rPr>
              <w:t xml:space="preserve">Verbundene </w:t>
            </w:r>
            <w:r>
              <w:rPr>
                <w:b/>
                <w:noProof/>
              </w:rPr>
              <w:t>Maßnahme (Reform oder Investition)</w:t>
            </w:r>
            <w:r>
              <w:rPr>
                <w:noProof/>
              </w:rPr>
              <w:t xml:space="preserve"> </w:t>
            </w:r>
          </w:p>
        </w:tc>
        <w:tc>
          <w:tcPr>
            <w:tcW w:w="12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3E9B3C56" w14:textId="77777777" w:rsidR="00EB245A" w:rsidRDefault="006021EE">
            <w:pPr>
              <w:pStyle w:val="P68B1DB1-Normal46"/>
              <w:spacing w:line="259" w:lineRule="auto"/>
              <w:ind w:left="25" w:right="24"/>
              <w:jc w:val="center"/>
              <w:rPr>
                <w:rFonts w:cs="Times New Roman"/>
                <w:noProof/>
              </w:rPr>
            </w:pPr>
            <w:r>
              <w:rPr>
                <w:b/>
                <w:noProof/>
              </w:rPr>
              <w:t>Etappenziel/Zielwert</w:t>
            </w:r>
            <w:r>
              <w:rPr>
                <w:noProof/>
              </w:rPr>
              <w:t xml:space="preserve"> </w:t>
            </w:r>
          </w:p>
        </w:tc>
        <w:tc>
          <w:tcPr>
            <w:tcW w:w="33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64667380" w14:textId="77777777" w:rsidR="00EB245A" w:rsidRDefault="006021EE">
            <w:pPr>
              <w:pStyle w:val="P68B1DB1-Normal46"/>
              <w:spacing w:line="259" w:lineRule="auto"/>
              <w:ind w:right="53"/>
              <w:jc w:val="center"/>
              <w:rPr>
                <w:rFonts w:cs="Times New Roman"/>
                <w:noProof/>
              </w:rPr>
            </w:pPr>
            <w:r>
              <w:rPr>
                <w:b/>
                <w:noProof/>
              </w:rPr>
              <w:t>Namen</w:t>
            </w:r>
            <w:r>
              <w:rPr>
                <w:noProof/>
              </w:rPr>
              <w:t xml:space="preserve"> </w:t>
            </w:r>
          </w:p>
        </w:tc>
      </w:tr>
      <w:tr w:rsidR="00EB245A" w14:paraId="45C84ED0" w14:textId="77777777">
        <w:trPr>
          <w:trHeight w:val="1481"/>
        </w:trPr>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DFE8ED9" w14:textId="77777777" w:rsidR="00EB245A" w:rsidRDefault="006021EE">
            <w:pPr>
              <w:pStyle w:val="P68B1DB1-Normal46"/>
              <w:spacing w:line="259" w:lineRule="auto"/>
              <w:ind w:right="53"/>
              <w:jc w:val="center"/>
              <w:rPr>
                <w:rFonts w:cs="Times New Roman"/>
                <w:noProof/>
              </w:rPr>
            </w:pPr>
            <w:r>
              <w:rPr>
                <w:noProof/>
              </w:rPr>
              <w:t xml:space="preserve">A25G </w:t>
            </w:r>
          </w:p>
        </w:tc>
        <w:tc>
          <w:tcPr>
            <w:tcW w:w="31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9BB169E" w14:textId="77777777" w:rsidR="00EB245A" w:rsidRDefault="006021EE">
            <w:pPr>
              <w:pStyle w:val="P68B1DB1-Normal46"/>
              <w:spacing w:line="259" w:lineRule="auto"/>
              <w:rPr>
                <w:rFonts w:cs="Times New Roman"/>
                <w:noProof/>
              </w:rPr>
            </w:pPr>
            <w:r>
              <w:rPr>
                <w:noProof/>
              </w:rPr>
              <w:t xml:space="preserve">A1.4.1 Investitionen zur Diversifizierung und Verkürzung der Lieferkette von Agrar- und Lebensmittelerzeugnissen und zur Stärkung der Widerstandsfähigkeit der Unternehmen in der Lieferkette </w:t>
            </w:r>
          </w:p>
        </w:tc>
        <w:tc>
          <w:tcPr>
            <w:tcW w:w="12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95F6193" w14:textId="77777777" w:rsidR="00EB245A" w:rsidRDefault="006021EE">
            <w:pPr>
              <w:pStyle w:val="P68B1DB1-Normal46"/>
              <w:spacing w:line="259" w:lineRule="auto"/>
              <w:ind w:right="53"/>
              <w:jc w:val="center"/>
              <w:rPr>
                <w:rFonts w:cs="Times New Roman"/>
                <w:noProof/>
              </w:rPr>
            </w:pPr>
            <w:r>
              <w:rPr>
                <w:noProof/>
              </w:rPr>
              <w:t xml:space="preserve">Ziel </w:t>
            </w:r>
          </w:p>
        </w:tc>
        <w:tc>
          <w:tcPr>
            <w:tcW w:w="33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B2F0465" w14:textId="77777777" w:rsidR="00EB245A" w:rsidRDefault="006021EE">
            <w:pPr>
              <w:pStyle w:val="P68B1DB1-Normal46"/>
              <w:spacing w:line="259" w:lineRule="auto"/>
              <w:rPr>
                <w:rFonts w:cs="Times New Roman"/>
                <w:noProof/>
              </w:rPr>
            </w:pPr>
            <w:r>
              <w:rPr>
                <w:noProof/>
              </w:rPr>
              <w:t>Landwirte und Fischer, die Projekte zur Modernisierung ihre</w:t>
            </w:r>
            <w:r>
              <w:rPr>
                <w:noProof/>
              </w:rPr>
              <w:t xml:space="preserve">r Infrastruktur und Ausrüstung, zur Verkürzung der Lebensmittelversorgungsketten und zur Umsetzung landwirtschaftlicher Lösungen 4.0 in Produktionsprozessen abgeschlossen haben   </w:t>
            </w:r>
          </w:p>
        </w:tc>
      </w:tr>
      <w:tr w:rsidR="00EB245A" w14:paraId="5402C005" w14:textId="77777777">
        <w:trPr>
          <w:trHeight w:val="1733"/>
        </w:trPr>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0845D47" w14:textId="77777777" w:rsidR="00EB245A" w:rsidRDefault="006021EE">
            <w:pPr>
              <w:pStyle w:val="P68B1DB1-Normal46"/>
              <w:spacing w:line="259" w:lineRule="auto"/>
              <w:ind w:right="53"/>
              <w:jc w:val="center"/>
              <w:rPr>
                <w:rFonts w:cs="Times New Roman"/>
                <w:noProof/>
              </w:rPr>
            </w:pPr>
            <w:r>
              <w:rPr>
                <w:noProof/>
              </w:rPr>
              <w:t xml:space="preserve">A41G </w:t>
            </w:r>
          </w:p>
        </w:tc>
        <w:tc>
          <w:tcPr>
            <w:tcW w:w="31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0FB2CDB" w14:textId="77777777" w:rsidR="00EB245A" w:rsidRDefault="006021EE">
            <w:pPr>
              <w:pStyle w:val="P68B1DB1-Normal46"/>
              <w:spacing w:line="259" w:lineRule="auto"/>
              <w:rPr>
                <w:rFonts w:cs="Times New Roman"/>
                <w:noProof/>
              </w:rPr>
            </w:pPr>
            <w:r>
              <w:rPr>
                <w:noProof/>
              </w:rPr>
              <w:t xml:space="preserve">A3.1 Arbeitskräfte für die moderne Wirtschaft: </w:t>
            </w:r>
          </w:p>
          <w:p w14:paraId="1EF4B304" w14:textId="77777777" w:rsidR="00EB245A" w:rsidRDefault="006021EE">
            <w:pPr>
              <w:pStyle w:val="P68B1DB1-Normal46"/>
              <w:spacing w:line="259" w:lineRule="auto"/>
              <w:rPr>
                <w:rFonts w:cs="Times New Roman"/>
                <w:noProof/>
              </w:rPr>
            </w:pPr>
            <w:r>
              <w:rPr>
                <w:noProof/>
              </w:rPr>
              <w:t xml:space="preserve">Verbesserung der Abstimmung von Kompetenzen und Qualifikationen auf die Anforderungen des Arbeitsmarkts aufgrund der Einführung neuer Technologien in der Wirtschaft und des ökologischen und digitalen Wandels </w:t>
            </w:r>
          </w:p>
        </w:tc>
        <w:tc>
          <w:tcPr>
            <w:tcW w:w="12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C8451AF" w14:textId="203A1A97" w:rsidR="00EB245A" w:rsidRDefault="006021EE" w:rsidP="009A3AB9">
            <w:pPr>
              <w:pStyle w:val="P68B1DB1-Normal46"/>
              <w:spacing w:line="259" w:lineRule="auto"/>
              <w:ind w:left="74"/>
              <w:jc w:val="center"/>
              <w:rPr>
                <w:rFonts w:cs="Times New Roman"/>
                <w:noProof/>
              </w:rPr>
            </w:pPr>
            <w:r>
              <w:rPr>
                <w:noProof/>
              </w:rPr>
              <w:t>Meilenstein</w:t>
            </w:r>
          </w:p>
        </w:tc>
        <w:tc>
          <w:tcPr>
            <w:tcW w:w="33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B3E6703" w14:textId="77777777" w:rsidR="00EB245A" w:rsidRDefault="006021EE">
            <w:pPr>
              <w:pStyle w:val="P68B1DB1-Normal46"/>
              <w:spacing w:line="259" w:lineRule="auto"/>
              <w:rPr>
                <w:rFonts w:cs="Times New Roman"/>
                <w:noProof/>
              </w:rPr>
            </w:pPr>
            <w:r>
              <w:rPr>
                <w:noProof/>
              </w:rPr>
              <w:t xml:space="preserve"> Inkrafttreten des Gesetzes zur Änd</w:t>
            </w:r>
            <w:r>
              <w:rPr>
                <w:noProof/>
              </w:rPr>
              <w:t xml:space="preserve">erung des Bildungsgesetzes, mit dem der Rechtsrahmen für das Netz sektoraler Kompetenzzentren geschaffen und gezielte Weiterbildungs- und Umschulungsmaßnahmen bereitgestellt werden, die für den Arbeitsmarktbedarf von großer Bedeutung sind   </w:t>
            </w:r>
          </w:p>
        </w:tc>
      </w:tr>
      <w:tr w:rsidR="00EB245A" w14:paraId="0155B214" w14:textId="77777777">
        <w:trPr>
          <w:trHeight w:val="1733"/>
        </w:trPr>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88D693F" w14:textId="77777777" w:rsidR="00EB245A" w:rsidRDefault="006021EE">
            <w:pPr>
              <w:pStyle w:val="P68B1DB1-Normal46"/>
              <w:spacing w:line="259" w:lineRule="auto"/>
              <w:ind w:right="53"/>
              <w:jc w:val="center"/>
              <w:rPr>
                <w:rFonts w:cs="Times New Roman"/>
                <w:noProof/>
              </w:rPr>
            </w:pPr>
            <w:r>
              <w:rPr>
                <w:noProof/>
              </w:rPr>
              <w:t xml:space="preserve">A42G </w:t>
            </w:r>
          </w:p>
        </w:tc>
        <w:tc>
          <w:tcPr>
            <w:tcW w:w="31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40B38CE" w14:textId="77777777" w:rsidR="00EB245A" w:rsidRDefault="006021EE">
            <w:pPr>
              <w:pStyle w:val="P68B1DB1-Normal46"/>
              <w:spacing w:line="259" w:lineRule="auto"/>
              <w:rPr>
                <w:rFonts w:cs="Times New Roman"/>
                <w:noProof/>
              </w:rPr>
            </w:pPr>
            <w:r>
              <w:rPr>
                <w:noProof/>
              </w:rPr>
              <w:t xml:space="preserve">A3.1 Arbeitskräfte für die moderne Wirtschaft: </w:t>
            </w:r>
          </w:p>
          <w:p w14:paraId="2D8F030A" w14:textId="77777777" w:rsidR="00EB245A" w:rsidRDefault="006021EE">
            <w:pPr>
              <w:pStyle w:val="P68B1DB1-Normal46"/>
              <w:spacing w:line="259" w:lineRule="auto"/>
              <w:rPr>
                <w:rFonts w:cs="Times New Roman"/>
                <w:noProof/>
              </w:rPr>
            </w:pPr>
            <w:r>
              <w:rPr>
                <w:noProof/>
              </w:rPr>
              <w:t xml:space="preserve">Verbesserung der Abstimmung von Kompetenzen und Qualifikationen auf die Anforderungen des Arbeitsmarkts aufgrund der Einführung neuer Technologien in der Wirtschaft und des ökologischen und digitalen Wandels </w:t>
            </w:r>
          </w:p>
        </w:tc>
        <w:tc>
          <w:tcPr>
            <w:tcW w:w="12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274660E" w14:textId="701AC701" w:rsidR="00EB245A" w:rsidRDefault="006021EE" w:rsidP="009A3AB9">
            <w:pPr>
              <w:pStyle w:val="P68B1DB1-Normal46"/>
              <w:spacing w:line="259" w:lineRule="auto"/>
              <w:ind w:left="74"/>
              <w:jc w:val="center"/>
              <w:rPr>
                <w:rFonts w:cs="Times New Roman"/>
                <w:noProof/>
              </w:rPr>
            </w:pPr>
            <w:r>
              <w:rPr>
                <w:noProof/>
              </w:rPr>
              <w:t>Meilenstein</w:t>
            </w:r>
          </w:p>
        </w:tc>
        <w:tc>
          <w:tcPr>
            <w:tcW w:w="33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67C159B" w14:textId="77777777" w:rsidR="00EB245A" w:rsidRDefault="006021EE">
            <w:pPr>
              <w:pStyle w:val="P68B1DB1-Normal46"/>
              <w:spacing w:line="259" w:lineRule="auto"/>
              <w:ind w:right="2"/>
              <w:rPr>
                <w:rFonts w:cs="Times New Roman"/>
                <w:noProof/>
              </w:rPr>
            </w:pPr>
            <w:r>
              <w:rPr>
                <w:noProof/>
              </w:rPr>
              <w:t xml:space="preserve"> Inkrafttreten des Gesetzes zur Änderung des Lehrergesetzes, das die Umsetzung der Weiterbildung von Lehrkräften in den sektoralen Kompetenzzentren ermöglicht </w:t>
            </w:r>
          </w:p>
        </w:tc>
      </w:tr>
      <w:tr w:rsidR="00EB245A" w14:paraId="1767C1CD" w14:textId="77777777">
        <w:trPr>
          <w:trHeight w:val="1733"/>
        </w:trPr>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F9D69C7" w14:textId="77777777" w:rsidR="00EB245A" w:rsidRDefault="006021EE">
            <w:pPr>
              <w:pStyle w:val="P68B1DB1-Normal46"/>
              <w:spacing w:line="259" w:lineRule="auto"/>
              <w:ind w:right="53"/>
              <w:jc w:val="center"/>
              <w:rPr>
                <w:rFonts w:cs="Times New Roman"/>
                <w:noProof/>
              </w:rPr>
            </w:pPr>
            <w:r>
              <w:rPr>
                <w:noProof/>
              </w:rPr>
              <w:t xml:space="preserve">A50G </w:t>
            </w:r>
          </w:p>
        </w:tc>
        <w:tc>
          <w:tcPr>
            <w:tcW w:w="31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4EFE031" w14:textId="77777777" w:rsidR="00EB245A" w:rsidRDefault="006021EE">
            <w:pPr>
              <w:pStyle w:val="P68B1DB1-Normal46"/>
              <w:spacing w:line="259" w:lineRule="auto"/>
              <w:rPr>
                <w:rFonts w:cs="Times New Roman"/>
                <w:noProof/>
              </w:rPr>
            </w:pPr>
            <w:r>
              <w:rPr>
                <w:noProof/>
              </w:rPr>
              <w:t>A3.1.1 Investitionen in moderne Berufsbildung, Hochschulbildung und lebensla</w:t>
            </w:r>
            <w:r>
              <w:rPr>
                <w:noProof/>
              </w:rPr>
              <w:t xml:space="preserve">nges Lernen </w:t>
            </w:r>
          </w:p>
        </w:tc>
        <w:tc>
          <w:tcPr>
            <w:tcW w:w="12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178A87E" w14:textId="77777777" w:rsidR="00EB245A" w:rsidRDefault="006021EE">
            <w:pPr>
              <w:pStyle w:val="P68B1DB1-Normal46"/>
              <w:spacing w:line="259" w:lineRule="auto"/>
              <w:ind w:right="53"/>
              <w:jc w:val="center"/>
              <w:rPr>
                <w:rFonts w:cs="Times New Roman"/>
                <w:noProof/>
              </w:rPr>
            </w:pPr>
            <w:r>
              <w:rPr>
                <w:noProof/>
              </w:rPr>
              <w:t xml:space="preserve">Ziel </w:t>
            </w:r>
          </w:p>
        </w:tc>
        <w:tc>
          <w:tcPr>
            <w:tcW w:w="33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CE4CACE" w14:textId="77777777" w:rsidR="00EB245A" w:rsidRDefault="006021EE">
            <w:pPr>
              <w:pStyle w:val="P68B1DB1-Normal46"/>
              <w:spacing w:after="2" w:line="236" w:lineRule="auto"/>
              <w:rPr>
                <w:rFonts w:cs="Times New Roman"/>
                <w:noProof/>
              </w:rPr>
            </w:pPr>
            <w:r>
              <w:rPr>
                <w:noProof/>
              </w:rPr>
              <w:t xml:space="preserve">Entwicklung operationeller Durchführungsprogramme für die </w:t>
            </w:r>
          </w:p>
          <w:p w14:paraId="2045234B" w14:textId="77777777" w:rsidR="00EB245A" w:rsidRDefault="006021EE">
            <w:pPr>
              <w:pStyle w:val="P68B1DB1-Normal46"/>
              <w:spacing w:line="259" w:lineRule="auto"/>
              <w:rPr>
                <w:rFonts w:cs="Times New Roman"/>
                <w:noProof/>
              </w:rPr>
            </w:pPr>
            <w:r>
              <w:rPr>
                <w:noProof/>
              </w:rPr>
              <w:t xml:space="preserve">Integrierte Kompetenzstrategie auf regionaler Ebene durch die eingerichteten regionalen Koordinierungsgruppen für berufliche Aus- und Weiterbildung und lebenslanges Lernen </w:t>
            </w:r>
          </w:p>
        </w:tc>
      </w:tr>
      <w:tr w:rsidR="00EB245A" w14:paraId="2E0D25E4" w14:textId="77777777">
        <w:trPr>
          <w:trHeight w:val="975"/>
        </w:trPr>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D864612" w14:textId="77777777" w:rsidR="00EB245A" w:rsidRDefault="006021EE">
            <w:pPr>
              <w:pStyle w:val="P68B1DB1-Normal46"/>
              <w:spacing w:line="259" w:lineRule="auto"/>
              <w:ind w:right="53"/>
              <w:jc w:val="center"/>
              <w:rPr>
                <w:rFonts w:cs="Times New Roman"/>
                <w:noProof/>
              </w:rPr>
            </w:pPr>
            <w:r>
              <w:rPr>
                <w:noProof/>
              </w:rPr>
              <w:t xml:space="preserve">A69G </w:t>
            </w:r>
          </w:p>
        </w:tc>
        <w:tc>
          <w:tcPr>
            <w:tcW w:w="31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33AFFB2" w14:textId="77777777" w:rsidR="00EB245A" w:rsidRDefault="006021EE">
            <w:pPr>
              <w:pStyle w:val="P68B1DB1-Normal46"/>
              <w:spacing w:line="259" w:lineRule="auto"/>
              <w:rPr>
                <w:rFonts w:cs="Times New Roman"/>
                <w:noProof/>
              </w:rPr>
            </w:pPr>
            <w:r>
              <w:rPr>
                <w:noProof/>
              </w:rPr>
              <w:t xml:space="preserve">A4.6 Steigerung der Erwerbsbeteiligung bestimmter Gruppen durch den Ausbau der Langzeitpflege </w:t>
            </w:r>
          </w:p>
        </w:tc>
        <w:tc>
          <w:tcPr>
            <w:tcW w:w="12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97043BA" w14:textId="4E515B63" w:rsidR="00EB245A" w:rsidRDefault="006021EE" w:rsidP="009A3AB9">
            <w:pPr>
              <w:pStyle w:val="P68B1DB1-Normal46"/>
              <w:spacing w:line="259" w:lineRule="auto"/>
              <w:ind w:left="74"/>
              <w:jc w:val="center"/>
              <w:rPr>
                <w:rFonts w:cs="Times New Roman"/>
                <w:noProof/>
              </w:rPr>
            </w:pPr>
            <w:r>
              <w:rPr>
                <w:noProof/>
              </w:rPr>
              <w:t>Meilenstein</w:t>
            </w:r>
          </w:p>
        </w:tc>
        <w:tc>
          <w:tcPr>
            <w:tcW w:w="33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2E31E46" w14:textId="77777777" w:rsidR="00EB245A" w:rsidRDefault="006021EE">
            <w:pPr>
              <w:pStyle w:val="P68B1DB1-Normal46"/>
              <w:spacing w:line="259" w:lineRule="auto"/>
              <w:rPr>
                <w:rFonts w:cs="Times New Roman"/>
                <w:noProof/>
              </w:rPr>
            </w:pPr>
            <w:r>
              <w:rPr>
                <w:noProof/>
              </w:rPr>
              <w:t xml:space="preserve">Strategische Überprüfung der Langzeitpflege in Polen im Hinblick auf die Ermittlung von Reformprioritäten </w:t>
            </w:r>
          </w:p>
        </w:tc>
      </w:tr>
      <w:tr w:rsidR="00EB245A" w14:paraId="25E0CF13" w14:textId="77777777">
        <w:trPr>
          <w:trHeight w:val="1277"/>
        </w:trPr>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9737A16" w14:textId="77777777" w:rsidR="00EB245A" w:rsidRDefault="006021EE">
            <w:pPr>
              <w:pStyle w:val="P68B1DB1-Normal46"/>
              <w:spacing w:line="259" w:lineRule="auto"/>
              <w:ind w:right="53"/>
              <w:jc w:val="center"/>
              <w:rPr>
                <w:rFonts w:cs="Times New Roman"/>
                <w:noProof/>
              </w:rPr>
            </w:pPr>
            <w:r>
              <w:rPr>
                <w:noProof/>
              </w:rPr>
              <w:t xml:space="preserve">A71G </w:t>
            </w:r>
          </w:p>
        </w:tc>
        <w:tc>
          <w:tcPr>
            <w:tcW w:w="31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E1F8B29" w14:textId="77777777" w:rsidR="00EB245A" w:rsidRDefault="006021EE">
            <w:pPr>
              <w:pStyle w:val="P68B1DB1-Normal46"/>
              <w:spacing w:line="259" w:lineRule="auto"/>
              <w:rPr>
                <w:rFonts w:cs="Times New Roman"/>
                <w:noProof/>
              </w:rPr>
            </w:pPr>
            <w:r>
              <w:rPr>
                <w:noProof/>
              </w:rPr>
              <w:t xml:space="preserve">A4.7 Begrenzung der Arbeitsmarktsegmentierung </w:t>
            </w:r>
          </w:p>
        </w:tc>
        <w:tc>
          <w:tcPr>
            <w:tcW w:w="12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B2A96AF" w14:textId="222BBFB5" w:rsidR="00EB245A" w:rsidRDefault="006021EE" w:rsidP="009A3AB9">
            <w:pPr>
              <w:pStyle w:val="P68B1DB1-Normal46"/>
              <w:spacing w:line="259" w:lineRule="auto"/>
              <w:ind w:left="74"/>
              <w:jc w:val="center"/>
              <w:rPr>
                <w:rFonts w:cs="Times New Roman"/>
                <w:noProof/>
              </w:rPr>
            </w:pPr>
            <w:r>
              <w:rPr>
                <w:noProof/>
              </w:rPr>
              <w:t>Meilenstein</w:t>
            </w:r>
          </w:p>
        </w:tc>
        <w:tc>
          <w:tcPr>
            <w:tcW w:w="33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BE39BE7" w14:textId="75D4A855" w:rsidR="00EB245A" w:rsidRDefault="006021EE">
            <w:pPr>
              <w:pStyle w:val="P68B1DB1-Normal46"/>
              <w:spacing w:line="259" w:lineRule="auto"/>
              <w:rPr>
                <w:rFonts w:cs="Times New Roman"/>
                <w:noProof/>
              </w:rPr>
            </w:pPr>
            <w:r>
              <w:rPr>
                <w:noProof/>
              </w:rPr>
              <w:t>Inkrafttreten eines Gesetzes zur Änderung des Gesetzes über das Sozialversicherungssystem, mit dem die Segmentierung des Arbeitsmarktes eingeschränkt und der soziale Schutz aller Personen verbesser</w:t>
            </w:r>
            <w:r>
              <w:rPr>
                <w:noProof/>
              </w:rPr>
              <w:t>t wird, die auf der Grundlage zivilrechtlicher Verträge arbeiten, indem diese Verträge sozialversicherungspflichtig gemacht werden</w:t>
            </w:r>
          </w:p>
        </w:tc>
      </w:tr>
      <w:tr w:rsidR="00EB245A" w14:paraId="2047E02F" w14:textId="77777777">
        <w:trPr>
          <w:trHeight w:val="1277"/>
        </w:trPr>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29D7969" w14:textId="41D9F14B" w:rsidR="00EB245A" w:rsidRDefault="006021EE">
            <w:pPr>
              <w:pStyle w:val="P68B1DB1-Normal46"/>
              <w:spacing w:line="259" w:lineRule="auto"/>
              <w:ind w:right="53"/>
              <w:jc w:val="center"/>
              <w:rPr>
                <w:rFonts w:cs="Times New Roman"/>
                <w:noProof/>
              </w:rPr>
            </w:pPr>
            <w:r>
              <w:rPr>
                <w:noProof/>
              </w:rPr>
              <w:t xml:space="preserve">B5G </w:t>
            </w:r>
          </w:p>
        </w:tc>
        <w:tc>
          <w:tcPr>
            <w:tcW w:w="31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E4766A6" w14:textId="610AA4D5" w:rsidR="00EB245A" w:rsidRDefault="006021EE">
            <w:pPr>
              <w:pStyle w:val="P68B1DB1-Normal46"/>
              <w:spacing w:line="259" w:lineRule="auto"/>
              <w:rPr>
                <w:rFonts w:cs="Times New Roman"/>
                <w:noProof/>
              </w:rPr>
            </w:pPr>
            <w:r>
              <w:rPr>
                <w:noProof/>
              </w:rPr>
              <w:t xml:space="preserve">B1.1 Saubere Luft und Energieeffizienz </w:t>
            </w:r>
          </w:p>
        </w:tc>
        <w:tc>
          <w:tcPr>
            <w:tcW w:w="12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43995F1" w14:textId="036634F6" w:rsidR="00EB245A" w:rsidRDefault="006021EE" w:rsidP="009A3AB9">
            <w:pPr>
              <w:pStyle w:val="P68B1DB1-Normal46"/>
              <w:spacing w:line="259" w:lineRule="auto"/>
              <w:ind w:left="74"/>
              <w:jc w:val="center"/>
              <w:rPr>
                <w:rFonts w:cs="Times New Roman"/>
                <w:noProof/>
              </w:rPr>
            </w:pPr>
            <w:r>
              <w:rPr>
                <w:noProof/>
              </w:rPr>
              <w:t>Meilenstein</w:t>
            </w:r>
          </w:p>
        </w:tc>
        <w:tc>
          <w:tcPr>
            <w:tcW w:w="33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03A1BC4" w14:textId="0B7DC30F" w:rsidR="00EB245A" w:rsidRDefault="006021EE">
            <w:pPr>
              <w:pStyle w:val="P68B1DB1-Normal46"/>
              <w:spacing w:line="259" w:lineRule="auto"/>
              <w:rPr>
                <w:rFonts w:cs="Times New Roman"/>
                <w:noProof/>
              </w:rPr>
            </w:pPr>
            <w:r>
              <w:rPr>
                <w:noProof/>
              </w:rPr>
              <w:t xml:space="preserve">Inkrafttreten der Verordnung zur Festlegung von Qualitätsnormen für feste Biomasse-Brennstoffe </w:t>
            </w:r>
          </w:p>
        </w:tc>
      </w:tr>
      <w:tr w:rsidR="00EB245A" w14:paraId="11966FDB" w14:textId="77777777">
        <w:trPr>
          <w:trHeight w:val="1277"/>
        </w:trPr>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B3CF097" w14:textId="534DE42C" w:rsidR="00EB245A" w:rsidRDefault="006021EE">
            <w:pPr>
              <w:pStyle w:val="P68B1DB1-Normal46"/>
              <w:spacing w:line="259" w:lineRule="auto"/>
              <w:ind w:right="53"/>
              <w:jc w:val="center"/>
              <w:rPr>
                <w:rFonts w:cs="Times New Roman"/>
                <w:noProof/>
              </w:rPr>
            </w:pPr>
            <w:r>
              <w:rPr>
                <w:noProof/>
              </w:rPr>
              <w:t xml:space="preserve">B8G </w:t>
            </w:r>
          </w:p>
        </w:tc>
        <w:tc>
          <w:tcPr>
            <w:tcW w:w="31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BE6DBD8" w14:textId="7D685A18" w:rsidR="00EB245A" w:rsidRDefault="006021EE">
            <w:pPr>
              <w:pStyle w:val="P68B1DB1-Normal46"/>
              <w:spacing w:line="259" w:lineRule="auto"/>
              <w:rPr>
                <w:rFonts w:cs="Times New Roman"/>
                <w:noProof/>
              </w:rPr>
            </w:pPr>
            <w:r>
              <w:rPr>
                <w:noProof/>
              </w:rPr>
              <w:t xml:space="preserve">B1.1.2 Austausch von Wärmequellen und Verbesserung der Energieeffizienz in Einfamilienhäusern </w:t>
            </w:r>
          </w:p>
        </w:tc>
        <w:tc>
          <w:tcPr>
            <w:tcW w:w="12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28CEB93" w14:textId="030A694F" w:rsidR="00EB245A" w:rsidRDefault="006021EE" w:rsidP="009A3AB9">
            <w:pPr>
              <w:pStyle w:val="P68B1DB1-Normal46"/>
              <w:spacing w:line="259" w:lineRule="auto"/>
              <w:ind w:left="74"/>
              <w:jc w:val="center"/>
              <w:rPr>
                <w:rFonts w:cs="Times New Roman"/>
                <w:noProof/>
              </w:rPr>
            </w:pPr>
            <w:r>
              <w:rPr>
                <w:noProof/>
              </w:rPr>
              <w:t>Ziel</w:t>
            </w:r>
          </w:p>
        </w:tc>
        <w:tc>
          <w:tcPr>
            <w:tcW w:w="33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33634DA" w14:textId="55F33A50" w:rsidR="00EB245A" w:rsidRDefault="006021EE">
            <w:pPr>
              <w:pStyle w:val="P68B1DB1-Normal46"/>
              <w:spacing w:line="259" w:lineRule="auto"/>
              <w:rPr>
                <w:rFonts w:cs="Times New Roman"/>
                <w:noProof/>
              </w:rPr>
            </w:pPr>
            <w:r>
              <w:rPr>
                <w:noProof/>
              </w:rPr>
              <w:t xml:space="preserve">T1 – Austausch von Wärmequellen in Einfamilienhäusern </w:t>
            </w:r>
          </w:p>
        </w:tc>
      </w:tr>
      <w:tr w:rsidR="00EB245A" w14:paraId="60320FE7" w14:textId="77777777">
        <w:trPr>
          <w:trHeight w:val="1277"/>
        </w:trPr>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597E83D" w14:textId="7B98FF49" w:rsidR="00EB245A" w:rsidRDefault="006021EE">
            <w:pPr>
              <w:pStyle w:val="P68B1DB1-Normal46"/>
              <w:spacing w:line="259" w:lineRule="auto"/>
              <w:ind w:right="53"/>
              <w:jc w:val="center"/>
              <w:rPr>
                <w:rFonts w:cs="Times New Roman"/>
                <w:noProof/>
              </w:rPr>
            </w:pPr>
            <w:r>
              <w:rPr>
                <w:noProof/>
              </w:rPr>
              <w:t xml:space="preserve">B10G </w:t>
            </w:r>
          </w:p>
        </w:tc>
        <w:tc>
          <w:tcPr>
            <w:tcW w:w="31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FB54E3F" w14:textId="3B8F8BFB" w:rsidR="00EB245A" w:rsidRDefault="006021EE">
            <w:pPr>
              <w:pStyle w:val="P68B1DB1-Normal46"/>
              <w:spacing w:line="259" w:lineRule="auto"/>
              <w:rPr>
                <w:rFonts w:cs="Times New Roman"/>
                <w:noProof/>
              </w:rPr>
            </w:pPr>
            <w:r>
              <w:rPr>
                <w:noProof/>
              </w:rPr>
              <w:t xml:space="preserve">B1.1.2 Austausch von Wärmequellen und Verbesserung der Energieeffizienz in Einfamilienhäusern </w:t>
            </w:r>
          </w:p>
        </w:tc>
        <w:tc>
          <w:tcPr>
            <w:tcW w:w="12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9877172" w14:textId="4176A80F" w:rsidR="00EB245A" w:rsidRDefault="006021EE" w:rsidP="009A3AB9">
            <w:pPr>
              <w:pStyle w:val="P68B1DB1-Normal46"/>
              <w:spacing w:line="259" w:lineRule="auto"/>
              <w:ind w:left="74"/>
              <w:jc w:val="center"/>
              <w:rPr>
                <w:rFonts w:cs="Times New Roman"/>
                <w:noProof/>
              </w:rPr>
            </w:pPr>
            <w:r>
              <w:rPr>
                <w:noProof/>
              </w:rPr>
              <w:t>Ziel</w:t>
            </w:r>
          </w:p>
        </w:tc>
        <w:tc>
          <w:tcPr>
            <w:tcW w:w="33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C1802D9" w14:textId="6F110599" w:rsidR="00EB245A" w:rsidRDefault="006021EE">
            <w:pPr>
              <w:pStyle w:val="P68B1DB1-Normal46"/>
              <w:spacing w:line="259" w:lineRule="auto"/>
              <w:rPr>
                <w:rFonts w:cs="Times New Roman"/>
                <w:noProof/>
              </w:rPr>
            </w:pPr>
            <w:r>
              <w:rPr>
                <w:noProof/>
              </w:rPr>
              <w:t xml:space="preserve">T1 – Thermomodernisierung und Installation erneuerbarer Energiequellen in Einfamilienhäusern  </w:t>
            </w:r>
          </w:p>
        </w:tc>
      </w:tr>
      <w:tr w:rsidR="00EB245A" w14:paraId="311FCD46" w14:textId="77777777">
        <w:trPr>
          <w:trHeight w:val="1277"/>
        </w:trPr>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E2A0D09" w14:textId="2C12C03D" w:rsidR="00EB245A" w:rsidRDefault="006021EE">
            <w:pPr>
              <w:pStyle w:val="P68B1DB1-Normal46"/>
              <w:spacing w:line="259" w:lineRule="auto"/>
              <w:ind w:right="53"/>
              <w:jc w:val="center"/>
              <w:rPr>
                <w:rFonts w:cs="Times New Roman"/>
                <w:noProof/>
              </w:rPr>
            </w:pPr>
            <w:r>
              <w:rPr>
                <w:noProof/>
              </w:rPr>
              <w:t xml:space="preserve">B17G </w:t>
            </w:r>
          </w:p>
        </w:tc>
        <w:tc>
          <w:tcPr>
            <w:tcW w:w="31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E42FFBE" w14:textId="66659FEA" w:rsidR="00EB245A" w:rsidRDefault="006021EE">
            <w:pPr>
              <w:pStyle w:val="P68B1DB1-Normal46"/>
              <w:spacing w:line="259" w:lineRule="auto"/>
              <w:rPr>
                <w:rFonts w:cs="Times New Roman"/>
                <w:noProof/>
              </w:rPr>
            </w:pPr>
            <w:r>
              <w:rPr>
                <w:noProof/>
              </w:rPr>
              <w:t xml:space="preserve">B2.1 Verbesserung der Bedingungen für die Entwicklung von Wasserstofftechnologien und anderen dekarbonisierten Gasen </w:t>
            </w:r>
          </w:p>
        </w:tc>
        <w:tc>
          <w:tcPr>
            <w:tcW w:w="12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B59DDF6" w14:textId="001A0F50" w:rsidR="00EB245A" w:rsidRDefault="006021EE" w:rsidP="009A3AB9">
            <w:pPr>
              <w:pStyle w:val="P68B1DB1-Normal46"/>
              <w:spacing w:line="259" w:lineRule="auto"/>
              <w:ind w:left="74"/>
              <w:jc w:val="center"/>
              <w:rPr>
                <w:rFonts w:cs="Times New Roman"/>
                <w:noProof/>
              </w:rPr>
            </w:pPr>
            <w:r>
              <w:rPr>
                <w:noProof/>
              </w:rPr>
              <w:t>Meilenstein</w:t>
            </w:r>
          </w:p>
        </w:tc>
        <w:tc>
          <w:tcPr>
            <w:tcW w:w="33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1A4FA37" w14:textId="278DA7D0" w:rsidR="00EB245A" w:rsidRDefault="006021EE">
            <w:pPr>
              <w:pStyle w:val="P68B1DB1-Normal46"/>
              <w:spacing w:line="259" w:lineRule="auto"/>
              <w:rPr>
                <w:rFonts w:cs="Times New Roman"/>
                <w:noProof/>
              </w:rPr>
            </w:pPr>
            <w:r>
              <w:rPr>
                <w:noProof/>
              </w:rPr>
              <w:t xml:space="preserve">Inkrafttreten des Gesetzes zur Festlegung von Vorschriften für Wasserstoff </w:t>
            </w:r>
          </w:p>
        </w:tc>
      </w:tr>
      <w:tr w:rsidR="00EB245A" w14:paraId="4AF5C364" w14:textId="77777777">
        <w:trPr>
          <w:trHeight w:val="1277"/>
        </w:trPr>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2BFFC72" w14:textId="5155AC91" w:rsidR="00EB245A" w:rsidRDefault="006021EE">
            <w:pPr>
              <w:pStyle w:val="P68B1DB1-Normal46"/>
              <w:spacing w:line="259" w:lineRule="auto"/>
              <w:ind w:right="53"/>
              <w:jc w:val="center"/>
              <w:rPr>
                <w:rFonts w:cs="Times New Roman"/>
                <w:noProof/>
              </w:rPr>
            </w:pPr>
            <w:r>
              <w:rPr>
                <w:noProof/>
              </w:rPr>
              <w:t xml:space="preserve">B18G </w:t>
            </w:r>
          </w:p>
        </w:tc>
        <w:tc>
          <w:tcPr>
            <w:tcW w:w="31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A4483F2" w14:textId="5ECA1D53" w:rsidR="00EB245A" w:rsidRDefault="006021EE">
            <w:pPr>
              <w:pStyle w:val="P68B1DB1-Normal46"/>
              <w:spacing w:line="259" w:lineRule="auto"/>
              <w:rPr>
                <w:rFonts w:cs="Times New Roman"/>
                <w:noProof/>
              </w:rPr>
            </w:pPr>
            <w:r>
              <w:rPr>
                <w:noProof/>
              </w:rPr>
              <w:t xml:space="preserve">B2.1.1 Investitionen in Wasserstoff, Wasserstoffherstellung, -speicherung und -transport </w:t>
            </w:r>
          </w:p>
        </w:tc>
        <w:tc>
          <w:tcPr>
            <w:tcW w:w="12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186AF49" w14:textId="02CA1B9A" w:rsidR="00EB245A" w:rsidRDefault="006021EE" w:rsidP="009A3AB9">
            <w:pPr>
              <w:pStyle w:val="P68B1DB1-Normal46"/>
              <w:spacing w:line="259" w:lineRule="auto"/>
              <w:ind w:left="74"/>
              <w:jc w:val="center"/>
              <w:rPr>
                <w:rFonts w:cs="Times New Roman"/>
                <w:noProof/>
              </w:rPr>
            </w:pPr>
            <w:r>
              <w:rPr>
                <w:noProof/>
              </w:rPr>
              <w:t>Ziel</w:t>
            </w:r>
          </w:p>
        </w:tc>
        <w:tc>
          <w:tcPr>
            <w:tcW w:w="33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6FF4B3A" w14:textId="0031B3D2" w:rsidR="00EB245A" w:rsidRDefault="006021EE">
            <w:pPr>
              <w:pStyle w:val="P68B1DB1-Normal46"/>
              <w:spacing w:line="259" w:lineRule="auto"/>
              <w:rPr>
                <w:rFonts w:cs="Times New Roman"/>
                <w:noProof/>
              </w:rPr>
            </w:pPr>
            <w:r>
              <w:rPr>
                <w:noProof/>
              </w:rPr>
              <w:t xml:space="preserve">Umweltgenehmigungen für Wasserstofftankstellen </w:t>
            </w:r>
          </w:p>
        </w:tc>
      </w:tr>
      <w:tr w:rsidR="00EB245A" w14:paraId="7E925EBC" w14:textId="77777777">
        <w:trPr>
          <w:trHeight w:val="1277"/>
        </w:trPr>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FE58656" w14:textId="2D5818FF" w:rsidR="00EB245A" w:rsidRDefault="006021EE">
            <w:pPr>
              <w:pStyle w:val="P68B1DB1-Normal46"/>
              <w:spacing w:line="259" w:lineRule="auto"/>
              <w:ind w:right="53"/>
              <w:jc w:val="center"/>
              <w:rPr>
                <w:rFonts w:cs="Times New Roman"/>
                <w:noProof/>
              </w:rPr>
            </w:pPr>
            <w:r>
              <w:rPr>
                <w:noProof/>
              </w:rPr>
              <w:t>B42G</w:t>
            </w:r>
          </w:p>
        </w:tc>
        <w:tc>
          <w:tcPr>
            <w:tcW w:w="31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35F841C" w14:textId="1A0083C0" w:rsidR="00EB245A" w:rsidRDefault="006021EE">
            <w:pPr>
              <w:pStyle w:val="P68B1DB1-Normal46"/>
              <w:spacing w:line="259" w:lineRule="auto"/>
              <w:rPr>
                <w:rFonts w:cs="Times New Roman"/>
                <w:noProof/>
              </w:rPr>
            </w:pPr>
            <w:r>
              <w:rPr>
                <w:noProof/>
              </w:rPr>
              <w:t>B1.1.5 Verbesserung der Energieeffizienz in Wohngebäuden mit mehreren Wohnungen</w:t>
            </w:r>
          </w:p>
        </w:tc>
        <w:tc>
          <w:tcPr>
            <w:tcW w:w="12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25BEB1C" w14:textId="20CB1134" w:rsidR="00EB245A" w:rsidRDefault="006021EE" w:rsidP="009A3AB9">
            <w:pPr>
              <w:pStyle w:val="P68B1DB1-Normal46"/>
              <w:spacing w:line="259" w:lineRule="auto"/>
              <w:ind w:left="74"/>
              <w:jc w:val="center"/>
              <w:rPr>
                <w:rFonts w:cs="Times New Roman"/>
                <w:noProof/>
              </w:rPr>
            </w:pPr>
            <w:r>
              <w:rPr>
                <w:noProof/>
              </w:rPr>
              <w:t>Ziel</w:t>
            </w:r>
          </w:p>
        </w:tc>
        <w:tc>
          <w:tcPr>
            <w:tcW w:w="33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B5748D9" w14:textId="68A4CBE3" w:rsidR="00EB245A" w:rsidRDefault="006021EE">
            <w:pPr>
              <w:pStyle w:val="P68B1DB1-Normal46"/>
              <w:spacing w:line="259" w:lineRule="auto"/>
              <w:rPr>
                <w:rFonts w:cs="Times New Roman"/>
                <w:noProof/>
              </w:rPr>
            </w:pPr>
            <w:r>
              <w:rPr>
                <w:noProof/>
              </w:rPr>
              <w:t>T1 – Anlagen für erneu</w:t>
            </w:r>
            <w:r>
              <w:rPr>
                <w:noProof/>
              </w:rPr>
              <w:t>erbare Energien und Thermomodernisierungen in Gebäuden mit mehreren Wohnungen</w:t>
            </w:r>
          </w:p>
        </w:tc>
      </w:tr>
      <w:tr w:rsidR="00EB245A" w14:paraId="2F9311C5" w14:textId="77777777">
        <w:trPr>
          <w:trHeight w:val="1277"/>
        </w:trPr>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E534E97" w14:textId="381D7195" w:rsidR="00EB245A" w:rsidRDefault="006021EE">
            <w:pPr>
              <w:pStyle w:val="P68B1DB1-Normal46"/>
              <w:spacing w:line="259" w:lineRule="auto"/>
              <w:ind w:right="53"/>
              <w:jc w:val="center"/>
              <w:rPr>
                <w:rFonts w:cs="Times New Roman"/>
                <w:noProof/>
              </w:rPr>
            </w:pPr>
            <w:r>
              <w:rPr>
                <w:noProof/>
              </w:rPr>
              <w:t xml:space="preserve">C27G </w:t>
            </w:r>
          </w:p>
        </w:tc>
        <w:tc>
          <w:tcPr>
            <w:tcW w:w="31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C9B31C0" w14:textId="77777777" w:rsidR="00EB245A" w:rsidRDefault="006021EE">
            <w:pPr>
              <w:pStyle w:val="P68B1DB1-Normal46"/>
              <w:spacing w:after="1" w:line="238" w:lineRule="auto"/>
              <w:rPr>
                <w:rFonts w:cs="Times New Roman"/>
                <w:noProof/>
              </w:rPr>
            </w:pPr>
            <w:r>
              <w:rPr>
                <w:noProof/>
              </w:rPr>
              <w:t xml:space="preserve">C3.1.1 Cybersicherheit – CyberPL, Infrastruktur für die Datenverarbeitung und Optimierung der Rechtsinfrastruktur </w:t>
            </w:r>
          </w:p>
          <w:p w14:paraId="7CFAB438" w14:textId="48D07DAC" w:rsidR="00EB245A" w:rsidRDefault="006021EE">
            <w:pPr>
              <w:pStyle w:val="P68B1DB1-Normal46"/>
              <w:spacing w:line="259" w:lineRule="auto"/>
              <w:rPr>
                <w:rFonts w:cs="Times New Roman"/>
                <w:noProof/>
              </w:rPr>
            </w:pPr>
            <w:r>
              <w:rPr>
                <w:noProof/>
              </w:rPr>
              <w:t xml:space="preserve">Durchsetzungsdienste </w:t>
            </w:r>
          </w:p>
        </w:tc>
        <w:tc>
          <w:tcPr>
            <w:tcW w:w="12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8E0BF7B" w14:textId="1E918484" w:rsidR="00EB245A" w:rsidRDefault="006021EE" w:rsidP="009A3AB9">
            <w:pPr>
              <w:pStyle w:val="P68B1DB1-Normal46"/>
              <w:spacing w:line="259" w:lineRule="auto"/>
              <w:ind w:left="74"/>
              <w:jc w:val="center"/>
              <w:rPr>
                <w:rFonts w:cs="Times New Roman"/>
                <w:noProof/>
              </w:rPr>
            </w:pPr>
            <w:r>
              <w:rPr>
                <w:noProof/>
              </w:rPr>
              <w:t>Meilenstein</w:t>
            </w:r>
          </w:p>
        </w:tc>
        <w:tc>
          <w:tcPr>
            <w:tcW w:w="33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11EA455" w14:textId="10049982" w:rsidR="00EB245A" w:rsidRDefault="006021EE">
            <w:pPr>
              <w:pStyle w:val="P68B1DB1-Normal46"/>
              <w:spacing w:line="259" w:lineRule="auto"/>
              <w:rPr>
                <w:rFonts w:cs="Times New Roman"/>
                <w:noProof/>
              </w:rPr>
            </w:pPr>
            <w:r>
              <w:rPr>
                <w:noProof/>
              </w:rPr>
              <w:t xml:space="preserve">Wichtiges Vorhaben von gemeinsamem europäischem Interesse (IPCEI): Auswahl von Cloud-Projekten der nächsten Generation und Unterzeichnung von Verträgen </w:t>
            </w:r>
          </w:p>
        </w:tc>
      </w:tr>
      <w:tr w:rsidR="00EB245A" w14:paraId="1D042663" w14:textId="77777777">
        <w:trPr>
          <w:trHeight w:val="1277"/>
        </w:trPr>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0EAAD43" w14:textId="1A6871B8" w:rsidR="00EB245A" w:rsidRDefault="006021EE">
            <w:pPr>
              <w:pStyle w:val="P68B1DB1-Normal46"/>
              <w:spacing w:line="259" w:lineRule="auto"/>
              <w:ind w:right="53"/>
              <w:jc w:val="center"/>
              <w:rPr>
                <w:rFonts w:cs="Times New Roman"/>
                <w:noProof/>
              </w:rPr>
            </w:pPr>
            <w:r>
              <w:rPr>
                <w:noProof/>
              </w:rPr>
              <w:t>D10aG</w:t>
            </w:r>
          </w:p>
        </w:tc>
        <w:tc>
          <w:tcPr>
            <w:tcW w:w="31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3DF65E7" w14:textId="77777777" w:rsidR="00EB245A" w:rsidRDefault="006021EE">
            <w:pPr>
              <w:pStyle w:val="P68B1DB1-Normal46"/>
              <w:spacing w:line="259" w:lineRule="auto"/>
              <w:rPr>
                <w:rFonts w:cs="Times New Roman"/>
                <w:noProof/>
              </w:rPr>
            </w:pPr>
            <w:r>
              <w:rPr>
                <w:noProof/>
              </w:rPr>
              <w:t>D1.1.1 Entwicklung und Modernisierung der Infrastruktur hochspezialisierter Pflegezentren und an</w:t>
            </w:r>
            <w:r>
              <w:rPr>
                <w:noProof/>
              </w:rPr>
              <w:t>derer Gesundheitsdienstleister</w:t>
            </w:r>
          </w:p>
          <w:p w14:paraId="5605B4A3" w14:textId="77777777" w:rsidR="00EB245A" w:rsidRDefault="00EB245A">
            <w:pPr>
              <w:spacing w:after="1" w:line="238" w:lineRule="auto"/>
              <w:rPr>
                <w:rFonts w:ascii="Times New Roman" w:hAnsi="Times New Roman" w:cs="Times New Roman"/>
                <w:noProof/>
              </w:rPr>
            </w:pPr>
          </w:p>
        </w:tc>
        <w:tc>
          <w:tcPr>
            <w:tcW w:w="12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3EFAE21" w14:textId="1C552264" w:rsidR="00EB245A" w:rsidRDefault="006021EE" w:rsidP="009A3AB9">
            <w:pPr>
              <w:pStyle w:val="P68B1DB1-Normal46"/>
              <w:spacing w:line="259" w:lineRule="auto"/>
              <w:ind w:left="74"/>
              <w:jc w:val="center"/>
              <w:rPr>
                <w:rFonts w:cs="Times New Roman"/>
                <w:noProof/>
              </w:rPr>
            </w:pPr>
            <w:r>
              <w:rPr>
                <w:noProof/>
              </w:rPr>
              <w:t>Meilenstein</w:t>
            </w:r>
          </w:p>
        </w:tc>
        <w:tc>
          <w:tcPr>
            <w:tcW w:w="33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9151725" w14:textId="77777777" w:rsidR="00EB245A" w:rsidRDefault="006021EE">
            <w:pPr>
              <w:pStyle w:val="P68B1DB1-Normal46"/>
              <w:spacing w:after="160" w:line="257" w:lineRule="auto"/>
              <w:rPr>
                <w:rFonts w:cs="Times New Roman"/>
                <w:noProof/>
              </w:rPr>
            </w:pPr>
            <w:r>
              <w:rPr>
                <w:noProof/>
              </w:rPr>
              <w:t>Erste Aufforderung zur Einreichung von Vorschlägen für Krankenhäuser (im Rahmen des Nationalen Onkologischen Netzes) und ambulante Pflegezentren (AOS), die mit ihnen zusammenarbeiten</w:t>
            </w:r>
          </w:p>
          <w:p w14:paraId="09259E7E" w14:textId="77777777" w:rsidR="00EB245A" w:rsidRDefault="00EB245A">
            <w:pPr>
              <w:spacing w:line="259" w:lineRule="auto"/>
              <w:rPr>
                <w:rFonts w:ascii="Times New Roman" w:hAnsi="Times New Roman" w:cs="Times New Roman"/>
                <w:noProof/>
              </w:rPr>
            </w:pPr>
          </w:p>
          <w:p w14:paraId="0CF7E475" w14:textId="77777777" w:rsidR="00EB245A" w:rsidRDefault="00EB245A">
            <w:pPr>
              <w:spacing w:line="259" w:lineRule="auto"/>
              <w:rPr>
                <w:rFonts w:ascii="Times New Roman" w:hAnsi="Times New Roman" w:cs="Times New Roman"/>
                <w:noProof/>
              </w:rPr>
            </w:pPr>
          </w:p>
        </w:tc>
      </w:tr>
      <w:tr w:rsidR="00EB245A" w14:paraId="3A74C75A" w14:textId="77777777">
        <w:trPr>
          <w:trHeight w:val="1277"/>
        </w:trPr>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7AB960A" w14:textId="2D10A61B" w:rsidR="00EB245A" w:rsidRDefault="006021EE">
            <w:pPr>
              <w:pStyle w:val="P68B1DB1-Normal46"/>
              <w:spacing w:line="259" w:lineRule="auto"/>
              <w:ind w:right="53"/>
              <w:jc w:val="center"/>
              <w:rPr>
                <w:rFonts w:cs="Times New Roman"/>
                <w:noProof/>
              </w:rPr>
            </w:pPr>
            <w:r>
              <w:rPr>
                <w:noProof/>
              </w:rPr>
              <w:t xml:space="preserve">E24G </w:t>
            </w:r>
          </w:p>
        </w:tc>
        <w:tc>
          <w:tcPr>
            <w:tcW w:w="31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CA7E4F6" w14:textId="72C12E8D" w:rsidR="00EB245A" w:rsidRDefault="006021EE">
            <w:pPr>
              <w:pStyle w:val="P68B1DB1-Normal46"/>
              <w:spacing w:after="1" w:line="238" w:lineRule="auto"/>
              <w:rPr>
                <w:rFonts w:cs="Times New Roman"/>
                <w:noProof/>
              </w:rPr>
            </w:pPr>
            <w:r>
              <w:rPr>
                <w:noProof/>
              </w:rPr>
              <w:t xml:space="preserve">E2.2.1 Investitionen in die Verkehrssicherheit </w:t>
            </w:r>
          </w:p>
        </w:tc>
        <w:tc>
          <w:tcPr>
            <w:tcW w:w="12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007776D" w14:textId="4F958C30" w:rsidR="00EB245A" w:rsidRDefault="006021EE" w:rsidP="009A3AB9">
            <w:pPr>
              <w:pStyle w:val="P68B1DB1-Normal46"/>
              <w:spacing w:line="259" w:lineRule="auto"/>
              <w:ind w:left="74"/>
              <w:jc w:val="center"/>
              <w:rPr>
                <w:rFonts w:cs="Times New Roman"/>
                <w:noProof/>
              </w:rPr>
            </w:pPr>
            <w:r>
              <w:rPr>
                <w:noProof/>
              </w:rPr>
              <w:t>Ziel</w:t>
            </w:r>
          </w:p>
        </w:tc>
        <w:tc>
          <w:tcPr>
            <w:tcW w:w="33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97D6411" w14:textId="0ECD87CC" w:rsidR="00EB245A" w:rsidRDefault="006021EE">
            <w:pPr>
              <w:pStyle w:val="P68B1DB1-Normal46"/>
              <w:spacing w:line="259" w:lineRule="auto"/>
              <w:rPr>
                <w:rFonts w:cs="Times New Roman"/>
                <w:noProof/>
              </w:rPr>
            </w:pPr>
            <w:r>
              <w:rPr>
                <w:noProof/>
              </w:rPr>
              <w:t xml:space="preserve">Fertigstellung des Baus von Umgehungsstraßen und Beseitigung von Schwarz-/Hotspots für die Straßenverkehrssicherheit </w:t>
            </w:r>
          </w:p>
        </w:tc>
      </w:tr>
      <w:tr w:rsidR="00EB245A" w14:paraId="4ED3AC3A" w14:textId="77777777">
        <w:trPr>
          <w:trHeight w:val="1277"/>
        </w:trPr>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F6F5DF2" w14:textId="29830783" w:rsidR="00EB245A" w:rsidRDefault="006021EE">
            <w:pPr>
              <w:pStyle w:val="P68B1DB1-Normal46"/>
              <w:spacing w:line="259" w:lineRule="auto"/>
              <w:ind w:right="53"/>
              <w:jc w:val="center"/>
              <w:rPr>
                <w:rFonts w:eastAsia="Times New Roman" w:cs="Times New Roman"/>
                <w:b/>
                <w:noProof/>
              </w:rPr>
            </w:pPr>
            <w:r>
              <w:rPr>
                <w:noProof/>
              </w:rPr>
              <w:t xml:space="preserve">F3G </w:t>
            </w:r>
          </w:p>
        </w:tc>
        <w:tc>
          <w:tcPr>
            <w:tcW w:w="31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E73DD77" w14:textId="22C3E949" w:rsidR="00EB245A" w:rsidRDefault="006021EE">
            <w:pPr>
              <w:pStyle w:val="P68B1DB1-Normal46"/>
              <w:spacing w:after="1" w:line="238" w:lineRule="auto"/>
              <w:rPr>
                <w:rFonts w:eastAsia="Times New Roman" w:cs="Times New Roman"/>
                <w:b/>
                <w:noProof/>
              </w:rPr>
            </w:pPr>
            <w:r>
              <w:rPr>
                <w:noProof/>
              </w:rPr>
              <w:t>F2.1 Abhilfemaßnahmen für Richter, die von den Entscheidungen der Disziplinarka</w:t>
            </w:r>
            <w:r>
              <w:rPr>
                <w:noProof/>
              </w:rPr>
              <w:t xml:space="preserve">mmer in Disziplinarsachen und Verfahren der richterlichen Immunität betroffen sind </w:t>
            </w:r>
          </w:p>
        </w:tc>
        <w:tc>
          <w:tcPr>
            <w:tcW w:w="12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E03DBD3" w14:textId="372FFBFF" w:rsidR="00EB245A" w:rsidRDefault="006021EE" w:rsidP="009A3AB9">
            <w:pPr>
              <w:pStyle w:val="P68B1DB1-Normal46"/>
              <w:spacing w:line="259" w:lineRule="auto"/>
              <w:ind w:left="74"/>
              <w:jc w:val="center"/>
              <w:rPr>
                <w:rFonts w:eastAsia="Times New Roman" w:cs="Times New Roman"/>
                <w:b/>
                <w:noProof/>
              </w:rPr>
            </w:pPr>
            <w:r>
              <w:rPr>
                <w:noProof/>
              </w:rPr>
              <w:t>Meilenstein</w:t>
            </w:r>
          </w:p>
        </w:tc>
        <w:tc>
          <w:tcPr>
            <w:tcW w:w="33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514ECF7" w14:textId="3B8FE7C6" w:rsidR="00EB245A" w:rsidRDefault="006021EE">
            <w:pPr>
              <w:pStyle w:val="P68B1DB1-Normal46"/>
              <w:spacing w:line="259" w:lineRule="auto"/>
              <w:rPr>
                <w:rFonts w:eastAsia="Times New Roman" w:cs="Times New Roman"/>
                <w:b/>
                <w:noProof/>
              </w:rPr>
            </w:pPr>
            <w:r>
              <w:rPr>
                <w:noProof/>
              </w:rPr>
              <w:t>Reform zur Verbesserung der Situation von Richtern, die von den Entscheidungen der Disziplinarkammer des Obersten Gerichts in Disziplinarsachen und Verfahren de</w:t>
            </w:r>
            <w:r>
              <w:rPr>
                <w:noProof/>
              </w:rPr>
              <w:t xml:space="preserve">r richterlichen Immunität betroffen sind </w:t>
            </w:r>
          </w:p>
        </w:tc>
      </w:tr>
      <w:tr w:rsidR="00EB245A" w14:paraId="5E3E0E9D" w14:textId="77777777">
        <w:trPr>
          <w:trHeight w:val="1277"/>
        </w:trPr>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82EE357" w14:textId="0DC3748E" w:rsidR="00EB245A" w:rsidRDefault="006021EE">
            <w:pPr>
              <w:pStyle w:val="P68B1DB1-Normal46"/>
              <w:spacing w:line="259" w:lineRule="auto"/>
              <w:ind w:right="53"/>
              <w:jc w:val="center"/>
              <w:rPr>
                <w:rFonts w:cs="Times New Roman"/>
                <w:noProof/>
              </w:rPr>
            </w:pPr>
            <w:r>
              <w:rPr>
                <w:noProof/>
              </w:rPr>
              <w:t xml:space="preserve">G2G </w:t>
            </w:r>
          </w:p>
        </w:tc>
        <w:tc>
          <w:tcPr>
            <w:tcW w:w="31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E5B250F" w14:textId="7B10A60E" w:rsidR="00EB245A" w:rsidRDefault="006021EE">
            <w:pPr>
              <w:pStyle w:val="P68B1DB1-Normal46"/>
              <w:spacing w:after="4" w:line="238" w:lineRule="auto"/>
              <w:ind w:left="1"/>
              <w:rPr>
                <w:rFonts w:cs="Times New Roman"/>
                <w:noProof/>
              </w:rPr>
            </w:pPr>
            <w:r>
              <w:rPr>
                <w:noProof/>
              </w:rPr>
              <w:t xml:space="preserve">G1.1.2 Anlagen zur Nutzung erneuerbarer Energiequellen durch Energiegemeinschaften </w:t>
            </w:r>
          </w:p>
          <w:p w14:paraId="39D47040" w14:textId="29A97024" w:rsidR="00EB245A" w:rsidRDefault="006021EE">
            <w:pPr>
              <w:pStyle w:val="P68B1DB1-Normal46"/>
              <w:spacing w:after="1" w:line="238" w:lineRule="auto"/>
              <w:rPr>
                <w:rFonts w:cs="Times New Roman"/>
                <w:noProof/>
              </w:rPr>
            </w:pPr>
            <w:r>
              <w:rPr>
                <w:noProof/>
              </w:rPr>
              <w:t xml:space="preserve"> </w:t>
            </w:r>
          </w:p>
        </w:tc>
        <w:tc>
          <w:tcPr>
            <w:tcW w:w="12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5E3139B" w14:textId="79CC7CB7" w:rsidR="00EB245A" w:rsidRDefault="006021EE" w:rsidP="009A3AB9">
            <w:pPr>
              <w:pStyle w:val="P68B1DB1-Normal46"/>
              <w:spacing w:line="259" w:lineRule="auto"/>
              <w:ind w:left="74"/>
              <w:jc w:val="center"/>
              <w:rPr>
                <w:rFonts w:cs="Times New Roman"/>
                <w:noProof/>
              </w:rPr>
            </w:pPr>
            <w:r>
              <w:rPr>
                <w:noProof/>
              </w:rPr>
              <w:t>Meilenstein</w:t>
            </w:r>
          </w:p>
        </w:tc>
        <w:tc>
          <w:tcPr>
            <w:tcW w:w="33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373D84F" w14:textId="00426723" w:rsidR="00EB245A" w:rsidRDefault="006021EE">
            <w:pPr>
              <w:pStyle w:val="P68B1DB1-Normal46"/>
              <w:spacing w:line="259" w:lineRule="auto"/>
              <w:rPr>
                <w:rFonts w:cs="Times New Roman"/>
                <w:noProof/>
              </w:rPr>
            </w:pPr>
            <w:r>
              <w:rPr>
                <w:noProof/>
              </w:rPr>
              <w:t xml:space="preserve">Aufforderung zur Einreichung von Vorschlägen für das Investitionsförderungsprogramm </w:t>
            </w:r>
          </w:p>
        </w:tc>
      </w:tr>
      <w:tr w:rsidR="00EB245A" w14:paraId="0DE9D068" w14:textId="77777777">
        <w:trPr>
          <w:trHeight w:val="1277"/>
        </w:trPr>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A6525D0" w14:textId="5DECEDC9" w:rsidR="00EB245A" w:rsidRDefault="006021EE">
            <w:pPr>
              <w:pStyle w:val="P68B1DB1-Normal46"/>
              <w:spacing w:line="259" w:lineRule="auto"/>
              <w:ind w:right="53"/>
              <w:jc w:val="center"/>
              <w:rPr>
                <w:rFonts w:cs="Times New Roman"/>
                <w:noProof/>
              </w:rPr>
            </w:pPr>
            <w:r>
              <w:rPr>
                <w:noProof/>
              </w:rPr>
              <w:t xml:space="preserve">G13G </w:t>
            </w:r>
          </w:p>
        </w:tc>
        <w:tc>
          <w:tcPr>
            <w:tcW w:w="31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56892DF" w14:textId="48BF6172" w:rsidR="00EB245A" w:rsidRDefault="006021EE">
            <w:pPr>
              <w:pStyle w:val="P68B1DB1-Normal46"/>
              <w:spacing w:after="4" w:line="238" w:lineRule="auto"/>
              <w:ind w:left="1"/>
              <w:rPr>
                <w:rFonts w:cs="Times New Roman"/>
                <w:noProof/>
              </w:rPr>
            </w:pPr>
            <w:r>
              <w:rPr>
                <w:noProof/>
              </w:rPr>
              <w:t xml:space="preserve">G1.2.2 Beseitigung von Hindernissen für die Integration erneuerbarer Energiequellen in die Stromnetze </w:t>
            </w:r>
          </w:p>
        </w:tc>
        <w:tc>
          <w:tcPr>
            <w:tcW w:w="12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7D76DF2" w14:textId="34D967E6" w:rsidR="00EB245A" w:rsidRDefault="006021EE" w:rsidP="009A3AB9">
            <w:pPr>
              <w:pStyle w:val="P68B1DB1-Normal46"/>
              <w:spacing w:line="259" w:lineRule="auto"/>
              <w:ind w:left="74"/>
              <w:jc w:val="center"/>
              <w:rPr>
                <w:rFonts w:cs="Times New Roman"/>
                <w:noProof/>
              </w:rPr>
            </w:pPr>
            <w:r>
              <w:rPr>
                <w:noProof/>
              </w:rPr>
              <w:t>Meilenstein</w:t>
            </w:r>
          </w:p>
        </w:tc>
        <w:tc>
          <w:tcPr>
            <w:tcW w:w="33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EA1BD59" w14:textId="669CE172" w:rsidR="00EB245A" w:rsidRDefault="006021EE">
            <w:pPr>
              <w:pStyle w:val="P68B1DB1-Normal46"/>
              <w:spacing w:line="259" w:lineRule="auto"/>
              <w:rPr>
                <w:rFonts w:cs="Times New Roman"/>
                <w:noProof/>
              </w:rPr>
            </w:pPr>
            <w:r>
              <w:rPr>
                <w:noProof/>
              </w:rPr>
              <w:t xml:space="preserve">Inkrafttreten des Rechtsrahmens, der Kabelbündelung ermöglicht </w:t>
            </w:r>
          </w:p>
        </w:tc>
      </w:tr>
      <w:tr w:rsidR="00EB245A" w14:paraId="489B4617" w14:textId="77777777">
        <w:trPr>
          <w:trHeight w:val="1277"/>
        </w:trPr>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0AF0BAF" w14:textId="07DCAB96" w:rsidR="00EB245A" w:rsidRDefault="006021EE">
            <w:pPr>
              <w:pStyle w:val="P68B1DB1-Normal46"/>
              <w:spacing w:line="259" w:lineRule="auto"/>
              <w:ind w:right="53"/>
              <w:jc w:val="center"/>
              <w:rPr>
                <w:rFonts w:cs="Times New Roman"/>
                <w:noProof/>
              </w:rPr>
            </w:pPr>
            <w:r>
              <w:rPr>
                <w:noProof/>
              </w:rPr>
              <w:t xml:space="preserve"> </w:t>
            </w:r>
          </w:p>
        </w:tc>
        <w:tc>
          <w:tcPr>
            <w:tcW w:w="31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66033E9" w14:textId="37AF5B0E" w:rsidR="00EB245A" w:rsidRDefault="006021EE">
            <w:pPr>
              <w:pStyle w:val="P68B1DB1-Normal46"/>
              <w:spacing w:after="4" w:line="238" w:lineRule="auto"/>
              <w:ind w:left="1"/>
              <w:rPr>
                <w:rFonts w:cs="Times New Roman"/>
                <w:noProof/>
              </w:rPr>
            </w:pPr>
            <w:r>
              <w:rPr>
                <w:noProof/>
              </w:rPr>
              <w:t xml:space="preserve"> </w:t>
            </w:r>
          </w:p>
        </w:tc>
        <w:tc>
          <w:tcPr>
            <w:tcW w:w="12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3B42486" w14:textId="5D44FF73" w:rsidR="00EB245A" w:rsidRDefault="006021EE">
            <w:pPr>
              <w:pStyle w:val="P68B1DB1-Normal46"/>
              <w:spacing w:after="200" w:line="259" w:lineRule="auto"/>
              <w:ind w:left="74"/>
              <w:rPr>
                <w:rFonts w:cs="Times New Roman"/>
                <w:noProof/>
              </w:rPr>
            </w:pPr>
            <w:r>
              <w:rPr>
                <w:noProof/>
              </w:rPr>
              <w:t xml:space="preserve">Ratenzahlungsbetrag </w:t>
            </w:r>
          </w:p>
        </w:tc>
        <w:tc>
          <w:tcPr>
            <w:tcW w:w="33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0E9E8F8" w14:textId="256356C7" w:rsidR="00EB245A" w:rsidRDefault="006021EE">
            <w:pPr>
              <w:pStyle w:val="P68B1DB1-Normal46"/>
              <w:spacing w:after="200" w:line="259" w:lineRule="auto"/>
              <w:ind w:left="74"/>
              <w:rPr>
                <w:rFonts w:cs="Times New Roman"/>
                <w:noProof/>
              </w:rPr>
            </w:pPr>
            <w:r>
              <w:rPr>
                <w:noProof/>
              </w:rPr>
              <w:t>1 966 143 053 EUR</w:t>
            </w:r>
          </w:p>
        </w:tc>
      </w:tr>
    </w:tbl>
    <w:p w14:paraId="3C74E3CB" w14:textId="77777777" w:rsidR="00EB245A" w:rsidRDefault="00EB245A">
      <w:pPr>
        <w:spacing w:after="0" w:line="259" w:lineRule="auto"/>
        <w:ind w:left="-1133" w:right="10775"/>
        <w:rPr>
          <w:rFonts w:ascii="Times New Roman" w:hAnsi="Times New Roman" w:cs="Times New Roman"/>
          <w:noProof/>
        </w:rPr>
      </w:pPr>
    </w:p>
    <w:p w14:paraId="1A675D41" w14:textId="1E760030" w:rsidR="00EB245A" w:rsidRDefault="006021EE">
      <w:pPr>
        <w:pStyle w:val="P68B1DB1-Normal46"/>
        <w:spacing w:after="98" w:line="259" w:lineRule="auto"/>
        <w:rPr>
          <w:rFonts w:cs="Times New Roman"/>
          <w:noProof/>
        </w:rPr>
      </w:pPr>
      <w:r>
        <w:rPr>
          <w:noProof/>
        </w:rPr>
        <w:t xml:space="preserve"> </w:t>
      </w:r>
    </w:p>
    <w:p w14:paraId="2FF1E703" w14:textId="77777777" w:rsidR="00EB245A" w:rsidRDefault="006021EE">
      <w:pPr>
        <w:rPr>
          <w:rFonts w:ascii="Times New Roman" w:hAnsi="Times New Roman" w:cs="Times New Roman"/>
          <w:noProof/>
        </w:rPr>
      </w:pPr>
      <w:r>
        <w:rPr>
          <w:noProof/>
        </w:rPr>
        <w:br w:type="page"/>
      </w:r>
    </w:p>
    <w:p w14:paraId="0A714A94" w14:textId="77777777" w:rsidR="00EB245A" w:rsidRDefault="006021EE">
      <w:pPr>
        <w:pStyle w:val="P68B1DB1-Normal46"/>
        <w:spacing w:after="3" w:line="259" w:lineRule="auto"/>
        <w:ind w:left="-5"/>
        <w:rPr>
          <w:rFonts w:cs="Times New Roman"/>
          <w:noProof/>
        </w:rPr>
      </w:pPr>
      <w:r>
        <w:rPr>
          <w:noProof/>
        </w:rPr>
        <w:t xml:space="preserve">2.1.5 Fünfte Tranche (nicht rückzahlbare Unterstützung): </w:t>
      </w:r>
    </w:p>
    <w:tbl>
      <w:tblPr>
        <w:tblStyle w:val="TableGrid0"/>
        <w:tblW w:w="10481" w:type="dxa"/>
        <w:tblInd w:w="10" w:type="dxa"/>
        <w:tblCellMar>
          <w:top w:w="53" w:type="dxa"/>
          <w:left w:w="107" w:type="dxa"/>
          <w:right w:w="77" w:type="dxa"/>
        </w:tblCellMar>
        <w:tblLook w:val="04A0" w:firstRow="1" w:lastRow="0" w:firstColumn="1" w:lastColumn="0" w:noHBand="0" w:noVBand="1"/>
      </w:tblPr>
      <w:tblGrid>
        <w:gridCol w:w="1261"/>
        <w:gridCol w:w="3518"/>
        <w:gridCol w:w="2177"/>
        <w:gridCol w:w="3525"/>
      </w:tblGrid>
      <w:tr w:rsidR="00EB245A" w14:paraId="395B1FB7" w14:textId="77777777">
        <w:trPr>
          <w:trHeight w:val="719"/>
          <w:tblHeader/>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3746B994" w14:textId="77777777" w:rsidR="00EB245A" w:rsidRDefault="006021EE">
            <w:pPr>
              <w:pStyle w:val="P68B1DB1-Normal46"/>
              <w:spacing w:line="259" w:lineRule="auto"/>
              <w:jc w:val="center"/>
              <w:rPr>
                <w:rFonts w:cs="Times New Roman"/>
                <w:noProof/>
              </w:rPr>
            </w:pPr>
            <w:r>
              <w:rPr>
                <w:b/>
                <w:noProof/>
              </w:rPr>
              <w:t>Laufende Nummer</w:t>
            </w:r>
            <w:r>
              <w:rPr>
                <w:noProof/>
              </w:rPr>
              <w:t xml:space="preserve">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2F4A23E1" w14:textId="77777777" w:rsidR="00EB245A" w:rsidRDefault="006021EE">
            <w:pPr>
              <w:pStyle w:val="P68B1DB1-Normal46"/>
              <w:spacing w:line="259" w:lineRule="auto"/>
              <w:jc w:val="center"/>
              <w:rPr>
                <w:rFonts w:cs="Times New Roman"/>
                <w:noProof/>
              </w:rPr>
            </w:pPr>
            <w:r>
              <w:rPr>
                <w:b/>
                <w:noProof/>
              </w:rPr>
              <w:t>Verbundene Maßnahme (Reform oder Investition)</w:t>
            </w:r>
            <w:r>
              <w:rPr>
                <w:noProof/>
              </w:rPr>
              <w:t xml:space="preserv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4A4F42A8" w14:textId="77777777" w:rsidR="00EB245A" w:rsidRDefault="006021EE">
            <w:pPr>
              <w:pStyle w:val="P68B1DB1-Normal46"/>
              <w:spacing w:line="259" w:lineRule="auto"/>
              <w:ind w:left="25"/>
              <w:jc w:val="center"/>
              <w:rPr>
                <w:rFonts w:cs="Times New Roman"/>
                <w:noProof/>
              </w:rPr>
            </w:pPr>
            <w:r>
              <w:rPr>
                <w:b/>
                <w:noProof/>
              </w:rPr>
              <w:t>Etappenziel/Zielwert</w:t>
            </w:r>
            <w:r>
              <w:rPr>
                <w:noProof/>
              </w:rPr>
              <w:t xml:space="preserve">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5DBD11A7" w14:textId="77777777" w:rsidR="00EB245A" w:rsidRDefault="006021EE">
            <w:pPr>
              <w:pStyle w:val="P68B1DB1-Normal46"/>
              <w:spacing w:line="259" w:lineRule="auto"/>
              <w:ind w:right="8"/>
              <w:jc w:val="center"/>
              <w:rPr>
                <w:rFonts w:cs="Times New Roman"/>
                <w:noProof/>
              </w:rPr>
            </w:pPr>
            <w:r>
              <w:rPr>
                <w:b/>
                <w:noProof/>
              </w:rPr>
              <w:t>Namen</w:t>
            </w:r>
            <w:r>
              <w:rPr>
                <w:noProof/>
              </w:rPr>
              <w:t xml:space="preserve"> </w:t>
            </w:r>
          </w:p>
        </w:tc>
      </w:tr>
      <w:tr w:rsidR="00EB245A" w14:paraId="3E0070C6" w14:textId="77777777">
        <w:trPr>
          <w:trHeight w:val="973"/>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7DC8678" w14:textId="77777777" w:rsidR="00EB245A" w:rsidRDefault="006021EE">
            <w:pPr>
              <w:pStyle w:val="P68B1DB1-Normal46"/>
              <w:spacing w:line="259" w:lineRule="auto"/>
              <w:ind w:right="8"/>
              <w:jc w:val="center"/>
              <w:rPr>
                <w:rFonts w:cs="Times New Roman"/>
                <w:noProof/>
              </w:rPr>
            </w:pPr>
            <w:r>
              <w:rPr>
                <w:noProof/>
              </w:rPr>
              <w:t xml:space="preserve">A14G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21FA560" w14:textId="77777777" w:rsidR="00EB245A" w:rsidRDefault="006021EE">
            <w:pPr>
              <w:pStyle w:val="P68B1DB1-Normal46"/>
              <w:spacing w:line="259" w:lineRule="auto"/>
              <w:rPr>
                <w:rFonts w:cs="Times New Roman"/>
                <w:noProof/>
              </w:rPr>
            </w:pPr>
            <w:r>
              <w:rPr>
                <w:noProof/>
              </w:rPr>
              <w:t xml:space="preserve">A1.3.1 Umsetzung der Reform der Flächennutzungsplanung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3183069" w14:textId="77777777" w:rsidR="00EB245A" w:rsidRDefault="006021EE">
            <w:pPr>
              <w:pStyle w:val="P68B1DB1-Normal46"/>
              <w:spacing w:line="259" w:lineRule="auto"/>
              <w:ind w:right="8"/>
              <w:jc w:val="center"/>
              <w:rPr>
                <w:rFonts w:cs="Times New Roman"/>
                <w:noProof/>
              </w:rPr>
            </w:pPr>
            <w:r>
              <w:rPr>
                <w:noProof/>
              </w:rPr>
              <w:t xml:space="preserve">Ziel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2061280" w14:textId="77777777" w:rsidR="00EB245A" w:rsidRDefault="006021EE">
            <w:pPr>
              <w:pStyle w:val="P68B1DB1-Normal46"/>
              <w:spacing w:line="259" w:lineRule="auto"/>
              <w:rPr>
                <w:rFonts w:cs="Times New Roman"/>
                <w:noProof/>
              </w:rPr>
            </w:pPr>
            <w:r>
              <w:rPr>
                <w:noProof/>
              </w:rPr>
              <w:t xml:space="preserve">Mitarbeiter der lokalen Gebietskörperschaften und Raumordnungsbehörden, die einen Kurs zum neuen Raumordnungsgesetz absolviert haben </w:t>
            </w:r>
          </w:p>
        </w:tc>
      </w:tr>
      <w:tr w:rsidR="00EB245A" w14:paraId="7F0C6BDC" w14:textId="77777777">
        <w:trPr>
          <w:trHeight w:val="1228"/>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1F31F38" w14:textId="77777777" w:rsidR="00EB245A" w:rsidRDefault="006021EE">
            <w:pPr>
              <w:pStyle w:val="P68B1DB1-Normal46"/>
              <w:spacing w:line="259" w:lineRule="auto"/>
              <w:ind w:right="8"/>
              <w:jc w:val="center"/>
              <w:rPr>
                <w:rFonts w:cs="Times New Roman"/>
                <w:noProof/>
              </w:rPr>
            </w:pPr>
            <w:r>
              <w:rPr>
                <w:noProof/>
              </w:rPr>
              <w:t xml:space="preserve">A30G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701762B" w14:textId="77777777" w:rsidR="00EB245A" w:rsidRDefault="006021EE">
            <w:pPr>
              <w:pStyle w:val="P68B1DB1-Normal46"/>
              <w:spacing w:line="259" w:lineRule="auto"/>
              <w:rPr>
                <w:rFonts w:cs="Times New Roman"/>
                <w:noProof/>
              </w:rPr>
            </w:pPr>
            <w:r>
              <w:rPr>
                <w:noProof/>
              </w:rPr>
              <w:t xml:space="preserve">A2.2 Schaffung der Voraussetzungen für den Übergang zu einem Kreislaufwirtschaftsmodell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E1F2CC1" w14:textId="1373C04B" w:rsidR="00EB245A" w:rsidRDefault="006021EE" w:rsidP="009A3AB9">
            <w:pPr>
              <w:pStyle w:val="P68B1DB1-Normal46"/>
              <w:spacing w:line="259" w:lineRule="auto"/>
              <w:ind w:left="74"/>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D04DFD9" w14:textId="77777777" w:rsidR="00EB245A" w:rsidRDefault="006021EE">
            <w:pPr>
              <w:pStyle w:val="P68B1DB1-Normal46"/>
              <w:spacing w:line="259" w:lineRule="auto"/>
              <w:rPr>
                <w:rFonts w:cs="Times New Roman"/>
                <w:noProof/>
              </w:rPr>
            </w:pPr>
            <w:r>
              <w:rPr>
                <w:noProof/>
              </w:rPr>
              <w:t xml:space="preserve">Inkrafttreten neuer Rechtsvorschriften zur Änderung des Rechtsrahmens, um den Handel mit Sekundärrohstoffen zu ermöglichen    </w:t>
            </w:r>
          </w:p>
        </w:tc>
      </w:tr>
      <w:tr w:rsidR="00EB245A" w14:paraId="1F60DCEC" w14:textId="77777777">
        <w:trPr>
          <w:trHeight w:val="1480"/>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A92C392" w14:textId="77777777" w:rsidR="00EB245A" w:rsidRDefault="006021EE">
            <w:pPr>
              <w:pStyle w:val="P68B1DB1-Normal46"/>
              <w:spacing w:line="259" w:lineRule="auto"/>
              <w:ind w:right="8"/>
              <w:jc w:val="center"/>
              <w:rPr>
                <w:rFonts w:cs="Times New Roman"/>
                <w:noProof/>
              </w:rPr>
            </w:pPr>
            <w:r>
              <w:rPr>
                <w:noProof/>
              </w:rPr>
              <w:t xml:space="preserve">A44G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B657A34" w14:textId="77777777" w:rsidR="00EB245A" w:rsidRDefault="006021EE">
            <w:pPr>
              <w:pStyle w:val="P68B1DB1-Normal46"/>
              <w:spacing w:line="259" w:lineRule="auto"/>
              <w:rPr>
                <w:rFonts w:cs="Times New Roman"/>
                <w:noProof/>
              </w:rPr>
            </w:pPr>
            <w:r>
              <w:rPr>
                <w:noProof/>
              </w:rPr>
              <w:t xml:space="preserve">A3.1.1 Investitionen in moderne Berufsbildung, Hochschulbildung und lebenslanges Lernen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F0DDF47" w14:textId="77777777" w:rsidR="00EB245A" w:rsidRDefault="006021EE">
            <w:pPr>
              <w:pStyle w:val="P68B1DB1-Normal46"/>
              <w:spacing w:line="259" w:lineRule="auto"/>
              <w:ind w:right="8"/>
              <w:jc w:val="center"/>
              <w:rPr>
                <w:rFonts w:cs="Times New Roman"/>
                <w:noProof/>
              </w:rPr>
            </w:pPr>
            <w:r>
              <w:rPr>
                <w:noProof/>
              </w:rPr>
              <w:t xml:space="preserve">Ziel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23B7E15" w14:textId="77777777" w:rsidR="00EB245A" w:rsidRDefault="006021EE">
            <w:pPr>
              <w:pStyle w:val="P68B1DB1-Normal46"/>
              <w:spacing w:line="259" w:lineRule="auto"/>
              <w:rPr>
                <w:rFonts w:cs="Times New Roman"/>
                <w:noProof/>
              </w:rPr>
            </w:pPr>
            <w:r>
              <w:rPr>
                <w:noProof/>
              </w:rPr>
              <w:t xml:space="preserve">T1 – Einrichtung eines Netzes funktionierender branchenspezifischer Kompetenzzentren für gezielte Weiterqualifizierung und Umschulung, die für den Arbeitsmarktbedarf von großer Bedeutung sind </w:t>
            </w:r>
          </w:p>
        </w:tc>
      </w:tr>
      <w:tr w:rsidR="00EB245A" w14:paraId="459978B3" w14:textId="77777777">
        <w:trPr>
          <w:trHeight w:val="1733"/>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02BE9A8" w14:textId="6BB999B2" w:rsidR="00EB245A" w:rsidRDefault="006021EE">
            <w:pPr>
              <w:pStyle w:val="P68B1DB1-Normal46"/>
              <w:spacing w:line="259" w:lineRule="auto"/>
              <w:ind w:right="8"/>
              <w:jc w:val="center"/>
              <w:rPr>
                <w:rFonts w:cs="Times New Roman"/>
                <w:noProof/>
              </w:rPr>
            </w:pPr>
            <w:r>
              <w:rPr>
                <w:noProof/>
              </w:rPr>
              <w:t xml:space="preserve">A51G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FAF9924" w14:textId="4A4A4191" w:rsidR="00EB245A" w:rsidRDefault="006021EE">
            <w:pPr>
              <w:pStyle w:val="P68B1DB1-Normal46"/>
              <w:spacing w:line="259" w:lineRule="auto"/>
              <w:rPr>
                <w:rFonts w:cs="Times New Roman"/>
                <w:noProof/>
              </w:rPr>
            </w:pPr>
            <w:r>
              <w:rPr>
                <w:noProof/>
              </w:rPr>
              <w:t xml:space="preserve">A4.1 Wirksame Arbeitsmarktinstitutionen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E92D305" w14:textId="77E28623" w:rsidR="00EB245A" w:rsidRDefault="006021EE" w:rsidP="009A3AB9">
            <w:pPr>
              <w:pStyle w:val="P68B1DB1-Normal46"/>
              <w:spacing w:line="259" w:lineRule="auto"/>
              <w:ind w:left="74"/>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E4E627D" w14:textId="77777777" w:rsidR="00EB245A" w:rsidRDefault="006021EE">
            <w:pPr>
              <w:pStyle w:val="P68B1DB1-Normal46"/>
              <w:spacing w:after="198" w:line="238" w:lineRule="auto"/>
              <w:rPr>
                <w:rFonts w:cs="Times New Roman"/>
                <w:noProof/>
              </w:rPr>
            </w:pPr>
            <w:r>
              <w:rPr>
                <w:noProof/>
              </w:rPr>
              <w:t xml:space="preserve">Inkrafttreten neuer Gesetze über die öffentlichen Arbeitsverwaltungen, die Beschäftigung von Drittstaatsangehörigen und den elektronischen Abschluss bestimmter Arbeitsverträge: </w:t>
            </w:r>
          </w:p>
          <w:p w14:paraId="60251E04" w14:textId="77777777" w:rsidR="00EB245A" w:rsidRDefault="006021EE">
            <w:pPr>
              <w:pStyle w:val="P68B1DB1-Normal46"/>
              <w:numPr>
                <w:ilvl w:val="0"/>
                <w:numId w:val="218"/>
              </w:numPr>
              <w:spacing w:after="198" w:line="238" w:lineRule="auto"/>
              <w:rPr>
                <w:rFonts w:cs="Times New Roman"/>
                <w:noProof/>
              </w:rPr>
            </w:pPr>
            <w:r>
              <w:rPr>
                <w:noProof/>
              </w:rPr>
              <w:t>Änderungen der öffentlichen Arbeitsverwaltungen und einer aktiven Arbeitsmarkt</w:t>
            </w:r>
            <w:r>
              <w:rPr>
                <w:noProof/>
              </w:rPr>
              <w:t xml:space="preserve">politik zur Erhöhung der Erwerbsbeteiligung </w:t>
            </w:r>
          </w:p>
          <w:p w14:paraId="0AFD59AC" w14:textId="77777777" w:rsidR="00EB245A" w:rsidRDefault="006021EE">
            <w:pPr>
              <w:pStyle w:val="P68B1DB1-Normal46"/>
              <w:numPr>
                <w:ilvl w:val="0"/>
                <w:numId w:val="218"/>
              </w:numPr>
              <w:spacing w:after="197" w:line="239" w:lineRule="auto"/>
              <w:rPr>
                <w:rFonts w:cs="Times New Roman"/>
                <w:noProof/>
              </w:rPr>
            </w:pPr>
            <w:r>
              <w:rPr>
                <w:noProof/>
              </w:rPr>
              <w:t xml:space="preserve">Abbau der administrativen Hindernisse für die Beschäftigung von Ausländern </w:t>
            </w:r>
          </w:p>
          <w:p w14:paraId="01B63199" w14:textId="3465C346" w:rsidR="00EB245A" w:rsidRDefault="006021EE">
            <w:pPr>
              <w:pStyle w:val="P68B1DB1-Normal46"/>
              <w:numPr>
                <w:ilvl w:val="0"/>
                <w:numId w:val="218"/>
              </w:numPr>
              <w:spacing w:after="197" w:line="239" w:lineRule="auto"/>
              <w:rPr>
                <w:rFonts w:cs="Times New Roman"/>
                <w:noProof/>
              </w:rPr>
            </w:pPr>
            <w:r>
              <w:rPr>
                <w:noProof/>
              </w:rPr>
              <w:t xml:space="preserve">Vereinfachung des Verfahrens für den Abschluss bestimmter Verträge </w:t>
            </w:r>
          </w:p>
        </w:tc>
      </w:tr>
      <w:tr w:rsidR="00EB245A" w14:paraId="105F9779" w14:textId="77777777">
        <w:trPr>
          <w:trHeight w:val="1733"/>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8F9FB05" w14:textId="33619C64" w:rsidR="00EB245A" w:rsidRDefault="006021EE">
            <w:pPr>
              <w:pStyle w:val="P68B1DB1-Normal46"/>
              <w:spacing w:line="259" w:lineRule="auto"/>
              <w:ind w:right="8"/>
              <w:jc w:val="center"/>
              <w:rPr>
                <w:rFonts w:cs="Times New Roman"/>
                <w:noProof/>
              </w:rPr>
            </w:pPr>
            <w:r>
              <w:rPr>
                <w:noProof/>
              </w:rPr>
              <w:t xml:space="preserve">A57G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91FC2F6" w14:textId="42B96ED6" w:rsidR="00EB245A" w:rsidRDefault="006021EE">
            <w:pPr>
              <w:pStyle w:val="P68B1DB1-Normal46"/>
              <w:spacing w:line="259" w:lineRule="auto"/>
              <w:rPr>
                <w:rFonts w:cs="Times New Roman"/>
                <w:noProof/>
              </w:rPr>
            </w:pPr>
            <w:r>
              <w:rPr>
                <w:noProof/>
              </w:rPr>
              <w:t xml:space="preserve">A4.2 Reform zur Verbesserung der Arbeitsmarktsituation von Eltern durch Verbesserung des Zugangs zu hochwertiger Kinderbetreuung für Kinder bis zum Alter von drei Jahren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2873089" w14:textId="4840ECB1" w:rsidR="00EB245A" w:rsidRDefault="006021EE" w:rsidP="009A3AB9">
            <w:pPr>
              <w:pStyle w:val="P68B1DB1-Normal46"/>
              <w:spacing w:line="259" w:lineRule="auto"/>
              <w:ind w:left="74"/>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75DB116" w14:textId="29A43019" w:rsidR="00EB245A" w:rsidRDefault="006021EE">
            <w:pPr>
              <w:pStyle w:val="P68B1DB1-Normal46"/>
              <w:spacing w:line="259" w:lineRule="auto"/>
              <w:ind w:right="1"/>
              <w:rPr>
                <w:rFonts w:cs="Times New Roman"/>
                <w:noProof/>
              </w:rPr>
            </w:pPr>
            <w:r>
              <w:rPr>
                <w:noProof/>
              </w:rPr>
              <w:t xml:space="preserve">Annahme von Qualitätsstandards für Kinderbetreuung, einschließlich pädagogischer Leitlinien und Standards für Betreuungsdienste für Kinder unter drei Jahren </w:t>
            </w:r>
          </w:p>
        </w:tc>
      </w:tr>
      <w:tr w:rsidR="00EB245A" w14:paraId="2F9192C3" w14:textId="77777777">
        <w:trPr>
          <w:trHeight w:val="1733"/>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20815C9" w14:textId="77777777" w:rsidR="00EB245A" w:rsidRDefault="006021EE">
            <w:pPr>
              <w:pStyle w:val="P68B1DB1-Normal46"/>
              <w:spacing w:line="259" w:lineRule="auto"/>
              <w:ind w:right="8"/>
              <w:jc w:val="center"/>
              <w:rPr>
                <w:rFonts w:cs="Times New Roman"/>
                <w:noProof/>
              </w:rPr>
            </w:pPr>
            <w:r>
              <w:rPr>
                <w:noProof/>
              </w:rPr>
              <w:t xml:space="preserve">A58G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B38A7DE" w14:textId="77777777" w:rsidR="00EB245A" w:rsidRDefault="006021EE">
            <w:pPr>
              <w:pStyle w:val="P68B1DB1-Normal46"/>
              <w:spacing w:line="259" w:lineRule="auto"/>
              <w:rPr>
                <w:rFonts w:cs="Times New Roman"/>
                <w:noProof/>
              </w:rPr>
            </w:pPr>
            <w:r>
              <w:rPr>
                <w:noProof/>
              </w:rPr>
              <w:t>A4.2 Reform zur Verbesserung der Arbeitsmarktsituation von Eltern durch Verbesserung des Zu</w:t>
            </w:r>
            <w:r>
              <w:rPr>
                <w:noProof/>
              </w:rPr>
              <w:t xml:space="preserve">gangs zu hochwertiger Kinderbetreuung für Kinder bis zum Alter von drei Jahren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78CE668" w14:textId="7DC5256D" w:rsidR="00EB245A" w:rsidRDefault="006021EE" w:rsidP="009A3AB9">
            <w:pPr>
              <w:pStyle w:val="P68B1DB1-Normal46"/>
              <w:spacing w:line="259" w:lineRule="auto"/>
              <w:ind w:left="74"/>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370203C" w14:textId="77777777" w:rsidR="00EB245A" w:rsidRDefault="006021EE">
            <w:pPr>
              <w:pStyle w:val="P68B1DB1-Normal46"/>
              <w:spacing w:line="259" w:lineRule="auto"/>
              <w:ind w:right="1"/>
              <w:rPr>
                <w:rFonts w:cs="Times New Roman"/>
                <w:noProof/>
              </w:rPr>
            </w:pPr>
            <w:r>
              <w:rPr>
                <w:noProof/>
              </w:rPr>
              <w:t>Inkrafttreten eines Gesetzes zur Änderung des Gesetzes über die Betreuung von Kindern bis zu drei Jahren zur Gewährleistung einer stabilen langfristigen Finanzierun</w:t>
            </w:r>
            <w:r>
              <w:rPr>
                <w:noProof/>
              </w:rPr>
              <w:t xml:space="preserve">g der Kinderbetreuungsdienste für Kinder bis zum Alter von drei Jahren </w:t>
            </w:r>
          </w:p>
        </w:tc>
      </w:tr>
      <w:tr w:rsidR="00EB245A" w14:paraId="4FEF8C06" w14:textId="77777777">
        <w:trPr>
          <w:trHeight w:val="721"/>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EB80B24" w14:textId="77777777" w:rsidR="00EB245A" w:rsidRDefault="006021EE">
            <w:pPr>
              <w:pStyle w:val="P68B1DB1-Normal46"/>
              <w:spacing w:line="259" w:lineRule="auto"/>
              <w:ind w:right="8"/>
              <w:jc w:val="center"/>
              <w:rPr>
                <w:rFonts w:cs="Times New Roman"/>
                <w:noProof/>
              </w:rPr>
            </w:pPr>
            <w:r>
              <w:rPr>
                <w:noProof/>
              </w:rPr>
              <w:t xml:space="preserve">B21aG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5906F24" w14:textId="77777777" w:rsidR="00EB245A" w:rsidRDefault="006021EE">
            <w:pPr>
              <w:pStyle w:val="P68B1DB1-Normal46"/>
              <w:spacing w:line="259" w:lineRule="auto"/>
              <w:rPr>
                <w:rFonts w:cs="Times New Roman"/>
                <w:noProof/>
              </w:rPr>
            </w:pPr>
            <w:r>
              <w:rPr>
                <w:noProof/>
              </w:rPr>
              <w:t xml:space="preserve">B2.1.1 Investitionen in Wasserstoff, Wasserstoffherstellung, -speicherung und -transport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104BD13" w14:textId="0F39D2B8" w:rsidR="00EB245A" w:rsidRDefault="006021EE" w:rsidP="009A3AB9">
            <w:pPr>
              <w:pStyle w:val="P68B1DB1-Normal46"/>
              <w:spacing w:line="259" w:lineRule="auto"/>
              <w:ind w:left="19"/>
              <w:jc w:val="center"/>
              <w:rPr>
                <w:rFonts w:cs="Times New Roman"/>
                <w:noProof/>
              </w:rPr>
            </w:pPr>
            <w:r>
              <w:rPr>
                <w:noProof/>
              </w:rPr>
              <w:t>Meilenstein</w:t>
            </w:r>
          </w:p>
          <w:p w14:paraId="6DD66BA0" w14:textId="77777777" w:rsidR="00EB245A" w:rsidRDefault="006021EE">
            <w:pPr>
              <w:pStyle w:val="P68B1DB1-Normal46"/>
              <w:spacing w:line="259" w:lineRule="auto"/>
              <w:ind w:left="46"/>
              <w:jc w:val="center"/>
              <w:rPr>
                <w:rFonts w:cs="Times New Roman"/>
                <w:noProof/>
              </w:rPr>
            </w:pPr>
            <w:r>
              <w:rPr>
                <w:noProof/>
              </w:rPr>
              <w:t xml:space="preserve">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5EBBE47" w14:textId="77777777" w:rsidR="00EB245A" w:rsidRDefault="006021EE">
            <w:pPr>
              <w:pStyle w:val="P68B1DB1-Normal46"/>
              <w:spacing w:line="259" w:lineRule="auto"/>
              <w:rPr>
                <w:rFonts w:cs="Times New Roman"/>
                <w:noProof/>
              </w:rPr>
            </w:pPr>
            <w:r>
              <w:rPr>
                <w:noProof/>
              </w:rPr>
              <w:t xml:space="preserve">Durchführungsvereinbarung   </w:t>
            </w:r>
          </w:p>
        </w:tc>
      </w:tr>
      <w:tr w:rsidR="00EB245A" w14:paraId="099D0F82" w14:textId="77777777">
        <w:trPr>
          <w:trHeight w:val="1277"/>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3DBA10A" w14:textId="134300F6" w:rsidR="00EB245A" w:rsidRDefault="006021EE">
            <w:pPr>
              <w:pStyle w:val="P68B1DB1-Normal46"/>
              <w:spacing w:line="259" w:lineRule="auto"/>
              <w:ind w:right="10"/>
              <w:jc w:val="center"/>
              <w:rPr>
                <w:rFonts w:cs="Times New Roman"/>
                <w:noProof/>
              </w:rPr>
            </w:pPr>
            <w:r>
              <w:rPr>
                <w:noProof/>
              </w:rPr>
              <w:t xml:space="preserve">D1G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BBDD4D4" w14:textId="0C8895F1" w:rsidR="00EB245A" w:rsidRDefault="006021EE">
            <w:pPr>
              <w:pStyle w:val="P68B1DB1-Normal46"/>
              <w:spacing w:line="259" w:lineRule="auto"/>
              <w:rPr>
                <w:rFonts w:cs="Times New Roman"/>
                <w:noProof/>
              </w:rPr>
            </w:pPr>
            <w:r>
              <w:rPr>
                <w:noProof/>
              </w:rPr>
              <w:t xml:space="preserve">D1.1 Verbesserung der Wirksamkeit, Zugänglichkeit und Qualität der Gesundheitsdienste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C9A747A" w14:textId="385583BB" w:rsidR="00EB245A" w:rsidRDefault="006021EE" w:rsidP="009A3AB9">
            <w:pPr>
              <w:pStyle w:val="P68B1DB1-Normal46"/>
              <w:spacing w:line="259" w:lineRule="auto"/>
              <w:ind w:left="74"/>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C732D49" w14:textId="0763F1C4" w:rsidR="00EB245A" w:rsidRDefault="006021EE">
            <w:pPr>
              <w:spacing w:line="259" w:lineRule="auto"/>
              <w:ind w:left="1"/>
              <w:rPr>
                <w:rFonts w:ascii="Times New Roman" w:hAnsi="Times New Roman" w:cs="Times New Roman"/>
                <w:noProof/>
              </w:rPr>
            </w:pPr>
            <w:r>
              <w:rPr>
                <w:rFonts w:ascii="Times New Roman" w:hAnsi="Times New Roman"/>
                <w:noProof/>
              </w:rPr>
              <w:t>Inkrafttreten einer Reform zur Modernisierung und Verbesserung der Effizienz von Krankenhäusern</w:t>
            </w:r>
            <w:r>
              <w:rPr>
                <w:rStyle w:val="normaltextrun"/>
                <w:rFonts w:ascii="Times New Roman" w:hAnsi="Times New Roman"/>
                <w:noProof/>
                <w:color w:val="000000" w:themeColor="text1"/>
                <w:sz w:val="18"/>
              </w:rPr>
              <w:t xml:space="preserve"> </w:t>
            </w:r>
          </w:p>
        </w:tc>
      </w:tr>
      <w:tr w:rsidR="00EB245A" w14:paraId="3CC0F198" w14:textId="77777777">
        <w:trPr>
          <w:trHeight w:val="1733"/>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E78FCAF" w14:textId="284E1DAF" w:rsidR="00EB245A" w:rsidRDefault="006021EE">
            <w:pPr>
              <w:pStyle w:val="P68B1DB1-Normal46"/>
              <w:spacing w:line="259" w:lineRule="auto"/>
              <w:ind w:right="30"/>
              <w:jc w:val="center"/>
              <w:rPr>
                <w:rFonts w:cs="Times New Roman"/>
                <w:noProof/>
              </w:rPr>
            </w:pPr>
            <w:r>
              <w:rPr>
                <w:noProof/>
              </w:rPr>
              <w:t xml:space="preserve">D5G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282A2B5" w14:textId="37CBA0A8" w:rsidR="00EB245A" w:rsidRDefault="006021EE">
            <w:pPr>
              <w:pStyle w:val="P68B1DB1-Normal46"/>
              <w:spacing w:line="259" w:lineRule="auto"/>
              <w:ind w:left="1"/>
              <w:rPr>
                <w:rFonts w:cs="Times New Roman"/>
                <w:noProof/>
              </w:rPr>
            </w:pPr>
            <w:r>
              <w:rPr>
                <w:noProof/>
              </w:rPr>
              <w:t xml:space="preserve">D1.1 Verbesserung der Wirksamkeit, Zugänglichkeit und Qualität der Gesundheitsdienste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8A8F17D" w14:textId="43AB8130" w:rsidR="00EB245A" w:rsidRDefault="006021EE" w:rsidP="009A3AB9">
            <w:pPr>
              <w:pStyle w:val="P68B1DB1-Normal46"/>
              <w:spacing w:line="259" w:lineRule="auto"/>
              <w:ind w:left="75"/>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4452C4B" w14:textId="6FE0080B" w:rsidR="00EB245A" w:rsidRDefault="006021EE">
            <w:pPr>
              <w:pStyle w:val="P68B1DB1-Normal46"/>
              <w:spacing w:line="259" w:lineRule="auto"/>
              <w:ind w:left="1"/>
              <w:rPr>
                <w:rFonts w:cs="Times New Roman"/>
                <w:noProof/>
              </w:rPr>
            </w:pPr>
            <w:r>
              <w:rPr>
                <w:noProof/>
              </w:rPr>
              <w:t xml:space="preserve">Inkrafttreten des Gesetzes über das nationale kardiologische Netz zur Festlegung der Regeln für den Betrieb des Netzes durch Einführung einer neuen Struktur und eines neuen Modells für das kardiologische Pflegemanagement </w:t>
            </w:r>
          </w:p>
        </w:tc>
      </w:tr>
      <w:tr w:rsidR="00EB245A" w14:paraId="42680A1B" w14:textId="77777777">
        <w:trPr>
          <w:trHeight w:val="1733"/>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B90ABCA" w14:textId="2473BC50" w:rsidR="00EB245A" w:rsidRDefault="006021EE">
            <w:pPr>
              <w:pStyle w:val="P68B1DB1-Normal46"/>
              <w:spacing w:line="259" w:lineRule="auto"/>
              <w:ind w:right="30"/>
              <w:jc w:val="center"/>
              <w:rPr>
                <w:rFonts w:cs="Times New Roman"/>
                <w:noProof/>
              </w:rPr>
            </w:pPr>
            <w:r>
              <w:rPr>
                <w:noProof/>
              </w:rPr>
              <w:t xml:space="preserve">D38G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71DE033" w14:textId="77777777" w:rsidR="00EB245A" w:rsidRDefault="006021EE">
            <w:pPr>
              <w:pStyle w:val="P68B1DB1-Normal46"/>
              <w:spacing w:line="259" w:lineRule="auto"/>
              <w:ind w:left="1"/>
              <w:rPr>
                <w:rFonts w:cs="Times New Roman"/>
                <w:noProof/>
              </w:rPr>
            </w:pPr>
            <w:r>
              <w:rPr>
                <w:noProof/>
              </w:rPr>
              <w:t>D1.2.1 Entwicklung der Lang</w:t>
            </w:r>
            <w:r>
              <w:rPr>
                <w:noProof/>
              </w:rPr>
              <w:t xml:space="preserve">zeitpflege durch </w:t>
            </w:r>
          </w:p>
          <w:p w14:paraId="581B3DFF" w14:textId="702EC8C9" w:rsidR="00EB245A" w:rsidRDefault="006021EE">
            <w:pPr>
              <w:pStyle w:val="P68B1DB1-Normal46"/>
              <w:spacing w:line="259" w:lineRule="auto"/>
              <w:rPr>
                <w:rFonts w:cs="Times New Roman"/>
                <w:noProof/>
              </w:rPr>
            </w:pPr>
            <w:r>
              <w:rPr>
                <w:noProof/>
              </w:rPr>
              <w:t xml:space="preserve">Modernisierung der Infrastruktur medizinischer Einrichtungen auf Bezirksebene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82642C5" w14:textId="2587E9A1" w:rsidR="00EB245A" w:rsidRDefault="006021EE" w:rsidP="009A3AB9">
            <w:pPr>
              <w:pStyle w:val="P68B1DB1-Normal46"/>
              <w:spacing w:line="259" w:lineRule="auto"/>
              <w:ind w:left="75"/>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EDC3EF4" w14:textId="33B76A52" w:rsidR="00EB245A" w:rsidRDefault="006021EE">
            <w:pPr>
              <w:pStyle w:val="P68B1DB1-Normal46"/>
              <w:spacing w:line="259" w:lineRule="auto"/>
              <w:ind w:left="1"/>
              <w:rPr>
                <w:rFonts w:cs="Times New Roman"/>
                <w:noProof/>
              </w:rPr>
            </w:pPr>
            <w:r>
              <w:rPr>
                <w:noProof/>
              </w:rPr>
              <w:t>Liste der Bezirkskrankenhäuser, die für die zusätzliche Unterstützung für die Schaffung von Langzeitbetten und Geriatriebetten auf der Grundlage sp</w:t>
            </w:r>
            <w:r>
              <w:rPr>
                <w:noProof/>
              </w:rPr>
              <w:t xml:space="preserve">ezifischer Auswahlkriterien ausgewählt wurden </w:t>
            </w:r>
          </w:p>
        </w:tc>
      </w:tr>
      <w:tr w:rsidR="00EB245A" w14:paraId="7D396AE4" w14:textId="77777777">
        <w:trPr>
          <w:trHeight w:val="721"/>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888C987" w14:textId="7755E65B" w:rsidR="00EB245A" w:rsidRDefault="006021EE">
            <w:pPr>
              <w:pStyle w:val="P68B1DB1-Normal46"/>
              <w:spacing w:line="259" w:lineRule="auto"/>
              <w:ind w:right="29"/>
              <w:jc w:val="center"/>
              <w:rPr>
                <w:rFonts w:cs="Times New Roman"/>
                <w:noProof/>
              </w:rPr>
            </w:pPr>
            <w:r>
              <w:rPr>
                <w:noProof/>
              </w:rPr>
              <w:t xml:space="preserve">F8G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2A7FB89" w14:textId="35731E01" w:rsidR="00EB245A" w:rsidRDefault="006021EE">
            <w:pPr>
              <w:pStyle w:val="P68B1DB1-Normal46"/>
              <w:spacing w:line="259" w:lineRule="auto"/>
              <w:ind w:left="1"/>
              <w:rPr>
                <w:rFonts w:cs="Times New Roman"/>
                <w:noProof/>
              </w:rPr>
            </w:pPr>
            <w:r>
              <w:rPr>
                <w:noProof/>
              </w:rPr>
              <w:t xml:space="preserve">F3.1 Verbesserung der Bedingungen für die Durchführung des Aufbau- und Resilienzplans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1699927" w14:textId="6A1A7B22" w:rsidR="00EB245A" w:rsidRDefault="006021EE" w:rsidP="009A3AB9">
            <w:pPr>
              <w:pStyle w:val="P68B1DB1-Normal46"/>
              <w:spacing w:line="259" w:lineRule="auto"/>
              <w:ind w:left="75"/>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3F72352" w14:textId="77777777" w:rsidR="00EB245A" w:rsidRDefault="006021EE">
            <w:pPr>
              <w:pStyle w:val="P68B1DB1-Normal46"/>
              <w:spacing w:after="2" w:line="237" w:lineRule="auto"/>
              <w:ind w:left="1"/>
              <w:rPr>
                <w:rFonts w:cs="Times New Roman"/>
                <w:noProof/>
              </w:rPr>
            </w:pPr>
            <w:r>
              <w:rPr>
                <w:noProof/>
              </w:rPr>
              <w:t xml:space="preserve">Zuweisung zusätzlicher Planstellen in den an der </w:t>
            </w:r>
          </w:p>
          <w:p w14:paraId="2B12D995" w14:textId="77777777" w:rsidR="00EB245A" w:rsidRDefault="006021EE">
            <w:pPr>
              <w:pStyle w:val="P68B1DB1-Normal46"/>
              <w:spacing w:line="259" w:lineRule="auto"/>
              <w:ind w:left="1"/>
              <w:rPr>
                <w:rFonts w:cs="Times New Roman"/>
                <w:noProof/>
              </w:rPr>
            </w:pPr>
            <w:r>
              <w:rPr>
                <w:noProof/>
              </w:rPr>
              <w:t xml:space="preserve">Umsetzung des Aufbau- und Resilienzplans </w:t>
            </w:r>
          </w:p>
          <w:p w14:paraId="1B25339A" w14:textId="0D31E5F9" w:rsidR="00EB245A" w:rsidRDefault="006021EE">
            <w:pPr>
              <w:pStyle w:val="P68B1DB1-Normal46"/>
              <w:spacing w:line="259" w:lineRule="auto"/>
              <w:ind w:left="1"/>
              <w:rPr>
                <w:rFonts w:cs="Times New Roman"/>
                <w:noProof/>
              </w:rPr>
            </w:pPr>
            <w:r>
              <w:rPr>
                <w:noProof/>
              </w:rPr>
              <w:t xml:space="preserve"> </w:t>
            </w:r>
          </w:p>
        </w:tc>
      </w:tr>
      <w:tr w:rsidR="00EB245A" w14:paraId="4CE824DB" w14:textId="77777777">
        <w:trPr>
          <w:trHeight w:val="1227"/>
        </w:trPr>
        <w:tc>
          <w:tcPr>
            <w:tcW w:w="1348"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C6EFCE"/>
          </w:tcPr>
          <w:p w14:paraId="1EC6A5C4" w14:textId="4E5047D0" w:rsidR="00EB245A" w:rsidRDefault="006021EE">
            <w:pPr>
              <w:pStyle w:val="P68B1DB1-Normal46"/>
              <w:spacing w:line="259" w:lineRule="auto"/>
              <w:ind w:right="32"/>
              <w:jc w:val="center"/>
              <w:rPr>
                <w:rFonts w:cs="Times New Roman"/>
                <w:noProof/>
              </w:rPr>
            </w:pPr>
            <w:r>
              <w:rPr>
                <w:noProof/>
              </w:rPr>
              <w:t xml:space="preserve"> </w:t>
            </w:r>
          </w:p>
        </w:tc>
        <w:tc>
          <w:tcPr>
            <w:tcW w:w="3961"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C6EFCE"/>
          </w:tcPr>
          <w:p w14:paraId="45D20A46" w14:textId="78DFE5E7" w:rsidR="00EB245A" w:rsidRDefault="006021EE">
            <w:pPr>
              <w:pStyle w:val="P68B1DB1-Normal46"/>
              <w:spacing w:line="259" w:lineRule="auto"/>
              <w:ind w:left="1"/>
              <w:rPr>
                <w:rFonts w:cs="Times New Roman"/>
                <w:noProof/>
              </w:rPr>
            </w:pPr>
            <w:r>
              <w:rPr>
                <w:noProof/>
              </w:rPr>
              <w:t xml:space="preserve"> </w:t>
            </w:r>
          </w:p>
        </w:tc>
        <w:tc>
          <w:tcPr>
            <w:tcW w:w="1246"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C6EFCE"/>
          </w:tcPr>
          <w:p w14:paraId="25E0F081" w14:textId="4083CBF9" w:rsidR="00EB245A" w:rsidRDefault="006021EE">
            <w:pPr>
              <w:pStyle w:val="P68B1DB1-Normal46"/>
              <w:spacing w:after="200" w:line="259" w:lineRule="auto"/>
              <w:ind w:left="75"/>
              <w:rPr>
                <w:rFonts w:cs="Times New Roman"/>
                <w:noProof/>
              </w:rPr>
            </w:pPr>
            <w:r>
              <w:rPr>
                <w:noProof/>
              </w:rPr>
              <w:t xml:space="preserve">Ratenzahlungsbetrag </w:t>
            </w:r>
          </w:p>
        </w:tc>
        <w:tc>
          <w:tcPr>
            <w:tcW w:w="3926"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C6EFCE"/>
          </w:tcPr>
          <w:p w14:paraId="0F793C91" w14:textId="303B93E8" w:rsidR="00EB245A" w:rsidRDefault="006021EE">
            <w:pPr>
              <w:pStyle w:val="P68B1DB1-Normal46"/>
              <w:spacing w:after="200" w:line="259" w:lineRule="auto"/>
              <w:ind w:left="75"/>
              <w:rPr>
                <w:rFonts w:cs="Times New Roman"/>
                <w:noProof/>
              </w:rPr>
            </w:pPr>
            <w:r>
              <w:rPr>
                <w:noProof/>
              </w:rPr>
              <w:t>2 332 655 951 EUR</w:t>
            </w:r>
          </w:p>
          <w:p w14:paraId="044E5A3A" w14:textId="2BAB1B2A" w:rsidR="00EB245A" w:rsidRDefault="00EB245A">
            <w:pPr>
              <w:spacing w:after="200" w:line="259" w:lineRule="auto"/>
              <w:ind w:left="75"/>
              <w:rPr>
                <w:rFonts w:ascii="Times New Roman" w:hAnsi="Times New Roman" w:cs="Times New Roman"/>
                <w:noProof/>
              </w:rPr>
            </w:pPr>
          </w:p>
        </w:tc>
      </w:tr>
    </w:tbl>
    <w:p w14:paraId="441BA2D7" w14:textId="77777777" w:rsidR="00EB245A" w:rsidRDefault="006021EE">
      <w:pPr>
        <w:pStyle w:val="P68B1DB1-Normal46"/>
        <w:spacing w:after="0" w:line="259" w:lineRule="auto"/>
        <w:rPr>
          <w:rFonts w:cs="Times New Roman"/>
          <w:noProof/>
        </w:rPr>
      </w:pPr>
      <w:r>
        <w:rPr>
          <w:noProof/>
        </w:rPr>
        <w:t xml:space="preserve"> </w:t>
      </w:r>
      <w:r>
        <w:rPr>
          <w:noProof/>
        </w:rPr>
        <w:br w:type="page"/>
      </w:r>
    </w:p>
    <w:p w14:paraId="7342EDF7" w14:textId="77777777" w:rsidR="00EB245A" w:rsidRDefault="006021EE">
      <w:pPr>
        <w:pStyle w:val="P68B1DB1-Normal46"/>
        <w:spacing w:after="3" w:line="259" w:lineRule="auto"/>
        <w:ind w:left="-5"/>
        <w:rPr>
          <w:rFonts w:cs="Times New Roman"/>
          <w:noProof/>
        </w:rPr>
      </w:pPr>
      <w:r>
        <w:rPr>
          <w:noProof/>
        </w:rPr>
        <w:t xml:space="preserve">2.1.6 Sechste Tranche (nicht rückzahlbare Unterstützung): </w:t>
      </w:r>
    </w:p>
    <w:tbl>
      <w:tblPr>
        <w:tblStyle w:val="TableGrid0"/>
        <w:tblW w:w="10566" w:type="dxa"/>
        <w:tblInd w:w="10" w:type="dxa"/>
        <w:tblCellMar>
          <w:top w:w="53" w:type="dxa"/>
          <w:left w:w="108" w:type="dxa"/>
          <w:right w:w="56" w:type="dxa"/>
        </w:tblCellMar>
        <w:tblLook w:val="04A0" w:firstRow="1" w:lastRow="0" w:firstColumn="1" w:lastColumn="0" w:noHBand="0" w:noVBand="1"/>
      </w:tblPr>
      <w:tblGrid>
        <w:gridCol w:w="1647"/>
        <w:gridCol w:w="3382"/>
        <w:gridCol w:w="2132"/>
        <w:gridCol w:w="3405"/>
      </w:tblGrid>
      <w:tr w:rsidR="00EB245A" w14:paraId="2E277AB9" w14:textId="77777777">
        <w:trPr>
          <w:trHeight w:val="728"/>
          <w:tblHeader/>
        </w:trPr>
        <w:tc>
          <w:tcPr>
            <w:tcW w:w="19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69B01118" w14:textId="77777777" w:rsidR="00EB245A" w:rsidRDefault="006021EE">
            <w:pPr>
              <w:pStyle w:val="P68B1DB1-Normal46"/>
              <w:spacing w:line="259" w:lineRule="auto"/>
              <w:jc w:val="center"/>
              <w:rPr>
                <w:rFonts w:cs="Times New Roman"/>
                <w:noProof/>
              </w:rPr>
            </w:pPr>
            <w:r>
              <w:rPr>
                <w:b/>
                <w:noProof/>
              </w:rPr>
              <w:t>Laufende Nummer</w:t>
            </w:r>
            <w:r>
              <w:rPr>
                <w:noProof/>
              </w:rPr>
              <w:t xml:space="preserve"> </w:t>
            </w:r>
          </w:p>
        </w:tc>
        <w:tc>
          <w:tcPr>
            <w:tcW w:w="3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228CA302" w14:textId="77777777" w:rsidR="00EB245A" w:rsidRDefault="006021EE">
            <w:pPr>
              <w:pStyle w:val="P68B1DB1-Normal46"/>
              <w:spacing w:line="259" w:lineRule="auto"/>
              <w:jc w:val="center"/>
              <w:rPr>
                <w:rFonts w:cs="Times New Roman"/>
                <w:noProof/>
              </w:rPr>
            </w:pPr>
            <w:r>
              <w:rPr>
                <w:b/>
                <w:noProof/>
              </w:rPr>
              <w:t>Verbundene Maßnahme (Reform oder Investition)</w:t>
            </w:r>
            <w:r>
              <w:rPr>
                <w:noProof/>
              </w:rPr>
              <w:t xml:space="preserve"> </w:t>
            </w:r>
          </w:p>
        </w:tc>
        <w:tc>
          <w:tcPr>
            <w:tcW w:w="12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08563CAD" w14:textId="77777777" w:rsidR="00EB245A" w:rsidRDefault="006021EE">
            <w:pPr>
              <w:pStyle w:val="P68B1DB1-Normal46"/>
              <w:spacing w:line="259" w:lineRule="auto"/>
              <w:jc w:val="center"/>
              <w:rPr>
                <w:rFonts w:cs="Times New Roman"/>
                <w:noProof/>
              </w:rPr>
            </w:pPr>
            <w:r>
              <w:rPr>
                <w:b/>
                <w:noProof/>
              </w:rPr>
              <w:t>Etappenziel/Zielwert</w:t>
            </w:r>
            <w:r>
              <w:rPr>
                <w:noProof/>
              </w:rPr>
              <w:t xml:space="preserve"> </w:t>
            </w:r>
          </w:p>
        </w:tc>
        <w:tc>
          <w:tcPr>
            <w:tcW w:w="37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6F626E1E" w14:textId="77777777" w:rsidR="00EB245A" w:rsidRDefault="006021EE">
            <w:pPr>
              <w:pStyle w:val="P68B1DB1-Normal46"/>
              <w:spacing w:line="259" w:lineRule="auto"/>
              <w:ind w:right="47"/>
              <w:jc w:val="center"/>
              <w:rPr>
                <w:rFonts w:cs="Times New Roman"/>
                <w:noProof/>
              </w:rPr>
            </w:pPr>
            <w:r>
              <w:rPr>
                <w:b/>
                <w:noProof/>
              </w:rPr>
              <w:t>Namen</w:t>
            </w:r>
            <w:r>
              <w:rPr>
                <w:noProof/>
              </w:rPr>
              <w:t xml:space="preserve"> </w:t>
            </w:r>
          </w:p>
        </w:tc>
      </w:tr>
      <w:tr w:rsidR="00EB245A" w14:paraId="06C5BECD" w14:textId="77777777">
        <w:trPr>
          <w:trHeight w:val="1226"/>
        </w:trPr>
        <w:tc>
          <w:tcPr>
            <w:tcW w:w="19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B9BCE91" w14:textId="77777777" w:rsidR="00EB245A" w:rsidRDefault="006021EE">
            <w:pPr>
              <w:pStyle w:val="P68B1DB1-Normal46"/>
              <w:spacing w:line="259" w:lineRule="auto"/>
              <w:ind w:right="53"/>
              <w:jc w:val="center"/>
              <w:rPr>
                <w:rFonts w:cs="Times New Roman"/>
                <w:noProof/>
              </w:rPr>
            </w:pPr>
            <w:r>
              <w:rPr>
                <w:noProof/>
              </w:rPr>
              <w:t xml:space="preserve">A7G </w:t>
            </w:r>
          </w:p>
        </w:tc>
        <w:tc>
          <w:tcPr>
            <w:tcW w:w="3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35075D4" w14:textId="77777777" w:rsidR="00EB245A" w:rsidRDefault="006021EE">
            <w:pPr>
              <w:pStyle w:val="P68B1DB1-Normal46"/>
              <w:spacing w:line="259" w:lineRule="auto"/>
              <w:rPr>
                <w:rFonts w:cs="Times New Roman"/>
                <w:noProof/>
              </w:rPr>
            </w:pPr>
            <w:r>
              <w:rPr>
                <w:noProof/>
              </w:rPr>
              <w:t xml:space="preserve">A1.2.1 Investitionen von Unternehmen in Produkte, </w:t>
            </w:r>
            <w:r>
              <w:rPr>
                <w:noProof/>
              </w:rPr>
              <w:t xml:space="preserve">Dienstleistungen und Kompetenzen von Arbeitnehmern und Mitarbeitern im Zusammenhang mit der Diversifizierung von Tätigkeiten </w:t>
            </w:r>
          </w:p>
        </w:tc>
        <w:tc>
          <w:tcPr>
            <w:tcW w:w="12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0C52819" w14:textId="77777777" w:rsidR="00EB245A" w:rsidRDefault="006021EE">
            <w:pPr>
              <w:pStyle w:val="P68B1DB1-Normal46"/>
              <w:spacing w:line="259" w:lineRule="auto"/>
              <w:ind w:right="53"/>
              <w:jc w:val="center"/>
              <w:rPr>
                <w:rFonts w:cs="Times New Roman"/>
                <w:noProof/>
              </w:rPr>
            </w:pPr>
            <w:r>
              <w:rPr>
                <w:noProof/>
              </w:rPr>
              <w:t xml:space="preserve">Ziel </w:t>
            </w:r>
          </w:p>
        </w:tc>
        <w:tc>
          <w:tcPr>
            <w:tcW w:w="37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6A01801" w14:textId="77777777" w:rsidR="00EB245A" w:rsidRDefault="006021EE">
            <w:pPr>
              <w:pStyle w:val="P68B1DB1-Normal46"/>
              <w:spacing w:line="259" w:lineRule="auto"/>
              <w:rPr>
                <w:rFonts w:cs="Times New Roman"/>
                <w:noProof/>
              </w:rPr>
            </w:pPr>
            <w:r>
              <w:rPr>
                <w:noProof/>
              </w:rPr>
              <w:t xml:space="preserve">T1 – Zahl der KMU und Kleinstunternehmen in den Bereichen HoReCa, Kultur und Tourismus, die ihre Geschäftstätigkeit modernisiert haben   </w:t>
            </w:r>
          </w:p>
        </w:tc>
      </w:tr>
      <w:tr w:rsidR="00EB245A" w14:paraId="0E75F6AD" w14:textId="77777777">
        <w:trPr>
          <w:trHeight w:val="721"/>
        </w:trPr>
        <w:tc>
          <w:tcPr>
            <w:tcW w:w="19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B35692E" w14:textId="77777777" w:rsidR="00EB245A" w:rsidRDefault="006021EE">
            <w:pPr>
              <w:pStyle w:val="P68B1DB1-Normal46"/>
              <w:spacing w:line="259" w:lineRule="auto"/>
              <w:ind w:right="53"/>
              <w:jc w:val="center"/>
              <w:rPr>
                <w:rFonts w:cs="Times New Roman"/>
                <w:noProof/>
              </w:rPr>
            </w:pPr>
            <w:r>
              <w:rPr>
                <w:noProof/>
              </w:rPr>
              <w:t xml:space="preserve">A16G </w:t>
            </w:r>
          </w:p>
        </w:tc>
        <w:tc>
          <w:tcPr>
            <w:tcW w:w="3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B10F814" w14:textId="77777777" w:rsidR="00EB245A" w:rsidRDefault="006021EE">
            <w:pPr>
              <w:pStyle w:val="P68B1DB1-Normal46"/>
              <w:spacing w:line="259" w:lineRule="auto"/>
              <w:rPr>
                <w:rFonts w:cs="Times New Roman"/>
                <w:noProof/>
              </w:rPr>
            </w:pPr>
            <w:r>
              <w:rPr>
                <w:noProof/>
              </w:rPr>
              <w:t xml:space="preserve">A1.3.1 Umsetzung der Reform der Flächennutzungsplanung </w:t>
            </w:r>
          </w:p>
        </w:tc>
        <w:tc>
          <w:tcPr>
            <w:tcW w:w="12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50A0688" w14:textId="77777777" w:rsidR="00EB245A" w:rsidRDefault="006021EE">
            <w:pPr>
              <w:pStyle w:val="P68B1DB1-Normal46"/>
              <w:spacing w:line="259" w:lineRule="auto"/>
              <w:ind w:right="53"/>
              <w:jc w:val="center"/>
              <w:rPr>
                <w:rFonts w:cs="Times New Roman"/>
                <w:noProof/>
              </w:rPr>
            </w:pPr>
            <w:r>
              <w:rPr>
                <w:noProof/>
              </w:rPr>
              <w:t xml:space="preserve">Ziel </w:t>
            </w:r>
          </w:p>
        </w:tc>
        <w:tc>
          <w:tcPr>
            <w:tcW w:w="37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CA98591" w14:textId="77777777" w:rsidR="00EB245A" w:rsidRDefault="006021EE">
            <w:pPr>
              <w:pStyle w:val="P68B1DB1-Normal46"/>
              <w:spacing w:line="259" w:lineRule="auto"/>
              <w:ind w:right="5"/>
              <w:rPr>
                <w:rFonts w:cs="Times New Roman"/>
                <w:noProof/>
              </w:rPr>
            </w:pPr>
            <w:r>
              <w:rPr>
                <w:noProof/>
              </w:rPr>
              <w:t>Anteil der Gemeinden, die allgemeine Raumordnungs</w:t>
            </w:r>
            <w:r>
              <w:rPr>
                <w:noProof/>
              </w:rPr>
              <w:t xml:space="preserve">pläne angenommen haben </w:t>
            </w:r>
          </w:p>
        </w:tc>
      </w:tr>
      <w:tr w:rsidR="00EB245A" w14:paraId="1C4039C9" w14:textId="77777777">
        <w:trPr>
          <w:trHeight w:val="1227"/>
        </w:trPr>
        <w:tc>
          <w:tcPr>
            <w:tcW w:w="19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E850D02" w14:textId="77777777" w:rsidR="00EB245A" w:rsidRDefault="006021EE">
            <w:pPr>
              <w:pStyle w:val="P68B1DB1-Normal46"/>
              <w:spacing w:line="259" w:lineRule="auto"/>
              <w:ind w:right="53"/>
              <w:jc w:val="center"/>
              <w:rPr>
                <w:rFonts w:cs="Times New Roman"/>
                <w:noProof/>
              </w:rPr>
            </w:pPr>
            <w:r>
              <w:rPr>
                <w:noProof/>
              </w:rPr>
              <w:t xml:space="preserve">A22G </w:t>
            </w:r>
          </w:p>
        </w:tc>
        <w:tc>
          <w:tcPr>
            <w:tcW w:w="3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150EE7A" w14:textId="77777777" w:rsidR="00EB245A" w:rsidRDefault="006021EE">
            <w:pPr>
              <w:pStyle w:val="P68B1DB1-Normal46"/>
              <w:spacing w:line="259" w:lineRule="auto"/>
              <w:rPr>
                <w:rFonts w:cs="Times New Roman"/>
                <w:noProof/>
              </w:rPr>
            </w:pPr>
            <w:r>
              <w:rPr>
                <w:noProof/>
              </w:rPr>
              <w:t xml:space="preserve">A1.4.1 Investitionen zur Diversifizierung und Verkürzung der Lieferkette von Agrar- und Lebensmittelerzeugnissen und zur Stärkung der Widerstandsfähigkeit der Unternehmen in der Lieferkette </w:t>
            </w:r>
          </w:p>
        </w:tc>
        <w:tc>
          <w:tcPr>
            <w:tcW w:w="12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8D9959E" w14:textId="77777777" w:rsidR="00EB245A" w:rsidRDefault="006021EE">
            <w:pPr>
              <w:pStyle w:val="P68B1DB1-Normal46"/>
              <w:spacing w:line="259" w:lineRule="auto"/>
              <w:ind w:right="53"/>
              <w:jc w:val="center"/>
              <w:rPr>
                <w:rFonts w:cs="Times New Roman"/>
                <w:noProof/>
              </w:rPr>
            </w:pPr>
            <w:r>
              <w:rPr>
                <w:noProof/>
              </w:rPr>
              <w:t xml:space="preserve">Ziel </w:t>
            </w:r>
          </w:p>
        </w:tc>
        <w:tc>
          <w:tcPr>
            <w:tcW w:w="37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E4D72F7" w14:textId="77777777" w:rsidR="00EB245A" w:rsidRDefault="006021EE">
            <w:pPr>
              <w:pStyle w:val="P68B1DB1-Normal46"/>
              <w:spacing w:line="259" w:lineRule="auto"/>
              <w:rPr>
                <w:rFonts w:cs="Times New Roman"/>
                <w:noProof/>
              </w:rPr>
            </w:pPr>
            <w:r>
              <w:rPr>
                <w:noProof/>
              </w:rPr>
              <w:t xml:space="preserve">KMU im Agrar- und </w:t>
            </w:r>
            <w:r>
              <w:rPr>
                <w:noProof/>
              </w:rPr>
              <w:t xml:space="preserve">Lebensmittelsektor, die Projekte zur Modernisierung ihrer Infrastruktur und Ausrüstung abgeschlossen haben </w:t>
            </w:r>
          </w:p>
        </w:tc>
      </w:tr>
      <w:tr w:rsidR="00EB245A" w14:paraId="67295862" w14:textId="77777777">
        <w:trPr>
          <w:trHeight w:val="1228"/>
        </w:trPr>
        <w:tc>
          <w:tcPr>
            <w:tcW w:w="19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6F59581" w14:textId="77777777" w:rsidR="00EB245A" w:rsidRDefault="006021EE">
            <w:pPr>
              <w:pStyle w:val="P68B1DB1-Normal46"/>
              <w:spacing w:line="259" w:lineRule="auto"/>
              <w:ind w:right="53"/>
              <w:jc w:val="center"/>
              <w:rPr>
                <w:rFonts w:cs="Times New Roman"/>
                <w:noProof/>
              </w:rPr>
            </w:pPr>
            <w:r>
              <w:rPr>
                <w:noProof/>
              </w:rPr>
              <w:t xml:space="preserve">A28G </w:t>
            </w:r>
          </w:p>
        </w:tc>
        <w:tc>
          <w:tcPr>
            <w:tcW w:w="3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6756C9F" w14:textId="77777777" w:rsidR="00EB245A" w:rsidRDefault="006021EE">
            <w:pPr>
              <w:pStyle w:val="P68B1DB1-Normal46"/>
              <w:spacing w:line="259" w:lineRule="auto"/>
              <w:rPr>
                <w:rFonts w:cs="Times New Roman"/>
                <w:noProof/>
              </w:rPr>
            </w:pPr>
            <w:r>
              <w:rPr>
                <w:noProof/>
              </w:rPr>
              <w:t xml:space="preserve">A2.1.1 Investitionen in Robotisierung und Digitalisierung in Unternehmen </w:t>
            </w:r>
          </w:p>
        </w:tc>
        <w:tc>
          <w:tcPr>
            <w:tcW w:w="12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1D50C25" w14:textId="77777777" w:rsidR="00EB245A" w:rsidRDefault="006021EE">
            <w:pPr>
              <w:pStyle w:val="P68B1DB1-Normal46"/>
              <w:spacing w:line="259" w:lineRule="auto"/>
              <w:ind w:right="53"/>
              <w:jc w:val="center"/>
              <w:rPr>
                <w:rFonts w:cs="Times New Roman"/>
                <w:noProof/>
              </w:rPr>
            </w:pPr>
            <w:r>
              <w:rPr>
                <w:noProof/>
              </w:rPr>
              <w:t xml:space="preserve">Ziel </w:t>
            </w:r>
          </w:p>
        </w:tc>
        <w:tc>
          <w:tcPr>
            <w:tcW w:w="37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53FAF00" w14:textId="77777777" w:rsidR="00EB245A" w:rsidRDefault="006021EE">
            <w:pPr>
              <w:pStyle w:val="P68B1DB1-Normal46"/>
              <w:spacing w:line="259" w:lineRule="auto"/>
              <w:rPr>
                <w:rFonts w:cs="Times New Roman"/>
                <w:noProof/>
              </w:rPr>
            </w:pPr>
            <w:r>
              <w:rPr>
                <w:noProof/>
              </w:rPr>
              <w:t xml:space="preserve">T1 – Durchführung von Projekten im Zusammenhang mit Robotisierung, künstlicher Intelligenz oder Digitalisierung von Prozessen, Technologien, Produkten oder Dienstleistungen </w:t>
            </w:r>
          </w:p>
        </w:tc>
      </w:tr>
      <w:tr w:rsidR="00EB245A" w14:paraId="05E52ED2" w14:textId="77777777">
        <w:trPr>
          <w:trHeight w:val="1226"/>
        </w:trPr>
        <w:tc>
          <w:tcPr>
            <w:tcW w:w="19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8308916" w14:textId="77777777" w:rsidR="00EB245A" w:rsidRDefault="006021EE">
            <w:pPr>
              <w:pStyle w:val="P68B1DB1-Normal46"/>
              <w:spacing w:line="259" w:lineRule="auto"/>
              <w:ind w:right="53"/>
              <w:jc w:val="center"/>
              <w:rPr>
                <w:rFonts w:cs="Times New Roman"/>
                <w:noProof/>
              </w:rPr>
            </w:pPr>
            <w:r>
              <w:rPr>
                <w:noProof/>
              </w:rPr>
              <w:t xml:space="preserve">A46G </w:t>
            </w:r>
          </w:p>
        </w:tc>
        <w:tc>
          <w:tcPr>
            <w:tcW w:w="3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907D088" w14:textId="77777777" w:rsidR="00EB245A" w:rsidRDefault="006021EE">
            <w:pPr>
              <w:pStyle w:val="P68B1DB1-Normal46"/>
              <w:spacing w:line="259" w:lineRule="auto"/>
              <w:rPr>
                <w:rFonts w:cs="Times New Roman"/>
                <w:noProof/>
              </w:rPr>
            </w:pPr>
            <w:r>
              <w:rPr>
                <w:noProof/>
              </w:rPr>
              <w:t xml:space="preserve">A3.1.1 Investitionen in moderne </w:t>
            </w:r>
          </w:p>
          <w:p w14:paraId="7BD7CC71" w14:textId="77777777" w:rsidR="00EB245A" w:rsidRDefault="006021EE">
            <w:pPr>
              <w:pStyle w:val="P68B1DB1-Normal46"/>
              <w:spacing w:line="259" w:lineRule="auto"/>
              <w:rPr>
                <w:rFonts w:cs="Times New Roman"/>
                <w:noProof/>
              </w:rPr>
            </w:pPr>
            <w:r>
              <w:rPr>
                <w:noProof/>
              </w:rPr>
              <w:t xml:space="preserve">berufliche Bildung, Hochschulbildung und lebenslanges Lernen </w:t>
            </w:r>
          </w:p>
        </w:tc>
        <w:tc>
          <w:tcPr>
            <w:tcW w:w="12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0CAFF7E" w14:textId="77777777" w:rsidR="00EB245A" w:rsidRDefault="006021EE">
            <w:pPr>
              <w:pStyle w:val="P68B1DB1-Normal46"/>
              <w:spacing w:line="259" w:lineRule="auto"/>
              <w:ind w:right="53"/>
              <w:jc w:val="center"/>
              <w:rPr>
                <w:rFonts w:cs="Times New Roman"/>
                <w:noProof/>
              </w:rPr>
            </w:pPr>
            <w:r>
              <w:rPr>
                <w:noProof/>
              </w:rPr>
              <w:t xml:space="preserve">Ziel </w:t>
            </w:r>
          </w:p>
        </w:tc>
        <w:tc>
          <w:tcPr>
            <w:tcW w:w="37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6B842BE" w14:textId="77777777" w:rsidR="00EB245A" w:rsidRDefault="006021EE">
            <w:pPr>
              <w:pStyle w:val="P68B1DB1-Normal46"/>
              <w:spacing w:line="259" w:lineRule="auto"/>
              <w:rPr>
                <w:rFonts w:cs="Times New Roman"/>
                <w:noProof/>
              </w:rPr>
            </w:pPr>
            <w:r>
              <w:rPr>
                <w:noProof/>
              </w:rPr>
              <w:t xml:space="preserve">T1 – Vermittlung von Kompetenzen für Lernende in den sektoralen Kompetenzzentren, einschließlich Zertifizierung von Lernergebnissen (Fähigkeiten), ausgestellt und vom Sektor anerkannt </w:t>
            </w:r>
          </w:p>
        </w:tc>
      </w:tr>
      <w:tr w:rsidR="00EB245A" w14:paraId="02D2411E" w14:textId="77777777">
        <w:trPr>
          <w:trHeight w:val="1226"/>
        </w:trPr>
        <w:tc>
          <w:tcPr>
            <w:tcW w:w="19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A580960" w14:textId="73BF8D3B" w:rsidR="00EB245A" w:rsidRDefault="006021EE">
            <w:pPr>
              <w:pStyle w:val="P68B1DB1-Normal46"/>
              <w:spacing w:line="259" w:lineRule="auto"/>
              <w:ind w:right="53"/>
              <w:jc w:val="center"/>
              <w:rPr>
                <w:rFonts w:cs="Times New Roman"/>
                <w:noProof/>
              </w:rPr>
            </w:pPr>
            <w:r>
              <w:rPr>
                <w:noProof/>
              </w:rPr>
              <w:t xml:space="preserve">A52G </w:t>
            </w:r>
          </w:p>
        </w:tc>
        <w:tc>
          <w:tcPr>
            <w:tcW w:w="3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E6C9B30" w14:textId="169A0F24" w:rsidR="00EB245A" w:rsidRDefault="006021EE">
            <w:pPr>
              <w:pStyle w:val="P68B1DB1-Normal46"/>
              <w:spacing w:line="259" w:lineRule="auto"/>
              <w:rPr>
                <w:rFonts w:cs="Times New Roman"/>
                <w:noProof/>
              </w:rPr>
            </w:pPr>
            <w:r>
              <w:rPr>
                <w:noProof/>
              </w:rPr>
              <w:t xml:space="preserve">A4.1 Wirksame Arbeitsmarktinstitutionen </w:t>
            </w:r>
          </w:p>
        </w:tc>
        <w:tc>
          <w:tcPr>
            <w:tcW w:w="12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78A6F2F" w14:textId="2F43918D" w:rsidR="00EB245A" w:rsidRDefault="006021EE">
            <w:pPr>
              <w:pStyle w:val="P68B1DB1-Normal46"/>
              <w:spacing w:line="259" w:lineRule="auto"/>
              <w:ind w:right="53"/>
              <w:jc w:val="center"/>
              <w:rPr>
                <w:rFonts w:cs="Times New Roman"/>
                <w:noProof/>
              </w:rPr>
            </w:pPr>
            <w:r>
              <w:rPr>
                <w:noProof/>
              </w:rPr>
              <w:t xml:space="preserve">Meilenstein </w:t>
            </w:r>
          </w:p>
        </w:tc>
        <w:tc>
          <w:tcPr>
            <w:tcW w:w="37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E338DE9" w14:textId="77777777" w:rsidR="00EB245A" w:rsidRDefault="006021EE">
            <w:pPr>
              <w:pStyle w:val="P68B1DB1-Normal46"/>
              <w:spacing w:after="2" w:line="236" w:lineRule="auto"/>
              <w:rPr>
                <w:rFonts w:cs="Times New Roman"/>
                <w:noProof/>
              </w:rPr>
            </w:pPr>
            <w:r>
              <w:rPr>
                <w:noProof/>
              </w:rPr>
              <w:t xml:space="preserve">Neue Normen und Leistungsrahmen für die Funktionsweise und </w:t>
            </w:r>
          </w:p>
          <w:p w14:paraId="54D82362" w14:textId="2AD80C9F" w:rsidR="00EB245A" w:rsidRDefault="006021EE">
            <w:pPr>
              <w:pStyle w:val="P68B1DB1-Normal46"/>
              <w:spacing w:line="259" w:lineRule="auto"/>
              <w:rPr>
                <w:rFonts w:cs="Times New Roman"/>
                <w:noProof/>
              </w:rPr>
            </w:pPr>
            <w:r>
              <w:rPr>
                <w:noProof/>
              </w:rPr>
              <w:t xml:space="preserve">Koordinierung der öffentlichen Arbeitsverwaltungen </w:t>
            </w:r>
          </w:p>
        </w:tc>
      </w:tr>
      <w:tr w:rsidR="00EB245A" w14:paraId="2A1D9C1F" w14:textId="77777777">
        <w:trPr>
          <w:trHeight w:val="1481"/>
        </w:trPr>
        <w:tc>
          <w:tcPr>
            <w:tcW w:w="19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441DFD1" w14:textId="77777777" w:rsidR="00EB245A" w:rsidRDefault="006021EE">
            <w:pPr>
              <w:pStyle w:val="P68B1DB1-Normal46"/>
              <w:spacing w:line="259" w:lineRule="auto"/>
              <w:ind w:right="53"/>
              <w:jc w:val="center"/>
              <w:rPr>
                <w:rFonts w:cs="Times New Roman"/>
                <w:noProof/>
              </w:rPr>
            </w:pPr>
            <w:r>
              <w:rPr>
                <w:noProof/>
              </w:rPr>
              <w:t xml:space="preserve">A54G </w:t>
            </w:r>
          </w:p>
        </w:tc>
        <w:tc>
          <w:tcPr>
            <w:tcW w:w="3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E34313D" w14:textId="77777777" w:rsidR="00EB245A" w:rsidRDefault="006021EE">
            <w:pPr>
              <w:pStyle w:val="P68B1DB1-Normal46"/>
              <w:spacing w:line="259" w:lineRule="auto"/>
              <w:rPr>
                <w:rFonts w:cs="Times New Roman"/>
                <w:noProof/>
              </w:rPr>
            </w:pPr>
            <w:r>
              <w:rPr>
                <w:noProof/>
              </w:rPr>
              <w:t xml:space="preserve">A4.1 Wirksame Arbeitsmarktinstitutionen </w:t>
            </w:r>
          </w:p>
        </w:tc>
        <w:tc>
          <w:tcPr>
            <w:tcW w:w="12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351C29C" w14:textId="77777777" w:rsidR="00EB245A" w:rsidRDefault="006021EE">
            <w:pPr>
              <w:pStyle w:val="P68B1DB1-Normal46"/>
              <w:spacing w:line="259" w:lineRule="auto"/>
              <w:ind w:right="52"/>
              <w:jc w:val="center"/>
              <w:rPr>
                <w:rFonts w:cs="Times New Roman"/>
                <w:noProof/>
              </w:rPr>
            </w:pPr>
            <w:r>
              <w:rPr>
                <w:noProof/>
              </w:rPr>
              <w:t xml:space="preserve">Meilenstein </w:t>
            </w:r>
          </w:p>
        </w:tc>
        <w:tc>
          <w:tcPr>
            <w:tcW w:w="37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2A39F29" w14:textId="77777777" w:rsidR="00EB245A" w:rsidRDefault="006021EE">
            <w:pPr>
              <w:pStyle w:val="P68B1DB1-Normal46"/>
              <w:spacing w:line="259" w:lineRule="auto"/>
              <w:rPr>
                <w:rFonts w:cs="Times New Roman"/>
                <w:noProof/>
              </w:rPr>
            </w:pPr>
            <w:r>
              <w:rPr>
                <w:noProof/>
              </w:rPr>
              <w:t xml:space="preserve">Inkrafttreten einer Änderung der einschlägigen Gesetze zur Umsetzung der Reformprioritäten, die in der Konsultation zu Tarifverträgen und in der Studie über einen einzigen Arbeitsvertrag in Polen ermittelt wurden </w:t>
            </w:r>
          </w:p>
        </w:tc>
      </w:tr>
      <w:tr w:rsidR="00EB245A" w14:paraId="266F2D18" w14:textId="77777777">
        <w:trPr>
          <w:trHeight w:val="973"/>
        </w:trPr>
        <w:tc>
          <w:tcPr>
            <w:tcW w:w="19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CFB1BE4" w14:textId="77777777" w:rsidR="00EB245A" w:rsidRDefault="006021EE">
            <w:pPr>
              <w:pStyle w:val="P68B1DB1-Normal46"/>
              <w:spacing w:line="259" w:lineRule="auto"/>
              <w:ind w:right="53"/>
              <w:jc w:val="center"/>
              <w:rPr>
                <w:rFonts w:cs="Times New Roman"/>
                <w:noProof/>
              </w:rPr>
            </w:pPr>
            <w:r>
              <w:rPr>
                <w:noProof/>
              </w:rPr>
              <w:t xml:space="preserve">A68G </w:t>
            </w:r>
          </w:p>
        </w:tc>
        <w:tc>
          <w:tcPr>
            <w:tcW w:w="3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869D05E" w14:textId="77777777" w:rsidR="00EB245A" w:rsidRDefault="006021EE">
            <w:pPr>
              <w:pStyle w:val="P68B1DB1-Normal46"/>
              <w:spacing w:line="259" w:lineRule="auto"/>
              <w:rPr>
                <w:rFonts w:cs="Times New Roman"/>
                <w:noProof/>
              </w:rPr>
            </w:pPr>
            <w:r>
              <w:rPr>
                <w:noProof/>
              </w:rPr>
              <w:t>A4.5 Verlängerung der beruflichen L</w:t>
            </w:r>
            <w:r>
              <w:rPr>
                <w:noProof/>
              </w:rPr>
              <w:t xml:space="preserve">aufbahn und Förderung der Arbeit über das gesetzliche Renteneintrittsalter hinaus </w:t>
            </w:r>
          </w:p>
        </w:tc>
        <w:tc>
          <w:tcPr>
            <w:tcW w:w="12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E6B9E7B" w14:textId="77777777" w:rsidR="00EB245A" w:rsidRDefault="006021EE">
            <w:pPr>
              <w:pStyle w:val="P68B1DB1-Normal46"/>
              <w:spacing w:line="259" w:lineRule="auto"/>
              <w:ind w:right="52"/>
              <w:jc w:val="center"/>
              <w:rPr>
                <w:rFonts w:cs="Times New Roman"/>
                <w:noProof/>
              </w:rPr>
            </w:pPr>
            <w:r>
              <w:rPr>
                <w:noProof/>
              </w:rPr>
              <w:t xml:space="preserve">Meilenstein </w:t>
            </w:r>
          </w:p>
        </w:tc>
        <w:tc>
          <w:tcPr>
            <w:tcW w:w="37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1ABC9F3" w14:textId="77777777" w:rsidR="00EB245A" w:rsidRDefault="006021EE">
            <w:pPr>
              <w:pStyle w:val="P68B1DB1-Normal46"/>
              <w:spacing w:line="259" w:lineRule="auto"/>
              <w:rPr>
                <w:rFonts w:cs="Times New Roman"/>
                <w:noProof/>
              </w:rPr>
            </w:pPr>
            <w:r>
              <w:rPr>
                <w:noProof/>
              </w:rPr>
              <w:t xml:space="preserve">Bericht zur Bewertung der Auswirkungen der Maßnahmen zur Anhebung des tatsächlichen Renteneintrittsalters </w:t>
            </w:r>
          </w:p>
        </w:tc>
      </w:tr>
      <w:tr w:rsidR="00EB245A" w14:paraId="36088DC7" w14:textId="77777777">
        <w:trPr>
          <w:trHeight w:val="722"/>
        </w:trPr>
        <w:tc>
          <w:tcPr>
            <w:tcW w:w="19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C5ED268" w14:textId="77777777" w:rsidR="00EB245A" w:rsidRDefault="006021EE">
            <w:pPr>
              <w:pStyle w:val="P68B1DB1-Normal46"/>
              <w:spacing w:line="259" w:lineRule="auto"/>
              <w:ind w:right="51"/>
              <w:jc w:val="center"/>
              <w:rPr>
                <w:rFonts w:cs="Times New Roman"/>
                <w:noProof/>
              </w:rPr>
            </w:pPr>
            <w:r>
              <w:rPr>
                <w:noProof/>
              </w:rPr>
              <w:t xml:space="preserve">B6G </w:t>
            </w:r>
          </w:p>
        </w:tc>
        <w:tc>
          <w:tcPr>
            <w:tcW w:w="3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CBACDA1" w14:textId="77777777" w:rsidR="00EB245A" w:rsidRDefault="006021EE">
            <w:pPr>
              <w:pStyle w:val="P68B1DB1-Normal46"/>
              <w:spacing w:line="259" w:lineRule="auto"/>
              <w:rPr>
                <w:rFonts w:cs="Times New Roman"/>
                <w:noProof/>
              </w:rPr>
            </w:pPr>
            <w:r>
              <w:rPr>
                <w:noProof/>
              </w:rPr>
              <w:t xml:space="preserve">B1.1.1 Investitionen in Wärmequellen in Fernwärmeanlagen </w:t>
            </w:r>
          </w:p>
        </w:tc>
        <w:tc>
          <w:tcPr>
            <w:tcW w:w="12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56F580D" w14:textId="77777777" w:rsidR="00EB245A" w:rsidRDefault="006021EE">
            <w:pPr>
              <w:pStyle w:val="P68B1DB1-Normal46"/>
              <w:spacing w:line="259" w:lineRule="auto"/>
              <w:ind w:right="53"/>
              <w:jc w:val="center"/>
              <w:rPr>
                <w:rFonts w:cs="Times New Roman"/>
                <w:noProof/>
              </w:rPr>
            </w:pPr>
            <w:r>
              <w:rPr>
                <w:noProof/>
              </w:rPr>
              <w:t xml:space="preserve">Ziel </w:t>
            </w:r>
          </w:p>
        </w:tc>
        <w:tc>
          <w:tcPr>
            <w:tcW w:w="37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B91DE43" w14:textId="77777777" w:rsidR="00EB245A" w:rsidRDefault="006021EE">
            <w:pPr>
              <w:pStyle w:val="P68B1DB1-Normal46"/>
              <w:spacing w:line="259" w:lineRule="auto"/>
              <w:rPr>
                <w:rFonts w:cs="Times New Roman"/>
                <w:noProof/>
              </w:rPr>
            </w:pPr>
            <w:r>
              <w:rPr>
                <w:noProof/>
              </w:rPr>
              <w:t xml:space="preserve">T1 – Wärmequellen in Fernwärmesystemen </w:t>
            </w:r>
          </w:p>
        </w:tc>
      </w:tr>
      <w:tr w:rsidR="00EB245A" w14:paraId="56E60150" w14:textId="77777777">
        <w:trPr>
          <w:trHeight w:val="1480"/>
        </w:trPr>
        <w:tc>
          <w:tcPr>
            <w:tcW w:w="19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133D22E" w14:textId="77777777" w:rsidR="00EB245A" w:rsidRDefault="006021EE">
            <w:pPr>
              <w:pStyle w:val="P68B1DB1-Normal46"/>
              <w:spacing w:line="259" w:lineRule="auto"/>
              <w:ind w:right="51"/>
              <w:jc w:val="center"/>
              <w:rPr>
                <w:rFonts w:cs="Times New Roman"/>
                <w:noProof/>
              </w:rPr>
            </w:pPr>
            <w:r>
              <w:rPr>
                <w:noProof/>
              </w:rPr>
              <w:t xml:space="preserve">C4G </w:t>
            </w:r>
          </w:p>
        </w:tc>
        <w:tc>
          <w:tcPr>
            <w:tcW w:w="3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C12DBBE" w14:textId="77777777" w:rsidR="00EB245A" w:rsidRDefault="006021EE">
            <w:pPr>
              <w:pStyle w:val="P68B1DB1-Normal46"/>
              <w:spacing w:line="259" w:lineRule="auto"/>
              <w:rPr>
                <w:rFonts w:cs="Times New Roman"/>
                <w:noProof/>
              </w:rPr>
            </w:pPr>
            <w:r>
              <w:rPr>
                <w:noProof/>
              </w:rPr>
              <w:t xml:space="preserve">C1.1.1 Sicherstellung des Zugangs zum Hochgeschwindigkeits-Internet in weißen Flecken </w:t>
            </w:r>
          </w:p>
        </w:tc>
        <w:tc>
          <w:tcPr>
            <w:tcW w:w="12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A84E83C" w14:textId="77777777" w:rsidR="00EB245A" w:rsidRDefault="006021EE">
            <w:pPr>
              <w:pStyle w:val="P68B1DB1-Normal46"/>
              <w:spacing w:line="259" w:lineRule="auto"/>
              <w:ind w:right="53"/>
              <w:jc w:val="center"/>
              <w:rPr>
                <w:rFonts w:cs="Times New Roman"/>
                <w:noProof/>
              </w:rPr>
            </w:pPr>
            <w:r>
              <w:rPr>
                <w:noProof/>
              </w:rPr>
              <w:t xml:space="preserve">Ziel </w:t>
            </w:r>
          </w:p>
        </w:tc>
        <w:tc>
          <w:tcPr>
            <w:tcW w:w="37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7CE0D6E" w14:textId="2413E543" w:rsidR="00EB245A" w:rsidRDefault="006021EE">
            <w:pPr>
              <w:pStyle w:val="P68B1DB1-Normal46"/>
              <w:spacing w:line="259" w:lineRule="auto"/>
              <w:rPr>
                <w:rFonts w:cs="Times New Roman"/>
                <w:noProof/>
              </w:rPr>
            </w:pPr>
            <w:r>
              <w:rPr>
                <w:noProof/>
              </w:rPr>
              <w:t xml:space="preserve">T1 – Zusätzliche Haushalte (Wohngebäude) mit Breitband-Internetzugang </w:t>
            </w:r>
          </w:p>
        </w:tc>
      </w:tr>
      <w:tr w:rsidR="00EB245A" w14:paraId="2F909026" w14:textId="77777777">
        <w:trPr>
          <w:trHeight w:val="1480"/>
        </w:trPr>
        <w:tc>
          <w:tcPr>
            <w:tcW w:w="19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D563956" w14:textId="57A127CC" w:rsidR="00EB245A" w:rsidRDefault="006021EE">
            <w:pPr>
              <w:pStyle w:val="P68B1DB1-Normal46"/>
              <w:spacing w:line="259" w:lineRule="auto"/>
              <w:ind w:right="51"/>
              <w:jc w:val="center"/>
              <w:rPr>
                <w:rFonts w:cs="Times New Roman"/>
                <w:noProof/>
              </w:rPr>
            </w:pPr>
            <w:r>
              <w:rPr>
                <w:noProof/>
              </w:rPr>
              <w:t xml:space="preserve">C7G </w:t>
            </w:r>
          </w:p>
        </w:tc>
        <w:tc>
          <w:tcPr>
            <w:tcW w:w="3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FE2554F" w14:textId="5C80B452" w:rsidR="00EB245A" w:rsidRDefault="006021EE">
            <w:pPr>
              <w:pStyle w:val="P68B1DB1-Normal46"/>
              <w:spacing w:line="259" w:lineRule="auto"/>
              <w:rPr>
                <w:rFonts w:cs="Times New Roman"/>
                <w:noProof/>
              </w:rPr>
            </w:pPr>
            <w:r>
              <w:rPr>
                <w:noProof/>
              </w:rPr>
              <w:t xml:space="preserve">C2.1 Ausbau digitaler Anwendungen im öffentlichen Raum, in der Wirtschaft und in der Gesellschaft </w:t>
            </w:r>
          </w:p>
        </w:tc>
        <w:tc>
          <w:tcPr>
            <w:tcW w:w="12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8EF92F7" w14:textId="50928741" w:rsidR="00EB245A" w:rsidRDefault="006021EE">
            <w:pPr>
              <w:pStyle w:val="P68B1DB1-Normal46"/>
              <w:spacing w:line="259" w:lineRule="auto"/>
              <w:ind w:right="53"/>
              <w:jc w:val="center"/>
              <w:rPr>
                <w:rFonts w:cs="Times New Roman"/>
                <w:noProof/>
              </w:rPr>
            </w:pPr>
            <w:r>
              <w:rPr>
                <w:noProof/>
              </w:rPr>
              <w:t xml:space="preserve">Meilenstein </w:t>
            </w:r>
          </w:p>
        </w:tc>
        <w:tc>
          <w:tcPr>
            <w:tcW w:w="37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9E5CA58" w14:textId="26C0F0E9" w:rsidR="00EB245A" w:rsidRDefault="006021EE">
            <w:pPr>
              <w:pStyle w:val="P68B1DB1-Normal46"/>
              <w:spacing w:line="259" w:lineRule="auto"/>
              <w:rPr>
                <w:rFonts w:cs="Times New Roman"/>
                <w:noProof/>
              </w:rPr>
            </w:pPr>
            <w:r>
              <w:rPr>
                <w:noProof/>
              </w:rPr>
              <w:t xml:space="preserve">Änderung des Gesetzes vom 17. Februar 2005 über die Informatisierung der Tätigkeiten von Einrichtungen, die öffentliche Aufgaben wahrnehmen </w:t>
            </w:r>
          </w:p>
        </w:tc>
      </w:tr>
      <w:tr w:rsidR="00EB245A" w14:paraId="77A529A1" w14:textId="77777777">
        <w:trPr>
          <w:trHeight w:val="719"/>
        </w:trPr>
        <w:tc>
          <w:tcPr>
            <w:tcW w:w="19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0CD376C" w14:textId="77777777" w:rsidR="00EB245A" w:rsidRDefault="006021EE">
            <w:pPr>
              <w:pStyle w:val="P68B1DB1-Normal46"/>
              <w:spacing w:line="259" w:lineRule="auto"/>
              <w:ind w:right="51"/>
              <w:jc w:val="center"/>
              <w:rPr>
                <w:rFonts w:cs="Times New Roman"/>
                <w:noProof/>
              </w:rPr>
            </w:pPr>
            <w:r>
              <w:rPr>
                <w:noProof/>
              </w:rPr>
              <w:t xml:space="preserve">C19G </w:t>
            </w:r>
          </w:p>
        </w:tc>
        <w:tc>
          <w:tcPr>
            <w:tcW w:w="3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BD41082" w14:textId="77777777" w:rsidR="00EB245A" w:rsidRDefault="006021EE">
            <w:pPr>
              <w:pStyle w:val="P68B1DB1-Normal46"/>
              <w:spacing w:line="259" w:lineRule="auto"/>
              <w:rPr>
                <w:rFonts w:cs="Times New Roman"/>
                <w:noProof/>
              </w:rPr>
            </w:pPr>
            <w:r>
              <w:rPr>
                <w:noProof/>
              </w:rPr>
              <w:t xml:space="preserve">C2.1.3 E-Kompetenzen </w:t>
            </w:r>
          </w:p>
        </w:tc>
        <w:tc>
          <w:tcPr>
            <w:tcW w:w="12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18A491B" w14:textId="77777777" w:rsidR="00EB245A" w:rsidRDefault="006021EE">
            <w:pPr>
              <w:pStyle w:val="P68B1DB1-Normal46"/>
              <w:spacing w:line="259" w:lineRule="auto"/>
              <w:ind w:right="53"/>
              <w:jc w:val="center"/>
              <w:rPr>
                <w:rFonts w:cs="Times New Roman"/>
                <w:noProof/>
              </w:rPr>
            </w:pPr>
            <w:r>
              <w:rPr>
                <w:noProof/>
              </w:rPr>
              <w:t xml:space="preserve">Ziel </w:t>
            </w:r>
          </w:p>
        </w:tc>
        <w:tc>
          <w:tcPr>
            <w:tcW w:w="37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12370A4" w14:textId="77777777" w:rsidR="00EB245A" w:rsidRDefault="006021EE">
            <w:pPr>
              <w:pStyle w:val="P68B1DB1-Normal46"/>
              <w:spacing w:line="259" w:lineRule="auto"/>
              <w:rPr>
                <w:rFonts w:cs="Times New Roman"/>
                <w:noProof/>
              </w:rPr>
            </w:pPr>
            <w:r>
              <w:rPr>
                <w:noProof/>
              </w:rPr>
              <w:t>T1 – Zusätzliche Personen, die in digitalen Kompetenzen, einschließlich digitale</w:t>
            </w:r>
            <w:r>
              <w:rPr>
                <w:noProof/>
              </w:rPr>
              <w:t xml:space="preserve">r Kompetenzen, geschult sind </w:t>
            </w:r>
          </w:p>
        </w:tc>
      </w:tr>
      <w:tr w:rsidR="00EB245A" w14:paraId="7A2ED645" w14:textId="77777777">
        <w:trPr>
          <w:trHeight w:val="719"/>
        </w:trPr>
        <w:tc>
          <w:tcPr>
            <w:tcW w:w="19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7CC79BE" w14:textId="612954C8" w:rsidR="00EB245A" w:rsidRDefault="006021EE">
            <w:pPr>
              <w:pStyle w:val="P68B1DB1-Normal46"/>
              <w:spacing w:line="259" w:lineRule="auto"/>
              <w:ind w:right="51"/>
              <w:jc w:val="center"/>
              <w:rPr>
                <w:rFonts w:cs="Times New Roman"/>
                <w:noProof/>
              </w:rPr>
            </w:pPr>
            <w:r>
              <w:rPr>
                <w:noProof/>
              </w:rPr>
              <w:t xml:space="preserve">C21G </w:t>
            </w:r>
          </w:p>
        </w:tc>
        <w:tc>
          <w:tcPr>
            <w:tcW w:w="3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A674C0F" w14:textId="09A67166" w:rsidR="00EB245A" w:rsidRDefault="006021EE">
            <w:pPr>
              <w:pStyle w:val="P68B1DB1-Normal46"/>
              <w:spacing w:line="259" w:lineRule="auto"/>
              <w:rPr>
                <w:rFonts w:cs="Times New Roman"/>
                <w:noProof/>
              </w:rPr>
            </w:pPr>
            <w:r>
              <w:rPr>
                <w:noProof/>
              </w:rPr>
              <w:t xml:space="preserve">C3.1 Verbesserung der Cybersicherheit von Informationssystemen, Stärkung der Datenverarbeitungsinfrastruktur und Optimierung der Infrastruktur der für die Sicherheit zuständigen staatlichen Dienste.  </w:t>
            </w:r>
          </w:p>
        </w:tc>
        <w:tc>
          <w:tcPr>
            <w:tcW w:w="12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7DDB3B7" w14:textId="51590961" w:rsidR="00EB245A" w:rsidRDefault="006021EE">
            <w:pPr>
              <w:pStyle w:val="P68B1DB1-Normal46"/>
              <w:spacing w:line="259" w:lineRule="auto"/>
              <w:ind w:right="53"/>
              <w:jc w:val="center"/>
              <w:rPr>
                <w:rFonts w:cs="Times New Roman"/>
                <w:noProof/>
              </w:rPr>
            </w:pPr>
            <w:r>
              <w:rPr>
                <w:noProof/>
              </w:rPr>
              <w:t xml:space="preserve">Meilenstein </w:t>
            </w:r>
          </w:p>
        </w:tc>
        <w:tc>
          <w:tcPr>
            <w:tcW w:w="37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F444C44" w14:textId="0112ECAA" w:rsidR="00EB245A" w:rsidRDefault="006021EE">
            <w:pPr>
              <w:pStyle w:val="P68B1DB1-Normal46"/>
              <w:spacing w:line="259" w:lineRule="auto"/>
              <w:rPr>
                <w:rFonts w:cs="Times New Roman"/>
                <w:noProof/>
              </w:rPr>
            </w:pPr>
            <w:r>
              <w:rPr>
                <w:noProof/>
              </w:rPr>
              <w:t>Änderung des Gesetzes vom 5. Juli 2018 über das nationale Cybersicherheitssystem</w:t>
            </w:r>
          </w:p>
        </w:tc>
      </w:tr>
      <w:tr w:rsidR="00EB245A" w14:paraId="31277438" w14:textId="77777777">
        <w:trPr>
          <w:trHeight w:val="1665"/>
        </w:trPr>
        <w:tc>
          <w:tcPr>
            <w:tcW w:w="19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E429FC1" w14:textId="7ED2981E" w:rsidR="00EB245A" w:rsidRDefault="006021EE">
            <w:pPr>
              <w:pStyle w:val="P68B1DB1-Normal46"/>
              <w:spacing w:line="259" w:lineRule="auto"/>
              <w:ind w:right="51"/>
              <w:jc w:val="center"/>
              <w:rPr>
                <w:rFonts w:cs="Times New Roman"/>
                <w:noProof/>
              </w:rPr>
            </w:pPr>
            <w:r>
              <w:rPr>
                <w:noProof/>
              </w:rPr>
              <w:t xml:space="preserve">C24G </w:t>
            </w:r>
          </w:p>
        </w:tc>
        <w:tc>
          <w:tcPr>
            <w:tcW w:w="3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022C316" w14:textId="77777777" w:rsidR="00EB245A" w:rsidRDefault="006021EE">
            <w:pPr>
              <w:pStyle w:val="P68B1DB1-Normal46"/>
              <w:spacing w:after="4" w:line="238" w:lineRule="auto"/>
              <w:rPr>
                <w:rFonts w:cs="Times New Roman"/>
                <w:noProof/>
              </w:rPr>
            </w:pPr>
            <w:r>
              <w:rPr>
                <w:noProof/>
              </w:rPr>
              <w:t xml:space="preserve">C3.1.1 Cybersicherheit – CyberPL, Infrastruktur für die Datenverarbeitung und Optimierung der Rechtsinfrastruktur </w:t>
            </w:r>
          </w:p>
          <w:p w14:paraId="5CF7AAE5" w14:textId="00A31D81" w:rsidR="00EB245A" w:rsidRDefault="006021EE">
            <w:pPr>
              <w:pStyle w:val="P68B1DB1-Normal46"/>
              <w:spacing w:line="259" w:lineRule="auto"/>
              <w:rPr>
                <w:rFonts w:cs="Times New Roman"/>
                <w:noProof/>
              </w:rPr>
            </w:pPr>
            <w:r>
              <w:rPr>
                <w:noProof/>
              </w:rPr>
              <w:t xml:space="preserve">Durchsetzungsdienste </w:t>
            </w:r>
          </w:p>
        </w:tc>
        <w:tc>
          <w:tcPr>
            <w:tcW w:w="12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463EFBB" w14:textId="0CAF90BE" w:rsidR="00EB245A" w:rsidRDefault="006021EE">
            <w:pPr>
              <w:pStyle w:val="P68B1DB1-Normal46"/>
              <w:spacing w:line="259" w:lineRule="auto"/>
              <w:ind w:right="53"/>
              <w:jc w:val="center"/>
              <w:rPr>
                <w:rFonts w:cs="Times New Roman"/>
                <w:noProof/>
              </w:rPr>
            </w:pPr>
            <w:r>
              <w:rPr>
                <w:noProof/>
              </w:rPr>
              <w:t xml:space="preserve">Meilenstein </w:t>
            </w:r>
          </w:p>
        </w:tc>
        <w:tc>
          <w:tcPr>
            <w:tcW w:w="37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8F098ED" w14:textId="46508950" w:rsidR="00EB245A" w:rsidRDefault="006021EE">
            <w:pPr>
              <w:pStyle w:val="P68B1DB1-Normal46"/>
              <w:spacing w:line="259" w:lineRule="auto"/>
              <w:rPr>
                <w:rFonts w:cs="Times New Roman"/>
                <w:noProof/>
              </w:rPr>
            </w:pPr>
            <w:r>
              <w:rPr>
                <w:noProof/>
              </w:rPr>
              <w:t xml:space="preserve">Unterzeichnung der Verträge für die Gebäude der Einrichtungen des Rechenzentrums </w:t>
            </w:r>
          </w:p>
        </w:tc>
      </w:tr>
      <w:tr w:rsidR="00EB245A" w14:paraId="551BEB5B" w14:textId="77777777">
        <w:trPr>
          <w:trHeight w:val="719"/>
        </w:trPr>
        <w:tc>
          <w:tcPr>
            <w:tcW w:w="19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374104F" w14:textId="588CC56D" w:rsidR="00EB245A" w:rsidRDefault="006021EE">
            <w:pPr>
              <w:pStyle w:val="P68B1DB1-Normal46"/>
              <w:spacing w:line="259" w:lineRule="auto"/>
              <w:ind w:right="51"/>
              <w:jc w:val="center"/>
              <w:rPr>
                <w:rFonts w:cs="Times New Roman"/>
                <w:noProof/>
              </w:rPr>
            </w:pPr>
            <w:r>
              <w:rPr>
                <w:noProof/>
              </w:rPr>
              <w:t>D10bG</w:t>
            </w:r>
          </w:p>
        </w:tc>
        <w:tc>
          <w:tcPr>
            <w:tcW w:w="3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6A2AB19" w14:textId="6734E58F" w:rsidR="00EB245A" w:rsidRDefault="006021EE">
            <w:pPr>
              <w:pStyle w:val="P68B1DB1-Normal46"/>
              <w:spacing w:after="4" w:line="238" w:lineRule="auto"/>
              <w:rPr>
                <w:rFonts w:cs="Times New Roman"/>
                <w:noProof/>
              </w:rPr>
            </w:pPr>
            <w:r>
              <w:rPr>
                <w:noProof/>
              </w:rPr>
              <w:t>D1.1.1 Entwicklung und Modernisierung der Infrastruktur hochspezialisierter Pflegezentren und anderer Gesundheitsdienstleister</w:t>
            </w:r>
          </w:p>
        </w:tc>
        <w:tc>
          <w:tcPr>
            <w:tcW w:w="12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98AB66C" w14:textId="2B7ECA54" w:rsidR="00EB245A" w:rsidRDefault="006021EE">
            <w:pPr>
              <w:pStyle w:val="P68B1DB1-Normal46"/>
              <w:spacing w:line="259" w:lineRule="auto"/>
              <w:ind w:right="53"/>
              <w:jc w:val="center"/>
              <w:rPr>
                <w:rFonts w:cs="Times New Roman"/>
                <w:noProof/>
              </w:rPr>
            </w:pPr>
            <w:r>
              <w:rPr>
                <w:noProof/>
              </w:rPr>
              <w:t>Meilenstein</w:t>
            </w:r>
          </w:p>
        </w:tc>
        <w:tc>
          <w:tcPr>
            <w:tcW w:w="37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A24C94A" w14:textId="77777777" w:rsidR="00EB245A" w:rsidRDefault="006021EE">
            <w:pPr>
              <w:pStyle w:val="P68B1DB1-paragraph47"/>
              <w:spacing w:before="0" w:beforeAutospacing="0" w:after="0" w:afterAutospacing="0" w:line="259" w:lineRule="auto"/>
              <w:rPr>
                <w:noProof/>
              </w:rPr>
            </w:pPr>
            <w:r>
              <w:rPr>
                <w:noProof/>
              </w:rPr>
              <w:t>Aufforderung zur Einreichung</w:t>
            </w:r>
            <w:r>
              <w:rPr>
                <w:noProof/>
              </w:rPr>
              <w:t xml:space="preserve"> von Vorschlägen für Krankenhäuser (im Rahmen des nationalen kardiologischen Netzes), die Finanzmittel beantragen</w:t>
            </w:r>
          </w:p>
          <w:p w14:paraId="304AEE61" w14:textId="77777777" w:rsidR="00EB245A" w:rsidRDefault="00EB245A">
            <w:pPr>
              <w:spacing w:line="259" w:lineRule="auto"/>
              <w:ind w:left="1"/>
              <w:rPr>
                <w:rFonts w:ascii="Times New Roman" w:hAnsi="Times New Roman" w:cs="Times New Roman"/>
                <w:noProof/>
              </w:rPr>
            </w:pPr>
          </w:p>
          <w:p w14:paraId="09852CFF" w14:textId="77777777" w:rsidR="00EB245A" w:rsidRDefault="00EB245A">
            <w:pPr>
              <w:spacing w:line="259" w:lineRule="auto"/>
              <w:rPr>
                <w:rFonts w:ascii="Times New Roman" w:hAnsi="Times New Roman" w:cs="Times New Roman"/>
                <w:noProof/>
              </w:rPr>
            </w:pPr>
          </w:p>
        </w:tc>
      </w:tr>
      <w:tr w:rsidR="00EB245A" w14:paraId="097D91DC" w14:textId="77777777">
        <w:trPr>
          <w:trHeight w:val="719"/>
        </w:trPr>
        <w:tc>
          <w:tcPr>
            <w:tcW w:w="19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5D9954E" w14:textId="45A7D88E" w:rsidR="00EB245A" w:rsidRDefault="006021EE">
            <w:pPr>
              <w:pStyle w:val="P68B1DB1-Normal46"/>
              <w:spacing w:line="259" w:lineRule="auto"/>
              <w:ind w:right="51"/>
              <w:jc w:val="center"/>
              <w:rPr>
                <w:rFonts w:cs="Times New Roman"/>
                <w:noProof/>
              </w:rPr>
            </w:pPr>
            <w:r>
              <w:rPr>
                <w:noProof/>
              </w:rPr>
              <w:t>D10cG</w:t>
            </w:r>
          </w:p>
        </w:tc>
        <w:tc>
          <w:tcPr>
            <w:tcW w:w="3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7419BE3" w14:textId="049F2355" w:rsidR="00EB245A" w:rsidRDefault="006021EE">
            <w:pPr>
              <w:pStyle w:val="P68B1DB1-Normal46"/>
              <w:spacing w:after="4" w:line="238" w:lineRule="auto"/>
              <w:rPr>
                <w:rFonts w:cs="Times New Roman"/>
                <w:noProof/>
              </w:rPr>
            </w:pPr>
            <w:r>
              <w:rPr>
                <w:noProof/>
              </w:rPr>
              <w:t>D1.1.1 Entwicklung und Modernisierung der Infrastruktur hochspezialisierter Pflegezentren und anderer Gesundheitsdienstleister</w:t>
            </w:r>
          </w:p>
        </w:tc>
        <w:tc>
          <w:tcPr>
            <w:tcW w:w="12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B064967" w14:textId="532B86D8" w:rsidR="00EB245A" w:rsidRDefault="006021EE">
            <w:pPr>
              <w:pStyle w:val="P68B1DB1-Normal46"/>
              <w:spacing w:line="259" w:lineRule="auto"/>
              <w:ind w:right="53"/>
              <w:jc w:val="center"/>
              <w:rPr>
                <w:rFonts w:cs="Times New Roman"/>
                <w:noProof/>
              </w:rPr>
            </w:pPr>
            <w:r>
              <w:rPr>
                <w:noProof/>
              </w:rPr>
              <w:t>Meilenstein</w:t>
            </w:r>
          </w:p>
        </w:tc>
        <w:tc>
          <w:tcPr>
            <w:tcW w:w="37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7E0DC58" w14:textId="77777777" w:rsidR="00EB245A" w:rsidRDefault="006021EE">
            <w:pPr>
              <w:pStyle w:val="P68B1DB1-paragraph47"/>
              <w:spacing w:before="0" w:beforeAutospacing="0" w:after="0" w:afterAutospacing="0"/>
              <w:rPr>
                <w:rFonts w:eastAsia="Calibri"/>
                <w:noProof/>
              </w:rPr>
            </w:pPr>
            <w:r>
              <w:rPr>
                <w:noProof/>
              </w:rPr>
              <w:t>Aufforderung zur Einreichung von Vorschlägen für Krankenhäuser, die eine Finanzierung beantragen</w:t>
            </w:r>
          </w:p>
          <w:p w14:paraId="1871E793" w14:textId="77777777" w:rsidR="00EB245A" w:rsidRDefault="00EB245A">
            <w:pPr>
              <w:spacing w:line="259" w:lineRule="auto"/>
              <w:ind w:left="1"/>
              <w:rPr>
                <w:rFonts w:ascii="Times New Roman" w:hAnsi="Times New Roman" w:cs="Times New Roman"/>
                <w:noProof/>
              </w:rPr>
            </w:pPr>
          </w:p>
          <w:p w14:paraId="2B3ACAA9" w14:textId="77777777" w:rsidR="00EB245A" w:rsidRDefault="00EB245A">
            <w:pPr>
              <w:spacing w:line="259" w:lineRule="auto"/>
              <w:rPr>
                <w:rFonts w:ascii="Times New Roman" w:hAnsi="Times New Roman" w:cs="Times New Roman"/>
                <w:noProof/>
              </w:rPr>
            </w:pPr>
          </w:p>
        </w:tc>
      </w:tr>
      <w:tr w:rsidR="00EB245A" w14:paraId="5AB7DB15" w14:textId="77777777">
        <w:trPr>
          <w:trHeight w:val="719"/>
        </w:trPr>
        <w:tc>
          <w:tcPr>
            <w:tcW w:w="19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CCA5A0A" w14:textId="060790A5" w:rsidR="00EB245A" w:rsidRDefault="006021EE">
            <w:pPr>
              <w:pStyle w:val="P68B1DB1-Normal46"/>
              <w:spacing w:line="259" w:lineRule="auto"/>
              <w:ind w:right="51"/>
              <w:jc w:val="center"/>
              <w:rPr>
                <w:rFonts w:cs="Times New Roman"/>
                <w:noProof/>
              </w:rPr>
            </w:pPr>
            <w:r>
              <w:rPr>
                <w:noProof/>
              </w:rPr>
              <w:t xml:space="preserve">D11G </w:t>
            </w:r>
          </w:p>
        </w:tc>
        <w:tc>
          <w:tcPr>
            <w:tcW w:w="3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9ED2266" w14:textId="6B44AEE1" w:rsidR="00EB245A" w:rsidRDefault="006021EE">
            <w:pPr>
              <w:pStyle w:val="P68B1DB1-Normal46"/>
              <w:spacing w:after="4" w:line="238" w:lineRule="auto"/>
              <w:rPr>
                <w:rFonts w:cs="Times New Roman"/>
                <w:noProof/>
              </w:rPr>
            </w:pPr>
            <w:r>
              <w:rPr>
                <w:noProof/>
              </w:rPr>
              <w:t xml:space="preserve">D1.1.1 Entwicklung und Modernisierung der Infrastruktur hochspezialisierter Pflegezentren und anderer Gesundheitsdienstleister </w:t>
            </w:r>
          </w:p>
        </w:tc>
        <w:tc>
          <w:tcPr>
            <w:tcW w:w="12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94D8B0D" w14:textId="44F5DCA2" w:rsidR="00EB245A" w:rsidRDefault="006021EE">
            <w:pPr>
              <w:pStyle w:val="P68B1DB1-Normal46"/>
              <w:spacing w:line="259" w:lineRule="auto"/>
              <w:ind w:right="53"/>
              <w:jc w:val="center"/>
              <w:rPr>
                <w:rFonts w:cs="Times New Roman"/>
                <w:noProof/>
              </w:rPr>
            </w:pPr>
            <w:r>
              <w:rPr>
                <w:noProof/>
              </w:rPr>
              <w:t xml:space="preserve">Ziel </w:t>
            </w:r>
          </w:p>
        </w:tc>
        <w:tc>
          <w:tcPr>
            <w:tcW w:w="37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EDC766C" w14:textId="271E0619" w:rsidR="00EB245A" w:rsidRDefault="006021EE">
            <w:pPr>
              <w:pStyle w:val="P68B1DB1-Normal46"/>
              <w:spacing w:line="259" w:lineRule="auto"/>
              <w:rPr>
                <w:rFonts w:cs="Times New Roman"/>
                <w:noProof/>
              </w:rPr>
            </w:pPr>
            <w:r>
              <w:rPr>
                <w:noProof/>
              </w:rPr>
              <w:t xml:space="preserve">T1 – Verträge zwischen Krankenhäusern und dem Gesundheitsministerium über den Erwerb medizinischer Ausrüstung oder über Infrastrukturinvestitionen </w:t>
            </w:r>
          </w:p>
        </w:tc>
      </w:tr>
      <w:tr w:rsidR="00EB245A" w14:paraId="61442D1E" w14:textId="77777777">
        <w:trPr>
          <w:trHeight w:val="719"/>
        </w:trPr>
        <w:tc>
          <w:tcPr>
            <w:tcW w:w="19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06619AF" w14:textId="48ADC527" w:rsidR="00EB245A" w:rsidRDefault="006021EE">
            <w:pPr>
              <w:pStyle w:val="P68B1DB1-Normal46"/>
              <w:spacing w:line="259" w:lineRule="auto"/>
              <w:ind w:right="51"/>
              <w:jc w:val="center"/>
              <w:rPr>
                <w:rFonts w:cs="Times New Roman"/>
                <w:noProof/>
              </w:rPr>
            </w:pPr>
            <w:r>
              <w:rPr>
                <w:noProof/>
              </w:rPr>
              <w:t xml:space="preserve">D39G </w:t>
            </w:r>
          </w:p>
        </w:tc>
        <w:tc>
          <w:tcPr>
            <w:tcW w:w="3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7F4196E" w14:textId="1B7EC786" w:rsidR="00EB245A" w:rsidRDefault="006021EE">
            <w:pPr>
              <w:pStyle w:val="P68B1DB1-Normal46"/>
              <w:spacing w:line="259" w:lineRule="auto"/>
              <w:ind w:left="1"/>
              <w:rPr>
                <w:rFonts w:cs="Times New Roman"/>
                <w:noProof/>
              </w:rPr>
            </w:pPr>
            <w:r>
              <w:rPr>
                <w:noProof/>
              </w:rPr>
              <w:t>D1.2.1 Ausbau der Langzeitpflege durch Modernisierung der Infrastruktur medizinischer Einrichtungen a</w:t>
            </w:r>
            <w:r>
              <w:rPr>
                <w:noProof/>
              </w:rPr>
              <w:t xml:space="preserve">uf Bezirksebene </w:t>
            </w:r>
          </w:p>
        </w:tc>
        <w:tc>
          <w:tcPr>
            <w:tcW w:w="12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A80560C" w14:textId="76A340E0" w:rsidR="00EB245A" w:rsidRDefault="006021EE">
            <w:pPr>
              <w:pStyle w:val="P68B1DB1-Normal46"/>
              <w:spacing w:line="259" w:lineRule="auto"/>
              <w:ind w:right="53"/>
              <w:jc w:val="center"/>
              <w:rPr>
                <w:rFonts w:cs="Times New Roman"/>
                <w:noProof/>
              </w:rPr>
            </w:pPr>
            <w:r>
              <w:rPr>
                <w:noProof/>
              </w:rPr>
              <w:t xml:space="preserve">Ziel </w:t>
            </w:r>
          </w:p>
        </w:tc>
        <w:tc>
          <w:tcPr>
            <w:tcW w:w="37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871CFF8" w14:textId="6FFCC476" w:rsidR="00EB245A" w:rsidRDefault="006021EE">
            <w:pPr>
              <w:pStyle w:val="P68B1DB1-Normal46"/>
              <w:spacing w:line="259" w:lineRule="auto"/>
              <w:rPr>
                <w:rFonts w:cs="Times New Roman"/>
                <w:noProof/>
              </w:rPr>
            </w:pPr>
            <w:r>
              <w:rPr>
                <w:noProof/>
              </w:rPr>
              <w:t>Unterzeichnete Verträge zwischen Bezirkskrankenhäusern und dem Gesundheitsministerium (oder einer anderen vom Ministerium benannten Einrichtung) über die Investitionsförderung in die Einrichtung von Langzeitpflege- und Geriatriestati</w:t>
            </w:r>
            <w:r>
              <w:rPr>
                <w:noProof/>
              </w:rPr>
              <w:t xml:space="preserve">onen/-zentren </w:t>
            </w:r>
          </w:p>
        </w:tc>
      </w:tr>
      <w:tr w:rsidR="00EB245A" w14:paraId="1258B6C8" w14:textId="77777777">
        <w:trPr>
          <w:trHeight w:val="719"/>
        </w:trPr>
        <w:tc>
          <w:tcPr>
            <w:tcW w:w="19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4C4BCB9" w14:textId="7068D91D" w:rsidR="00EB245A" w:rsidRDefault="006021EE">
            <w:pPr>
              <w:pStyle w:val="P68B1DB1-Normal46"/>
              <w:spacing w:line="259" w:lineRule="auto"/>
              <w:ind w:right="51"/>
              <w:jc w:val="center"/>
              <w:rPr>
                <w:rFonts w:cs="Times New Roman"/>
                <w:noProof/>
              </w:rPr>
            </w:pPr>
            <w:r>
              <w:rPr>
                <w:noProof/>
              </w:rPr>
              <w:t xml:space="preserve">E3G </w:t>
            </w:r>
          </w:p>
        </w:tc>
        <w:tc>
          <w:tcPr>
            <w:tcW w:w="3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A88CD4A" w14:textId="015E322A" w:rsidR="00EB245A" w:rsidRDefault="006021EE">
            <w:pPr>
              <w:pStyle w:val="P68B1DB1-Normal46"/>
              <w:spacing w:line="259" w:lineRule="auto"/>
              <w:rPr>
                <w:rFonts w:cs="Times New Roman"/>
                <w:noProof/>
              </w:rPr>
            </w:pPr>
            <w:r>
              <w:rPr>
                <w:noProof/>
              </w:rPr>
              <w:t xml:space="preserve">E1.1 Steigerung der Nutzung umweltfreundlicher Verkehrsmittel </w:t>
            </w:r>
          </w:p>
        </w:tc>
        <w:tc>
          <w:tcPr>
            <w:tcW w:w="12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D385FAE" w14:textId="15B715DB" w:rsidR="00EB245A" w:rsidRDefault="006021EE">
            <w:pPr>
              <w:pStyle w:val="P68B1DB1-Normal46"/>
              <w:spacing w:line="259" w:lineRule="auto"/>
              <w:ind w:right="53"/>
              <w:jc w:val="center"/>
              <w:rPr>
                <w:rFonts w:cs="Times New Roman"/>
                <w:noProof/>
              </w:rPr>
            </w:pPr>
            <w:r>
              <w:rPr>
                <w:noProof/>
              </w:rPr>
              <w:t xml:space="preserve">Meilenstein </w:t>
            </w:r>
          </w:p>
        </w:tc>
        <w:tc>
          <w:tcPr>
            <w:tcW w:w="37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6BB8135" w14:textId="2BCE2690" w:rsidR="00EB245A" w:rsidRDefault="006021EE">
            <w:pPr>
              <w:pStyle w:val="P68B1DB1-Normal46"/>
              <w:spacing w:line="259" w:lineRule="auto"/>
              <w:rPr>
                <w:rFonts w:cs="Times New Roman"/>
                <w:noProof/>
              </w:rPr>
            </w:pPr>
            <w:r>
              <w:rPr>
                <w:noProof/>
              </w:rPr>
              <w:t xml:space="preserve">Inkrafttreten eines Rechtsakts zur Einführung einer Zulassungsgebühr für emissionsrelevante Fahrzeuge im Einklang mit dem Verursacherprinzip </w:t>
            </w:r>
          </w:p>
        </w:tc>
      </w:tr>
      <w:tr w:rsidR="00EB245A" w14:paraId="44F06970" w14:textId="77777777">
        <w:trPr>
          <w:trHeight w:val="719"/>
        </w:trPr>
        <w:tc>
          <w:tcPr>
            <w:tcW w:w="19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80C1DD2" w14:textId="62397CF8" w:rsidR="00EB245A" w:rsidRDefault="006021EE">
            <w:pPr>
              <w:pStyle w:val="P68B1DB1-Normal46"/>
              <w:spacing w:line="259" w:lineRule="auto"/>
              <w:ind w:right="51"/>
              <w:jc w:val="center"/>
              <w:rPr>
                <w:rFonts w:cs="Times New Roman"/>
                <w:noProof/>
              </w:rPr>
            </w:pPr>
            <w:r>
              <w:rPr>
                <w:noProof/>
              </w:rPr>
              <w:t>E4aG</w:t>
            </w:r>
          </w:p>
        </w:tc>
        <w:tc>
          <w:tcPr>
            <w:tcW w:w="3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3E0C8C5" w14:textId="51A00A1F" w:rsidR="00EB245A" w:rsidRDefault="006021EE">
            <w:pPr>
              <w:pStyle w:val="P68B1DB1-Normal46"/>
              <w:spacing w:after="200" w:line="259" w:lineRule="auto"/>
              <w:rPr>
                <w:rFonts w:eastAsia="Times New Roman" w:cs="Times New Roman"/>
                <w:noProof/>
                <w:color w:val="006100"/>
                <w:sz w:val="18"/>
              </w:rPr>
            </w:pPr>
            <w:r>
              <w:rPr>
                <w:noProof/>
              </w:rPr>
              <w:t xml:space="preserve">E1.1. </w:t>
            </w:r>
            <w:r>
              <w:rPr>
                <w:noProof/>
              </w:rPr>
              <w:t>Verstärkte Nutzung umweltfreundlicher Verkehrsmittel</w:t>
            </w:r>
          </w:p>
        </w:tc>
        <w:tc>
          <w:tcPr>
            <w:tcW w:w="12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1831259" w14:textId="28D0D40E" w:rsidR="00EB245A" w:rsidRDefault="006021EE">
            <w:pPr>
              <w:pStyle w:val="P68B1DB1-Normal46"/>
              <w:spacing w:line="259" w:lineRule="auto"/>
              <w:ind w:right="53"/>
              <w:jc w:val="center"/>
              <w:rPr>
                <w:rFonts w:cs="Times New Roman"/>
                <w:noProof/>
              </w:rPr>
            </w:pPr>
            <w:r>
              <w:rPr>
                <w:noProof/>
              </w:rPr>
              <w:t>Meilenstein</w:t>
            </w:r>
          </w:p>
        </w:tc>
        <w:tc>
          <w:tcPr>
            <w:tcW w:w="37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C639FA5" w14:textId="7E26AF9A" w:rsidR="00EB245A" w:rsidRDefault="006021EE">
            <w:pPr>
              <w:pStyle w:val="P68B1DB1-Normal46"/>
              <w:spacing w:line="259" w:lineRule="auto"/>
              <w:rPr>
                <w:rFonts w:cs="Times New Roman"/>
                <w:noProof/>
              </w:rPr>
            </w:pPr>
            <w:r>
              <w:rPr>
                <w:noProof/>
              </w:rPr>
              <w:t>Start des Zuschussprogramms</w:t>
            </w:r>
          </w:p>
        </w:tc>
      </w:tr>
      <w:tr w:rsidR="00EB245A" w14:paraId="2E86BB87" w14:textId="77777777">
        <w:trPr>
          <w:trHeight w:val="719"/>
        </w:trPr>
        <w:tc>
          <w:tcPr>
            <w:tcW w:w="19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67ECD2B" w14:textId="01D50622" w:rsidR="00EB245A" w:rsidRDefault="006021EE">
            <w:pPr>
              <w:pStyle w:val="P68B1DB1-Normal46"/>
              <w:spacing w:line="259" w:lineRule="auto"/>
              <w:ind w:right="51"/>
              <w:jc w:val="center"/>
              <w:rPr>
                <w:rFonts w:cs="Times New Roman"/>
                <w:noProof/>
              </w:rPr>
            </w:pPr>
            <w:r>
              <w:rPr>
                <w:noProof/>
              </w:rPr>
              <w:t xml:space="preserve">E6G </w:t>
            </w:r>
          </w:p>
        </w:tc>
        <w:tc>
          <w:tcPr>
            <w:tcW w:w="3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991E595" w14:textId="645902E4" w:rsidR="00EB245A" w:rsidRDefault="006021EE">
            <w:pPr>
              <w:pStyle w:val="P68B1DB1-Normal46"/>
              <w:spacing w:line="259" w:lineRule="auto"/>
              <w:rPr>
                <w:rFonts w:cs="Times New Roman"/>
                <w:noProof/>
              </w:rPr>
            </w:pPr>
            <w:r>
              <w:rPr>
                <w:noProof/>
              </w:rPr>
              <w:t xml:space="preserve">E1.1 Steigerung der Nutzung umweltfreundlicher Verkehrsmittel </w:t>
            </w:r>
          </w:p>
        </w:tc>
        <w:tc>
          <w:tcPr>
            <w:tcW w:w="12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D213B60" w14:textId="45D0DC0B" w:rsidR="00EB245A" w:rsidRDefault="006021EE">
            <w:pPr>
              <w:pStyle w:val="P68B1DB1-Normal46"/>
              <w:spacing w:line="259" w:lineRule="auto"/>
              <w:ind w:right="53"/>
              <w:jc w:val="center"/>
              <w:rPr>
                <w:rFonts w:cs="Times New Roman"/>
                <w:noProof/>
              </w:rPr>
            </w:pPr>
            <w:r>
              <w:rPr>
                <w:noProof/>
              </w:rPr>
              <w:t xml:space="preserve">Ziel </w:t>
            </w:r>
          </w:p>
        </w:tc>
        <w:tc>
          <w:tcPr>
            <w:tcW w:w="37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8965C19" w14:textId="77777777" w:rsidR="00EB245A" w:rsidRDefault="006021EE">
            <w:pPr>
              <w:pStyle w:val="P68B1DB1-Normal46"/>
              <w:spacing w:line="259" w:lineRule="auto"/>
              <w:rPr>
                <w:rFonts w:cs="Times New Roman"/>
                <w:noProof/>
              </w:rPr>
            </w:pPr>
            <w:r>
              <w:rPr>
                <w:noProof/>
              </w:rPr>
              <w:t xml:space="preserve">Buslinien, die vom öffentlichen Bus unterstützt werden </w:t>
            </w:r>
          </w:p>
          <w:p w14:paraId="5EEFBF32" w14:textId="3B581D93" w:rsidR="00EB245A" w:rsidRDefault="006021EE">
            <w:pPr>
              <w:pStyle w:val="P68B1DB1-Normal46"/>
              <w:spacing w:line="259" w:lineRule="auto"/>
              <w:rPr>
                <w:rFonts w:cs="Times New Roman"/>
                <w:noProof/>
              </w:rPr>
            </w:pPr>
            <w:r>
              <w:rPr>
                <w:noProof/>
              </w:rPr>
              <w:t xml:space="preserve">Verkehrsfonds </w:t>
            </w:r>
          </w:p>
        </w:tc>
      </w:tr>
      <w:tr w:rsidR="00EB245A" w14:paraId="73A2A451" w14:textId="77777777">
        <w:trPr>
          <w:trHeight w:val="719"/>
        </w:trPr>
        <w:tc>
          <w:tcPr>
            <w:tcW w:w="19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149CFB5" w14:textId="4186B6A7" w:rsidR="00EB245A" w:rsidRDefault="006021EE">
            <w:pPr>
              <w:pStyle w:val="P68B1DB1-Normal46"/>
              <w:spacing w:line="259" w:lineRule="auto"/>
              <w:ind w:right="51"/>
              <w:jc w:val="center"/>
              <w:rPr>
                <w:rFonts w:cs="Times New Roman"/>
                <w:noProof/>
              </w:rPr>
            </w:pPr>
            <w:r>
              <w:rPr>
                <w:noProof/>
              </w:rPr>
              <w:t xml:space="preserve">E13G </w:t>
            </w:r>
          </w:p>
        </w:tc>
        <w:tc>
          <w:tcPr>
            <w:tcW w:w="3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7B2361C" w14:textId="681A0EFD" w:rsidR="00EB245A" w:rsidRDefault="006021EE">
            <w:pPr>
              <w:pStyle w:val="P68B1DB1-Normal46"/>
              <w:spacing w:line="259" w:lineRule="auto"/>
              <w:rPr>
                <w:rFonts w:cs="Times New Roman"/>
                <w:noProof/>
              </w:rPr>
            </w:pPr>
            <w:r>
              <w:rPr>
                <w:noProof/>
              </w:rPr>
              <w:t xml:space="preserve">E1.1.2 emissionsfreier und emissionsarmer öffentlicher Verkehr (Busse) </w:t>
            </w:r>
          </w:p>
        </w:tc>
        <w:tc>
          <w:tcPr>
            <w:tcW w:w="12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AD2A478" w14:textId="4ABDF672" w:rsidR="00EB245A" w:rsidRDefault="006021EE">
            <w:pPr>
              <w:pStyle w:val="P68B1DB1-Normal46"/>
              <w:spacing w:line="259" w:lineRule="auto"/>
              <w:ind w:right="53"/>
              <w:jc w:val="center"/>
              <w:rPr>
                <w:rFonts w:cs="Times New Roman"/>
                <w:noProof/>
              </w:rPr>
            </w:pPr>
            <w:r>
              <w:rPr>
                <w:noProof/>
              </w:rPr>
              <w:t xml:space="preserve">Meilenstein </w:t>
            </w:r>
          </w:p>
        </w:tc>
        <w:tc>
          <w:tcPr>
            <w:tcW w:w="37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4A45AE3" w14:textId="77777777" w:rsidR="00EB245A" w:rsidRDefault="006021EE">
            <w:pPr>
              <w:pStyle w:val="P68B1DB1-Normal46"/>
              <w:spacing w:line="259" w:lineRule="auto"/>
              <w:rPr>
                <w:rFonts w:cs="Times New Roman"/>
                <w:noProof/>
              </w:rPr>
            </w:pPr>
            <w:r>
              <w:rPr>
                <w:noProof/>
              </w:rPr>
              <w:t xml:space="preserve">Emissionsfreie und emissionsarme Fahrzeuge: </w:t>
            </w:r>
          </w:p>
          <w:p w14:paraId="1DFC5056" w14:textId="603FB0BF" w:rsidR="00EB245A" w:rsidRDefault="006021EE">
            <w:pPr>
              <w:pStyle w:val="P68B1DB1-Normal46"/>
              <w:spacing w:line="259" w:lineRule="auto"/>
              <w:rPr>
                <w:rFonts w:cs="Times New Roman"/>
                <w:noProof/>
              </w:rPr>
            </w:pPr>
            <w:r>
              <w:rPr>
                <w:noProof/>
              </w:rPr>
              <w:t xml:space="preserve">Auswahl der Begünstigten </w:t>
            </w:r>
          </w:p>
        </w:tc>
      </w:tr>
      <w:tr w:rsidR="00EB245A" w14:paraId="0232725A" w14:textId="77777777">
        <w:trPr>
          <w:trHeight w:val="719"/>
        </w:trPr>
        <w:tc>
          <w:tcPr>
            <w:tcW w:w="19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A268AD2" w14:textId="6448317D" w:rsidR="00EB245A" w:rsidRDefault="006021EE">
            <w:pPr>
              <w:pStyle w:val="P68B1DB1-Normal46"/>
              <w:spacing w:line="259" w:lineRule="auto"/>
              <w:ind w:right="51"/>
              <w:jc w:val="center"/>
              <w:rPr>
                <w:rFonts w:cs="Times New Roman"/>
                <w:noProof/>
              </w:rPr>
            </w:pPr>
            <w:r>
              <w:rPr>
                <w:noProof/>
              </w:rPr>
              <w:t xml:space="preserve">E16G </w:t>
            </w:r>
          </w:p>
        </w:tc>
        <w:tc>
          <w:tcPr>
            <w:tcW w:w="3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3A86C0A" w14:textId="409F816B" w:rsidR="00EB245A" w:rsidRDefault="006021EE">
            <w:pPr>
              <w:pStyle w:val="P68B1DB1-Normal46"/>
              <w:spacing w:line="259" w:lineRule="auto"/>
              <w:rPr>
                <w:rFonts w:cs="Times New Roman"/>
                <w:noProof/>
              </w:rPr>
            </w:pPr>
            <w:r>
              <w:rPr>
                <w:noProof/>
              </w:rPr>
              <w:t xml:space="preserve">E2.1 Stärkung der Wettbewerbsfähigkeit des Eisenbahnsektors </w:t>
            </w:r>
          </w:p>
        </w:tc>
        <w:tc>
          <w:tcPr>
            <w:tcW w:w="12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F4575A1" w14:textId="4234CD1F" w:rsidR="00EB245A" w:rsidRDefault="006021EE">
            <w:pPr>
              <w:pStyle w:val="P68B1DB1-Normal46"/>
              <w:spacing w:line="259" w:lineRule="auto"/>
              <w:ind w:right="53"/>
              <w:jc w:val="center"/>
              <w:rPr>
                <w:rFonts w:cs="Times New Roman"/>
                <w:noProof/>
              </w:rPr>
            </w:pPr>
            <w:r>
              <w:rPr>
                <w:noProof/>
              </w:rPr>
              <w:t xml:space="preserve">Ziel </w:t>
            </w:r>
          </w:p>
        </w:tc>
        <w:tc>
          <w:tcPr>
            <w:tcW w:w="37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6BE6B97" w14:textId="7EAE03A3" w:rsidR="00EB245A" w:rsidRDefault="006021EE">
            <w:pPr>
              <w:pStyle w:val="P68B1DB1-Normal46"/>
              <w:spacing w:line="259" w:lineRule="auto"/>
              <w:rPr>
                <w:rFonts w:cs="Times New Roman"/>
                <w:noProof/>
              </w:rPr>
            </w:pPr>
            <w:r>
              <w:rPr>
                <w:noProof/>
              </w:rPr>
              <w:t xml:space="preserve">Einführung eines Mautsystems auf neuen Straßen </w:t>
            </w:r>
          </w:p>
        </w:tc>
      </w:tr>
      <w:tr w:rsidR="00EB245A" w14:paraId="4F07AEDB" w14:textId="77777777">
        <w:trPr>
          <w:trHeight w:val="719"/>
        </w:trPr>
        <w:tc>
          <w:tcPr>
            <w:tcW w:w="19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E28FFB3" w14:textId="74CBF7CC" w:rsidR="00EB245A" w:rsidRDefault="006021EE">
            <w:pPr>
              <w:pStyle w:val="P68B1DB1-Normal46"/>
              <w:spacing w:line="259" w:lineRule="auto"/>
              <w:ind w:right="51"/>
              <w:jc w:val="center"/>
              <w:rPr>
                <w:rFonts w:cs="Times New Roman"/>
                <w:noProof/>
              </w:rPr>
            </w:pPr>
            <w:r>
              <w:rPr>
                <w:noProof/>
              </w:rPr>
              <w:t xml:space="preserve">E17G </w:t>
            </w:r>
          </w:p>
        </w:tc>
        <w:tc>
          <w:tcPr>
            <w:tcW w:w="3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5E682D2" w14:textId="4FEE510F" w:rsidR="00EB245A" w:rsidRDefault="006021EE">
            <w:pPr>
              <w:pStyle w:val="P68B1DB1-Normal46"/>
              <w:spacing w:line="259" w:lineRule="auto"/>
              <w:rPr>
                <w:rFonts w:cs="Times New Roman"/>
                <w:noProof/>
              </w:rPr>
            </w:pPr>
            <w:r>
              <w:rPr>
                <w:noProof/>
              </w:rPr>
              <w:t xml:space="preserve">E2.1.1 Eisenbahnstrecken </w:t>
            </w:r>
          </w:p>
        </w:tc>
        <w:tc>
          <w:tcPr>
            <w:tcW w:w="12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7357173" w14:textId="04A88159" w:rsidR="00EB245A" w:rsidRDefault="006021EE">
            <w:pPr>
              <w:pStyle w:val="P68B1DB1-Normal46"/>
              <w:spacing w:line="259" w:lineRule="auto"/>
              <w:ind w:right="53"/>
              <w:jc w:val="center"/>
              <w:rPr>
                <w:rFonts w:cs="Times New Roman"/>
                <w:noProof/>
              </w:rPr>
            </w:pPr>
            <w:r>
              <w:rPr>
                <w:noProof/>
              </w:rPr>
              <w:t xml:space="preserve">Meilenstein </w:t>
            </w:r>
          </w:p>
        </w:tc>
        <w:tc>
          <w:tcPr>
            <w:tcW w:w="37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84E4DB3" w14:textId="4F76DF17" w:rsidR="00EB245A" w:rsidRDefault="006021EE">
            <w:pPr>
              <w:pStyle w:val="P68B1DB1-Normal46"/>
              <w:spacing w:line="259" w:lineRule="auto"/>
              <w:rPr>
                <w:rFonts w:cs="Times New Roman"/>
                <w:noProof/>
              </w:rPr>
            </w:pPr>
            <w:r>
              <w:rPr>
                <w:noProof/>
              </w:rPr>
              <w:t xml:space="preserve">Unterzeichnung der Verträge im Anschluss an offene und wettbewerbliche Ausschreibungen </w:t>
            </w:r>
          </w:p>
        </w:tc>
      </w:tr>
      <w:tr w:rsidR="00EB245A" w14:paraId="11FA9BEC" w14:textId="77777777">
        <w:trPr>
          <w:trHeight w:val="719"/>
        </w:trPr>
        <w:tc>
          <w:tcPr>
            <w:tcW w:w="19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926401D" w14:textId="647A6A67" w:rsidR="00EB245A" w:rsidRDefault="006021EE">
            <w:pPr>
              <w:pStyle w:val="P68B1DB1-Normal46"/>
              <w:spacing w:line="259" w:lineRule="auto"/>
              <w:ind w:right="51"/>
              <w:jc w:val="center"/>
              <w:rPr>
                <w:rFonts w:cs="Times New Roman"/>
                <w:noProof/>
              </w:rPr>
            </w:pPr>
            <w:r>
              <w:rPr>
                <w:noProof/>
              </w:rPr>
              <w:t xml:space="preserve">E19G </w:t>
            </w:r>
          </w:p>
        </w:tc>
        <w:tc>
          <w:tcPr>
            <w:tcW w:w="3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B766E1B" w14:textId="4750D226" w:rsidR="00EB245A" w:rsidRDefault="006021EE">
            <w:pPr>
              <w:pStyle w:val="P68B1DB1-Normal46"/>
              <w:spacing w:line="259" w:lineRule="auto"/>
              <w:rPr>
                <w:rFonts w:cs="Times New Roman"/>
                <w:noProof/>
              </w:rPr>
            </w:pPr>
            <w:r>
              <w:rPr>
                <w:noProof/>
              </w:rPr>
              <w:t xml:space="preserve">E2.1.2 Schienenfahrzeuge für den Personenverkehr </w:t>
            </w:r>
          </w:p>
        </w:tc>
        <w:tc>
          <w:tcPr>
            <w:tcW w:w="12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96AC5EB" w14:textId="029AE8C1" w:rsidR="00EB245A" w:rsidRDefault="006021EE">
            <w:pPr>
              <w:pStyle w:val="P68B1DB1-Normal46"/>
              <w:spacing w:line="259" w:lineRule="auto"/>
              <w:ind w:right="53"/>
              <w:jc w:val="center"/>
              <w:rPr>
                <w:rFonts w:cs="Times New Roman"/>
                <w:noProof/>
              </w:rPr>
            </w:pPr>
            <w:r>
              <w:rPr>
                <w:noProof/>
              </w:rPr>
              <w:t xml:space="preserve">Meilenstein </w:t>
            </w:r>
          </w:p>
        </w:tc>
        <w:tc>
          <w:tcPr>
            <w:tcW w:w="37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037A67C" w14:textId="0BDFEBA3" w:rsidR="00EB245A" w:rsidRDefault="006021EE">
            <w:pPr>
              <w:pStyle w:val="P68B1DB1-Normal46"/>
              <w:spacing w:line="259" w:lineRule="auto"/>
              <w:rPr>
                <w:rFonts w:cs="Times New Roman"/>
                <w:noProof/>
              </w:rPr>
            </w:pPr>
            <w:r>
              <w:rPr>
                <w:noProof/>
              </w:rPr>
              <w:t xml:space="preserve">Unterzeichnung von Verträgen über Fahrzeuge im Personenverkehr </w:t>
            </w:r>
          </w:p>
        </w:tc>
      </w:tr>
      <w:tr w:rsidR="00EB245A" w14:paraId="43EDAAC8" w14:textId="77777777">
        <w:trPr>
          <w:trHeight w:val="719"/>
        </w:trPr>
        <w:tc>
          <w:tcPr>
            <w:tcW w:w="19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E7CBB48" w14:textId="0FBDA31C" w:rsidR="00EB245A" w:rsidRDefault="006021EE">
            <w:pPr>
              <w:pStyle w:val="P68B1DB1-Normal46"/>
              <w:spacing w:line="259" w:lineRule="auto"/>
              <w:ind w:right="51"/>
              <w:jc w:val="center"/>
              <w:rPr>
                <w:rFonts w:cs="Times New Roman"/>
                <w:noProof/>
              </w:rPr>
            </w:pPr>
            <w:r>
              <w:rPr>
                <w:noProof/>
              </w:rPr>
              <w:t xml:space="preserve">E21G </w:t>
            </w:r>
          </w:p>
        </w:tc>
        <w:tc>
          <w:tcPr>
            <w:tcW w:w="3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229728D" w14:textId="79272496" w:rsidR="00EB245A" w:rsidRDefault="006021EE">
            <w:pPr>
              <w:pStyle w:val="P68B1DB1-Normal46"/>
              <w:spacing w:line="259" w:lineRule="auto"/>
              <w:rPr>
                <w:rFonts w:cs="Times New Roman"/>
                <w:noProof/>
              </w:rPr>
            </w:pPr>
            <w:r>
              <w:rPr>
                <w:noProof/>
              </w:rPr>
              <w:t xml:space="preserve">E2.1.3 Intermodale Projekte </w:t>
            </w:r>
          </w:p>
        </w:tc>
        <w:tc>
          <w:tcPr>
            <w:tcW w:w="12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B1C6A4E" w14:textId="6DB39044" w:rsidR="00EB245A" w:rsidRDefault="006021EE">
            <w:pPr>
              <w:pStyle w:val="P68B1DB1-Normal46"/>
              <w:spacing w:line="259" w:lineRule="auto"/>
              <w:ind w:right="53"/>
              <w:jc w:val="center"/>
              <w:rPr>
                <w:rFonts w:cs="Times New Roman"/>
                <w:noProof/>
              </w:rPr>
            </w:pPr>
            <w:r>
              <w:rPr>
                <w:noProof/>
              </w:rPr>
              <w:t xml:space="preserve">Meilenstein </w:t>
            </w:r>
          </w:p>
        </w:tc>
        <w:tc>
          <w:tcPr>
            <w:tcW w:w="37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C271F6F" w14:textId="1CB2719F" w:rsidR="00EB245A" w:rsidRDefault="006021EE">
            <w:pPr>
              <w:pStyle w:val="P68B1DB1-Normal46"/>
              <w:spacing w:line="259" w:lineRule="auto"/>
              <w:rPr>
                <w:rFonts w:cs="Times New Roman"/>
                <w:noProof/>
              </w:rPr>
            </w:pPr>
            <w:r>
              <w:rPr>
                <w:noProof/>
              </w:rPr>
              <w:t xml:space="preserve">Unterzeichnung von Verträgen für Projekte im Bereich des intermodalen Verkehrs </w:t>
            </w:r>
          </w:p>
        </w:tc>
      </w:tr>
      <w:tr w:rsidR="00EB245A" w14:paraId="5B6AFD6B" w14:textId="77777777">
        <w:trPr>
          <w:trHeight w:val="719"/>
        </w:trPr>
        <w:tc>
          <w:tcPr>
            <w:tcW w:w="19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01E121C" w14:textId="3288D527" w:rsidR="00EB245A" w:rsidRDefault="006021EE">
            <w:pPr>
              <w:pStyle w:val="P68B1DB1-Normal46"/>
              <w:spacing w:line="259" w:lineRule="auto"/>
              <w:ind w:right="51"/>
              <w:jc w:val="center"/>
              <w:rPr>
                <w:rFonts w:cs="Times New Roman"/>
                <w:noProof/>
              </w:rPr>
            </w:pPr>
            <w:r>
              <w:rPr>
                <w:noProof/>
              </w:rPr>
              <w:t xml:space="preserve">G1G </w:t>
            </w:r>
          </w:p>
        </w:tc>
        <w:tc>
          <w:tcPr>
            <w:tcW w:w="3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CA9AC30" w14:textId="4666067E" w:rsidR="00EB245A" w:rsidRDefault="006021EE">
            <w:pPr>
              <w:pStyle w:val="P68B1DB1-Normal46"/>
              <w:spacing w:line="259" w:lineRule="auto"/>
              <w:rPr>
                <w:rFonts w:cs="Times New Roman"/>
                <w:noProof/>
              </w:rPr>
            </w:pPr>
            <w:r>
              <w:rPr>
                <w:noProof/>
              </w:rPr>
              <w:t xml:space="preserve">G1.1.1 Förderung der Entwicklung lokaler Energiegemeinschaften   </w:t>
            </w:r>
          </w:p>
        </w:tc>
        <w:tc>
          <w:tcPr>
            <w:tcW w:w="12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43F9C7C" w14:textId="5313FAFF" w:rsidR="00EB245A" w:rsidRDefault="006021EE">
            <w:pPr>
              <w:pStyle w:val="P68B1DB1-Normal46"/>
              <w:spacing w:line="259" w:lineRule="auto"/>
              <w:ind w:right="53"/>
              <w:jc w:val="center"/>
              <w:rPr>
                <w:rFonts w:cs="Times New Roman"/>
                <w:noProof/>
              </w:rPr>
            </w:pPr>
            <w:r>
              <w:rPr>
                <w:noProof/>
              </w:rPr>
              <w:t xml:space="preserve">Meilenstein </w:t>
            </w:r>
          </w:p>
        </w:tc>
        <w:tc>
          <w:tcPr>
            <w:tcW w:w="37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762FC03" w14:textId="4090DFB4" w:rsidR="00EB245A" w:rsidRDefault="006021EE">
            <w:pPr>
              <w:pStyle w:val="P68B1DB1-Normal46"/>
              <w:spacing w:line="259" w:lineRule="auto"/>
              <w:rPr>
                <w:rFonts w:cs="Times New Roman"/>
                <w:noProof/>
              </w:rPr>
            </w:pPr>
            <w:r>
              <w:rPr>
                <w:noProof/>
              </w:rPr>
              <w:t>Analyse der Hindernisse für die Entwicklung von Energiegemeinschaften und Energiegenossenschaften, die im Rahmen des Programms zur Unterstützung von Vorinvestitionen ermittelt w</w:t>
            </w:r>
            <w:r>
              <w:rPr>
                <w:noProof/>
              </w:rPr>
              <w:t xml:space="preserve">urden   </w:t>
            </w:r>
          </w:p>
        </w:tc>
      </w:tr>
      <w:tr w:rsidR="00EB245A" w14:paraId="4D4ECCA8" w14:textId="77777777">
        <w:trPr>
          <w:trHeight w:val="719"/>
        </w:trPr>
        <w:tc>
          <w:tcPr>
            <w:tcW w:w="19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BF38C69" w14:textId="630E1FA6" w:rsidR="00EB245A" w:rsidRDefault="006021EE">
            <w:pPr>
              <w:pStyle w:val="P68B1DB1-Normal46"/>
              <w:spacing w:line="259" w:lineRule="auto"/>
              <w:ind w:right="51"/>
              <w:jc w:val="center"/>
              <w:rPr>
                <w:rFonts w:cs="Times New Roman"/>
                <w:noProof/>
              </w:rPr>
            </w:pPr>
            <w:r>
              <w:rPr>
                <w:noProof/>
              </w:rPr>
              <w:t xml:space="preserve">G7G </w:t>
            </w:r>
          </w:p>
        </w:tc>
        <w:tc>
          <w:tcPr>
            <w:tcW w:w="3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95E8072" w14:textId="2FE0FC3F" w:rsidR="00EB245A" w:rsidRDefault="006021EE">
            <w:pPr>
              <w:pStyle w:val="P68B1DB1-Normal46"/>
              <w:spacing w:line="259" w:lineRule="auto"/>
              <w:rPr>
                <w:rFonts w:cs="Times New Roman"/>
                <w:noProof/>
              </w:rPr>
            </w:pPr>
            <w:r>
              <w:rPr>
                <w:noProof/>
              </w:rPr>
              <w:t xml:space="preserve">G1.1.4 Unterstützung von Institutionen, die REPowerEU-Reformen und -Investitionen umsetzen </w:t>
            </w:r>
          </w:p>
        </w:tc>
        <w:tc>
          <w:tcPr>
            <w:tcW w:w="12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9726942" w14:textId="6539C7AA" w:rsidR="00EB245A" w:rsidRDefault="006021EE">
            <w:pPr>
              <w:pStyle w:val="P68B1DB1-Normal46"/>
              <w:spacing w:line="259" w:lineRule="auto"/>
              <w:ind w:right="53"/>
              <w:jc w:val="center"/>
              <w:rPr>
                <w:rFonts w:cs="Times New Roman"/>
                <w:noProof/>
              </w:rPr>
            </w:pPr>
            <w:r>
              <w:rPr>
                <w:noProof/>
              </w:rPr>
              <w:t xml:space="preserve">Ziel </w:t>
            </w:r>
          </w:p>
        </w:tc>
        <w:tc>
          <w:tcPr>
            <w:tcW w:w="37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53CECA2" w14:textId="74ADA93C" w:rsidR="00EB245A" w:rsidRDefault="006021EE">
            <w:pPr>
              <w:pStyle w:val="P68B1DB1-Normal46"/>
              <w:spacing w:line="259" w:lineRule="auto"/>
              <w:rPr>
                <w:rFonts w:cs="Times New Roman"/>
                <w:noProof/>
              </w:rPr>
            </w:pPr>
            <w:r>
              <w:rPr>
                <w:noProof/>
              </w:rPr>
              <w:t xml:space="preserve">Ausbau der Verwaltungskapazität für die Umsetzung von REPowerEU-Reformen und -Investitionen </w:t>
            </w:r>
          </w:p>
        </w:tc>
      </w:tr>
      <w:tr w:rsidR="00EB245A" w14:paraId="7BEEE042" w14:textId="77777777">
        <w:trPr>
          <w:trHeight w:val="719"/>
        </w:trPr>
        <w:tc>
          <w:tcPr>
            <w:tcW w:w="19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0474171" w14:textId="161E3472" w:rsidR="00EB245A" w:rsidRDefault="006021EE">
            <w:pPr>
              <w:pStyle w:val="P68B1DB1-Normal46"/>
              <w:spacing w:line="259" w:lineRule="auto"/>
              <w:ind w:right="51"/>
              <w:jc w:val="center"/>
              <w:rPr>
                <w:rFonts w:cs="Times New Roman"/>
                <w:noProof/>
              </w:rPr>
            </w:pPr>
            <w:r>
              <w:rPr>
                <w:noProof/>
              </w:rPr>
              <w:t xml:space="preserve">G12G </w:t>
            </w:r>
          </w:p>
        </w:tc>
        <w:tc>
          <w:tcPr>
            <w:tcW w:w="3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8A64AFE" w14:textId="1FCEC59E" w:rsidR="00EB245A" w:rsidRDefault="006021EE">
            <w:pPr>
              <w:pStyle w:val="P68B1DB1-Normal46"/>
              <w:spacing w:line="259" w:lineRule="auto"/>
              <w:rPr>
                <w:rFonts w:cs="Times New Roman"/>
                <w:noProof/>
              </w:rPr>
            </w:pPr>
            <w:r>
              <w:rPr>
                <w:noProof/>
              </w:rPr>
              <w:t>G1.2.1 Regelungslösungen für eine beschleun</w:t>
            </w:r>
            <w:r>
              <w:rPr>
                <w:noProof/>
              </w:rPr>
              <w:t xml:space="preserve">igte Integration erneuerbarer Energien in die Verteilernetze </w:t>
            </w:r>
          </w:p>
        </w:tc>
        <w:tc>
          <w:tcPr>
            <w:tcW w:w="12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E97BBED" w14:textId="5A800DD2" w:rsidR="00EB245A" w:rsidRDefault="006021EE">
            <w:pPr>
              <w:pStyle w:val="P68B1DB1-Normal46"/>
              <w:spacing w:line="259" w:lineRule="auto"/>
              <w:ind w:right="53"/>
              <w:jc w:val="center"/>
              <w:rPr>
                <w:rFonts w:cs="Times New Roman"/>
                <w:noProof/>
              </w:rPr>
            </w:pPr>
            <w:r>
              <w:rPr>
                <w:noProof/>
              </w:rPr>
              <w:t xml:space="preserve">Meilenstein </w:t>
            </w:r>
          </w:p>
        </w:tc>
        <w:tc>
          <w:tcPr>
            <w:tcW w:w="37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E116223" w14:textId="7D9F1FCE" w:rsidR="00EB245A" w:rsidRDefault="006021EE">
            <w:pPr>
              <w:pStyle w:val="P68B1DB1-Normal46"/>
              <w:spacing w:line="259" w:lineRule="auto"/>
              <w:rPr>
                <w:rFonts w:cs="Times New Roman"/>
                <w:noProof/>
              </w:rPr>
            </w:pPr>
            <w:r>
              <w:rPr>
                <w:noProof/>
              </w:rPr>
              <w:t xml:space="preserve">Annahme des neuen Regulierungsmodells durch den Präsidenten der Energieregulierungsbehörde </w:t>
            </w:r>
          </w:p>
        </w:tc>
      </w:tr>
      <w:tr w:rsidR="00EB245A" w14:paraId="4CEE729C" w14:textId="77777777">
        <w:trPr>
          <w:trHeight w:val="719"/>
        </w:trPr>
        <w:tc>
          <w:tcPr>
            <w:tcW w:w="19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C0C4123" w14:textId="72AFA9C1" w:rsidR="00EB245A" w:rsidRDefault="006021EE">
            <w:pPr>
              <w:pStyle w:val="P68B1DB1-Normal46"/>
              <w:spacing w:line="259" w:lineRule="auto"/>
              <w:ind w:right="51"/>
              <w:jc w:val="center"/>
              <w:rPr>
                <w:rFonts w:cs="Times New Roman"/>
                <w:noProof/>
              </w:rPr>
            </w:pPr>
            <w:r>
              <w:rPr>
                <w:noProof/>
              </w:rPr>
              <w:t xml:space="preserve">G15G </w:t>
            </w:r>
          </w:p>
        </w:tc>
        <w:tc>
          <w:tcPr>
            <w:tcW w:w="3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D2BC7D5" w14:textId="58103E35" w:rsidR="00EB245A" w:rsidRDefault="006021EE">
            <w:pPr>
              <w:pStyle w:val="P68B1DB1-Normal46"/>
              <w:spacing w:line="259" w:lineRule="auto"/>
              <w:rPr>
                <w:rFonts w:cs="Times New Roman"/>
                <w:noProof/>
              </w:rPr>
            </w:pPr>
            <w:r>
              <w:rPr>
                <w:noProof/>
              </w:rPr>
              <w:t xml:space="preserve">G1.2.3 Ausbau der Übertragungsnetze, intelligente Strominfrastruktur </w:t>
            </w:r>
          </w:p>
        </w:tc>
        <w:tc>
          <w:tcPr>
            <w:tcW w:w="12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39E3AC8" w14:textId="022F6314" w:rsidR="00EB245A" w:rsidRDefault="006021EE">
            <w:pPr>
              <w:pStyle w:val="P68B1DB1-Normal46"/>
              <w:spacing w:line="259" w:lineRule="auto"/>
              <w:ind w:right="53"/>
              <w:jc w:val="center"/>
              <w:rPr>
                <w:rFonts w:cs="Times New Roman"/>
                <w:noProof/>
              </w:rPr>
            </w:pPr>
            <w:r>
              <w:rPr>
                <w:noProof/>
              </w:rPr>
              <w:t xml:space="preserve">Ziel </w:t>
            </w:r>
          </w:p>
        </w:tc>
        <w:tc>
          <w:tcPr>
            <w:tcW w:w="37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841BCA2" w14:textId="6EF8B85A" w:rsidR="00EB245A" w:rsidRDefault="006021EE">
            <w:pPr>
              <w:pStyle w:val="P68B1DB1-Normal46"/>
              <w:spacing w:line="259" w:lineRule="auto"/>
              <w:rPr>
                <w:rFonts w:cs="Times New Roman"/>
                <w:noProof/>
              </w:rPr>
            </w:pPr>
            <w:r>
              <w:rPr>
                <w:noProof/>
              </w:rPr>
              <w:t xml:space="preserve">Länge des neu gebauten oder modernisierten Stromübertragungsnetzes (km) </w:t>
            </w:r>
          </w:p>
        </w:tc>
      </w:tr>
      <w:tr w:rsidR="00EB245A" w14:paraId="2C7B9097" w14:textId="77777777">
        <w:trPr>
          <w:trHeight w:val="719"/>
        </w:trPr>
        <w:tc>
          <w:tcPr>
            <w:tcW w:w="19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DC5C6E8" w14:textId="1B66B3D8" w:rsidR="00EB245A" w:rsidRDefault="006021EE">
            <w:pPr>
              <w:pStyle w:val="P68B1DB1-Normal46"/>
              <w:spacing w:line="259" w:lineRule="auto"/>
              <w:ind w:right="51"/>
              <w:jc w:val="center"/>
              <w:rPr>
                <w:rFonts w:cs="Times New Roman"/>
                <w:noProof/>
              </w:rPr>
            </w:pPr>
            <w:r>
              <w:rPr>
                <w:noProof/>
              </w:rPr>
              <w:t xml:space="preserve">G18G </w:t>
            </w:r>
          </w:p>
        </w:tc>
        <w:tc>
          <w:tcPr>
            <w:tcW w:w="3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76CA033" w14:textId="4E0E27C8" w:rsidR="00EB245A" w:rsidRDefault="006021EE">
            <w:pPr>
              <w:pStyle w:val="P68B1DB1-Normal46"/>
              <w:spacing w:line="259" w:lineRule="auto"/>
              <w:rPr>
                <w:rFonts w:cs="Times New Roman"/>
                <w:noProof/>
              </w:rPr>
            </w:pPr>
            <w:r>
              <w:rPr>
                <w:noProof/>
              </w:rPr>
              <w:t xml:space="preserve">G1.2.3 Ausbau der Übertragungsnetze, intelligente Strominfrastruktur </w:t>
            </w:r>
          </w:p>
        </w:tc>
        <w:tc>
          <w:tcPr>
            <w:tcW w:w="12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D4AB059" w14:textId="1018F3FC" w:rsidR="00EB245A" w:rsidRDefault="006021EE">
            <w:pPr>
              <w:pStyle w:val="P68B1DB1-Normal46"/>
              <w:spacing w:line="259" w:lineRule="auto"/>
              <w:ind w:right="53"/>
              <w:jc w:val="center"/>
              <w:rPr>
                <w:rFonts w:cs="Times New Roman"/>
                <w:noProof/>
              </w:rPr>
            </w:pPr>
            <w:r>
              <w:rPr>
                <w:noProof/>
              </w:rPr>
              <w:t xml:space="preserve">Meilenstein </w:t>
            </w:r>
          </w:p>
        </w:tc>
        <w:tc>
          <w:tcPr>
            <w:tcW w:w="37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854B33C" w14:textId="77777777" w:rsidR="00EB245A" w:rsidRDefault="006021EE">
            <w:pPr>
              <w:pStyle w:val="P68B1DB1-Normal46"/>
              <w:spacing w:line="259" w:lineRule="auto"/>
              <w:rPr>
                <w:rFonts w:cs="Times New Roman"/>
                <w:noProof/>
              </w:rPr>
            </w:pPr>
            <w:r>
              <w:rPr>
                <w:noProof/>
              </w:rPr>
              <w:t xml:space="preserve">Finanzhilfevereinbarung </w:t>
            </w:r>
          </w:p>
          <w:p w14:paraId="355C2EC8" w14:textId="03B11989" w:rsidR="00EB245A" w:rsidRDefault="006021EE">
            <w:pPr>
              <w:pStyle w:val="P68B1DB1-Normal46"/>
              <w:spacing w:line="259" w:lineRule="auto"/>
              <w:rPr>
                <w:rFonts w:cs="Times New Roman"/>
                <w:noProof/>
              </w:rPr>
            </w:pPr>
            <w:r>
              <w:rPr>
                <w:noProof/>
              </w:rPr>
              <w:t xml:space="preserve">zwischen dem Übertragungsnetzbetreiber (ÜNB) und den Behörden über den Aufbau und die Unterstützung von Übertragungsnetzen </w:t>
            </w:r>
          </w:p>
        </w:tc>
      </w:tr>
      <w:tr w:rsidR="00EB245A" w14:paraId="197E9E89" w14:textId="77777777">
        <w:trPr>
          <w:trHeight w:val="719"/>
        </w:trPr>
        <w:tc>
          <w:tcPr>
            <w:tcW w:w="19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FB658F9" w14:textId="2994A0F2" w:rsidR="00EB245A" w:rsidRDefault="006021EE">
            <w:pPr>
              <w:pStyle w:val="P68B1DB1-Normal46"/>
              <w:spacing w:line="259" w:lineRule="auto"/>
              <w:ind w:right="51"/>
              <w:jc w:val="center"/>
              <w:rPr>
                <w:rFonts w:cs="Times New Roman"/>
                <w:noProof/>
              </w:rPr>
            </w:pPr>
            <w:r>
              <w:rPr>
                <w:noProof/>
              </w:rPr>
              <w:t xml:space="preserve">G23G </w:t>
            </w:r>
          </w:p>
        </w:tc>
        <w:tc>
          <w:tcPr>
            <w:tcW w:w="3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180134F" w14:textId="5648F898" w:rsidR="00EB245A" w:rsidRDefault="006021EE">
            <w:pPr>
              <w:pStyle w:val="P68B1DB1-Normal46"/>
              <w:spacing w:line="259" w:lineRule="auto"/>
              <w:rPr>
                <w:rFonts w:cs="Times New Roman"/>
                <w:noProof/>
              </w:rPr>
            </w:pPr>
            <w:r>
              <w:rPr>
                <w:noProof/>
              </w:rPr>
              <w:t>G1.2.4 Bau oder Modernisierung von Stromverteilungsnetzen in ländlichen Gebieten, um den Anschluss neuer erneuerbarer Energie</w:t>
            </w:r>
            <w:r>
              <w:rPr>
                <w:noProof/>
              </w:rPr>
              <w:t>quellen zu ermöglichen</w:t>
            </w:r>
          </w:p>
        </w:tc>
        <w:tc>
          <w:tcPr>
            <w:tcW w:w="12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971A926" w14:textId="067A02C8" w:rsidR="00EB245A" w:rsidRDefault="006021EE">
            <w:pPr>
              <w:pStyle w:val="P68B1DB1-Normal46"/>
              <w:spacing w:line="259" w:lineRule="auto"/>
              <w:ind w:right="53"/>
              <w:jc w:val="center"/>
              <w:rPr>
                <w:rFonts w:cs="Times New Roman"/>
                <w:noProof/>
              </w:rPr>
            </w:pPr>
            <w:r>
              <w:rPr>
                <w:noProof/>
              </w:rPr>
              <w:t xml:space="preserve">Meilenstein </w:t>
            </w:r>
          </w:p>
        </w:tc>
        <w:tc>
          <w:tcPr>
            <w:tcW w:w="37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872DC69" w14:textId="11C95906" w:rsidR="00EB245A" w:rsidRDefault="006021EE">
            <w:pPr>
              <w:pStyle w:val="P68B1DB1-Normal46"/>
              <w:spacing w:line="259" w:lineRule="auto"/>
              <w:rPr>
                <w:rFonts w:cs="Times New Roman"/>
                <w:noProof/>
              </w:rPr>
            </w:pPr>
            <w:r>
              <w:rPr>
                <w:noProof/>
              </w:rPr>
              <w:t xml:space="preserve">Ermittlung und Definition von Projekten  </w:t>
            </w:r>
          </w:p>
        </w:tc>
      </w:tr>
      <w:tr w:rsidR="00EB245A" w14:paraId="683ABE53" w14:textId="77777777">
        <w:trPr>
          <w:trHeight w:val="719"/>
        </w:trPr>
        <w:tc>
          <w:tcPr>
            <w:tcW w:w="19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5950CC4" w14:textId="30A45FBA" w:rsidR="00EB245A" w:rsidRDefault="006021EE">
            <w:pPr>
              <w:pStyle w:val="P68B1DB1-Normal46"/>
              <w:spacing w:line="259" w:lineRule="auto"/>
              <w:ind w:right="51"/>
              <w:jc w:val="center"/>
              <w:rPr>
                <w:rFonts w:cs="Times New Roman"/>
                <w:noProof/>
              </w:rPr>
            </w:pPr>
            <w:r>
              <w:rPr>
                <w:noProof/>
              </w:rPr>
              <w:t xml:space="preserve">G26G </w:t>
            </w:r>
          </w:p>
        </w:tc>
        <w:tc>
          <w:tcPr>
            <w:tcW w:w="3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2177220" w14:textId="2CF939CA" w:rsidR="00EB245A" w:rsidRDefault="006021EE">
            <w:pPr>
              <w:pStyle w:val="P68B1DB1-Normal46"/>
              <w:spacing w:line="259" w:lineRule="auto"/>
              <w:rPr>
                <w:rFonts w:cs="Times New Roman"/>
                <w:noProof/>
              </w:rPr>
            </w:pPr>
            <w:r>
              <w:rPr>
                <w:noProof/>
              </w:rPr>
              <w:t xml:space="preserve">G1.3.2 Nullemissionsfreier öffentlicher Verkehr (Busse) </w:t>
            </w:r>
          </w:p>
        </w:tc>
        <w:tc>
          <w:tcPr>
            <w:tcW w:w="12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88214F0" w14:textId="702ABE57" w:rsidR="00EB245A" w:rsidRDefault="006021EE">
            <w:pPr>
              <w:pStyle w:val="P68B1DB1-Normal46"/>
              <w:spacing w:line="259" w:lineRule="auto"/>
              <w:ind w:right="53"/>
              <w:jc w:val="center"/>
              <w:rPr>
                <w:rFonts w:cs="Times New Roman"/>
                <w:noProof/>
              </w:rPr>
            </w:pPr>
            <w:r>
              <w:rPr>
                <w:noProof/>
              </w:rPr>
              <w:t xml:space="preserve">Meilenstein </w:t>
            </w:r>
          </w:p>
        </w:tc>
        <w:tc>
          <w:tcPr>
            <w:tcW w:w="37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2D50625" w14:textId="77777777" w:rsidR="00EB245A" w:rsidRDefault="006021EE">
            <w:pPr>
              <w:pStyle w:val="P68B1DB1-Normal46"/>
              <w:spacing w:line="259" w:lineRule="auto"/>
              <w:ind w:left="1"/>
              <w:rPr>
                <w:rFonts w:cs="Times New Roman"/>
                <w:noProof/>
              </w:rPr>
            </w:pPr>
            <w:r>
              <w:rPr>
                <w:noProof/>
              </w:rPr>
              <w:t xml:space="preserve">Emissionsfreie Fahrzeuge für den Stadtverkehr: </w:t>
            </w:r>
          </w:p>
          <w:p w14:paraId="5169F076" w14:textId="31597AB5" w:rsidR="00EB245A" w:rsidRDefault="006021EE">
            <w:pPr>
              <w:pStyle w:val="P68B1DB1-Normal46"/>
              <w:spacing w:line="259" w:lineRule="auto"/>
              <w:rPr>
                <w:rFonts w:cs="Times New Roman"/>
                <w:noProof/>
              </w:rPr>
            </w:pPr>
            <w:r>
              <w:rPr>
                <w:noProof/>
              </w:rPr>
              <w:t xml:space="preserve">Auswahl der Begünstigten </w:t>
            </w:r>
          </w:p>
        </w:tc>
      </w:tr>
      <w:tr w:rsidR="00EB245A" w14:paraId="45114CA9" w14:textId="77777777">
        <w:trPr>
          <w:trHeight w:val="719"/>
        </w:trPr>
        <w:tc>
          <w:tcPr>
            <w:tcW w:w="19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55C7558" w14:textId="43B6BB72" w:rsidR="00EB245A" w:rsidRDefault="006021EE">
            <w:pPr>
              <w:pStyle w:val="P68B1DB1-Normal46"/>
              <w:spacing w:line="259" w:lineRule="auto"/>
              <w:ind w:right="51"/>
              <w:jc w:val="center"/>
              <w:rPr>
                <w:rFonts w:cs="Times New Roman"/>
                <w:noProof/>
              </w:rPr>
            </w:pPr>
            <w:r>
              <w:rPr>
                <w:noProof/>
              </w:rPr>
              <w:t xml:space="preserve"> </w:t>
            </w:r>
          </w:p>
        </w:tc>
        <w:tc>
          <w:tcPr>
            <w:tcW w:w="3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70EB79D" w14:textId="5441EC44" w:rsidR="00EB245A" w:rsidRDefault="006021EE">
            <w:pPr>
              <w:pStyle w:val="P68B1DB1-Normal46"/>
              <w:spacing w:line="259" w:lineRule="auto"/>
              <w:rPr>
                <w:rFonts w:cs="Times New Roman"/>
                <w:noProof/>
              </w:rPr>
            </w:pPr>
            <w:r>
              <w:rPr>
                <w:noProof/>
              </w:rPr>
              <w:t xml:space="preserve"> </w:t>
            </w:r>
          </w:p>
        </w:tc>
        <w:tc>
          <w:tcPr>
            <w:tcW w:w="12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AA6EB9D" w14:textId="0011BD1B" w:rsidR="00EB245A" w:rsidRDefault="006021EE">
            <w:pPr>
              <w:pStyle w:val="P68B1DB1-Normal46"/>
              <w:spacing w:after="200" w:line="259" w:lineRule="auto"/>
              <w:ind w:right="53"/>
              <w:jc w:val="center"/>
              <w:rPr>
                <w:rFonts w:cs="Times New Roman"/>
                <w:noProof/>
              </w:rPr>
            </w:pPr>
            <w:r>
              <w:rPr>
                <w:noProof/>
              </w:rPr>
              <w:t xml:space="preserve">Ratenzahlungsbetrag </w:t>
            </w:r>
          </w:p>
        </w:tc>
        <w:tc>
          <w:tcPr>
            <w:tcW w:w="37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0A996F7" w14:textId="707923AA" w:rsidR="00EB245A" w:rsidRDefault="006021EE">
            <w:pPr>
              <w:pStyle w:val="P68B1DB1-Normal46"/>
              <w:spacing w:after="200" w:line="259" w:lineRule="auto"/>
              <w:ind w:left="75"/>
              <w:rPr>
                <w:rFonts w:cs="Times New Roman"/>
                <w:noProof/>
              </w:rPr>
            </w:pPr>
            <w:r>
              <w:rPr>
                <w:noProof/>
              </w:rPr>
              <w:t>3 849 409 884 EUR</w:t>
            </w:r>
          </w:p>
        </w:tc>
      </w:tr>
    </w:tbl>
    <w:p w14:paraId="163AEE9E" w14:textId="77777777" w:rsidR="00EB245A" w:rsidRDefault="00EB245A">
      <w:pPr>
        <w:spacing w:after="0" w:line="259" w:lineRule="auto"/>
        <w:ind w:left="-1133" w:right="10775"/>
        <w:rPr>
          <w:rFonts w:ascii="Times New Roman" w:hAnsi="Times New Roman" w:cs="Times New Roman"/>
          <w:noProof/>
        </w:rPr>
      </w:pPr>
    </w:p>
    <w:p w14:paraId="25606971" w14:textId="77777777" w:rsidR="00EB245A" w:rsidRDefault="006021EE">
      <w:pPr>
        <w:pStyle w:val="P68B1DB1-Normal46"/>
        <w:spacing w:after="96" w:line="259" w:lineRule="auto"/>
        <w:rPr>
          <w:rFonts w:cs="Times New Roman"/>
          <w:noProof/>
        </w:rPr>
      </w:pPr>
      <w:r>
        <w:rPr>
          <w:noProof/>
        </w:rPr>
        <w:t xml:space="preserve"> </w:t>
      </w:r>
    </w:p>
    <w:p w14:paraId="7EB9D17D" w14:textId="77777777" w:rsidR="00EB245A" w:rsidRDefault="006021EE">
      <w:pPr>
        <w:pStyle w:val="P68B1DB1-Normal46"/>
        <w:spacing w:after="3" w:line="259" w:lineRule="auto"/>
        <w:ind w:left="-5"/>
        <w:rPr>
          <w:rFonts w:cs="Times New Roman"/>
          <w:noProof/>
        </w:rPr>
      </w:pPr>
      <w:r>
        <w:rPr>
          <w:noProof/>
        </w:rPr>
        <w:t xml:space="preserve">2.1.7 Siebte Tranche (nicht rückzahlbare Unterstützung): </w:t>
      </w:r>
    </w:p>
    <w:tbl>
      <w:tblPr>
        <w:tblStyle w:val="TableGrid0"/>
        <w:tblW w:w="10481" w:type="dxa"/>
        <w:tblInd w:w="10" w:type="dxa"/>
        <w:tblCellMar>
          <w:top w:w="53" w:type="dxa"/>
          <w:left w:w="108" w:type="dxa"/>
          <w:right w:w="90" w:type="dxa"/>
        </w:tblCellMar>
        <w:tblLook w:val="04A0" w:firstRow="1" w:lastRow="0" w:firstColumn="1" w:lastColumn="0" w:noHBand="0" w:noVBand="1"/>
      </w:tblPr>
      <w:tblGrid>
        <w:gridCol w:w="1591"/>
        <w:gridCol w:w="3459"/>
        <w:gridCol w:w="2191"/>
        <w:gridCol w:w="3240"/>
      </w:tblGrid>
      <w:tr w:rsidR="00EB245A" w14:paraId="230FE3D2" w14:textId="77777777">
        <w:trPr>
          <w:trHeight w:val="820"/>
          <w:tblHeader/>
        </w:trPr>
        <w:tc>
          <w:tcPr>
            <w:tcW w:w="20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39A6A684" w14:textId="77777777" w:rsidR="00EB245A" w:rsidRDefault="006021EE">
            <w:pPr>
              <w:pStyle w:val="P68B1DB1-Normal46"/>
              <w:spacing w:line="259" w:lineRule="auto"/>
              <w:jc w:val="center"/>
              <w:rPr>
                <w:rFonts w:cs="Times New Roman"/>
                <w:noProof/>
              </w:rPr>
            </w:pPr>
            <w:r>
              <w:rPr>
                <w:b/>
                <w:noProof/>
              </w:rPr>
              <w:t>Laufende Nummer</w:t>
            </w:r>
            <w:r>
              <w:rPr>
                <w:noProof/>
              </w:rPr>
              <w:t xml:space="preserve"> </w:t>
            </w:r>
          </w:p>
        </w:tc>
        <w:tc>
          <w:tcPr>
            <w:tcW w:w="36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494EE467" w14:textId="77777777" w:rsidR="00EB245A" w:rsidRDefault="006021EE">
            <w:pPr>
              <w:pStyle w:val="P68B1DB1-Normal46"/>
              <w:spacing w:line="259" w:lineRule="auto"/>
              <w:jc w:val="center"/>
              <w:rPr>
                <w:rFonts w:cs="Times New Roman"/>
                <w:noProof/>
              </w:rPr>
            </w:pPr>
            <w:r>
              <w:rPr>
                <w:b/>
                <w:noProof/>
              </w:rPr>
              <w:t>Verbundene Maßnahme (Reform oder Investition)</w:t>
            </w:r>
            <w:r>
              <w:rPr>
                <w:noProof/>
              </w:rPr>
              <w:t xml:space="preserve">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729D2413" w14:textId="77777777" w:rsidR="00EB245A" w:rsidRDefault="006021EE">
            <w:pPr>
              <w:pStyle w:val="P68B1DB1-Normal46"/>
              <w:spacing w:line="259" w:lineRule="auto"/>
              <w:ind w:left="25"/>
              <w:jc w:val="center"/>
              <w:rPr>
                <w:rFonts w:cs="Times New Roman"/>
                <w:noProof/>
              </w:rPr>
            </w:pPr>
            <w:r>
              <w:rPr>
                <w:b/>
                <w:noProof/>
              </w:rPr>
              <w:t>Etappenziel/Zielwert</w:t>
            </w:r>
            <w:r>
              <w:rPr>
                <w:noProof/>
              </w:rPr>
              <w:t xml:space="preserve"> </w:t>
            </w:r>
          </w:p>
        </w:tc>
        <w:tc>
          <w:tcPr>
            <w:tcW w:w="36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117DD2E2" w14:textId="77777777" w:rsidR="00EB245A" w:rsidRDefault="006021EE">
            <w:pPr>
              <w:pStyle w:val="P68B1DB1-Normal46"/>
              <w:spacing w:line="259" w:lineRule="auto"/>
              <w:ind w:right="17"/>
              <w:jc w:val="center"/>
              <w:rPr>
                <w:rFonts w:cs="Times New Roman"/>
                <w:noProof/>
              </w:rPr>
            </w:pPr>
            <w:r>
              <w:rPr>
                <w:b/>
                <w:noProof/>
              </w:rPr>
              <w:t>Namen</w:t>
            </w:r>
            <w:r>
              <w:rPr>
                <w:noProof/>
              </w:rPr>
              <w:t xml:space="preserve"> </w:t>
            </w:r>
          </w:p>
        </w:tc>
      </w:tr>
      <w:tr w:rsidR="00EB245A" w14:paraId="61964AB0" w14:textId="77777777">
        <w:trPr>
          <w:trHeight w:val="1986"/>
        </w:trPr>
        <w:tc>
          <w:tcPr>
            <w:tcW w:w="20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3A3C036" w14:textId="77777777" w:rsidR="00EB245A" w:rsidRDefault="006021EE">
            <w:pPr>
              <w:pStyle w:val="P68B1DB1-Normal46"/>
              <w:spacing w:line="259" w:lineRule="auto"/>
              <w:ind w:right="17"/>
              <w:jc w:val="center"/>
              <w:rPr>
                <w:rFonts w:cs="Times New Roman"/>
                <w:noProof/>
              </w:rPr>
            </w:pPr>
            <w:r>
              <w:rPr>
                <w:noProof/>
              </w:rPr>
              <w:t xml:space="preserve">A2G </w:t>
            </w:r>
          </w:p>
        </w:tc>
        <w:tc>
          <w:tcPr>
            <w:tcW w:w="36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C11B80D" w14:textId="65ECC349" w:rsidR="00EB245A" w:rsidRDefault="006021EE">
            <w:pPr>
              <w:pStyle w:val="P68B1DB1-Normal46"/>
              <w:spacing w:line="259" w:lineRule="auto"/>
              <w:rPr>
                <w:rFonts w:cs="Times New Roman"/>
                <w:noProof/>
              </w:rPr>
            </w:pPr>
            <w:r>
              <w:rPr>
                <w:noProof/>
              </w:rPr>
              <w:t xml:space="preserve">A1.1 Reform des haushaltspolitischen Rahmens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ECE9BCC" w14:textId="77777777" w:rsidR="00EB245A" w:rsidRDefault="006021EE">
            <w:pPr>
              <w:pStyle w:val="P68B1DB1-Normal46"/>
              <w:spacing w:line="259" w:lineRule="auto"/>
              <w:ind w:left="74"/>
              <w:rPr>
                <w:rFonts w:cs="Times New Roman"/>
                <w:noProof/>
              </w:rPr>
            </w:pPr>
            <w:r>
              <w:rPr>
                <w:noProof/>
              </w:rPr>
              <w:t xml:space="preserve">Meilenstein </w:t>
            </w:r>
          </w:p>
        </w:tc>
        <w:tc>
          <w:tcPr>
            <w:tcW w:w="36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6D3ACBA" w14:textId="0FD335D6" w:rsidR="00EB245A" w:rsidRDefault="006021EE">
            <w:pPr>
              <w:pStyle w:val="P68B1DB1-Normal46"/>
              <w:spacing w:line="259" w:lineRule="auto"/>
              <w:rPr>
                <w:rFonts w:cs="Times New Roman"/>
                <w:noProof/>
              </w:rPr>
            </w:pPr>
            <w:r>
              <w:rPr>
                <w:noProof/>
              </w:rPr>
              <w:t xml:space="preserve">Inkrafttreten </w:t>
            </w:r>
            <w:r>
              <w:rPr>
                <w:noProof/>
              </w:rPr>
              <w:t>einer Änderung des vom Finanzministerium ausgearbeiteten Gesetzes über die öffentlichen Finanzen zur Umsetzung des neuen Haushaltssystems, einschließlich des neuen Klassifizierungssystems, des neuen Modells der Haushaltsführung und des neu festgelegten neu</w:t>
            </w:r>
            <w:r>
              <w:rPr>
                <w:noProof/>
              </w:rPr>
              <w:t xml:space="preserve">en mittelfristigen Haushaltsrahmens </w:t>
            </w:r>
          </w:p>
        </w:tc>
      </w:tr>
      <w:tr w:rsidR="00EB245A" w14:paraId="00A1CC2F" w14:textId="77777777">
        <w:trPr>
          <w:trHeight w:val="2892"/>
        </w:trPr>
        <w:tc>
          <w:tcPr>
            <w:tcW w:w="20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DBC2A16" w14:textId="77777777" w:rsidR="00EB245A" w:rsidRDefault="006021EE">
            <w:pPr>
              <w:pStyle w:val="P68B1DB1-Normal46"/>
              <w:spacing w:line="259" w:lineRule="auto"/>
              <w:ind w:right="17"/>
              <w:jc w:val="center"/>
              <w:rPr>
                <w:rFonts w:cs="Times New Roman"/>
                <w:noProof/>
              </w:rPr>
            </w:pPr>
            <w:r>
              <w:rPr>
                <w:noProof/>
              </w:rPr>
              <w:t xml:space="preserve">A4G </w:t>
            </w:r>
          </w:p>
        </w:tc>
        <w:tc>
          <w:tcPr>
            <w:tcW w:w="36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6A77A44" w14:textId="77777777" w:rsidR="00EB245A" w:rsidRDefault="006021EE">
            <w:pPr>
              <w:pStyle w:val="P68B1DB1-Normal46"/>
              <w:spacing w:line="259" w:lineRule="auto"/>
              <w:rPr>
                <w:rFonts w:cs="Times New Roman"/>
                <w:noProof/>
              </w:rPr>
            </w:pPr>
            <w:r>
              <w:rPr>
                <w:noProof/>
              </w:rPr>
              <w:t xml:space="preserve">A1.1 Reform des haushaltspolitischen Rahmens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20A483D" w14:textId="14F2C9A8" w:rsidR="00EB245A" w:rsidRDefault="006021EE" w:rsidP="009A3AB9">
            <w:pPr>
              <w:pStyle w:val="P68B1DB1-Normal46"/>
              <w:spacing w:line="259" w:lineRule="auto"/>
              <w:ind w:left="74"/>
              <w:jc w:val="center"/>
              <w:rPr>
                <w:rFonts w:cs="Times New Roman"/>
                <w:noProof/>
              </w:rPr>
            </w:pPr>
            <w:r>
              <w:rPr>
                <w:noProof/>
              </w:rPr>
              <w:t>Meilenstein</w:t>
            </w:r>
          </w:p>
        </w:tc>
        <w:tc>
          <w:tcPr>
            <w:tcW w:w="36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F821537" w14:textId="77777777" w:rsidR="00EB245A" w:rsidRDefault="006021EE">
            <w:pPr>
              <w:pStyle w:val="P68B1DB1-Normal46"/>
              <w:spacing w:after="194" w:line="239" w:lineRule="auto"/>
              <w:rPr>
                <w:rFonts w:cs="Times New Roman"/>
                <w:noProof/>
              </w:rPr>
            </w:pPr>
            <w:r>
              <w:rPr>
                <w:noProof/>
              </w:rPr>
              <w:t xml:space="preserve">Überprüfung der Funktionsweise der Regelung zur Stabilisierung der Ausgaben in den Jahren 2019-2023 mit dem Ziel, </w:t>
            </w:r>
          </w:p>
          <w:p w14:paraId="4C74BCA4" w14:textId="77777777" w:rsidR="00EB245A" w:rsidRDefault="006021EE">
            <w:pPr>
              <w:pStyle w:val="P68B1DB1-Normal46"/>
              <w:numPr>
                <w:ilvl w:val="0"/>
                <w:numId w:val="219"/>
              </w:numPr>
              <w:spacing w:after="197" w:line="239" w:lineRule="auto"/>
              <w:rPr>
                <w:rFonts w:cs="Times New Roman"/>
                <w:noProof/>
              </w:rPr>
            </w:pPr>
            <w:r>
              <w:rPr>
                <w:noProof/>
              </w:rPr>
              <w:t xml:space="preserve">Bewertung der Wirksamkeit der Vorschrift, einschließlich der Anwendung der Ausstiegsklausel und der Rückgabeklausel </w:t>
            </w:r>
          </w:p>
          <w:p w14:paraId="3575BB5E" w14:textId="77777777" w:rsidR="00EB245A" w:rsidRDefault="006021EE">
            <w:pPr>
              <w:pStyle w:val="P68B1DB1-Normal46"/>
              <w:numPr>
                <w:ilvl w:val="0"/>
                <w:numId w:val="219"/>
              </w:numPr>
              <w:spacing w:line="259" w:lineRule="auto"/>
              <w:rPr>
                <w:rFonts w:cs="Times New Roman"/>
                <w:noProof/>
              </w:rPr>
            </w:pPr>
            <w:r>
              <w:rPr>
                <w:noProof/>
              </w:rPr>
              <w:t xml:space="preserve">Analyse der Auswirkungen von Änderungen der EU-Vorschriften auf die Formel für die Stabilisierung der Ausgabenregel </w:t>
            </w:r>
          </w:p>
        </w:tc>
      </w:tr>
      <w:tr w:rsidR="00EB245A" w14:paraId="0BC0E0FC" w14:textId="77777777">
        <w:trPr>
          <w:trHeight w:val="1228"/>
        </w:trPr>
        <w:tc>
          <w:tcPr>
            <w:tcW w:w="20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A22E20B" w14:textId="77777777" w:rsidR="00EB245A" w:rsidRDefault="006021EE">
            <w:pPr>
              <w:pStyle w:val="P68B1DB1-Normal46"/>
              <w:spacing w:line="259" w:lineRule="auto"/>
              <w:ind w:right="17"/>
              <w:jc w:val="center"/>
              <w:rPr>
                <w:rFonts w:cs="Times New Roman"/>
                <w:noProof/>
              </w:rPr>
            </w:pPr>
            <w:r>
              <w:rPr>
                <w:noProof/>
              </w:rPr>
              <w:t xml:space="preserve">A19G </w:t>
            </w:r>
          </w:p>
        </w:tc>
        <w:tc>
          <w:tcPr>
            <w:tcW w:w="36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74697F8" w14:textId="77777777" w:rsidR="00EB245A" w:rsidRDefault="006021EE">
            <w:pPr>
              <w:pStyle w:val="P68B1DB1-Normal46"/>
              <w:spacing w:line="259" w:lineRule="auto"/>
              <w:rPr>
                <w:rFonts w:cs="Times New Roman"/>
                <w:noProof/>
              </w:rPr>
            </w:pPr>
            <w:r>
              <w:rPr>
                <w:noProof/>
              </w:rPr>
              <w:t xml:space="preserve">A1.4 Reform zur Verbesserung der Wettbewerbsfähigkeit und des Schutzes der Erzeuger/Verbraucher im Agrarsektor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A40A71D" w14:textId="412EE0A3" w:rsidR="00EB245A" w:rsidRDefault="006021EE" w:rsidP="009A3AB9">
            <w:pPr>
              <w:pStyle w:val="P68B1DB1-Normal46"/>
              <w:spacing w:line="259" w:lineRule="auto"/>
              <w:ind w:left="74"/>
              <w:jc w:val="center"/>
              <w:rPr>
                <w:rFonts w:cs="Times New Roman"/>
                <w:noProof/>
              </w:rPr>
            </w:pPr>
            <w:r>
              <w:rPr>
                <w:noProof/>
              </w:rPr>
              <w:t>Meilenstein</w:t>
            </w:r>
          </w:p>
        </w:tc>
        <w:tc>
          <w:tcPr>
            <w:tcW w:w="36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D57C8D8" w14:textId="77777777" w:rsidR="00EB245A" w:rsidRDefault="006021EE">
            <w:pPr>
              <w:pStyle w:val="P68B1DB1-Normal46"/>
              <w:spacing w:line="259" w:lineRule="auto"/>
              <w:rPr>
                <w:rFonts w:cs="Times New Roman"/>
                <w:noProof/>
              </w:rPr>
            </w:pPr>
            <w:r>
              <w:rPr>
                <w:noProof/>
              </w:rPr>
              <w:t>Annahme einer Halbzeitüberprüfung des neuen Gesetzes zur Bekämpfung der unlauteren Nutzung vertraglicher Vorteile im Agrar- und Lebe</w:t>
            </w:r>
            <w:r>
              <w:rPr>
                <w:noProof/>
              </w:rPr>
              <w:t xml:space="preserve">nsmittelhandel </w:t>
            </w:r>
          </w:p>
        </w:tc>
      </w:tr>
      <w:tr w:rsidR="00EB245A" w14:paraId="75A7C896" w14:textId="77777777">
        <w:trPr>
          <w:trHeight w:val="1479"/>
        </w:trPr>
        <w:tc>
          <w:tcPr>
            <w:tcW w:w="20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183E736" w14:textId="77777777" w:rsidR="00EB245A" w:rsidRDefault="006021EE">
            <w:pPr>
              <w:pStyle w:val="P68B1DB1-Normal46"/>
              <w:spacing w:line="259" w:lineRule="auto"/>
              <w:ind w:right="17"/>
              <w:jc w:val="center"/>
              <w:rPr>
                <w:rFonts w:cs="Times New Roman"/>
                <w:noProof/>
              </w:rPr>
            </w:pPr>
            <w:r>
              <w:rPr>
                <w:noProof/>
              </w:rPr>
              <w:t xml:space="preserve">A31G </w:t>
            </w:r>
          </w:p>
        </w:tc>
        <w:tc>
          <w:tcPr>
            <w:tcW w:w="36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C49B6EB" w14:textId="77777777" w:rsidR="00EB245A" w:rsidRDefault="006021EE">
            <w:pPr>
              <w:pStyle w:val="P68B1DB1-Normal46"/>
              <w:spacing w:line="259" w:lineRule="auto"/>
              <w:rPr>
                <w:rFonts w:cs="Times New Roman"/>
                <w:noProof/>
              </w:rPr>
            </w:pPr>
            <w:r>
              <w:rPr>
                <w:noProof/>
              </w:rPr>
              <w:t xml:space="preserve">A2.2.1 Investitionen in den Einsatz von Umwelttechnologien und -innovationen, einschließlich solcher im Zusammenhang mit der Kreislaufwirtschaft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2FB26F7" w14:textId="77777777" w:rsidR="00EB245A" w:rsidRDefault="006021EE">
            <w:pPr>
              <w:pStyle w:val="P68B1DB1-Normal46"/>
              <w:spacing w:line="259" w:lineRule="auto"/>
              <w:ind w:right="17"/>
              <w:jc w:val="center"/>
              <w:rPr>
                <w:rFonts w:cs="Times New Roman"/>
                <w:noProof/>
              </w:rPr>
            </w:pPr>
            <w:r>
              <w:rPr>
                <w:noProof/>
              </w:rPr>
              <w:t xml:space="preserve">Ziel </w:t>
            </w:r>
          </w:p>
        </w:tc>
        <w:tc>
          <w:tcPr>
            <w:tcW w:w="36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812D5FB" w14:textId="77777777" w:rsidR="00EB245A" w:rsidRDefault="006021EE">
            <w:pPr>
              <w:pStyle w:val="P68B1DB1-Normal46"/>
              <w:spacing w:line="259" w:lineRule="auto"/>
              <w:rPr>
                <w:rFonts w:cs="Times New Roman"/>
                <w:noProof/>
              </w:rPr>
            </w:pPr>
            <w:r>
              <w:rPr>
                <w:noProof/>
              </w:rPr>
              <w:t xml:space="preserve">Unterzeichnete Finanzhilfevereinbarungen für Projekte an KMU mit Lösungen zur Entwicklung und Förderung oder Anwendung grüner Technologien (im Zusammenhang mit der Kreislaufwirtschaft)   </w:t>
            </w:r>
          </w:p>
        </w:tc>
      </w:tr>
      <w:tr w:rsidR="00EB245A" w14:paraId="242D83E9" w14:textId="77777777">
        <w:trPr>
          <w:trHeight w:val="1279"/>
        </w:trPr>
        <w:tc>
          <w:tcPr>
            <w:tcW w:w="20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0C70A7E" w14:textId="77777777" w:rsidR="00EB245A" w:rsidRDefault="006021EE">
            <w:pPr>
              <w:pStyle w:val="P68B1DB1-Normal46"/>
              <w:spacing w:line="259" w:lineRule="auto"/>
              <w:ind w:right="17"/>
              <w:jc w:val="center"/>
              <w:rPr>
                <w:rFonts w:cs="Times New Roman"/>
                <w:noProof/>
              </w:rPr>
            </w:pPr>
            <w:r>
              <w:rPr>
                <w:noProof/>
              </w:rPr>
              <w:t xml:space="preserve">A36G </w:t>
            </w:r>
          </w:p>
        </w:tc>
        <w:tc>
          <w:tcPr>
            <w:tcW w:w="36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EEA621C" w14:textId="0C7869F4" w:rsidR="00EB245A" w:rsidRDefault="006021EE">
            <w:pPr>
              <w:pStyle w:val="P68B1DB1-Normal46"/>
              <w:spacing w:line="259" w:lineRule="auto"/>
              <w:rPr>
                <w:rFonts w:cs="Times New Roman"/>
                <w:noProof/>
              </w:rPr>
            </w:pPr>
            <w:r>
              <w:rPr>
                <w:noProof/>
              </w:rPr>
              <w:t>A2.3.1 Entwicklung und Ausrüstung von Kompetenzzentren (u. a.</w:t>
            </w:r>
            <w:r>
              <w:rPr>
                <w:noProof/>
              </w:rPr>
              <w:t xml:space="preserve"> Fachausbildungszentren, Zentren zur Unterstützung der Umsetzung, Beobachtungsstellen) und der Managementinfrastruktur für unbemannte Fahrzeuge als Innovationsökosystem</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0C299F2" w14:textId="77777777" w:rsidR="00EB245A" w:rsidRDefault="006021EE">
            <w:pPr>
              <w:pStyle w:val="P68B1DB1-Normal46"/>
              <w:spacing w:line="259" w:lineRule="auto"/>
              <w:ind w:right="17"/>
              <w:jc w:val="center"/>
              <w:rPr>
                <w:rFonts w:cs="Times New Roman"/>
                <w:noProof/>
              </w:rPr>
            </w:pPr>
            <w:r>
              <w:rPr>
                <w:noProof/>
              </w:rPr>
              <w:t xml:space="preserve">Ziel </w:t>
            </w:r>
          </w:p>
        </w:tc>
        <w:tc>
          <w:tcPr>
            <w:tcW w:w="36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498C795" w14:textId="77777777" w:rsidR="00EB245A" w:rsidRDefault="006021EE">
            <w:pPr>
              <w:pStyle w:val="P68B1DB1-Normal46"/>
              <w:spacing w:line="259" w:lineRule="auto"/>
              <w:rPr>
                <w:rFonts w:cs="Times New Roman"/>
                <w:noProof/>
              </w:rPr>
            </w:pPr>
            <w:r>
              <w:rPr>
                <w:noProof/>
              </w:rPr>
              <w:t xml:space="preserve">Umgesetzte Dienste für unbemannte Fahrzeuge, denen Pilotprojekte vorausgehen </w:t>
            </w:r>
          </w:p>
        </w:tc>
      </w:tr>
      <w:tr w:rsidR="00EB245A" w14:paraId="54E1BD20" w14:textId="77777777">
        <w:trPr>
          <w:trHeight w:val="1279"/>
        </w:trPr>
        <w:tc>
          <w:tcPr>
            <w:tcW w:w="20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1467127" w14:textId="53B54F41" w:rsidR="00EB245A" w:rsidRDefault="006021EE">
            <w:pPr>
              <w:pStyle w:val="P68B1DB1-Normal46"/>
              <w:spacing w:line="259" w:lineRule="auto"/>
              <w:ind w:right="17"/>
              <w:jc w:val="center"/>
              <w:rPr>
                <w:rFonts w:cs="Times New Roman"/>
                <w:noProof/>
              </w:rPr>
            </w:pPr>
            <w:r>
              <w:rPr>
                <w:noProof/>
              </w:rPr>
              <w:t xml:space="preserve">A63G </w:t>
            </w:r>
          </w:p>
        </w:tc>
        <w:tc>
          <w:tcPr>
            <w:tcW w:w="36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66FA9CD" w14:textId="6DAE49DA" w:rsidR="00EB245A" w:rsidRDefault="006021EE">
            <w:pPr>
              <w:pStyle w:val="P68B1DB1-Normal46"/>
              <w:spacing w:line="259" w:lineRule="auto"/>
              <w:rPr>
                <w:rFonts w:cs="Times New Roman"/>
                <w:noProof/>
              </w:rPr>
            </w:pPr>
            <w:r>
              <w:rPr>
                <w:noProof/>
              </w:rPr>
              <w:t>A4.3.1 Investitionsförderungsprogramme, die insbesondere die Entwicklung von Aktivitäten ermöglichen, die Beteiligung an der Umsetzung sozialer Dienstleistungen erhöhen und die Qualität der Integration in sozialwirtschaftliche Einrichtungen verbesser</w:t>
            </w:r>
            <w:r>
              <w:rPr>
                <w:noProof/>
              </w:rPr>
              <w:t xml:space="preserve">n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4D20600" w14:textId="525416D9" w:rsidR="00EB245A" w:rsidRDefault="006021EE">
            <w:pPr>
              <w:pStyle w:val="P68B1DB1-Normal46"/>
              <w:spacing w:line="259" w:lineRule="auto"/>
              <w:ind w:right="17"/>
              <w:jc w:val="center"/>
              <w:rPr>
                <w:rFonts w:cs="Times New Roman"/>
                <w:noProof/>
              </w:rPr>
            </w:pPr>
            <w:r>
              <w:rPr>
                <w:noProof/>
              </w:rPr>
              <w:t xml:space="preserve">Ziel </w:t>
            </w:r>
          </w:p>
        </w:tc>
        <w:tc>
          <w:tcPr>
            <w:tcW w:w="36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83CF075" w14:textId="7EFD56F9" w:rsidR="00EB245A" w:rsidRDefault="006021EE">
            <w:pPr>
              <w:pStyle w:val="P68B1DB1-Normal46"/>
              <w:spacing w:line="259" w:lineRule="auto"/>
              <w:rPr>
                <w:rFonts w:cs="Times New Roman"/>
                <w:noProof/>
              </w:rPr>
            </w:pPr>
            <w:r>
              <w:rPr>
                <w:noProof/>
              </w:rPr>
              <w:t xml:space="preserve">Zahl der Einrichtungen, die den Status eines Sozialunternehmens erhalten haben </w:t>
            </w:r>
          </w:p>
        </w:tc>
      </w:tr>
      <w:tr w:rsidR="00EB245A" w14:paraId="581D5A60" w14:textId="77777777">
        <w:trPr>
          <w:trHeight w:val="1279"/>
        </w:trPr>
        <w:tc>
          <w:tcPr>
            <w:tcW w:w="20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F1DD3C2" w14:textId="7920F082" w:rsidR="00EB245A" w:rsidRDefault="006021EE">
            <w:pPr>
              <w:pStyle w:val="P68B1DB1-Normal46"/>
              <w:spacing w:line="259" w:lineRule="auto"/>
              <w:ind w:right="17"/>
              <w:jc w:val="center"/>
              <w:rPr>
                <w:rFonts w:cs="Times New Roman"/>
                <w:noProof/>
              </w:rPr>
            </w:pPr>
            <w:r>
              <w:rPr>
                <w:noProof/>
              </w:rPr>
              <w:t xml:space="preserve">B21bG </w:t>
            </w:r>
          </w:p>
        </w:tc>
        <w:tc>
          <w:tcPr>
            <w:tcW w:w="36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651780B" w14:textId="7FB7B10C" w:rsidR="00EB245A" w:rsidRDefault="006021EE">
            <w:pPr>
              <w:pStyle w:val="P68B1DB1-Normal46"/>
              <w:spacing w:line="259" w:lineRule="auto"/>
              <w:rPr>
                <w:rFonts w:cs="Times New Roman"/>
                <w:noProof/>
              </w:rPr>
            </w:pPr>
            <w:r>
              <w:rPr>
                <w:noProof/>
              </w:rPr>
              <w:t xml:space="preserve">B2.1.1 Investitionen in Wasserstoff, Wasserstoffherstellung, -speicherung und -transport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E770B2D" w14:textId="45100315" w:rsidR="00EB245A" w:rsidRDefault="006021EE">
            <w:pPr>
              <w:pStyle w:val="P68B1DB1-Normal46"/>
              <w:spacing w:line="259" w:lineRule="auto"/>
              <w:ind w:right="17"/>
              <w:jc w:val="center"/>
              <w:rPr>
                <w:rFonts w:cs="Times New Roman"/>
                <w:noProof/>
              </w:rPr>
            </w:pPr>
            <w:r>
              <w:rPr>
                <w:noProof/>
              </w:rPr>
              <w:t xml:space="preserve">Ziel </w:t>
            </w:r>
          </w:p>
        </w:tc>
        <w:tc>
          <w:tcPr>
            <w:tcW w:w="36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7F47445" w14:textId="125321DC" w:rsidR="00EB245A" w:rsidRDefault="006021EE">
            <w:pPr>
              <w:pStyle w:val="P68B1DB1-Normal46"/>
              <w:spacing w:line="259" w:lineRule="auto"/>
              <w:rPr>
                <w:rFonts w:cs="Times New Roman"/>
                <w:noProof/>
              </w:rPr>
            </w:pPr>
            <w:r>
              <w:rPr>
                <w:noProof/>
              </w:rPr>
              <w:t>Mit den Endbegünstigten unterzeichnete rechtliche Vereinbarunge</w:t>
            </w:r>
            <w:r>
              <w:rPr>
                <w:noProof/>
              </w:rPr>
              <w:t xml:space="preserve">n  </w:t>
            </w:r>
          </w:p>
        </w:tc>
      </w:tr>
      <w:tr w:rsidR="00EB245A" w14:paraId="49B0F588" w14:textId="77777777">
        <w:trPr>
          <w:trHeight w:val="1279"/>
        </w:trPr>
        <w:tc>
          <w:tcPr>
            <w:tcW w:w="20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30F9BE1" w14:textId="24C842FE" w:rsidR="00EB245A" w:rsidRDefault="006021EE">
            <w:pPr>
              <w:pStyle w:val="P68B1DB1-Normal46"/>
              <w:spacing w:line="259" w:lineRule="auto"/>
              <w:ind w:right="17"/>
              <w:jc w:val="center"/>
              <w:rPr>
                <w:rFonts w:cs="Times New Roman"/>
                <w:noProof/>
              </w:rPr>
            </w:pPr>
            <w:r>
              <w:rPr>
                <w:noProof/>
              </w:rPr>
              <w:t xml:space="preserve">B21cG  </w:t>
            </w:r>
          </w:p>
        </w:tc>
        <w:tc>
          <w:tcPr>
            <w:tcW w:w="36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8DBD171" w14:textId="31BEC2EC" w:rsidR="00EB245A" w:rsidRDefault="006021EE">
            <w:pPr>
              <w:pStyle w:val="P68B1DB1-Normal46"/>
              <w:spacing w:line="259" w:lineRule="auto"/>
              <w:rPr>
                <w:rFonts w:cs="Times New Roman"/>
                <w:noProof/>
              </w:rPr>
            </w:pPr>
            <w:r>
              <w:rPr>
                <w:noProof/>
              </w:rPr>
              <w:t xml:space="preserve">B2.1.1 Investitionen in Wasserstoff, Wasserstoffherstellung, -speicherung und -transport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3FEB991" w14:textId="7E48977F" w:rsidR="00EB245A" w:rsidRDefault="006021EE">
            <w:pPr>
              <w:pStyle w:val="P68B1DB1-Normal46"/>
              <w:spacing w:line="259" w:lineRule="auto"/>
              <w:ind w:right="17"/>
              <w:jc w:val="center"/>
              <w:rPr>
                <w:rFonts w:cs="Times New Roman"/>
                <w:noProof/>
              </w:rPr>
            </w:pPr>
            <w:r>
              <w:rPr>
                <w:noProof/>
              </w:rPr>
              <w:t xml:space="preserve">Meilenstein   </w:t>
            </w:r>
          </w:p>
        </w:tc>
        <w:tc>
          <w:tcPr>
            <w:tcW w:w="36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E219729" w14:textId="41E8D314" w:rsidR="00EB245A" w:rsidRDefault="006021EE">
            <w:pPr>
              <w:pStyle w:val="P68B1DB1-Normal46"/>
              <w:spacing w:line="259" w:lineRule="auto"/>
              <w:rPr>
                <w:rFonts w:cs="Times New Roman"/>
                <w:noProof/>
              </w:rPr>
            </w:pPr>
            <w:r>
              <w:rPr>
                <w:noProof/>
              </w:rPr>
              <w:t xml:space="preserve"> Das Ministerium hat 50 % der Investitionen abgeschlossen.   </w:t>
            </w:r>
          </w:p>
        </w:tc>
      </w:tr>
      <w:tr w:rsidR="00EB245A" w14:paraId="14378218" w14:textId="77777777">
        <w:trPr>
          <w:trHeight w:val="1279"/>
        </w:trPr>
        <w:tc>
          <w:tcPr>
            <w:tcW w:w="20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39F4897" w14:textId="30868153" w:rsidR="00EB245A" w:rsidRDefault="006021EE">
            <w:pPr>
              <w:pStyle w:val="P68B1DB1-Normal46"/>
              <w:spacing w:line="259" w:lineRule="auto"/>
              <w:ind w:right="17"/>
              <w:jc w:val="center"/>
              <w:rPr>
                <w:rFonts w:cs="Times New Roman"/>
                <w:noProof/>
              </w:rPr>
            </w:pPr>
            <w:r>
              <w:rPr>
                <w:noProof/>
              </w:rPr>
              <w:t xml:space="preserve">C11G </w:t>
            </w:r>
          </w:p>
        </w:tc>
        <w:tc>
          <w:tcPr>
            <w:tcW w:w="36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0B0900B" w14:textId="4E0DD9DF" w:rsidR="00EB245A" w:rsidRDefault="006021EE">
            <w:pPr>
              <w:pStyle w:val="P68B1DB1-Normal46"/>
              <w:spacing w:line="259" w:lineRule="auto"/>
              <w:rPr>
                <w:rFonts w:cs="Times New Roman"/>
                <w:noProof/>
              </w:rPr>
            </w:pPr>
            <w:r>
              <w:rPr>
                <w:noProof/>
              </w:rPr>
              <w:t xml:space="preserve">C2.1.1 Öffentliche elektronische Dienste, IT-Lösungen zur Verbesserung der Funktionsweise der Wirtschaftszweige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092988B" w14:textId="59F3F13D" w:rsidR="00EB245A" w:rsidRDefault="006021EE">
            <w:pPr>
              <w:pStyle w:val="P68B1DB1-Normal46"/>
              <w:spacing w:line="259" w:lineRule="auto"/>
              <w:ind w:right="17"/>
              <w:jc w:val="center"/>
              <w:rPr>
                <w:rFonts w:cs="Times New Roman"/>
                <w:noProof/>
              </w:rPr>
            </w:pPr>
            <w:r>
              <w:rPr>
                <w:noProof/>
              </w:rPr>
              <w:t xml:space="preserve">Ziel </w:t>
            </w:r>
          </w:p>
        </w:tc>
        <w:tc>
          <w:tcPr>
            <w:tcW w:w="36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2F2B5DB" w14:textId="455338DC" w:rsidR="00EB245A" w:rsidRDefault="006021EE">
            <w:pPr>
              <w:pStyle w:val="P68B1DB1-Normal46"/>
              <w:spacing w:line="259" w:lineRule="auto"/>
              <w:rPr>
                <w:rFonts w:cs="Times New Roman"/>
                <w:noProof/>
              </w:rPr>
            </w:pPr>
            <w:r>
              <w:rPr>
                <w:noProof/>
              </w:rPr>
              <w:t>T1 – Projekte, mit denen neue elektronische Dienste geschaffen und bestehende Dienste modernisiert werden</w:t>
            </w:r>
          </w:p>
        </w:tc>
      </w:tr>
      <w:tr w:rsidR="00EB245A" w14:paraId="7F3D03FA" w14:textId="77777777">
        <w:trPr>
          <w:trHeight w:val="1279"/>
        </w:trPr>
        <w:tc>
          <w:tcPr>
            <w:tcW w:w="20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043A16C" w14:textId="62CE8481" w:rsidR="00EB245A" w:rsidRDefault="006021EE">
            <w:pPr>
              <w:pStyle w:val="P68B1DB1-Normal46"/>
              <w:spacing w:line="259" w:lineRule="auto"/>
              <w:ind w:right="17"/>
              <w:jc w:val="center"/>
              <w:rPr>
                <w:rFonts w:cs="Times New Roman"/>
                <w:noProof/>
              </w:rPr>
            </w:pPr>
            <w:r>
              <w:rPr>
                <w:noProof/>
              </w:rPr>
              <w:t xml:space="preserve">C22G </w:t>
            </w:r>
          </w:p>
        </w:tc>
        <w:tc>
          <w:tcPr>
            <w:tcW w:w="36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7BE3E47" w14:textId="77777777" w:rsidR="00EB245A" w:rsidRDefault="006021EE">
            <w:pPr>
              <w:pStyle w:val="P68B1DB1-Normal46"/>
              <w:spacing w:after="4" w:line="237" w:lineRule="auto"/>
              <w:rPr>
                <w:rFonts w:cs="Times New Roman"/>
                <w:noProof/>
              </w:rPr>
            </w:pPr>
            <w:r>
              <w:rPr>
                <w:noProof/>
              </w:rPr>
              <w:t>C3.1 Verbesserung der Cy</w:t>
            </w:r>
            <w:r>
              <w:rPr>
                <w:noProof/>
              </w:rPr>
              <w:t xml:space="preserve">bersicherheit von Informationssystemen, Stärkung der Datenverarbeitungsinfrastruktur und Optimierung der Infrastruktur des Gesetzes </w:t>
            </w:r>
          </w:p>
          <w:p w14:paraId="3D944EED" w14:textId="4867F578" w:rsidR="00EB245A" w:rsidRDefault="006021EE">
            <w:pPr>
              <w:pStyle w:val="P68B1DB1-Normal46"/>
              <w:spacing w:line="259" w:lineRule="auto"/>
              <w:rPr>
                <w:rFonts w:cs="Times New Roman"/>
                <w:noProof/>
              </w:rPr>
            </w:pPr>
            <w:r>
              <w:rPr>
                <w:noProof/>
              </w:rPr>
              <w:t xml:space="preserve">Durchsetzungsdienste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DA4B7C2" w14:textId="5740E7F7" w:rsidR="00EB245A" w:rsidRDefault="006021EE">
            <w:pPr>
              <w:pStyle w:val="P68B1DB1-Normal46"/>
              <w:spacing w:line="259" w:lineRule="auto"/>
              <w:ind w:right="17"/>
              <w:jc w:val="center"/>
              <w:rPr>
                <w:rFonts w:cs="Times New Roman"/>
                <w:noProof/>
              </w:rPr>
            </w:pPr>
            <w:r>
              <w:rPr>
                <w:noProof/>
              </w:rPr>
              <w:t xml:space="preserve">Meilenstein </w:t>
            </w:r>
          </w:p>
        </w:tc>
        <w:tc>
          <w:tcPr>
            <w:tcW w:w="36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00FD3BB" w14:textId="77777777" w:rsidR="00EB245A" w:rsidRDefault="006021EE">
            <w:pPr>
              <w:pStyle w:val="P68B1DB1-Normal46"/>
              <w:spacing w:line="259" w:lineRule="auto"/>
              <w:rPr>
                <w:rFonts w:cs="Times New Roman"/>
                <w:noProof/>
              </w:rPr>
            </w:pPr>
            <w:r>
              <w:rPr>
                <w:noProof/>
              </w:rPr>
              <w:t xml:space="preserve">Änderung der Verordnung der </w:t>
            </w:r>
          </w:p>
          <w:p w14:paraId="332A77A7" w14:textId="2A3AA771" w:rsidR="00EB245A" w:rsidRDefault="006021EE">
            <w:pPr>
              <w:pStyle w:val="P68B1DB1-Normal46"/>
              <w:spacing w:line="259" w:lineRule="auto"/>
              <w:rPr>
                <w:rFonts w:cs="Times New Roman"/>
                <w:noProof/>
              </w:rPr>
            </w:pPr>
            <w:r>
              <w:rPr>
                <w:noProof/>
              </w:rPr>
              <w:t xml:space="preserve">Ministerrat vom 11. September 2018 zur Liste wesentlicher Dienste und zu den Schwellenwerten für die störenden Auswirkungen eines Vorfalls auf die Erbringung wesentlicher Dienste </w:t>
            </w:r>
          </w:p>
        </w:tc>
      </w:tr>
      <w:tr w:rsidR="00EB245A" w14:paraId="74DADB14" w14:textId="77777777">
        <w:trPr>
          <w:trHeight w:val="1279"/>
        </w:trPr>
        <w:tc>
          <w:tcPr>
            <w:tcW w:w="20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5E5CCC2" w14:textId="0B137B24" w:rsidR="00EB245A" w:rsidRDefault="006021EE">
            <w:pPr>
              <w:pStyle w:val="P68B1DB1-Normal46"/>
              <w:spacing w:line="259" w:lineRule="auto"/>
              <w:ind w:right="17"/>
              <w:jc w:val="center"/>
              <w:rPr>
                <w:rFonts w:cs="Times New Roman"/>
                <w:noProof/>
              </w:rPr>
            </w:pPr>
            <w:r>
              <w:rPr>
                <w:noProof/>
              </w:rPr>
              <w:t xml:space="preserve">C28G </w:t>
            </w:r>
          </w:p>
        </w:tc>
        <w:tc>
          <w:tcPr>
            <w:tcW w:w="36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BED01B8" w14:textId="24B93C6C" w:rsidR="00EB245A" w:rsidRDefault="006021EE">
            <w:pPr>
              <w:pStyle w:val="P68B1DB1-Normal46"/>
              <w:spacing w:after="4" w:line="237" w:lineRule="auto"/>
              <w:rPr>
                <w:rFonts w:cs="Times New Roman"/>
                <w:noProof/>
              </w:rPr>
            </w:pPr>
            <w:r>
              <w:rPr>
                <w:noProof/>
              </w:rPr>
              <w:t>C3.1.1 Cybersicherheit – CyberPL, Infrastruktur für die Datenverarbei</w:t>
            </w:r>
            <w:r>
              <w:rPr>
                <w:noProof/>
              </w:rPr>
              <w:t xml:space="preserve">tung und Optimierung der Infrastruktur der Strafverfolgungsdienste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E67E87A" w14:textId="4D4CEC10" w:rsidR="00EB245A" w:rsidRDefault="006021EE">
            <w:pPr>
              <w:pStyle w:val="P68B1DB1-Normal46"/>
              <w:spacing w:line="259" w:lineRule="auto"/>
              <w:ind w:right="17"/>
              <w:jc w:val="center"/>
              <w:rPr>
                <w:rFonts w:cs="Times New Roman"/>
                <w:noProof/>
              </w:rPr>
            </w:pPr>
            <w:r>
              <w:rPr>
                <w:noProof/>
              </w:rPr>
              <w:t xml:space="preserve">Ziel </w:t>
            </w:r>
          </w:p>
        </w:tc>
        <w:tc>
          <w:tcPr>
            <w:tcW w:w="36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34E7B3F" w14:textId="7EF4E962" w:rsidR="00EB245A" w:rsidRDefault="006021EE">
            <w:pPr>
              <w:pStyle w:val="P68B1DB1-Normal46"/>
              <w:spacing w:line="259" w:lineRule="auto"/>
              <w:rPr>
                <w:rFonts w:cs="Times New Roman"/>
                <w:noProof/>
              </w:rPr>
            </w:pPr>
            <w:r>
              <w:rPr>
                <w:noProof/>
              </w:rPr>
              <w:t xml:space="preserve">Wichtiges Vorhaben von gemeinsamem europäischem Interesse (IPCEI): Entwicklung nationaler Infrastruktur-/Dienste-Datenverarbeitungslösungen </w:t>
            </w:r>
          </w:p>
        </w:tc>
      </w:tr>
      <w:tr w:rsidR="00EB245A" w14:paraId="1846693F" w14:textId="77777777">
        <w:trPr>
          <w:trHeight w:val="1279"/>
        </w:trPr>
        <w:tc>
          <w:tcPr>
            <w:tcW w:w="20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D9CB882" w14:textId="6040666F" w:rsidR="00EB245A" w:rsidRDefault="006021EE">
            <w:pPr>
              <w:pStyle w:val="P68B1DB1-Normal46"/>
              <w:spacing w:line="259" w:lineRule="auto"/>
              <w:ind w:right="17"/>
              <w:jc w:val="center"/>
              <w:rPr>
                <w:rFonts w:cs="Times New Roman"/>
                <w:noProof/>
              </w:rPr>
            </w:pPr>
            <w:r>
              <w:rPr>
                <w:noProof/>
              </w:rPr>
              <w:t xml:space="preserve">D8G </w:t>
            </w:r>
          </w:p>
        </w:tc>
        <w:tc>
          <w:tcPr>
            <w:tcW w:w="36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05F28CB" w14:textId="21A69448" w:rsidR="00EB245A" w:rsidRDefault="006021EE">
            <w:pPr>
              <w:pStyle w:val="P68B1DB1-Normal46"/>
              <w:spacing w:after="4" w:line="238" w:lineRule="auto"/>
              <w:ind w:left="108"/>
              <w:rPr>
                <w:rFonts w:cs="Times New Roman"/>
                <w:noProof/>
              </w:rPr>
            </w:pPr>
            <w:r>
              <w:rPr>
                <w:noProof/>
              </w:rPr>
              <w:t xml:space="preserve">D1.1 Verbesserung der Wirksamkeit, </w:t>
            </w:r>
            <w:r>
              <w:rPr>
                <w:noProof/>
              </w:rPr>
              <w:t xml:space="preserve">Zugänglichkeit und Qualität der Gesundheitsdienste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DACDE39" w14:textId="0E934D79" w:rsidR="00EB245A" w:rsidRDefault="006021EE">
            <w:pPr>
              <w:pStyle w:val="P68B1DB1-Normal46"/>
              <w:spacing w:line="259" w:lineRule="auto"/>
              <w:ind w:right="17"/>
              <w:jc w:val="center"/>
              <w:rPr>
                <w:rFonts w:cs="Times New Roman"/>
                <w:noProof/>
              </w:rPr>
            </w:pPr>
            <w:r>
              <w:rPr>
                <w:noProof/>
              </w:rPr>
              <w:t xml:space="preserve">Meilenstein </w:t>
            </w:r>
          </w:p>
        </w:tc>
        <w:tc>
          <w:tcPr>
            <w:tcW w:w="36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BD5E887" w14:textId="440FE117" w:rsidR="00EB245A" w:rsidRDefault="006021EE">
            <w:pPr>
              <w:pStyle w:val="P68B1DB1-Normal46"/>
              <w:spacing w:line="239" w:lineRule="auto"/>
              <w:ind w:left="108"/>
              <w:rPr>
                <w:rFonts w:cs="Times New Roman"/>
                <w:noProof/>
              </w:rPr>
            </w:pPr>
            <w:r>
              <w:rPr>
                <w:noProof/>
              </w:rPr>
              <w:t xml:space="preserve">Bewertung des Netzes für die onkologische Versorgung </w:t>
            </w:r>
          </w:p>
        </w:tc>
      </w:tr>
      <w:tr w:rsidR="00EB245A" w14:paraId="19833B75" w14:textId="77777777">
        <w:trPr>
          <w:trHeight w:val="1279"/>
        </w:trPr>
        <w:tc>
          <w:tcPr>
            <w:tcW w:w="20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580A978" w14:textId="5A8CBD43" w:rsidR="00EB245A" w:rsidRDefault="006021EE">
            <w:pPr>
              <w:pStyle w:val="P68B1DB1-Normal46"/>
              <w:spacing w:line="259" w:lineRule="auto"/>
              <w:ind w:right="17"/>
              <w:jc w:val="center"/>
              <w:rPr>
                <w:rFonts w:cs="Times New Roman"/>
                <w:noProof/>
              </w:rPr>
            </w:pPr>
            <w:r>
              <w:rPr>
                <w:noProof/>
              </w:rPr>
              <w:t xml:space="preserve">D12G </w:t>
            </w:r>
          </w:p>
        </w:tc>
        <w:tc>
          <w:tcPr>
            <w:tcW w:w="36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445914C" w14:textId="77777777" w:rsidR="00EB245A" w:rsidRDefault="006021EE">
            <w:pPr>
              <w:pStyle w:val="P68B1DB1-Normal46"/>
              <w:spacing w:line="259" w:lineRule="auto"/>
              <w:rPr>
                <w:rFonts w:cs="Times New Roman"/>
                <w:noProof/>
              </w:rPr>
            </w:pPr>
            <w:r>
              <w:rPr>
                <w:noProof/>
              </w:rPr>
              <w:t xml:space="preserve">D1.1.1 Entwicklung und Modernisierung </w:t>
            </w:r>
          </w:p>
          <w:p w14:paraId="13F247A0" w14:textId="5BE40845" w:rsidR="00EB245A" w:rsidRDefault="006021EE">
            <w:pPr>
              <w:pStyle w:val="P68B1DB1-Normal46"/>
              <w:spacing w:after="4" w:line="238" w:lineRule="auto"/>
              <w:ind w:left="108"/>
              <w:rPr>
                <w:rFonts w:cs="Times New Roman"/>
                <w:noProof/>
              </w:rPr>
            </w:pPr>
            <w:r>
              <w:rPr>
                <w:noProof/>
              </w:rPr>
              <w:t xml:space="preserve">der Infrastruktur hochspezialisierter Pflegezentren und anderer Gesundheitsdienstleister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0B26F3C" w14:textId="561E1BFA" w:rsidR="00EB245A" w:rsidRDefault="006021EE">
            <w:pPr>
              <w:pStyle w:val="P68B1DB1-Normal46"/>
              <w:spacing w:line="259" w:lineRule="auto"/>
              <w:ind w:right="17"/>
              <w:jc w:val="center"/>
              <w:rPr>
                <w:rFonts w:cs="Times New Roman"/>
                <w:noProof/>
              </w:rPr>
            </w:pPr>
            <w:r>
              <w:rPr>
                <w:noProof/>
              </w:rPr>
              <w:t xml:space="preserve">Ziel </w:t>
            </w:r>
          </w:p>
        </w:tc>
        <w:tc>
          <w:tcPr>
            <w:tcW w:w="36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8622DC8" w14:textId="5C2428A6" w:rsidR="00EB245A" w:rsidRDefault="006021EE">
            <w:pPr>
              <w:pStyle w:val="P68B1DB1-Normal46"/>
              <w:spacing w:line="239" w:lineRule="auto"/>
              <w:ind w:left="108"/>
              <w:rPr>
                <w:rFonts w:cs="Times New Roman"/>
                <w:noProof/>
              </w:rPr>
            </w:pPr>
            <w:r>
              <w:rPr>
                <w:noProof/>
              </w:rPr>
              <w:t xml:space="preserve">T2 – Verträge zwischen Krankenhäusern und dem Gesundheitsministerium über den Erwerb medizinischer Ausrüstung oder über Infrastrukturinvestitionen </w:t>
            </w:r>
          </w:p>
        </w:tc>
      </w:tr>
      <w:tr w:rsidR="00EB245A" w14:paraId="73B4D5AC" w14:textId="77777777">
        <w:trPr>
          <w:trHeight w:val="1279"/>
        </w:trPr>
        <w:tc>
          <w:tcPr>
            <w:tcW w:w="20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E240711" w14:textId="7B761ADF" w:rsidR="00EB245A" w:rsidRDefault="006021EE">
            <w:pPr>
              <w:pStyle w:val="P68B1DB1-Normal46"/>
              <w:spacing w:line="259" w:lineRule="auto"/>
              <w:ind w:right="17"/>
              <w:jc w:val="center"/>
              <w:rPr>
                <w:rFonts w:cs="Times New Roman"/>
                <w:noProof/>
              </w:rPr>
            </w:pPr>
            <w:r>
              <w:rPr>
                <w:noProof/>
              </w:rPr>
              <w:t xml:space="preserve">D19G </w:t>
            </w:r>
          </w:p>
        </w:tc>
        <w:tc>
          <w:tcPr>
            <w:tcW w:w="36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7301C40" w14:textId="7CF1D2B8" w:rsidR="00EB245A" w:rsidRDefault="006021EE">
            <w:pPr>
              <w:pStyle w:val="P68B1DB1-Normal46"/>
              <w:spacing w:line="259" w:lineRule="auto"/>
              <w:rPr>
                <w:rFonts w:cs="Times New Roman"/>
                <w:noProof/>
              </w:rPr>
            </w:pPr>
            <w:r>
              <w:rPr>
                <w:noProof/>
              </w:rPr>
              <w:t xml:space="preserve">D1.1.2 Beschleunigung des digitalen Wandels im Gesundheitswesen durch Weiterentwicklung digitaler Gesundheitsdienste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BB88D82" w14:textId="642DEAD5" w:rsidR="00EB245A" w:rsidRDefault="006021EE">
            <w:pPr>
              <w:pStyle w:val="P68B1DB1-Normal46"/>
              <w:spacing w:line="259" w:lineRule="auto"/>
              <w:ind w:right="17"/>
              <w:jc w:val="center"/>
              <w:rPr>
                <w:rFonts w:cs="Times New Roman"/>
                <w:noProof/>
              </w:rPr>
            </w:pPr>
            <w:r>
              <w:rPr>
                <w:noProof/>
              </w:rPr>
              <w:t xml:space="preserve">Ziel </w:t>
            </w:r>
          </w:p>
        </w:tc>
        <w:tc>
          <w:tcPr>
            <w:tcW w:w="36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21967EE" w14:textId="5096CF4F" w:rsidR="00EB245A" w:rsidRDefault="006021EE">
            <w:pPr>
              <w:pStyle w:val="P68B1DB1-Normal46"/>
              <w:spacing w:line="239" w:lineRule="auto"/>
              <w:ind w:left="108"/>
              <w:rPr>
                <w:rFonts w:cs="Times New Roman"/>
                <w:noProof/>
              </w:rPr>
            </w:pPr>
            <w:r>
              <w:rPr>
                <w:noProof/>
              </w:rPr>
              <w:t xml:space="preserve">T1 – digitalisierte medizinische Dokumente </w:t>
            </w:r>
          </w:p>
        </w:tc>
      </w:tr>
      <w:tr w:rsidR="00EB245A" w14:paraId="0EAF8448" w14:textId="77777777">
        <w:trPr>
          <w:trHeight w:val="1279"/>
        </w:trPr>
        <w:tc>
          <w:tcPr>
            <w:tcW w:w="20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7274D6A" w14:textId="46403098" w:rsidR="00EB245A" w:rsidRDefault="006021EE">
            <w:pPr>
              <w:pStyle w:val="P68B1DB1-Normal46"/>
              <w:spacing w:line="259" w:lineRule="auto"/>
              <w:ind w:right="17"/>
              <w:jc w:val="center"/>
              <w:rPr>
                <w:rFonts w:cs="Times New Roman"/>
                <w:noProof/>
              </w:rPr>
            </w:pPr>
            <w:r>
              <w:rPr>
                <w:noProof/>
              </w:rPr>
              <w:t>E4bG</w:t>
            </w:r>
          </w:p>
        </w:tc>
        <w:tc>
          <w:tcPr>
            <w:tcW w:w="36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9D1DF88" w14:textId="3B5AF985" w:rsidR="00EB245A" w:rsidRDefault="006021EE">
            <w:pPr>
              <w:pStyle w:val="P68B1DB1-Normal46"/>
              <w:spacing w:after="200" w:line="259" w:lineRule="auto"/>
              <w:rPr>
                <w:rFonts w:eastAsia="Times New Roman" w:cs="Times New Roman"/>
                <w:noProof/>
                <w:color w:val="006100"/>
                <w:sz w:val="18"/>
              </w:rPr>
            </w:pPr>
            <w:r>
              <w:rPr>
                <w:noProof/>
              </w:rPr>
              <w:t>E1.1 Steigerung der Nutzung umweltfreundlicher Verkehrsmittel</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3794058" w14:textId="1818762B" w:rsidR="00EB245A" w:rsidRDefault="006021EE">
            <w:pPr>
              <w:pStyle w:val="P68B1DB1-Normal46"/>
              <w:spacing w:line="259" w:lineRule="auto"/>
              <w:ind w:right="17"/>
              <w:jc w:val="center"/>
              <w:rPr>
                <w:rFonts w:cs="Times New Roman"/>
                <w:noProof/>
              </w:rPr>
            </w:pPr>
            <w:r>
              <w:rPr>
                <w:noProof/>
              </w:rPr>
              <w:t>Ziel</w:t>
            </w:r>
          </w:p>
        </w:tc>
        <w:tc>
          <w:tcPr>
            <w:tcW w:w="36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DA644F1" w14:textId="08237A68" w:rsidR="00EB245A" w:rsidRDefault="006021EE">
            <w:pPr>
              <w:spacing w:line="239" w:lineRule="auto"/>
              <w:ind w:left="108"/>
              <w:rPr>
                <w:rFonts w:ascii="Times New Roman" w:hAnsi="Times New Roman" w:cs="Times New Roman"/>
                <w:noProof/>
              </w:rPr>
            </w:pPr>
            <w:r>
              <w:rPr>
                <w:rFonts w:ascii="Times New Roman" w:hAnsi="Times New Roman"/>
                <w:noProof/>
              </w:rPr>
              <w:t xml:space="preserve">Mit den </w:t>
            </w:r>
            <w:r>
              <w:rPr>
                <w:rFonts w:ascii="Times New Roman" w:hAnsi="Times New Roman"/>
                <w:noProof/>
              </w:rPr>
              <w:t>Endbegünstigten unterzeichnete rechtliche Vereinbarungen</w:t>
            </w:r>
            <w:r>
              <w:rPr>
                <w:rFonts w:ascii="Calibri" w:hAnsi="Calibri"/>
                <w:noProof/>
              </w:rPr>
              <w:t xml:space="preserve"> </w:t>
            </w:r>
          </w:p>
        </w:tc>
      </w:tr>
      <w:tr w:rsidR="00EB245A" w14:paraId="26C9F5BC" w14:textId="77777777">
        <w:trPr>
          <w:trHeight w:val="1279"/>
        </w:trPr>
        <w:tc>
          <w:tcPr>
            <w:tcW w:w="20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E73BDD1" w14:textId="2CE4F860" w:rsidR="00EB245A" w:rsidRDefault="006021EE">
            <w:pPr>
              <w:pStyle w:val="P68B1DB1-Normal46"/>
              <w:spacing w:line="259" w:lineRule="auto"/>
              <w:ind w:right="17"/>
              <w:jc w:val="center"/>
              <w:rPr>
                <w:rFonts w:cs="Times New Roman"/>
                <w:noProof/>
              </w:rPr>
            </w:pPr>
            <w:r>
              <w:rPr>
                <w:noProof/>
              </w:rPr>
              <w:t xml:space="preserve">E5G </w:t>
            </w:r>
          </w:p>
        </w:tc>
        <w:tc>
          <w:tcPr>
            <w:tcW w:w="36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945ED45" w14:textId="671954DD" w:rsidR="00EB245A" w:rsidRDefault="006021EE">
            <w:pPr>
              <w:pStyle w:val="P68B1DB1-Normal46"/>
              <w:spacing w:line="259" w:lineRule="auto"/>
              <w:rPr>
                <w:rFonts w:cs="Times New Roman"/>
                <w:noProof/>
              </w:rPr>
            </w:pPr>
            <w:r>
              <w:rPr>
                <w:noProof/>
              </w:rPr>
              <w:t xml:space="preserve">E1.1 Steigerung der Nutzung umweltfreundlicher Verkehrsmittel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AAC2A96" w14:textId="51D981E5" w:rsidR="00EB245A" w:rsidRDefault="006021EE">
            <w:pPr>
              <w:pStyle w:val="P68B1DB1-Normal46"/>
              <w:spacing w:line="259" w:lineRule="auto"/>
              <w:ind w:right="17"/>
              <w:jc w:val="center"/>
              <w:rPr>
                <w:rFonts w:cs="Times New Roman"/>
                <w:noProof/>
              </w:rPr>
            </w:pPr>
            <w:r>
              <w:rPr>
                <w:noProof/>
              </w:rPr>
              <w:t xml:space="preserve">Ziel </w:t>
            </w:r>
          </w:p>
        </w:tc>
        <w:tc>
          <w:tcPr>
            <w:tcW w:w="36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9EA9103" w14:textId="2058FF57" w:rsidR="00EB245A" w:rsidRDefault="006021EE">
            <w:pPr>
              <w:pStyle w:val="P68B1DB1-Normal46"/>
              <w:spacing w:line="239" w:lineRule="auto"/>
              <w:ind w:left="108"/>
              <w:rPr>
                <w:rFonts w:cs="Times New Roman"/>
                <w:noProof/>
              </w:rPr>
            </w:pPr>
            <w:r>
              <w:rPr>
                <w:noProof/>
              </w:rPr>
              <w:t xml:space="preserve">Städte mit neuen Plänen für nachhaltige urbane Mobilität </w:t>
            </w:r>
          </w:p>
        </w:tc>
      </w:tr>
      <w:tr w:rsidR="00EB245A" w14:paraId="3D1B596F" w14:textId="77777777">
        <w:trPr>
          <w:trHeight w:val="1279"/>
        </w:trPr>
        <w:tc>
          <w:tcPr>
            <w:tcW w:w="20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0C7F343" w14:textId="5D42D967" w:rsidR="00EB245A" w:rsidRDefault="006021EE">
            <w:pPr>
              <w:pStyle w:val="P68B1DB1-Normal46"/>
              <w:spacing w:line="259" w:lineRule="auto"/>
              <w:ind w:right="17"/>
              <w:jc w:val="center"/>
              <w:rPr>
                <w:rFonts w:cs="Times New Roman"/>
                <w:noProof/>
              </w:rPr>
            </w:pPr>
            <w:r>
              <w:rPr>
                <w:noProof/>
              </w:rPr>
              <w:t xml:space="preserve">E19aG </w:t>
            </w:r>
          </w:p>
        </w:tc>
        <w:tc>
          <w:tcPr>
            <w:tcW w:w="36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89B3BB4" w14:textId="77777777" w:rsidR="00EB245A" w:rsidRDefault="006021EE">
            <w:pPr>
              <w:pStyle w:val="P68B1DB1-Normal46"/>
              <w:spacing w:line="259" w:lineRule="auto"/>
              <w:ind w:left="108"/>
              <w:rPr>
                <w:rFonts w:cs="Times New Roman"/>
                <w:noProof/>
              </w:rPr>
            </w:pPr>
            <w:r>
              <w:rPr>
                <w:noProof/>
              </w:rPr>
              <w:t xml:space="preserve">E2.1.2 Schienenfahrzeuge für den Personenverkehr </w:t>
            </w:r>
          </w:p>
          <w:p w14:paraId="71CC3F1B" w14:textId="264E48D3" w:rsidR="00EB245A" w:rsidRDefault="006021EE">
            <w:pPr>
              <w:pStyle w:val="P68B1DB1-Normal46"/>
              <w:spacing w:line="259" w:lineRule="auto"/>
              <w:rPr>
                <w:rFonts w:cs="Times New Roman"/>
                <w:noProof/>
              </w:rPr>
            </w:pPr>
            <w:r>
              <w:rPr>
                <w:noProof/>
              </w:rPr>
              <w:t xml:space="preserve">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39DF2FB" w14:textId="244C97BA" w:rsidR="00EB245A" w:rsidRDefault="006021EE">
            <w:pPr>
              <w:pStyle w:val="P68B1DB1-Normal46"/>
              <w:spacing w:line="259" w:lineRule="auto"/>
              <w:ind w:right="17"/>
              <w:jc w:val="center"/>
              <w:rPr>
                <w:rFonts w:cs="Times New Roman"/>
                <w:noProof/>
              </w:rPr>
            </w:pPr>
            <w:r>
              <w:rPr>
                <w:noProof/>
              </w:rPr>
              <w:t xml:space="preserve">Ziel </w:t>
            </w:r>
          </w:p>
        </w:tc>
        <w:tc>
          <w:tcPr>
            <w:tcW w:w="36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9658294" w14:textId="77777777" w:rsidR="00EB245A" w:rsidRDefault="006021EE">
            <w:pPr>
              <w:pStyle w:val="P68B1DB1-Normal46"/>
              <w:spacing w:after="1" w:line="238" w:lineRule="auto"/>
              <w:ind w:left="108"/>
              <w:rPr>
                <w:rFonts w:cs="Times New Roman"/>
                <w:noProof/>
              </w:rPr>
            </w:pPr>
            <w:r>
              <w:rPr>
                <w:noProof/>
              </w:rPr>
              <w:t xml:space="preserve">Elektrische und mit ERTMS ausgestattete Fahrzeuge, die für Schienenfernstrecken geliefert werden </w:t>
            </w:r>
          </w:p>
          <w:p w14:paraId="1D7F70E9" w14:textId="364F3099" w:rsidR="00EB245A" w:rsidRDefault="006021EE">
            <w:pPr>
              <w:pStyle w:val="P68B1DB1-Normal46"/>
              <w:spacing w:line="239" w:lineRule="auto"/>
              <w:ind w:left="108"/>
              <w:rPr>
                <w:rFonts w:cs="Times New Roman"/>
                <w:noProof/>
              </w:rPr>
            </w:pPr>
            <w:r>
              <w:rPr>
                <w:noProof/>
              </w:rPr>
              <w:t xml:space="preserve"> </w:t>
            </w:r>
          </w:p>
        </w:tc>
      </w:tr>
      <w:tr w:rsidR="00EB245A" w14:paraId="3D3911E0" w14:textId="77777777">
        <w:trPr>
          <w:trHeight w:val="1279"/>
        </w:trPr>
        <w:tc>
          <w:tcPr>
            <w:tcW w:w="20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89631BE" w14:textId="516F966A" w:rsidR="00EB245A" w:rsidRDefault="006021EE">
            <w:pPr>
              <w:pStyle w:val="P68B1DB1-Normal46"/>
              <w:spacing w:line="259" w:lineRule="auto"/>
              <w:ind w:right="17"/>
              <w:jc w:val="center"/>
              <w:rPr>
                <w:rFonts w:cs="Times New Roman"/>
                <w:noProof/>
              </w:rPr>
            </w:pPr>
            <w:r>
              <w:rPr>
                <w:noProof/>
              </w:rPr>
              <w:t xml:space="preserve">E27G </w:t>
            </w:r>
          </w:p>
        </w:tc>
        <w:tc>
          <w:tcPr>
            <w:tcW w:w="36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4FEFD52" w14:textId="40EA4AC2" w:rsidR="00EB245A" w:rsidRDefault="006021EE">
            <w:pPr>
              <w:pStyle w:val="P68B1DB1-Normal46"/>
              <w:spacing w:line="259" w:lineRule="auto"/>
              <w:ind w:left="108"/>
              <w:rPr>
                <w:rFonts w:cs="Times New Roman"/>
                <w:noProof/>
              </w:rPr>
            </w:pPr>
            <w:r>
              <w:rPr>
                <w:noProof/>
              </w:rPr>
              <w:t xml:space="preserve">E2.2.2 Digitalisierung des Verkehrs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5492594" w14:textId="7742BDAE" w:rsidR="00EB245A" w:rsidRDefault="006021EE">
            <w:pPr>
              <w:pStyle w:val="P68B1DB1-Normal46"/>
              <w:spacing w:line="259" w:lineRule="auto"/>
              <w:ind w:right="17"/>
              <w:jc w:val="center"/>
              <w:rPr>
                <w:rFonts w:cs="Times New Roman"/>
                <w:noProof/>
              </w:rPr>
            </w:pPr>
            <w:r>
              <w:rPr>
                <w:noProof/>
              </w:rPr>
              <w:t xml:space="preserve">Ziel </w:t>
            </w:r>
          </w:p>
        </w:tc>
        <w:tc>
          <w:tcPr>
            <w:tcW w:w="36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2338318" w14:textId="5673A7CF" w:rsidR="00EB245A" w:rsidRDefault="006021EE">
            <w:pPr>
              <w:pStyle w:val="P68B1DB1-Normal46"/>
              <w:spacing w:after="1" w:line="238" w:lineRule="auto"/>
              <w:ind w:left="108"/>
              <w:rPr>
                <w:rFonts w:cs="Times New Roman"/>
                <w:noProof/>
              </w:rPr>
            </w:pPr>
            <w:r>
              <w:rPr>
                <w:noProof/>
              </w:rPr>
              <w:t xml:space="preserve">Einbau von: Dynamisches Fluggastinformationssystem (SDIP), Kontrollsysteme und Bahnübergänge in 55 Bereichen </w:t>
            </w:r>
          </w:p>
        </w:tc>
      </w:tr>
      <w:tr w:rsidR="00EB245A" w14:paraId="19719DB3" w14:textId="77777777">
        <w:trPr>
          <w:trHeight w:val="1279"/>
        </w:trPr>
        <w:tc>
          <w:tcPr>
            <w:tcW w:w="20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9115BDE" w14:textId="36BB93A0" w:rsidR="00EB245A" w:rsidRDefault="006021EE">
            <w:pPr>
              <w:pStyle w:val="P68B1DB1-Normal46"/>
              <w:spacing w:line="259" w:lineRule="auto"/>
              <w:ind w:right="17"/>
              <w:jc w:val="center"/>
              <w:rPr>
                <w:rFonts w:cs="Times New Roman"/>
                <w:noProof/>
              </w:rPr>
            </w:pPr>
            <w:r>
              <w:rPr>
                <w:noProof/>
              </w:rPr>
              <w:t xml:space="preserve">G3G </w:t>
            </w:r>
          </w:p>
        </w:tc>
        <w:tc>
          <w:tcPr>
            <w:tcW w:w="36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9FE241F" w14:textId="7DD18CA0" w:rsidR="00EB245A" w:rsidRDefault="006021EE">
            <w:pPr>
              <w:pStyle w:val="P68B1DB1-Normal46"/>
              <w:spacing w:line="259" w:lineRule="auto"/>
              <w:ind w:left="108"/>
              <w:rPr>
                <w:rFonts w:cs="Times New Roman"/>
                <w:noProof/>
              </w:rPr>
            </w:pPr>
            <w:r>
              <w:rPr>
                <w:noProof/>
              </w:rPr>
              <w:t xml:space="preserve">G1.1.2 Anlagen für erneuerbare Energiequellen, die von Energiegemeinschaften betrieben werden, einschließlich eines erweiterten Teils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5BC9640" w14:textId="0F6A3626" w:rsidR="00EB245A" w:rsidRDefault="006021EE">
            <w:pPr>
              <w:pStyle w:val="P68B1DB1-Normal46"/>
              <w:spacing w:line="259" w:lineRule="auto"/>
              <w:ind w:right="17"/>
              <w:jc w:val="center"/>
              <w:rPr>
                <w:rFonts w:cs="Times New Roman"/>
                <w:noProof/>
              </w:rPr>
            </w:pPr>
            <w:r>
              <w:rPr>
                <w:noProof/>
              </w:rPr>
              <w:t xml:space="preserve">Ziel </w:t>
            </w:r>
          </w:p>
        </w:tc>
        <w:tc>
          <w:tcPr>
            <w:tcW w:w="36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EDCD8B0" w14:textId="78AC0C45" w:rsidR="00EB245A" w:rsidRDefault="006021EE">
            <w:pPr>
              <w:pStyle w:val="P68B1DB1-Normal46"/>
              <w:spacing w:after="1" w:line="238" w:lineRule="auto"/>
              <w:ind w:left="108"/>
              <w:rPr>
                <w:rFonts w:cs="Times New Roman"/>
                <w:noProof/>
              </w:rPr>
            </w:pPr>
            <w:r>
              <w:rPr>
                <w:noProof/>
              </w:rPr>
              <w:t xml:space="preserve">Im Rahmen des Vorinvestitionsteils unterstützte Einrichtungen </w:t>
            </w:r>
          </w:p>
        </w:tc>
      </w:tr>
      <w:tr w:rsidR="00EB245A" w14:paraId="3E62A1E2" w14:textId="77777777">
        <w:trPr>
          <w:trHeight w:val="1279"/>
        </w:trPr>
        <w:tc>
          <w:tcPr>
            <w:tcW w:w="20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EC245BB" w14:textId="68E92CB2" w:rsidR="00EB245A" w:rsidRDefault="006021EE">
            <w:pPr>
              <w:pStyle w:val="P68B1DB1-Normal46"/>
              <w:spacing w:line="259" w:lineRule="auto"/>
              <w:ind w:right="17"/>
              <w:jc w:val="center"/>
              <w:rPr>
                <w:rFonts w:cs="Times New Roman"/>
                <w:noProof/>
              </w:rPr>
            </w:pPr>
            <w:r>
              <w:rPr>
                <w:noProof/>
              </w:rPr>
              <w:t xml:space="preserve">G8G </w:t>
            </w:r>
          </w:p>
        </w:tc>
        <w:tc>
          <w:tcPr>
            <w:tcW w:w="36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DF9EBC1" w14:textId="5464A173" w:rsidR="00EB245A" w:rsidRDefault="006021EE">
            <w:pPr>
              <w:pStyle w:val="P68B1DB1-Normal46"/>
              <w:spacing w:line="259" w:lineRule="auto"/>
              <w:ind w:left="108"/>
              <w:rPr>
                <w:rFonts w:cs="Times New Roman"/>
                <w:noProof/>
              </w:rPr>
            </w:pPr>
            <w:r>
              <w:rPr>
                <w:noProof/>
              </w:rPr>
              <w:t xml:space="preserve">G1.1.4 Unterstützung von Institutionen, die REPowerEU-Reformen und -Investitionen umsetzen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7D61644" w14:textId="33928B20" w:rsidR="00EB245A" w:rsidRDefault="006021EE">
            <w:pPr>
              <w:pStyle w:val="P68B1DB1-Normal46"/>
              <w:spacing w:line="259" w:lineRule="auto"/>
              <w:ind w:right="17"/>
              <w:jc w:val="center"/>
              <w:rPr>
                <w:rFonts w:cs="Times New Roman"/>
                <w:noProof/>
              </w:rPr>
            </w:pPr>
            <w:r>
              <w:rPr>
                <w:noProof/>
              </w:rPr>
              <w:t xml:space="preserve">Ziel </w:t>
            </w:r>
          </w:p>
        </w:tc>
        <w:tc>
          <w:tcPr>
            <w:tcW w:w="36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B210FA8" w14:textId="17F01601" w:rsidR="00EB245A" w:rsidRDefault="006021EE">
            <w:pPr>
              <w:pStyle w:val="P68B1DB1-Normal46"/>
              <w:spacing w:after="1" w:line="238" w:lineRule="auto"/>
              <w:ind w:left="108"/>
              <w:rPr>
                <w:rFonts w:cs="Times New Roman"/>
                <w:noProof/>
              </w:rPr>
            </w:pPr>
            <w:r>
              <w:rPr>
                <w:noProof/>
              </w:rPr>
              <w:t xml:space="preserve">Projekte zum Kapazitätsaufbau zur Unterstützung der Umsetzung von REPowerEU-Reformen und -Investitionen für die zentrale und lokale Verwaltung </w:t>
            </w:r>
          </w:p>
        </w:tc>
      </w:tr>
      <w:tr w:rsidR="00EB245A" w14:paraId="54AEA307" w14:textId="77777777">
        <w:trPr>
          <w:trHeight w:val="1279"/>
        </w:trPr>
        <w:tc>
          <w:tcPr>
            <w:tcW w:w="20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C3EAA3B" w14:textId="4AB11A76" w:rsidR="00EB245A" w:rsidRDefault="006021EE">
            <w:pPr>
              <w:pStyle w:val="P68B1DB1-Normal46"/>
              <w:spacing w:line="259" w:lineRule="auto"/>
              <w:ind w:right="17"/>
              <w:jc w:val="center"/>
              <w:rPr>
                <w:rFonts w:cs="Times New Roman"/>
                <w:noProof/>
              </w:rPr>
            </w:pPr>
            <w:r>
              <w:rPr>
                <w:noProof/>
              </w:rPr>
              <w:t xml:space="preserve">G10G </w:t>
            </w:r>
          </w:p>
        </w:tc>
        <w:tc>
          <w:tcPr>
            <w:tcW w:w="36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B156A0F" w14:textId="0750EF52" w:rsidR="00EB245A" w:rsidRDefault="006021EE">
            <w:pPr>
              <w:pStyle w:val="P68B1DB1-Normal46"/>
              <w:spacing w:line="259" w:lineRule="auto"/>
              <w:ind w:left="108"/>
              <w:rPr>
                <w:rFonts w:cs="Times New Roman"/>
                <w:noProof/>
              </w:rPr>
            </w:pPr>
            <w:r>
              <w:rPr>
                <w:noProof/>
              </w:rPr>
              <w:t xml:space="preserve">G1.1.4 Unterstützung von Institutionen, die REPowerEU-Reformen und -Investitionen umsetzen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F928603" w14:textId="46F9D715" w:rsidR="00EB245A" w:rsidRDefault="006021EE">
            <w:pPr>
              <w:pStyle w:val="P68B1DB1-Normal46"/>
              <w:spacing w:line="259" w:lineRule="auto"/>
              <w:ind w:right="17"/>
              <w:jc w:val="center"/>
              <w:rPr>
                <w:rFonts w:cs="Times New Roman"/>
                <w:noProof/>
              </w:rPr>
            </w:pPr>
            <w:r>
              <w:rPr>
                <w:noProof/>
              </w:rPr>
              <w:t xml:space="preserve">Meilenstein </w:t>
            </w:r>
          </w:p>
        </w:tc>
        <w:tc>
          <w:tcPr>
            <w:tcW w:w="36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9BD269A" w14:textId="77777777" w:rsidR="00EB245A" w:rsidRDefault="006021EE">
            <w:pPr>
              <w:pStyle w:val="P68B1DB1-Normal46"/>
              <w:spacing w:after="2" w:line="237" w:lineRule="auto"/>
              <w:ind w:left="1"/>
              <w:rPr>
                <w:rFonts w:cs="Times New Roman"/>
                <w:noProof/>
              </w:rPr>
            </w:pPr>
            <w:r>
              <w:rPr>
                <w:noProof/>
              </w:rPr>
              <w:t xml:space="preserve">Veröffentlichung der technischen Spezifikation des IT-Tools für die Anwendung des neuen Instruments </w:t>
            </w:r>
          </w:p>
          <w:p w14:paraId="687EEA50" w14:textId="77777777" w:rsidR="00EB245A" w:rsidRDefault="006021EE">
            <w:pPr>
              <w:pStyle w:val="P68B1DB1-Normal46"/>
              <w:spacing w:line="259" w:lineRule="auto"/>
              <w:ind w:left="1"/>
              <w:rPr>
                <w:rFonts w:cs="Times New Roman"/>
                <w:noProof/>
              </w:rPr>
            </w:pPr>
            <w:r>
              <w:rPr>
                <w:noProof/>
              </w:rPr>
              <w:t xml:space="preserve">Regulierungsmodell der Energie </w:t>
            </w:r>
          </w:p>
          <w:p w14:paraId="532BDC48" w14:textId="67EFEF61" w:rsidR="00EB245A" w:rsidRDefault="006021EE">
            <w:pPr>
              <w:pStyle w:val="P68B1DB1-Normal46"/>
              <w:spacing w:after="1" w:line="238" w:lineRule="auto"/>
              <w:ind w:left="108"/>
              <w:rPr>
                <w:rFonts w:cs="Times New Roman"/>
                <w:noProof/>
              </w:rPr>
            </w:pPr>
            <w:r>
              <w:rPr>
                <w:noProof/>
              </w:rPr>
              <w:t xml:space="preserve">Regulierungsbüro </w:t>
            </w:r>
          </w:p>
        </w:tc>
      </w:tr>
      <w:tr w:rsidR="00EB245A" w14:paraId="49261473" w14:textId="77777777">
        <w:trPr>
          <w:trHeight w:val="1279"/>
        </w:trPr>
        <w:tc>
          <w:tcPr>
            <w:tcW w:w="20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3D038B0" w14:textId="54EB58B7" w:rsidR="00EB245A" w:rsidRDefault="006021EE">
            <w:pPr>
              <w:pStyle w:val="P68B1DB1-Normal46"/>
              <w:spacing w:line="259" w:lineRule="auto"/>
              <w:ind w:right="17"/>
              <w:jc w:val="center"/>
              <w:rPr>
                <w:rFonts w:cs="Times New Roman"/>
                <w:noProof/>
              </w:rPr>
            </w:pPr>
            <w:r>
              <w:rPr>
                <w:noProof/>
              </w:rPr>
              <w:t xml:space="preserve">G22G </w:t>
            </w:r>
          </w:p>
        </w:tc>
        <w:tc>
          <w:tcPr>
            <w:tcW w:w="36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61B656B" w14:textId="63B7559F" w:rsidR="00EB245A" w:rsidRDefault="006021EE">
            <w:pPr>
              <w:pStyle w:val="P68B1DB1-Normal46"/>
              <w:spacing w:line="259" w:lineRule="auto"/>
              <w:ind w:left="108"/>
              <w:rPr>
                <w:rFonts w:cs="Times New Roman"/>
                <w:noProof/>
              </w:rPr>
            </w:pPr>
            <w:r>
              <w:rPr>
                <w:noProof/>
              </w:rPr>
              <w:t xml:space="preserve">G1.2.3 Ausbau der Übertragungsnetze, intelligente Strominfrastruktur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40E9D86" w14:textId="0B5C993E" w:rsidR="00EB245A" w:rsidRDefault="006021EE">
            <w:pPr>
              <w:pStyle w:val="P68B1DB1-Normal46"/>
              <w:spacing w:line="259" w:lineRule="auto"/>
              <w:ind w:right="17"/>
              <w:jc w:val="center"/>
              <w:rPr>
                <w:rFonts w:cs="Times New Roman"/>
                <w:noProof/>
              </w:rPr>
            </w:pPr>
            <w:r>
              <w:rPr>
                <w:noProof/>
              </w:rPr>
              <w:t xml:space="preserve">Ziel </w:t>
            </w:r>
          </w:p>
        </w:tc>
        <w:tc>
          <w:tcPr>
            <w:tcW w:w="36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FBE0DD9" w14:textId="7A6FA940" w:rsidR="00EB245A" w:rsidRDefault="006021EE">
            <w:pPr>
              <w:pStyle w:val="P68B1DB1-Normal46"/>
              <w:spacing w:after="2" w:line="237" w:lineRule="auto"/>
              <w:ind w:left="1"/>
              <w:rPr>
                <w:rFonts w:cs="Times New Roman"/>
                <w:noProof/>
              </w:rPr>
            </w:pPr>
            <w:r>
              <w:rPr>
                <w:noProof/>
              </w:rPr>
              <w:t xml:space="preserve">Einführung von IKT-Systemen im Übertragungsnetz (Anzahl der Lösungen) </w:t>
            </w:r>
          </w:p>
        </w:tc>
      </w:tr>
      <w:tr w:rsidR="00EB245A" w14:paraId="43562804" w14:textId="77777777">
        <w:trPr>
          <w:trHeight w:val="1279"/>
        </w:trPr>
        <w:tc>
          <w:tcPr>
            <w:tcW w:w="20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290BB2A" w14:textId="5B49ED81" w:rsidR="00EB245A" w:rsidRDefault="006021EE">
            <w:pPr>
              <w:pStyle w:val="P68B1DB1-Normal46"/>
              <w:spacing w:line="259" w:lineRule="auto"/>
              <w:ind w:right="17"/>
              <w:jc w:val="center"/>
              <w:rPr>
                <w:rFonts w:cs="Times New Roman"/>
                <w:noProof/>
              </w:rPr>
            </w:pPr>
            <w:r>
              <w:rPr>
                <w:noProof/>
              </w:rPr>
              <w:t xml:space="preserve"> </w:t>
            </w:r>
          </w:p>
        </w:tc>
        <w:tc>
          <w:tcPr>
            <w:tcW w:w="36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568FC6B" w14:textId="3E2955B7" w:rsidR="00EB245A" w:rsidRDefault="006021EE">
            <w:pPr>
              <w:pStyle w:val="P68B1DB1-Normal46"/>
              <w:spacing w:line="259" w:lineRule="auto"/>
              <w:ind w:left="108"/>
              <w:rPr>
                <w:rFonts w:cs="Times New Roman"/>
                <w:noProof/>
              </w:rPr>
            </w:pPr>
            <w:r>
              <w:rPr>
                <w:noProof/>
              </w:rPr>
              <w:t xml:space="preserve">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7A87D9F" w14:textId="52CA1DE1" w:rsidR="00EB245A" w:rsidRDefault="006021EE">
            <w:pPr>
              <w:pStyle w:val="P68B1DB1-Normal46"/>
              <w:spacing w:line="259" w:lineRule="auto"/>
              <w:ind w:right="17"/>
              <w:jc w:val="center"/>
              <w:rPr>
                <w:rFonts w:cs="Times New Roman"/>
                <w:noProof/>
              </w:rPr>
            </w:pPr>
            <w:r>
              <w:rPr>
                <w:noProof/>
              </w:rPr>
              <w:t xml:space="preserve">Ratenzahlungsbetrag </w:t>
            </w:r>
          </w:p>
        </w:tc>
        <w:tc>
          <w:tcPr>
            <w:tcW w:w="36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5E8140D" w14:textId="5F8A23F1" w:rsidR="00EB245A" w:rsidRDefault="006021EE">
            <w:pPr>
              <w:pStyle w:val="P68B1DB1-Normal46"/>
              <w:spacing w:after="2" w:line="237" w:lineRule="auto"/>
              <w:ind w:left="1"/>
              <w:rPr>
                <w:rFonts w:cs="Times New Roman"/>
                <w:noProof/>
              </w:rPr>
            </w:pPr>
            <w:r>
              <w:rPr>
                <w:noProof/>
              </w:rPr>
              <w:t>2 974 523 602 EUR</w:t>
            </w:r>
          </w:p>
        </w:tc>
      </w:tr>
    </w:tbl>
    <w:p w14:paraId="012A40F7" w14:textId="77777777" w:rsidR="00EB245A" w:rsidRDefault="00EB245A">
      <w:pPr>
        <w:spacing w:after="0" w:line="259" w:lineRule="auto"/>
        <w:ind w:left="-1133" w:right="10775"/>
        <w:rPr>
          <w:rFonts w:ascii="Times New Roman" w:hAnsi="Times New Roman" w:cs="Times New Roman"/>
          <w:noProof/>
        </w:rPr>
      </w:pPr>
    </w:p>
    <w:p w14:paraId="2D4CAC6D" w14:textId="77777777" w:rsidR="00EB245A" w:rsidRDefault="006021EE">
      <w:pPr>
        <w:pStyle w:val="P68B1DB1-Normal46"/>
        <w:spacing w:after="98" w:line="259" w:lineRule="auto"/>
        <w:rPr>
          <w:rFonts w:cs="Times New Roman"/>
          <w:noProof/>
        </w:rPr>
      </w:pPr>
      <w:r>
        <w:rPr>
          <w:noProof/>
        </w:rPr>
        <w:t xml:space="preserve"> </w:t>
      </w:r>
    </w:p>
    <w:p w14:paraId="252F3D87" w14:textId="77777777" w:rsidR="00EB245A" w:rsidRDefault="00EB245A">
      <w:pPr>
        <w:spacing w:after="98" w:line="259" w:lineRule="auto"/>
        <w:rPr>
          <w:rFonts w:ascii="Times New Roman" w:hAnsi="Times New Roman" w:cs="Times New Roman"/>
          <w:noProof/>
        </w:rPr>
      </w:pPr>
    </w:p>
    <w:p w14:paraId="6EF57633" w14:textId="77777777" w:rsidR="00EB245A" w:rsidRDefault="00EB245A">
      <w:pPr>
        <w:spacing w:after="98" w:line="259" w:lineRule="auto"/>
        <w:rPr>
          <w:rFonts w:ascii="Times New Roman" w:hAnsi="Times New Roman" w:cs="Times New Roman"/>
          <w:noProof/>
        </w:rPr>
      </w:pPr>
    </w:p>
    <w:p w14:paraId="62EC30D9" w14:textId="77777777" w:rsidR="00EB245A" w:rsidRDefault="00EB245A">
      <w:pPr>
        <w:spacing w:after="98" w:line="259" w:lineRule="auto"/>
        <w:rPr>
          <w:rFonts w:ascii="Times New Roman" w:hAnsi="Times New Roman" w:cs="Times New Roman"/>
          <w:noProof/>
        </w:rPr>
      </w:pPr>
    </w:p>
    <w:p w14:paraId="2F80B663" w14:textId="77777777" w:rsidR="00EB245A" w:rsidRDefault="00EB245A">
      <w:pPr>
        <w:spacing w:after="98" w:line="259" w:lineRule="auto"/>
        <w:rPr>
          <w:rFonts w:ascii="Times New Roman" w:hAnsi="Times New Roman" w:cs="Times New Roman"/>
          <w:noProof/>
        </w:rPr>
      </w:pPr>
    </w:p>
    <w:p w14:paraId="717F9182" w14:textId="77777777" w:rsidR="00EB245A" w:rsidRDefault="006021EE">
      <w:pPr>
        <w:pStyle w:val="P68B1DB1-Normal46"/>
        <w:spacing w:after="3" w:line="259" w:lineRule="auto"/>
        <w:ind w:left="-5"/>
        <w:rPr>
          <w:rFonts w:cs="Times New Roman"/>
          <w:noProof/>
        </w:rPr>
      </w:pPr>
      <w:r>
        <w:rPr>
          <w:noProof/>
        </w:rPr>
        <w:t xml:space="preserve">2.1.8 Achte Tranche (nicht rückzahlbare Unterstützung): </w:t>
      </w:r>
    </w:p>
    <w:tbl>
      <w:tblPr>
        <w:tblStyle w:val="TableGrid0"/>
        <w:tblW w:w="10481" w:type="dxa"/>
        <w:tblInd w:w="10" w:type="dxa"/>
        <w:tblCellMar>
          <w:top w:w="53" w:type="dxa"/>
          <w:left w:w="108" w:type="dxa"/>
          <w:right w:w="104" w:type="dxa"/>
        </w:tblCellMar>
        <w:tblLook w:val="04A0" w:firstRow="1" w:lastRow="0" w:firstColumn="1" w:lastColumn="0" w:noHBand="0" w:noVBand="1"/>
      </w:tblPr>
      <w:tblGrid>
        <w:gridCol w:w="1217"/>
        <w:gridCol w:w="3584"/>
        <w:gridCol w:w="2205"/>
        <w:gridCol w:w="3475"/>
      </w:tblGrid>
      <w:tr w:rsidR="00EB245A" w14:paraId="4E5D7E10" w14:textId="77777777">
        <w:trPr>
          <w:trHeight w:val="965"/>
          <w:tblHeader/>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45FE261B" w14:textId="77777777" w:rsidR="00EB245A" w:rsidRDefault="006021EE">
            <w:pPr>
              <w:pStyle w:val="P68B1DB1-Normal46"/>
              <w:spacing w:line="259" w:lineRule="auto"/>
              <w:jc w:val="center"/>
              <w:rPr>
                <w:rFonts w:cs="Times New Roman"/>
                <w:noProof/>
              </w:rPr>
            </w:pPr>
            <w:r>
              <w:rPr>
                <w:b/>
                <w:noProof/>
              </w:rPr>
              <w:t>Laufende Nummer</w:t>
            </w:r>
            <w:r>
              <w:rPr>
                <w:noProof/>
              </w:rPr>
              <w:t xml:space="preserve">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4208B9A4" w14:textId="77777777" w:rsidR="00EB245A" w:rsidRDefault="006021EE">
            <w:pPr>
              <w:pStyle w:val="P68B1DB1-Normal46"/>
              <w:spacing w:line="259" w:lineRule="auto"/>
              <w:jc w:val="center"/>
              <w:rPr>
                <w:rFonts w:cs="Times New Roman"/>
                <w:noProof/>
              </w:rPr>
            </w:pPr>
            <w:r>
              <w:rPr>
                <w:b/>
                <w:noProof/>
              </w:rPr>
              <w:t>Verbundene Maßnahme (Reform oder Investition)</w:t>
            </w:r>
            <w:r>
              <w:rPr>
                <w:noProof/>
              </w:rPr>
              <w:t xml:space="preserv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63C6AEA1" w14:textId="77777777" w:rsidR="00EB245A" w:rsidRDefault="006021EE">
            <w:pPr>
              <w:pStyle w:val="P68B1DB1-Normal46"/>
              <w:spacing w:line="259" w:lineRule="auto"/>
              <w:ind w:left="25"/>
              <w:jc w:val="center"/>
              <w:rPr>
                <w:rFonts w:cs="Times New Roman"/>
                <w:noProof/>
              </w:rPr>
            </w:pPr>
            <w:r>
              <w:rPr>
                <w:b/>
                <w:noProof/>
              </w:rPr>
              <w:t>Etappenziel/Zielwert</w:t>
            </w:r>
            <w:r>
              <w:rPr>
                <w:noProof/>
              </w:rPr>
              <w:t xml:space="preserve">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58263F76" w14:textId="77777777" w:rsidR="00EB245A" w:rsidRDefault="006021EE">
            <w:pPr>
              <w:pStyle w:val="P68B1DB1-Normal46"/>
              <w:spacing w:line="259" w:lineRule="auto"/>
              <w:ind w:right="2"/>
              <w:jc w:val="center"/>
              <w:rPr>
                <w:rFonts w:cs="Times New Roman"/>
                <w:noProof/>
              </w:rPr>
            </w:pPr>
            <w:r>
              <w:rPr>
                <w:b/>
                <w:noProof/>
              </w:rPr>
              <w:t>Namen</w:t>
            </w:r>
            <w:r>
              <w:rPr>
                <w:noProof/>
              </w:rPr>
              <w:t xml:space="preserve"> </w:t>
            </w:r>
          </w:p>
        </w:tc>
      </w:tr>
      <w:tr w:rsidR="00EB245A" w14:paraId="0A03D4F8" w14:textId="77777777">
        <w:trPr>
          <w:trHeight w:val="1228"/>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DDE61D5" w14:textId="77777777" w:rsidR="00EB245A" w:rsidRDefault="006021EE">
            <w:pPr>
              <w:pStyle w:val="P68B1DB1-Normal46"/>
              <w:spacing w:line="259" w:lineRule="auto"/>
              <w:ind w:right="3"/>
              <w:jc w:val="center"/>
              <w:rPr>
                <w:rFonts w:cs="Times New Roman"/>
                <w:noProof/>
              </w:rPr>
            </w:pPr>
            <w:r>
              <w:rPr>
                <w:noProof/>
              </w:rPr>
              <w:t xml:space="preserve">A24G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75C3565" w14:textId="77777777" w:rsidR="00EB245A" w:rsidRDefault="006021EE">
            <w:pPr>
              <w:pStyle w:val="P68B1DB1-Normal46"/>
              <w:spacing w:line="259" w:lineRule="auto"/>
              <w:rPr>
                <w:rFonts w:cs="Times New Roman"/>
                <w:noProof/>
              </w:rPr>
            </w:pPr>
            <w:r>
              <w:rPr>
                <w:noProof/>
              </w:rPr>
              <w:t xml:space="preserve">A1.4.1 Investitionen zur Diversifizierung und Verkürzung der Lieferkette von Agrar- und Lebensmittelerzeugnissen und zur Stärkung der Widerstandsfähigkeit der Unternehmen in der Lieferkette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77937D7" w14:textId="77777777" w:rsidR="00EB245A" w:rsidRDefault="006021EE">
            <w:pPr>
              <w:pStyle w:val="P68B1DB1-Normal46"/>
              <w:spacing w:line="259" w:lineRule="auto"/>
              <w:ind w:right="3"/>
              <w:jc w:val="center"/>
              <w:rPr>
                <w:rFonts w:cs="Times New Roman"/>
                <w:noProof/>
              </w:rPr>
            </w:pPr>
            <w:r>
              <w:rPr>
                <w:noProof/>
              </w:rPr>
              <w:t xml:space="preserve">Ziel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05FE5E8" w14:textId="77777777" w:rsidR="00EB245A" w:rsidRDefault="006021EE">
            <w:pPr>
              <w:pStyle w:val="P68B1DB1-Normal46"/>
              <w:spacing w:line="259" w:lineRule="auto"/>
              <w:rPr>
                <w:rFonts w:cs="Times New Roman"/>
                <w:noProof/>
              </w:rPr>
            </w:pPr>
            <w:r>
              <w:rPr>
                <w:noProof/>
              </w:rPr>
              <w:t xml:space="preserve">Wohltätigkeitsorganisationen im Lebensmittelsektor, die Projekte zur Modernisierung ihrer Infrastruktur und Ausrüstung abgeschlossen haben </w:t>
            </w:r>
          </w:p>
        </w:tc>
      </w:tr>
      <w:tr w:rsidR="00EB245A" w14:paraId="75B0D283" w14:textId="77777777">
        <w:trPr>
          <w:trHeight w:val="1478"/>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5B1CD5F" w14:textId="5EC497BF" w:rsidR="00EB245A" w:rsidRDefault="006021EE">
            <w:pPr>
              <w:pStyle w:val="P68B1DB1-Normal46"/>
              <w:spacing w:line="259" w:lineRule="auto"/>
              <w:ind w:right="3"/>
              <w:jc w:val="center"/>
              <w:rPr>
                <w:rFonts w:cs="Times New Roman"/>
                <w:noProof/>
              </w:rPr>
            </w:pPr>
            <w:r>
              <w:rPr>
                <w:noProof/>
              </w:rPr>
              <w:t xml:space="preserve">A32G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12057FB" w14:textId="36FE6875" w:rsidR="00EB245A" w:rsidRDefault="006021EE">
            <w:pPr>
              <w:pStyle w:val="P68B1DB1-Normal46"/>
              <w:spacing w:line="259" w:lineRule="auto"/>
              <w:rPr>
                <w:rFonts w:cs="Times New Roman"/>
                <w:noProof/>
              </w:rPr>
            </w:pPr>
            <w:r>
              <w:rPr>
                <w:noProof/>
              </w:rPr>
              <w:t xml:space="preserve">A2.2.1 Investitionen in den Einsatz von Umwelttechnologien und -innovationen, einschließlich solcher im Zusammenhang mit der Kreislaufwirtschaft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0DC00F1" w14:textId="58FA23D3" w:rsidR="00EB245A" w:rsidRDefault="006021EE">
            <w:pPr>
              <w:pStyle w:val="P68B1DB1-Normal46"/>
              <w:spacing w:line="259" w:lineRule="auto"/>
              <w:ind w:right="3"/>
              <w:jc w:val="center"/>
              <w:rPr>
                <w:rFonts w:cs="Times New Roman"/>
                <w:noProof/>
              </w:rPr>
            </w:pPr>
            <w:r>
              <w:rPr>
                <w:noProof/>
              </w:rPr>
              <w:t xml:space="preserve">Ziel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31CDF57" w14:textId="0F3D2EE5" w:rsidR="00EB245A" w:rsidRDefault="006021EE">
            <w:pPr>
              <w:pStyle w:val="P68B1DB1-Normal46"/>
              <w:spacing w:line="259" w:lineRule="auto"/>
              <w:rPr>
                <w:rFonts w:cs="Times New Roman"/>
                <w:noProof/>
              </w:rPr>
            </w:pPr>
            <w:r>
              <w:rPr>
                <w:noProof/>
              </w:rPr>
              <w:t>Unterzeichnete Finanzhilfevereinbarungen für Projekte zur Unterstützung der Entwicklung von Technologien</w:t>
            </w:r>
            <w:r>
              <w:rPr>
                <w:noProof/>
              </w:rPr>
              <w:t xml:space="preserve">, die zur Schaffung eines Marktes für Sekundärrohstoffe beitragen   </w:t>
            </w:r>
          </w:p>
        </w:tc>
      </w:tr>
      <w:tr w:rsidR="00EB245A" w14:paraId="11D591CE" w14:textId="77777777">
        <w:trPr>
          <w:trHeight w:val="1478"/>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A535D66" w14:textId="49474635" w:rsidR="00EB245A" w:rsidRDefault="006021EE">
            <w:pPr>
              <w:pStyle w:val="P68B1DB1-Normal46"/>
              <w:spacing w:line="259" w:lineRule="auto"/>
              <w:ind w:right="3"/>
              <w:jc w:val="center"/>
              <w:rPr>
                <w:rFonts w:cs="Times New Roman"/>
                <w:noProof/>
              </w:rPr>
            </w:pPr>
            <w:r>
              <w:rPr>
                <w:noProof/>
              </w:rPr>
              <w:t xml:space="preserve">A34G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E5D3CD7" w14:textId="77777777" w:rsidR="00EB245A" w:rsidRDefault="006021EE">
            <w:pPr>
              <w:pStyle w:val="P68B1DB1-Normal46"/>
              <w:spacing w:after="1" w:line="238" w:lineRule="auto"/>
              <w:rPr>
                <w:rFonts w:cs="Times New Roman"/>
                <w:noProof/>
              </w:rPr>
            </w:pPr>
            <w:r>
              <w:rPr>
                <w:noProof/>
              </w:rPr>
              <w:t xml:space="preserve">A2.3.1 Entwicklung und Ausrüstung von Kompetenzzentren (u. a. Fachausbildungszentren, Zentren zur Unterstützung der Umsetzung, Beobachtungsstellen) und der Managementinfrastruktur für unbemannte Fahrzeuge als Ökosystem von </w:t>
            </w:r>
          </w:p>
          <w:p w14:paraId="1B330A78" w14:textId="69F3D8EC" w:rsidR="00EB245A" w:rsidRDefault="006021EE">
            <w:pPr>
              <w:pStyle w:val="P68B1DB1-Normal46"/>
              <w:spacing w:line="259" w:lineRule="auto"/>
              <w:rPr>
                <w:rFonts w:cs="Times New Roman"/>
                <w:noProof/>
              </w:rPr>
            </w:pPr>
            <w:r>
              <w:rPr>
                <w:noProof/>
              </w:rPr>
              <w:t xml:space="preserve">Innovation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0254D1A" w14:textId="4AD5C740" w:rsidR="00EB245A" w:rsidRDefault="006021EE">
            <w:pPr>
              <w:pStyle w:val="P68B1DB1-Normal46"/>
              <w:spacing w:line="259" w:lineRule="auto"/>
              <w:ind w:right="3"/>
              <w:jc w:val="center"/>
              <w:rPr>
                <w:rFonts w:cs="Times New Roman"/>
                <w:noProof/>
              </w:rPr>
            </w:pPr>
            <w:r>
              <w:rPr>
                <w:noProof/>
              </w:rPr>
              <w:t xml:space="preserve">Ziel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20B9812" w14:textId="0649C336" w:rsidR="00EB245A" w:rsidRDefault="006021EE">
            <w:pPr>
              <w:pStyle w:val="P68B1DB1-Normal46"/>
              <w:spacing w:line="259" w:lineRule="auto"/>
              <w:rPr>
                <w:rFonts w:cs="Times New Roman"/>
                <w:noProof/>
              </w:rPr>
            </w:pPr>
            <w:r>
              <w:rPr>
                <w:noProof/>
              </w:rPr>
              <w:t>T1 – Lokale Ze</w:t>
            </w:r>
            <w:r>
              <w:rPr>
                <w:noProof/>
              </w:rPr>
              <w:t xml:space="preserve">ntren und Infrastrukturen für unbemannte Fahrzeuge, die von lokalen Gebietskörperschaften oder benannten Stellen für den lokalen Betrieb fertiggestellt wurden </w:t>
            </w:r>
          </w:p>
        </w:tc>
      </w:tr>
      <w:tr w:rsidR="00EB245A" w14:paraId="455E8D65" w14:textId="77777777">
        <w:trPr>
          <w:trHeight w:val="1478"/>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DEFAB93" w14:textId="57632BA4" w:rsidR="00EB245A" w:rsidRDefault="006021EE">
            <w:pPr>
              <w:pStyle w:val="P68B1DB1-Normal46"/>
              <w:spacing w:line="259" w:lineRule="auto"/>
              <w:ind w:right="3"/>
              <w:jc w:val="center"/>
              <w:rPr>
                <w:rFonts w:cs="Times New Roman"/>
                <w:noProof/>
              </w:rPr>
            </w:pPr>
            <w:r>
              <w:rPr>
                <w:noProof/>
              </w:rPr>
              <w:t xml:space="preserve">A45G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E962C26" w14:textId="128E0527" w:rsidR="00EB245A" w:rsidRDefault="006021EE">
            <w:pPr>
              <w:pStyle w:val="P68B1DB1-Normal46"/>
              <w:spacing w:after="1" w:line="238" w:lineRule="auto"/>
              <w:rPr>
                <w:rFonts w:cs="Times New Roman"/>
                <w:noProof/>
              </w:rPr>
            </w:pPr>
            <w:r>
              <w:rPr>
                <w:noProof/>
              </w:rPr>
              <w:t xml:space="preserve">A3.1.1 Investitionen in moderne Berufsbildung, Hochschulbildung und lebenslanges Lernen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228907D" w14:textId="6D686316" w:rsidR="00EB245A" w:rsidRDefault="006021EE">
            <w:pPr>
              <w:pStyle w:val="P68B1DB1-Normal46"/>
              <w:spacing w:line="259" w:lineRule="auto"/>
              <w:ind w:right="3"/>
              <w:jc w:val="center"/>
              <w:rPr>
                <w:rFonts w:cs="Times New Roman"/>
                <w:noProof/>
              </w:rPr>
            </w:pPr>
            <w:r>
              <w:rPr>
                <w:noProof/>
              </w:rPr>
              <w:t xml:space="preserve">Ziel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93BC76E" w14:textId="58AE2C7D" w:rsidR="00EB245A" w:rsidRDefault="006021EE">
            <w:pPr>
              <w:pStyle w:val="P68B1DB1-Normal46"/>
              <w:spacing w:after="2" w:line="237" w:lineRule="auto"/>
              <w:rPr>
                <w:rFonts w:cs="Times New Roman"/>
                <w:noProof/>
              </w:rPr>
            </w:pPr>
            <w:r>
              <w:rPr>
                <w:noProof/>
              </w:rPr>
              <w:t xml:space="preserve">T2 – Einrichtung eines Netzes funktionierender branchenspezifischer Kompetenzzentren für gezielte Weiterqualifizierung und Umschulung, die für den Arbeitsmarktbedarf von großer Bedeutung sind </w:t>
            </w:r>
          </w:p>
        </w:tc>
      </w:tr>
      <w:tr w:rsidR="00EB245A" w14:paraId="6FEBDFFB" w14:textId="77777777">
        <w:trPr>
          <w:trHeight w:val="1478"/>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CFBB1A5" w14:textId="46FCA2A2" w:rsidR="00EB245A" w:rsidRDefault="006021EE">
            <w:pPr>
              <w:pStyle w:val="P68B1DB1-Normal46"/>
              <w:spacing w:line="259" w:lineRule="auto"/>
              <w:ind w:right="3"/>
              <w:jc w:val="center"/>
              <w:rPr>
                <w:rFonts w:cs="Times New Roman"/>
                <w:noProof/>
              </w:rPr>
            </w:pPr>
            <w:r>
              <w:rPr>
                <w:noProof/>
              </w:rPr>
              <w:t xml:space="preserve">A47G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EDAC966" w14:textId="64F803D4" w:rsidR="00EB245A" w:rsidRDefault="006021EE">
            <w:pPr>
              <w:pStyle w:val="P68B1DB1-Normal46"/>
              <w:spacing w:after="1" w:line="238" w:lineRule="auto"/>
              <w:rPr>
                <w:rFonts w:cs="Times New Roman"/>
                <w:noProof/>
              </w:rPr>
            </w:pPr>
            <w:r>
              <w:rPr>
                <w:noProof/>
              </w:rPr>
              <w:t xml:space="preserve">A3.1.1 Investitionen in moderne Berufsbildung, Hochschulbildung und lebenslanges Lernen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A6D52AE" w14:textId="19B7DA33" w:rsidR="00EB245A" w:rsidRDefault="006021EE">
            <w:pPr>
              <w:pStyle w:val="P68B1DB1-Normal46"/>
              <w:spacing w:line="259" w:lineRule="auto"/>
              <w:ind w:right="3"/>
              <w:jc w:val="center"/>
              <w:rPr>
                <w:rFonts w:cs="Times New Roman"/>
                <w:noProof/>
              </w:rPr>
            </w:pPr>
            <w:r>
              <w:rPr>
                <w:noProof/>
              </w:rPr>
              <w:t xml:space="preserve">Ziel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F09A42B" w14:textId="3D3A8582" w:rsidR="00EB245A" w:rsidRDefault="006021EE">
            <w:pPr>
              <w:pStyle w:val="P68B1DB1-Normal46"/>
              <w:spacing w:after="2" w:line="237" w:lineRule="auto"/>
              <w:rPr>
                <w:rFonts w:cs="Times New Roman"/>
                <w:noProof/>
              </w:rPr>
            </w:pPr>
            <w:r>
              <w:rPr>
                <w:noProof/>
              </w:rPr>
              <w:t>T2 – Vermittlung von Kompetenzen für Lernende in den sektoralen Kompetenzzentren, einschließlich Zertifizierung von Lernergebnissen (Fähigkeiten), ausgestellt un</w:t>
            </w:r>
            <w:r>
              <w:rPr>
                <w:noProof/>
              </w:rPr>
              <w:t xml:space="preserve">d vom Sektor anerkannt </w:t>
            </w:r>
          </w:p>
        </w:tc>
      </w:tr>
      <w:tr w:rsidR="00EB245A" w14:paraId="1C84030D" w14:textId="77777777">
        <w:trPr>
          <w:trHeight w:val="1478"/>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F9CC58C" w14:textId="0F75C19F" w:rsidR="00EB245A" w:rsidRDefault="006021EE">
            <w:pPr>
              <w:pStyle w:val="P68B1DB1-Normal46"/>
              <w:spacing w:line="259" w:lineRule="auto"/>
              <w:ind w:right="3"/>
              <w:jc w:val="center"/>
              <w:rPr>
                <w:rFonts w:cs="Times New Roman"/>
                <w:noProof/>
              </w:rPr>
            </w:pPr>
            <w:r>
              <w:rPr>
                <w:noProof/>
              </w:rPr>
              <w:t xml:space="preserve">A64G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C534939" w14:textId="3391B792" w:rsidR="00EB245A" w:rsidRDefault="006021EE">
            <w:pPr>
              <w:pStyle w:val="P68B1DB1-Normal46"/>
              <w:spacing w:after="1" w:line="238" w:lineRule="auto"/>
              <w:rPr>
                <w:rFonts w:cs="Times New Roman"/>
                <w:noProof/>
              </w:rPr>
            </w:pPr>
            <w:r>
              <w:rPr>
                <w:noProof/>
              </w:rPr>
              <w:t>A4.3.1 Investitionsförderungsprogramme, die insbesondere die Entwicklung von Aktivitäten ermöglichen, die Beteiligung an der Umsetzung sozialer Dienstleistungen erhöhen und die Qualität der Integration in sozialwirtschaftlich</w:t>
            </w:r>
            <w:r>
              <w:rPr>
                <w:noProof/>
              </w:rPr>
              <w:t xml:space="preserve">e Einrichtungen verbessern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22D06D9" w14:textId="783C2876" w:rsidR="00EB245A" w:rsidRDefault="006021EE">
            <w:pPr>
              <w:pStyle w:val="P68B1DB1-Normal46"/>
              <w:spacing w:line="259" w:lineRule="auto"/>
              <w:ind w:right="3"/>
              <w:jc w:val="center"/>
              <w:rPr>
                <w:rFonts w:cs="Times New Roman"/>
                <w:noProof/>
              </w:rPr>
            </w:pPr>
            <w:r>
              <w:rPr>
                <w:noProof/>
              </w:rPr>
              <w:t xml:space="preserve">Ziel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46C5EF8" w14:textId="36E9418F" w:rsidR="00EB245A" w:rsidRDefault="006021EE">
            <w:pPr>
              <w:pStyle w:val="P68B1DB1-Normal46"/>
              <w:spacing w:after="2" w:line="237" w:lineRule="auto"/>
              <w:rPr>
                <w:rFonts w:cs="Times New Roman"/>
                <w:noProof/>
              </w:rPr>
            </w:pPr>
            <w:r>
              <w:rPr>
                <w:noProof/>
              </w:rPr>
              <w:t xml:space="preserve">Zahl der sozialwirtschaftlichen Einrichtungen, einschließlich Sozialunternehmen, die finanzielle Unterstützung erhalten </w:t>
            </w:r>
          </w:p>
        </w:tc>
      </w:tr>
      <w:tr w:rsidR="00EB245A" w14:paraId="4C9CE7B6" w14:textId="77777777">
        <w:trPr>
          <w:trHeight w:val="1478"/>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FDB0F6A" w14:textId="1DA1848F" w:rsidR="00EB245A" w:rsidRDefault="006021EE">
            <w:pPr>
              <w:pStyle w:val="P68B1DB1-Normal46"/>
              <w:spacing w:line="259" w:lineRule="auto"/>
              <w:ind w:right="3"/>
              <w:jc w:val="center"/>
              <w:rPr>
                <w:rFonts w:cs="Times New Roman"/>
                <w:noProof/>
              </w:rPr>
            </w:pPr>
            <w:r>
              <w:rPr>
                <w:noProof/>
              </w:rPr>
              <w:t xml:space="preserve">A70G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1EB23AA" w14:textId="586717E5" w:rsidR="00EB245A" w:rsidRDefault="006021EE">
            <w:pPr>
              <w:pStyle w:val="P68B1DB1-Normal46"/>
              <w:spacing w:after="1" w:line="238" w:lineRule="auto"/>
              <w:rPr>
                <w:rFonts w:cs="Times New Roman"/>
                <w:noProof/>
              </w:rPr>
            </w:pPr>
            <w:r>
              <w:rPr>
                <w:noProof/>
              </w:rPr>
              <w:t xml:space="preserve">A4.6 Steigerung der Erwerbsbeteiligung bestimmter Gruppen durch den Ausbau der Langzeitpflege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4C3CF2E" w14:textId="060CA401" w:rsidR="00EB245A" w:rsidRDefault="006021EE">
            <w:pPr>
              <w:pStyle w:val="P68B1DB1-Normal46"/>
              <w:spacing w:line="259" w:lineRule="auto"/>
              <w:ind w:right="3"/>
              <w:jc w:val="center"/>
              <w:rPr>
                <w:rFonts w:cs="Times New Roman"/>
                <w:noProof/>
              </w:rPr>
            </w:pPr>
            <w:r>
              <w:rPr>
                <w:noProof/>
              </w:rPr>
              <w:t xml:space="preserve">Meilenstein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6EFE7D0" w14:textId="0500BA2C" w:rsidR="00EB245A" w:rsidRDefault="006021EE">
            <w:pPr>
              <w:pStyle w:val="P68B1DB1-Normal46"/>
              <w:spacing w:after="2" w:line="237" w:lineRule="auto"/>
              <w:rPr>
                <w:rFonts w:cs="Times New Roman"/>
                <w:noProof/>
              </w:rPr>
            </w:pPr>
            <w:r>
              <w:rPr>
                <w:noProof/>
              </w:rPr>
              <w:t xml:space="preserve">Umsetzung der Reformprioritäten, die bei der strategischen Überprüfung der Langzeitpflege in Polen ermittelt wurden (auf der Grundlage der Schlussfolgerungen der Umsetzung des Etappenziels A69G) </w:t>
            </w:r>
          </w:p>
        </w:tc>
      </w:tr>
      <w:tr w:rsidR="00EB245A" w14:paraId="5887A0D2" w14:textId="77777777">
        <w:trPr>
          <w:trHeight w:val="1478"/>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67E96F1" w14:textId="6631708D" w:rsidR="00EB245A" w:rsidRDefault="006021EE">
            <w:pPr>
              <w:pStyle w:val="P68B1DB1-Normal46"/>
              <w:spacing w:line="259" w:lineRule="auto"/>
              <w:ind w:right="3"/>
              <w:jc w:val="center"/>
              <w:rPr>
                <w:rFonts w:cs="Times New Roman"/>
                <w:noProof/>
              </w:rPr>
            </w:pPr>
            <w:r>
              <w:rPr>
                <w:noProof/>
              </w:rPr>
              <w:t xml:space="preserve">B41G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1716189" w14:textId="11B7D061" w:rsidR="00EB245A" w:rsidRDefault="006021EE">
            <w:pPr>
              <w:pStyle w:val="P68B1DB1-Normal46"/>
              <w:spacing w:after="1" w:line="238" w:lineRule="auto"/>
              <w:rPr>
                <w:rFonts w:cs="Times New Roman"/>
                <w:noProof/>
              </w:rPr>
            </w:pPr>
            <w:r>
              <w:rPr>
                <w:noProof/>
              </w:rPr>
              <w:t>B3.1.1 Investitionen in Abwasserbehandl</w:t>
            </w:r>
            <w:r>
              <w:rPr>
                <w:noProof/>
              </w:rPr>
              <w:t xml:space="preserve">ungssysteme und Wasserversorgung in ländlichen Gebieten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5B79145" w14:textId="53C1D614" w:rsidR="00EB245A" w:rsidRDefault="006021EE">
            <w:pPr>
              <w:pStyle w:val="P68B1DB1-Normal46"/>
              <w:spacing w:line="259" w:lineRule="auto"/>
              <w:ind w:right="3"/>
              <w:jc w:val="center"/>
              <w:rPr>
                <w:rFonts w:cs="Times New Roman"/>
                <w:noProof/>
              </w:rPr>
            </w:pPr>
            <w:r>
              <w:rPr>
                <w:noProof/>
              </w:rPr>
              <w:t xml:space="preserve">Ziel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E4CEF5D" w14:textId="4B7F9058" w:rsidR="00EB245A" w:rsidRDefault="006021EE">
            <w:pPr>
              <w:pStyle w:val="P68B1DB1-Normal46"/>
              <w:spacing w:after="2" w:line="237" w:lineRule="auto"/>
              <w:rPr>
                <w:rFonts w:eastAsia="Calibri" w:cs="Times New Roman"/>
                <w:noProof/>
              </w:rPr>
            </w:pPr>
            <w:r>
              <w:rPr>
                <w:noProof/>
              </w:rPr>
              <w:t>Zahl der Nutzer, die an neue oder modernisierte Wasserversorgungs- und Abwasserinfrastrukturen angeschlossen sind oder werden können</w:t>
            </w:r>
          </w:p>
        </w:tc>
      </w:tr>
      <w:tr w:rsidR="00EB245A" w14:paraId="79518375" w14:textId="77777777">
        <w:trPr>
          <w:trHeight w:val="1478"/>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829E0CE" w14:textId="472D0734" w:rsidR="00EB245A" w:rsidRDefault="006021EE">
            <w:pPr>
              <w:pStyle w:val="P68B1DB1-Normal46"/>
              <w:spacing w:line="259" w:lineRule="auto"/>
              <w:ind w:right="3"/>
              <w:jc w:val="center"/>
              <w:rPr>
                <w:rFonts w:cs="Times New Roman"/>
                <w:noProof/>
              </w:rPr>
            </w:pPr>
            <w:r>
              <w:rPr>
                <w:noProof/>
              </w:rPr>
              <w:t xml:space="preserve">C5G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9A2203E" w14:textId="257A3EB8" w:rsidR="00EB245A" w:rsidRDefault="006021EE">
            <w:pPr>
              <w:pStyle w:val="P68B1DB1-Normal46"/>
              <w:spacing w:after="1" w:line="238" w:lineRule="auto"/>
              <w:rPr>
                <w:rFonts w:cs="Times New Roman"/>
                <w:noProof/>
              </w:rPr>
            </w:pPr>
            <w:r>
              <w:rPr>
                <w:noProof/>
              </w:rPr>
              <w:t>C1.1.1 Sicherstellung des Zugangs zum Hochgeschwindigk</w:t>
            </w:r>
            <w:r>
              <w:rPr>
                <w:noProof/>
              </w:rPr>
              <w:t xml:space="preserve">eits-Internet in weißen Flecken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BBBC975" w14:textId="5DC4D0BD" w:rsidR="00EB245A" w:rsidRDefault="006021EE">
            <w:pPr>
              <w:pStyle w:val="P68B1DB1-Normal46"/>
              <w:spacing w:line="259" w:lineRule="auto"/>
              <w:ind w:right="3"/>
              <w:jc w:val="center"/>
              <w:rPr>
                <w:rFonts w:cs="Times New Roman"/>
                <w:noProof/>
              </w:rPr>
            </w:pPr>
            <w:r>
              <w:rPr>
                <w:noProof/>
              </w:rPr>
              <w:t xml:space="preserve">Ziel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E2C6CAA" w14:textId="07F2D2F9" w:rsidR="00EB245A" w:rsidRDefault="006021EE">
            <w:pPr>
              <w:pStyle w:val="P68B1DB1-Normal46"/>
              <w:spacing w:after="5" w:line="236" w:lineRule="auto"/>
              <w:rPr>
                <w:rFonts w:cs="Times New Roman"/>
                <w:noProof/>
              </w:rPr>
            </w:pPr>
            <w:r>
              <w:rPr>
                <w:noProof/>
              </w:rPr>
              <w:t xml:space="preserve">T2 – Zusätzliche Haushalte (Wohngebäude) mit Breitband-Internetzugang </w:t>
            </w:r>
          </w:p>
        </w:tc>
      </w:tr>
      <w:tr w:rsidR="00EB245A" w14:paraId="289EF7A5" w14:textId="77777777">
        <w:trPr>
          <w:trHeight w:val="1478"/>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675A51C" w14:textId="758F4F3A" w:rsidR="00EB245A" w:rsidRDefault="006021EE">
            <w:pPr>
              <w:pStyle w:val="P68B1DB1-Normal46"/>
              <w:spacing w:line="259" w:lineRule="auto"/>
              <w:ind w:right="3"/>
              <w:jc w:val="center"/>
              <w:rPr>
                <w:rFonts w:cs="Times New Roman"/>
                <w:noProof/>
              </w:rPr>
            </w:pPr>
            <w:r>
              <w:rPr>
                <w:noProof/>
              </w:rPr>
              <w:t xml:space="preserve">C6aG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A4BEC61" w14:textId="15DF5F8E" w:rsidR="00EB245A" w:rsidRDefault="006021EE">
            <w:pPr>
              <w:pStyle w:val="P68B1DB1-Normal46"/>
              <w:spacing w:after="1" w:line="238" w:lineRule="auto"/>
              <w:rPr>
                <w:rFonts w:cs="Times New Roman"/>
                <w:noProof/>
              </w:rPr>
            </w:pPr>
            <w:r>
              <w:rPr>
                <w:noProof/>
              </w:rPr>
              <w:t xml:space="preserve">C1.1.1 Sicherstellung des Zugangs zum Hochgeschwindigkeits-Internet in weißen Flecken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DB80A7A" w14:textId="35618B40" w:rsidR="00EB245A" w:rsidRDefault="006021EE">
            <w:pPr>
              <w:pStyle w:val="P68B1DB1-Normal46"/>
              <w:spacing w:line="259" w:lineRule="auto"/>
              <w:ind w:right="3"/>
              <w:jc w:val="center"/>
              <w:rPr>
                <w:rFonts w:cs="Times New Roman"/>
                <w:noProof/>
              </w:rPr>
            </w:pPr>
            <w:r>
              <w:rPr>
                <w:noProof/>
              </w:rPr>
              <w:t xml:space="preserve">Ziel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A27E6B8" w14:textId="77777777" w:rsidR="00EB245A" w:rsidRDefault="006021EE">
            <w:pPr>
              <w:pStyle w:val="P68B1DB1-Normal46"/>
              <w:spacing w:line="259" w:lineRule="auto"/>
              <w:rPr>
                <w:rFonts w:cs="Times New Roman"/>
                <w:noProof/>
              </w:rPr>
            </w:pPr>
            <w:r>
              <w:rPr>
                <w:noProof/>
              </w:rPr>
              <w:t xml:space="preserve">Klassenzimmer in Schulen, die mit </w:t>
            </w:r>
          </w:p>
          <w:p w14:paraId="67CB2431" w14:textId="77777777" w:rsidR="00EB245A" w:rsidRDefault="006021EE">
            <w:pPr>
              <w:pStyle w:val="P68B1DB1-Normal46"/>
              <w:spacing w:line="259" w:lineRule="auto"/>
              <w:rPr>
                <w:rFonts w:cs="Times New Roman"/>
                <w:noProof/>
              </w:rPr>
            </w:pPr>
            <w:r>
              <w:rPr>
                <w:noProof/>
              </w:rPr>
              <w:t xml:space="preserve">Anschluss an das lokale Funknetz (LAN) </w:t>
            </w:r>
          </w:p>
          <w:p w14:paraId="68769780" w14:textId="773855AC" w:rsidR="00EB245A" w:rsidRDefault="006021EE">
            <w:pPr>
              <w:pStyle w:val="P68B1DB1-Normal46"/>
              <w:spacing w:after="5" w:line="236" w:lineRule="auto"/>
              <w:rPr>
                <w:rFonts w:cs="Times New Roman"/>
                <w:noProof/>
              </w:rPr>
            </w:pPr>
            <w:r>
              <w:rPr>
                <w:noProof/>
              </w:rPr>
              <w:t xml:space="preserve"> </w:t>
            </w:r>
          </w:p>
        </w:tc>
      </w:tr>
      <w:tr w:rsidR="00EB245A" w14:paraId="0B5B7ADD" w14:textId="77777777">
        <w:trPr>
          <w:trHeight w:val="1478"/>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E8CCBE4" w14:textId="4F853153" w:rsidR="00EB245A" w:rsidRDefault="006021EE">
            <w:pPr>
              <w:pStyle w:val="P68B1DB1-Normal46"/>
              <w:spacing w:line="259" w:lineRule="auto"/>
              <w:ind w:right="3"/>
              <w:jc w:val="center"/>
              <w:rPr>
                <w:rFonts w:cs="Times New Roman"/>
                <w:noProof/>
              </w:rPr>
            </w:pPr>
            <w:r>
              <w:rPr>
                <w:noProof/>
              </w:rPr>
              <w:t xml:space="preserve">C8G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A76962F" w14:textId="43C20A1B" w:rsidR="00EB245A" w:rsidRDefault="006021EE">
            <w:pPr>
              <w:pStyle w:val="P68B1DB1-Normal46"/>
              <w:spacing w:after="1" w:line="238" w:lineRule="auto"/>
              <w:rPr>
                <w:rFonts w:cs="Times New Roman"/>
                <w:noProof/>
              </w:rPr>
            </w:pPr>
            <w:r>
              <w:rPr>
                <w:noProof/>
              </w:rPr>
              <w:t xml:space="preserve">C2.1 Ausbau digitaler Anwendungen im öffentlichen Raum, in der Wirtschaft und in der Gesellschaft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26C774B" w14:textId="060A7631" w:rsidR="00EB245A" w:rsidRDefault="006021EE">
            <w:pPr>
              <w:pStyle w:val="P68B1DB1-Normal46"/>
              <w:spacing w:line="259" w:lineRule="auto"/>
              <w:ind w:right="3"/>
              <w:jc w:val="center"/>
              <w:rPr>
                <w:rFonts w:cs="Times New Roman"/>
                <w:noProof/>
              </w:rPr>
            </w:pPr>
            <w:r>
              <w:rPr>
                <w:noProof/>
              </w:rPr>
              <w:t xml:space="preserve">Meilenstein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6295981" w14:textId="1B8CA3D5" w:rsidR="00EB245A" w:rsidRDefault="006021EE">
            <w:pPr>
              <w:pStyle w:val="P68B1DB1-Normal46"/>
              <w:spacing w:line="259" w:lineRule="auto"/>
              <w:rPr>
                <w:rFonts w:cs="Times New Roman"/>
                <w:noProof/>
              </w:rPr>
            </w:pPr>
            <w:r>
              <w:rPr>
                <w:noProof/>
              </w:rPr>
              <w:t xml:space="preserve">Änderung des Gesetzes vom 11. März 2004 über die Steuer auf Gegenstände und Dienstleistungen (Verwendung strukturierter Rechnungen) </w:t>
            </w:r>
          </w:p>
        </w:tc>
      </w:tr>
      <w:tr w:rsidR="00EB245A" w14:paraId="57A03DA5" w14:textId="77777777">
        <w:trPr>
          <w:trHeight w:val="1478"/>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AB2AD5B" w14:textId="3969CA58" w:rsidR="00EB245A" w:rsidRDefault="006021EE">
            <w:pPr>
              <w:pStyle w:val="P68B1DB1-Normal46"/>
              <w:spacing w:line="259" w:lineRule="auto"/>
              <w:ind w:right="3"/>
              <w:jc w:val="center"/>
              <w:rPr>
                <w:rFonts w:cs="Times New Roman"/>
                <w:noProof/>
              </w:rPr>
            </w:pPr>
            <w:r>
              <w:rPr>
                <w:noProof/>
              </w:rPr>
              <w:t xml:space="preserve">C15G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3B17525" w14:textId="2A845EEC" w:rsidR="00EB245A" w:rsidRDefault="006021EE">
            <w:pPr>
              <w:pStyle w:val="P68B1DB1-Normal46"/>
              <w:spacing w:after="1" w:line="238" w:lineRule="auto"/>
              <w:rPr>
                <w:rFonts w:cs="Times New Roman"/>
                <w:noProof/>
              </w:rPr>
            </w:pPr>
            <w:r>
              <w:rPr>
                <w:noProof/>
              </w:rPr>
              <w:t>C2.1.2 Gleiche Wettbewerbsbedingungen für Schulen mit mobilen Multimedia-Geräten – Investitionen im Zusammenhang mit</w:t>
            </w:r>
            <w:r>
              <w:rPr>
                <w:noProof/>
              </w:rPr>
              <w:t xml:space="preserve"> der Erfüllung von Mindeststandards für die Ausrüstung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9E7D44C" w14:textId="333A4C1E" w:rsidR="00EB245A" w:rsidRDefault="006021EE">
            <w:pPr>
              <w:pStyle w:val="P68B1DB1-Normal46"/>
              <w:spacing w:line="259" w:lineRule="auto"/>
              <w:ind w:right="3"/>
              <w:jc w:val="center"/>
              <w:rPr>
                <w:rFonts w:cs="Times New Roman"/>
                <w:noProof/>
              </w:rPr>
            </w:pPr>
            <w:r>
              <w:rPr>
                <w:noProof/>
              </w:rPr>
              <w:t xml:space="preserve">Ziel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DC848DF" w14:textId="7D75E284" w:rsidR="00EB245A" w:rsidRDefault="006021EE">
            <w:pPr>
              <w:pStyle w:val="P68B1DB1-Normal46"/>
              <w:spacing w:line="259" w:lineRule="auto"/>
              <w:rPr>
                <w:rFonts w:cs="Times New Roman"/>
                <w:noProof/>
              </w:rPr>
            </w:pPr>
            <w:r>
              <w:rPr>
                <w:noProof/>
              </w:rPr>
              <w:t xml:space="preserve">Neue tragbare Computer (Laptops und Browser-Laptops) und Tablets, die den Schülerinnen und Schülern zur Verfügung stehen  </w:t>
            </w:r>
          </w:p>
        </w:tc>
      </w:tr>
      <w:tr w:rsidR="00EB245A" w14:paraId="006D35C3" w14:textId="77777777">
        <w:trPr>
          <w:trHeight w:val="1478"/>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2530160" w14:textId="78B43CE6" w:rsidR="00EB245A" w:rsidRDefault="006021EE">
            <w:pPr>
              <w:pStyle w:val="P68B1DB1-Normal46"/>
              <w:spacing w:line="259" w:lineRule="auto"/>
              <w:ind w:right="3"/>
              <w:jc w:val="center"/>
              <w:rPr>
                <w:rFonts w:cs="Times New Roman"/>
                <w:noProof/>
              </w:rPr>
            </w:pPr>
            <w:r>
              <w:rPr>
                <w:noProof/>
              </w:rPr>
              <w:t xml:space="preserve">C14G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5688E7B" w14:textId="35913333" w:rsidR="00EB245A" w:rsidRDefault="006021EE">
            <w:pPr>
              <w:pStyle w:val="P68B1DB1-Normal46"/>
              <w:spacing w:after="1" w:line="238" w:lineRule="auto"/>
              <w:rPr>
                <w:rFonts w:cs="Times New Roman"/>
                <w:noProof/>
              </w:rPr>
            </w:pPr>
            <w:r>
              <w:rPr>
                <w:noProof/>
              </w:rPr>
              <w:t>C2.1.2 Gleiche Wettbewerbsbedingungen für Schulen mit mobilen Mu</w:t>
            </w:r>
            <w:r>
              <w:rPr>
                <w:noProof/>
              </w:rPr>
              <w:t xml:space="preserve">ltimedia-Geräten – Investitionen im Zusammenhang mit der Erfüllung von Mindeststandards für die Ausrüstung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72EA68E" w14:textId="1E660345" w:rsidR="00EB245A" w:rsidRDefault="006021EE">
            <w:pPr>
              <w:pStyle w:val="P68B1DB1-Normal46"/>
              <w:spacing w:line="259" w:lineRule="auto"/>
              <w:ind w:right="3"/>
              <w:jc w:val="center"/>
              <w:rPr>
                <w:rFonts w:cs="Times New Roman"/>
                <w:noProof/>
              </w:rPr>
            </w:pPr>
            <w:r>
              <w:rPr>
                <w:noProof/>
              </w:rPr>
              <w:t xml:space="preserve">Ziel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3B84CF5" w14:textId="4A983C71" w:rsidR="00EB245A" w:rsidRDefault="006021EE">
            <w:pPr>
              <w:pStyle w:val="P68B1DB1-Normal46"/>
              <w:spacing w:line="259" w:lineRule="auto"/>
              <w:rPr>
                <w:rFonts w:cs="Times New Roman"/>
                <w:noProof/>
              </w:rPr>
            </w:pPr>
            <w:r>
              <w:rPr>
                <w:noProof/>
              </w:rPr>
              <w:t xml:space="preserve">Neue tragbare Computer für Lehrkräfte </w:t>
            </w:r>
          </w:p>
        </w:tc>
      </w:tr>
      <w:tr w:rsidR="00EB245A" w14:paraId="5107AAF5" w14:textId="77777777">
        <w:trPr>
          <w:trHeight w:val="1478"/>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3B6EA40" w14:textId="2E3654DE" w:rsidR="00EB245A" w:rsidRDefault="006021EE">
            <w:pPr>
              <w:pStyle w:val="P68B1DB1-Normal46"/>
              <w:spacing w:line="259" w:lineRule="auto"/>
              <w:ind w:right="3"/>
              <w:jc w:val="center"/>
              <w:rPr>
                <w:rFonts w:cs="Times New Roman"/>
                <w:noProof/>
              </w:rPr>
            </w:pPr>
            <w:r>
              <w:rPr>
                <w:noProof/>
              </w:rPr>
              <w:t xml:space="preserve">C26G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56296A5" w14:textId="77777777" w:rsidR="00EB245A" w:rsidRDefault="006021EE">
            <w:pPr>
              <w:pStyle w:val="P68B1DB1-Normal46"/>
              <w:spacing w:after="5" w:line="236" w:lineRule="auto"/>
              <w:rPr>
                <w:rFonts w:cs="Times New Roman"/>
                <w:noProof/>
              </w:rPr>
            </w:pPr>
            <w:r>
              <w:rPr>
                <w:noProof/>
              </w:rPr>
              <w:t xml:space="preserve">C3.1.1 Cybersicherheit – CyberPL, Infrastruktur für die Datenverarbeitung und Optimierung der Rechtsinfrastruktur </w:t>
            </w:r>
          </w:p>
          <w:p w14:paraId="5B457603" w14:textId="623A3B84" w:rsidR="00EB245A" w:rsidRDefault="006021EE">
            <w:pPr>
              <w:pStyle w:val="P68B1DB1-Normal46"/>
              <w:spacing w:after="1" w:line="238" w:lineRule="auto"/>
              <w:rPr>
                <w:rFonts w:cs="Times New Roman"/>
                <w:noProof/>
              </w:rPr>
            </w:pPr>
            <w:r>
              <w:rPr>
                <w:noProof/>
              </w:rPr>
              <w:t xml:space="preserve">Durchsetzungsdienste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2CD25FD" w14:textId="6F0A0F4B" w:rsidR="00EB245A" w:rsidRDefault="006021EE">
            <w:pPr>
              <w:pStyle w:val="P68B1DB1-Normal46"/>
              <w:spacing w:line="259" w:lineRule="auto"/>
              <w:ind w:right="3"/>
              <w:jc w:val="center"/>
              <w:rPr>
                <w:rFonts w:cs="Times New Roman"/>
                <w:noProof/>
              </w:rPr>
            </w:pPr>
            <w:r>
              <w:rPr>
                <w:noProof/>
              </w:rPr>
              <w:t xml:space="preserve">Ziel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33706AB" w14:textId="6FF99000" w:rsidR="00EB245A" w:rsidRDefault="006021EE">
            <w:pPr>
              <w:pStyle w:val="P68B1DB1-Normal46"/>
              <w:spacing w:line="259" w:lineRule="auto"/>
              <w:rPr>
                <w:rFonts w:cs="Times New Roman"/>
                <w:noProof/>
              </w:rPr>
            </w:pPr>
            <w:r>
              <w:rPr>
                <w:noProof/>
              </w:rPr>
              <w:t xml:space="preserve">Mobile Infrastruktur für das Krisenmanagementsystem </w:t>
            </w:r>
          </w:p>
        </w:tc>
      </w:tr>
      <w:tr w:rsidR="00EB245A" w14:paraId="07CFE950" w14:textId="77777777">
        <w:trPr>
          <w:trHeight w:val="1478"/>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1DF57AA" w14:textId="4E364667" w:rsidR="00EB245A" w:rsidRDefault="006021EE">
            <w:pPr>
              <w:pStyle w:val="P68B1DB1-Normal46"/>
              <w:spacing w:line="259" w:lineRule="auto"/>
              <w:ind w:right="3"/>
              <w:jc w:val="center"/>
              <w:rPr>
                <w:rFonts w:cs="Times New Roman"/>
                <w:noProof/>
              </w:rPr>
            </w:pPr>
            <w:r>
              <w:rPr>
                <w:noProof/>
              </w:rPr>
              <w:t xml:space="preserve">D16G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032E190" w14:textId="1337BAEE" w:rsidR="00EB245A" w:rsidRDefault="006021EE">
            <w:pPr>
              <w:pStyle w:val="P68B1DB1-Normal46"/>
              <w:spacing w:after="5" w:line="236" w:lineRule="auto"/>
              <w:rPr>
                <w:rFonts w:cs="Times New Roman"/>
                <w:noProof/>
              </w:rPr>
            </w:pPr>
            <w:r>
              <w:rPr>
                <w:noProof/>
              </w:rPr>
              <w:t xml:space="preserve">D1.1.2 Beschleunigung des digitalen Wandels im Gesundheitswesen durch Weiterentwicklung digitaler Gesundheitsdienste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B040BC3" w14:textId="5C0B0A4F" w:rsidR="00EB245A" w:rsidRDefault="006021EE">
            <w:pPr>
              <w:pStyle w:val="P68B1DB1-Normal46"/>
              <w:spacing w:line="259" w:lineRule="auto"/>
              <w:ind w:right="3"/>
              <w:jc w:val="center"/>
              <w:rPr>
                <w:rFonts w:cs="Times New Roman"/>
                <w:noProof/>
              </w:rPr>
            </w:pPr>
            <w:r>
              <w:rPr>
                <w:noProof/>
              </w:rPr>
              <w:t xml:space="preserve">Meilenstein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543DF07" w14:textId="2E976E57" w:rsidR="00EB245A" w:rsidRDefault="006021EE">
            <w:pPr>
              <w:pStyle w:val="P68B1DB1-Normal46"/>
              <w:spacing w:line="259" w:lineRule="auto"/>
              <w:rPr>
                <w:rFonts w:cs="Times New Roman"/>
                <w:noProof/>
              </w:rPr>
            </w:pPr>
            <w:r>
              <w:rPr>
                <w:noProof/>
              </w:rPr>
              <w:t xml:space="preserve">Sicherheitseinsatzzentrum (SOC) im Zentrum für elektronische Gesundheitsdienste </w:t>
            </w:r>
          </w:p>
        </w:tc>
      </w:tr>
      <w:tr w:rsidR="00EB245A" w14:paraId="3E9D22CA" w14:textId="77777777">
        <w:trPr>
          <w:trHeight w:val="1478"/>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382255A" w14:textId="2D4C7002" w:rsidR="00EB245A" w:rsidRDefault="006021EE">
            <w:pPr>
              <w:pStyle w:val="P68B1DB1-Normal46"/>
              <w:spacing w:line="259" w:lineRule="auto"/>
              <w:ind w:right="3"/>
              <w:jc w:val="center"/>
              <w:rPr>
                <w:rFonts w:cs="Times New Roman"/>
                <w:noProof/>
              </w:rPr>
            </w:pPr>
            <w:r>
              <w:rPr>
                <w:noProof/>
              </w:rPr>
              <w:t xml:space="preserve">D17G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2DFAD76" w14:textId="6871C149" w:rsidR="00EB245A" w:rsidRDefault="006021EE">
            <w:pPr>
              <w:pStyle w:val="P68B1DB1-Normal46"/>
              <w:spacing w:after="5" w:line="236" w:lineRule="auto"/>
              <w:rPr>
                <w:rFonts w:cs="Times New Roman"/>
                <w:noProof/>
              </w:rPr>
            </w:pPr>
            <w:r>
              <w:rPr>
                <w:noProof/>
              </w:rPr>
              <w:t>D1.1.2 Beschleunigung des digitalen W</w:t>
            </w:r>
            <w:r>
              <w:rPr>
                <w:noProof/>
              </w:rPr>
              <w:t xml:space="preserve">andels im Gesundheitswesen durch Weiterentwicklung digitaler Gesundheitsdienste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A0E5172" w14:textId="6F10EF13" w:rsidR="00EB245A" w:rsidRDefault="006021EE">
            <w:pPr>
              <w:pStyle w:val="P68B1DB1-Normal46"/>
              <w:spacing w:line="259" w:lineRule="auto"/>
              <w:ind w:right="3"/>
              <w:jc w:val="center"/>
              <w:rPr>
                <w:rFonts w:cs="Times New Roman"/>
                <w:noProof/>
              </w:rPr>
            </w:pPr>
            <w:r>
              <w:rPr>
                <w:noProof/>
              </w:rPr>
              <w:t xml:space="preserve">Meilenstein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2576A7E" w14:textId="77B098C5" w:rsidR="00EB245A" w:rsidRDefault="006021EE">
            <w:pPr>
              <w:pStyle w:val="P68B1DB1-Normal46"/>
              <w:spacing w:line="259" w:lineRule="auto"/>
              <w:rPr>
                <w:rFonts w:cs="Times New Roman"/>
                <w:noProof/>
              </w:rPr>
            </w:pPr>
            <w:r>
              <w:rPr>
                <w:noProof/>
              </w:rPr>
              <w:t xml:space="preserve">Zentrum für digitale medizinische Dokumentation </w:t>
            </w:r>
          </w:p>
        </w:tc>
      </w:tr>
      <w:tr w:rsidR="00EB245A" w14:paraId="4884BD4B" w14:textId="77777777">
        <w:trPr>
          <w:trHeight w:val="1478"/>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286D7C9" w14:textId="275EC482" w:rsidR="00EB245A" w:rsidRDefault="006021EE">
            <w:pPr>
              <w:pStyle w:val="P68B1DB1-Normal46"/>
              <w:spacing w:line="259" w:lineRule="auto"/>
              <w:ind w:right="3"/>
              <w:jc w:val="center"/>
              <w:rPr>
                <w:rFonts w:cs="Times New Roman"/>
                <w:noProof/>
              </w:rPr>
            </w:pPr>
            <w:r>
              <w:rPr>
                <w:noProof/>
              </w:rPr>
              <w:t xml:space="preserve">D26G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A11192E" w14:textId="79A57608" w:rsidR="00EB245A" w:rsidRDefault="006021EE">
            <w:pPr>
              <w:pStyle w:val="P68B1DB1-Normal46"/>
              <w:spacing w:after="5" w:line="236" w:lineRule="auto"/>
              <w:rPr>
                <w:rFonts w:cs="Times New Roman"/>
                <w:noProof/>
              </w:rPr>
            </w:pPr>
            <w:r>
              <w:rPr>
                <w:noProof/>
              </w:rPr>
              <w:t xml:space="preserve">D2.1 Schaffung der richtigen Voraussetzungen für eine Erhöhung des medizinischen Personals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CFFC76A" w14:textId="5BAE03B2" w:rsidR="00EB245A" w:rsidRDefault="006021EE">
            <w:pPr>
              <w:pStyle w:val="P68B1DB1-Normal46"/>
              <w:spacing w:line="259" w:lineRule="auto"/>
              <w:ind w:right="3"/>
              <w:jc w:val="center"/>
              <w:rPr>
                <w:rFonts w:cs="Times New Roman"/>
                <w:noProof/>
              </w:rPr>
            </w:pPr>
            <w:r>
              <w:rPr>
                <w:noProof/>
              </w:rPr>
              <w:t xml:space="preserve">Ziel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B91EED9" w14:textId="3DD0A7FE" w:rsidR="00EB245A" w:rsidRDefault="006021EE">
            <w:pPr>
              <w:pStyle w:val="P68B1DB1-Normal46"/>
              <w:spacing w:line="259" w:lineRule="auto"/>
              <w:rPr>
                <w:rFonts w:cs="Times New Roman"/>
                <w:noProof/>
              </w:rPr>
            </w:pPr>
            <w:r>
              <w:rPr>
                <w:noProof/>
              </w:rPr>
              <w:t xml:space="preserve">Zahl der Sanitäter, die ihren Masterabschluss abgeschlossen haben </w:t>
            </w:r>
          </w:p>
        </w:tc>
      </w:tr>
      <w:tr w:rsidR="00EB245A" w14:paraId="74FEA738" w14:textId="77777777">
        <w:trPr>
          <w:trHeight w:val="1478"/>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1C31855" w14:textId="6862049B" w:rsidR="00EB245A" w:rsidRDefault="006021EE">
            <w:pPr>
              <w:pStyle w:val="P68B1DB1-Normal46"/>
              <w:spacing w:line="259" w:lineRule="auto"/>
              <w:ind w:right="3"/>
              <w:jc w:val="center"/>
              <w:rPr>
                <w:rFonts w:cs="Times New Roman"/>
                <w:noProof/>
              </w:rPr>
            </w:pPr>
            <w:r>
              <w:rPr>
                <w:noProof/>
              </w:rPr>
              <w:t xml:space="preserve">D31G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4894F78" w14:textId="1357927E" w:rsidR="00EB245A" w:rsidRDefault="006021EE">
            <w:pPr>
              <w:pStyle w:val="P68B1DB1-Normal46"/>
              <w:spacing w:after="5" w:line="236" w:lineRule="auto"/>
              <w:rPr>
                <w:rFonts w:cs="Times New Roman"/>
                <w:noProof/>
              </w:rPr>
            </w:pPr>
            <w:r>
              <w:rPr>
                <w:noProof/>
              </w:rPr>
              <w:t xml:space="preserve">D2.1.1 Investitionen im Zusammenhang mit der Modernisierung und Nachrüstung von Lehreinrichtungen im Hinblick auf die Anhebung der Zulassungsbeschränkungen für medizinische Studien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2BA7939" w14:textId="219B99A2" w:rsidR="00EB245A" w:rsidRDefault="006021EE">
            <w:pPr>
              <w:pStyle w:val="P68B1DB1-Normal46"/>
              <w:spacing w:line="259" w:lineRule="auto"/>
              <w:ind w:right="3"/>
              <w:jc w:val="center"/>
              <w:rPr>
                <w:rFonts w:cs="Times New Roman"/>
                <w:noProof/>
              </w:rPr>
            </w:pPr>
            <w:r>
              <w:rPr>
                <w:noProof/>
              </w:rPr>
              <w:t xml:space="preserve">Ziel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961959E" w14:textId="77777777" w:rsidR="00EB245A" w:rsidRDefault="006021EE">
            <w:pPr>
              <w:pStyle w:val="P68B1DB1-Normal46"/>
              <w:spacing w:after="4" w:line="237" w:lineRule="auto"/>
              <w:rPr>
                <w:rFonts w:cs="Times New Roman"/>
                <w:noProof/>
              </w:rPr>
            </w:pPr>
            <w:r>
              <w:rPr>
                <w:noProof/>
              </w:rPr>
              <w:t>Zahl der modernisierten Unterrichtseinrichtungen für die vorklinische Bildung (einschließlich Medizinischsimulationszentren), angepasste Einrichtungen der klinischen Basis für den Unterricht in zentralen klinischen Krankenhäusern, modernisierte Bibli</w:t>
            </w:r>
            <w:r>
              <w:rPr>
                <w:noProof/>
              </w:rPr>
              <w:t xml:space="preserve">otheksinfrastrukturen und Studentenheime im medizinischen Bereich </w:t>
            </w:r>
          </w:p>
          <w:p w14:paraId="06C95641" w14:textId="5FB5D053" w:rsidR="00EB245A" w:rsidRDefault="006021EE">
            <w:pPr>
              <w:pStyle w:val="P68B1DB1-Normal46"/>
              <w:spacing w:line="259" w:lineRule="auto"/>
              <w:rPr>
                <w:rFonts w:cs="Times New Roman"/>
                <w:noProof/>
              </w:rPr>
            </w:pPr>
            <w:r>
              <w:rPr>
                <w:noProof/>
              </w:rPr>
              <w:t xml:space="preserve">Universitäten </w:t>
            </w:r>
          </w:p>
        </w:tc>
      </w:tr>
      <w:tr w:rsidR="00EB245A" w14:paraId="687352E4" w14:textId="77777777">
        <w:trPr>
          <w:trHeight w:val="1478"/>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815FA98" w14:textId="2B3FEBE4" w:rsidR="00EB245A" w:rsidRDefault="006021EE">
            <w:pPr>
              <w:pStyle w:val="P68B1DB1-Normal46"/>
              <w:spacing w:line="259" w:lineRule="auto"/>
              <w:ind w:right="3"/>
              <w:jc w:val="center"/>
              <w:rPr>
                <w:rFonts w:cs="Times New Roman"/>
                <w:noProof/>
              </w:rPr>
            </w:pPr>
            <w:r>
              <w:rPr>
                <w:noProof/>
              </w:rPr>
              <w:t xml:space="preserve">G4G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E3B9C7D" w14:textId="6B0CD2A7" w:rsidR="00EB245A" w:rsidRDefault="006021EE">
            <w:pPr>
              <w:pStyle w:val="P68B1DB1-Normal46"/>
              <w:spacing w:after="5" w:line="236" w:lineRule="auto"/>
              <w:rPr>
                <w:rFonts w:cs="Times New Roman"/>
                <w:noProof/>
              </w:rPr>
            </w:pPr>
            <w:r>
              <w:rPr>
                <w:noProof/>
              </w:rPr>
              <w:t xml:space="preserve">G1.1.2 Anlagen für erneuerbare Energiequellen, die von Energiegemeinschaften betrieben werden, einschließlich eines erweiterten Teils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FEF709A" w14:textId="6E5C617E" w:rsidR="00EB245A" w:rsidRDefault="006021EE">
            <w:pPr>
              <w:pStyle w:val="P68B1DB1-Normal46"/>
              <w:spacing w:line="259" w:lineRule="auto"/>
              <w:ind w:right="3"/>
              <w:jc w:val="center"/>
              <w:rPr>
                <w:rFonts w:cs="Times New Roman"/>
                <w:noProof/>
              </w:rPr>
            </w:pPr>
            <w:r>
              <w:rPr>
                <w:noProof/>
              </w:rPr>
              <w:t xml:space="preserve">Ziel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FBFB444" w14:textId="69150C04" w:rsidR="00EB245A" w:rsidRDefault="006021EE">
            <w:pPr>
              <w:pStyle w:val="P68B1DB1-Normal46"/>
              <w:spacing w:after="5" w:line="236" w:lineRule="auto"/>
              <w:rPr>
                <w:rFonts w:cs="Times New Roman"/>
                <w:noProof/>
              </w:rPr>
            </w:pPr>
            <w:r>
              <w:rPr>
                <w:noProof/>
              </w:rPr>
              <w:t xml:space="preserve">Im Rahmen des Investitionsteils unterstützte Einrichtungen </w:t>
            </w:r>
          </w:p>
        </w:tc>
      </w:tr>
      <w:tr w:rsidR="00EB245A" w14:paraId="4AF7DEF8" w14:textId="77777777">
        <w:trPr>
          <w:trHeight w:val="1478"/>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0C9A9BB" w14:textId="2231AFEE" w:rsidR="00EB245A" w:rsidRDefault="006021EE">
            <w:pPr>
              <w:pStyle w:val="P68B1DB1-Normal46"/>
              <w:spacing w:line="259" w:lineRule="auto"/>
              <w:ind w:right="3"/>
              <w:jc w:val="center"/>
              <w:rPr>
                <w:rFonts w:cs="Times New Roman"/>
                <w:noProof/>
              </w:rPr>
            </w:pPr>
            <w:r>
              <w:rPr>
                <w:noProof/>
              </w:rPr>
              <w:t xml:space="preserve">G9G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736FD26" w14:textId="77777777" w:rsidR="00EB245A" w:rsidRDefault="006021EE">
            <w:pPr>
              <w:pStyle w:val="P68B1DB1-Normal46"/>
              <w:spacing w:after="1" w:line="238" w:lineRule="auto"/>
              <w:rPr>
                <w:rFonts w:cs="Times New Roman"/>
                <w:noProof/>
              </w:rPr>
            </w:pPr>
            <w:r>
              <w:rPr>
                <w:noProof/>
              </w:rPr>
              <w:t xml:space="preserve">G1.1.4 Unterstützung von Institutionen, die REPowerEU-Reformen und -Investitionen umsetzen </w:t>
            </w:r>
          </w:p>
          <w:p w14:paraId="43813749" w14:textId="439A83C8" w:rsidR="00EB245A" w:rsidRDefault="006021EE">
            <w:pPr>
              <w:pStyle w:val="P68B1DB1-Normal46"/>
              <w:spacing w:after="5" w:line="236" w:lineRule="auto"/>
              <w:rPr>
                <w:rFonts w:cs="Times New Roman"/>
                <w:noProof/>
              </w:rPr>
            </w:pPr>
            <w:r>
              <w:rPr>
                <w:noProof/>
              </w:rPr>
              <w:t xml:space="preserv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F32C8E1" w14:textId="19BE557E" w:rsidR="00EB245A" w:rsidRDefault="006021EE">
            <w:pPr>
              <w:pStyle w:val="P68B1DB1-Normal46"/>
              <w:spacing w:line="259" w:lineRule="auto"/>
              <w:ind w:right="3"/>
              <w:jc w:val="center"/>
              <w:rPr>
                <w:rFonts w:cs="Times New Roman"/>
                <w:noProof/>
              </w:rPr>
            </w:pPr>
            <w:r>
              <w:rPr>
                <w:noProof/>
              </w:rPr>
              <w:t xml:space="preserve">Ziel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A514603" w14:textId="35E28157" w:rsidR="00EB245A" w:rsidRDefault="006021EE">
            <w:pPr>
              <w:pStyle w:val="P68B1DB1-Normal46"/>
              <w:spacing w:after="5" w:line="236" w:lineRule="auto"/>
              <w:rPr>
                <w:rFonts w:cs="Times New Roman"/>
                <w:noProof/>
              </w:rPr>
            </w:pPr>
            <w:r>
              <w:rPr>
                <w:noProof/>
              </w:rPr>
              <w:t xml:space="preserve">Projekte zum Kapazitätsaufbau zur Unterstützung der Umsetzung von REPowerEU-Reformen und </w:t>
            </w:r>
            <w:r>
              <w:rPr>
                <w:noProof/>
              </w:rPr>
              <w:t xml:space="preserve">Investitionen der NRO </w:t>
            </w:r>
          </w:p>
        </w:tc>
      </w:tr>
      <w:tr w:rsidR="00EB245A" w14:paraId="3A52E8C5" w14:textId="77777777">
        <w:trPr>
          <w:trHeight w:val="1478"/>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9791C69" w14:textId="19B88E9B" w:rsidR="00EB245A" w:rsidRDefault="006021EE">
            <w:pPr>
              <w:pStyle w:val="P68B1DB1-Normal46"/>
              <w:spacing w:line="259" w:lineRule="auto"/>
              <w:ind w:right="3"/>
              <w:jc w:val="center"/>
              <w:rPr>
                <w:rFonts w:cs="Times New Roman"/>
                <w:noProof/>
              </w:rPr>
            </w:pPr>
            <w:r>
              <w:rPr>
                <w:noProof/>
              </w:rPr>
              <w:t xml:space="preserve">G14G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643AB82" w14:textId="58439D42" w:rsidR="00EB245A" w:rsidRDefault="006021EE">
            <w:pPr>
              <w:pStyle w:val="P68B1DB1-Normal46"/>
              <w:spacing w:after="1" w:line="238" w:lineRule="auto"/>
              <w:rPr>
                <w:rFonts w:cs="Times New Roman"/>
                <w:noProof/>
              </w:rPr>
            </w:pPr>
            <w:r>
              <w:rPr>
                <w:noProof/>
              </w:rPr>
              <w:t xml:space="preserve">G1.2.2 Beseitigung von Hindernissen für die Integration erneuerbarer Energiequellen in die Stromnetze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D175904" w14:textId="34F4DBB9" w:rsidR="00EB245A" w:rsidRDefault="006021EE">
            <w:pPr>
              <w:pStyle w:val="P68B1DB1-Normal46"/>
              <w:spacing w:line="259" w:lineRule="auto"/>
              <w:ind w:right="3"/>
              <w:jc w:val="center"/>
              <w:rPr>
                <w:rFonts w:cs="Times New Roman"/>
                <w:noProof/>
              </w:rPr>
            </w:pPr>
            <w:r>
              <w:rPr>
                <w:noProof/>
              </w:rPr>
              <w:t xml:space="preserve">Meilenstein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3BED089" w14:textId="309E0D84" w:rsidR="00EB245A" w:rsidRDefault="006021EE">
            <w:pPr>
              <w:pStyle w:val="P68B1DB1-Normal46"/>
              <w:spacing w:after="5" w:line="236" w:lineRule="auto"/>
              <w:rPr>
                <w:rFonts w:cs="Times New Roman"/>
                <w:noProof/>
              </w:rPr>
            </w:pPr>
            <w:r>
              <w:rPr>
                <w:noProof/>
              </w:rPr>
              <w:t xml:space="preserve">Inkrafttreten von legislativen und gegebenenfalls nichtlegislativen Rechtsakten, die die Transparenz des Prozesses des Anschlusses an die Stromnetze erhöhen und diesen Prozess erleichtern </w:t>
            </w:r>
          </w:p>
        </w:tc>
      </w:tr>
      <w:tr w:rsidR="00EB245A" w14:paraId="2072F184" w14:textId="77777777">
        <w:trPr>
          <w:trHeight w:val="1478"/>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376ADD3" w14:textId="74A80EDF" w:rsidR="00EB245A" w:rsidRDefault="006021EE">
            <w:pPr>
              <w:pStyle w:val="P68B1DB1-Normal46"/>
              <w:spacing w:line="259" w:lineRule="auto"/>
              <w:ind w:right="3"/>
              <w:jc w:val="center"/>
              <w:rPr>
                <w:rFonts w:cs="Times New Roman"/>
                <w:noProof/>
              </w:rPr>
            </w:pPr>
            <w:r>
              <w:rPr>
                <w:noProof/>
              </w:rPr>
              <w:t xml:space="preserve">G16G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AF750F7" w14:textId="6E4F6A82" w:rsidR="00EB245A" w:rsidRDefault="006021EE">
            <w:pPr>
              <w:pStyle w:val="P68B1DB1-Normal46"/>
              <w:spacing w:after="1" w:line="238" w:lineRule="auto"/>
              <w:rPr>
                <w:rFonts w:cs="Times New Roman"/>
                <w:noProof/>
              </w:rPr>
            </w:pPr>
            <w:r>
              <w:rPr>
                <w:noProof/>
              </w:rPr>
              <w:t>G1.2.3 Ausbau der Übertragungsnetze, intelligente Strominfra</w:t>
            </w:r>
            <w:r>
              <w:rPr>
                <w:noProof/>
              </w:rPr>
              <w:t xml:space="preserve">struktur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CEA015A" w14:textId="77B5F3D6" w:rsidR="00EB245A" w:rsidRDefault="006021EE">
            <w:pPr>
              <w:pStyle w:val="P68B1DB1-Normal46"/>
              <w:spacing w:line="259" w:lineRule="auto"/>
              <w:ind w:right="3"/>
              <w:jc w:val="center"/>
              <w:rPr>
                <w:rFonts w:cs="Times New Roman"/>
                <w:noProof/>
              </w:rPr>
            </w:pPr>
            <w:r>
              <w:rPr>
                <w:noProof/>
              </w:rPr>
              <w:t xml:space="preserve">Ziel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842A9A5" w14:textId="4E5C5400" w:rsidR="00EB245A" w:rsidRDefault="006021EE">
            <w:pPr>
              <w:pStyle w:val="P68B1DB1-Normal46"/>
              <w:spacing w:after="5" w:line="236" w:lineRule="auto"/>
              <w:rPr>
                <w:rFonts w:cs="Times New Roman"/>
                <w:noProof/>
              </w:rPr>
            </w:pPr>
            <w:r>
              <w:rPr>
                <w:noProof/>
              </w:rPr>
              <w:t xml:space="preserve">Länge des neu gebauten oder modernisierten Stromübertragungsnetzes (km) </w:t>
            </w:r>
          </w:p>
        </w:tc>
      </w:tr>
      <w:tr w:rsidR="00EB245A" w14:paraId="73B3D870" w14:textId="77777777">
        <w:trPr>
          <w:trHeight w:val="1478"/>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14F2E7E" w14:textId="55833B1F" w:rsidR="00EB245A" w:rsidRDefault="006021EE">
            <w:pPr>
              <w:pStyle w:val="P68B1DB1-Normal46"/>
              <w:spacing w:line="259" w:lineRule="auto"/>
              <w:ind w:right="3"/>
              <w:jc w:val="center"/>
              <w:rPr>
                <w:rFonts w:cs="Times New Roman"/>
                <w:noProof/>
              </w:rPr>
            </w:pPr>
            <w:r>
              <w:rPr>
                <w:noProof/>
              </w:rPr>
              <w:t xml:space="preserve">G21G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5B77655" w14:textId="267FE69C" w:rsidR="00EB245A" w:rsidRDefault="006021EE">
            <w:pPr>
              <w:pStyle w:val="P68B1DB1-Normal46"/>
              <w:spacing w:after="1" w:line="238" w:lineRule="auto"/>
              <w:rPr>
                <w:rFonts w:cs="Times New Roman"/>
                <w:noProof/>
              </w:rPr>
            </w:pPr>
            <w:r>
              <w:rPr>
                <w:noProof/>
              </w:rPr>
              <w:t xml:space="preserve">G1.2.3 Ausbau der Übertragungsnetze, intelligente Strominfrastruktur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A437D8F" w14:textId="13BEBA0E" w:rsidR="00EB245A" w:rsidRDefault="006021EE">
            <w:pPr>
              <w:pStyle w:val="P68B1DB1-Normal46"/>
              <w:spacing w:line="259" w:lineRule="auto"/>
              <w:ind w:right="3"/>
              <w:jc w:val="center"/>
              <w:rPr>
                <w:rFonts w:cs="Times New Roman"/>
                <w:noProof/>
              </w:rPr>
            </w:pPr>
            <w:r>
              <w:rPr>
                <w:noProof/>
              </w:rPr>
              <w:t xml:space="preserve">Meilenstein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A34B942" w14:textId="16F45439" w:rsidR="00EB245A" w:rsidRDefault="006021EE">
            <w:pPr>
              <w:pStyle w:val="P68B1DB1-Normal46"/>
              <w:spacing w:after="5" w:line="236" w:lineRule="auto"/>
              <w:rPr>
                <w:rFonts w:cs="Times New Roman"/>
                <w:noProof/>
              </w:rPr>
            </w:pPr>
            <w:r>
              <w:rPr>
                <w:noProof/>
              </w:rPr>
              <w:t xml:space="preserve">Einführung des Datendrehkreuzes auf dem Strommarkt (OIRE/CSIRE) </w:t>
            </w:r>
          </w:p>
        </w:tc>
      </w:tr>
      <w:tr w:rsidR="00EB245A" w14:paraId="334F8720" w14:textId="77777777">
        <w:trPr>
          <w:trHeight w:val="1478"/>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1C92F3A" w14:textId="0CFF9CD6" w:rsidR="00EB245A" w:rsidRDefault="006021EE">
            <w:pPr>
              <w:pStyle w:val="P68B1DB1-Normal46"/>
              <w:spacing w:line="259" w:lineRule="auto"/>
              <w:ind w:right="3"/>
              <w:jc w:val="center"/>
              <w:rPr>
                <w:rFonts w:cs="Times New Roman"/>
                <w:noProof/>
              </w:rPr>
            </w:pPr>
            <w:r>
              <w:rPr>
                <w:noProof/>
              </w:rPr>
              <w:t xml:space="preserve">G25G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E25AEFD" w14:textId="453078C9" w:rsidR="00EB245A" w:rsidRDefault="006021EE">
            <w:pPr>
              <w:pStyle w:val="P68B1DB1-Normal46"/>
              <w:spacing w:after="1" w:line="238" w:lineRule="auto"/>
              <w:rPr>
                <w:rFonts w:cs="Times New Roman"/>
                <w:noProof/>
              </w:rPr>
            </w:pPr>
            <w:r>
              <w:rPr>
                <w:noProof/>
              </w:rPr>
              <w:t xml:space="preserve">G1.3.1 Förderung eines nachhaltigen Verkehrs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6B727D5" w14:textId="6F9695F3" w:rsidR="00EB245A" w:rsidRDefault="006021EE">
            <w:pPr>
              <w:pStyle w:val="P68B1DB1-Normal46"/>
              <w:spacing w:line="259" w:lineRule="auto"/>
              <w:ind w:right="3"/>
              <w:jc w:val="center"/>
              <w:rPr>
                <w:rFonts w:cs="Times New Roman"/>
                <w:noProof/>
              </w:rPr>
            </w:pPr>
            <w:r>
              <w:rPr>
                <w:noProof/>
              </w:rPr>
              <w:t xml:space="preserve">Meilenstein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B7FDD09" w14:textId="7F0390CC" w:rsidR="00EB245A" w:rsidRDefault="006021EE">
            <w:pPr>
              <w:pStyle w:val="P68B1DB1-Normal46"/>
              <w:spacing w:after="5" w:line="236" w:lineRule="auto"/>
              <w:rPr>
                <w:rFonts w:cs="Times New Roman"/>
                <w:noProof/>
              </w:rPr>
            </w:pPr>
            <w:r>
              <w:rPr>
                <w:noProof/>
              </w:rPr>
              <w:t xml:space="preserve">Aktionsplan für nachhaltigen Verkehr in Polen </w:t>
            </w:r>
          </w:p>
        </w:tc>
      </w:tr>
      <w:tr w:rsidR="00EB245A" w14:paraId="38F2A602" w14:textId="77777777">
        <w:trPr>
          <w:trHeight w:val="1478"/>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B96F72D" w14:textId="4FD76F79" w:rsidR="00EB245A" w:rsidRDefault="006021EE">
            <w:pPr>
              <w:pStyle w:val="P68B1DB1-Normal46"/>
              <w:spacing w:line="259" w:lineRule="auto"/>
              <w:ind w:right="3"/>
              <w:jc w:val="center"/>
              <w:rPr>
                <w:rFonts w:cs="Times New Roman"/>
                <w:noProof/>
              </w:rPr>
            </w:pPr>
            <w:r>
              <w:rPr>
                <w:noProof/>
              </w:rPr>
              <w:t xml:space="preserve">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9953F68" w14:textId="16DC5026" w:rsidR="00EB245A" w:rsidRDefault="006021EE">
            <w:pPr>
              <w:pStyle w:val="P68B1DB1-Normal46"/>
              <w:spacing w:after="1" w:line="238" w:lineRule="auto"/>
              <w:rPr>
                <w:rFonts w:cs="Times New Roman"/>
                <w:noProof/>
              </w:rPr>
            </w:pPr>
            <w:r>
              <w:rPr>
                <w:noProof/>
              </w:rPr>
              <w:t xml:space="preserv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DAE4C40" w14:textId="1CFB7775" w:rsidR="00EB245A" w:rsidRDefault="006021EE">
            <w:pPr>
              <w:pStyle w:val="P68B1DB1-Normal46"/>
              <w:spacing w:line="259" w:lineRule="auto"/>
              <w:ind w:right="3"/>
              <w:jc w:val="center"/>
              <w:rPr>
                <w:rFonts w:cs="Times New Roman"/>
                <w:noProof/>
              </w:rPr>
            </w:pPr>
            <w:r>
              <w:rPr>
                <w:noProof/>
              </w:rPr>
              <w:t xml:space="preserve">Ratenzahlungsbetrag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C59BA6A" w14:textId="62A833A7" w:rsidR="00EB245A" w:rsidRDefault="006021EE">
            <w:pPr>
              <w:pStyle w:val="P68B1DB1-Normal46"/>
              <w:spacing w:after="5" w:line="236" w:lineRule="auto"/>
              <w:rPr>
                <w:rFonts w:cs="Times New Roman"/>
                <w:noProof/>
              </w:rPr>
            </w:pPr>
            <w:r>
              <w:rPr>
                <w:noProof/>
              </w:rPr>
              <w:t>2 591 962 133 EUR</w:t>
            </w:r>
          </w:p>
          <w:p w14:paraId="02B01A6E" w14:textId="7E3179E5" w:rsidR="00EB245A" w:rsidRDefault="00EB245A">
            <w:pPr>
              <w:spacing w:after="5" w:line="236" w:lineRule="auto"/>
              <w:rPr>
                <w:rFonts w:ascii="Times New Roman" w:hAnsi="Times New Roman" w:cs="Times New Roman"/>
                <w:noProof/>
              </w:rPr>
            </w:pPr>
          </w:p>
        </w:tc>
      </w:tr>
    </w:tbl>
    <w:p w14:paraId="0DE8FE53" w14:textId="77777777" w:rsidR="00EB245A" w:rsidRDefault="00EB245A">
      <w:pPr>
        <w:spacing w:after="0" w:line="259" w:lineRule="auto"/>
        <w:ind w:left="-1133" w:right="10775"/>
        <w:rPr>
          <w:rFonts w:ascii="Times New Roman" w:hAnsi="Times New Roman" w:cs="Times New Roman"/>
          <w:noProof/>
        </w:rPr>
      </w:pPr>
    </w:p>
    <w:p w14:paraId="7F5F431F" w14:textId="77777777" w:rsidR="00EB245A" w:rsidRDefault="00EB245A">
      <w:pPr>
        <w:spacing w:after="0" w:line="259" w:lineRule="auto"/>
        <w:ind w:left="-1133" w:right="10775"/>
        <w:rPr>
          <w:rFonts w:ascii="Times New Roman" w:hAnsi="Times New Roman" w:cs="Times New Roman"/>
          <w:noProof/>
        </w:rPr>
      </w:pPr>
    </w:p>
    <w:p w14:paraId="021F4970" w14:textId="77777777" w:rsidR="00EB245A" w:rsidRDefault="006021EE">
      <w:pPr>
        <w:pStyle w:val="P68B1DB1-Normal46"/>
        <w:spacing w:after="0" w:line="259" w:lineRule="auto"/>
        <w:rPr>
          <w:rFonts w:cs="Times New Roman"/>
          <w:noProof/>
        </w:rPr>
      </w:pPr>
      <w:r>
        <w:rPr>
          <w:noProof/>
        </w:rPr>
        <w:t xml:space="preserve"> </w:t>
      </w:r>
      <w:r>
        <w:rPr>
          <w:noProof/>
        </w:rPr>
        <w:br w:type="page"/>
      </w:r>
    </w:p>
    <w:p w14:paraId="0550FC39" w14:textId="77777777" w:rsidR="00EB245A" w:rsidRDefault="006021EE">
      <w:pPr>
        <w:pStyle w:val="P68B1DB1-Normal46"/>
        <w:spacing w:after="3" w:line="259" w:lineRule="auto"/>
        <w:ind w:left="-5"/>
        <w:rPr>
          <w:rFonts w:cs="Times New Roman"/>
          <w:noProof/>
        </w:rPr>
      </w:pPr>
      <w:r>
        <w:rPr>
          <w:noProof/>
        </w:rPr>
        <w:t xml:space="preserve">2.1.9 Neunte Tranche (nicht rückzahlbare Unterstützung): </w:t>
      </w:r>
    </w:p>
    <w:tbl>
      <w:tblPr>
        <w:tblStyle w:val="TableGrid0"/>
        <w:tblW w:w="10481" w:type="dxa"/>
        <w:tblInd w:w="10" w:type="dxa"/>
        <w:tblCellMar>
          <w:top w:w="53" w:type="dxa"/>
          <w:left w:w="108" w:type="dxa"/>
          <w:right w:w="66" w:type="dxa"/>
        </w:tblCellMar>
        <w:tblLook w:val="04A0" w:firstRow="1" w:lastRow="0" w:firstColumn="1" w:lastColumn="0" w:noHBand="0" w:noVBand="1"/>
      </w:tblPr>
      <w:tblGrid>
        <w:gridCol w:w="1763"/>
        <w:gridCol w:w="3249"/>
        <w:gridCol w:w="2178"/>
        <w:gridCol w:w="3291"/>
      </w:tblGrid>
      <w:tr w:rsidR="00EB245A" w14:paraId="4247128F" w14:textId="77777777">
        <w:trPr>
          <w:trHeight w:val="865"/>
          <w:tblHeader/>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0EE8C279" w14:textId="77777777" w:rsidR="00EB245A" w:rsidRDefault="006021EE">
            <w:pPr>
              <w:pStyle w:val="P68B1DB1-Normal46"/>
              <w:spacing w:line="259" w:lineRule="auto"/>
              <w:jc w:val="center"/>
              <w:rPr>
                <w:rFonts w:cs="Times New Roman"/>
                <w:noProof/>
              </w:rPr>
            </w:pPr>
            <w:r>
              <w:rPr>
                <w:b/>
                <w:noProof/>
              </w:rPr>
              <w:t>Laufende Nummer</w:t>
            </w:r>
            <w:r>
              <w:rPr>
                <w:noProof/>
              </w:rPr>
              <w:t xml:space="preserve">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12794310" w14:textId="77777777" w:rsidR="00EB245A" w:rsidRDefault="006021EE">
            <w:pPr>
              <w:pStyle w:val="P68B1DB1-Normal46"/>
              <w:spacing w:line="259" w:lineRule="auto"/>
              <w:jc w:val="center"/>
              <w:rPr>
                <w:rFonts w:cs="Times New Roman"/>
                <w:noProof/>
              </w:rPr>
            </w:pPr>
            <w:r>
              <w:rPr>
                <w:b/>
                <w:noProof/>
              </w:rPr>
              <w:t xml:space="preserve">Verbundene Maßnahme </w:t>
            </w:r>
            <w:r>
              <w:rPr>
                <w:b/>
                <w:noProof/>
              </w:rPr>
              <w:t>(Reform oder Investition)</w:t>
            </w:r>
            <w:r>
              <w:rPr>
                <w:noProof/>
              </w:rPr>
              <w:t xml:space="preserve">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510E805C" w14:textId="77777777" w:rsidR="00EB245A" w:rsidRDefault="006021EE">
            <w:pPr>
              <w:pStyle w:val="P68B1DB1-Normal46"/>
              <w:spacing w:line="259" w:lineRule="auto"/>
              <w:ind w:left="25" w:right="11"/>
              <w:jc w:val="center"/>
              <w:rPr>
                <w:rFonts w:cs="Times New Roman"/>
                <w:noProof/>
              </w:rPr>
            </w:pPr>
            <w:r>
              <w:rPr>
                <w:b/>
                <w:noProof/>
              </w:rPr>
              <w:t>Etappenziel/Zielwert</w:t>
            </w:r>
            <w:r>
              <w:rPr>
                <w:noProof/>
              </w:rPr>
              <w:t xml:space="preserve">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345F2CD1" w14:textId="77777777" w:rsidR="00EB245A" w:rsidRDefault="006021EE">
            <w:pPr>
              <w:pStyle w:val="P68B1DB1-Normal46"/>
              <w:spacing w:line="259" w:lineRule="auto"/>
              <w:ind w:right="40"/>
              <w:jc w:val="center"/>
              <w:rPr>
                <w:rFonts w:cs="Times New Roman"/>
                <w:noProof/>
              </w:rPr>
            </w:pPr>
            <w:r>
              <w:rPr>
                <w:b/>
                <w:noProof/>
              </w:rPr>
              <w:t>Namen</w:t>
            </w:r>
            <w:r>
              <w:rPr>
                <w:noProof/>
              </w:rPr>
              <w:t xml:space="preserve"> </w:t>
            </w:r>
          </w:p>
        </w:tc>
      </w:tr>
      <w:tr w:rsidR="00EB245A" w14:paraId="3C9E9ECE" w14:textId="77777777">
        <w:trPr>
          <w:trHeight w:val="1228"/>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B9FE07A" w14:textId="77777777" w:rsidR="00EB245A" w:rsidRDefault="006021EE">
            <w:pPr>
              <w:pStyle w:val="P68B1DB1-Normal46"/>
              <w:spacing w:line="259" w:lineRule="auto"/>
              <w:ind w:right="41"/>
              <w:jc w:val="center"/>
              <w:rPr>
                <w:rFonts w:cs="Times New Roman"/>
                <w:noProof/>
              </w:rPr>
            </w:pPr>
            <w:r>
              <w:rPr>
                <w:noProof/>
              </w:rPr>
              <w:t xml:space="preserve">A8G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F736AB4" w14:textId="77777777" w:rsidR="00EB245A" w:rsidRDefault="006021EE">
            <w:pPr>
              <w:pStyle w:val="P68B1DB1-Normal46"/>
              <w:spacing w:line="259" w:lineRule="auto"/>
              <w:rPr>
                <w:rFonts w:cs="Times New Roman"/>
                <w:noProof/>
              </w:rPr>
            </w:pPr>
            <w:r>
              <w:rPr>
                <w:noProof/>
              </w:rPr>
              <w:t xml:space="preserve">A1.2.1 Investitionen von Unternehmen in Produkte, Dienstleistungen und Kompetenzen von Arbeitnehmern und Mitarbeitern im Zusammenhang mit der Diversifizierung von Tätigkeiten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9D1790D" w14:textId="77777777"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41D8C5D" w14:textId="77777777" w:rsidR="00EB245A" w:rsidRDefault="006021EE">
            <w:pPr>
              <w:pStyle w:val="P68B1DB1-Normal46"/>
              <w:spacing w:line="259" w:lineRule="auto"/>
              <w:ind w:right="17"/>
              <w:rPr>
                <w:rFonts w:cs="Times New Roman"/>
                <w:noProof/>
              </w:rPr>
            </w:pPr>
            <w:r>
              <w:rPr>
                <w:noProof/>
              </w:rPr>
              <w:t xml:space="preserve">T2 – Zahl der KMU und Kleinstunternehmen in den Bereichen HoReCa, Kultur und Tourismus, die ihre Geschäftstätigkeit modernisiert haben </w:t>
            </w:r>
          </w:p>
        </w:tc>
      </w:tr>
      <w:tr w:rsidR="00EB245A" w14:paraId="744301A4" w14:textId="77777777">
        <w:trPr>
          <w:trHeight w:val="973"/>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C3F2891" w14:textId="77777777" w:rsidR="00EB245A" w:rsidRDefault="006021EE">
            <w:pPr>
              <w:pStyle w:val="P68B1DB1-Normal46"/>
              <w:spacing w:line="259" w:lineRule="auto"/>
              <w:ind w:right="41"/>
              <w:jc w:val="center"/>
              <w:rPr>
                <w:rFonts w:cs="Times New Roman"/>
                <w:noProof/>
              </w:rPr>
            </w:pPr>
            <w:r>
              <w:rPr>
                <w:noProof/>
              </w:rPr>
              <w:t xml:space="preserve">A15G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E041374" w14:textId="77777777" w:rsidR="00EB245A" w:rsidRDefault="006021EE">
            <w:pPr>
              <w:pStyle w:val="P68B1DB1-Normal46"/>
              <w:spacing w:line="259" w:lineRule="auto"/>
              <w:rPr>
                <w:rFonts w:cs="Times New Roman"/>
                <w:noProof/>
              </w:rPr>
            </w:pPr>
            <w:r>
              <w:rPr>
                <w:noProof/>
              </w:rPr>
              <w:t xml:space="preserve">A1.3.1 Umsetzung der Reform der Flächennutzungsplanung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D6AF546" w14:textId="77777777"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B5057BF" w14:textId="77777777" w:rsidR="00EB245A" w:rsidRDefault="006021EE">
            <w:pPr>
              <w:pStyle w:val="P68B1DB1-Normal46"/>
              <w:spacing w:line="259" w:lineRule="auto"/>
              <w:rPr>
                <w:rFonts w:cs="Times New Roman"/>
                <w:noProof/>
              </w:rPr>
            </w:pPr>
            <w:r>
              <w:rPr>
                <w:noProof/>
              </w:rPr>
              <w:t xml:space="preserve">Mitarbeiter der lokalen Gebietskörperschaften und Raumordnungsbehörden, die einen Kurs zum neuen Raumordnungsgesetz absolviert haben </w:t>
            </w:r>
          </w:p>
        </w:tc>
      </w:tr>
      <w:tr w:rsidR="00EB245A" w14:paraId="1F44164F" w14:textId="77777777">
        <w:trPr>
          <w:trHeight w:val="722"/>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9A2E6D1" w14:textId="77777777" w:rsidR="00EB245A" w:rsidRDefault="006021EE">
            <w:pPr>
              <w:pStyle w:val="P68B1DB1-Normal46"/>
              <w:spacing w:line="259" w:lineRule="auto"/>
              <w:ind w:right="41"/>
              <w:jc w:val="center"/>
              <w:rPr>
                <w:rFonts w:cs="Times New Roman"/>
                <w:noProof/>
              </w:rPr>
            </w:pPr>
            <w:r>
              <w:rPr>
                <w:noProof/>
              </w:rPr>
              <w:t xml:space="preserve">A17G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97DABAF" w14:textId="77777777" w:rsidR="00EB245A" w:rsidRDefault="006021EE">
            <w:pPr>
              <w:pStyle w:val="P68B1DB1-Normal46"/>
              <w:spacing w:line="259" w:lineRule="auto"/>
              <w:rPr>
                <w:rFonts w:cs="Times New Roman"/>
                <w:noProof/>
              </w:rPr>
            </w:pPr>
            <w:r>
              <w:rPr>
                <w:noProof/>
              </w:rPr>
              <w:t xml:space="preserve">A1.3.1 Umsetzung der Reform der Flächennutzungsplanung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52FFE30" w14:textId="77777777"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D375853" w14:textId="77777777" w:rsidR="00EB245A" w:rsidRDefault="006021EE">
            <w:pPr>
              <w:pStyle w:val="P68B1DB1-Normal46"/>
              <w:spacing w:line="259" w:lineRule="auto"/>
              <w:rPr>
                <w:rFonts w:cs="Times New Roman"/>
                <w:noProof/>
              </w:rPr>
            </w:pPr>
            <w:r>
              <w:rPr>
                <w:noProof/>
              </w:rPr>
              <w:t xml:space="preserve">Anteil der Gemeinden, die allgemeine Raumordnungspläne angenommen haben </w:t>
            </w:r>
          </w:p>
        </w:tc>
      </w:tr>
      <w:tr w:rsidR="00EB245A" w14:paraId="14BA43FE" w14:textId="77777777">
        <w:trPr>
          <w:trHeight w:val="722"/>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386C062" w14:textId="0E9D958C" w:rsidR="00EB245A" w:rsidRDefault="006021EE">
            <w:pPr>
              <w:pStyle w:val="P68B1DB1-Normal46"/>
              <w:spacing w:line="259" w:lineRule="auto"/>
              <w:ind w:right="41"/>
              <w:jc w:val="center"/>
              <w:rPr>
                <w:rFonts w:cs="Times New Roman"/>
                <w:noProof/>
              </w:rPr>
            </w:pPr>
            <w:r>
              <w:rPr>
                <w:noProof/>
              </w:rPr>
              <w:t xml:space="preserve">A21G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38F6769" w14:textId="4E7EDB40" w:rsidR="00EB245A" w:rsidRDefault="006021EE">
            <w:pPr>
              <w:pStyle w:val="P68B1DB1-Normal46"/>
              <w:spacing w:line="259" w:lineRule="auto"/>
              <w:rPr>
                <w:rFonts w:cs="Times New Roman"/>
                <w:noProof/>
              </w:rPr>
            </w:pPr>
            <w:r>
              <w:rPr>
                <w:noProof/>
              </w:rPr>
              <w:t xml:space="preserve">A1.4.1 Investitionen zur Diversifizierung und Verkürzung der Lieferkette von Agrar- und Lebensmittelerzeugnissen und zur Stärkung der Widerstandsfähigkeit der Unternehmen in der Lieferkette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F7F11FD" w14:textId="73ADF359"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8E217DC" w14:textId="735D9A03" w:rsidR="00EB245A" w:rsidRDefault="006021EE">
            <w:pPr>
              <w:pStyle w:val="P68B1DB1-Normal46"/>
              <w:spacing w:line="259" w:lineRule="auto"/>
              <w:rPr>
                <w:rFonts w:cs="Times New Roman"/>
                <w:noProof/>
              </w:rPr>
            </w:pPr>
            <w:r>
              <w:rPr>
                <w:noProof/>
              </w:rPr>
              <w:t>Errichtete oder modernisierte Vertriebs- und Speicherzentre</w:t>
            </w:r>
            <w:r>
              <w:rPr>
                <w:noProof/>
              </w:rPr>
              <w:t xml:space="preserve">n und modernisierte Großhandelsmärkte </w:t>
            </w:r>
          </w:p>
        </w:tc>
      </w:tr>
      <w:tr w:rsidR="00EB245A" w14:paraId="45C45903" w14:textId="77777777">
        <w:trPr>
          <w:trHeight w:val="722"/>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89675E5" w14:textId="68EA4884" w:rsidR="00EB245A" w:rsidRDefault="006021EE">
            <w:pPr>
              <w:pStyle w:val="P68B1DB1-Normal46"/>
              <w:spacing w:line="259" w:lineRule="auto"/>
              <w:ind w:right="41"/>
              <w:jc w:val="center"/>
              <w:rPr>
                <w:rFonts w:cs="Times New Roman"/>
                <w:noProof/>
              </w:rPr>
            </w:pPr>
            <w:r>
              <w:rPr>
                <w:noProof/>
              </w:rPr>
              <w:t xml:space="preserve">A23G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F35CA13" w14:textId="7EECF1A7" w:rsidR="00EB245A" w:rsidRDefault="006021EE">
            <w:pPr>
              <w:pStyle w:val="P68B1DB1-Normal46"/>
              <w:spacing w:line="259" w:lineRule="auto"/>
              <w:rPr>
                <w:rFonts w:cs="Times New Roman"/>
                <w:noProof/>
              </w:rPr>
            </w:pPr>
            <w:r>
              <w:rPr>
                <w:noProof/>
              </w:rPr>
              <w:t xml:space="preserve">A1.4.1 Investitionen zur Diversifizierung und Verkürzung der Lieferkette von Agrar- und Lebensmittelerzeugnissen und zur Stärkung der Widerstandsfähigkeit der Unternehmen in der Lieferkette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D962CB7" w14:textId="62FF7D9D"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53E6564" w14:textId="7E82EA3D" w:rsidR="00EB245A" w:rsidRDefault="006021EE">
            <w:pPr>
              <w:pStyle w:val="P68B1DB1-Normal46"/>
              <w:spacing w:line="259" w:lineRule="auto"/>
              <w:rPr>
                <w:rFonts w:cs="Times New Roman"/>
                <w:noProof/>
              </w:rPr>
            </w:pPr>
            <w:r>
              <w:rPr>
                <w:noProof/>
              </w:rPr>
              <w:t xml:space="preserve">KMU im Agrar- und Lebensmittelsektor, die Projekte zur Modernisierung ihrer Infrastruktur und Ausrüstung abgeschlossen haben </w:t>
            </w:r>
          </w:p>
        </w:tc>
      </w:tr>
      <w:tr w:rsidR="00EB245A" w14:paraId="25B2718C" w14:textId="77777777">
        <w:trPr>
          <w:trHeight w:val="722"/>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8A5864B" w14:textId="541A716B" w:rsidR="00EB245A" w:rsidRDefault="006021EE">
            <w:pPr>
              <w:pStyle w:val="P68B1DB1-Normal46"/>
              <w:spacing w:line="259" w:lineRule="auto"/>
              <w:ind w:right="41"/>
              <w:jc w:val="center"/>
              <w:rPr>
                <w:rFonts w:cs="Times New Roman"/>
                <w:noProof/>
              </w:rPr>
            </w:pPr>
            <w:r>
              <w:rPr>
                <w:noProof/>
              </w:rPr>
              <w:t xml:space="preserve">A26G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11DB7FA" w14:textId="157E036B" w:rsidR="00EB245A" w:rsidRDefault="006021EE">
            <w:pPr>
              <w:pStyle w:val="P68B1DB1-Normal46"/>
              <w:spacing w:line="259" w:lineRule="auto"/>
              <w:rPr>
                <w:rFonts w:cs="Times New Roman"/>
                <w:noProof/>
              </w:rPr>
            </w:pPr>
            <w:r>
              <w:rPr>
                <w:noProof/>
              </w:rPr>
              <w:t>A1.4.1 Investitionen zur Diversifizierung und Verkürzung der Lieferkette von Agrar- und Lebensmittelerzeugnissen und zur St</w:t>
            </w:r>
            <w:r>
              <w:rPr>
                <w:noProof/>
              </w:rPr>
              <w:t xml:space="preserve">ärkung der Widerstandsfähigkeit der Unternehmen in der Lieferkette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C27A54C" w14:textId="1E55E8C7"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7FD2648" w14:textId="60CFEA04" w:rsidR="00EB245A" w:rsidRDefault="006021EE">
            <w:pPr>
              <w:pStyle w:val="P68B1DB1-Normal46"/>
              <w:spacing w:line="259" w:lineRule="auto"/>
              <w:rPr>
                <w:rFonts w:cs="Times New Roman"/>
                <w:noProof/>
              </w:rPr>
            </w:pPr>
            <w:r>
              <w:rPr>
                <w:noProof/>
              </w:rPr>
              <w:t xml:space="preserve">Landwirte und Fischer, die Projekte zur Modernisierung ihrer Infrastruktur und Ausrüstung, zur Verkürzung der Lebensmittelversorgungsketten und zur Umsetzung landwirtschaftlicher Lösungen 4.0 in Produktionsprozessen abgeschlossen haben </w:t>
            </w:r>
          </w:p>
        </w:tc>
      </w:tr>
      <w:tr w:rsidR="00EB245A" w14:paraId="5A991D09" w14:textId="77777777">
        <w:trPr>
          <w:trHeight w:val="722"/>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195029F" w14:textId="74CA63DC" w:rsidR="00EB245A" w:rsidRDefault="006021EE">
            <w:pPr>
              <w:pStyle w:val="P68B1DB1-Normal46"/>
              <w:spacing w:line="259" w:lineRule="auto"/>
              <w:ind w:right="41"/>
              <w:jc w:val="center"/>
              <w:rPr>
                <w:rFonts w:cs="Times New Roman"/>
                <w:noProof/>
              </w:rPr>
            </w:pPr>
            <w:r>
              <w:rPr>
                <w:noProof/>
              </w:rPr>
              <w:t>A26aG</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016E743" w14:textId="77777777" w:rsidR="00EB245A" w:rsidRDefault="006021EE">
            <w:pPr>
              <w:pStyle w:val="P68B1DB1-Normal46"/>
              <w:pBdr>
                <w:top w:val="nil"/>
                <w:left w:val="nil"/>
                <w:bottom w:val="nil"/>
                <w:right w:val="nil"/>
                <w:between w:val="nil"/>
              </w:pBdr>
              <w:spacing w:line="259" w:lineRule="auto"/>
              <w:rPr>
                <w:rFonts w:cs="Times New Roman"/>
                <w:noProof/>
              </w:rPr>
            </w:pPr>
            <w:r>
              <w:rPr>
                <w:noProof/>
              </w:rPr>
              <w:t>A1.4.1 Inves</w:t>
            </w:r>
            <w:r>
              <w:rPr>
                <w:noProof/>
              </w:rPr>
              <w:t>titionen zur Diversifizierung und Verkürzung der Lieferkette von Agrar- und Lebensmittelerzeugnissen und zur Stärkung der Widerstandsfähigkeit der Unternehmen in der Lieferkette</w:t>
            </w:r>
          </w:p>
          <w:p w14:paraId="5C926BCC" w14:textId="77777777" w:rsidR="00EB245A" w:rsidRDefault="00EB245A">
            <w:pPr>
              <w:pBdr>
                <w:top w:val="nil"/>
                <w:left w:val="nil"/>
                <w:bottom w:val="nil"/>
                <w:right w:val="nil"/>
                <w:between w:val="nil"/>
              </w:pBdr>
              <w:spacing w:line="259" w:lineRule="auto"/>
              <w:rPr>
                <w:rFonts w:ascii="Times New Roman" w:hAnsi="Times New Roman" w:cs="Times New Roman"/>
                <w:noProof/>
              </w:rPr>
            </w:pP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83E495F" w14:textId="49B2C211" w:rsidR="00EB245A" w:rsidRDefault="006021EE" w:rsidP="00E624AF">
            <w:pPr>
              <w:pStyle w:val="P68B1DB1-Normal46"/>
              <w:pBdr>
                <w:top w:val="nil"/>
                <w:left w:val="nil"/>
                <w:bottom w:val="nil"/>
                <w:right w:val="nil"/>
                <w:between w:val="nil"/>
              </w:pBdr>
              <w:spacing w:line="259" w:lineRule="auto"/>
              <w:jc w:val="center"/>
              <w:rPr>
                <w:rFonts w:cs="Times New Roman"/>
                <w:noProof/>
              </w:rPr>
            </w:pPr>
            <w:r>
              <w:rPr>
                <w:noProof/>
              </w:rPr>
              <w:t>Ziel</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891C0AB" w14:textId="69CBE003" w:rsidR="00EB245A" w:rsidRDefault="006021EE">
            <w:pPr>
              <w:pStyle w:val="P68B1DB1-Normal46"/>
              <w:pBdr>
                <w:top w:val="nil"/>
                <w:left w:val="nil"/>
                <w:bottom w:val="nil"/>
                <w:right w:val="nil"/>
                <w:between w:val="nil"/>
              </w:pBdr>
              <w:spacing w:line="259" w:lineRule="auto"/>
              <w:rPr>
                <w:rFonts w:cs="Times New Roman"/>
                <w:noProof/>
              </w:rPr>
            </w:pPr>
            <w:r>
              <w:rPr>
                <w:noProof/>
              </w:rPr>
              <w:t xml:space="preserve">Durchführung von Projekten zur Modernisierung der Lehr- und </w:t>
            </w:r>
            <w:r>
              <w:rPr>
                <w:noProof/>
              </w:rPr>
              <w:t>Demonstrationsbasis für die Bildung in der Landwirtschaft 4.0</w:t>
            </w:r>
          </w:p>
        </w:tc>
      </w:tr>
      <w:tr w:rsidR="00EB245A" w14:paraId="67C536B2" w14:textId="77777777">
        <w:trPr>
          <w:trHeight w:val="1227"/>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218AA58" w14:textId="77777777" w:rsidR="00EB245A" w:rsidRDefault="006021EE">
            <w:pPr>
              <w:pStyle w:val="P68B1DB1-Normal46"/>
              <w:spacing w:line="259" w:lineRule="auto"/>
              <w:ind w:right="41"/>
              <w:jc w:val="center"/>
              <w:rPr>
                <w:rFonts w:cs="Times New Roman"/>
                <w:noProof/>
              </w:rPr>
            </w:pPr>
            <w:r>
              <w:rPr>
                <w:noProof/>
              </w:rPr>
              <w:t xml:space="preserve">A29G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74BBD0C" w14:textId="77777777" w:rsidR="00EB245A" w:rsidRDefault="006021EE">
            <w:pPr>
              <w:pStyle w:val="P68B1DB1-Normal46"/>
              <w:spacing w:line="259" w:lineRule="auto"/>
              <w:rPr>
                <w:rFonts w:cs="Times New Roman"/>
                <w:noProof/>
              </w:rPr>
            </w:pPr>
            <w:r>
              <w:rPr>
                <w:noProof/>
              </w:rPr>
              <w:t xml:space="preserve">A2.1.1 Investitionen in Robotisierung und Digitalisierung in Unternehmen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FA04F5A" w14:textId="77777777"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410E8F2" w14:textId="77777777" w:rsidR="00EB245A" w:rsidRDefault="006021EE">
            <w:pPr>
              <w:pStyle w:val="P68B1DB1-Normal46"/>
              <w:spacing w:line="259" w:lineRule="auto"/>
              <w:rPr>
                <w:rFonts w:cs="Times New Roman"/>
                <w:noProof/>
              </w:rPr>
            </w:pPr>
            <w:r>
              <w:rPr>
                <w:noProof/>
              </w:rPr>
              <w:t xml:space="preserve">T2 – Durchführung von Projekten im Zusammenhang mit Robotisierung, künstlicher Intelligenz oder Digitalisierung von Prozessen, Technologien, Produkten oder Dienstleistungen </w:t>
            </w:r>
          </w:p>
        </w:tc>
      </w:tr>
      <w:tr w:rsidR="00EB245A" w14:paraId="6B246718" w14:textId="77777777">
        <w:trPr>
          <w:trHeight w:val="1985"/>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3D04001" w14:textId="77777777" w:rsidR="00EB245A" w:rsidRDefault="006021EE">
            <w:pPr>
              <w:pStyle w:val="P68B1DB1-Normal46"/>
              <w:spacing w:line="259" w:lineRule="auto"/>
              <w:ind w:right="41"/>
              <w:jc w:val="center"/>
              <w:rPr>
                <w:rFonts w:cs="Times New Roman"/>
                <w:noProof/>
              </w:rPr>
            </w:pPr>
            <w:r>
              <w:rPr>
                <w:noProof/>
              </w:rPr>
              <w:t xml:space="preserve">A35G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7342B13" w14:textId="77777777" w:rsidR="00EB245A" w:rsidRDefault="006021EE">
            <w:pPr>
              <w:pStyle w:val="P68B1DB1-Normal46"/>
              <w:spacing w:after="1" w:line="237" w:lineRule="auto"/>
              <w:rPr>
                <w:rFonts w:cs="Times New Roman"/>
                <w:noProof/>
              </w:rPr>
            </w:pPr>
            <w:r>
              <w:rPr>
                <w:noProof/>
              </w:rPr>
              <w:t xml:space="preserve">A2.3.1 Entwicklung und Ausrüstung von Kompetenzzentren (u. a. Fachausbildungszentren, Zentren zur Unterstützung der Umsetzung, Beobachtungsstellen) und der Managementinfrastruktur für unbemannte Fahrzeuge als Ökosystem von </w:t>
            </w:r>
          </w:p>
          <w:p w14:paraId="67654108" w14:textId="77777777" w:rsidR="00EB245A" w:rsidRDefault="006021EE">
            <w:pPr>
              <w:pStyle w:val="P68B1DB1-Normal46"/>
              <w:spacing w:line="259" w:lineRule="auto"/>
              <w:rPr>
                <w:rFonts w:cs="Times New Roman"/>
                <w:noProof/>
              </w:rPr>
            </w:pPr>
            <w:r>
              <w:rPr>
                <w:noProof/>
              </w:rPr>
              <w:t xml:space="preserve">Innovation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27CB489" w14:textId="77777777"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526C36F" w14:textId="77777777" w:rsidR="00EB245A" w:rsidRDefault="006021EE">
            <w:pPr>
              <w:pStyle w:val="P68B1DB1-Normal46"/>
              <w:spacing w:line="259" w:lineRule="auto"/>
              <w:rPr>
                <w:rFonts w:cs="Times New Roman"/>
                <w:noProof/>
              </w:rPr>
            </w:pPr>
            <w:r>
              <w:rPr>
                <w:noProof/>
              </w:rPr>
              <w:t>T1 – Lokale Ze</w:t>
            </w:r>
            <w:r>
              <w:rPr>
                <w:noProof/>
              </w:rPr>
              <w:t xml:space="preserve">ntren und Infrastrukturen für unbemannte Fahrzeuge, die von lokalen Gebietskörperschaften oder benannten Stellen für den lokalen Betrieb fertiggestellt wurden </w:t>
            </w:r>
          </w:p>
        </w:tc>
      </w:tr>
      <w:tr w:rsidR="00EB245A" w14:paraId="65042A78" w14:textId="77777777">
        <w:trPr>
          <w:trHeight w:val="1985"/>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4CEA90E" w14:textId="079495EC" w:rsidR="00EB245A" w:rsidRDefault="006021EE">
            <w:pPr>
              <w:pStyle w:val="P68B1DB1-Normal46"/>
              <w:spacing w:line="259" w:lineRule="auto"/>
              <w:ind w:right="41"/>
              <w:jc w:val="center"/>
              <w:rPr>
                <w:rFonts w:cs="Times New Roman"/>
                <w:noProof/>
              </w:rPr>
            </w:pPr>
            <w:r>
              <w:rPr>
                <w:noProof/>
              </w:rPr>
              <w:t xml:space="preserve">A40G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7382859" w14:textId="6A484444" w:rsidR="00EB245A" w:rsidRDefault="006021EE">
            <w:pPr>
              <w:pStyle w:val="P68B1DB1-Normal46"/>
              <w:spacing w:after="1" w:line="237" w:lineRule="auto"/>
              <w:rPr>
                <w:rFonts w:cs="Times New Roman"/>
                <w:noProof/>
              </w:rPr>
            </w:pPr>
            <w:r>
              <w:rPr>
                <w:noProof/>
              </w:rPr>
              <w:t xml:space="preserve">A2.4.1 Investitionen in die Entwicklung von Forschungskapazitäten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070A2E5" w14:textId="716FD41E"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A2986EB" w14:textId="77777777" w:rsidR="00EB245A" w:rsidRDefault="006021EE">
            <w:pPr>
              <w:pStyle w:val="P68B1DB1-Normal46"/>
              <w:spacing w:after="2" w:line="237" w:lineRule="auto"/>
              <w:rPr>
                <w:rFonts w:cs="Times New Roman"/>
                <w:noProof/>
              </w:rPr>
            </w:pPr>
            <w:r>
              <w:rPr>
                <w:noProof/>
              </w:rPr>
              <w:t xml:space="preserve">Laboratorien mit moderner Forschungs- und Analyseinfrastruktur in Einrichtungen, die dem Ministerium für Bildung und Wissenschaft unterstehen und/oder diesem unterstellt sind, und </w:t>
            </w:r>
          </w:p>
          <w:p w14:paraId="5629E7AC" w14:textId="77777777" w:rsidR="00EB245A" w:rsidRDefault="006021EE">
            <w:pPr>
              <w:pStyle w:val="P68B1DB1-Normal46"/>
              <w:spacing w:line="259" w:lineRule="auto"/>
              <w:rPr>
                <w:rFonts w:cs="Times New Roman"/>
                <w:noProof/>
              </w:rPr>
            </w:pPr>
            <w:r>
              <w:rPr>
                <w:noProof/>
              </w:rPr>
              <w:t xml:space="preserve">Ministerium für Landwirtschaft und ländliche Entwicklung </w:t>
            </w:r>
          </w:p>
          <w:p w14:paraId="4C25E662" w14:textId="20A98675" w:rsidR="00EB245A" w:rsidRDefault="006021EE">
            <w:pPr>
              <w:pStyle w:val="P68B1DB1-Normal46"/>
              <w:spacing w:line="259" w:lineRule="auto"/>
              <w:rPr>
                <w:rFonts w:cs="Times New Roman"/>
                <w:noProof/>
              </w:rPr>
            </w:pPr>
            <w:r>
              <w:rPr>
                <w:noProof/>
              </w:rPr>
              <w:t xml:space="preserve">Entwicklung </w:t>
            </w:r>
          </w:p>
        </w:tc>
      </w:tr>
      <w:tr w:rsidR="00EB245A" w14:paraId="1E10E177" w14:textId="77777777">
        <w:trPr>
          <w:trHeight w:val="1228"/>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E93E19A" w14:textId="77777777" w:rsidR="00EB245A" w:rsidRDefault="006021EE">
            <w:pPr>
              <w:pStyle w:val="P68B1DB1-Normal46"/>
              <w:spacing w:line="259" w:lineRule="auto"/>
              <w:ind w:right="41"/>
              <w:jc w:val="center"/>
              <w:rPr>
                <w:rFonts w:cs="Times New Roman"/>
                <w:noProof/>
              </w:rPr>
            </w:pPr>
            <w:r>
              <w:rPr>
                <w:noProof/>
              </w:rPr>
              <w:t>A48</w:t>
            </w:r>
            <w:r>
              <w:rPr>
                <w:noProof/>
              </w:rPr>
              <w:t xml:space="preserve">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A42C1B7" w14:textId="77777777" w:rsidR="00EB245A" w:rsidRDefault="006021EE">
            <w:pPr>
              <w:pStyle w:val="P68B1DB1-Normal46"/>
              <w:spacing w:line="259" w:lineRule="auto"/>
              <w:rPr>
                <w:rFonts w:cs="Times New Roman"/>
                <w:noProof/>
              </w:rPr>
            </w:pPr>
            <w:r>
              <w:rPr>
                <w:noProof/>
              </w:rPr>
              <w:t xml:space="preserve">A3.1.1 Investitionen in moderne Berufsbildung, Hochschulbildung und lebenslanges Lernen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E0E4B32" w14:textId="77777777"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5677C1A" w14:textId="77777777" w:rsidR="00EB245A" w:rsidRDefault="006021EE">
            <w:pPr>
              <w:pStyle w:val="P68B1DB1-Normal46"/>
              <w:spacing w:line="259" w:lineRule="auto"/>
              <w:rPr>
                <w:rFonts w:cs="Times New Roman"/>
                <w:noProof/>
              </w:rPr>
            </w:pPr>
            <w:r>
              <w:rPr>
                <w:noProof/>
              </w:rPr>
              <w:t xml:space="preserve">T3 – Vermittlung von Kompetenzen für Lernende in den sektoralen Kompetenzzentren, einschließlich Zertifizierung von Lernergebnissen (Fähigkeiten), ausgestellt und vom Sektor anerkannt </w:t>
            </w:r>
          </w:p>
        </w:tc>
      </w:tr>
      <w:tr w:rsidR="00EB245A" w14:paraId="68E3B31F" w14:textId="77777777">
        <w:trPr>
          <w:trHeight w:val="1228"/>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A39F49A" w14:textId="7A67A396" w:rsidR="00EB245A" w:rsidRDefault="006021EE">
            <w:pPr>
              <w:pStyle w:val="P68B1DB1-Normal46"/>
              <w:spacing w:line="259" w:lineRule="auto"/>
              <w:ind w:right="41"/>
              <w:jc w:val="center"/>
              <w:rPr>
                <w:rFonts w:cs="Times New Roman"/>
                <w:noProof/>
              </w:rPr>
            </w:pPr>
            <w:r>
              <w:rPr>
                <w:noProof/>
              </w:rPr>
              <w:t xml:space="preserve">A55G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C6976A9" w14:textId="74FBA5EE" w:rsidR="00EB245A" w:rsidRDefault="006021EE">
            <w:pPr>
              <w:pStyle w:val="P68B1DB1-Normal46"/>
              <w:spacing w:line="259" w:lineRule="auto"/>
              <w:rPr>
                <w:rFonts w:cs="Times New Roman"/>
                <w:noProof/>
              </w:rPr>
            </w:pPr>
            <w:r>
              <w:rPr>
                <w:noProof/>
              </w:rPr>
              <w:t>A4.1.1 Investitionen zur Unterstützung der Reform der Arbeitsmar</w:t>
            </w:r>
            <w:r>
              <w:rPr>
                <w:noProof/>
              </w:rPr>
              <w:t xml:space="preserve">ktinstitutionen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4FA0C82" w14:textId="75197FC9"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7BEAC44" w14:textId="6E484A9C" w:rsidR="00EB245A" w:rsidRDefault="006021EE">
            <w:pPr>
              <w:pStyle w:val="P68B1DB1-Normal46"/>
              <w:spacing w:line="259" w:lineRule="auto"/>
              <w:rPr>
                <w:rFonts w:cs="Times New Roman"/>
                <w:noProof/>
              </w:rPr>
            </w:pPr>
            <w:r>
              <w:rPr>
                <w:noProof/>
              </w:rPr>
              <w:t xml:space="preserve">Öffentliche Arbeitsverwaltung (ÖAV), in der modernisierte IT-Systeme eingeführt werden sollen </w:t>
            </w:r>
          </w:p>
        </w:tc>
      </w:tr>
      <w:tr w:rsidR="00EB245A" w14:paraId="41F278E3" w14:textId="77777777">
        <w:trPr>
          <w:trHeight w:val="1228"/>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802D4DB" w14:textId="666347F8" w:rsidR="00EB245A" w:rsidRDefault="006021EE">
            <w:pPr>
              <w:pStyle w:val="P68B1DB1-Normal46"/>
              <w:spacing w:line="259" w:lineRule="auto"/>
              <w:ind w:right="41"/>
              <w:jc w:val="center"/>
              <w:rPr>
                <w:rFonts w:cs="Times New Roman"/>
                <w:noProof/>
              </w:rPr>
            </w:pPr>
            <w:r>
              <w:rPr>
                <w:noProof/>
              </w:rPr>
              <w:t xml:space="preserve">A56G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FAC8C08" w14:textId="09CCD455" w:rsidR="00EB245A" w:rsidRDefault="006021EE">
            <w:pPr>
              <w:pStyle w:val="P68B1DB1-Normal46"/>
              <w:spacing w:line="259" w:lineRule="auto"/>
              <w:rPr>
                <w:rFonts w:cs="Times New Roman"/>
                <w:noProof/>
              </w:rPr>
            </w:pPr>
            <w:r>
              <w:rPr>
                <w:noProof/>
              </w:rPr>
              <w:t xml:space="preserve">A4.1.1 Investitionen zur Unterstützung der Reform der Arbeitsmarktinstitutionen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984EAC4" w14:textId="11FA6F30"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B2F5591" w14:textId="4F8841A7" w:rsidR="00EB245A" w:rsidRDefault="006021EE">
            <w:pPr>
              <w:pStyle w:val="P68B1DB1-Normal46"/>
              <w:spacing w:line="259" w:lineRule="auto"/>
              <w:rPr>
                <w:rFonts w:cs="Times New Roman"/>
                <w:noProof/>
              </w:rPr>
            </w:pPr>
            <w:r>
              <w:rPr>
                <w:noProof/>
              </w:rPr>
              <w:t>Mitarbeiter der öffentlichen Arbeitsverwaltu</w:t>
            </w:r>
            <w:r>
              <w:rPr>
                <w:noProof/>
              </w:rPr>
              <w:t>ng (ÖAV) geschult in der Anwendung neuer Verfahren und der Nutzung von IT-Tools, die infolge der neuen Gesetze über öffentliche Arbeitsverwaltungen, über die Beschäftigung von Drittstaatsangehörigen und über den elektronischen Abschluss von Arbeitsverträge</w:t>
            </w:r>
            <w:r>
              <w:rPr>
                <w:noProof/>
              </w:rPr>
              <w:t xml:space="preserve">n durch bestimmte Arbeitgeber eingeführt wurden </w:t>
            </w:r>
          </w:p>
        </w:tc>
      </w:tr>
      <w:tr w:rsidR="00EB245A" w14:paraId="1E0D6E9B" w14:textId="77777777">
        <w:trPr>
          <w:trHeight w:val="1228"/>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8A65AFD" w14:textId="77777777" w:rsidR="00EB245A" w:rsidRDefault="006021EE">
            <w:pPr>
              <w:pStyle w:val="P68B1DB1-Normal46"/>
              <w:spacing w:line="259" w:lineRule="auto"/>
              <w:ind w:right="41"/>
              <w:jc w:val="center"/>
              <w:rPr>
                <w:rFonts w:cs="Times New Roman"/>
                <w:noProof/>
              </w:rPr>
            </w:pPr>
            <w:r>
              <w:rPr>
                <w:noProof/>
              </w:rPr>
              <w:t xml:space="preserve">A61G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0FD5DB2" w14:textId="77777777" w:rsidR="00EB245A" w:rsidRDefault="006021EE">
            <w:pPr>
              <w:pStyle w:val="P68B1DB1-Normal46"/>
              <w:spacing w:after="2" w:line="236" w:lineRule="auto"/>
              <w:rPr>
                <w:rFonts w:cs="Times New Roman"/>
                <w:noProof/>
              </w:rPr>
            </w:pPr>
            <w:r>
              <w:rPr>
                <w:noProof/>
              </w:rPr>
              <w:t xml:space="preserve">A4.2.1 Unterstützung für Kinderbetreuungseinrichtungen für Kinder bis zu drei Jahren </w:t>
            </w:r>
          </w:p>
          <w:p w14:paraId="430061F0" w14:textId="77777777" w:rsidR="00EB245A" w:rsidRDefault="006021EE">
            <w:pPr>
              <w:pStyle w:val="P68B1DB1-Normal46"/>
              <w:spacing w:line="259" w:lineRule="auto"/>
              <w:rPr>
                <w:rFonts w:cs="Times New Roman"/>
                <w:noProof/>
              </w:rPr>
            </w:pPr>
            <w:r>
              <w:rPr>
                <w:noProof/>
              </w:rPr>
              <w:t xml:space="preserve">(Kinderkrippen, Kinderclubs) </w:t>
            </w:r>
          </w:p>
          <w:p w14:paraId="00B9F9CD" w14:textId="77777777" w:rsidR="00EB245A" w:rsidRDefault="006021EE">
            <w:pPr>
              <w:pStyle w:val="P68B1DB1-Normal46"/>
              <w:spacing w:line="259" w:lineRule="auto"/>
              <w:rPr>
                <w:rFonts w:cs="Times New Roman"/>
                <w:noProof/>
              </w:rPr>
            </w:pPr>
            <w:r>
              <w:rPr>
                <w:noProof/>
              </w:rPr>
              <w:t xml:space="preserve">Maluch+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9B0D721" w14:textId="77777777"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03A0CE5" w14:textId="77777777" w:rsidR="00EB245A" w:rsidRDefault="006021EE">
            <w:pPr>
              <w:pStyle w:val="P68B1DB1-Normal46"/>
              <w:spacing w:line="259" w:lineRule="auto"/>
              <w:rPr>
                <w:rFonts w:cs="Times New Roman"/>
                <w:noProof/>
              </w:rPr>
            </w:pPr>
            <w:r>
              <w:rPr>
                <w:noProof/>
              </w:rPr>
              <w:t xml:space="preserve">Schaffung neuer Plätze in Kinderbetreuungseinrichtungen (Kinderkrippen, Kinderclubs) für Kinder bis zu drei Jahren </w:t>
            </w:r>
          </w:p>
        </w:tc>
      </w:tr>
      <w:tr w:rsidR="00EB245A" w14:paraId="3C42A3FD" w14:textId="77777777">
        <w:trPr>
          <w:trHeight w:val="720"/>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458F9BE" w14:textId="77777777" w:rsidR="00EB245A" w:rsidRDefault="006021EE">
            <w:pPr>
              <w:pStyle w:val="P68B1DB1-Normal46"/>
              <w:spacing w:line="259" w:lineRule="auto"/>
              <w:ind w:right="43"/>
              <w:jc w:val="center"/>
              <w:rPr>
                <w:rFonts w:cs="Times New Roman"/>
                <w:noProof/>
              </w:rPr>
            </w:pPr>
            <w:r>
              <w:rPr>
                <w:noProof/>
              </w:rPr>
              <w:t xml:space="preserve">B7G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471A1CC" w14:textId="77777777" w:rsidR="00EB245A" w:rsidRDefault="006021EE">
            <w:pPr>
              <w:pStyle w:val="P68B1DB1-Normal46"/>
              <w:spacing w:line="259" w:lineRule="auto"/>
              <w:rPr>
                <w:rFonts w:cs="Times New Roman"/>
                <w:noProof/>
              </w:rPr>
            </w:pPr>
            <w:r>
              <w:rPr>
                <w:noProof/>
              </w:rPr>
              <w:t xml:space="preserve">B1.1.1 Investitionen in Fernwärmequellen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658FCA7" w14:textId="77777777"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EE181F0" w14:textId="77777777" w:rsidR="00EB245A" w:rsidRDefault="006021EE">
            <w:pPr>
              <w:pStyle w:val="P68B1DB1-Normal46"/>
              <w:spacing w:line="259" w:lineRule="auto"/>
              <w:rPr>
                <w:rFonts w:cs="Times New Roman"/>
                <w:noProof/>
              </w:rPr>
            </w:pPr>
            <w:r>
              <w:rPr>
                <w:noProof/>
              </w:rPr>
              <w:t xml:space="preserve">T2 – Wärmequellen in Fernwärmesystemen </w:t>
            </w:r>
          </w:p>
        </w:tc>
      </w:tr>
      <w:tr w:rsidR="00EB245A" w14:paraId="491F3006" w14:textId="77777777">
        <w:trPr>
          <w:trHeight w:val="975"/>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399E58B" w14:textId="77777777" w:rsidR="00EB245A" w:rsidRDefault="006021EE">
            <w:pPr>
              <w:pStyle w:val="P68B1DB1-Normal46"/>
              <w:spacing w:line="259" w:lineRule="auto"/>
              <w:ind w:right="43"/>
              <w:jc w:val="center"/>
              <w:rPr>
                <w:rFonts w:cs="Times New Roman"/>
                <w:noProof/>
              </w:rPr>
            </w:pPr>
            <w:r>
              <w:rPr>
                <w:noProof/>
              </w:rPr>
              <w:t xml:space="preserve">B9G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207EE06" w14:textId="28931C91" w:rsidR="00EB245A" w:rsidRDefault="006021EE">
            <w:pPr>
              <w:pStyle w:val="P68B1DB1-Normal46"/>
              <w:spacing w:line="259" w:lineRule="auto"/>
              <w:rPr>
                <w:rFonts w:cs="Times New Roman"/>
                <w:noProof/>
              </w:rPr>
            </w:pPr>
            <w:r>
              <w:rPr>
                <w:noProof/>
              </w:rPr>
              <w:t xml:space="preserve">B1.1.2 Austausch von Wärmequellen und Verbesserung der Energieeffizienz in Einfamilienhäusern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5431E91" w14:textId="77777777"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AF877F8" w14:textId="77777777" w:rsidR="00EB245A" w:rsidRDefault="006021EE">
            <w:pPr>
              <w:pStyle w:val="P68B1DB1-Normal46"/>
              <w:spacing w:line="259" w:lineRule="auto"/>
              <w:rPr>
                <w:rFonts w:cs="Times New Roman"/>
                <w:noProof/>
              </w:rPr>
            </w:pPr>
            <w:r>
              <w:rPr>
                <w:noProof/>
              </w:rPr>
              <w:t xml:space="preserve">T2 – Austausch von Wärmequellen in Einfamiliengebäuden </w:t>
            </w:r>
          </w:p>
        </w:tc>
      </w:tr>
      <w:tr w:rsidR="00EB245A" w14:paraId="2F74B9E3"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C82223B" w14:textId="77777777" w:rsidR="00EB245A" w:rsidRDefault="006021EE">
            <w:pPr>
              <w:pStyle w:val="P68B1DB1-Normal46"/>
              <w:spacing w:line="259" w:lineRule="auto"/>
              <w:ind w:right="43"/>
              <w:jc w:val="center"/>
              <w:rPr>
                <w:rFonts w:cs="Times New Roman"/>
                <w:noProof/>
              </w:rPr>
            </w:pPr>
            <w:r>
              <w:rPr>
                <w:noProof/>
              </w:rPr>
              <w:t xml:space="preserve">B11G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7681949" w14:textId="434FFBFD" w:rsidR="00EB245A" w:rsidRDefault="006021EE">
            <w:pPr>
              <w:pStyle w:val="P68B1DB1-Normal46"/>
              <w:spacing w:line="259" w:lineRule="auto"/>
              <w:rPr>
                <w:rFonts w:cs="Times New Roman"/>
                <w:noProof/>
              </w:rPr>
            </w:pPr>
            <w:r>
              <w:rPr>
                <w:noProof/>
              </w:rPr>
              <w:t xml:space="preserve">B1.1.2 Austausch von Wärmequellen und Verbesserung der Energieeffizienz in Einfamilienhäusern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F9ED5EB" w14:textId="77777777"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B816E63" w14:textId="34A0E67E" w:rsidR="00EB245A" w:rsidRDefault="006021EE">
            <w:pPr>
              <w:pStyle w:val="P68B1DB1-Normal46"/>
              <w:spacing w:line="259" w:lineRule="auto"/>
              <w:rPr>
                <w:rFonts w:cs="Times New Roman"/>
                <w:noProof/>
              </w:rPr>
            </w:pPr>
            <w:r>
              <w:rPr>
                <w:noProof/>
              </w:rPr>
              <w:t xml:space="preserve">T2 – Thermomodernisierung und Installation erneuerbarer Energiequellen in Einfamilienhäusern  </w:t>
            </w:r>
          </w:p>
        </w:tc>
      </w:tr>
      <w:tr w:rsidR="00EB245A" w14:paraId="031405AB"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C0BFEED" w14:textId="77777777" w:rsidR="00EB245A" w:rsidRDefault="006021EE">
            <w:pPr>
              <w:pStyle w:val="P68B1DB1-Normal46"/>
              <w:spacing w:line="259" w:lineRule="auto"/>
              <w:ind w:right="43"/>
              <w:jc w:val="center"/>
              <w:rPr>
                <w:rFonts w:cs="Times New Roman"/>
                <w:noProof/>
              </w:rPr>
            </w:pPr>
            <w:r>
              <w:rPr>
                <w:noProof/>
              </w:rPr>
              <w:t xml:space="preserve">B12G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33F8C2F" w14:textId="77777777" w:rsidR="00EB245A" w:rsidRDefault="006021EE">
            <w:pPr>
              <w:pStyle w:val="P68B1DB1-Normal46"/>
              <w:spacing w:line="259" w:lineRule="auto"/>
              <w:rPr>
                <w:rFonts w:cs="Times New Roman"/>
                <w:noProof/>
              </w:rPr>
            </w:pPr>
            <w:r>
              <w:rPr>
                <w:noProof/>
              </w:rPr>
              <w:t xml:space="preserve">B1.1.3 Thermalmodernisierung von Schulen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7F1C8DC" w14:textId="77777777"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1B354F9" w14:textId="77777777" w:rsidR="00EB245A" w:rsidRDefault="006021EE">
            <w:pPr>
              <w:pStyle w:val="P68B1DB1-Normal46"/>
              <w:spacing w:after="4" w:line="238" w:lineRule="auto"/>
              <w:rPr>
                <w:rFonts w:cs="Times New Roman"/>
                <w:noProof/>
              </w:rPr>
            </w:pPr>
            <w:r>
              <w:rPr>
                <w:noProof/>
              </w:rPr>
              <w:t xml:space="preserve">Modernisierte oder ausgetauschte Wärmequellen, die die DNSH-Anforderungen in Gebäuden von Bildungseinrichtungen erfüllen </w:t>
            </w:r>
          </w:p>
          <w:p w14:paraId="47CF9F03" w14:textId="77777777" w:rsidR="00EB245A" w:rsidRDefault="006021EE">
            <w:pPr>
              <w:pStyle w:val="P68B1DB1-Normal46"/>
              <w:spacing w:line="259" w:lineRule="auto"/>
              <w:rPr>
                <w:rFonts w:cs="Times New Roman"/>
                <w:noProof/>
              </w:rPr>
            </w:pPr>
            <w:r>
              <w:rPr>
                <w:noProof/>
              </w:rPr>
              <w:t xml:space="preserve">(im Rahmen unterzeichneter Verträge) </w:t>
            </w:r>
          </w:p>
        </w:tc>
      </w:tr>
      <w:tr w:rsidR="00EB245A" w14:paraId="298F4087"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9A69212" w14:textId="58CA5DC1" w:rsidR="00EB245A" w:rsidRDefault="006021EE">
            <w:pPr>
              <w:pStyle w:val="P68B1DB1-Normal46"/>
              <w:spacing w:line="259" w:lineRule="auto"/>
              <w:ind w:right="43"/>
              <w:jc w:val="center"/>
              <w:rPr>
                <w:rFonts w:cs="Times New Roman"/>
                <w:noProof/>
              </w:rPr>
            </w:pPr>
            <w:r>
              <w:rPr>
                <w:noProof/>
              </w:rPr>
              <w:t xml:space="preserve">B13G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63EACEF" w14:textId="667BA607" w:rsidR="00EB245A" w:rsidRDefault="006021EE">
            <w:pPr>
              <w:pStyle w:val="P68B1DB1-Normal46"/>
              <w:spacing w:line="259" w:lineRule="auto"/>
              <w:rPr>
                <w:rFonts w:cs="Times New Roman"/>
                <w:noProof/>
              </w:rPr>
            </w:pPr>
            <w:r>
              <w:rPr>
                <w:noProof/>
              </w:rPr>
              <w:t xml:space="preserve">B1.1.3 Thermalmodernisierung von Schulen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D7D11FC" w14:textId="309D507B"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227BD1F" w14:textId="1E2554C7" w:rsidR="00EB245A" w:rsidRDefault="006021EE">
            <w:pPr>
              <w:pStyle w:val="P68B1DB1-Normal46"/>
              <w:spacing w:after="4" w:line="238" w:lineRule="auto"/>
              <w:rPr>
                <w:rFonts w:cs="Times New Roman"/>
                <w:noProof/>
              </w:rPr>
            </w:pPr>
            <w:r>
              <w:rPr>
                <w:noProof/>
              </w:rPr>
              <w:t xml:space="preserve">Thermomodernisierte Gebäude von Bildungseinrichtungen (mit unterzeichneten Verträgen) </w:t>
            </w:r>
          </w:p>
        </w:tc>
      </w:tr>
      <w:tr w:rsidR="00EB245A" w14:paraId="1A3E2E56"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00C3FBD" w14:textId="5E84697D" w:rsidR="00EB245A" w:rsidRDefault="006021EE">
            <w:pPr>
              <w:pStyle w:val="P68B1DB1-Normal46"/>
              <w:spacing w:line="259" w:lineRule="auto"/>
              <w:ind w:right="43"/>
              <w:jc w:val="center"/>
              <w:rPr>
                <w:rFonts w:cs="Times New Roman"/>
                <w:noProof/>
              </w:rPr>
            </w:pPr>
            <w:r>
              <w:rPr>
                <w:noProof/>
              </w:rPr>
              <w:t xml:space="preserve">B14G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0F6059C" w14:textId="18CFCEDB" w:rsidR="00EB245A" w:rsidRDefault="006021EE">
            <w:pPr>
              <w:pStyle w:val="P68B1DB1-Normal46"/>
              <w:spacing w:line="259" w:lineRule="auto"/>
              <w:rPr>
                <w:rFonts w:cs="Times New Roman"/>
                <w:noProof/>
              </w:rPr>
            </w:pPr>
            <w:r>
              <w:rPr>
                <w:noProof/>
              </w:rPr>
              <w:t xml:space="preserve">B1.1.4 Verbesserung der Energieeffizienz lokaler Einrichtungen für soziale Aktivitäten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942043E" w14:textId="773F775B"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4A99ECF" w14:textId="58D2C90E" w:rsidR="00EB245A" w:rsidRDefault="006021EE">
            <w:pPr>
              <w:pStyle w:val="P68B1DB1-Normal46"/>
              <w:spacing w:after="4" w:line="238" w:lineRule="auto"/>
              <w:rPr>
                <w:rFonts w:cs="Times New Roman"/>
                <w:noProof/>
              </w:rPr>
            </w:pPr>
            <w:r>
              <w:rPr>
                <w:noProof/>
              </w:rPr>
              <w:t>Einrichtungen für soziale Aktivitäten mit Ersatz ineffizienter Festb</w:t>
            </w:r>
            <w:r>
              <w:rPr>
                <w:noProof/>
              </w:rPr>
              <w:t xml:space="preserve">rennstoff-Wärmequellen in moderne Wärmequellen, die die DNSH-Anforderungen erfüllen </w:t>
            </w:r>
          </w:p>
        </w:tc>
      </w:tr>
      <w:tr w:rsidR="00EB245A" w14:paraId="1639B321"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F4DD674" w14:textId="3E99ABA4" w:rsidR="00EB245A" w:rsidRDefault="006021EE">
            <w:pPr>
              <w:pStyle w:val="P68B1DB1-Normal46"/>
              <w:spacing w:line="259" w:lineRule="auto"/>
              <w:ind w:right="43"/>
              <w:jc w:val="center"/>
              <w:rPr>
                <w:rFonts w:cs="Times New Roman"/>
                <w:noProof/>
              </w:rPr>
            </w:pPr>
            <w:r>
              <w:rPr>
                <w:noProof/>
              </w:rPr>
              <w:t xml:space="preserve">B15G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8290AD6" w14:textId="285A8454" w:rsidR="00EB245A" w:rsidRDefault="006021EE">
            <w:pPr>
              <w:pStyle w:val="P68B1DB1-Normal46"/>
              <w:spacing w:line="259" w:lineRule="auto"/>
              <w:rPr>
                <w:rFonts w:cs="Times New Roman"/>
                <w:noProof/>
              </w:rPr>
            </w:pPr>
            <w:r>
              <w:rPr>
                <w:noProof/>
              </w:rPr>
              <w:t xml:space="preserve">B1.1.4 Verbesserung der Energieeffizienz lokaler Einrichtungen für soziale Aktivitäten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991A6C3" w14:textId="33934483"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3B73359" w14:textId="33B81FB2" w:rsidR="00EB245A" w:rsidRDefault="006021EE">
            <w:pPr>
              <w:pStyle w:val="P68B1DB1-Normal46"/>
              <w:spacing w:after="4" w:line="238" w:lineRule="auto"/>
              <w:rPr>
                <w:rFonts w:cs="Times New Roman"/>
                <w:noProof/>
              </w:rPr>
            </w:pPr>
            <w:r>
              <w:rPr>
                <w:noProof/>
              </w:rPr>
              <w:t xml:space="preserve">Thermomodernisierte Einrichtungen sozialer Aktivität </w:t>
            </w:r>
          </w:p>
        </w:tc>
      </w:tr>
      <w:tr w:rsidR="00EB245A" w14:paraId="128837C6"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89B833B" w14:textId="0ED054B7" w:rsidR="00EB245A" w:rsidRDefault="006021EE">
            <w:pPr>
              <w:pStyle w:val="P68B1DB1-Normal46"/>
              <w:spacing w:line="259" w:lineRule="auto"/>
              <w:ind w:right="43"/>
              <w:jc w:val="center"/>
              <w:rPr>
                <w:rFonts w:cs="Times New Roman"/>
                <w:noProof/>
              </w:rPr>
            </w:pPr>
            <w:r>
              <w:rPr>
                <w:noProof/>
              </w:rPr>
              <w:t xml:space="preserve">B19G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1063D7C" w14:textId="694EA348" w:rsidR="00EB245A" w:rsidRDefault="006021EE">
            <w:pPr>
              <w:pStyle w:val="P68B1DB1-Normal46"/>
              <w:spacing w:line="259" w:lineRule="auto"/>
              <w:rPr>
                <w:rFonts w:cs="Times New Roman"/>
                <w:noProof/>
              </w:rPr>
            </w:pPr>
            <w:r>
              <w:rPr>
                <w:noProof/>
              </w:rPr>
              <w:t xml:space="preserve">B2.1.1 Investitionen in Wasserstoff, Wasserstoffherstellung, -speicherung und -transport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77189BA" w14:textId="08DAE0D8"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9BD6995" w14:textId="4FF07038" w:rsidR="00EB245A" w:rsidRDefault="006021EE">
            <w:pPr>
              <w:pStyle w:val="P68B1DB1-Normal46"/>
              <w:spacing w:after="4" w:line="238" w:lineRule="auto"/>
              <w:rPr>
                <w:rFonts w:cs="Times New Roman"/>
                <w:noProof/>
              </w:rPr>
            </w:pPr>
            <w:r>
              <w:rPr>
                <w:noProof/>
              </w:rPr>
              <w:t xml:space="preserve">Inbetriebnahme von Wasserstofftankstellen </w:t>
            </w:r>
          </w:p>
        </w:tc>
      </w:tr>
      <w:tr w:rsidR="00EB245A" w14:paraId="46BA8BD0"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5F20711" w14:textId="7D927E1B" w:rsidR="00EB245A" w:rsidRDefault="006021EE">
            <w:pPr>
              <w:pStyle w:val="P68B1DB1-Normal46"/>
              <w:spacing w:line="259" w:lineRule="auto"/>
              <w:ind w:right="43"/>
              <w:jc w:val="center"/>
              <w:rPr>
                <w:rFonts w:cs="Times New Roman"/>
                <w:noProof/>
              </w:rPr>
            </w:pPr>
            <w:r>
              <w:rPr>
                <w:noProof/>
              </w:rPr>
              <w:t xml:space="preserve">B20G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105EF37" w14:textId="77FCBFF3" w:rsidR="00EB245A" w:rsidRDefault="006021EE">
            <w:pPr>
              <w:pStyle w:val="P68B1DB1-Normal46"/>
              <w:spacing w:line="259" w:lineRule="auto"/>
              <w:rPr>
                <w:rFonts w:cs="Times New Roman"/>
                <w:noProof/>
              </w:rPr>
            </w:pPr>
            <w:r>
              <w:rPr>
                <w:noProof/>
              </w:rPr>
              <w:t xml:space="preserve">B2.1.1 Investitionen in Wasserstoff, Wasserstoffherstellung, -speicherung und -transport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BB6FB3B" w14:textId="365CCE14"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5D0CFA3" w14:textId="215AB866" w:rsidR="00EB245A" w:rsidRDefault="006021EE">
            <w:pPr>
              <w:pStyle w:val="P68B1DB1-Normal46"/>
              <w:spacing w:after="4" w:line="238" w:lineRule="auto"/>
              <w:rPr>
                <w:rFonts w:cs="Times New Roman"/>
                <w:noProof/>
              </w:rPr>
            </w:pPr>
            <w:r>
              <w:rPr>
                <w:noProof/>
              </w:rPr>
              <w:t xml:space="preserve">Forschungs- und Innovationsprojekte zu innovativen wasserstoffbetriebenen Transporteinheiten </w:t>
            </w:r>
          </w:p>
        </w:tc>
      </w:tr>
      <w:tr w:rsidR="00EB245A" w14:paraId="0B3DE7D0"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7CA4D66" w14:textId="60F2DAAC" w:rsidR="00EB245A" w:rsidRDefault="006021EE">
            <w:pPr>
              <w:pStyle w:val="P68B1DB1-Normal46"/>
              <w:spacing w:line="259" w:lineRule="auto"/>
              <w:ind w:right="43"/>
              <w:jc w:val="center"/>
              <w:rPr>
                <w:rFonts w:cs="Times New Roman"/>
                <w:noProof/>
              </w:rPr>
            </w:pPr>
            <w:r>
              <w:rPr>
                <w:noProof/>
              </w:rPr>
              <w:t xml:space="preserve">B21dG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7082509" w14:textId="5FBBD698" w:rsidR="00EB245A" w:rsidRDefault="006021EE">
            <w:pPr>
              <w:pStyle w:val="P68B1DB1-Normal46"/>
              <w:spacing w:line="259" w:lineRule="auto"/>
              <w:rPr>
                <w:rFonts w:cs="Times New Roman"/>
                <w:noProof/>
              </w:rPr>
            </w:pPr>
            <w:r>
              <w:rPr>
                <w:noProof/>
              </w:rPr>
              <w:t xml:space="preserve">B2.1.1 Investitionen in Wasserstoff, Wasserstoffherstellung, -speicherung und -transport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E81A216" w14:textId="44246474"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E33FB56" w14:textId="432E8ACF" w:rsidR="00EB245A" w:rsidRDefault="006021EE">
            <w:pPr>
              <w:pStyle w:val="P68B1DB1-Normal46"/>
              <w:spacing w:after="4" w:line="238" w:lineRule="auto"/>
              <w:rPr>
                <w:rFonts w:cs="Times New Roman"/>
                <w:noProof/>
              </w:rPr>
            </w:pPr>
            <w:r>
              <w:rPr>
                <w:noProof/>
              </w:rPr>
              <w:t xml:space="preserve">Mit den Endbegünstigten unterzeichnete rechtliche Vereinbarungen  </w:t>
            </w:r>
          </w:p>
        </w:tc>
      </w:tr>
      <w:tr w:rsidR="00EB245A" w14:paraId="096EDDA3"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53D8BD5" w14:textId="7D3973BA" w:rsidR="00EB245A" w:rsidRDefault="006021EE">
            <w:pPr>
              <w:pStyle w:val="P68B1DB1-Normal46"/>
              <w:spacing w:line="259" w:lineRule="auto"/>
              <w:ind w:right="43"/>
              <w:jc w:val="center"/>
              <w:rPr>
                <w:rFonts w:cs="Times New Roman"/>
                <w:noProof/>
              </w:rPr>
            </w:pPr>
            <w:r>
              <w:rPr>
                <w:noProof/>
              </w:rPr>
              <w:t xml:space="preserve">B21eG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52A3D2D" w14:textId="2019ABA5" w:rsidR="00EB245A" w:rsidRDefault="006021EE">
            <w:pPr>
              <w:pStyle w:val="P68B1DB1-Normal46"/>
              <w:spacing w:line="259" w:lineRule="auto"/>
              <w:rPr>
                <w:rFonts w:cs="Times New Roman"/>
                <w:noProof/>
              </w:rPr>
            </w:pPr>
            <w:r>
              <w:rPr>
                <w:noProof/>
              </w:rPr>
              <w:t xml:space="preserve">B2.1.1 Investitionen in Wasserstoff, Wasserstoffherstellung, -speicherung und -transport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079B62C" w14:textId="13DAA333" w:rsidR="00EB245A" w:rsidRDefault="006021EE">
            <w:pPr>
              <w:pStyle w:val="P68B1DB1-Normal46"/>
              <w:spacing w:line="259" w:lineRule="auto"/>
              <w:ind w:right="41"/>
              <w:jc w:val="center"/>
              <w:rPr>
                <w:rFonts w:cs="Times New Roman"/>
                <w:noProof/>
              </w:rPr>
            </w:pPr>
            <w:r>
              <w:rPr>
                <w:noProof/>
              </w:rPr>
              <w:t xml:space="preserve">Meilenstein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84E931F" w14:textId="45B38F3A" w:rsidR="00EB245A" w:rsidRDefault="006021EE">
            <w:pPr>
              <w:pStyle w:val="P68B1DB1-Normal46"/>
              <w:spacing w:after="4" w:line="238" w:lineRule="auto"/>
              <w:rPr>
                <w:rFonts w:cs="Times New Roman"/>
                <w:noProof/>
              </w:rPr>
            </w:pPr>
            <w:r>
              <w:rPr>
                <w:noProof/>
              </w:rPr>
              <w:t xml:space="preserve">Das Ministerium hat die Investition abgeschlossen.  </w:t>
            </w:r>
          </w:p>
        </w:tc>
      </w:tr>
      <w:tr w:rsidR="00EB245A" w14:paraId="6B53D453"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E7CDDCE" w14:textId="0A057615" w:rsidR="00EB245A" w:rsidRDefault="006021EE">
            <w:pPr>
              <w:pStyle w:val="P68B1DB1-Normal46"/>
              <w:spacing w:line="259" w:lineRule="auto"/>
              <w:ind w:right="43"/>
              <w:jc w:val="center"/>
              <w:rPr>
                <w:rFonts w:cs="Times New Roman"/>
                <w:noProof/>
              </w:rPr>
            </w:pPr>
            <w:r>
              <w:rPr>
                <w:noProof/>
              </w:rPr>
              <w:t xml:space="preserve">B37G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755CF8C" w14:textId="0E8FB5E9" w:rsidR="00EB245A" w:rsidRDefault="006021EE">
            <w:pPr>
              <w:pStyle w:val="P68B1DB1-Normal46"/>
              <w:spacing w:line="259" w:lineRule="auto"/>
              <w:rPr>
                <w:rFonts w:cs="Times New Roman"/>
                <w:noProof/>
              </w:rPr>
            </w:pPr>
            <w:r>
              <w:rPr>
                <w:noProof/>
              </w:rPr>
              <w:t xml:space="preserve">B2.2.3 Bau von Offshore-Terminal-Infrastrukturen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2081209" w14:textId="3A425A8D" w:rsidR="00EB245A" w:rsidRDefault="006021EE">
            <w:pPr>
              <w:pStyle w:val="P68B1DB1-Normal46"/>
              <w:spacing w:line="259" w:lineRule="auto"/>
              <w:ind w:right="41"/>
              <w:jc w:val="center"/>
              <w:rPr>
                <w:rFonts w:cs="Times New Roman"/>
                <w:noProof/>
              </w:rPr>
            </w:pPr>
            <w:r>
              <w:rPr>
                <w:noProof/>
              </w:rPr>
              <w:t xml:space="preserve">Meilenstein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AA8DDDA" w14:textId="1BB7414C" w:rsidR="00EB245A" w:rsidRDefault="006021EE">
            <w:pPr>
              <w:pStyle w:val="P68B1DB1-Normal46"/>
              <w:spacing w:after="4" w:line="238" w:lineRule="auto"/>
              <w:rPr>
                <w:rFonts w:cs="Times New Roman"/>
                <w:noProof/>
              </w:rPr>
            </w:pPr>
            <w:r>
              <w:rPr>
                <w:noProof/>
              </w:rPr>
              <w:t xml:space="preserve">Bau eines neuen Terminals für die Installation von Offshore-Windkraftanlagen </w:t>
            </w:r>
          </w:p>
        </w:tc>
      </w:tr>
      <w:tr w:rsidR="00EB245A" w14:paraId="0E52862E"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4C0B8DB" w14:textId="0EF24F7B" w:rsidR="00EB245A" w:rsidRDefault="006021EE">
            <w:pPr>
              <w:pStyle w:val="P68B1DB1-Normal46"/>
              <w:spacing w:line="259" w:lineRule="auto"/>
              <w:ind w:right="43"/>
              <w:jc w:val="center"/>
              <w:rPr>
                <w:rFonts w:cs="Times New Roman"/>
                <w:noProof/>
              </w:rPr>
            </w:pPr>
            <w:r>
              <w:rPr>
                <w:noProof/>
              </w:rPr>
              <w:t xml:space="preserve">B38G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08057A4" w14:textId="00DFE114" w:rsidR="00EB245A" w:rsidRDefault="006021EE">
            <w:pPr>
              <w:pStyle w:val="P68B1DB1-Normal46"/>
              <w:spacing w:line="259" w:lineRule="auto"/>
              <w:rPr>
                <w:rFonts w:cs="Times New Roman"/>
                <w:noProof/>
              </w:rPr>
            </w:pPr>
            <w:r>
              <w:rPr>
                <w:noProof/>
              </w:rPr>
              <w:t xml:space="preserve">B2.2.3 Bau von Offshore-Terminal-Infrastrukturen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6AEFD41" w14:textId="27CA6301"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23675D0" w14:textId="04D144EB" w:rsidR="00EB245A" w:rsidRDefault="006021EE">
            <w:pPr>
              <w:pStyle w:val="P68B1DB1-Normal46"/>
              <w:spacing w:after="4" w:line="238" w:lineRule="auto"/>
              <w:rPr>
                <w:noProof/>
                <w:color w:val="000000" w:themeColor="text1"/>
                <w:sz w:val="18"/>
              </w:rPr>
            </w:pPr>
            <w:r>
              <w:rPr>
                <w:noProof/>
              </w:rPr>
              <w:t xml:space="preserve">Modernisierung/Erweiterung der Anlagen in den Häfen </w:t>
            </w:r>
            <w:r>
              <w:rPr>
                <w:noProof/>
              </w:rPr>
              <w:t>von Łeba, Ustka und Darłowo zur Wartung und Wartung von Offshore-Windanlagen.</w:t>
            </w:r>
          </w:p>
        </w:tc>
      </w:tr>
      <w:tr w:rsidR="00EB245A" w14:paraId="164FA339"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9A22328" w14:textId="4693463B" w:rsidR="00EB245A" w:rsidRDefault="006021EE">
            <w:pPr>
              <w:pStyle w:val="P68B1DB1-Normal46"/>
              <w:spacing w:line="259" w:lineRule="auto"/>
              <w:ind w:right="43"/>
              <w:jc w:val="center"/>
              <w:rPr>
                <w:rFonts w:cs="Times New Roman"/>
                <w:noProof/>
              </w:rPr>
            </w:pPr>
            <w:r>
              <w:rPr>
                <w:noProof/>
              </w:rPr>
              <w:t>B43G</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C2B78BE" w14:textId="07B9DBAD" w:rsidR="00EB245A" w:rsidRDefault="006021EE">
            <w:pPr>
              <w:pStyle w:val="P68B1DB1-Normal46"/>
              <w:spacing w:line="259" w:lineRule="auto"/>
              <w:rPr>
                <w:rFonts w:cs="Times New Roman"/>
                <w:noProof/>
              </w:rPr>
            </w:pPr>
            <w:r>
              <w:rPr>
                <w:noProof/>
              </w:rPr>
              <w:t>B1.1.5 Verbesserung der Energieeffizienz in Wohngebäuden mit mehreren Wohnungen</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AC3E83E" w14:textId="002D2CEE" w:rsidR="00EB245A" w:rsidRDefault="006021EE">
            <w:pPr>
              <w:pStyle w:val="P68B1DB1-Normal46"/>
              <w:spacing w:line="259" w:lineRule="auto"/>
              <w:ind w:right="41"/>
              <w:jc w:val="center"/>
              <w:rPr>
                <w:rFonts w:cs="Times New Roman"/>
                <w:noProof/>
              </w:rPr>
            </w:pPr>
            <w:r>
              <w:rPr>
                <w:noProof/>
              </w:rPr>
              <w:t>Ziel</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8B1567D" w14:textId="602158F6" w:rsidR="00EB245A" w:rsidRDefault="006021EE">
            <w:pPr>
              <w:pStyle w:val="P68B1DB1-Normal46"/>
              <w:spacing w:after="4" w:line="238" w:lineRule="auto"/>
              <w:rPr>
                <w:rFonts w:cs="Times New Roman"/>
                <w:noProof/>
              </w:rPr>
            </w:pPr>
            <w:r>
              <w:rPr>
                <w:noProof/>
              </w:rPr>
              <w:t xml:space="preserve">T2 – Anlagen für erneuerbare Energien und Thermomodernisierungen in Gebäuden mit </w:t>
            </w:r>
            <w:r>
              <w:rPr>
                <w:noProof/>
              </w:rPr>
              <w:t>mehreren Wohnungen</w:t>
            </w:r>
          </w:p>
        </w:tc>
      </w:tr>
      <w:tr w:rsidR="00EB245A" w14:paraId="3E45E7B1"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59EA5D1" w14:textId="7D2F3B4B" w:rsidR="00EB245A" w:rsidRDefault="006021EE">
            <w:pPr>
              <w:pStyle w:val="P68B1DB1-Normal46"/>
              <w:spacing w:line="259" w:lineRule="auto"/>
              <w:ind w:right="43"/>
              <w:jc w:val="center"/>
              <w:rPr>
                <w:rFonts w:cs="Times New Roman"/>
                <w:noProof/>
              </w:rPr>
            </w:pPr>
            <w:r>
              <w:rPr>
                <w:noProof/>
              </w:rPr>
              <w:t xml:space="preserve">C6G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24BFAF9" w14:textId="1802A7A8" w:rsidR="00EB245A" w:rsidRDefault="006021EE">
            <w:pPr>
              <w:pStyle w:val="P68B1DB1-Normal46"/>
              <w:spacing w:line="259" w:lineRule="auto"/>
              <w:rPr>
                <w:rFonts w:cs="Times New Roman"/>
                <w:noProof/>
              </w:rPr>
            </w:pPr>
            <w:r>
              <w:rPr>
                <w:noProof/>
              </w:rPr>
              <w:t xml:space="preserve">C1.1.1 Sicherstellung des Zugangs zum Hochgeschwindigkeits-Internet in weißen Flecken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7E7F734" w14:textId="38E691CD"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9034A14" w14:textId="72485AE4" w:rsidR="00EB245A" w:rsidRDefault="006021EE">
            <w:pPr>
              <w:pStyle w:val="P68B1DB1-Normal46"/>
              <w:spacing w:after="4" w:line="238" w:lineRule="auto"/>
              <w:rPr>
                <w:rFonts w:cs="Times New Roman"/>
                <w:noProof/>
              </w:rPr>
            </w:pPr>
            <w:r>
              <w:rPr>
                <w:noProof/>
              </w:rPr>
              <w:t>T3 – Zusätzliche Haushalte (Wohngebäude) mit Breitband-Internetzugang mit einer Kapazität von mindestens 100 Mb/s (mit der Möglichkeit, ih</w:t>
            </w:r>
            <w:r>
              <w:rPr>
                <w:noProof/>
              </w:rPr>
              <w:t xml:space="preserve">n auf Gigabit-Kapazitäten zu erhöhen) </w:t>
            </w:r>
          </w:p>
        </w:tc>
      </w:tr>
      <w:tr w:rsidR="00EB245A" w14:paraId="04209CFC"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0434312" w14:textId="379898EF" w:rsidR="00EB245A" w:rsidRDefault="006021EE">
            <w:pPr>
              <w:pStyle w:val="P68B1DB1-Normal46"/>
              <w:spacing w:line="259" w:lineRule="auto"/>
              <w:ind w:right="43"/>
              <w:jc w:val="center"/>
              <w:rPr>
                <w:rFonts w:cs="Times New Roman"/>
                <w:noProof/>
              </w:rPr>
            </w:pPr>
            <w:r>
              <w:rPr>
                <w:noProof/>
              </w:rPr>
              <w:t xml:space="preserve">C12G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F70C6C1" w14:textId="16EF882A" w:rsidR="00EB245A" w:rsidRDefault="006021EE">
            <w:pPr>
              <w:pStyle w:val="P68B1DB1-Normal46"/>
              <w:spacing w:line="259" w:lineRule="auto"/>
              <w:rPr>
                <w:rFonts w:cs="Times New Roman"/>
                <w:noProof/>
              </w:rPr>
            </w:pPr>
            <w:r>
              <w:rPr>
                <w:noProof/>
              </w:rPr>
              <w:t xml:space="preserve">C2.1.1 Öffentliche elektronische Dienste, IT-Lösungen zur Verbesserung der Funktionsweise der Wirtschaftszweige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485C350" w14:textId="6B0651B7"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AA2AECE" w14:textId="161476C3" w:rsidR="00EB245A" w:rsidRDefault="006021EE">
            <w:pPr>
              <w:pStyle w:val="P68B1DB1-Normal46"/>
              <w:spacing w:after="4" w:line="238" w:lineRule="auto"/>
              <w:rPr>
                <w:rFonts w:cs="Times New Roman"/>
                <w:noProof/>
              </w:rPr>
            </w:pPr>
            <w:r>
              <w:rPr>
                <w:noProof/>
              </w:rPr>
              <w:t xml:space="preserve">T2 – Fertigstellung neuer elektronischer Dienste oder Modernisierung bestehender Dienste  </w:t>
            </w:r>
          </w:p>
        </w:tc>
      </w:tr>
      <w:tr w:rsidR="00EB245A" w14:paraId="3239DDFE"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F527A23" w14:textId="02BC245C" w:rsidR="00EB245A" w:rsidRDefault="006021EE">
            <w:pPr>
              <w:pStyle w:val="P68B1DB1-Normal46"/>
              <w:spacing w:line="259" w:lineRule="auto"/>
              <w:ind w:right="43"/>
              <w:jc w:val="center"/>
              <w:rPr>
                <w:rFonts w:cs="Times New Roman"/>
                <w:noProof/>
              </w:rPr>
            </w:pPr>
            <w:r>
              <w:rPr>
                <w:noProof/>
              </w:rPr>
              <w:t xml:space="preserve">C13aG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A2454FA" w14:textId="2FB23E45" w:rsidR="00EB245A" w:rsidRDefault="006021EE">
            <w:pPr>
              <w:pStyle w:val="P68B1DB1-Normal46"/>
              <w:spacing w:line="259" w:lineRule="auto"/>
              <w:rPr>
                <w:rFonts w:cs="Times New Roman"/>
                <w:noProof/>
              </w:rPr>
            </w:pPr>
            <w:r>
              <w:rPr>
                <w:noProof/>
              </w:rPr>
              <w:t>C2.1.1 Öffentliche elektronische Dienste, IT-Lösungen zur Verbesserung der Funktionsweise von Verwaltungen und Wirtschaftssektoren</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EDCC081" w14:textId="7F2C4A31"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5D1EBDA" w14:textId="640B9E7A" w:rsidR="00EB245A" w:rsidRDefault="006021EE">
            <w:pPr>
              <w:pStyle w:val="P68B1DB1-Normal46"/>
              <w:spacing w:after="4" w:line="238" w:lineRule="auto"/>
              <w:rPr>
                <w:rFonts w:cs="Times New Roman"/>
                <w:noProof/>
              </w:rPr>
            </w:pPr>
            <w:r>
              <w:rPr>
                <w:noProof/>
              </w:rPr>
              <w:t xml:space="preserve">Fertigstellung neuer öffentlicher IT-Systeme oder Ausbau bestehender Systeme </w:t>
            </w:r>
          </w:p>
        </w:tc>
      </w:tr>
      <w:tr w:rsidR="00EB245A" w14:paraId="15929701"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3A81DF6" w14:textId="7DD6F2D9" w:rsidR="00EB245A" w:rsidRDefault="006021EE">
            <w:pPr>
              <w:pStyle w:val="P68B1DB1-Normal46"/>
              <w:spacing w:line="259" w:lineRule="auto"/>
              <w:ind w:right="43"/>
              <w:jc w:val="center"/>
              <w:rPr>
                <w:rFonts w:cs="Times New Roman"/>
                <w:noProof/>
              </w:rPr>
            </w:pPr>
            <w:r>
              <w:rPr>
                <w:noProof/>
              </w:rPr>
              <w:t>C13bG</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39212F3" w14:textId="2CCB9E1D" w:rsidR="00EB245A" w:rsidRDefault="006021EE">
            <w:pPr>
              <w:pStyle w:val="P68B1DB1-Normal46"/>
              <w:spacing w:line="259" w:lineRule="auto"/>
              <w:rPr>
                <w:rFonts w:cs="Times New Roman"/>
                <w:noProof/>
              </w:rPr>
            </w:pPr>
            <w:r>
              <w:rPr>
                <w:noProof/>
              </w:rPr>
              <w:t xml:space="preserve">C2.1.1 Öffentliche </w:t>
            </w:r>
            <w:r>
              <w:rPr>
                <w:noProof/>
              </w:rPr>
              <w:t>elektronische Dienste, IT-Lösungen zur Verbesserung der Funktionsweise von Verwaltungen und Wirtschaftssektoren</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5EDD109" w14:textId="5F56EC07"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F794187" w14:textId="24A9B7D0" w:rsidR="00EB245A" w:rsidRDefault="006021EE">
            <w:pPr>
              <w:pStyle w:val="P68B1DB1-Normal46"/>
              <w:spacing w:after="4" w:line="259" w:lineRule="auto"/>
              <w:rPr>
                <w:rFonts w:cs="Times New Roman"/>
                <w:noProof/>
              </w:rPr>
            </w:pPr>
            <w:r>
              <w:rPr>
                <w:noProof/>
              </w:rPr>
              <w:t>Digitalisierung des Backoffice der öffentlichen Verwaltung</w:t>
            </w:r>
          </w:p>
        </w:tc>
      </w:tr>
      <w:tr w:rsidR="00EB245A" w14:paraId="551B89A5"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ECD97F4" w14:textId="56E74DCC" w:rsidR="00EB245A" w:rsidRDefault="006021EE">
            <w:pPr>
              <w:pStyle w:val="P68B1DB1-Normal46"/>
              <w:spacing w:line="259" w:lineRule="auto"/>
              <w:ind w:right="43"/>
              <w:jc w:val="center"/>
              <w:rPr>
                <w:rFonts w:cs="Times New Roman"/>
                <w:noProof/>
              </w:rPr>
            </w:pPr>
            <w:r>
              <w:rPr>
                <w:noProof/>
              </w:rPr>
              <w:t>C13cG</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B18557C" w14:textId="16B06C65" w:rsidR="00EB245A" w:rsidRDefault="006021EE">
            <w:pPr>
              <w:pStyle w:val="P68B1DB1-Normal46"/>
              <w:spacing w:line="239" w:lineRule="auto"/>
              <w:rPr>
                <w:rFonts w:cs="Times New Roman"/>
                <w:noProof/>
              </w:rPr>
            </w:pPr>
            <w:r>
              <w:rPr>
                <w:noProof/>
              </w:rPr>
              <w:t>C2.1.1 Öffentliche elektronische Dienste, IT-Lösungen zur Verbesserung d</w:t>
            </w:r>
            <w:r>
              <w:rPr>
                <w:noProof/>
              </w:rPr>
              <w:t>er Funktionsweise der Wirtschaftszweige</w:t>
            </w:r>
          </w:p>
          <w:p w14:paraId="404B55BD" w14:textId="3D4B088A" w:rsidR="00EB245A" w:rsidRDefault="00EB245A">
            <w:pPr>
              <w:spacing w:line="239" w:lineRule="auto"/>
              <w:rPr>
                <w:rFonts w:ascii="Times New Roman" w:hAnsi="Times New Roman" w:cs="Times New Roman"/>
                <w:noProof/>
              </w:rPr>
            </w:pP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525154B" w14:textId="44F29E96" w:rsidR="00EB245A" w:rsidRDefault="006021EE">
            <w:pPr>
              <w:pStyle w:val="P68B1DB1-Normal46"/>
              <w:spacing w:line="259" w:lineRule="auto"/>
              <w:ind w:right="41"/>
              <w:jc w:val="center"/>
              <w:rPr>
                <w:rFonts w:cs="Times New Roman"/>
                <w:noProof/>
              </w:rPr>
            </w:pPr>
            <w:r>
              <w:rPr>
                <w:noProof/>
              </w:rPr>
              <w:t>Meilenstein</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AAEABB9" w14:textId="3F3556DE" w:rsidR="00EB245A" w:rsidRDefault="006021EE">
            <w:pPr>
              <w:pStyle w:val="P68B1DB1-Normal46"/>
              <w:spacing w:after="4" w:line="238" w:lineRule="auto"/>
              <w:rPr>
                <w:rFonts w:cs="Times New Roman"/>
                <w:noProof/>
              </w:rPr>
            </w:pPr>
            <w:r>
              <w:rPr>
                <w:noProof/>
              </w:rPr>
              <w:t xml:space="preserve">Das nationale System der elektronischen Rechnungsstellung betriebsbereit  </w:t>
            </w:r>
          </w:p>
        </w:tc>
      </w:tr>
      <w:tr w:rsidR="00EB245A" w14:paraId="1E242677"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1CC52AD" w14:textId="6FD0237E" w:rsidR="00EB245A" w:rsidRDefault="006021EE">
            <w:pPr>
              <w:pStyle w:val="P68B1DB1-Normal46"/>
              <w:spacing w:line="259" w:lineRule="auto"/>
              <w:ind w:right="43"/>
              <w:jc w:val="center"/>
              <w:rPr>
                <w:rFonts w:cs="Times New Roman"/>
                <w:noProof/>
              </w:rPr>
            </w:pPr>
            <w:r>
              <w:rPr>
                <w:noProof/>
              </w:rPr>
              <w:t>C13dG</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CB31F78" w14:textId="16B06C65" w:rsidR="00EB245A" w:rsidRDefault="006021EE">
            <w:pPr>
              <w:pStyle w:val="P68B1DB1-Normal46"/>
              <w:spacing w:line="239" w:lineRule="auto"/>
              <w:rPr>
                <w:rFonts w:cs="Times New Roman"/>
                <w:noProof/>
              </w:rPr>
            </w:pPr>
            <w:r>
              <w:rPr>
                <w:noProof/>
              </w:rPr>
              <w:t>C2.1.1 Öffentliche elektronische Dienste, IT-Lösungen zur Verbesserung der Funktionsweise der Wirtschaftszweige</w:t>
            </w:r>
          </w:p>
          <w:p w14:paraId="168C5725" w14:textId="77777777" w:rsidR="00EB245A" w:rsidRDefault="00EB245A">
            <w:pPr>
              <w:spacing w:line="239" w:lineRule="auto"/>
              <w:rPr>
                <w:rFonts w:ascii="Times New Roman" w:hAnsi="Times New Roman" w:cs="Times New Roman"/>
                <w:noProof/>
              </w:rPr>
            </w:pP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0F7E4F0" w14:textId="1362C863" w:rsidR="00EB245A" w:rsidRDefault="006021EE" w:rsidP="00E624AF">
            <w:pPr>
              <w:pStyle w:val="P68B1DB1-Normal46"/>
              <w:spacing w:line="259" w:lineRule="auto"/>
              <w:ind w:right="41"/>
              <w:jc w:val="center"/>
              <w:rPr>
                <w:rFonts w:cs="Times New Roman"/>
                <w:noProof/>
              </w:rPr>
            </w:pPr>
            <w:r>
              <w:rPr>
                <w:noProof/>
              </w:rPr>
              <w:t>Ziel</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1168209" w14:textId="508EAF81" w:rsidR="00EB245A" w:rsidRDefault="006021EE">
            <w:pPr>
              <w:pStyle w:val="P68B1DB1-Normal46"/>
              <w:spacing w:after="4" w:line="238" w:lineRule="auto"/>
              <w:rPr>
                <w:rFonts w:cs="Times New Roman"/>
                <w:noProof/>
              </w:rPr>
            </w:pPr>
            <w:r>
              <w:rPr>
                <w:noProof/>
              </w:rPr>
              <w:t xml:space="preserve">Fertigstellung neuer elektronischer Dienste oder Modernisierung bestehender Dienste  </w:t>
            </w:r>
          </w:p>
        </w:tc>
      </w:tr>
      <w:tr w:rsidR="00EB245A" w14:paraId="54D2ED66"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17E0A5B" w14:textId="5D33ABA3" w:rsidR="00EB245A" w:rsidRDefault="006021EE">
            <w:pPr>
              <w:pStyle w:val="P68B1DB1-Normal46"/>
              <w:spacing w:line="259" w:lineRule="auto"/>
              <w:ind w:right="43"/>
              <w:jc w:val="center"/>
              <w:rPr>
                <w:rFonts w:cs="Times New Roman"/>
                <w:noProof/>
              </w:rPr>
            </w:pPr>
            <w:r>
              <w:rPr>
                <w:noProof/>
              </w:rPr>
              <w:t xml:space="preserve">C20G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B602FE9" w14:textId="224C7A70" w:rsidR="00EB245A" w:rsidRDefault="006021EE">
            <w:pPr>
              <w:pStyle w:val="P68B1DB1-Normal46"/>
              <w:spacing w:line="239" w:lineRule="auto"/>
              <w:rPr>
                <w:rFonts w:cs="Times New Roman"/>
                <w:noProof/>
              </w:rPr>
            </w:pPr>
            <w:r>
              <w:rPr>
                <w:noProof/>
              </w:rPr>
              <w:t xml:space="preserve">C2.1.3 E-Kompetenzen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41AB206" w14:textId="6B01D594"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F2C4263" w14:textId="406B8620" w:rsidR="00EB245A" w:rsidRDefault="006021EE">
            <w:pPr>
              <w:pStyle w:val="P68B1DB1-Normal46"/>
              <w:spacing w:after="4" w:line="238" w:lineRule="auto"/>
              <w:rPr>
                <w:rFonts w:cs="Times New Roman"/>
                <w:noProof/>
              </w:rPr>
            </w:pPr>
            <w:r>
              <w:rPr>
                <w:noProof/>
              </w:rPr>
              <w:t xml:space="preserve">T2 – Zusätzliche Personen, die in digitalen Kompetenzen, einschließlich digitaler Kompetenzen, geschult sind </w:t>
            </w:r>
          </w:p>
        </w:tc>
      </w:tr>
      <w:tr w:rsidR="00EB245A" w14:paraId="6216BEF5"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9FB7C8C" w14:textId="2C6B5BF9" w:rsidR="00EB245A" w:rsidRDefault="006021EE">
            <w:pPr>
              <w:pStyle w:val="P68B1DB1-Normal46"/>
              <w:spacing w:line="259" w:lineRule="auto"/>
              <w:ind w:right="43"/>
              <w:jc w:val="center"/>
              <w:rPr>
                <w:rFonts w:cs="Times New Roman"/>
                <w:noProof/>
              </w:rPr>
            </w:pPr>
            <w:r>
              <w:rPr>
                <w:noProof/>
              </w:rPr>
              <w:t xml:space="preserve">C23G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FE5DB3A" w14:textId="099EEA65" w:rsidR="00EB245A" w:rsidRDefault="006021EE">
            <w:pPr>
              <w:pStyle w:val="P68B1DB1-Normal46"/>
              <w:spacing w:line="239" w:lineRule="auto"/>
              <w:rPr>
                <w:rFonts w:cs="Times New Roman"/>
                <w:noProof/>
              </w:rPr>
            </w:pPr>
            <w:r>
              <w:rPr>
                <w:noProof/>
              </w:rPr>
              <w:t xml:space="preserve">C3.1.1 </w:t>
            </w:r>
            <w:r>
              <w:rPr>
                <w:noProof/>
              </w:rPr>
              <w:t>Cybersicherheit – CyberPL, Infrastruktur für die Datenverarbeitung und Optimierung der Infrastruktur der Strafverfolgungsdienste</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0182E24" w14:textId="76320857"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AAEEE65" w14:textId="3499F58D" w:rsidR="00EB245A" w:rsidRDefault="006021EE">
            <w:pPr>
              <w:spacing w:after="4" w:line="238" w:lineRule="auto"/>
              <w:rPr>
                <w:rFonts w:ascii="Times New Roman" w:hAnsi="Times New Roman" w:cs="Times New Roman"/>
                <w:noProof/>
              </w:rPr>
            </w:pPr>
            <w:r>
              <w:rPr>
                <w:rFonts w:ascii="Times New Roman" w:hAnsi="Times New Roman"/>
                <w:noProof/>
              </w:rPr>
              <w:t>Cybersicherheitsprojekte (CyberPL)</w:t>
            </w:r>
            <w:r>
              <w:rPr>
                <w:noProof/>
              </w:rPr>
              <w:t xml:space="preserve"> </w:t>
            </w:r>
            <w:r>
              <w:rPr>
                <w:noProof/>
              </w:rPr>
              <w:br/>
            </w:r>
            <w:r>
              <w:rPr>
                <w:rFonts w:ascii="Times New Roman" w:hAnsi="Times New Roman"/>
                <w:noProof/>
              </w:rPr>
              <w:t>Programm zur Steigerung der Wirksamkeit des nationalen Cybersicherheitssystems (KSC-P</w:t>
            </w:r>
            <w:r>
              <w:rPr>
                <w:rFonts w:ascii="Times New Roman" w:hAnsi="Times New Roman"/>
                <w:noProof/>
              </w:rPr>
              <w:t>L)</w:t>
            </w:r>
          </w:p>
        </w:tc>
      </w:tr>
      <w:tr w:rsidR="00EB245A" w14:paraId="24CCF3B9"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1DC7676" w14:textId="7309C624" w:rsidR="00EB245A" w:rsidRDefault="006021EE">
            <w:pPr>
              <w:pStyle w:val="P68B1DB1-Normal46"/>
              <w:spacing w:line="259" w:lineRule="auto"/>
              <w:ind w:right="43"/>
              <w:jc w:val="center"/>
              <w:rPr>
                <w:rFonts w:cs="Times New Roman"/>
                <w:noProof/>
              </w:rPr>
            </w:pPr>
            <w:r>
              <w:rPr>
                <w:noProof/>
              </w:rPr>
              <w:t xml:space="preserve">C25G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9034D23" w14:textId="77777777" w:rsidR="00EB245A" w:rsidRDefault="006021EE">
            <w:pPr>
              <w:pStyle w:val="P68B1DB1-Normal46"/>
              <w:spacing w:after="1" w:line="238" w:lineRule="auto"/>
              <w:rPr>
                <w:rFonts w:cs="Times New Roman"/>
                <w:noProof/>
              </w:rPr>
            </w:pPr>
            <w:r>
              <w:rPr>
                <w:noProof/>
              </w:rPr>
              <w:t xml:space="preserve">C3.1.1 Cybersicherheit – CyberPL, Infrastruktur für die Datenverarbeitung und Optimierung der Rechtsinfrastruktur </w:t>
            </w:r>
          </w:p>
          <w:p w14:paraId="51B93A46" w14:textId="6EB30D81" w:rsidR="00EB245A" w:rsidRDefault="006021EE">
            <w:pPr>
              <w:pStyle w:val="P68B1DB1-Normal46"/>
              <w:spacing w:line="239" w:lineRule="auto"/>
              <w:rPr>
                <w:rFonts w:cs="Times New Roman"/>
                <w:noProof/>
              </w:rPr>
            </w:pPr>
            <w:r>
              <w:rPr>
                <w:noProof/>
              </w:rPr>
              <w:t xml:space="preserve">Durchsetzungsdienste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9FD6C1E" w14:textId="661A0D3D" w:rsidR="00EB245A" w:rsidRDefault="006021EE">
            <w:pPr>
              <w:pStyle w:val="P68B1DB1-Normal46"/>
              <w:spacing w:line="259" w:lineRule="auto"/>
              <w:ind w:right="41"/>
              <w:jc w:val="center"/>
              <w:rPr>
                <w:rFonts w:cs="Times New Roman"/>
                <w:noProof/>
              </w:rPr>
            </w:pPr>
            <w:r>
              <w:rPr>
                <w:noProof/>
              </w:rPr>
              <w:t xml:space="preserve">Meilenstein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A2988D4" w14:textId="0A6C2FFF" w:rsidR="00EB245A" w:rsidRDefault="006021EE">
            <w:pPr>
              <w:pStyle w:val="P68B1DB1-Normal46"/>
              <w:spacing w:line="259" w:lineRule="auto"/>
              <w:rPr>
                <w:rFonts w:cs="Times New Roman"/>
                <w:noProof/>
              </w:rPr>
            </w:pPr>
            <w:r>
              <w:rPr>
                <w:noProof/>
              </w:rPr>
              <w:t xml:space="preserve">Einrichtung von Standard-Datenverarbeitungszentren </w:t>
            </w:r>
          </w:p>
        </w:tc>
      </w:tr>
      <w:tr w:rsidR="00EB245A" w14:paraId="3841345E"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0BCF634" w14:textId="1FB5D052" w:rsidR="00EB245A" w:rsidRDefault="006021EE">
            <w:pPr>
              <w:pStyle w:val="P68B1DB1-Normal46"/>
              <w:spacing w:line="259" w:lineRule="auto"/>
              <w:ind w:right="43"/>
              <w:jc w:val="center"/>
              <w:rPr>
                <w:rFonts w:cs="Times New Roman"/>
                <w:noProof/>
              </w:rPr>
            </w:pPr>
            <w:r>
              <w:rPr>
                <w:noProof/>
              </w:rPr>
              <w:t xml:space="preserve">D6G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C3E25A5" w14:textId="1D059A88" w:rsidR="00EB245A" w:rsidRDefault="006021EE">
            <w:pPr>
              <w:pStyle w:val="P68B1DB1-Normal46"/>
              <w:spacing w:after="1" w:line="238" w:lineRule="auto"/>
              <w:rPr>
                <w:rFonts w:cs="Times New Roman"/>
                <w:noProof/>
              </w:rPr>
            </w:pPr>
            <w:r>
              <w:rPr>
                <w:noProof/>
              </w:rPr>
              <w:t xml:space="preserve">D1.1 Verbesserung der Wirksamkeit, Zugänglichkeit und Qualität der Gesundheitsdienste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7371558" w14:textId="7B06047B" w:rsidR="00EB245A" w:rsidRDefault="006021EE">
            <w:pPr>
              <w:pStyle w:val="P68B1DB1-Normal46"/>
              <w:spacing w:line="259" w:lineRule="auto"/>
              <w:ind w:right="41"/>
              <w:jc w:val="center"/>
              <w:rPr>
                <w:rFonts w:cs="Times New Roman"/>
                <w:noProof/>
              </w:rPr>
            </w:pPr>
            <w:r>
              <w:rPr>
                <w:noProof/>
              </w:rPr>
              <w:t xml:space="preserve">Meilenstein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73A81BF" w14:textId="30E6E1EA" w:rsidR="00EB245A" w:rsidRDefault="006021EE">
            <w:pPr>
              <w:pStyle w:val="P68B1DB1-Normal46"/>
              <w:spacing w:line="259" w:lineRule="auto"/>
              <w:rPr>
                <w:rFonts w:cs="Times New Roman"/>
                <w:noProof/>
              </w:rPr>
            </w:pPr>
            <w:r>
              <w:rPr>
                <w:noProof/>
              </w:rPr>
              <w:t xml:space="preserve">Inkrafttreten eines Legislativpakets zur Einführung nationaler elektronischer Gesundheitsdienste und deren Integration in bestehende/verfügbare elektronische Gesundheitsdienste auf nationaler und regionaler Ebene </w:t>
            </w:r>
          </w:p>
        </w:tc>
      </w:tr>
      <w:tr w:rsidR="00EB245A" w14:paraId="63133AA6"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B14FE1C" w14:textId="50C67D5F" w:rsidR="00EB245A" w:rsidRDefault="006021EE">
            <w:pPr>
              <w:pStyle w:val="P68B1DB1-Normal46"/>
              <w:spacing w:line="259" w:lineRule="auto"/>
              <w:ind w:right="43"/>
              <w:jc w:val="center"/>
              <w:rPr>
                <w:rFonts w:cs="Times New Roman"/>
                <w:noProof/>
              </w:rPr>
            </w:pPr>
            <w:r>
              <w:rPr>
                <w:noProof/>
              </w:rPr>
              <w:t xml:space="preserve">D13G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F657B39" w14:textId="69C48B90" w:rsidR="00EB245A" w:rsidRDefault="006021EE">
            <w:pPr>
              <w:pStyle w:val="P68B1DB1-Normal46"/>
              <w:spacing w:after="1" w:line="238" w:lineRule="auto"/>
              <w:rPr>
                <w:rFonts w:cs="Times New Roman"/>
                <w:noProof/>
              </w:rPr>
            </w:pPr>
            <w:r>
              <w:rPr>
                <w:noProof/>
              </w:rPr>
              <w:t>D1.1.1 Entwicklung und Modernisieru</w:t>
            </w:r>
            <w:r>
              <w:rPr>
                <w:noProof/>
              </w:rPr>
              <w:t xml:space="preserve">ng der Infrastruktur hochspezialisierter Pflegezentren und anderer Gesundheitsdienstleister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33507B6" w14:textId="342AFC4A"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47587F6" w14:textId="340BA045" w:rsidR="00EB245A" w:rsidRDefault="006021EE">
            <w:pPr>
              <w:pStyle w:val="P68B1DB1-Normal46"/>
              <w:spacing w:after="160" w:line="257" w:lineRule="auto"/>
              <w:rPr>
                <w:rFonts w:ascii="Calibri" w:eastAsia="Calibri" w:hAnsi="Calibri" w:cs="Calibri"/>
                <w:noProof/>
                <w:color w:val="000000" w:themeColor="text1"/>
                <w:sz w:val="18"/>
              </w:rPr>
            </w:pPr>
            <w:r>
              <w:rPr>
                <w:noProof/>
              </w:rPr>
              <w:t>Krankenhäuser mit Infrastrukturinvestitionen oder medizinischer Ausrüstung, die im Zusammenhang mit ihrer Umstrukturierung oder ihrer Einführung in das Natio</w:t>
            </w:r>
            <w:r>
              <w:rPr>
                <w:noProof/>
              </w:rPr>
              <w:t xml:space="preserve">nale Onkologische Netz erworben wurden  </w:t>
            </w:r>
          </w:p>
        </w:tc>
      </w:tr>
      <w:tr w:rsidR="00EB245A" w14:paraId="6D279E68"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423F470" w14:textId="4A33E255" w:rsidR="00EB245A" w:rsidRDefault="006021EE">
            <w:pPr>
              <w:pStyle w:val="P68B1DB1-Normal46"/>
              <w:spacing w:line="259" w:lineRule="auto"/>
              <w:ind w:right="43"/>
              <w:jc w:val="center"/>
              <w:rPr>
                <w:rFonts w:cs="Times New Roman"/>
                <w:noProof/>
              </w:rPr>
            </w:pPr>
            <w:r>
              <w:rPr>
                <w:noProof/>
              </w:rPr>
              <w:t xml:space="preserve">D14G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2656806" w14:textId="437EC5C6" w:rsidR="00EB245A" w:rsidRDefault="006021EE">
            <w:pPr>
              <w:pStyle w:val="P68B1DB1-Normal46"/>
              <w:spacing w:after="1" w:line="238" w:lineRule="auto"/>
              <w:rPr>
                <w:rFonts w:cs="Times New Roman"/>
                <w:noProof/>
              </w:rPr>
            </w:pPr>
            <w:r>
              <w:rPr>
                <w:noProof/>
              </w:rPr>
              <w:t xml:space="preserve">D1.1.1 Entwicklung und Modernisierung der Infrastruktur hochspezialisierter Pflegezentren und anderer Gesundheitsdienstleister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754610F" w14:textId="7176102C"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B1C3CBC" w14:textId="2F307A77" w:rsidR="00EB245A" w:rsidRDefault="006021EE">
            <w:pPr>
              <w:pStyle w:val="P68B1DB1-Normal46"/>
              <w:spacing w:after="160" w:line="257" w:lineRule="auto"/>
              <w:rPr>
                <w:rFonts w:ascii="Calibri" w:eastAsia="Calibri" w:hAnsi="Calibri" w:cs="Calibri"/>
                <w:noProof/>
                <w:u w:val="single"/>
              </w:rPr>
            </w:pPr>
            <w:r>
              <w:rPr>
                <w:noProof/>
              </w:rPr>
              <w:t xml:space="preserve">Krankenhäuser mit Infrastrukturinvestitionen oder medizinischer </w:t>
            </w:r>
            <w:r>
              <w:rPr>
                <w:noProof/>
              </w:rPr>
              <w:t>Ausrüstung, die im Zusammenhang mit ihrer Umstrukturierung oder ihrer Einführung in das nationale kardiologische Netz erworben wurden</w:t>
            </w:r>
          </w:p>
        </w:tc>
      </w:tr>
      <w:tr w:rsidR="00EB245A" w14:paraId="291915D7"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C8FEB25" w14:textId="2BB1CF42" w:rsidR="00EB245A" w:rsidRDefault="006021EE">
            <w:pPr>
              <w:pStyle w:val="P68B1DB1-Normal46"/>
              <w:spacing w:line="259" w:lineRule="auto"/>
              <w:ind w:right="43"/>
              <w:jc w:val="center"/>
              <w:rPr>
                <w:rFonts w:cs="Times New Roman"/>
                <w:noProof/>
              </w:rPr>
            </w:pPr>
            <w:r>
              <w:rPr>
                <w:noProof/>
              </w:rPr>
              <w:t xml:space="preserve">D15G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83CD06B" w14:textId="5F68E294" w:rsidR="00EB245A" w:rsidRDefault="006021EE">
            <w:pPr>
              <w:pStyle w:val="P68B1DB1-Normal46"/>
              <w:spacing w:after="1" w:line="238" w:lineRule="auto"/>
              <w:rPr>
                <w:rFonts w:cs="Times New Roman"/>
                <w:noProof/>
              </w:rPr>
            </w:pPr>
            <w:r>
              <w:rPr>
                <w:noProof/>
              </w:rPr>
              <w:t>D1.1.2 Beschleunigung des digitalen Wandels im Gesundheitswesen durch Weiterentwicklung digitaler Gesundheitsdienst</w:t>
            </w:r>
            <w:r>
              <w:rPr>
                <w:noProof/>
              </w:rPr>
              <w:t xml:space="preserve">e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0147AE0" w14:textId="55C92C2B" w:rsidR="00EB245A" w:rsidRDefault="006021EE">
            <w:pPr>
              <w:pStyle w:val="P68B1DB1-Normal46"/>
              <w:spacing w:line="259" w:lineRule="auto"/>
              <w:ind w:right="41"/>
              <w:jc w:val="center"/>
              <w:rPr>
                <w:rFonts w:cs="Times New Roman"/>
                <w:noProof/>
              </w:rPr>
            </w:pPr>
            <w:r>
              <w:rPr>
                <w:noProof/>
              </w:rPr>
              <w:t xml:space="preserve">Meilenstein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1B056BF" w14:textId="77777777" w:rsidR="00EB245A" w:rsidRDefault="006021EE">
            <w:pPr>
              <w:pStyle w:val="P68B1DB1-Normal46"/>
              <w:spacing w:after="177" w:line="259" w:lineRule="auto"/>
              <w:rPr>
                <w:rFonts w:cs="Times New Roman"/>
                <w:noProof/>
              </w:rPr>
            </w:pPr>
            <w:r>
              <w:rPr>
                <w:noProof/>
              </w:rPr>
              <w:t xml:space="preserve">Einführung neuer elektronischer Dienste, einschließlich:  </w:t>
            </w:r>
          </w:p>
          <w:p w14:paraId="04FCB129" w14:textId="77777777" w:rsidR="00EB245A" w:rsidRDefault="006021EE">
            <w:pPr>
              <w:pStyle w:val="P68B1DB1-Normal46"/>
              <w:numPr>
                <w:ilvl w:val="0"/>
                <w:numId w:val="220"/>
              </w:numPr>
              <w:spacing w:after="175" w:line="259" w:lineRule="auto"/>
              <w:rPr>
                <w:rFonts w:cs="Times New Roman"/>
                <w:noProof/>
              </w:rPr>
            </w:pPr>
            <w:r>
              <w:rPr>
                <w:noProof/>
              </w:rPr>
              <w:t xml:space="preserve">die Instrumente für die Patientengesundheitsanalyse;  </w:t>
            </w:r>
          </w:p>
          <w:p w14:paraId="0CBAD3B2" w14:textId="5F88A48F" w:rsidR="00EB245A" w:rsidRDefault="006021EE" w:rsidP="00717900">
            <w:pPr>
              <w:pStyle w:val="P68B1DB1-Normal46"/>
              <w:numPr>
                <w:ilvl w:val="0"/>
                <w:numId w:val="220"/>
              </w:numPr>
              <w:spacing w:after="197" w:line="239" w:lineRule="auto"/>
              <w:rPr>
                <w:rFonts w:cs="Times New Roman"/>
                <w:noProof/>
              </w:rPr>
            </w:pPr>
            <w:r>
              <w:rPr>
                <w:noProof/>
              </w:rPr>
              <w:t xml:space="preserve">Instrument zur Unterstützung der Entscheidungsfindung für Ärzte auf der Grundlage von KI-Algorithmen; und zentrale Datenbank für medizinische Daten, die in andere wichtige Gesundheitssysteme integriert sind </w:t>
            </w:r>
          </w:p>
        </w:tc>
      </w:tr>
      <w:tr w:rsidR="00EB245A" w14:paraId="5DF20C51"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6406464" w14:textId="5ADBC081" w:rsidR="00EB245A" w:rsidRDefault="006021EE">
            <w:pPr>
              <w:pStyle w:val="P68B1DB1-Normal46"/>
              <w:spacing w:line="259" w:lineRule="auto"/>
              <w:ind w:right="43"/>
              <w:jc w:val="center"/>
              <w:rPr>
                <w:rFonts w:cs="Times New Roman"/>
                <w:noProof/>
              </w:rPr>
            </w:pPr>
            <w:r>
              <w:rPr>
                <w:noProof/>
              </w:rPr>
              <w:t xml:space="preserve">D18G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F583A5A" w14:textId="3B75069B" w:rsidR="00EB245A" w:rsidRDefault="006021EE">
            <w:pPr>
              <w:pStyle w:val="P68B1DB1-Normal46"/>
              <w:spacing w:after="1" w:line="238" w:lineRule="auto"/>
              <w:rPr>
                <w:rFonts w:cs="Times New Roman"/>
                <w:noProof/>
              </w:rPr>
            </w:pPr>
            <w:r>
              <w:rPr>
                <w:noProof/>
              </w:rPr>
              <w:t>D1.1.2 Beschleunigung des digitalen Wande</w:t>
            </w:r>
            <w:r>
              <w:rPr>
                <w:noProof/>
              </w:rPr>
              <w:t xml:space="preserve">ls im Gesundheitswesen durch Weiterentwicklung digitaler Gesundheitsdienste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6C3695D" w14:textId="138B37D0"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1ADC006" w14:textId="5EE8CF52" w:rsidR="00EB245A" w:rsidRDefault="006021EE">
            <w:pPr>
              <w:pStyle w:val="P68B1DB1-Normal46"/>
              <w:spacing w:after="177" w:line="259" w:lineRule="auto"/>
              <w:rPr>
                <w:rFonts w:cs="Times New Roman"/>
                <w:noProof/>
              </w:rPr>
            </w:pPr>
            <w:r>
              <w:rPr>
                <w:noProof/>
              </w:rPr>
              <w:t xml:space="preserve">Geschichte der Interaktion der Patienten mit der Gesundheitsversorgung in digitalisierten medizinischen Einrichtungen </w:t>
            </w:r>
          </w:p>
        </w:tc>
      </w:tr>
      <w:tr w:rsidR="00EB245A" w14:paraId="605A8C33"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6B9C8A5" w14:textId="075D7F23" w:rsidR="00EB245A" w:rsidRDefault="006021EE">
            <w:pPr>
              <w:pStyle w:val="P68B1DB1-Normal46"/>
              <w:spacing w:line="259" w:lineRule="auto"/>
              <w:ind w:right="43"/>
              <w:jc w:val="center"/>
              <w:rPr>
                <w:rFonts w:cs="Times New Roman"/>
                <w:noProof/>
              </w:rPr>
            </w:pPr>
            <w:r>
              <w:rPr>
                <w:noProof/>
              </w:rPr>
              <w:t xml:space="preserve">D20G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0531D23" w14:textId="28E3284D" w:rsidR="00EB245A" w:rsidRDefault="006021EE">
            <w:pPr>
              <w:pStyle w:val="P68B1DB1-Normal46"/>
              <w:spacing w:after="1" w:line="238" w:lineRule="auto"/>
              <w:rPr>
                <w:rFonts w:cs="Times New Roman"/>
                <w:noProof/>
              </w:rPr>
            </w:pPr>
            <w:r>
              <w:rPr>
                <w:noProof/>
              </w:rPr>
              <w:t xml:space="preserve">D1.1.2 Beschleunigung des digitalen Wandels im Gesundheitswesen durch Weiterentwicklung digitaler Gesundheitsdienste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F918E39" w14:textId="2D8DC97F"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E09F79F" w14:textId="3377D777" w:rsidR="00EB245A" w:rsidRDefault="006021EE">
            <w:pPr>
              <w:pStyle w:val="P68B1DB1-Normal46"/>
              <w:spacing w:after="177" w:line="259" w:lineRule="auto"/>
              <w:rPr>
                <w:rFonts w:eastAsia="Times New Roman" w:cs="Times New Roman"/>
                <w:noProof/>
              </w:rPr>
            </w:pPr>
            <w:r>
              <w:rPr>
                <w:noProof/>
              </w:rPr>
              <w:t xml:space="preserve">T2 – digitalisierte medizinische Dokumente </w:t>
            </w:r>
          </w:p>
        </w:tc>
      </w:tr>
      <w:tr w:rsidR="00EB245A" w14:paraId="6EA692AE"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E3848D0" w14:textId="7793FD82" w:rsidR="00EB245A" w:rsidRDefault="006021EE">
            <w:pPr>
              <w:pStyle w:val="P68B1DB1-Normal46"/>
              <w:spacing w:line="259" w:lineRule="auto"/>
              <w:ind w:right="43"/>
              <w:jc w:val="center"/>
              <w:rPr>
                <w:rFonts w:cs="Times New Roman"/>
                <w:noProof/>
              </w:rPr>
            </w:pPr>
            <w:r>
              <w:rPr>
                <w:noProof/>
              </w:rPr>
              <w:t xml:space="preserve">D21G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04E56B0" w14:textId="0371518D" w:rsidR="00EB245A" w:rsidRDefault="006021EE">
            <w:pPr>
              <w:pStyle w:val="P68B1DB1-Normal46"/>
              <w:spacing w:after="1" w:line="238" w:lineRule="auto"/>
              <w:rPr>
                <w:rFonts w:cs="Times New Roman"/>
                <w:noProof/>
              </w:rPr>
            </w:pPr>
            <w:r>
              <w:rPr>
                <w:noProof/>
              </w:rPr>
              <w:t xml:space="preserve">D1.1.2 Beschleunigung des digitalen Wandels im Gesundheitswesen durch Weiterentwicklung digitaler Gesundheitsdienste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86072FB" w14:textId="2D52424D"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727E73E" w14:textId="47C640AA" w:rsidR="00EB245A" w:rsidRDefault="006021EE">
            <w:pPr>
              <w:pStyle w:val="P68B1DB1-Normal46"/>
              <w:spacing w:after="177" w:line="259" w:lineRule="auto"/>
              <w:rPr>
                <w:rFonts w:cs="Times New Roman"/>
                <w:noProof/>
              </w:rPr>
            </w:pPr>
            <w:r>
              <w:rPr>
                <w:noProof/>
              </w:rPr>
              <w:t>Zentrale/regionale Gesundheitsdienstleister, die mit der zentralen Datenbank für medizinische Daten verbunden sind, und zentrale/reg</w:t>
            </w:r>
            <w:r>
              <w:rPr>
                <w:noProof/>
              </w:rPr>
              <w:t xml:space="preserve">ionale Gesundheitsdienstleister, die mit dem KI-gestützten Instrument zur Unterstützung der Entscheidungsfindung ausgestattet sind </w:t>
            </w:r>
          </w:p>
        </w:tc>
      </w:tr>
      <w:tr w:rsidR="00EB245A" w14:paraId="747DAD66"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CE1E3F7" w14:textId="6A85F5C2" w:rsidR="00EB245A" w:rsidRDefault="006021EE">
            <w:pPr>
              <w:pStyle w:val="P68B1DB1-Normal46"/>
              <w:spacing w:line="259" w:lineRule="auto"/>
              <w:ind w:right="43"/>
              <w:jc w:val="center"/>
              <w:rPr>
                <w:rFonts w:cs="Times New Roman"/>
                <w:noProof/>
              </w:rPr>
            </w:pPr>
            <w:r>
              <w:rPr>
                <w:noProof/>
              </w:rPr>
              <w:t xml:space="preserve">D22G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0F33579" w14:textId="303201FF" w:rsidR="00EB245A" w:rsidRDefault="006021EE">
            <w:pPr>
              <w:pStyle w:val="P68B1DB1-Normal46"/>
              <w:spacing w:after="1" w:line="238" w:lineRule="auto"/>
              <w:rPr>
                <w:rFonts w:cs="Times New Roman"/>
                <w:noProof/>
              </w:rPr>
            </w:pPr>
            <w:r>
              <w:rPr>
                <w:noProof/>
              </w:rPr>
              <w:t xml:space="preserve">D1.1.2 Beschleunigung des digitalen Wandels im Gesundheitswesen durch Weiterentwicklung digitaler Gesundheitsdienste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D574C62" w14:textId="09836A68"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91A14E2" w14:textId="1195D84C" w:rsidR="00EB245A" w:rsidRDefault="006021EE">
            <w:pPr>
              <w:pStyle w:val="P68B1DB1-Normal46"/>
              <w:spacing w:after="177" w:line="259" w:lineRule="auto"/>
              <w:rPr>
                <w:rFonts w:cs="Times New Roman"/>
                <w:noProof/>
              </w:rPr>
            </w:pPr>
            <w:r>
              <w:rPr>
                <w:noProof/>
              </w:rPr>
              <w:t xml:space="preserve">Erwachsene Patienten, die unter das Tool für Patientengesundheitsanalyse fallen </w:t>
            </w:r>
          </w:p>
        </w:tc>
      </w:tr>
      <w:tr w:rsidR="00EB245A" w14:paraId="60C2CFF4"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4AB12D4" w14:textId="21A6A1C2" w:rsidR="00EB245A" w:rsidRDefault="006021EE">
            <w:pPr>
              <w:pStyle w:val="P68B1DB1-Normal46"/>
              <w:spacing w:line="259" w:lineRule="auto"/>
              <w:ind w:right="43"/>
              <w:jc w:val="center"/>
              <w:rPr>
                <w:rFonts w:cs="Times New Roman"/>
                <w:noProof/>
              </w:rPr>
            </w:pPr>
            <w:r>
              <w:rPr>
                <w:noProof/>
              </w:rPr>
              <w:t xml:space="preserve">D24G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1FE1C90" w14:textId="10985F94" w:rsidR="00EB245A" w:rsidRDefault="006021EE">
            <w:pPr>
              <w:pStyle w:val="P68B1DB1-Normal46"/>
              <w:spacing w:after="1" w:line="238" w:lineRule="auto"/>
              <w:rPr>
                <w:rFonts w:cs="Times New Roman"/>
                <w:noProof/>
              </w:rPr>
            </w:pPr>
            <w:r>
              <w:rPr>
                <w:noProof/>
              </w:rPr>
              <w:t xml:space="preserve">D2.1 Schaffung der richtigen Voraussetzungen für eine Erhöhung des medizinischen Personals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C9AC071" w14:textId="40976AE9"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7D579E8" w14:textId="77E1D080" w:rsidR="00EB245A" w:rsidRDefault="006021EE">
            <w:pPr>
              <w:pStyle w:val="P68B1DB1-Normal46"/>
              <w:spacing w:after="2" w:line="237" w:lineRule="auto"/>
              <w:rPr>
                <w:rFonts w:cs="Times New Roman"/>
                <w:noProof/>
              </w:rPr>
            </w:pPr>
            <w:r>
              <w:rPr>
                <w:noProof/>
              </w:rPr>
              <w:t xml:space="preserve">Zahl der Studierenden an medizinischen Universitäten, die finanzielle Unterstützung gemäß dem Gesetz über Hochschulbildung und Wissenschaft und über die Berufe von Physiker und Zahnärzten erhalten haben </w:t>
            </w:r>
          </w:p>
        </w:tc>
      </w:tr>
      <w:tr w:rsidR="00EB245A" w14:paraId="682F5A9B"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3BDA6A7" w14:textId="360BD7A9" w:rsidR="00EB245A" w:rsidRDefault="006021EE">
            <w:pPr>
              <w:pStyle w:val="P68B1DB1-Normal46"/>
              <w:spacing w:line="259" w:lineRule="auto"/>
              <w:ind w:right="43"/>
              <w:jc w:val="center"/>
              <w:rPr>
                <w:rFonts w:cs="Times New Roman"/>
                <w:noProof/>
              </w:rPr>
            </w:pPr>
            <w:r>
              <w:rPr>
                <w:noProof/>
              </w:rPr>
              <w:t xml:space="preserve">D28G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DAF036D" w14:textId="7F5D3426" w:rsidR="00EB245A" w:rsidRDefault="006021EE">
            <w:pPr>
              <w:pStyle w:val="P68B1DB1-Normal46"/>
              <w:spacing w:after="1" w:line="238" w:lineRule="auto"/>
              <w:rPr>
                <w:rFonts w:cs="Times New Roman"/>
                <w:noProof/>
              </w:rPr>
            </w:pPr>
            <w:r>
              <w:rPr>
                <w:noProof/>
              </w:rPr>
              <w:t xml:space="preserve">D2.1 Schaffung der richtigen Voraussetzungen </w:t>
            </w:r>
            <w:r>
              <w:rPr>
                <w:noProof/>
              </w:rPr>
              <w:t xml:space="preserve">für eine Erhöhung des medizinischen Personals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E232D42" w14:textId="35A69A21"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68C33D1" w14:textId="5373B56F" w:rsidR="00EB245A" w:rsidRDefault="006021EE">
            <w:pPr>
              <w:pStyle w:val="P68B1DB1-Normal46"/>
              <w:spacing w:after="2" w:line="237" w:lineRule="auto"/>
              <w:rPr>
                <w:rFonts w:cs="Times New Roman"/>
                <w:noProof/>
              </w:rPr>
            </w:pPr>
            <w:r>
              <w:rPr>
                <w:noProof/>
              </w:rPr>
              <w:t xml:space="preserve">Zahl der Ärzte und Zahnärzte, die eine Bescheinigung über ihre medizinische Fachkompetenz erhalten haben </w:t>
            </w:r>
          </w:p>
        </w:tc>
      </w:tr>
      <w:tr w:rsidR="00EB245A" w14:paraId="19CE2E42"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C451CC0" w14:textId="1CFA00CA" w:rsidR="00EB245A" w:rsidRDefault="006021EE">
            <w:pPr>
              <w:pStyle w:val="P68B1DB1-Normal46"/>
              <w:spacing w:line="259" w:lineRule="auto"/>
              <w:ind w:right="43"/>
              <w:jc w:val="center"/>
              <w:rPr>
                <w:rFonts w:cs="Times New Roman"/>
                <w:noProof/>
              </w:rPr>
            </w:pPr>
            <w:r>
              <w:rPr>
                <w:noProof/>
              </w:rPr>
              <w:t xml:space="preserve">D30G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26CC0CD" w14:textId="3DFCFB08" w:rsidR="00EB245A" w:rsidRDefault="006021EE">
            <w:pPr>
              <w:pStyle w:val="P68B1DB1-Normal46"/>
              <w:spacing w:after="1" w:line="238" w:lineRule="auto"/>
              <w:rPr>
                <w:rFonts w:cs="Times New Roman"/>
                <w:noProof/>
              </w:rPr>
            </w:pPr>
            <w:r>
              <w:rPr>
                <w:noProof/>
              </w:rPr>
              <w:t xml:space="preserve">D2.1.1 Investitionen im Zusammenhang mit der Modernisierung und Nachrüstung von Lehreinrichtungen im Hinblick auf die Anhebung der Zulassungsbeschränkungen für medizinische Studien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12D4426" w14:textId="2D373DD8"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09C512D" w14:textId="3B4C5C70" w:rsidR="00EB245A" w:rsidRDefault="006021EE">
            <w:pPr>
              <w:pStyle w:val="P68B1DB1-Normal46"/>
              <w:spacing w:after="2" w:line="237" w:lineRule="auto"/>
              <w:rPr>
                <w:rFonts w:cs="Times New Roman"/>
                <w:noProof/>
              </w:rPr>
            </w:pPr>
            <w:r>
              <w:rPr>
                <w:noProof/>
              </w:rPr>
              <w:t>Zahl der Studierenden von Krankenpflege, Hebammen, medizinischen Not</w:t>
            </w:r>
            <w:r>
              <w:rPr>
                <w:noProof/>
              </w:rPr>
              <w:t>falldiensten, Medizin, Zahnmedizin, medizinischen Analytik, Physiotherapie und Pharmazie, die ein Stipendium erhalten haben, sowie der Studierenden von Krankenpflege, Hebammen, medizinischen Notfalldiensten, die durch ein Stipendium, eine Kofinanzierung od</w:t>
            </w:r>
            <w:r>
              <w:rPr>
                <w:noProof/>
              </w:rPr>
              <w:t xml:space="preserve">er ein Mentoring abgedeckt sind </w:t>
            </w:r>
          </w:p>
        </w:tc>
      </w:tr>
      <w:tr w:rsidR="00EB245A" w14:paraId="19221D39"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B45F218" w14:textId="764857FE" w:rsidR="00EB245A" w:rsidRDefault="006021EE">
            <w:pPr>
              <w:pStyle w:val="P68B1DB1-Normal46"/>
              <w:spacing w:line="259" w:lineRule="auto"/>
              <w:ind w:right="43"/>
              <w:jc w:val="center"/>
              <w:rPr>
                <w:rFonts w:cs="Times New Roman"/>
                <w:noProof/>
              </w:rPr>
            </w:pPr>
            <w:r>
              <w:rPr>
                <w:noProof/>
              </w:rPr>
              <w:t xml:space="preserve">D36G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56558D0" w14:textId="50649812" w:rsidR="00EB245A" w:rsidRDefault="006021EE">
            <w:pPr>
              <w:pStyle w:val="P68B1DB1-Normal46"/>
              <w:spacing w:after="1" w:line="238" w:lineRule="auto"/>
              <w:rPr>
                <w:rFonts w:cs="Times New Roman"/>
                <w:noProof/>
              </w:rPr>
            </w:pPr>
            <w:r>
              <w:rPr>
                <w:noProof/>
              </w:rPr>
              <w:t xml:space="preserve">D3.1.1 Umfassende Entwicklung der Forschung auf dem Gebiet der Medizin- und Gesundheitswissenschaften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C0CF217" w14:textId="3E2ABA7D"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7B01D9E" w14:textId="08411FFC" w:rsidR="00EB245A" w:rsidRDefault="006021EE">
            <w:pPr>
              <w:pStyle w:val="P68B1DB1-Normal46"/>
              <w:spacing w:after="2" w:line="237" w:lineRule="auto"/>
              <w:rPr>
                <w:rFonts w:cs="Times New Roman"/>
                <w:noProof/>
              </w:rPr>
            </w:pPr>
            <w:r>
              <w:rPr>
                <w:noProof/>
              </w:rPr>
              <w:t xml:space="preserve">Zahl der finanzierten Projekte für Forschungseinheiten und Unternehmer im biomedizinischen Sektor </w:t>
            </w:r>
          </w:p>
        </w:tc>
      </w:tr>
      <w:tr w:rsidR="00EB245A" w14:paraId="01FBEB7A"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940F17B" w14:textId="5BF5F04D" w:rsidR="00EB245A" w:rsidRDefault="006021EE">
            <w:pPr>
              <w:pStyle w:val="P68B1DB1-Normal46"/>
              <w:spacing w:line="259" w:lineRule="auto"/>
              <w:ind w:right="43"/>
              <w:jc w:val="center"/>
              <w:rPr>
                <w:rFonts w:cs="Times New Roman"/>
                <w:noProof/>
              </w:rPr>
            </w:pPr>
            <w:r>
              <w:rPr>
                <w:noProof/>
              </w:rPr>
              <w:t xml:space="preserve">D37G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B7CCE42" w14:textId="0510B023" w:rsidR="00EB245A" w:rsidRDefault="006021EE">
            <w:pPr>
              <w:pStyle w:val="P68B1DB1-Normal46"/>
              <w:spacing w:after="1" w:line="238" w:lineRule="auto"/>
              <w:rPr>
                <w:rFonts w:cs="Times New Roman"/>
                <w:noProof/>
              </w:rPr>
            </w:pPr>
            <w:r>
              <w:rPr>
                <w:noProof/>
              </w:rPr>
              <w:t xml:space="preserve">D3.1.1 Umfassende Entwicklung der Forschung auf dem Gebiet der Medizin- und Gesundheitswissenschaften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E0173E5" w14:textId="6C41F359"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8C801B1" w14:textId="6CAC2F66" w:rsidR="00EB245A" w:rsidRDefault="006021EE">
            <w:pPr>
              <w:pStyle w:val="P68B1DB1-Normal46"/>
              <w:pBdr>
                <w:top w:val="nil"/>
                <w:left w:val="nil"/>
                <w:bottom w:val="nil"/>
                <w:right w:val="nil"/>
                <w:between w:val="nil"/>
              </w:pBdr>
              <w:spacing w:after="2" w:line="237" w:lineRule="auto"/>
              <w:rPr>
                <w:rFonts w:cs="Times New Roman"/>
                <w:noProof/>
              </w:rPr>
            </w:pPr>
            <w:r>
              <w:rPr>
                <w:noProof/>
              </w:rPr>
              <w:t xml:space="preserve">Anzahl der geschaffenen Zentren sowie Entwicklung und Modernisierung bestehender Zentren zur Unterstützung klinischer Prüfungen </w:t>
            </w:r>
          </w:p>
        </w:tc>
      </w:tr>
      <w:tr w:rsidR="00EB245A" w14:paraId="727BF375"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5AFA9C4" w14:textId="64FE52E5" w:rsidR="00EB245A" w:rsidRDefault="006021EE">
            <w:pPr>
              <w:pStyle w:val="P68B1DB1-Normal46"/>
              <w:spacing w:line="259" w:lineRule="auto"/>
              <w:ind w:right="43"/>
              <w:jc w:val="center"/>
              <w:rPr>
                <w:rFonts w:cs="Times New Roman"/>
                <w:noProof/>
              </w:rPr>
            </w:pPr>
            <w:r>
              <w:rPr>
                <w:noProof/>
              </w:rPr>
              <w:t xml:space="preserve">D40G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F10CCCB" w14:textId="6050CC0F" w:rsidR="00EB245A" w:rsidRDefault="006021EE">
            <w:pPr>
              <w:pStyle w:val="P68B1DB1-Normal46"/>
              <w:spacing w:after="1" w:line="238" w:lineRule="auto"/>
              <w:rPr>
                <w:rFonts w:cs="Times New Roman"/>
                <w:noProof/>
              </w:rPr>
            </w:pPr>
            <w:r>
              <w:rPr>
                <w:noProof/>
              </w:rPr>
              <w:t xml:space="preserve">D1.2.1 Ausbau der Langzeitpflege durch Modernisierung der Infrastruktur medizinischer Einrichtungen auf Bezirksebene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28D8D0A" w14:textId="1FE3E3C2"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B68BE3B" w14:textId="04A5432D" w:rsidR="00EB245A" w:rsidRDefault="006021EE">
            <w:pPr>
              <w:pStyle w:val="P68B1DB1-Normal46"/>
              <w:spacing w:after="2" w:line="237" w:lineRule="auto"/>
              <w:rPr>
                <w:rFonts w:cs="Times New Roman"/>
                <w:noProof/>
              </w:rPr>
            </w:pPr>
            <w:r>
              <w:rPr>
                <w:noProof/>
              </w:rPr>
              <w:t xml:space="preserve">Abgeschlossene Projekte zur Entwicklung der Langzeitpflege und der geriatrischen Versorgung in Bezirkskrankenhäusern </w:t>
            </w:r>
          </w:p>
        </w:tc>
      </w:tr>
      <w:tr w:rsidR="00EB245A" w14:paraId="42F91CDE"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3AB32B1" w14:textId="1546A673" w:rsidR="00EB245A" w:rsidRDefault="006021EE">
            <w:pPr>
              <w:pStyle w:val="P68B1DB1-Normal46"/>
              <w:spacing w:line="259" w:lineRule="auto"/>
              <w:ind w:right="43"/>
              <w:jc w:val="center"/>
              <w:rPr>
                <w:rFonts w:cs="Times New Roman"/>
                <w:noProof/>
              </w:rPr>
            </w:pPr>
            <w:r>
              <w:rPr>
                <w:noProof/>
              </w:rPr>
              <w:t>E1G</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9C483B2" w14:textId="206D9625" w:rsidR="00EB245A" w:rsidRDefault="006021EE">
            <w:pPr>
              <w:pStyle w:val="P68B1DB1-Normal46"/>
              <w:spacing w:line="259" w:lineRule="auto"/>
              <w:ind w:left="1"/>
              <w:rPr>
                <w:rFonts w:cs="Times New Roman"/>
                <w:noProof/>
              </w:rPr>
            </w:pPr>
            <w:r>
              <w:rPr>
                <w:noProof/>
              </w:rPr>
              <w:t xml:space="preserve">E1.1 </w:t>
            </w:r>
            <w:r>
              <w:rPr>
                <w:noProof/>
              </w:rPr>
              <w:t>Steigerung der Nutzung umweltfreundlicher Verkehrsmittel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2FD23E0" w14:textId="2725D50C" w:rsidR="00EB245A" w:rsidRDefault="006021EE">
            <w:pPr>
              <w:pStyle w:val="P68B1DB1-Normal46"/>
              <w:spacing w:line="259" w:lineRule="auto"/>
              <w:ind w:right="41"/>
              <w:jc w:val="center"/>
              <w:rPr>
                <w:rFonts w:cs="Times New Roman"/>
                <w:noProof/>
              </w:rPr>
            </w:pPr>
            <w:r>
              <w:rPr>
                <w:noProof/>
              </w:rPr>
              <w:t>Meilenstein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456048C" w14:textId="716AEB66" w:rsidR="00EB245A" w:rsidRDefault="006021EE">
            <w:pPr>
              <w:pStyle w:val="P68B1DB1-Normal46"/>
              <w:spacing w:after="2" w:line="237" w:lineRule="auto"/>
              <w:rPr>
                <w:rFonts w:cs="Times New Roman"/>
                <w:noProof/>
              </w:rPr>
            </w:pPr>
            <w:r>
              <w:rPr>
                <w:noProof/>
              </w:rPr>
              <w:t>Inkrafttreten eines Gesetzes zur ausschließlichen Abnahme emissionsfreier Busse in Städten mit mehr als 100,000 Einwohnern ab 2025  </w:t>
            </w:r>
          </w:p>
        </w:tc>
      </w:tr>
      <w:tr w:rsidR="00EB245A" w14:paraId="1418D5C3"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E1B2400" w14:textId="6ADF82BA" w:rsidR="00EB245A" w:rsidRDefault="006021EE">
            <w:pPr>
              <w:pStyle w:val="P68B1DB1-Normal46"/>
              <w:spacing w:line="259" w:lineRule="auto"/>
              <w:ind w:right="43"/>
              <w:jc w:val="center"/>
              <w:rPr>
                <w:rFonts w:cs="Times New Roman"/>
                <w:noProof/>
              </w:rPr>
            </w:pPr>
            <w:r>
              <w:rPr>
                <w:noProof/>
              </w:rPr>
              <w:t xml:space="preserve">E4G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240F2C9" w14:textId="1BA7089E" w:rsidR="00EB245A" w:rsidRDefault="006021EE">
            <w:pPr>
              <w:pStyle w:val="P68B1DB1-Normal46"/>
              <w:spacing w:line="259" w:lineRule="auto"/>
              <w:ind w:left="1"/>
              <w:rPr>
                <w:rFonts w:cs="Times New Roman"/>
                <w:noProof/>
              </w:rPr>
            </w:pPr>
            <w:r>
              <w:rPr>
                <w:noProof/>
              </w:rPr>
              <w:t xml:space="preserve">E1.1 Steigerung der Nutzung umweltfreundlicher Verkehrsmittel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0AEDA3E" w14:textId="7202505D" w:rsidR="00EB245A" w:rsidRDefault="006021EE">
            <w:pPr>
              <w:pStyle w:val="P68B1DB1-Normal46"/>
              <w:spacing w:line="259" w:lineRule="auto"/>
              <w:ind w:right="41"/>
              <w:jc w:val="center"/>
              <w:rPr>
                <w:rFonts w:cs="Times New Roman"/>
                <w:noProof/>
              </w:rPr>
            </w:pPr>
            <w:r>
              <w:rPr>
                <w:noProof/>
              </w:rPr>
              <w:t xml:space="preserve">Meilenstein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EF75277" w14:textId="2C948D29" w:rsidR="00EB245A" w:rsidRDefault="006021EE">
            <w:pPr>
              <w:pStyle w:val="P68B1DB1-Normal46"/>
              <w:spacing w:after="2" w:line="237" w:lineRule="auto"/>
              <w:rPr>
                <w:rFonts w:cs="Times New Roman"/>
                <w:noProof/>
              </w:rPr>
            </w:pPr>
            <w:r>
              <w:rPr>
                <w:noProof/>
              </w:rPr>
              <w:t xml:space="preserve">Inkrafttreten eines Rechtsakts zur Einführung einer Umweltgebühr für emissionsrelevante Fahrzeuge im Einklang mit dem Verursacherprinzip </w:t>
            </w:r>
          </w:p>
        </w:tc>
      </w:tr>
      <w:tr w:rsidR="00EB245A" w14:paraId="02322EDB" w14:textId="77777777">
        <w:trPr>
          <w:trHeight w:val="811"/>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908FDFD" w14:textId="55A1A3EC" w:rsidR="00EB245A" w:rsidRDefault="006021EE">
            <w:pPr>
              <w:pStyle w:val="P68B1DB1-Normal46"/>
              <w:spacing w:line="259" w:lineRule="auto"/>
              <w:ind w:right="43"/>
              <w:jc w:val="center"/>
              <w:rPr>
                <w:rFonts w:cs="Times New Roman"/>
                <w:noProof/>
              </w:rPr>
            </w:pPr>
            <w:r>
              <w:rPr>
                <w:noProof/>
              </w:rPr>
              <w:t>E4cG</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5E2214C" w14:textId="217964BD" w:rsidR="00EB245A" w:rsidRDefault="006021EE">
            <w:pPr>
              <w:pStyle w:val="P68B1DB1-Normal46"/>
              <w:spacing w:after="200" w:line="259" w:lineRule="auto"/>
              <w:rPr>
                <w:rFonts w:eastAsia="Times New Roman" w:cs="Times New Roman"/>
                <w:noProof/>
                <w:color w:val="006100"/>
                <w:sz w:val="18"/>
              </w:rPr>
            </w:pPr>
            <w:r>
              <w:rPr>
                <w:noProof/>
              </w:rPr>
              <w:t>E1.1 Steigerung der Nutzung umweltfr</w:t>
            </w:r>
            <w:r>
              <w:rPr>
                <w:noProof/>
              </w:rPr>
              <w:t>eundlicher Verkehrsmittel</w:t>
            </w:r>
          </w:p>
          <w:p w14:paraId="7904BFC7" w14:textId="4357F93A" w:rsidR="00EB245A" w:rsidRDefault="00EB245A">
            <w:pPr>
              <w:spacing w:line="259" w:lineRule="auto"/>
              <w:ind w:left="1"/>
              <w:rPr>
                <w:rFonts w:ascii="Times New Roman" w:hAnsi="Times New Roman" w:cs="Times New Roman"/>
                <w:noProof/>
              </w:rPr>
            </w:pP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63E3293" w14:textId="0DA73335" w:rsidR="00EB245A" w:rsidRDefault="006021EE">
            <w:pPr>
              <w:pStyle w:val="P68B1DB1-Normal46"/>
              <w:spacing w:line="259" w:lineRule="auto"/>
              <w:ind w:right="41"/>
              <w:jc w:val="center"/>
              <w:rPr>
                <w:rFonts w:cs="Times New Roman"/>
                <w:noProof/>
              </w:rPr>
            </w:pPr>
            <w:r>
              <w:rPr>
                <w:noProof/>
              </w:rPr>
              <w:t>Ziel</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B26FFDA" w14:textId="7499B64B" w:rsidR="00EB245A" w:rsidRDefault="006021EE">
            <w:pPr>
              <w:pStyle w:val="P68B1DB1-Normal46"/>
              <w:spacing w:after="2" w:line="237" w:lineRule="auto"/>
              <w:rPr>
                <w:rFonts w:cs="Times New Roman"/>
                <w:noProof/>
              </w:rPr>
            </w:pPr>
            <w:r>
              <w:rPr>
                <w:noProof/>
              </w:rPr>
              <w:t>Mit den Endbegünstigten unterzeichnete rechtliche Vereinbarungen</w:t>
            </w:r>
          </w:p>
        </w:tc>
      </w:tr>
      <w:tr w:rsidR="00EB245A" w14:paraId="37F1E377"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6FEE44E" w14:textId="7AAE587A" w:rsidR="00EB245A" w:rsidRDefault="006021EE">
            <w:pPr>
              <w:pStyle w:val="P68B1DB1-Normal46"/>
              <w:spacing w:line="259" w:lineRule="auto"/>
              <w:ind w:right="43"/>
              <w:jc w:val="center"/>
              <w:rPr>
                <w:rFonts w:cs="Times New Roman"/>
                <w:noProof/>
              </w:rPr>
            </w:pPr>
            <w:r>
              <w:rPr>
                <w:noProof/>
              </w:rPr>
              <w:t xml:space="preserve">E7G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B8959E8" w14:textId="0D852ADF" w:rsidR="00EB245A" w:rsidRDefault="006021EE">
            <w:pPr>
              <w:pStyle w:val="P68B1DB1-Normal46"/>
              <w:spacing w:line="259" w:lineRule="auto"/>
              <w:ind w:left="1"/>
              <w:rPr>
                <w:rFonts w:cs="Times New Roman"/>
                <w:noProof/>
              </w:rPr>
            </w:pPr>
            <w:r>
              <w:rPr>
                <w:noProof/>
              </w:rPr>
              <w:t xml:space="preserve">E1.1 Steigerung der Nutzung umweltfreundlicher Verkehrsmittel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F4ADD63" w14:textId="48CA6BE0"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61C236F" w14:textId="1899596D" w:rsidR="00EB245A" w:rsidRDefault="006021EE">
            <w:pPr>
              <w:pStyle w:val="P68B1DB1-Normal46"/>
              <w:spacing w:after="2" w:line="237" w:lineRule="auto"/>
              <w:rPr>
                <w:rFonts w:cs="Times New Roman"/>
                <w:noProof/>
              </w:rPr>
            </w:pPr>
            <w:r>
              <w:rPr>
                <w:noProof/>
              </w:rPr>
              <w:t xml:space="preserve">Neue emissionsfreie Fahrzeuge </w:t>
            </w:r>
          </w:p>
        </w:tc>
      </w:tr>
      <w:tr w:rsidR="00EB245A" w14:paraId="4CF133F6"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73F1C15" w14:textId="7D210A74" w:rsidR="00EB245A" w:rsidRDefault="006021EE">
            <w:pPr>
              <w:pStyle w:val="P68B1DB1-Normal46"/>
              <w:spacing w:line="259" w:lineRule="auto"/>
              <w:ind w:right="43"/>
              <w:jc w:val="center"/>
              <w:rPr>
                <w:rFonts w:cs="Times New Roman"/>
                <w:noProof/>
              </w:rPr>
            </w:pPr>
            <w:r>
              <w:rPr>
                <w:noProof/>
              </w:rPr>
              <w:t xml:space="preserve">E14G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B2516B7" w14:textId="406E8AF4" w:rsidR="00EB245A" w:rsidRDefault="006021EE">
            <w:pPr>
              <w:pStyle w:val="P68B1DB1-Normal46"/>
              <w:spacing w:line="259" w:lineRule="auto"/>
              <w:ind w:left="1"/>
              <w:rPr>
                <w:rFonts w:cs="Times New Roman"/>
                <w:noProof/>
              </w:rPr>
            </w:pPr>
            <w:r>
              <w:rPr>
                <w:noProof/>
              </w:rPr>
              <w:t xml:space="preserve">E1.1.2 emissionsfreier und emissionsarmer öffentlicher Verkehr (Busse)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8E53016" w14:textId="0DA9DC42"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B72B262" w14:textId="48738A7F" w:rsidR="00EB245A" w:rsidRDefault="006021EE">
            <w:pPr>
              <w:pStyle w:val="P68B1DB1-Normal46"/>
              <w:spacing w:after="2" w:line="237" w:lineRule="auto"/>
              <w:rPr>
                <w:rFonts w:cs="Times New Roman"/>
                <w:noProof/>
              </w:rPr>
            </w:pPr>
            <w:r>
              <w:rPr>
                <w:noProof/>
              </w:rPr>
              <w:t xml:space="preserve">Neue emissionsfreie und emissionsarme Fahrzeuge in Betrieb </w:t>
            </w:r>
          </w:p>
        </w:tc>
      </w:tr>
      <w:tr w:rsidR="00EB245A" w14:paraId="63D31DB1"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73A68AD" w14:textId="5FEC42E6" w:rsidR="00EB245A" w:rsidRDefault="006021EE">
            <w:pPr>
              <w:pStyle w:val="P68B1DB1-Normal46"/>
              <w:spacing w:line="259" w:lineRule="auto"/>
              <w:ind w:right="43"/>
              <w:jc w:val="center"/>
              <w:rPr>
                <w:rFonts w:cs="Times New Roman"/>
                <w:noProof/>
              </w:rPr>
            </w:pPr>
            <w:r>
              <w:rPr>
                <w:noProof/>
              </w:rPr>
              <w:t xml:space="preserve">E18G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6CE8CF8" w14:textId="05CF4B19" w:rsidR="00EB245A" w:rsidRDefault="006021EE">
            <w:pPr>
              <w:pStyle w:val="P68B1DB1-Normal46"/>
              <w:spacing w:line="259" w:lineRule="auto"/>
              <w:ind w:left="1"/>
              <w:rPr>
                <w:rFonts w:cs="Times New Roman"/>
                <w:noProof/>
              </w:rPr>
            </w:pPr>
            <w:r>
              <w:rPr>
                <w:noProof/>
              </w:rPr>
              <w:t xml:space="preserve">E2.1.1 Eisenbahnstrecken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D02AA96" w14:textId="7C80B3E1"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A570194" w14:textId="7081A89C" w:rsidR="00EB245A" w:rsidRDefault="006021EE">
            <w:pPr>
              <w:pStyle w:val="P68B1DB1-Normal46"/>
              <w:spacing w:after="2" w:line="237" w:lineRule="auto"/>
              <w:rPr>
                <w:rFonts w:cs="Times New Roman"/>
                <w:noProof/>
              </w:rPr>
            </w:pPr>
            <w:r>
              <w:rPr>
                <w:noProof/>
              </w:rPr>
              <w:t xml:space="preserve">Modernisierung von 478 km Eisenbahnstrecken, davon 300 km nach TEN-V-Standards </w:t>
            </w:r>
          </w:p>
        </w:tc>
      </w:tr>
      <w:tr w:rsidR="00EB245A" w14:paraId="37B0C99E"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042516B" w14:textId="51B84B23" w:rsidR="00EB245A" w:rsidRDefault="006021EE">
            <w:pPr>
              <w:pStyle w:val="P68B1DB1-Normal46"/>
              <w:spacing w:line="259" w:lineRule="auto"/>
              <w:ind w:right="43"/>
              <w:jc w:val="center"/>
              <w:rPr>
                <w:rFonts w:cs="Times New Roman"/>
                <w:noProof/>
              </w:rPr>
            </w:pPr>
            <w:r>
              <w:rPr>
                <w:noProof/>
              </w:rPr>
              <w:t>E18aG</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B3A4CCA" w14:textId="0A7D7572" w:rsidR="00EB245A" w:rsidRDefault="006021EE">
            <w:pPr>
              <w:pStyle w:val="P68B1DB1-Normal46"/>
              <w:spacing w:line="259" w:lineRule="auto"/>
              <w:ind w:left="1"/>
              <w:rPr>
                <w:rFonts w:cs="Times New Roman"/>
                <w:noProof/>
              </w:rPr>
            </w:pPr>
            <w:r>
              <w:rPr>
                <w:noProof/>
              </w:rPr>
              <w:t>E2.1.1 Eisenbahnstrecken</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6A0AFD6" w14:textId="4FAE2FE7" w:rsidR="00EB245A" w:rsidRDefault="006021EE" w:rsidP="00E624AF">
            <w:pPr>
              <w:pStyle w:val="P68B1DB1-Normal021"/>
              <w:jc w:val="center"/>
              <w:rPr>
                <w:rFonts w:cs="Times New Roman"/>
                <w:noProof/>
              </w:rPr>
            </w:pPr>
            <w:r>
              <w:rPr>
                <w:noProof/>
              </w:rPr>
              <w:t>Ziel</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62851CD" w14:textId="77777777" w:rsidR="00EB245A" w:rsidRDefault="006021EE">
            <w:pPr>
              <w:pStyle w:val="P68B1DB1-Normal021"/>
              <w:rPr>
                <w:rFonts w:cs="Times New Roman"/>
                <w:noProof/>
              </w:rPr>
            </w:pPr>
            <w:r>
              <w:rPr>
                <w:noProof/>
              </w:rPr>
              <w:t>Beseitigung von 180 Engpässen (einschließlich Bahnübergängen)</w:t>
            </w:r>
          </w:p>
          <w:p w14:paraId="7D865F08" w14:textId="77777777" w:rsidR="00EB245A" w:rsidRDefault="00EB245A">
            <w:pPr>
              <w:spacing w:after="2" w:line="237" w:lineRule="auto"/>
              <w:rPr>
                <w:rFonts w:ascii="Times New Roman" w:hAnsi="Times New Roman" w:cs="Times New Roman"/>
                <w:noProof/>
              </w:rPr>
            </w:pPr>
          </w:p>
        </w:tc>
      </w:tr>
      <w:tr w:rsidR="00EB245A" w14:paraId="02DF9890"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963FB93" w14:textId="6AA47520" w:rsidR="00EB245A" w:rsidRDefault="006021EE">
            <w:pPr>
              <w:pStyle w:val="P68B1DB1-Normal46"/>
              <w:spacing w:line="259" w:lineRule="auto"/>
              <w:ind w:right="43"/>
              <w:jc w:val="center"/>
              <w:rPr>
                <w:rFonts w:cs="Times New Roman"/>
                <w:noProof/>
              </w:rPr>
            </w:pPr>
            <w:r>
              <w:rPr>
                <w:noProof/>
              </w:rPr>
              <w:t xml:space="preserve">E20G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BB6EA07" w14:textId="422E3C1E" w:rsidR="00EB245A" w:rsidRDefault="006021EE">
            <w:pPr>
              <w:pStyle w:val="P68B1DB1-Normal46"/>
              <w:spacing w:line="259" w:lineRule="auto"/>
              <w:ind w:left="1"/>
              <w:rPr>
                <w:rFonts w:cs="Times New Roman"/>
                <w:noProof/>
              </w:rPr>
            </w:pPr>
            <w:r>
              <w:rPr>
                <w:noProof/>
              </w:rPr>
              <w:t xml:space="preserve">E2.1.2 Schienenfahrzeuge für den Personenverkehr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33CEE28" w14:textId="02C52F88"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3891F51" w14:textId="61BD25B5" w:rsidR="00EB245A" w:rsidRDefault="006021EE">
            <w:pPr>
              <w:pStyle w:val="P68B1DB1-Normal46"/>
              <w:spacing w:after="2" w:line="237" w:lineRule="auto"/>
              <w:rPr>
                <w:rFonts w:cs="Times New Roman"/>
                <w:noProof/>
              </w:rPr>
            </w:pPr>
            <w:r>
              <w:rPr>
                <w:noProof/>
              </w:rPr>
              <w:t xml:space="preserve">Elektrische und mit ERTMS ausgestattete Fahrzeuge in Betrieb auf Regional- und Ferneisenbahnstrecken </w:t>
            </w:r>
          </w:p>
        </w:tc>
      </w:tr>
      <w:tr w:rsidR="00EB245A" w14:paraId="38CFCC20"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14E7333" w14:textId="6AEFF48E" w:rsidR="00EB245A" w:rsidRDefault="006021EE">
            <w:pPr>
              <w:pStyle w:val="P68B1DB1-Normal46"/>
              <w:spacing w:line="259" w:lineRule="auto"/>
              <w:ind w:right="43"/>
              <w:jc w:val="center"/>
              <w:rPr>
                <w:rFonts w:cs="Times New Roman"/>
                <w:noProof/>
              </w:rPr>
            </w:pPr>
            <w:r>
              <w:rPr>
                <w:noProof/>
              </w:rPr>
              <w:t xml:space="preserve">E22G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9A60F1E" w14:textId="1285EBCB" w:rsidR="00EB245A" w:rsidRDefault="006021EE">
            <w:pPr>
              <w:pStyle w:val="P68B1DB1-Normal46"/>
              <w:spacing w:line="259" w:lineRule="auto"/>
              <w:ind w:left="1"/>
              <w:rPr>
                <w:rFonts w:cs="Times New Roman"/>
                <w:noProof/>
              </w:rPr>
            </w:pPr>
            <w:r>
              <w:rPr>
                <w:noProof/>
              </w:rPr>
              <w:t xml:space="preserve">E2.1.3 Intermodale Projekte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29ED674" w14:textId="36B37621"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295FC4E" w14:textId="1DC7B059" w:rsidR="00EB245A" w:rsidRDefault="006021EE">
            <w:pPr>
              <w:pStyle w:val="P68B1DB1-Normal46"/>
              <w:spacing w:after="2" w:line="237" w:lineRule="auto"/>
              <w:rPr>
                <w:rFonts w:cs="Times New Roman"/>
                <w:noProof/>
              </w:rPr>
            </w:pPr>
            <w:r>
              <w:rPr>
                <w:noProof/>
              </w:rPr>
              <w:t xml:space="preserve">Erhöhung der Umschlagkapazität </w:t>
            </w:r>
          </w:p>
        </w:tc>
      </w:tr>
      <w:tr w:rsidR="00EB245A" w14:paraId="09F6D019"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CC77B13" w14:textId="182311CB" w:rsidR="00EB245A" w:rsidRDefault="006021EE">
            <w:pPr>
              <w:pStyle w:val="P68B1DB1-Normal46"/>
              <w:spacing w:line="259" w:lineRule="auto"/>
              <w:ind w:right="43"/>
              <w:jc w:val="center"/>
              <w:rPr>
                <w:rFonts w:cs="Times New Roman"/>
                <w:noProof/>
              </w:rPr>
            </w:pPr>
            <w:r>
              <w:rPr>
                <w:noProof/>
              </w:rPr>
              <w:t xml:space="preserve">E25G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BC97526" w14:textId="146E596A" w:rsidR="00EB245A" w:rsidRDefault="006021EE">
            <w:pPr>
              <w:pStyle w:val="P68B1DB1-Normal46"/>
              <w:spacing w:line="259" w:lineRule="auto"/>
              <w:ind w:left="1"/>
              <w:rPr>
                <w:rFonts w:cs="Times New Roman"/>
                <w:noProof/>
              </w:rPr>
            </w:pPr>
            <w:r>
              <w:rPr>
                <w:noProof/>
              </w:rPr>
              <w:t xml:space="preserve">E2.2.1 Investitionen in die Verkehrssicherheit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AA0065A" w14:textId="6868E19E"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820727A" w14:textId="1AA44763" w:rsidR="00EB245A" w:rsidRDefault="006021EE">
            <w:pPr>
              <w:pStyle w:val="P68B1DB1-Normal46"/>
              <w:spacing w:after="2" w:line="237" w:lineRule="auto"/>
              <w:rPr>
                <w:rFonts w:cs="Times New Roman"/>
                <w:noProof/>
              </w:rPr>
            </w:pPr>
            <w:r>
              <w:rPr>
                <w:noProof/>
              </w:rPr>
              <w:t xml:space="preserve">Fertigstellung des Baus von Umgehungsstraßen, Beseitigung von Schwarz-/Hotspots für die Straßenverkehrssicherheit und Installation automatischer Straßenüberwachungsgeräte </w:t>
            </w:r>
          </w:p>
        </w:tc>
      </w:tr>
      <w:tr w:rsidR="00EB245A" w14:paraId="68604032"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8C8E78C" w14:textId="20FD7CC5" w:rsidR="00EB245A" w:rsidRDefault="006021EE">
            <w:pPr>
              <w:pStyle w:val="P68B1DB1-Normal46"/>
              <w:spacing w:line="259" w:lineRule="auto"/>
              <w:ind w:right="43"/>
              <w:jc w:val="center"/>
              <w:rPr>
                <w:rFonts w:cs="Times New Roman"/>
                <w:noProof/>
              </w:rPr>
            </w:pPr>
            <w:r>
              <w:rPr>
                <w:noProof/>
              </w:rPr>
              <w:t xml:space="preserve">E28G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E67C8B0" w14:textId="37A848CA" w:rsidR="00EB245A" w:rsidRDefault="006021EE">
            <w:pPr>
              <w:pStyle w:val="P68B1DB1-Normal46"/>
              <w:spacing w:line="259" w:lineRule="auto"/>
              <w:ind w:left="1"/>
              <w:rPr>
                <w:rFonts w:cs="Times New Roman"/>
                <w:noProof/>
              </w:rPr>
            </w:pPr>
            <w:r>
              <w:rPr>
                <w:noProof/>
              </w:rPr>
              <w:t xml:space="preserve">E2.2.2 Digitalisierung des Verkehrs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E8AF82D" w14:textId="4DFD4233"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45FDA72" w14:textId="07E1900C" w:rsidR="00EB245A" w:rsidRDefault="006021EE">
            <w:pPr>
              <w:pStyle w:val="P68B1DB1-Normal46"/>
              <w:spacing w:after="2" w:line="237" w:lineRule="auto"/>
              <w:rPr>
                <w:rFonts w:cs="Times New Roman"/>
                <w:noProof/>
              </w:rPr>
            </w:pPr>
            <w:r>
              <w:rPr>
                <w:noProof/>
              </w:rPr>
              <w:t>Installation von automatischen Ste</w:t>
            </w:r>
            <w:r>
              <w:rPr>
                <w:noProof/>
              </w:rPr>
              <w:t xml:space="preserve">uerungen, Bahnübergängen, 180 ERTMS-Bordeinheiten und entsprechende Inbetriebnahme </w:t>
            </w:r>
          </w:p>
        </w:tc>
      </w:tr>
      <w:tr w:rsidR="00EB245A" w14:paraId="13B28774"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7E26C5B" w14:textId="6EDC952F" w:rsidR="00EB245A" w:rsidRDefault="006021EE">
            <w:pPr>
              <w:pStyle w:val="P68B1DB1-Normal46"/>
              <w:spacing w:line="259" w:lineRule="auto"/>
              <w:ind w:right="43"/>
              <w:jc w:val="center"/>
              <w:rPr>
                <w:rFonts w:cs="Times New Roman"/>
                <w:noProof/>
              </w:rPr>
            </w:pPr>
            <w:r>
              <w:rPr>
                <w:noProof/>
              </w:rPr>
              <w:t xml:space="preserve">G5G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463AA71" w14:textId="1F541FD7" w:rsidR="00EB245A" w:rsidRDefault="006021EE">
            <w:pPr>
              <w:pStyle w:val="P68B1DB1-Normal46"/>
              <w:spacing w:line="259" w:lineRule="auto"/>
              <w:ind w:left="1"/>
              <w:rPr>
                <w:rFonts w:cs="Times New Roman"/>
                <w:noProof/>
              </w:rPr>
            </w:pPr>
            <w:r>
              <w:rPr>
                <w:noProof/>
              </w:rPr>
              <w:t xml:space="preserve">G1.1.2 Anlagen für erneuerbare Energiequellen, die von Energiegemeinschaften betrieben werden, einschließlich eines erweiterten Teils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E8E6892" w14:textId="79564701"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84E99BB" w14:textId="7DEEF1A3" w:rsidR="00EB245A" w:rsidRDefault="006021EE">
            <w:pPr>
              <w:pStyle w:val="P68B1DB1-Normal46"/>
              <w:spacing w:after="2" w:line="237" w:lineRule="auto"/>
              <w:rPr>
                <w:rFonts w:cs="Times New Roman"/>
                <w:noProof/>
              </w:rPr>
            </w:pPr>
            <w:r>
              <w:rPr>
                <w:noProof/>
              </w:rPr>
              <w:t xml:space="preserve">Im Rahmen des Investitionsteils unterstützte Einrichtungen </w:t>
            </w:r>
          </w:p>
        </w:tc>
      </w:tr>
      <w:tr w:rsidR="00EB245A" w14:paraId="0A3F257B"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A38A75A" w14:textId="27994EC0" w:rsidR="00EB245A" w:rsidRDefault="006021EE">
            <w:pPr>
              <w:pStyle w:val="P68B1DB1-Normal46"/>
              <w:spacing w:line="259" w:lineRule="auto"/>
              <w:ind w:right="43"/>
              <w:jc w:val="center"/>
              <w:rPr>
                <w:rFonts w:cs="Times New Roman"/>
                <w:noProof/>
              </w:rPr>
            </w:pPr>
            <w:r>
              <w:rPr>
                <w:noProof/>
              </w:rPr>
              <w:t xml:space="preserve">G6G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A7906EE" w14:textId="3F6EF690" w:rsidR="00EB245A" w:rsidRDefault="006021EE">
            <w:pPr>
              <w:pStyle w:val="P68B1DB1-Normal46"/>
              <w:spacing w:line="259" w:lineRule="auto"/>
              <w:ind w:left="1"/>
              <w:rPr>
                <w:rFonts w:cs="Times New Roman"/>
                <w:noProof/>
              </w:rPr>
            </w:pPr>
            <w:r>
              <w:rPr>
                <w:noProof/>
              </w:rPr>
              <w:t xml:space="preserve">G1.1.3 Energiespeichersysteme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00BAD22" w14:textId="1EF5D1D9" w:rsidR="00EB245A" w:rsidRDefault="006021EE">
            <w:pPr>
              <w:pStyle w:val="P68B1DB1-Normal46"/>
              <w:spacing w:line="259" w:lineRule="auto"/>
              <w:ind w:right="41"/>
              <w:jc w:val="center"/>
              <w:rPr>
                <w:rFonts w:cs="Times New Roman"/>
                <w:noProof/>
              </w:rPr>
            </w:pPr>
            <w:r>
              <w:rPr>
                <w:noProof/>
              </w:rPr>
              <w:t xml:space="preserve">Meilenstein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AFDAE91" w14:textId="57803C03" w:rsidR="00EB245A" w:rsidRDefault="006021EE">
            <w:pPr>
              <w:pStyle w:val="P68B1DB1-Normal46"/>
              <w:spacing w:after="2" w:line="237" w:lineRule="auto"/>
              <w:rPr>
                <w:rFonts w:cs="Times New Roman"/>
                <w:noProof/>
              </w:rPr>
            </w:pPr>
            <w:r>
              <w:rPr>
                <w:noProof/>
              </w:rPr>
              <w:t xml:space="preserve"> Einführung eines Batterie-Energiespeichersystems (BESS) </w:t>
            </w:r>
          </w:p>
        </w:tc>
      </w:tr>
      <w:tr w:rsidR="00EB245A" w14:paraId="6A4881ED"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61FB3CC" w14:textId="694AEE2C" w:rsidR="00EB245A" w:rsidRDefault="006021EE">
            <w:pPr>
              <w:pStyle w:val="P68B1DB1-Normal46"/>
              <w:spacing w:line="259" w:lineRule="auto"/>
              <w:ind w:right="43"/>
              <w:jc w:val="center"/>
              <w:rPr>
                <w:rFonts w:cs="Times New Roman"/>
                <w:noProof/>
              </w:rPr>
            </w:pPr>
            <w:r>
              <w:rPr>
                <w:noProof/>
              </w:rPr>
              <w:t xml:space="preserve">G11G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AA003C5" w14:textId="77777777" w:rsidR="00EB245A" w:rsidRDefault="006021EE">
            <w:pPr>
              <w:pStyle w:val="P68B1DB1-Normal46"/>
              <w:spacing w:after="1" w:line="238" w:lineRule="auto"/>
              <w:rPr>
                <w:rFonts w:cs="Times New Roman"/>
                <w:noProof/>
              </w:rPr>
            </w:pPr>
            <w:r>
              <w:rPr>
                <w:noProof/>
              </w:rPr>
              <w:t xml:space="preserve">G1.1.4 Unterstützung von Institutionen, die REPowerEU-Reformen und -Investitionen umsetzen </w:t>
            </w:r>
          </w:p>
          <w:p w14:paraId="59414BC2" w14:textId="67BD8B15" w:rsidR="00EB245A" w:rsidRDefault="006021EE">
            <w:pPr>
              <w:pStyle w:val="P68B1DB1-Normal46"/>
              <w:spacing w:line="259" w:lineRule="auto"/>
              <w:ind w:left="1"/>
              <w:rPr>
                <w:rFonts w:cs="Times New Roman"/>
                <w:noProof/>
              </w:rPr>
            </w:pPr>
            <w:r>
              <w:rPr>
                <w:noProof/>
              </w:rPr>
              <w:t xml:space="preserve">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9044996" w14:textId="6D8DA1D5" w:rsidR="00EB245A" w:rsidRDefault="006021EE">
            <w:pPr>
              <w:pStyle w:val="P68B1DB1-Normal46"/>
              <w:spacing w:line="259" w:lineRule="auto"/>
              <w:ind w:right="41"/>
              <w:jc w:val="center"/>
              <w:rPr>
                <w:rFonts w:cs="Times New Roman"/>
                <w:noProof/>
              </w:rPr>
            </w:pPr>
            <w:r>
              <w:rPr>
                <w:noProof/>
              </w:rPr>
              <w:t xml:space="preserve">Meilenstein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487DFD9" w14:textId="6D865639" w:rsidR="00EB245A" w:rsidRDefault="006021EE">
            <w:pPr>
              <w:pStyle w:val="P68B1DB1-Normal46"/>
              <w:spacing w:after="2" w:line="237" w:lineRule="auto"/>
              <w:rPr>
                <w:rFonts w:cs="Times New Roman"/>
                <w:noProof/>
              </w:rPr>
            </w:pPr>
            <w:r>
              <w:rPr>
                <w:noProof/>
              </w:rPr>
              <w:t xml:space="preserve">Einführung eines IT-Tools für die Anwendung des neuen Regulierungsmodells durch die Energieregulierungsbehörde </w:t>
            </w:r>
          </w:p>
        </w:tc>
      </w:tr>
      <w:tr w:rsidR="00EB245A" w14:paraId="685F8C5A"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893E98D" w14:textId="4B9B6FA7" w:rsidR="00EB245A" w:rsidRDefault="006021EE">
            <w:pPr>
              <w:pStyle w:val="P68B1DB1-Normal46"/>
              <w:spacing w:line="259" w:lineRule="auto"/>
              <w:ind w:right="43"/>
              <w:jc w:val="center"/>
              <w:rPr>
                <w:rFonts w:cs="Times New Roman"/>
                <w:noProof/>
              </w:rPr>
            </w:pPr>
            <w:r>
              <w:rPr>
                <w:noProof/>
              </w:rPr>
              <w:t xml:space="preserve">G17G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D7399EB" w14:textId="2517353B" w:rsidR="00EB245A" w:rsidRDefault="006021EE">
            <w:pPr>
              <w:pStyle w:val="P68B1DB1-Normal46"/>
              <w:spacing w:after="1" w:line="238" w:lineRule="auto"/>
              <w:rPr>
                <w:rFonts w:cs="Times New Roman"/>
                <w:noProof/>
              </w:rPr>
            </w:pPr>
            <w:r>
              <w:rPr>
                <w:noProof/>
              </w:rPr>
              <w:t xml:space="preserve">G1.2.3 Ausbau der Übertragungsnetze, intelligente Strominfrastruktur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6E4A216" w14:textId="0661F0EE"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C2B1E66" w14:textId="1764AFD3" w:rsidR="00EB245A" w:rsidRDefault="006021EE">
            <w:pPr>
              <w:pStyle w:val="P68B1DB1-Normal46"/>
              <w:spacing w:after="2" w:line="237" w:lineRule="auto"/>
              <w:rPr>
                <w:rFonts w:cs="Times New Roman"/>
                <w:noProof/>
              </w:rPr>
            </w:pPr>
            <w:r>
              <w:rPr>
                <w:noProof/>
              </w:rPr>
              <w:t xml:space="preserve">Länge des neu gebauten oder modernisierten Stromübertragungsnetzes (km) </w:t>
            </w:r>
          </w:p>
        </w:tc>
      </w:tr>
      <w:tr w:rsidR="00EB245A" w14:paraId="1D5DA152"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2715E81" w14:textId="7AEE578D" w:rsidR="00EB245A" w:rsidRDefault="006021EE">
            <w:pPr>
              <w:pStyle w:val="P68B1DB1-Normal46"/>
              <w:spacing w:line="259" w:lineRule="auto"/>
              <w:ind w:right="43"/>
              <w:jc w:val="center"/>
              <w:rPr>
                <w:rFonts w:cs="Times New Roman"/>
                <w:noProof/>
              </w:rPr>
            </w:pPr>
            <w:r>
              <w:rPr>
                <w:noProof/>
              </w:rPr>
              <w:t xml:space="preserve">G19G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24355E7" w14:textId="24A1BE26" w:rsidR="00EB245A" w:rsidRDefault="006021EE">
            <w:pPr>
              <w:pStyle w:val="P68B1DB1-Normal46"/>
              <w:spacing w:after="1" w:line="238" w:lineRule="auto"/>
              <w:rPr>
                <w:rFonts w:cs="Times New Roman"/>
                <w:noProof/>
              </w:rPr>
            </w:pPr>
            <w:r>
              <w:rPr>
                <w:noProof/>
              </w:rPr>
              <w:t xml:space="preserve">G1.2.3. Ausbau der Übertragungsnetze, intelligente Strominfrastruktur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C434CFE" w14:textId="6C089071"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CED9074" w14:textId="5283D591" w:rsidR="00EB245A" w:rsidRDefault="006021EE">
            <w:pPr>
              <w:pStyle w:val="P68B1DB1-Normal46"/>
              <w:spacing w:after="2" w:line="237" w:lineRule="auto"/>
              <w:rPr>
                <w:rFonts w:cs="Times New Roman"/>
                <w:noProof/>
              </w:rPr>
            </w:pPr>
            <w:r>
              <w:rPr>
                <w:noProof/>
              </w:rPr>
              <w:t xml:space="preserve">Länge des neu gebauten oder modernisierten Stromübertragungsnetzes (km) </w:t>
            </w:r>
          </w:p>
        </w:tc>
      </w:tr>
      <w:tr w:rsidR="00EB245A" w14:paraId="733DB25C"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E3AD169" w14:textId="4ADDE911" w:rsidR="00EB245A" w:rsidRDefault="006021EE">
            <w:pPr>
              <w:pStyle w:val="P68B1DB1-Normal46"/>
              <w:spacing w:line="259" w:lineRule="auto"/>
              <w:ind w:right="43"/>
              <w:jc w:val="center"/>
              <w:rPr>
                <w:rFonts w:cs="Times New Roman"/>
                <w:noProof/>
              </w:rPr>
            </w:pPr>
            <w:r>
              <w:rPr>
                <w:noProof/>
              </w:rPr>
              <w:t xml:space="preserve">G20G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1806265" w14:textId="3E431641" w:rsidR="00EB245A" w:rsidRDefault="006021EE">
            <w:pPr>
              <w:pStyle w:val="P68B1DB1-Normal46"/>
              <w:spacing w:after="1" w:line="238" w:lineRule="auto"/>
              <w:rPr>
                <w:rFonts w:cs="Times New Roman"/>
                <w:noProof/>
              </w:rPr>
            </w:pPr>
            <w:r>
              <w:rPr>
                <w:noProof/>
              </w:rPr>
              <w:t xml:space="preserve">G1.2.3 Ausbau der Übertragungsnetze, intelligente Strominfrastruktur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54B677A" w14:textId="2EB996BA"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8CD824C" w14:textId="20D8329E" w:rsidR="00EB245A" w:rsidRDefault="006021EE">
            <w:pPr>
              <w:pStyle w:val="P68B1DB1-Normal46"/>
              <w:spacing w:after="2" w:line="237" w:lineRule="auto"/>
              <w:rPr>
                <w:rFonts w:cs="Times New Roman"/>
                <w:noProof/>
              </w:rPr>
            </w:pPr>
            <w:r>
              <w:rPr>
                <w:noProof/>
              </w:rPr>
              <w:t xml:space="preserve">Erweiterte oder umgerüstete Kraftwerke innerhalb des Übertragungsnetzes </w:t>
            </w:r>
          </w:p>
        </w:tc>
      </w:tr>
      <w:tr w:rsidR="00EB245A" w14:paraId="028F09FC"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705A333" w14:textId="3A6C6F83" w:rsidR="00EB245A" w:rsidRDefault="006021EE">
            <w:pPr>
              <w:pStyle w:val="P68B1DB1-Normal46"/>
              <w:spacing w:line="259" w:lineRule="auto"/>
              <w:ind w:right="43"/>
              <w:jc w:val="center"/>
              <w:rPr>
                <w:rFonts w:cs="Times New Roman"/>
                <w:noProof/>
              </w:rPr>
            </w:pPr>
            <w:r>
              <w:rPr>
                <w:noProof/>
              </w:rPr>
              <w:t xml:space="preserve">G24G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E52B79D" w14:textId="6CFEBC4B" w:rsidR="00EB245A" w:rsidRDefault="006021EE">
            <w:pPr>
              <w:pStyle w:val="P68B1DB1-Normal46"/>
              <w:spacing w:after="1" w:line="238" w:lineRule="auto"/>
              <w:rPr>
                <w:rFonts w:cs="Times New Roman"/>
                <w:noProof/>
              </w:rPr>
            </w:pPr>
            <w:r>
              <w:rPr>
                <w:noProof/>
              </w:rPr>
              <w:t xml:space="preserve">G1.2.4 Bau oder </w:t>
            </w:r>
            <w:r>
              <w:rPr>
                <w:noProof/>
              </w:rPr>
              <w:t xml:space="preserve">Modernisierung von Stromverteilungsnetzen in ländlichen Gebieten, um den Anschluss neuer erneuerbarer Energiequellen zu ermöglichen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65AE4F2" w14:textId="038A82EF"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80DC265" w14:textId="73CDBDB3" w:rsidR="00EB245A" w:rsidRDefault="006021EE">
            <w:pPr>
              <w:pStyle w:val="P68B1DB1-Normal46"/>
              <w:spacing w:after="2" w:line="237" w:lineRule="auto"/>
              <w:rPr>
                <w:rFonts w:cs="Times New Roman"/>
                <w:noProof/>
              </w:rPr>
            </w:pPr>
            <w:r>
              <w:rPr>
                <w:noProof/>
              </w:rPr>
              <w:t xml:space="preserve">Länge neu gebauter oder modernisierter Leitungen in Verteilernetzen (km) </w:t>
            </w:r>
          </w:p>
        </w:tc>
      </w:tr>
      <w:tr w:rsidR="00EB245A" w14:paraId="305A2E19"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3523771" w14:textId="278072F8" w:rsidR="00EB245A" w:rsidRDefault="006021EE">
            <w:pPr>
              <w:pStyle w:val="P68B1DB1-Normal46"/>
              <w:spacing w:line="259" w:lineRule="auto"/>
              <w:ind w:right="43"/>
              <w:jc w:val="center"/>
              <w:rPr>
                <w:rFonts w:cs="Times New Roman"/>
                <w:noProof/>
              </w:rPr>
            </w:pPr>
            <w:r>
              <w:rPr>
                <w:noProof/>
              </w:rPr>
              <w:t xml:space="preserve">G27G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425DB45" w14:textId="05C749E5" w:rsidR="00EB245A" w:rsidRDefault="006021EE">
            <w:pPr>
              <w:pStyle w:val="P68B1DB1-Normal46"/>
              <w:spacing w:after="1" w:line="238" w:lineRule="auto"/>
              <w:rPr>
                <w:rFonts w:cs="Times New Roman"/>
                <w:noProof/>
              </w:rPr>
            </w:pPr>
            <w:r>
              <w:rPr>
                <w:noProof/>
              </w:rPr>
              <w:t xml:space="preserve">G1.3.2 Nullemissionsfreier öffentlicher Verkehr (Busse)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B59AB27" w14:textId="496A99B4" w:rsidR="00EB245A" w:rsidRDefault="006021EE">
            <w:pPr>
              <w:pStyle w:val="P68B1DB1-Normal46"/>
              <w:spacing w:line="259" w:lineRule="auto"/>
              <w:ind w:right="41"/>
              <w:jc w:val="center"/>
              <w:rPr>
                <w:rFonts w:cs="Times New Roman"/>
                <w:noProof/>
              </w:rPr>
            </w:pPr>
            <w:r>
              <w:rPr>
                <w:noProof/>
              </w:rPr>
              <w:t xml:space="preserve">Ziel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A07BCC8" w14:textId="19975B1F" w:rsidR="00EB245A" w:rsidRDefault="006021EE">
            <w:pPr>
              <w:pStyle w:val="P68B1DB1-Normal46"/>
              <w:spacing w:after="2" w:line="237" w:lineRule="auto"/>
              <w:rPr>
                <w:rFonts w:cs="Times New Roman"/>
                <w:noProof/>
              </w:rPr>
            </w:pPr>
            <w:r>
              <w:rPr>
                <w:noProof/>
              </w:rPr>
              <w:t xml:space="preserve">Neue emissionsfreie Fahrzeuge in Betrieb </w:t>
            </w:r>
          </w:p>
        </w:tc>
      </w:tr>
      <w:tr w:rsidR="00EB245A" w14:paraId="74AA8305" w14:textId="77777777">
        <w:trPr>
          <w:trHeight w:val="1226"/>
        </w:trPr>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4450B00" w14:textId="579B33F6" w:rsidR="00EB245A" w:rsidRDefault="006021EE">
            <w:pPr>
              <w:pStyle w:val="P68B1DB1-Normal46"/>
              <w:spacing w:line="259" w:lineRule="auto"/>
              <w:ind w:right="43"/>
              <w:jc w:val="center"/>
              <w:rPr>
                <w:rFonts w:cs="Times New Roman"/>
                <w:noProof/>
              </w:rPr>
            </w:pPr>
            <w:r>
              <w:rPr>
                <w:noProof/>
              </w:rPr>
              <w:t xml:space="preserve"> </w:t>
            </w:r>
          </w:p>
        </w:tc>
        <w:tc>
          <w:tcPr>
            <w:tcW w:w="34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7C3CAFA" w14:textId="78254CBD" w:rsidR="00EB245A" w:rsidRDefault="006021EE">
            <w:pPr>
              <w:pStyle w:val="P68B1DB1-Normal46"/>
              <w:spacing w:after="1" w:line="238" w:lineRule="auto"/>
              <w:rPr>
                <w:rFonts w:cs="Times New Roman"/>
                <w:noProof/>
              </w:rPr>
            </w:pPr>
            <w:r>
              <w:rPr>
                <w:noProof/>
              </w:rPr>
              <w:t xml:space="preserve"> </w:t>
            </w:r>
          </w:p>
        </w:tc>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D4EB9B3" w14:textId="49FDEFD6" w:rsidR="00EB245A" w:rsidRDefault="006021EE">
            <w:pPr>
              <w:pStyle w:val="P68B1DB1-Normal46"/>
              <w:spacing w:line="259" w:lineRule="auto"/>
              <w:ind w:right="41"/>
              <w:jc w:val="center"/>
              <w:rPr>
                <w:rFonts w:cs="Times New Roman"/>
                <w:noProof/>
              </w:rPr>
            </w:pPr>
            <w:r>
              <w:rPr>
                <w:noProof/>
              </w:rPr>
              <w:t xml:space="preserve">Ratenzahlungsbetrag </w:t>
            </w:r>
          </w:p>
        </w:tc>
        <w:tc>
          <w:tcPr>
            <w:tcW w:w="3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03702EA" w14:textId="647BED60" w:rsidR="00EB245A" w:rsidRDefault="006021EE">
            <w:pPr>
              <w:pStyle w:val="P68B1DB1-Normal46"/>
              <w:spacing w:after="2" w:line="237" w:lineRule="auto"/>
              <w:rPr>
                <w:rFonts w:cs="Times New Roman"/>
                <w:noProof/>
              </w:rPr>
            </w:pPr>
            <w:r>
              <w:rPr>
                <w:noProof/>
              </w:rPr>
              <w:t>4 661 607 139 EUR</w:t>
            </w:r>
          </w:p>
        </w:tc>
      </w:tr>
    </w:tbl>
    <w:p w14:paraId="5471973E" w14:textId="77777777" w:rsidR="00EB245A" w:rsidRDefault="006021EE">
      <w:pPr>
        <w:pStyle w:val="Heading3"/>
        <w:ind w:left="-5" w:firstLine="0"/>
        <w:rPr>
          <w:noProof/>
        </w:rPr>
      </w:pPr>
      <w:r>
        <w:rPr>
          <w:noProof/>
        </w:rPr>
        <w:t xml:space="preserve">2.2. Darlehen </w:t>
      </w:r>
    </w:p>
    <w:p w14:paraId="11A93C1C" w14:textId="34932EC3" w:rsidR="00EB245A" w:rsidRDefault="006021EE">
      <w:pPr>
        <w:pStyle w:val="P68B1DB1-Normal46"/>
        <w:ind w:left="-5" w:right="14"/>
        <w:rPr>
          <w:rFonts w:cs="Times New Roman"/>
          <w:noProof/>
        </w:rPr>
      </w:pPr>
      <w:r>
        <w:rPr>
          <w:noProof/>
        </w:rPr>
        <w:t xml:space="preserve">Die in Artikel 3 Absatz 2 genannten Tranchen werden wie folgt strukturiert: </w:t>
      </w:r>
    </w:p>
    <w:p w14:paraId="2473C3C8" w14:textId="77777777" w:rsidR="00EB245A" w:rsidRDefault="006021EE">
      <w:pPr>
        <w:pStyle w:val="P68B1DB1-Normal46"/>
        <w:spacing w:after="11"/>
        <w:ind w:left="-5" w:right="14"/>
        <w:rPr>
          <w:rFonts w:cs="Times New Roman"/>
          <w:noProof/>
        </w:rPr>
      </w:pPr>
      <w:r>
        <w:rPr>
          <w:noProof/>
        </w:rPr>
        <w:t xml:space="preserve">2.2.1. Erste Tranche (Unterstützung in Form eines Darlehens): </w:t>
      </w:r>
    </w:p>
    <w:tbl>
      <w:tblPr>
        <w:tblStyle w:val="TableGrid0"/>
        <w:tblW w:w="10481" w:type="dxa"/>
        <w:tblInd w:w="10" w:type="dxa"/>
        <w:tblCellMar>
          <w:top w:w="53" w:type="dxa"/>
          <w:left w:w="107" w:type="dxa"/>
          <w:right w:w="53" w:type="dxa"/>
        </w:tblCellMar>
        <w:tblLook w:val="04A0" w:firstRow="1" w:lastRow="0" w:firstColumn="1" w:lastColumn="0" w:noHBand="0" w:noVBand="1"/>
      </w:tblPr>
      <w:tblGrid>
        <w:gridCol w:w="1242"/>
        <w:gridCol w:w="3493"/>
        <w:gridCol w:w="2177"/>
        <w:gridCol w:w="3569"/>
      </w:tblGrid>
      <w:tr w:rsidR="00EB245A" w14:paraId="686C930A" w14:textId="77777777">
        <w:trPr>
          <w:trHeight w:val="728"/>
          <w:tblHeader/>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082A9FAF" w14:textId="77777777" w:rsidR="00EB245A" w:rsidRDefault="006021EE">
            <w:pPr>
              <w:pStyle w:val="P68B1DB1-Normal46"/>
              <w:spacing w:line="259" w:lineRule="auto"/>
              <w:jc w:val="center"/>
              <w:rPr>
                <w:rFonts w:cs="Times New Roman"/>
                <w:noProof/>
              </w:rPr>
            </w:pPr>
            <w:r>
              <w:rPr>
                <w:b/>
                <w:noProof/>
              </w:rPr>
              <w:t>Laufende Nummer</w:t>
            </w:r>
            <w:r>
              <w:rPr>
                <w:noProof/>
              </w:rPr>
              <w:t xml:space="preserve">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663CAFC0" w14:textId="77777777" w:rsidR="00EB245A" w:rsidRDefault="006021EE">
            <w:pPr>
              <w:pStyle w:val="P68B1DB1-Normal46"/>
              <w:spacing w:line="259" w:lineRule="auto"/>
              <w:jc w:val="center"/>
              <w:rPr>
                <w:rFonts w:cs="Times New Roman"/>
                <w:noProof/>
              </w:rPr>
            </w:pPr>
            <w:r>
              <w:rPr>
                <w:b/>
                <w:noProof/>
              </w:rPr>
              <w:t>Verbundene Maßnahme (Reform oder Investition)</w:t>
            </w:r>
            <w:r>
              <w:rPr>
                <w:noProof/>
              </w:rPr>
              <w:t xml:space="preserv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412F34E9" w14:textId="77777777" w:rsidR="00EB245A" w:rsidRDefault="006021EE">
            <w:pPr>
              <w:pStyle w:val="P68B1DB1-Normal46"/>
              <w:spacing w:line="259" w:lineRule="auto"/>
              <w:ind w:left="25" w:right="24"/>
              <w:jc w:val="center"/>
              <w:rPr>
                <w:rFonts w:cs="Times New Roman"/>
                <w:noProof/>
              </w:rPr>
            </w:pPr>
            <w:r>
              <w:rPr>
                <w:b/>
                <w:noProof/>
              </w:rPr>
              <w:t>Etappenziel/Zielwert</w:t>
            </w:r>
            <w:r>
              <w:rPr>
                <w:noProof/>
              </w:rPr>
              <w:t xml:space="preserve">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4B0DB885" w14:textId="77777777" w:rsidR="00EB245A" w:rsidRDefault="006021EE">
            <w:pPr>
              <w:pStyle w:val="P68B1DB1-Normal46"/>
              <w:spacing w:line="259" w:lineRule="auto"/>
              <w:ind w:right="53"/>
              <w:jc w:val="center"/>
              <w:rPr>
                <w:rFonts w:cs="Times New Roman"/>
                <w:noProof/>
              </w:rPr>
            </w:pPr>
            <w:r>
              <w:rPr>
                <w:b/>
                <w:noProof/>
              </w:rPr>
              <w:t>Namen</w:t>
            </w:r>
            <w:r>
              <w:rPr>
                <w:noProof/>
              </w:rPr>
              <w:t xml:space="preserve"> </w:t>
            </w:r>
          </w:p>
        </w:tc>
      </w:tr>
      <w:tr w:rsidR="00EB245A" w14:paraId="54D1DD68" w14:textId="77777777">
        <w:trPr>
          <w:trHeight w:val="974"/>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851E6D6" w14:textId="77777777" w:rsidR="00EB245A" w:rsidRDefault="006021EE">
            <w:pPr>
              <w:pStyle w:val="P68B1DB1-Normal46"/>
              <w:spacing w:line="259" w:lineRule="auto"/>
              <w:ind w:right="57"/>
              <w:jc w:val="center"/>
              <w:rPr>
                <w:rFonts w:cs="Times New Roman"/>
                <w:noProof/>
              </w:rPr>
            </w:pPr>
            <w:r>
              <w:rPr>
                <w:noProof/>
              </w:rPr>
              <w:t xml:space="preserve">B1L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9117169" w14:textId="77777777" w:rsidR="00EB245A" w:rsidRDefault="006021EE">
            <w:pPr>
              <w:pStyle w:val="P68B1DB1-Normal46"/>
              <w:spacing w:line="259" w:lineRule="auto"/>
              <w:rPr>
                <w:rFonts w:cs="Times New Roman"/>
                <w:noProof/>
              </w:rPr>
            </w:pPr>
            <w:r>
              <w:rPr>
                <w:noProof/>
              </w:rPr>
              <w:t xml:space="preserve">B1.2 Erleichterung der Umsetzung der Energieeinsparverpflichtung für Energieunternehmen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D38C8E5" w14:textId="6870A05F" w:rsidR="00EB245A" w:rsidRDefault="006021EE" w:rsidP="00E624AF">
            <w:pPr>
              <w:pStyle w:val="P68B1DB1-Normal46"/>
              <w:spacing w:line="259" w:lineRule="auto"/>
              <w:ind w:left="74"/>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67FEDC7" w14:textId="77777777" w:rsidR="00EB245A" w:rsidRDefault="006021EE">
            <w:pPr>
              <w:pStyle w:val="P68B1DB1-Normal46"/>
              <w:spacing w:line="259" w:lineRule="auto"/>
              <w:rPr>
                <w:rFonts w:cs="Times New Roman"/>
                <w:noProof/>
              </w:rPr>
            </w:pPr>
            <w:r>
              <w:rPr>
                <w:noProof/>
              </w:rPr>
              <w:t xml:space="preserve">Inkrafttreten der Durchführungsverordnung zum Energieeffizienzgesetz </w:t>
            </w:r>
          </w:p>
        </w:tc>
      </w:tr>
      <w:tr w:rsidR="00EB245A" w14:paraId="30DD1B2B" w14:textId="77777777">
        <w:trPr>
          <w:trHeight w:val="974"/>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227D120" w14:textId="77777777" w:rsidR="00EB245A" w:rsidRDefault="006021EE">
            <w:pPr>
              <w:pStyle w:val="P68B1DB1-Normal46"/>
              <w:spacing w:line="259" w:lineRule="auto"/>
              <w:ind w:right="57"/>
              <w:jc w:val="center"/>
              <w:rPr>
                <w:rFonts w:cs="Times New Roman"/>
                <w:noProof/>
              </w:rPr>
            </w:pPr>
            <w:r>
              <w:rPr>
                <w:noProof/>
              </w:rPr>
              <w:t xml:space="preserve">B10L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C8E7326" w14:textId="77777777" w:rsidR="00EB245A" w:rsidRDefault="006021EE">
            <w:pPr>
              <w:pStyle w:val="P68B1DB1-Normal46"/>
              <w:spacing w:line="259" w:lineRule="auto"/>
              <w:rPr>
                <w:rFonts w:cs="Times New Roman"/>
                <w:noProof/>
              </w:rPr>
            </w:pPr>
            <w:r>
              <w:rPr>
                <w:noProof/>
              </w:rPr>
              <w:t xml:space="preserve">B2.4 Rechtlicher Rahmen für die Entwicklung von Energiespeicheranlagen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FE426F6" w14:textId="43C550CD" w:rsidR="00EB245A" w:rsidRDefault="006021EE" w:rsidP="00E624AF">
            <w:pPr>
              <w:pStyle w:val="P68B1DB1-Normal46"/>
              <w:spacing w:line="259" w:lineRule="auto"/>
              <w:ind w:left="74"/>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EB78103" w14:textId="77777777" w:rsidR="00EB245A" w:rsidRDefault="006021EE">
            <w:pPr>
              <w:pStyle w:val="P68B1DB1-Normal46"/>
              <w:spacing w:line="259" w:lineRule="auto"/>
              <w:ind w:right="31"/>
              <w:rPr>
                <w:rFonts w:cs="Times New Roman"/>
                <w:noProof/>
              </w:rPr>
            </w:pPr>
            <w:r>
              <w:rPr>
                <w:noProof/>
              </w:rPr>
              <w:t xml:space="preserve">Inkrafttreten der Änderungen des Energiegesetzes in Bezug auf die Energiespeicherung </w:t>
            </w:r>
          </w:p>
        </w:tc>
      </w:tr>
      <w:tr w:rsidR="00EB245A" w14:paraId="5D2BA222" w14:textId="77777777">
        <w:trPr>
          <w:trHeight w:val="1226"/>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D681A9D" w14:textId="77777777" w:rsidR="00EB245A" w:rsidRDefault="006021EE">
            <w:pPr>
              <w:pStyle w:val="P68B1DB1-Normal46"/>
              <w:spacing w:line="259" w:lineRule="auto"/>
              <w:ind w:right="57"/>
              <w:jc w:val="center"/>
              <w:rPr>
                <w:rFonts w:cs="Times New Roman"/>
                <w:noProof/>
              </w:rPr>
            </w:pPr>
            <w:r>
              <w:rPr>
                <w:noProof/>
              </w:rPr>
              <w:t xml:space="preserve">B21L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DD1B249" w14:textId="77777777" w:rsidR="00EB245A" w:rsidRDefault="006021EE">
            <w:pPr>
              <w:pStyle w:val="P68B1DB1-Normal46"/>
              <w:spacing w:line="259" w:lineRule="auto"/>
              <w:rPr>
                <w:rFonts w:cs="Times New Roman"/>
                <w:noProof/>
              </w:rPr>
            </w:pPr>
            <w:r>
              <w:rPr>
                <w:noProof/>
              </w:rPr>
              <w:t xml:space="preserve">B3.3 Unterstützung der nachhaltigen Bewirtschaftung der Wasserressourcen in der Landwirtschaft und im ländlichen Raum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0B1454E" w14:textId="03B99EB8" w:rsidR="00EB245A" w:rsidRDefault="006021EE" w:rsidP="00E624AF">
            <w:pPr>
              <w:pStyle w:val="P68B1DB1-Normal46"/>
              <w:spacing w:line="259" w:lineRule="auto"/>
              <w:ind w:left="74"/>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BBC904F" w14:textId="77777777" w:rsidR="00EB245A" w:rsidRDefault="006021EE">
            <w:pPr>
              <w:pStyle w:val="P68B1DB1-Normal46"/>
              <w:spacing w:after="1" w:line="238" w:lineRule="auto"/>
              <w:rPr>
                <w:rFonts w:cs="Times New Roman"/>
                <w:noProof/>
              </w:rPr>
            </w:pPr>
            <w:r>
              <w:rPr>
                <w:noProof/>
              </w:rPr>
              <w:t xml:space="preserve">Inkrafttreten der Änderungen der nationalen Rechtsvorschriften, die erforderlich sind, um die Bedingungen für widerstandsfähiges Wasser zu verbessern </w:t>
            </w:r>
          </w:p>
          <w:p w14:paraId="3BF911C6" w14:textId="77777777" w:rsidR="00EB245A" w:rsidRDefault="006021EE">
            <w:pPr>
              <w:pStyle w:val="P68B1DB1-Normal46"/>
              <w:spacing w:line="259" w:lineRule="auto"/>
              <w:rPr>
                <w:rFonts w:cs="Times New Roman"/>
                <w:noProof/>
              </w:rPr>
            </w:pPr>
            <w:r>
              <w:rPr>
                <w:noProof/>
              </w:rPr>
              <w:t xml:space="preserve">Bewirtschaftung in der Landwirtschaft und im ländlichen Raum </w:t>
            </w:r>
          </w:p>
        </w:tc>
      </w:tr>
      <w:tr w:rsidR="00EB245A" w14:paraId="6297860B" w14:textId="77777777">
        <w:trPr>
          <w:trHeight w:val="975"/>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DF7DDF2" w14:textId="77777777" w:rsidR="00EB245A" w:rsidRDefault="006021EE">
            <w:pPr>
              <w:pStyle w:val="P68B1DB1-Normal46"/>
              <w:spacing w:line="259" w:lineRule="auto"/>
              <w:ind w:right="57"/>
              <w:jc w:val="center"/>
              <w:rPr>
                <w:rFonts w:cs="Times New Roman"/>
                <w:noProof/>
              </w:rPr>
            </w:pPr>
            <w:r>
              <w:rPr>
                <w:noProof/>
              </w:rPr>
              <w:t xml:space="preserve">B22L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90A86D2" w14:textId="77777777" w:rsidR="00EB245A" w:rsidRDefault="006021EE">
            <w:pPr>
              <w:pStyle w:val="P68B1DB1-Normal46"/>
              <w:spacing w:line="259" w:lineRule="auto"/>
              <w:ind w:right="37"/>
              <w:rPr>
                <w:rFonts w:cs="Times New Roman"/>
                <w:noProof/>
              </w:rPr>
            </w:pPr>
            <w:r>
              <w:rPr>
                <w:noProof/>
              </w:rPr>
              <w:t xml:space="preserve">B3.3.1 Investitionen zur Steigerung </w:t>
            </w:r>
            <w:r>
              <w:rPr>
                <w:noProof/>
              </w:rPr>
              <w:t xml:space="preserve">des Potenzials einer nachhaltigen Wasserbewirtschaftung in ländlichen Gebieten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3E31483" w14:textId="030AAEF2" w:rsidR="00EB245A" w:rsidRDefault="006021EE" w:rsidP="00E624AF">
            <w:pPr>
              <w:pStyle w:val="P68B1DB1-Normal46"/>
              <w:spacing w:line="259" w:lineRule="auto"/>
              <w:ind w:left="74"/>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996A07C" w14:textId="77777777" w:rsidR="00EB245A" w:rsidRDefault="006021EE">
            <w:pPr>
              <w:pStyle w:val="P68B1DB1-Normal46"/>
              <w:spacing w:line="259" w:lineRule="auto"/>
              <w:rPr>
                <w:rFonts w:cs="Times New Roman"/>
                <w:noProof/>
              </w:rPr>
            </w:pPr>
            <w:r>
              <w:rPr>
                <w:noProof/>
              </w:rPr>
              <w:t xml:space="preserve">Annahme der Auswahlkriterien für die Aufforderung zur Einreichung von Vorschlägen </w:t>
            </w:r>
          </w:p>
        </w:tc>
      </w:tr>
      <w:tr w:rsidR="00EB245A" w14:paraId="52C11A32" w14:textId="77777777">
        <w:trPr>
          <w:trHeight w:val="720"/>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9FE3B65" w14:textId="77777777" w:rsidR="00EB245A" w:rsidRDefault="006021EE">
            <w:pPr>
              <w:pStyle w:val="P68B1DB1-Normal46"/>
              <w:spacing w:line="259" w:lineRule="auto"/>
              <w:ind w:right="57"/>
              <w:jc w:val="center"/>
              <w:rPr>
                <w:rFonts w:cs="Times New Roman"/>
                <w:noProof/>
              </w:rPr>
            </w:pPr>
            <w:r>
              <w:rPr>
                <w:noProof/>
              </w:rPr>
              <w:t xml:space="preserve">B25L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9398501" w14:textId="77777777" w:rsidR="00EB245A" w:rsidRDefault="006021EE">
            <w:pPr>
              <w:pStyle w:val="P68B1DB1-Normal46"/>
              <w:spacing w:line="259" w:lineRule="auto"/>
              <w:rPr>
                <w:rFonts w:cs="Times New Roman"/>
                <w:noProof/>
              </w:rPr>
            </w:pPr>
            <w:r>
              <w:rPr>
                <w:noProof/>
              </w:rPr>
              <w:t xml:space="preserve">B3.4 Schaffung eines Rahmens für Investitionen in den ökologischen Wandel in städtischen Gebieten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EB0661C" w14:textId="4BE632EF" w:rsidR="00EB245A" w:rsidRDefault="006021EE" w:rsidP="00E624AF">
            <w:pPr>
              <w:pStyle w:val="P68B1DB1-Normal46"/>
              <w:spacing w:line="259" w:lineRule="auto"/>
              <w:ind w:left="74"/>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04A057C" w14:textId="77777777" w:rsidR="00EB245A" w:rsidRDefault="006021EE">
            <w:pPr>
              <w:pStyle w:val="P68B1DB1-Normal46"/>
              <w:spacing w:line="259" w:lineRule="auto"/>
              <w:rPr>
                <w:rFonts w:cs="Times New Roman"/>
                <w:noProof/>
              </w:rPr>
            </w:pPr>
            <w:r>
              <w:rPr>
                <w:noProof/>
              </w:rPr>
              <w:t xml:space="preserve">Instrument für den grünen städtischen Wandel </w:t>
            </w:r>
          </w:p>
        </w:tc>
      </w:tr>
      <w:tr w:rsidR="00EB245A" w14:paraId="03C427BA" w14:textId="77777777">
        <w:trPr>
          <w:trHeight w:val="1986"/>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516DA30" w14:textId="77777777" w:rsidR="00EB245A" w:rsidRDefault="006021EE">
            <w:pPr>
              <w:pStyle w:val="P68B1DB1-Normal46"/>
              <w:spacing w:line="259" w:lineRule="auto"/>
              <w:ind w:right="57"/>
              <w:jc w:val="center"/>
              <w:rPr>
                <w:rFonts w:cs="Times New Roman"/>
                <w:noProof/>
              </w:rPr>
            </w:pPr>
            <w:r>
              <w:rPr>
                <w:noProof/>
              </w:rPr>
              <w:t xml:space="preserve">B28L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8BD3E19" w14:textId="77777777" w:rsidR="00EB245A" w:rsidRDefault="006021EE">
            <w:pPr>
              <w:pStyle w:val="P68B1DB1-Normal46"/>
              <w:spacing w:after="192" w:line="241" w:lineRule="auto"/>
              <w:rPr>
                <w:rFonts w:cs="Times New Roman"/>
                <w:noProof/>
              </w:rPr>
            </w:pPr>
            <w:r>
              <w:rPr>
                <w:noProof/>
              </w:rPr>
              <w:t xml:space="preserve">B3.5 Reform des Wohnungsbaus für Menschen mit niedrigem und mittlerem Einkommen, </w:t>
            </w:r>
          </w:p>
          <w:p w14:paraId="3F043D0B" w14:textId="77777777" w:rsidR="00EB245A" w:rsidRDefault="006021EE">
            <w:pPr>
              <w:pStyle w:val="P68B1DB1-Normal46"/>
              <w:spacing w:line="259" w:lineRule="auto"/>
              <w:rPr>
                <w:rFonts w:cs="Times New Roman"/>
                <w:noProof/>
              </w:rPr>
            </w:pPr>
            <w:r>
              <w:rPr>
                <w:noProof/>
              </w:rPr>
              <w:t xml:space="preserve">Berücksichtigung der höheren Energieeffizienz von Gebäuden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0A6A16B" w14:textId="593CDD6E" w:rsidR="00EB245A" w:rsidRDefault="006021EE" w:rsidP="00E624AF">
            <w:pPr>
              <w:pStyle w:val="P68B1DB1-Normal46"/>
              <w:spacing w:line="259" w:lineRule="auto"/>
              <w:ind w:left="74"/>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38B5838" w14:textId="77777777" w:rsidR="00EB245A" w:rsidRDefault="006021EE">
            <w:pPr>
              <w:pStyle w:val="P68B1DB1-Normal46"/>
              <w:spacing w:line="259" w:lineRule="auto"/>
              <w:ind w:right="41"/>
              <w:rPr>
                <w:rFonts w:cs="Times New Roman"/>
                <w:noProof/>
              </w:rPr>
            </w:pPr>
            <w:r>
              <w:rPr>
                <w:noProof/>
              </w:rPr>
              <w:t>Inkrafttreten einer Änderung des Gesetzes vom 8. Dezember 2006 über die finanzielle Unterstützung für die Schaffung von Mietwohnungen, geschützten Wohnungen, Nachtunterkünften, Obdachl</w:t>
            </w:r>
            <w:r>
              <w:rPr>
                <w:noProof/>
              </w:rPr>
              <w:t xml:space="preserve">osenunterkünften, Heizungsanlagen und provisorischen Räumlichkeiten und daraus resultierende Änderungen anderer Gesetze </w:t>
            </w:r>
          </w:p>
        </w:tc>
      </w:tr>
      <w:tr w:rsidR="00EB245A" w14:paraId="1FA63193" w14:textId="77777777">
        <w:trPr>
          <w:trHeight w:val="722"/>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734B3B5" w14:textId="77777777" w:rsidR="00EB245A" w:rsidRDefault="006021EE">
            <w:pPr>
              <w:pStyle w:val="P68B1DB1-Normal46"/>
              <w:spacing w:line="259" w:lineRule="auto"/>
              <w:ind w:right="57"/>
              <w:jc w:val="center"/>
              <w:rPr>
                <w:rFonts w:cs="Times New Roman"/>
                <w:noProof/>
              </w:rPr>
            </w:pPr>
            <w:r>
              <w:rPr>
                <w:noProof/>
              </w:rPr>
              <w:t xml:space="preserve">B33L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BDEF5E0" w14:textId="77777777" w:rsidR="00EB245A" w:rsidRDefault="006021EE">
            <w:pPr>
              <w:pStyle w:val="P68B1DB1-Normal46"/>
              <w:spacing w:line="259" w:lineRule="auto"/>
              <w:rPr>
                <w:rFonts w:cs="Times New Roman"/>
                <w:noProof/>
              </w:rPr>
            </w:pPr>
            <w:r>
              <w:rPr>
                <w:noProof/>
              </w:rPr>
              <w:t xml:space="preserve">B2.2 Verbesserung der Bedingungen für die Entwicklung erneuerbarer Energiequellen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38B8B63" w14:textId="0F07B74E" w:rsidR="00EB245A" w:rsidRDefault="006021EE" w:rsidP="00E624AF">
            <w:pPr>
              <w:pStyle w:val="P68B1DB1-Normal46"/>
              <w:spacing w:line="259" w:lineRule="auto"/>
              <w:ind w:left="74"/>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B6F15DA" w14:textId="77777777" w:rsidR="00EB245A" w:rsidRDefault="006021EE">
            <w:pPr>
              <w:pStyle w:val="P68B1DB1-Normal46"/>
              <w:spacing w:line="259" w:lineRule="auto"/>
              <w:rPr>
                <w:rFonts w:cs="Times New Roman"/>
                <w:noProof/>
              </w:rPr>
            </w:pPr>
            <w:r>
              <w:rPr>
                <w:noProof/>
              </w:rPr>
              <w:t xml:space="preserve">Inkrafttreten des Gesetzes zur Änderung des Gesetzes über Investitionen in Onshore-Windparks </w:t>
            </w:r>
          </w:p>
        </w:tc>
      </w:tr>
      <w:tr w:rsidR="00EB245A" w14:paraId="655EDE72" w14:textId="77777777">
        <w:trPr>
          <w:trHeight w:val="720"/>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5C8A51A" w14:textId="77777777" w:rsidR="00EB245A" w:rsidRDefault="006021EE">
            <w:pPr>
              <w:pStyle w:val="P68B1DB1-Normal46"/>
              <w:spacing w:line="259" w:lineRule="auto"/>
              <w:ind w:right="57"/>
              <w:jc w:val="center"/>
              <w:rPr>
                <w:rFonts w:cs="Times New Roman"/>
                <w:noProof/>
              </w:rPr>
            </w:pPr>
            <w:r>
              <w:rPr>
                <w:noProof/>
              </w:rPr>
              <w:t xml:space="preserve">B35L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D72A1F9" w14:textId="77777777" w:rsidR="00EB245A" w:rsidRDefault="006021EE">
            <w:pPr>
              <w:pStyle w:val="P68B1DB1-Normal46"/>
              <w:spacing w:line="259" w:lineRule="auto"/>
              <w:rPr>
                <w:rFonts w:cs="Times New Roman"/>
                <w:noProof/>
              </w:rPr>
            </w:pPr>
            <w:r>
              <w:rPr>
                <w:noProof/>
              </w:rPr>
              <w:t xml:space="preserve">B2.2 Verbesserung der Bedingungen für die Entwicklung erneuerbarer Energiequellen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1BCAAE4" w14:textId="77777777" w:rsidR="00EB245A" w:rsidRDefault="006021EE">
            <w:pPr>
              <w:pStyle w:val="P68B1DB1-Normal46"/>
              <w:spacing w:line="259" w:lineRule="auto"/>
              <w:ind w:right="54"/>
              <w:jc w:val="center"/>
              <w:rPr>
                <w:rFonts w:cs="Times New Roman"/>
                <w:noProof/>
              </w:rPr>
            </w:pPr>
            <w:r>
              <w:rPr>
                <w:noProof/>
              </w:rPr>
              <w:t xml:space="preserve">Ziel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DF4DA12" w14:textId="77777777" w:rsidR="00EB245A" w:rsidRDefault="006021EE">
            <w:pPr>
              <w:pStyle w:val="P68B1DB1-Normal46"/>
              <w:spacing w:line="259" w:lineRule="auto"/>
              <w:rPr>
                <w:rFonts w:cs="Times New Roman"/>
                <w:noProof/>
              </w:rPr>
            </w:pPr>
            <w:r>
              <w:rPr>
                <w:noProof/>
              </w:rPr>
              <w:t xml:space="preserve">T1 – Installierte Kapazität von Onshore-Windkraft- und Photovoltaikanlagen (in GW) </w:t>
            </w:r>
          </w:p>
        </w:tc>
      </w:tr>
      <w:tr w:rsidR="00EB245A" w14:paraId="62682421" w14:textId="77777777">
        <w:trPr>
          <w:trHeight w:val="773"/>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388A9A3" w14:textId="77777777" w:rsidR="00EB245A" w:rsidRDefault="006021EE">
            <w:pPr>
              <w:pStyle w:val="P68B1DB1-Normal46"/>
              <w:spacing w:line="259" w:lineRule="auto"/>
              <w:ind w:right="57"/>
              <w:jc w:val="center"/>
              <w:rPr>
                <w:rFonts w:cs="Times New Roman"/>
                <w:noProof/>
              </w:rPr>
            </w:pPr>
            <w:r>
              <w:rPr>
                <w:noProof/>
              </w:rPr>
              <w:t xml:space="preserve">B39L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CE08D1C" w14:textId="77777777" w:rsidR="00EB245A" w:rsidRDefault="006021EE">
            <w:pPr>
              <w:pStyle w:val="P68B1DB1-Normal46"/>
              <w:spacing w:line="259" w:lineRule="auto"/>
              <w:rPr>
                <w:rFonts w:cs="Times New Roman"/>
                <w:noProof/>
              </w:rPr>
            </w:pPr>
            <w:r>
              <w:rPr>
                <w:noProof/>
              </w:rPr>
              <w:t xml:space="preserve">B2.2 Verbesserung der Bedingungen für die Entwicklung erneuerbarer Energiequellen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D923C2B" w14:textId="360FE5DB" w:rsidR="00EB245A" w:rsidRDefault="006021EE" w:rsidP="00E624AF">
            <w:pPr>
              <w:pStyle w:val="P68B1DB1-Normal46"/>
              <w:spacing w:line="259" w:lineRule="auto"/>
              <w:ind w:left="74"/>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E1B2506" w14:textId="2EC14EA9" w:rsidR="00EB245A" w:rsidRDefault="006021EE">
            <w:pPr>
              <w:pStyle w:val="P68B1DB1-Normal46"/>
              <w:spacing w:line="259" w:lineRule="auto"/>
              <w:rPr>
                <w:rFonts w:cs="Times New Roman"/>
                <w:noProof/>
              </w:rPr>
            </w:pPr>
            <w:r>
              <w:rPr>
                <w:noProof/>
              </w:rPr>
              <w:t xml:space="preserve">Inkrafttreten der Durchführungsverordnung im Anschluss an das Gesetz </w:t>
            </w:r>
            <w:r>
              <w:rPr>
                <w:noProof/>
              </w:rPr>
              <w:t>vom 17. Dezember 2020 zur Förderung der Stromerzeugung in Offshore-Windparks</w:t>
            </w:r>
          </w:p>
        </w:tc>
      </w:tr>
      <w:tr w:rsidR="00EB245A" w14:paraId="56CF0278" w14:textId="77777777">
        <w:trPr>
          <w:trHeight w:val="1228"/>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65A43E1" w14:textId="77777777" w:rsidR="00EB245A" w:rsidRDefault="006021EE">
            <w:pPr>
              <w:pStyle w:val="P68B1DB1-Normal46"/>
              <w:spacing w:line="259" w:lineRule="auto"/>
              <w:ind w:right="1"/>
              <w:jc w:val="center"/>
              <w:rPr>
                <w:rFonts w:cs="Times New Roman"/>
                <w:noProof/>
              </w:rPr>
            </w:pPr>
            <w:r>
              <w:rPr>
                <w:noProof/>
              </w:rPr>
              <w:t xml:space="preserve">C1L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FEAC3B6" w14:textId="77777777" w:rsidR="00EB245A" w:rsidRDefault="006021EE">
            <w:pPr>
              <w:pStyle w:val="P68B1DB1-Normal46"/>
              <w:spacing w:line="259" w:lineRule="auto"/>
              <w:ind w:left="1"/>
              <w:rPr>
                <w:rFonts w:cs="Times New Roman"/>
                <w:noProof/>
              </w:rPr>
            </w:pPr>
            <w:r>
              <w:rPr>
                <w:noProof/>
              </w:rPr>
              <w:t xml:space="preserve">C1.2 Verbesserung der Zugänglichkeit und Nutzung moderner drahtgebundener und drahtloser Kommunikation für soziale und wirtschaftliche Bedürfnisse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C630711" w14:textId="1AF1D715" w:rsidR="00EB245A" w:rsidRDefault="006021EE" w:rsidP="00E624AF">
            <w:pPr>
              <w:pStyle w:val="P68B1DB1-Normal46"/>
              <w:spacing w:line="259" w:lineRule="auto"/>
              <w:ind w:left="75"/>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E12EB06" w14:textId="77777777" w:rsidR="00EB245A" w:rsidRDefault="006021EE">
            <w:pPr>
              <w:pStyle w:val="P68B1DB1-Normal46"/>
              <w:spacing w:line="259" w:lineRule="auto"/>
              <w:ind w:left="1"/>
              <w:rPr>
                <w:rFonts w:cs="Times New Roman"/>
                <w:noProof/>
              </w:rPr>
            </w:pPr>
            <w:r>
              <w:rPr>
                <w:noProof/>
              </w:rPr>
              <w:t xml:space="preserve">Änderung der </w:t>
            </w:r>
            <w:r>
              <w:rPr>
                <w:noProof/>
              </w:rPr>
              <w:t xml:space="preserve">Verordnung vom 17. Februar 2020 über die Überwachung von Emissionen elektromagnetischer Felder in der Umwelt </w:t>
            </w:r>
          </w:p>
        </w:tc>
      </w:tr>
      <w:tr w:rsidR="00EB245A" w14:paraId="5AF824E2" w14:textId="77777777">
        <w:trPr>
          <w:trHeight w:val="1226"/>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E9EA5C3" w14:textId="77777777" w:rsidR="00EB245A" w:rsidRDefault="006021EE">
            <w:pPr>
              <w:pStyle w:val="P68B1DB1-Normal46"/>
              <w:spacing w:line="259" w:lineRule="auto"/>
              <w:ind w:right="1"/>
              <w:jc w:val="center"/>
              <w:rPr>
                <w:rFonts w:cs="Times New Roman"/>
                <w:noProof/>
              </w:rPr>
            </w:pPr>
            <w:r>
              <w:rPr>
                <w:noProof/>
              </w:rPr>
              <w:t xml:space="preserve">C2L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74A0076" w14:textId="77777777" w:rsidR="00EB245A" w:rsidRDefault="006021EE">
            <w:pPr>
              <w:pStyle w:val="P68B1DB1-Normal46"/>
              <w:spacing w:line="259" w:lineRule="auto"/>
              <w:ind w:left="1"/>
              <w:rPr>
                <w:rFonts w:cs="Times New Roman"/>
                <w:noProof/>
              </w:rPr>
            </w:pPr>
            <w:r>
              <w:rPr>
                <w:noProof/>
              </w:rPr>
              <w:t xml:space="preserve">C1.2 Verbesserung der Zugänglichkeit und Nutzung moderner drahtgebundener und drahtloser Kommunikation für soziale und wirtschaftliche Bedürfnisse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D006172" w14:textId="4AD4EFE9" w:rsidR="00EB245A" w:rsidRDefault="006021EE" w:rsidP="00E624AF">
            <w:pPr>
              <w:pStyle w:val="P68B1DB1-Normal46"/>
              <w:spacing w:line="259" w:lineRule="auto"/>
              <w:ind w:left="75"/>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2A71D31" w14:textId="77777777" w:rsidR="00EB245A" w:rsidRDefault="006021EE">
            <w:pPr>
              <w:pStyle w:val="P68B1DB1-Normal46"/>
              <w:spacing w:line="259" w:lineRule="auto"/>
              <w:ind w:left="1"/>
              <w:rPr>
                <w:rFonts w:cs="Times New Roman"/>
                <w:noProof/>
              </w:rPr>
            </w:pPr>
            <w:r>
              <w:rPr>
                <w:noProof/>
              </w:rPr>
              <w:t xml:space="preserve">Änderung der Verordnung der </w:t>
            </w:r>
          </w:p>
          <w:p w14:paraId="7017C547" w14:textId="77777777" w:rsidR="00EB245A" w:rsidRDefault="006021EE">
            <w:pPr>
              <w:pStyle w:val="P68B1DB1-Normal46"/>
              <w:spacing w:line="259" w:lineRule="auto"/>
              <w:ind w:left="1"/>
              <w:rPr>
                <w:rFonts w:cs="Times New Roman"/>
                <w:noProof/>
              </w:rPr>
            </w:pPr>
            <w:r>
              <w:rPr>
                <w:noProof/>
              </w:rPr>
              <w:t>Ministerrat vom 10. September 2019 über die Umweltverträglichkeitsp</w:t>
            </w:r>
            <w:r>
              <w:rPr>
                <w:noProof/>
              </w:rPr>
              <w:t xml:space="preserve">rüfung </w:t>
            </w:r>
          </w:p>
        </w:tc>
      </w:tr>
      <w:tr w:rsidR="00EB245A" w14:paraId="1DC5A459" w14:textId="77777777">
        <w:trPr>
          <w:trHeight w:val="1228"/>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CABE81C" w14:textId="77777777" w:rsidR="00EB245A" w:rsidRDefault="006021EE">
            <w:pPr>
              <w:pStyle w:val="P68B1DB1-Normal46"/>
              <w:spacing w:line="259" w:lineRule="auto"/>
              <w:ind w:left="1"/>
              <w:jc w:val="center"/>
              <w:rPr>
                <w:rFonts w:cs="Times New Roman"/>
                <w:noProof/>
              </w:rPr>
            </w:pPr>
            <w:r>
              <w:rPr>
                <w:noProof/>
              </w:rPr>
              <w:t xml:space="preserve">D1L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9F47D98" w14:textId="77777777" w:rsidR="00EB245A" w:rsidRDefault="006021EE">
            <w:pPr>
              <w:pStyle w:val="P68B1DB1-Normal46"/>
              <w:spacing w:line="259" w:lineRule="auto"/>
              <w:ind w:left="1"/>
              <w:rPr>
                <w:rFonts w:cs="Times New Roman"/>
                <w:noProof/>
              </w:rPr>
            </w:pPr>
            <w:r>
              <w:rPr>
                <w:noProof/>
              </w:rPr>
              <w:t xml:space="preserve">D1.2 Steigerung der Effizienz, Verfügbarkeit und Qualität der Langzeitpflegedienste der Gesundheitsdienstleister auf Bezirksebene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3832122" w14:textId="660488B8" w:rsidR="00EB245A" w:rsidRDefault="006021EE" w:rsidP="00E624AF">
            <w:pPr>
              <w:pStyle w:val="P68B1DB1-Normal46"/>
              <w:spacing w:line="259" w:lineRule="auto"/>
              <w:ind w:left="75"/>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89B0B4A" w14:textId="77777777" w:rsidR="00EB245A" w:rsidRDefault="006021EE">
            <w:pPr>
              <w:pStyle w:val="P68B1DB1-Normal46"/>
              <w:spacing w:after="2" w:line="237" w:lineRule="auto"/>
              <w:ind w:left="1"/>
              <w:rPr>
                <w:rFonts w:cs="Times New Roman"/>
                <w:noProof/>
              </w:rPr>
            </w:pPr>
            <w:r>
              <w:rPr>
                <w:noProof/>
              </w:rPr>
              <w:t xml:space="preserve">Überprüfung des Potenzials für die Einführung von Langzeitpflege und Geriatrie </w:t>
            </w:r>
          </w:p>
          <w:p w14:paraId="2F0CEBFA" w14:textId="77777777" w:rsidR="00EB245A" w:rsidRDefault="006021EE">
            <w:pPr>
              <w:pStyle w:val="P68B1DB1-Normal46"/>
              <w:spacing w:line="259" w:lineRule="auto"/>
              <w:ind w:left="1"/>
              <w:rPr>
                <w:rFonts w:cs="Times New Roman"/>
                <w:noProof/>
              </w:rPr>
            </w:pPr>
            <w:r>
              <w:rPr>
                <w:noProof/>
              </w:rPr>
              <w:t xml:space="preserve">Einheiten/Zentren in Bezirkskliniken in Polen </w:t>
            </w:r>
          </w:p>
        </w:tc>
      </w:tr>
      <w:tr w:rsidR="00EB245A" w14:paraId="33EF1976" w14:textId="77777777">
        <w:trPr>
          <w:trHeight w:val="718"/>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23EAB98" w14:textId="77777777" w:rsidR="00EB245A" w:rsidRDefault="006021EE">
            <w:pPr>
              <w:pStyle w:val="P68B1DB1-Normal46"/>
              <w:spacing w:line="259" w:lineRule="auto"/>
              <w:rPr>
                <w:rFonts w:cs="Times New Roman"/>
                <w:noProof/>
              </w:rPr>
            </w:pPr>
            <w:r>
              <w:rPr>
                <w:noProof/>
              </w:rPr>
              <w:t xml:space="preserve">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949C812" w14:textId="77777777" w:rsidR="00EB245A" w:rsidRDefault="006021EE">
            <w:pPr>
              <w:pStyle w:val="P68B1DB1-Normal46"/>
              <w:spacing w:line="259" w:lineRule="auto"/>
              <w:ind w:left="1"/>
              <w:rPr>
                <w:rFonts w:cs="Times New Roman"/>
                <w:noProof/>
              </w:rPr>
            </w:pPr>
            <w:r>
              <w:rPr>
                <w:noProof/>
              </w:rPr>
              <w:t xml:space="preserv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E8D6349" w14:textId="77777777" w:rsidR="00EB245A" w:rsidRDefault="006021EE">
            <w:pPr>
              <w:pStyle w:val="P68B1DB1-Normal46"/>
              <w:spacing w:line="259" w:lineRule="auto"/>
              <w:ind w:left="1"/>
              <w:rPr>
                <w:rFonts w:cs="Times New Roman"/>
                <w:noProof/>
              </w:rPr>
            </w:pPr>
            <w:r>
              <w:rPr>
                <w:noProof/>
              </w:rPr>
              <w:t xml:space="preserve">Ratenzahlungsbetrag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126AE07" w14:textId="7B34CDB9" w:rsidR="00EB245A" w:rsidRDefault="006021EE">
            <w:pPr>
              <w:pStyle w:val="P68B1DB1-Normal46"/>
              <w:spacing w:line="259" w:lineRule="auto"/>
              <w:ind w:left="1"/>
              <w:rPr>
                <w:rFonts w:cs="Times New Roman"/>
                <w:noProof/>
              </w:rPr>
            </w:pPr>
            <w:r>
              <w:rPr>
                <w:noProof/>
              </w:rPr>
              <w:t>4 178 257 125 EUR</w:t>
            </w:r>
          </w:p>
        </w:tc>
      </w:tr>
    </w:tbl>
    <w:p w14:paraId="76B09250" w14:textId="73C9D4F5" w:rsidR="00EB245A" w:rsidRDefault="006021EE">
      <w:pPr>
        <w:pStyle w:val="P68B1DB1-Normal46"/>
        <w:spacing w:after="98" w:line="259" w:lineRule="auto"/>
        <w:rPr>
          <w:rFonts w:cs="Times New Roman"/>
          <w:noProof/>
        </w:rPr>
      </w:pPr>
      <w:r>
        <w:rPr>
          <w:noProof/>
        </w:rPr>
        <w:t xml:space="preserve"> </w:t>
      </w:r>
    </w:p>
    <w:p w14:paraId="20FBAFE5" w14:textId="77777777" w:rsidR="00EB245A" w:rsidRDefault="006021EE">
      <w:pPr>
        <w:rPr>
          <w:rFonts w:ascii="Times New Roman" w:hAnsi="Times New Roman" w:cs="Times New Roman"/>
          <w:noProof/>
        </w:rPr>
      </w:pPr>
      <w:r>
        <w:rPr>
          <w:noProof/>
        </w:rPr>
        <w:br w:type="page"/>
      </w:r>
    </w:p>
    <w:p w14:paraId="6EEA0E15" w14:textId="77777777" w:rsidR="00EB245A" w:rsidRDefault="006021EE">
      <w:pPr>
        <w:pStyle w:val="P68B1DB1-Normal46"/>
        <w:spacing w:after="3" w:line="259" w:lineRule="auto"/>
        <w:ind w:left="-5"/>
        <w:rPr>
          <w:rFonts w:cs="Times New Roman"/>
          <w:noProof/>
        </w:rPr>
      </w:pPr>
      <w:r>
        <w:rPr>
          <w:noProof/>
        </w:rPr>
        <w:t xml:space="preserve">2.2.2 Zweite Tranche (Unterstützung in Form eines Darlehens): </w:t>
      </w:r>
    </w:p>
    <w:tbl>
      <w:tblPr>
        <w:tblStyle w:val="TableGrid0"/>
        <w:tblW w:w="10481" w:type="dxa"/>
        <w:tblInd w:w="10" w:type="dxa"/>
        <w:tblCellMar>
          <w:top w:w="53" w:type="dxa"/>
          <w:left w:w="107" w:type="dxa"/>
          <w:right w:w="70" w:type="dxa"/>
        </w:tblCellMar>
        <w:tblLook w:val="04A0" w:firstRow="1" w:lastRow="0" w:firstColumn="1" w:lastColumn="0" w:noHBand="0" w:noVBand="1"/>
      </w:tblPr>
      <w:tblGrid>
        <w:gridCol w:w="1268"/>
        <w:gridCol w:w="3496"/>
        <w:gridCol w:w="2178"/>
        <w:gridCol w:w="3539"/>
      </w:tblGrid>
      <w:tr w:rsidR="00EB245A" w14:paraId="6A7A6662" w14:textId="77777777">
        <w:trPr>
          <w:trHeight w:val="783"/>
          <w:tblHeader/>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242B21C2" w14:textId="77777777" w:rsidR="00EB245A" w:rsidRDefault="006021EE">
            <w:pPr>
              <w:pStyle w:val="P68B1DB1-Normal46"/>
              <w:spacing w:line="259" w:lineRule="auto"/>
              <w:jc w:val="center"/>
              <w:rPr>
                <w:rFonts w:cs="Times New Roman"/>
                <w:noProof/>
              </w:rPr>
            </w:pPr>
            <w:r>
              <w:rPr>
                <w:b/>
                <w:noProof/>
              </w:rPr>
              <w:t>Laufende Nummer</w:t>
            </w:r>
            <w:r>
              <w:rPr>
                <w:noProof/>
              </w:rPr>
              <w:t xml:space="preserve">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25BAD922" w14:textId="77777777" w:rsidR="00EB245A" w:rsidRDefault="006021EE">
            <w:pPr>
              <w:pStyle w:val="P68B1DB1-Normal46"/>
              <w:spacing w:line="259" w:lineRule="auto"/>
              <w:jc w:val="center"/>
              <w:rPr>
                <w:rFonts w:cs="Times New Roman"/>
                <w:noProof/>
              </w:rPr>
            </w:pPr>
            <w:r>
              <w:rPr>
                <w:b/>
                <w:noProof/>
              </w:rPr>
              <w:t>Verbundene Maßnahme (Reform oder Investition)</w:t>
            </w:r>
            <w:r>
              <w:rPr>
                <w:noProof/>
              </w:rPr>
              <w:t xml:space="preserv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0C28B609" w14:textId="77777777" w:rsidR="00EB245A" w:rsidRDefault="006021EE">
            <w:pPr>
              <w:pStyle w:val="P68B1DB1-Normal46"/>
              <w:spacing w:line="259" w:lineRule="auto"/>
              <w:ind w:left="25" w:right="8"/>
              <w:jc w:val="center"/>
              <w:rPr>
                <w:rFonts w:cs="Times New Roman"/>
                <w:noProof/>
              </w:rPr>
            </w:pPr>
            <w:r>
              <w:rPr>
                <w:b/>
                <w:noProof/>
              </w:rPr>
              <w:t>Etappenziel/Zielwert</w:t>
            </w:r>
            <w:r>
              <w:rPr>
                <w:noProof/>
              </w:rPr>
              <w:t xml:space="preserve">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10DC3217" w14:textId="77777777" w:rsidR="00EB245A" w:rsidRDefault="006021EE">
            <w:pPr>
              <w:pStyle w:val="P68B1DB1-Normal46"/>
              <w:spacing w:line="259" w:lineRule="auto"/>
              <w:ind w:right="36"/>
              <w:jc w:val="center"/>
              <w:rPr>
                <w:rFonts w:cs="Times New Roman"/>
                <w:noProof/>
              </w:rPr>
            </w:pPr>
            <w:r>
              <w:rPr>
                <w:b/>
                <w:noProof/>
              </w:rPr>
              <w:t>Namen</w:t>
            </w:r>
            <w:r>
              <w:rPr>
                <w:noProof/>
              </w:rPr>
              <w:t xml:space="preserve"> </w:t>
            </w:r>
          </w:p>
        </w:tc>
      </w:tr>
      <w:tr w:rsidR="00EB245A" w14:paraId="48ACD23B" w14:textId="77777777">
        <w:trPr>
          <w:trHeight w:val="975"/>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4B6A91F" w14:textId="77777777" w:rsidR="00EB245A" w:rsidRDefault="006021EE">
            <w:pPr>
              <w:pStyle w:val="P68B1DB1-Normal46"/>
              <w:spacing w:line="259" w:lineRule="auto"/>
              <w:ind w:right="37"/>
              <w:jc w:val="center"/>
              <w:rPr>
                <w:rFonts w:cs="Times New Roman"/>
                <w:noProof/>
              </w:rPr>
            </w:pPr>
            <w:r>
              <w:rPr>
                <w:noProof/>
              </w:rPr>
              <w:t xml:space="preserve">A1L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E82FD34" w14:textId="77777777" w:rsidR="00EB245A" w:rsidRDefault="006021EE">
            <w:pPr>
              <w:pStyle w:val="P68B1DB1-Normal46"/>
              <w:spacing w:line="259" w:lineRule="auto"/>
              <w:rPr>
                <w:rFonts w:cs="Times New Roman"/>
                <w:noProof/>
              </w:rPr>
            </w:pPr>
            <w:r>
              <w:rPr>
                <w:noProof/>
              </w:rPr>
              <w:t xml:space="preserve">A2.5 Stärkung des Potenzials der </w:t>
            </w:r>
          </w:p>
          <w:p w14:paraId="22387FF2" w14:textId="77777777" w:rsidR="00EB245A" w:rsidRDefault="006021EE">
            <w:pPr>
              <w:pStyle w:val="P68B1DB1-Normal46"/>
              <w:spacing w:line="259" w:lineRule="auto"/>
              <w:rPr>
                <w:rFonts w:cs="Times New Roman"/>
                <w:noProof/>
              </w:rPr>
            </w:pPr>
            <w:r>
              <w:rPr>
                <w:noProof/>
              </w:rPr>
              <w:t xml:space="preserve">Kultursektor und Kulturwirtschaft für </w:t>
            </w:r>
          </w:p>
          <w:p w14:paraId="6C912866" w14:textId="77777777" w:rsidR="00EB245A" w:rsidRDefault="006021EE">
            <w:pPr>
              <w:pStyle w:val="P68B1DB1-Normal46"/>
              <w:spacing w:line="259" w:lineRule="auto"/>
              <w:rPr>
                <w:rFonts w:cs="Times New Roman"/>
                <w:noProof/>
              </w:rPr>
            </w:pPr>
            <w:r>
              <w:rPr>
                <w:noProof/>
              </w:rPr>
              <w:t xml:space="preserve">wirtschaftliche Entwicklung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7C7C7D2" w14:textId="56FDFB32" w:rsidR="00EB245A" w:rsidRDefault="006021EE" w:rsidP="00E624AF">
            <w:pPr>
              <w:pStyle w:val="P68B1DB1-Normal46"/>
              <w:spacing w:line="259" w:lineRule="auto"/>
              <w:ind w:left="74"/>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6497304" w14:textId="77777777" w:rsidR="00EB245A" w:rsidRDefault="006021EE">
            <w:pPr>
              <w:pStyle w:val="P68B1DB1-Normal46"/>
              <w:spacing w:after="4" w:line="237" w:lineRule="auto"/>
              <w:rPr>
                <w:rFonts w:cs="Times New Roman"/>
                <w:noProof/>
              </w:rPr>
            </w:pPr>
            <w:r>
              <w:rPr>
                <w:noProof/>
              </w:rPr>
              <w:t xml:space="preserve">Annahme eines Strategiepapiers zur Unterstützung grüner und digitaler Maßnahmen im kulturellen Bereich </w:t>
            </w:r>
          </w:p>
          <w:p w14:paraId="2ACE5558" w14:textId="77777777" w:rsidR="00EB245A" w:rsidRDefault="006021EE">
            <w:pPr>
              <w:pStyle w:val="P68B1DB1-Normal46"/>
              <w:spacing w:line="259" w:lineRule="auto"/>
              <w:rPr>
                <w:rFonts w:cs="Times New Roman"/>
                <w:noProof/>
              </w:rPr>
            </w:pPr>
            <w:r>
              <w:rPr>
                <w:noProof/>
              </w:rPr>
              <w:t xml:space="preserve">und Kreativwirtschaft </w:t>
            </w:r>
          </w:p>
        </w:tc>
      </w:tr>
      <w:tr w:rsidR="00EB245A" w14:paraId="068DAFB8" w14:textId="77777777">
        <w:trPr>
          <w:trHeight w:val="973"/>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90A034B" w14:textId="77777777" w:rsidR="00EB245A" w:rsidRDefault="006021EE">
            <w:pPr>
              <w:pStyle w:val="P68B1DB1-Normal46"/>
              <w:spacing w:line="259" w:lineRule="auto"/>
              <w:ind w:right="37"/>
              <w:jc w:val="center"/>
              <w:rPr>
                <w:rFonts w:cs="Times New Roman"/>
                <w:noProof/>
              </w:rPr>
            </w:pPr>
            <w:r>
              <w:rPr>
                <w:noProof/>
              </w:rPr>
              <w:t xml:space="preserve">A2L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02D1045" w14:textId="77777777" w:rsidR="00EB245A" w:rsidRDefault="006021EE">
            <w:pPr>
              <w:pStyle w:val="P68B1DB1-Normal46"/>
              <w:spacing w:line="259" w:lineRule="auto"/>
              <w:rPr>
                <w:rFonts w:cs="Times New Roman"/>
                <w:noProof/>
              </w:rPr>
            </w:pPr>
            <w:r>
              <w:rPr>
                <w:noProof/>
              </w:rPr>
              <w:t xml:space="preserve">A2.5.1 Ein Programm zur Unterstützung der Aktivitäten von Einrichtungen der Kultur- und Kreativwirtschaft zur Stimulierung ihrer Entwicklung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BD5C722" w14:textId="689A8CC5" w:rsidR="00EB245A" w:rsidRDefault="006021EE" w:rsidP="00E624AF">
            <w:pPr>
              <w:pStyle w:val="P68B1DB1-Normal46"/>
              <w:spacing w:line="259" w:lineRule="auto"/>
              <w:ind w:left="74"/>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34559AA" w14:textId="77777777" w:rsidR="00EB245A" w:rsidRDefault="006021EE">
            <w:pPr>
              <w:pStyle w:val="P68B1DB1-Normal46"/>
              <w:spacing w:line="259" w:lineRule="auto"/>
              <w:rPr>
                <w:rFonts w:cs="Times New Roman"/>
                <w:noProof/>
              </w:rPr>
            </w:pPr>
            <w:r>
              <w:rPr>
                <w:noProof/>
              </w:rPr>
              <w:t xml:space="preserve">Auswahlkriterien für die Unterstützung von Projekten im Kultur- und Kreativsektor (CCS)   </w:t>
            </w:r>
          </w:p>
        </w:tc>
      </w:tr>
      <w:tr w:rsidR="00EB245A" w14:paraId="18DADD9B" w14:textId="77777777">
        <w:trPr>
          <w:trHeight w:val="1733"/>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49ADAF9" w14:textId="77777777" w:rsidR="00EB245A" w:rsidRDefault="006021EE">
            <w:pPr>
              <w:pStyle w:val="P68B1DB1-Normal46"/>
              <w:spacing w:line="259" w:lineRule="auto"/>
              <w:ind w:right="40"/>
              <w:jc w:val="center"/>
              <w:rPr>
                <w:rFonts w:cs="Times New Roman"/>
                <w:noProof/>
              </w:rPr>
            </w:pPr>
            <w:r>
              <w:rPr>
                <w:noProof/>
              </w:rPr>
              <w:t xml:space="preserve">B2L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3CF2D9E" w14:textId="77777777" w:rsidR="00EB245A" w:rsidRDefault="006021EE">
            <w:pPr>
              <w:pStyle w:val="P68B1DB1-Normal46"/>
              <w:spacing w:line="259" w:lineRule="auto"/>
              <w:rPr>
                <w:rFonts w:cs="Times New Roman"/>
                <w:noProof/>
              </w:rPr>
            </w:pPr>
            <w:r>
              <w:rPr>
                <w:noProof/>
              </w:rPr>
              <w:t xml:space="preserve">B1.2.1 Energieeffizienz und erneuerbare Energien in Unternehmen – Investitionen mit dem höchsten Potenzial zur Verringerung der Treibhausgasemissionen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E15D1D9" w14:textId="0C175915" w:rsidR="00EB245A" w:rsidRDefault="006021EE" w:rsidP="00E624AF">
            <w:pPr>
              <w:pStyle w:val="P68B1DB1-Normal46"/>
              <w:spacing w:line="259" w:lineRule="auto"/>
              <w:ind w:left="74"/>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6206EAA" w14:textId="77777777" w:rsidR="00EB245A" w:rsidRDefault="006021EE">
            <w:pPr>
              <w:pStyle w:val="P68B1DB1-Normal46"/>
              <w:spacing w:after="4" w:line="237" w:lineRule="auto"/>
              <w:rPr>
                <w:rFonts w:cs="Times New Roman"/>
                <w:noProof/>
              </w:rPr>
            </w:pPr>
            <w:r>
              <w:rPr>
                <w:noProof/>
              </w:rPr>
              <w:t>Finanzierungsanweisungen (einschließlich Förderfähigkeits- und Auswahlkriterien) für die För</w:t>
            </w:r>
            <w:r>
              <w:rPr>
                <w:noProof/>
              </w:rPr>
              <w:t xml:space="preserve">derregelung für Energieeffizienz und erneuerbare Energien in Unternehmen, einschließlich solcher, die unter die EU fallen </w:t>
            </w:r>
          </w:p>
          <w:p w14:paraId="45423AE9" w14:textId="77777777" w:rsidR="00EB245A" w:rsidRDefault="006021EE">
            <w:pPr>
              <w:pStyle w:val="P68B1DB1-Normal46"/>
              <w:spacing w:line="259" w:lineRule="auto"/>
              <w:rPr>
                <w:rFonts w:cs="Times New Roman"/>
                <w:noProof/>
              </w:rPr>
            </w:pPr>
            <w:r>
              <w:rPr>
                <w:noProof/>
              </w:rPr>
              <w:t xml:space="preserve">Emissionshandelssystem </w:t>
            </w:r>
          </w:p>
        </w:tc>
      </w:tr>
      <w:tr w:rsidR="00EB245A" w14:paraId="37B269EA" w14:textId="77777777">
        <w:trPr>
          <w:trHeight w:val="1228"/>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F74386F" w14:textId="77777777" w:rsidR="00EB245A" w:rsidRDefault="006021EE">
            <w:pPr>
              <w:pStyle w:val="P68B1DB1-Normal46"/>
              <w:spacing w:line="259" w:lineRule="auto"/>
              <w:ind w:right="40"/>
              <w:jc w:val="center"/>
              <w:rPr>
                <w:rFonts w:cs="Times New Roman"/>
                <w:noProof/>
              </w:rPr>
            </w:pPr>
            <w:r>
              <w:rPr>
                <w:noProof/>
              </w:rPr>
              <w:t xml:space="preserve">B14L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8A5CBD9" w14:textId="77777777" w:rsidR="00EB245A" w:rsidRDefault="006021EE">
            <w:pPr>
              <w:pStyle w:val="P68B1DB1-Normal46"/>
              <w:spacing w:line="259" w:lineRule="auto"/>
              <w:rPr>
                <w:rFonts w:cs="Times New Roman"/>
                <w:noProof/>
              </w:rPr>
            </w:pPr>
            <w:r>
              <w:rPr>
                <w:noProof/>
              </w:rPr>
              <w:t xml:space="preserve">B3.2 Förderung der Verbesserung des Zustands der Umwelt und des Schutzes vor gefährlichen Stoffen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B8A0F4A" w14:textId="76C1233D" w:rsidR="00EB245A" w:rsidRDefault="006021EE" w:rsidP="00E624AF">
            <w:pPr>
              <w:pStyle w:val="P68B1DB1-Normal46"/>
              <w:spacing w:line="259" w:lineRule="auto"/>
              <w:ind w:left="74"/>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A7939FD" w14:textId="77777777" w:rsidR="00EB245A" w:rsidRDefault="006021EE">
            <w:pPr>
              <w:pStyle w:val="P68B1DB1-Normal46"/>
              <w:spacing w:line="259" w:lineRule="auto"/>
              <w:rPr>
                <w:rFonts w:cs="Times New Roman"/>
                <w:noProof/>
              </w:rPr>
            </w:pPr>
            <w:r>
              <w:rPr>
                <w:noProof/>
              </w:rPr>
              <w:t xml:space="preserve">Inkrafttreten eines Gesetzes zur Erleichterung einer umfassenden Beseitigung der negativen Umweltauswirkungen großer postindustrieller Gebiete. </w:t>
            </w:r>
          </w:p>
        </w:tc>
      </w:tr>
      <w:tr w:rsidR="00EB245A" w14:paraId="51AAFF47" w14:textId="77777777">
        <w:trPr>
          <w:trHeight w:val="973"/>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2960907" w14:textId="77777777" w:rsidR="00EB245A" w:rsidRDefault="006021EE">
            <w:pPr>
              <w:pStyle w:val="P68B1DB1-Normal46"/>
              <w:spacing w:line="259" w:lineRule="auto"/>
              <w:ind w:right="40"/>
              <w:jc w:val="center"/>
              <w:rPr>
                <w:rFonts w:cs="Times New Roman"/>
                <w:noProof/>
              </w:rPr>
            </w:pPr>
            <w:r>
              <w:rPr>
                <w:noProof/>
              </w:rPr>
              <w:t xml:space="preserve">B34L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0E53545" w14:textId="77777777" w:rsidR="00EB245A" w:rsidRDefault="006021EE">
            <w:pPr>
              <w:pStyle w:val="P68B1DB1-Normal46"/>
              <w:spacing w:line="259" w:lineRule="auto"/>
              <w:rPr>
                <w:rFonts w:cs="Times New Roman"/>
                <w:noProof/>
              </w:rPr>
            </w:pPr>
            <w:r>
              <w:rPr>
                <w:noProof/>
              </w:rPr>
              <w:t xml:space="preserve">B2.2 Verbesserung der Bedingungen für die Entwicklung erneuerbarer Energiequellen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4398F34" w14:textId="6A71C63B" w:rsidR="00EB245A" w:rsidRDefault="006021EE" w:rsidP="00E624AF">
            <w:pPr>
              <w:pStyle w:val="P68B1DB1-Normal46"/>
              <w:spacing w:line="259" w:lineRule="auto"/>
              <w:ind w:left="74"/>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F379063" w14:textId="77777777" w:rsidR="00EB245A" w:rsidRDefault="006021EE">
            <w:pPr>
              <w:pStyle w:val="P68B1DB1-Normal46"/>
              <w:spacing w:line="259" w:lineRule="auto"/>
              <w:rPr>
                <w:rFonts w:cs="Times New Roman"/>
                <w:noProof/>
              </w:rPr>
            </w:pPr>
            <w:r>
              <w:rPr>
                <w:noProof/>
              </w:rPr>
              <w:t xml:space="preserve"> Inkrafttreten einer Verordnung zur Festlegung eines Plans für Auktionen für erneuerbare Energien für die Jahre 2022 bis 2027 </w:t>
            </w:r>
          </w:p>
        </w:tc>
      </w:tr>
      <w:tr w:rsidR="00EB245A" w14:paraId="3E7F5149" w14:textId="77777777">
        <w:trPr>
          <w:trHeight w:val="722"/>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5D22248" w14:textId="77777777" w:rsidR="00EB245A" w:rsidRDefault="006021EE">
            <w:pPr>
              <w:pStyle w:val="P68B1DB1-Normal46"/>
              <w:spacing w:line="259" w:lineRule="auto"/>
              <w:ind w:right="13"/>
              <w:jc w:val="center"/>
              <w:rPr>
                <w:rFonts w:cs="Times New Roman"/>
                <w:noProof/>
              </w:rPr>
            </w:pPr>
            <w:r>
              <w:rPr>
                <w:noProof/>
              </w:rPr>
              <w:t xml:space="preserve">B36L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97A00D8" w14:textId="77777777" w:rsidR="00EB245A" w:rsidRDefault="006021EE">
            <w:pPr>
              <w:pStyle w:val="P68B1DB1-Normal46"/>
              <w:spacing w:line="259" w:lineRule="auto"/>
              <w:ind w:left="1"/>
              <w:rPr>
                <w:rFonts w:cs="Times New Roman"/>
                <w:noProof/>
              </w:rPr>
            </w:pPr>
            <w:r>
              <w:rPr>
                <w:noProof/>
              </w:rPr>
              <w:t xml:space="preserve">B2.2 Verbesserung der Bedingungen für die Entwicklung erneuerbarer Energiequellen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87F2C65" w14:textId="77777777" w:rsidR="00EB245A" w:rsidRDefault="006021EE">
            <w:pPr>
              <w:pStyle w:val="P68B1DB1-Normal46"/>
              <w:spacing w:line="259" w:lineRule="auto"/>
              <w:ind w:right="11"/>
              <w:jc w:val="center"/>
              <w:rPr>
                <w:rFonts w:cs="Times New Roman"/>
                <w:noProof/>
              </w:rPr>
            </w:pPr>
            <w:r>
              <w:rPr>
                <w:noProof/>
              </w:rPr>
              <w:t xml:space="preserve">Ziel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1D6F4EF" w14:textId="77777777" w:rsidR="00EB245A" w:rsidRDefault="006021EE">
            <w:pPr>
              <w:pStyle w:val="P68B1DB1-Normal46"/>
              <w:spacing w:line="259" w:lineRule="auto"/>
              <w:ind w:left="1"/>
              <w:rPr>
                <w:rFonts w:cs="Times New Roman"/>
                <w:noProof/>
              </w:rPr>
            </w:pPr>
            <w:r>
              <w:rPr>
                <w:noProof/>
              </w:rPr>
              <w:t xml:space="preserve">T2 – Installierte Kapazität von Onshore-Windkraft- und Photovoltaikanlagen (in GW) </w:t>
            </w:r>
          </w:p>
        </w:tc>
      </w:tr>
      <w:tr w:rsidR="00EB245A" w14:paraId="3E86A5FC" w14:textId="77777777">
        <w:trPr>
          <w:trHeight w:val="1478"/>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55E3CE7" w14:textId="77777777" w:rsidR="00EB245A" w:rsidRDefault="006021EE">
            <w:pPr>
              <w:pStyle w:val="P68B1DB1-Normal46"/>
              <w:spacing w:line="259" w:lineRule="auto"/>
              <w:ind w:right="13"/>
              <w:jc w:val="center"/>
              <w:rPr>
                <w:rFonts w:cs="Times New Roman"/>
                <w:noProof/>
              </w:rPr>
            </w:pPr>
            <w:r>
              <w:rPr>
                <w:noProof/>
              </w:rPr>
              <w:t xml:space="preserve">B40L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B534C85" w14:textId="77777777" w:rsidR="00EB245A" w:rsidRDefault="006021EE">
            <w:pPr>
              <w:pStyle w:val="P68B1DB1-Normal46"/>
              <w:spacing w:line="259" w:lineRule="auto"/>
              <w:ind w:left="1"/>
              <w:rPr>
                <w:rFonts w:cs="Times New Roman"/>
                <w:noProof/>
              </w:rPr>
            </w:pPr>
            <w:r>
              <w:rPr>
                <w:noProof/>
              </w:rPr>
              <w:t xml:space="preserve">B2.2 Verbesserung der Bedingungen für die Entwicklung erneuerbarer Energiequellen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5AB8C04" w14:textId="29CEB501" w:rsidR="00EB245A" w:rsidRDefault="006021EE" w:rsidP="00E624AF">
            <w:pPr>
              <w:pStyle w:val="P68B1DB1-Normal46"/>
              <w:spacing w:line="259" w:lineRule="auto"/>
              <w:ind w:left="75"/>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1275F7A" w14:textId="77777777" w:rsidR="00EB245A" w:rsidRDefault="006021EE">
            <w:pPr>
              <w:pStyle w:val="P68B1DB1-Normal46"/>
              <w:spacing w:line="259" w:lineRule="auto"/>
              <w:ind w:left="1"/>
              <w:rPr>
                <w:rFonts w:cs="Times New Roman"/>
                <w:noProof/>
              </w:rPr>
            </w:pPr>
            <w:r>
              <w:rPr>
                <w:noProof/>
              </w:rPr>
              <w:t xml:space="preserve">Inkrafttreten der Durchführungsverordnung im Anschluss an das Gesetz vom 17. Dezember 2020 zur Förderung der Stromerzeugung in Offshore-Windparks </w:t>
            </w:r>
          </w:p>
        </w:tc>
      </w:tr>
      <w:tr w:rsidR="00EB245A" w14:paraId="688FD815" w14:textId="77777777">
        <w:trPr>
          <w:trHeight w:val="1988"/>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E9A8625" w14:textId="77777777" w:rsidR="00EB245A" w:rsidRDefault="006021EE">
            <w:pPr>
              <w:pStyle w:val="P68B1DB1-Normal46"/>
              <w:spacing w:line="259" w:lineRule="auto"/>
              <w:ind w:right="13"/>
              <w:jc w:val="center"/>
              <w:rPr>
                <w:rFonts w:cs="Times New Roman"/>
                <w:noProof/>
              </w:rPr>
            </w:pPr>
            <w:r>
              <w:rPr>
                <w:noProof/>
              </w:rPr>
              <w:t xml:space="preserve">C8L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9190BDD" w14:textId="77777777" w:rsidR="00EB245A" w:rsidRDefault="006021EE">
            <w:pPr>
              <w:pStyle w:val="P68B1DB1-Normal46"/>
              <w:spacing w:line="259" w:lineRule="auto"/>
              <w:ind w:left="1"/>
              <w:rPr>
                <w:rFonts w:cs="Times New Roman"/>
                <w:noProof/>
              </w:rPr>
            </w:pPr>
            <w:r>
              <w:rPr>
                <w:noProof/>
              </w:rPr>
              <w:t xml:space="preserve">C2.2 Reform der Grundlage der Digitalisierung des Bildungssystems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0E8EFA1" w14:textId="7A02AC98" w:rsidR="00EB245A" w:rsidRDefault="006021EE" w:rsidP="00E624AF">
            <w:pPr>
              <w:pStyle w:val="P68B1DB1-Normal46"/>
              <w:spacing w:line="259" w:lineRule="auto"/>
              <w:ind w:left="75"/>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33DE53B" w14:textId="77777777" w:rsidR="00EB245A" w:rsidRDefault="006021EE">
            <w:pPr>
              <w:pStyle w:val="P68B1DB1-Normal46"/>
              <w:spacing w:line="259" w:lineRule="auto"/>
              <w:ind w:left="1"/>
              <w:rPr>
                <w:rFonts w:cs="Times New Roman"/>
                <w:noProof/>
              </w:rPr>
            </w:pPr>
            <w:r>
              <w:rPr>
                <w:noProof/>
              </w:rPr>
              <w:t xml:space="preserve">Annahme einer neuen </w:t>
            </w:r>
            <w:r>
              <w:rPr>
                <w:noProof/>
              </w:rPr>
              <w:t xml:space="preserve">Digitalisierungspolitik für die Bildung, die die Grundlage für Veränderungen im Bildungssystem und die Umsetzung von Investitionen in IKT bildet und kurz- und langfristig die Richtung für die Digitalisierung des Bildungssystems festlegt </w:t>
            </w:r>
          </w:p>
        </w:tc>
      </w:tr>
      <w:tr w:rsidR="00EB245A" w14:paraId="5E42B66C" w14:textId="77777777">
        <w:trPr>
          <w:trHeight w:val="1226"/>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1617AB0" w14:textId="77777777" w:rsidR="00EB245A" w:rsidRDefault="006021EE">
            <w:pPr>
              <w:pStyle w:val="P68B1DB1-Normal46"/>
              <w:spacing w:line="259" w:lineRule="auto"/>
              <w:ind w:right="13"/>
              <w:jc w:val="center"/>
              <w:rPr>
                <w:rFonts w:cs="Times New Roman"/>
                <w:noProof/>
              </w:rPr>
            </w:pPr>
            <w:r>
              <w:rPr>
                <w:noProof/>
              </w:rPr>
              <w:t xml:space="preserve">C9L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3ACA2B4" w14:textId="77777777" w:rsidR="00EB245A" w:rsidRDefault="006021EE">
            <w:pPr>
              <w:pStyle w:val="P68B1DB1-Normal46"/>
              <w:spacing w:line="259" w:lineRule="auto"/>
              <w:ind w:left="1"/>
              <w:rPr>
                <w:rFonts w:cs="Times New Roman"/>
                <w:noProof/>
              </w:rPr>
            </w:pPr>
            <w:r>
              <w:rPr>
                <w:noProof/>
              </w:rPr>
              <w:t xml:space="preserve">C2.2.1 Ausstattungsschulen/-einrichtungen mit angemessenen IKT-Geräten und -Infrastrukturen zur Verbesserung der Gesamtleistung des Bildungssystems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0EABB77" w14:textId="53A43D20" w:rsidR="00EB245A" w:rsidRDefault="006021EE" w:rsidP="00E624AF">
            <w:pPr>
              <w:pStyle w:val="P68B1DB1-Normal46"/>
              <w:spacing w:line="259" w:lineRule="auto"/>
              <w:ind w:left="75"/>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826A988" w14:textId="77777777" w:rsidR="00EB245A" w:rsidRDefault="006021EE">
            <w:pPr>
              <w:pStyle w:val="P68B1DB1-Normal46"/>
              <w:spacing w:line="259" w:lineRule="auto"/>
              <w:ind w:left="1"/>
              <w:rPr>
                <w:rFonts w:cs="Times New Roman"/>
                <w:noProof/>
              </w:rPr>
            </w:pPr>
            <w:r>
              <w:rPr>
                <w:noProof/>
              </w:rPr>
              <w:t>Öffentliche Konsultation zum Rahmen für die Festlegung der Verfahren für die Verteilung von IKT</w:t>
            </w:r>
            <w:r>
              <w:rPr>
                <w:noProof/>
              </w:rPr>
              <w:t xml:space="preserve">-Ausrüstung und für die Bereitstellung von Infrastruktur für Schulen  </w:t>
            </w:r>
          </w:p>
        </w:tc>
      </w:tr>
      <w:tr w:rsidR="00EB245A" w14:paraId="2EC7EFA3" w14:textId="77777777">
        <w:trPr>
          <w:trHeight w:val="1480"/>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05D3C47" w14:textId="77777777" w:rsidR="00EB245A" w:rsidRDefault="006021EE">
            <w:pPr>
              <w:pStyle w:val="P68B1DB1-Normal46"/>
              <w:spacing w:line="259" w:lineRule="auto"/>
              <w:ind w:right="11"/>
              <w:jc w:val="center"/>
              <w:rPr>
                <w:rFonts w:cs="Times New Roman"/>
                <w:noProof/>
              </w:rPr>
            </w:pPr>
            <w:r>
              <w:rPr>
                <w:noProof/>
              </w:rPr>
              <w:t xml:space="preserve">D2L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3DE50F9" w14:textId="77777777" w:rsidR="00EB245A" w:rsidRDefault="006021EE">
            <w:pPr>
              <w:pStyle w:val="P68B1DB1-Normal46"/>
              <w:spacing w:line="259" w:lineRule="auto"/>
              <w:ind w:left="1"/>
              <w:rPr>
                <w:rFonts w:cs="Times New Roman"/>
                <w:noProof/>
              </w:rPr>
            </w:pPr>
            <w:r>
              <w:rPr>
                <w:noProof/>
              </w:rPr>
              <w:t xml:space="preserve">D1.2 Steigerung der Effizienz, Verfügbarkeit und Qualität der Langzeitpflegedienste der Gesundheitsdienstleister auf Bezirksebene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2D550DA" w14:textId="5EC9E2D8" w:rsidR="00EB245A" w:rsidRDefault="006021EE" w:rsidP="00E624AF">
            <w:pPr>
              <w:pStyle w:val="P68B1DB1-Normal46"/>
              <w:spacing w:line="259" w:lineRule="auto"/>
              <w:ind w:left="75"/>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C8B805B" w14:textId="77777777" w:rsidR="00EB245A" w:rsidRDefault="006021EE">
            <w:pPr>
              <w:pStyle w:val="P68B1DB1-Normal46"/>
              <w:spacing w:line="259" w:lineRule="auto"/>
              <w:ind w:left="1"/>
              <w:rPr>
                <w:rFonts w:cs="Times New Roman"/>
                <w:noProof/>
              </w:rPr>
            </w:pPr>
            <w:r>
              <w:rPr>
                <w:noProof/>
              </w:rPr>
              <w:t xml:space="preserve">Inkrafttreten eines </w:t>
            </w:r>
            <w:r>
              <w:rPr>
                <w:noProof/>
              </w:rPr>
              <w:t xml:space="preserve">Gesetzgebungsakts zur Unterstützung der Einrichtung von Langzeitpflege- und Geriatriestationen/-zentren in Bezirkskrankenhäusern auf der Grundlage der Ergebnisse der Überprüfung </w:t>
            </w:r>
          </w:p>
        </w:tc>
      </w:tr>
      <w:tr w:rsidR="00EB245A" w14:paraId="45D9BBA5" w14:textId="77777777">
        <w:trPr>
          <w:trHeight w:val="975"/>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7410C1E" w14:textId="77777777" w:rsidR="00EB245A" w:rsidRDefault="006021EE">
            <w:pPr>
              <w:pStyle w:val="P68B1DB1-Normal46"/>
              <w:spacing w:line="259" w:lineRule="auto"/>
              <w:ind w:right="10"/>
              <w:jc w:val="center"/>
              <w:rPr>
                <w:rFonts w:cs="Times New Roman"/>
                <w:noProof/>
              </w:rPr>
            </w:pPr>
            <w:r>
              <w:rPr>
                <w:noProof/>
              </w:rPr>
              <w:t xml:space="preserve">E5L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57AB4D0" w14:textId="77777777" w:rsidR="00EB245A" w:rsidRDefault="006021EE">
            <w:pPr>
              <w:pStyle w:val="P68B1DB1-Normal46"/>
              <w:spacing w:line="259" w:lineRule="auto"/>
              <w:ind w:left="1"/>
              <w:rPr>
                <w:rFonts w:cs="Times New Roman"/>
                <w:noProof/>
              </w:rPr>
            </w:pPr>
            <w:r>
              <w:rPr>
                <w:noProof/>
              </w:rPr>
              <w:t xml:space="preserve">E2.3 Verbesserung der Zugänglichkeit, der Sicherheit und digitaler Lösungen im Verkehrsbereich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F776833" w14:textId="021059BB" w:rsidR="00EB245A" w:rsidRDefault="006021EE" w:rsidP="00E624AF">
            <w:pPr>
              <w:pStyle w:val="P68B1DB1-Normal46"/>
              <w:spacing w:line="259" w:lineRule="auto"/>
              <w:ind w:left="75"/>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2E56829" w14:textId="77777777" w:rsidR="00EB245A" w:rsidRDefault="006021EE">
            <w:pPr>
              <w:pStyle w:val="P68B1DB1-Normal46"/>
              <w:spacing w:line="259" w:lineRule="auto"/>
              <w:ind w:left="1"/>
              <w:rPr>
                <w:rFonts w:cs="Times New Roman"/>
                <w:noProof/>
              </w:rPr>
            </w:pPr>
            <w:r>
              <w:rPr>
                <w:noProof/>
              </w:rPr>
              <w:t xml:space="preserve">Inkrafttreten eines Rechtsakts zur Verbesserung der Fahrgastrechte im Bereich der Anforderungen an Fahrzeuge </w:t>
            </w:r>
          </w:p>
        </w:tc>
      </w:tr>
      <w:tr w:rsidR="00EB245A" w14:paraId="6A9452E5" w14:textId="77777777">
        <w:trPr>
          <w:trHeight w:val="719"/>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D007F1C" w14:textId="77777777" w:rsidR="00EB245A" w:rsidRDefault="006021EE">
            <w:pPr>
              <w:pStyle w:val="P68B1DB1-Normal46"/>
              <w:spacing w:line="259" w:lineRule="auto"/>
              <w:rPr>
                <w:rFonts w:cs="Times New Roman"/>
                <w:noProof/>
              </w:rPr>
            </w:pPr>
            <w:r>
              <w:rPr>
                <w:noProof/>
              </w:rPr>
              <w:t xml:space="preserve">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7192AAB" w14:textId="77777777" w:rsidR="00EB245A" w:rsidRDefault="006021EE">
            <w:pPr>
              <w:pStyle w:val="P68B1DB1-Normal46"/>
              <w:spacing w:line="259" w:lineRule="auto"/>
              <w:ind w:left="1"/>
              <w:rPr>
                <w:rFonts w:cs="Times New Roman"/>
                <w:noProof/>
              </w:rPr>
            </w:pPr>
            <w:r>
              <w:rPr>
                <w:noProof/>
              </w:rPr>
              <w:t xml:space="preserv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B869F44" w14:textId="77777777" w:rsidR="00EB245A" w:rsidRDefault="006021EE">
            <w:pPr>
              <w:pStyle w:val="P68B1DB1-Normal46"/>
              <w:spacing w:line="259" w:lineRule="auto"/>
              <w:ind w:left="1"/>
              <w:rPr>
                <w:rFonts w:cs="Times New Roman"/>
                <w:noProof/>
              </w:rPr>
            </w:pPr>
            <w:r>
              <w:rPr>
                <w:noProof/>
              </w:rPr>
              <w:t xml:space="preserve">Ratenzahlungsbetrag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698AF92" w14:textId="454E345E" w:rsidR="00EB245A" w:rsidRDefault="006021EE">
            <w:pPr>
              <w:pStyle w:val="P68B1DB1-Normal46"/>
              <w:spacing w:line="259" w:lineRule="auto"/>
              <w:ind w:left="1"/>
              <w:rPr>
                <w:rFonts w:cs="Times New Roman"/>
                <w:noProof/>
              </w:rPr>
            </w:pPr>
            <w:r>
              <w:rPr>
                <w:noProof/>
              </w:rPr>
              <w:t>3 309 921 717 EUR</w:t>
            </w:r>
          </w:p>
        </w:tc>
      </w:tr>
    </w:tbl>
    <w:p w14:paraId="573D19BF" w14:textId="77777777" w:rsidR="00EB245A" w:rsidRDefault="006021EE">
      <w:pPr>
        <w:pStyle w:val="P68B1DB1-Normal46"/>
        <w:spacing w:after="0" w:line="259" w:lineRule="auto"/>
        <w:rPr>
          <w:rFonts w:cs="Times New Roman"/>
          <w:noProof/>
        </w:rPr>
      </w:pPr>
      <w:r>
        <w:rPr>
          <w:noProof/>
        </w:rPr>
        <w:t xml:space="preserve"> </w:t>
      </w:r>
    </w:p>
    <w:p w14:paraId="5E118635" w14:textId="77777777" w:rsidR="00EB245A" w:rsidRDefault="006021EE">
      <w:pPr>
        <w:pStyle w:val="P68B1DB1-Normal46"/>
        <w:spacing w:after="3" w:line="259" w:lineRule="auto"/>
        <w:ind w:left="-5"/>
        <w:rPr>
          <w:rFonts w:cs="Times New Roman"/>
          <w:noProof/>
        </w:rPr>
      </w:pPr>
      <w:r>
        <w:rPr>
          <w:noProof/>
        </w:rPr>
        <w:t xml:space="preserve">2.2.3. Dritte Tranche (Unterstützung in Form eines Darlehens): </w:t>
      </w:r>
    </w:p>
    <w:tbl>
      <w:tblPr>
        <w:tblStyle w:val="TableGrid0"/>
        <w:tblW w:w="10481" w:type="dxa"/>
        <w:tblInd w:w="10" w:type="dxa"/>
        <w:tblCellMar>
          <w:top w:w="53" w:type="dxa"/>
          <w:left w:w="107" w:type="dxa"/>
          <w:right w:w="54" w:type="dxa"/>
        </w:tblCellMar>
        <w:tblLook w:val="04A0" w:firstRow="1" w:lastRow="0" w:firstColumn="1" w:lastColumn="0" w:noHBand="0" w:noVBand="1"/>
      </w:tblPr>
      <w:tblGrid>
        <w:gridCol w:w="1282"/>
        <w:gridCol w:w="3544"/>
        <w:gridCol w:w="2178"/>
        <w:gridCol w:w="3477"/>
      </w:tblGrid>
      <w:tr w:rsidR="00EB245A" w14:paraId="7ABD41B5" w14:textId="77777777">
        <w:trPr>
          <w:trHeight w:val="882"/>
          <w:tblHeader/>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61568694" w14:textId="77777777" w:rsidR="00EB245A" w:rsidRDefault="006021EE">
            <w:pPr>
              <w:pStyle w:val="P68B1DB1-Normal46"/>
              <w:spacing w:line="259" w:lineRule="auto"/>
              <w:jc w:val="center"/>
              <w:rPr>
                <w:rFonts w:cs="Times New Roman"/>
                <w:noProof/>
              </w:rPr>
            </w:pPr>
            <w:r>
              <w:rPr>
                <w:b/>
                <w:noProof/>
              </w:rPr>
              <w:t>Laufende Nummer</w:t>
            </w:r>
            <w:r>
              <w:rPr>
                <w:noProof/>
              </w:rPr>
              <w:t xml:space="preserve">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4F75C81C" w14:textId="77777777" w:rsidR="00EB245A" w:rsidRDefault="006021EE">
            <w:pPr>
              <w:pStyle w:val="P68B1DB1-Normal46"/>
              <w:spacing w:line="259" w:lineRule="auto"/>
              <w:jc w:val="center"/>
              <w:rPr>
                <w:rFonts w:cs="Times New Roman"/>
                <w:noProof/>
              </w:rPr>
            </w:pPr>
            <w:r>
              <w:rPr>
                <w:b/>
                <w:noProof/>
              </w:rPr>
              <w:t>Verbundene Maßnahme (Reform oder Investition)</w:t>
            </w:r>
            <w:r>
              <w:rPr>
                <w:noProof/>
              </w:rPr>
              <w:t xml:space="preserv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748ACD09" w14:textId="77777777" w:rsidR="00EB245A" w:rsidRDefault="006021EE">
            <w:pPr>
              <w:pStyle w:val="P68B1DB1-Normal46"/>
              <w:spacing w:line="259" w:lineRule="auto"/>
              <w:ind w:left="25" w:right="24"/>
              <w:jc w:val="center"/>
              <w:rPr>
                <w:rFonts w:cs="Times New Roman"/>
                <w:noProof/>
              </w:rPr>
            </w:pPr>
            <w:r>
              <w:rPr>
                <w:b/>
                <w:noProof/>
              </w:rPr>
              <w:t>Etappenziel/Zielwert</w:t>
            </w:r>
            <w:r>
              <w:rPr>
                <w:noProof/>
              </w:rPr>
              <w:t xml:space="preserve"> </w:t>
            </w:r>
          </w:p>
        </w:tc>
        <w:tc>
          <w:tcPr>
            <w:tcW w:w="3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0BE8BD92" w14:textId="77777777" w:rsidR="00EB245A" w:rsidRDefault="006021EE">
            <w:pPr>
              <w:pStyle w:val="P68B1DB1-Normal46"/>
              <w:spacing w:line="259" w:lineRule="auto"/>
              <w:ind w:right="52"/>
              <w:jc w:val="center"/>
              <w:rPr>
                <w:rFonts w:cs="Times New Roman"/>
                <w:noProof/>
              </w:rPr>
            </w:pPr>
            <w:r>
              <w:rPr>
                <w:b/>
                <w:noProof/>
              </w:rPr>
              <w:t>Namen</w:t>
            </w:r>
            <w:r>
              <w:rPr>
                <w:noProof/>
              </w:rPr>
              <w:t xml:space="preserve"> </w:t>
            </w:r>
          </w:p>
        </w:tc>
      </w:tr>
      <w:tr w:rsidR="00EB245A" w14:paraId="33AC4EBE" w14:textId="77777777">
        <w:trPr>
          <w:trHeight w:val="1986"/>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98EBB62" w14:textId="77777777" w:rsidR="00EB245A" w:rsidRDefault="006021EE">
            <w:pPr>
              <w:pStyle w:val="P68B1DB1-Normal46"/>
              <w:spacing w:line="259" w:lineRule="auto"/>
              <w:ind w:right="55"/>
              <w:jc w:val="center"/>
              <w:rPr>
                <w:rFonts w:cs="Times New Roman"/>
                <w:noProof/>
              </w:rPr>
            </w:pPr>
            <w:r>
              <w:rPr>
                <w:noProof/>
              </w:rPr>
              <w:t xml:space="preserve">B32L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3B7778C" w14:textId="77777777" w:rsidR="00EB245A" w:rsidRDefault="006021EE">
            <w:pPr>
              <w:pStyle w:val="P68B1DB1-Normal46"/>
              <w:spacing w:line="259" w:lineRule="auto"/>
              <w:ind w:left="1"/>
              <w:rPr>
                <w:rFonts w:cs="Times New Roman"/>
                <w:noProof/>
              </w:rPr>
            </w:pPr>
            <w:r>
              <w:rPr>
                <w:noProof/>
              </w:rPr>
              <w:t xml:space="preserve">B2.2 Verbesserung der Bedingungen für die Entwicklung erneuerbarer Energiequellen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071DA47" w14:textId="484F0591" w:rsidR="00EB245A" w:rsidRDefault="006021EE" w:rsidP="00E624AF">
            <w:pPr>
              <w:pStyle w:val="P68B1DB1-Normal46"/>
              <w:spacing w:line="259" w:lineRule="auto"/>
              <w:ind w:left="75"/>
              <w:jc w:val="center"/>
              <w:rPr>
                <w:rFonts w:cs="Times New Roman"/>
                <w:noProof/>
              </w:rPr>
            </w:pPr>
            <w:r>
              <w:rPr>
                <w:noProof/>
              </w:rPr>
              <w:t>Meilenstein</w:t>
            </w:r>
          </w:p>
        </w:tc>
        <w:tc>
          <w:tcPr>
            <w:tcW w:w="3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ACF93E9" w14:textId="77777777" w:rsidR="00EB245A" w:rsidRDefault="006021EE">
            <w:pPr>
              <w:pStyle w:val="P68B1DB1-Normal46"/>
              <w:spacing w:after="2" w:line="237" w:lineRule="auto"/>
              <w:ind w:left="1"/>
              <w:rPr>
                <w:rFonts w:cs="Times New Roman"/>
                <w:noProof/>
              </w:rPr>
            </w:pPr>
            <w:r>
              <w:rPr>
                <w:noProof/>
              </w:rPr>
              <w:t xml:space="preserve">Inkrafttreten von Rechtsakten zur Änderung des Rechtsrahmens für Erneuerbare-Energie-Gemeinschaften und Biomethan: Änderungen des EE-Gesetzes, </w:t>
            </w:r>
          </w:p>
          <w:p w14:paraId="286A1B60" w14:textId="77777777" w:rsidR="00EB245A" w:rsidRDefault="006021EE">
            <w:pPr>
              <w:pStyle w:val="P68B1DB1-Normal46"/>
              <w:spacing w:after="5" w:line="236" w:lineRule="auto"/>
              <w:ind w:left="1"/>
              <w:rPr>
                <w:rFonts w:cs="Times New Roman"/>
                <w:noProof/>
              </w:rPr>
            </w:pPr>
            <w:r>
              <w:rPr>
                <w:noProof/>
              </w:rPr>
              <w:t xml:space="preserve">Änderungen der Rechtsvorschriften über den Energiemarkt und Inkrafttreten einer </w:t>
            </w:r>
          </w:p>
          <w:p w14:paraId="09A90187" w14:textId="77777777" w:rsidR="00EB245A" w:rsidRDefault="006021EE">
            <w:pPr>
              <w:pStyle w:val="P68B1DB1-Normal46"/>
              <w:spacing w:line="259" w:lineRule="auto"/>
              <w:ind w:left="1"/>
              <w:rPr>
                <w:rFonts w:cs="Times New Roman"/>
                <w:noProof/>
              </w:rPr>
            </w:pPr>
            <w:r>
              <w:rPr>
                <w:noProof/>
              </w:rPr>
              <w:t xml:space="preserve">Verordnung zum EE-Gesetz </w:t>
            </w:r>
          </w:p>
        </w:tc>
      </w:tr>
      <w:tr w:rsidR="00EB245A" w14:paraId="7DE6C842" w14:textId="77777777">
        <w:trPr>
          <w:trHeight w:val="721"/>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455996D" w14:textId="77777777" w:rsidR="00EB245A" w:rsidRDefault="006021EE">
            <w:pPr>
              <w:pStyle w:val="P68B1DB1-Normal46"/>
              <w:spacing w:line="259" w:lineRule="auto"/>
              <w:ind w:right="55"/>
              <w:jc w:val="center"/>
              <w:rPr>
                <w:rFonts w:cs="Times New Roman"/>
                <w:noProof/>
              </w:rPr>
            </w:pPr>
            <w:r>
              <w:rPr>
                <w:noProof/>
              </w:rPr>
              <w:t xml:space="preserve">B37L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2EBD29A" w14:textId="77777777" w:rsidR="00EB245A" w:rsidRDefault="006021EE">
            <w:pPr>
              <w:pStyle w:val="P68B1DB1-Normal46"/>
              <w:spacing w:line="259" w:lineRule="auto"/>
              <w:ind w:left="1"/>
              <w:rPr>
                <w:rFonts w:cs="Times New Roman"/>
                <w:noProof/>
              </w:rPr>
            </w:pPr>
            <w:r>
              <w:rPr>
                <w:noProof/>
              </w:rPr>
              <w:t xml:space="preserve">B2.2 Verbesserung der Bedingungen für die Entwicklung erneuerbarer Energiequellen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BFB15EA" w14:textId="77777777" w:rsidR="00EB245A" w:rsidRDefault="006021EE">
            <w:pPr>
              <w:pStyle w:val="P68B1DB1-Normal46"/>
              <w:spacing w:line="259" w:lineRule="auto"/>
              <w:ind w:right="53"/>
              <w:jc w:val="center"/>
              <w:rPr>
                <w:rFonts w:cs="Times New Roman"/>
                <w:noProof/>
              </w:rPr>
            </w:pPr>
            <w:r>
              <w:rPr>
                <w:noProof/>
              </w:rPr>
              <w:t xml:space="preserve">Ziel </w:t>
            </w:r>
          </w:p>
        </w:tc>
        <w:tc>
          <w:tcPr>
            <w:tcW w:w="3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A84A625" w14:textId="77777777" w:rsidR="00EB245A" w:rsidRDefault="006021EE">
            <w:pPr>
              <w:pStyle w:val="P68B1DB1-Normal46"/>
              <w:spacing w:line="259" w:lineRule="auto"/>
              <w:ind w:left="1"/>
              <w:rPr>
                <w:rFonts w:cs="Times New Roman"/>
                <w:noProof/>
              </w:rPr>
            </w:pPr>
            <w:r>
              <w:rPr>
                <w:noProof/>
              </w:rPr>
              <w:t xml:space="preserve">T3 – Installierte Kapazität von Onshore-Windkraft- und Photovoltaikanlagen (in GW) </w:t>
            </w:r>
          </w:p>
        </w:tc>
      </w:tr>
      <w:tr w:rsidR="00EB245A" w14:paraId="30FA9CDF" w14:textId="77777777">
        <w:trPr>
          <w:trHeight w:val="1227"/>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99D7E9F" w14:textId="77777777" w:rsidR="00EB245A" w:rsidRDefault="006021EE">
            <w:pPr>
              <w:pStyle w:val="P68B1DB1-Normal46"/>
              <w:spacing w:line="259" w:lineRule="auto"/>
              <w:ind w:right="55"/>
              <w:jc w:val="center"/>
              <w:rPr>
                <w:rFonts w:cs="Times New Roman"/>
                <w:noProof/>
              </w:rPr>
            </w:pPr>
            <w:r>
              <w:rPr>
                <w:noProof/>
              </w:rPr>
              <w:t xml:space="preserve">C10L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A0F49F1" w14:textId="77777777" w:rsidR="00EB245A" w:rsidRDefault="006021EE">
            <w:pPr>
              <w:pStyle w:val="P68B1DB1-Normal46"/>
              <w:spacing w:line="259" w:lineRule="auto"/>
              <w:ind w:left="1" w:right="37"/>
              <w:rPr>
                <w:rFonts w:cs="Times New Roman"/>
                <w:noProof/>
              </w:rPr>
            </w:pPr>
            <w:r>
              <w:rPr>
                <w:noProof/>
              </w:rPr>
              <w:t xml:space="preserve">C2.2.1 Ausstattungsschulen/-einrichtungen mit angemessenen IKT-Geräten und -Infrastrukturen zur Verbesserung der Gesamtleistung des Bildungssystems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7947486" w14:textId="1A957315" w:rsidR="00EB245A" w:rsidRDefault="006021EE" w:rsidP="00E624AF">
            <w:pPr>
              <w:pStyle w:val="P68B1DB1-Normal46"/>
              <w:spacing w:line="259" w:lineRule="auto"/>
              <w:ind w:left="75"/>
              <w:jc w:val="center"/>
              <w:rPr>
                <w:rFonts w:cs="Times New Roman"/>
                <w:noProof/>
              </w:rPr>
            </w:pPr>
            <w:r>
              <w:rPr>
                <w:noProof/>
              </w:rPr>
              <w:t>Meilenstein</w:t>
            </w:r>
          </w:p>
        </w:tc>
        <w:tc>
          <w:tcPr>
            <w:tcW w:w="3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5470795" w14:textId="77777777" w:rsidR="00EB245A" w:rsidRDefault="006021EE">
            <w:pPr>
              <w:pStyle w:val="P68B1DB1-Normal46"/>
              <w:spacing w:line="259" w:lineRule="auto"/>
              <w:ind w:left="1"/>
              <w:rPr>
                <w:rFonts w:cs="Times New Roman"/>
                <w:noProof/>
              </w:rPr>
            </w:pPr>
            <w:r>
              <w:rPr>
                <w:noProof/>
              </w:rPr>
              <w:t xml:space="preserve">Rahmen für die Festlegung der Verfahren für die Verteilung von IKT-Geräten und für die Bereitstellung von Infrastruktur für Schulen </w:t>
            </w:r>
          </w:p>
        </w:tc>
      </w:tr>
      <w:tr w:rsidR="00EB245A" w14:paraId="7DA488DD" w14:textId="77777777">
        <w:trPr>
          <w:trHeight w:val="718"/>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52863AB" w14:textId="77777777" w:rsidR="00EB245A" w:rsidRDefault="006021EE">
            <w:pPr>
              <w:pStyle w:val="P68B1DB1-Normal46"/>
              <w:spacing w:line="259" w:lineRule="auto"/>
              <w:rPr>
                <w:rFonts w:cs="Times New Roman"/>
                <w:noProof/>
              </w:rPr>
            </w:pPr>
            <w:r>
              <w:rPr>
                <w:noProof/>
              </w:rPr>
              <w:t xml:space="preserve">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9846259" w14:textId="77777777" w:rsidR="00EB245A" w:rsidRDefault="006021EE">
            <w:pPr>
              <w:pStyle w:val="P68B1DB1-Normal46"/>
              <w:spacing w:line="259" w:lineRule="auto"/>
              <w:ind w:left="1"/>
              <w:rPr>
                <w:rFonts w:cs="Times New Roman"/>
                <w:noProof/>
              </w:rPr>
            </w:pPr>
            <w:r>
              <w:rPr>
                <w:noProof/>
              </w:rPr>
              <w:t xml:space="preserv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6BDD843" w14:textId="77777777" w:rsidR="00EB245A" w:rsidRDefault="006021EE">
            <w:pPr>
              <w:pStyle w:val="P68B1DB1-Normal46"/>
              <w:spacing w:line="259" w:lineRule="auto"/>
              <w:ind w:left="1"/>
              <w:rPr>
                <w:rFonts w:cs="Times New Roman"/>
                <w:noProof/>
              </w:rPr>
            </w:pPr>
            <w:r>
              <w:rPr>
                <w:noProof/>
              </w:rPr>
              <w:t xml:space="preserve">Ratenzahlungsbetrag </w:t>
            </w:r>
          </w:p>
        </w:tc>
        <w:tc>
          <w:tcPr>
            <w:tcW w:w="3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C1E3359" w14:textId="4E15E1BB" w:rsidR="00EB245A" w:rsidRDefault="006021EE">
            <w:pPr>
              <w:pStyle w:val="P68B1DB1-Normal46"/>
              <w:spacing w:line="259" w:lineRule="auto"/>
              <w:ind w:left="1"/>
              <w:rPr>
                <w:rFonts w:cs="Times New Roman"/>
                <w:noProof/>
              </w:rPr>
            </w:pPr>
            <w:r>
              <w:rPr>
                <w:noProof/>
              </w:rPr>
              <w:t>2 815 596 004 EUR</w:t>
            </w:r>
          </w:p>
        </w:tc>
      </w:tr>
    </w:tbl>
    <w:p w14:paraId="2C237495" w14:textId="596A09CB" w:rsidR="00EB245A" w:rsidRDefault="006021EE">
      <w:pPr>
        <w:pStyle w:val="P68B1DB1-Normal46"/>
        <w:spacing w:after="98" w:line="259" w:lineRule="auto"/>
        <w:rPr>
          <w:rFonts w:cs="Times New Roman"/>
          <w:noProof/>
        </w:rPr>
      </w:pPr>
      <w:r>
        <w:rPr>
          <w:noProof/>
        </w:rPr>
        <w:t xml:space="preserve"> </w:t>
      </w:r>
    </w:p>
    <w:p w14:paraId="5406A350" w14:textId="77777777" w:rsidR="00EB245A" w:rsidRDefault="006021EE">
      <w:pPr>
        <w:rPr>
          <w:rFonts w:ascii="Times New Roman" w:hAnsi="Times New Roman" w:cs="Times New Roman"/>
          <w:noProof/>
        </w:rPr>
      </w:pPr>
      <w:r>
        <w:rPr>
          <w:noProof/>
        </w:rPr>
        <w:br w:type="page"/>
      </w:r>
    </w:p>
    <w:p w14:paraId="673C39FD" w14:textId="77777777" w:rsidR="00EB245A" w:rsidRDefault="006021EE">
      <w:pPr>
        <w:pStyle w:val="P68B1DB1-Normal46"/>
        <w:spacing w:after="3" w:line="259" w:lineRule="auto"/>
        <w:ind w:left="-5"/>
        <w:rPr>
          <w:rFonts w:cs="Times New Roman"/>
          <w:noProof/>
        </w:rPr>
      </w:pPr>
      <w:r>
        <w:rPr>
          <w:noProof/>
        </w:rPr>
        <w:t xml:space="preserve">2.2.4 Vierte Tranche (Darlehensunterstützung): </w:t>
      </w:r>
    </w:p>
    <w:tbl>
      <w:tblPr>
        <w:tblStyle w:val="TableGrid0"/>
        <w:tblW w:w="10481" w:type="dxa"/>
        <w:tblInd w:w="10" w:type="dxa"/>
        <w:tblCellMar>
          <w:top w:w="53" w:type="dxa"/>
          <w:left w:w="107" w:type="dxa"/>
          <w:right w:w="96" w:type="dxa"/>
        </w:tblCellMar>
        <w:tblLook w:val="04A0" w:firstRow="1" w:lastRow="0" w:firstColumn="1" w:lastColumn="0" w:noHBand="0" w:noVBand="1"/>
      </w:tblPr>
      <w:tblGrid>
        <w:gridCol w:w="1268"/>
        <w:gridCol w:w="3451"/>
        <w:gridCol w:w="2196"/>
        <w:gridCol w:w="3566"/>
      </w:tblGrid>
      <w:tr w:rsidR="00EB245A" w14:paraId="6B225589" w14:textId="77777777">
        <w:trPr>
          <w:trHeight w:val="881"/>
          <w:tblHeader/>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0C899227" w14:textId="77777777" w:rsidR="00EB245A" w:rsidRDefault="006021EE">
            <w:pPr>
              <w:pStyle w:val="P68B1DB1-Normal46"/>
              <w:spacing w:line="259" w:lineRule="auto"/>
              <w:jc w:val="center"/>
              <w:rPr>
                <w:rFonts w:cs="Times New Roman"/>
                <w:noProof/>
              </w:rPr>
            </w:pPr>
            <w:r>
              <w:rPr>
                <w:b/>
                <w:noProof/>
              </w:rPr>
              <w:t>Laufende Nummer</w:t>
            </w:r>
            <w:r>
              <w:rPr>
                <w:noProof/>
              </w:rPr>
              <w:t xml:space="preserve">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14B8A395" w14:textId="77777777" w:rsidR="00EB245A" w:rsidRDefault="006021EE">
            <w:pPr>
              <w:pStyle w:val="P68B1DB1-Normal46"/>
              <w:spacing w:line="259" w:lineRule="auto"/>
              <w:jc w:val="center"/>
              <w:rPr>
                <w:rFonts w:cs="Times New Roman"/>
                <w:noProof/>
              </w:rPr>
            </w:pPr>
            <w:r>
              <w:rPr>
                <w:b/>
                <w:noProof/>
              </w:rPr>
              <w:t>Verbundene Maßnahme (Reform oder Investition)</w:t>
            </w:r>
            <w:r>
              <w:rPr>
                <w:noProof/>
              </w:rPr>
              <w:t xml:space="preserv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0A685490" w14:textId="77777777" w:rsidR="00EB245A" w:rsidRDefault="006021EE">
            <w:pPr>
              <w:pStyle w:val="P68B1DB1-Normal46"/>
              <w:spacing w:line="259" w:lineRule="auto"/>
              <w:ind w:left="25"/>
              <w:jc w:val="center"/>
              <w:rPr>
                <w:rFonts w:cs="Times New Roman"/>
                <w:noProof/>
              </w:rPr>
            </w:pPr>
            <w:r>
              <w:rPr>
                <w:b/>
                <w:noProof/>
              </w:rPr>
              <w:t>Etappenziel/Zielwert</w:t>
            </w:r>
            <w:r>
              <w:rPr>
                <w:noProof/>
              </w:rPr>
              <w:t xml:space="preserve">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5F80CC16" w14:textId="77777777" w:rsidR="00EB245A" w:rsidRDefault="006021EE">
            <w:pPr>
              <w:pStyle w:val="P68B1DB1-Normal46"/>
              <w:spacing w:line="259" w:lineRule="auto"/>
              <w:ind w:left="2"/>
              <w:jc w:val="center"/>
              <w:rPr>
                <w:rFonts w:cs="Times New Roman"/>
                <w:noProof/>
              </w:rPr>
            </w:pPr>
            <w:r>
              <w:rPr>
                <w:b/>
                <w:noProof/>
              </w:rPr>
              <w:t>Namen</w:t>
            </w:r>
            <w:r>
              <w:rPr>
                <w:noProof/>
              </w:rPr>
              <w:t xml:space="preserve"> </w:t>
            </w:r>
          </w:p>
        </w:tc>
      </w:tr>
      <w:tr w:rsidR="00EB245A" w14:paraId="6043C609" w14:textId="77777777">
        <w:trPr>
          <w:trHeight w:val="975"/>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F38580A" w14:textId="77777777" w:rsidR="00EB245A" w:rsidRDefault="006021EE">
            <w:pPr>
              <w:pStyle w:val="P68B1DB1-Normal46"/>
              <w:spacing w:line="259" w:lineRule="auto"/>
              <w:ind w:right="1"/>
              <w:jc w:val="center"/>
              <w:rPr>
                <w:rFonts w:cs="Times New Roman"/>
                <w:noProof/>
              </w:rPr>
            </w:pPr>
            <w:r>
              <w:rPr>
                <w:noProof/>
              </w:rPr>
              <w:t xml:space="preserve">B3L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F96476E" w14:textId="77777777" w:rsidR="00EB245A" w:rsidRDefault="006021EE">
            <w:pPr>
              <w:pStyle w:val="P68B1DB1-Normal46"/>
              <w:spacing w:line="259" w:lineRule="auto"/>
              <w:rPr>
                <w:rFonts w:cs="Times New Roman"/>
                <w:noProof/>
              </w:rPr>
            </w:pPr>
            <w:r>
              <w:rPr>
                <w:noProof/>
              </w:rPr>
              <w:t xml:space="preserve">B1.2.1 Energieeffizienz und erneuerbare Energien in Unternehmen – Investitionen mit dem höchsten Potenzial zur Verringerung der Treibhausgasemissionen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33F31F5" w14:textId="77777777" w:rsidR="00EB245A" w:rsidRDefault="006021EE">
            <w:pPr>
              <w:pStyle w:val="P68B1DB1-Normal46"/>
              <w:spacing w:line="259" w:lineRule="auto"/>
              <w:ind w:left="1"/>
              <w:jc w:val="center"/>
              <w:rPr>
                <w:rFonts w:cs="Times New Roman"/>
                <w:noProof/>
              </w:rPr>
            </w:pPr>
            <w:r>
              <w:rPr>
                <w:noProof/>
              </w:rPr>
              <w:t xml:space="preserve">Ziel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A6C6C88" w14:textId="77777777" w:rsidR="00EB245A" w:rsidRDefault="006021EE">
            <w:pPr>
              <w:pStyle w:val="P68B1DB1-Normal46"/>
              <w:spacing w:line="259" w:lineRule="auto"/>
              <w:rPr>
                <w:rFonts w:cs="Times New Roman"/>
                <w:noProof/>
              </w:rPr>
            </w:pPr>
            <w:r>
              <w:rPr>
                <w:noProof/>
              </w:rPr>
              <w:t xml:space="preserve">Vergabe aller Aufträge für die </w:t>
            </w:r>
          </w:p>
          <w:p w14:paraId="6C8C5FCA" w14:textId="77777777" w:rsidR="00EB245A" w:rsidRDefault="006021EE">
            <w:pPr>
              <w:pStyle w:val="P68B1DB1-Normal46"/>
              <w:spacing w:line="259" w:lineRule="auto"/>
              <w:rPr>
                <w:rFonts w:cs="Times New Roman"/>
                <w:noProof/>
              </w:rPr>
            </w:pPr>
            <w:r>
              <w:rPr>
                <w:noProof/>
              </w:rPr>
              <w:t xml:space="preserve">Umsetzung von Energieeffizienz und erneuerbaren Energieträgern in Unternehmen </w:t>
            </w:r>
          </w:p>
        </w:tc>
      </w:tr>
      <w:tr w:rsidR="00EB245A" w14:paraId="186AC46D" w14:textId="77777777">
        <w:trPr>
          <w:trHeight w:val="1986"/>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31138A3" w14:textId="77777777" w:rsidR="00EB245A" w:rsidRDefault="006021EE">
            <w:pPr>
              <w:pStyle w:val="P68B1DB1-Normal46"/>
              <w:spacing w:line="259" w:lineRule="auto"/>
              <w:ind w:right="1"/>
              <w:jc w:val="center"/>
              <w:rPr>
                <w:rFonts w:cs="Times New Roman"/>
                <w:noProof/>
              </w:rPr>
            </w:pPr>
            <w:r>
              <w:rPr>
                <w:noProof/>
              </w:rPr>
              <w:t xml:space="preserve">B6L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6B6983C" w14:textId="77777777" w:rsidR="00EB245A" w:rsidRDefault="006021EE">
            <w:pPr>
              <w:pStyle w:val="P68B1DB1-Normal46"/>
              <w:spacing w:line="259" w:lineRule="auto"/>
              <w:rPr>
                <w:rFonts w:cs="Times New Roman"/>
                <w:noProof/>
              </w:rPr>
            </w:pPr>
            <w:r>
              <w:rPr>
                <w:noProof/>
              </w:rPr>
              <w:t xml:space="preserve">B2.3 Förderung von Investitionen in Offshore-Windparks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5FB1988" w14:textId="726CAA38" w:rsidR="00EB245A" w:rsidRDefault="006021EE" w:rsidP="00E624AF">
            <w:pPr>
              <w:pStyle w:val="P68B1DB1-Normal46"/>
              <w:spacing w:line="259" w:lineRule="auto"/>
              <w:ind w:left="74"/>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D0F20D2" w14:textId="77777777" w:rsidR="00EB245A" w:rsidRDefault="006021EE">
            <w:pPr>
              <w:pStyle w:val="P68B1DB1-Normal46"/>
              <w:spacing w:line="259" w:lineRule="auto"/>
              <w:rPr>
                <w:rFonts w:cs="Times New Roman"/>
                <w:noProof/>
              </w:rPr>
            </w:pPr>
            <w:r>
              <w:rPr>
                <w:noProof/>
              </w:rPr>
              <w:t xml:space="preserve">Inkrafttreten einer Änderung der Verordnung über die genauen Bedingungen für den Betrieb des Stromnetzes, mit der die nationalen Ausgleichsregeln geändert werden, um die Auswirkungen der Zuteilungsbeschränkungen so weit wie möglich zu verringern </w:t>
            </w:r>
          </w:p>
        </w:tc>
      </w:tr>
      <w:tr w:rsidR="00EB245A" w14:paraId="71F6AC5D" w14:textId="77777777">
        <w:trPr>
          <w:trHeight w:val="719"/>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2FE3C8C" w14:textId="77777777" w:rsidR="00EB245A" w:rsidRDefault="006021EE">
            <w:pPr>
              <w:pStyle w:val="P68B1DB1-Normal46"/>
              <w:spacing w:line="259" w:lineRule="auto"/>
              <w:ind w:right="1"/>
              <w:jc w:val="center"/>
              <w:rPr>
                <w:rFonts w:cs="Times New Roman"/>
                <w:noProof/>
              </w:rPr>
            </w:pPr>
            <w:r>
              <w:rPr>
                <w:noProof/>
              </w:rPr>
              <w:t xml:space="preserve">B24L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E65B47A" w14:textId="77777777" w:rsidR="00EB245A" w:rsidRDefault="006021EE">
            <w:pPr>
              <w:pStyle w:val="P68B1DB1-Normal46"/>
              <w:spacing w:line="259" w:lineRule="auto"/>
              <w:rPr>
                <w:rFonts w:cs="Times New Roman"/>
                <w:noProof/>
              </w:rPr>
            </w:pPr>
            <w:r>
              <w:rPr>
                <w:noProof/>
              </w:rPr>
              <w:t xml:space="preserve">B3.4 Schaffung eines Rahmens für Investitionen in den ökologischen Wandel in städtischen Gebieten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EC9A28F" w14:textId="4DCB0C05" w:rsidR="00EB245A" w:rsidRDefault="006021EE" w:rsidP="00E624AF">
            <w:pPr>
              <w:pStyle w:val="P68B1DB1-Normal46"/>
              <w:spacing w:line="259" w:lineRule="auto"/>
              <w:ind w:left="74"/>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86E13B4" w14:textId="6FFEFD7D" w:rsidR="00EB245A" w:rsidRDefault="006021EE">
            <w:pPr>
              <w:pStyle w:val="P68B1DB1-Normal46"/>
              <w:spacing w:line="259" w:lineRule="auto"/>
              <w:rPr>
                <w:rFonts w:cs="Times New Roman"/>
                <w:noProof/>
              </w:rPr>
            </w:pPr>
            <w:r>
              <w:rPr>
                <w:noProof/>
              </w:rPr>
              <w:t>Inkrafttreten eines Gesetzes über nachhaltige Stadtentwicklung, in dem Ziele, Leitlinien, Durchführungsvorschriften und Koordinierungsmechanismen</w:t>
            </w:r>
            <w:r>
              <w:rPr>
                <w:noProof/>
              </w:rPr>
              <w:t xml:space="preserve"> für den ökologischen Wandel in Städten festgelegt werden</w:t>
            </w:r>
          </w:p>
        </w:tc>
      </w:tr>
      <w:tr w:rsidR="00EB245A" w14:paraId="4A198614" w14:textId="77777777">
        <w:trPr>
          <w:trHeight w:val="722"/>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936EF44" w14:textId="77777777" w:rsidR="00EB245A" w:rsidRDefault="006021EE">
            <w:pPr>
              <w:pStyle w:val="P68B1DB1-Normal46"/>
              <w:spacing w:line="259" w:lineRule="auto"/>
              <w:ind w:right="13"/>
              <w:jc w:val="center"/>
              <w:rPr>
                <w:rFonts w:cs="Times New Roman"/>
                <w:noProof/>
              </w:rPr>
            </w:pPr>
            <w:r>
              <w:rPr>
                <w:noProof/>
              </w:rPr>
              <w:t xml:space="preserve">B38L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B85D72D" w14:textId="77777777" w:rsidR="00EB245A" w:rsidRDefault="006021EE">
            <w:pPr>
              <w:pStyle w:val="P68B1DB1-Normal46"/>
              <w:spacing w:line="259" w:lineRule="auto"/>
              <w:ind w:left="1"/>
              <w:rPr>
                <w:rFonts w:cs="Times New Roman"/>
                <w:noProof/>
              </w:rPr>
            </w:pPr>
            <w:r>
              <w:rPr>
                <w:noProof/>
              </w:rPr>
              <w:t xml:space="preserve">B2.2 Verbesserung der Bedingungen für die Entwicklung erneuerbarer Energiequellen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89C9A29" w14:textId="77777777" w:rsidR="00EB245A" w:rsidRDefault="006021EE">
            <w:pPr>
              <w:pStyle w:val="P68B1DB1-Normal46"/>
              <w:spacing w:line="259" w:lineRule="auto"/>
              <w:ind w:right="11"/>
              <w:jc w:val="center"/>
              <w:rPr>
                <w:rFonts w:cs="Times New Roman"/>
                <w:noProof/>
              </w:rPr>
            </w:pPr>
            <w:r>
              <w:rPr>
                <w:noProof/>
              </w:rPr>
              <w:t xml:space="preserve">Ziel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AD2F54E" w14:textId="77777777" w:rsidR="00EB245A" w:rsidRDefault="006021EE">
            <w:pPr>
              <w:pStyle w:val="P68B1DB1-Normal46"/>
              <w:spacing w:line="259" w:lineRule="auto"/>
              <w:ind w:left="1"/>
              <w:rPr>
                <w:rFonts w:cs="Times New Roman"/>
                <w:noProof/>
              </w:rPr>
            </w:pPr>
            <w:r>
              <w:rPr>
                <w:noProof/>
              </w:rPr>
              <w:t xml:space="preserve">T4 – Installierte Kapazität von Onshore-Windkraft- und Photovoltaikanlagen (in GW) </w:t>
            </w:r>
          </w:p>
        </w:tc>
      </w:tr>
      <w:tr w:rsidR="00EB245A" w14:paraId="03A31408" w14:textId="77777777">
        <w:trPr>
          <w:trHeight w:val="1226"/>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03997D0" w14:textId="77777777" w:rsidR="00EB245A" w:rsidRDefault="006021EE">
            <w:pPr>
              <w:pStyle w:val="P68B1DB1-Normal46"/>
              <w:spacing w:line="259" w:lineRule="auto"/>
              <w:ind w:right="13"/>
              <w:jc w:val="center"/>
              <w:rPr>
                <w:rFonts w:cs="Times New Roman"/>
                <w:noProof/>
              </w:rPr>
            </w:pPr>
            <w:r>
              <w:rPr>
                <w:noProof/>
              </w:rPr>
              <w:t xml:space="preserve">C3L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C81EBA4" w14:textId="77777777" w:rsidR="00EB245A" w:rsidRDefault="006021EE">
            <w:pPr>
              <w:pStyle w:val="P68B1DB1-Normal46"/>
              <w:spacing w:line="259" w:lineRule="auto"/>
              <w:ind w:left="1"/>
              <w:rPr>
                <w:rFonts w:cs="Times New Roman"/>
                <w:noProof/>
              </w:rPr>
            </w:pPr>
            <w:r>
              <w:rPr>
                <w:noProof/>
              </w:rPr>
              <w:t xml:space="preserve">C1.2 Verbesserung der Zugänglichkeit und Nutzung moderner drahtgebundener und drahtloser Kommunikation für soziale und wirtschaftliche Bedürfnisse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F39CDB1" w14:textId="0B479634" w:rsidR="00EB245A" w:rsidRDefault="006021EE" w:rsidP="00E624AF">
            <w:pPr>
              <w:pStyle w:val="P68B1DB1-Normal46"/>
              <w:spacing w:line="259" w:lineRule="auto"/>
              <w:ind w:left="75"/>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794D458" w14:textId="29B2459C" w:rsidR="00EB245A" w:rsidRDefault="006021EE">
            <w:pPr>
              <w:pStyle w:val="P68B1DB1-Normal46"/>
              <w:spacing w:line="259" w:lineRule="auto"/>
              <w:ind w:left="1"/>
              <w:rPr>
                <w:rFonts w:cs="Times New Roman"/>
                <w:noProof/>
              </w:rPr>
            </w:pPr>
            <w:r>
              <w:rPr>
                <w:noProof/>
              </w:rPr>
              <w:t xml:space="preserve"> Neue(r) Rechtsakt(e) zur Beseitigung von Hindernissen für die Umsetzung des 5G-Netzes   </w:t>
            </w:r>
          </w:p>
        </w:tc>
      </w:tr>
      <w:tr w:rsidR="00EB245A" w14:paraId="18EDF768" w14:textId="77777777">
        <w:trPr>
          <w:trHeight w:val="720"/>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CE66213" w14:textId="77777777" w:rsidR="00EB245A" w:rsidRDefault="006021EE">
            <w:pPr>
              <w:pStyle w:val="P68B1DB1-Normal46"/>
              <w:spacing w:line="259" w:lineRule="auto"/>
              <w:rPr>
                <w:rFonts w:cs="Times New Roman"/>
                <w:noProof/>
              </w:rPr>
            </w:pPr>
            <w:r>
              <w:rPr>
                <w:noProof/>
              </w:rPr>
              <w:t xml:space="preserve">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D4D398F" w14:textId="77777777" w:rsidR="00EB245A" w:rsidRDefault="006021EE">
            <w:pPr>
              <w:pStyle w:val="P68B1DB1-Normal46"/>
              <w:spacing w:line="259" w:lineRule="auto"/>
              <w:ind w:left="1"/>
              <w:rPr>
                <w:rFonts w:cs="Times New Roman"/>
                <w:noProof/>
              </w:rPr>
            </w:pPr>
            <w:r>
              <w:rPr>
                <w:noProof/>
              </w:rPr>
              <w:t xml:space="preserv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6A607CE" w14:textId="77777777" w:rsidR="00EB245A" w:rsidRDefault="006021EE">
            <w:pPr>
              <w:pStyle w:val="P68B1DB1-Normal46"/>
              <w:spacing w:line="259" w:lineRule="auto"/>
              <w:ind w:left="1"/>
              <w:rPr>
                <w:rFonts w:cs="Times New Roman"/>
                <w:noProof/>
              </w:rPr>
            </w:pPr>
            <w:r>
              <w:rPr>
                <w:noProof/>
              </w:rPr>
              <w:t xml:space="preserve">Ratenzahlungsbetrag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C10132B" w14:textId="395F943F" w:rsidR="00EB245A" w:rsidRDefault="006021EE">
            <w:pPr>
              <w:pStyle w:val="P68B1DB1-Normal46"/>
              <w:spacing w:line="259" w:lineRule="auto"/>
              <w:ind w:left="1"/>
              <w:rPr>
                <w:rFonts w:cs="Times New Roman"/>
                <w:noProof/>
              </w:rPr>
            </w:pPr>
            <w:r>
              <w:rPr>
                <w:noProof/>
              </w:rPr>
              <w:t>1 558 053 583 EUR</w:t>
            </w:r>
          </w:p>
          <w:p w14:paraId="4A86300B" w14:textId="0DCF2607" w:rsidR="00EB245A" w:rsidRDefault="00EB245A">
            <w:pPr>
              <w:spacing w:line="259" w:lineRule="auto"/>
              <w:ind w:left="1"/>
              <w:rPr>
                <w:rFonts w:ascii="Times New Roman" w:hAnsi="Times New Roman" w:cs="Times New Roman"/>
                <w:noProof/>
              </w:rPr>
            </w:pPr>
          </w:p>
        </w:tc>
      </w:tr>
    </w:tbl>
    <w:p w14:paraId="7C390959" w14:textId="77777777" w:rsidR="00EB245A" w:rsidRDefault="006021EE">
      <w:pPr>
        <w:pStyle w:val="P68B1DB1-Normal46"/>
        <w:spacing w:after="96" w:line="259" w:lineRule="auto"/>
        <w:rPr>
          <w:rFonts w:cs="Times New Roman"/>
          <w:noProof/>
        </w:rPr>
      </w:pPr>
      <w:r>
        <w:rPr>
          <w:noProof/>
        </w:rPr>
        <w:t xml:space="preserve"> </w:t>
      </w:r>
    </w:p>
    <w:p w14:paraId="3328A0DB" w14:textId="77777777" w:rsidR="00EB245A" w:rsidRDefault="006021EE">
      <w:pPr>
        <w:pStyle w:val="P68B1DB1-Normal46"/>
        <w:spacing w:after="3" w:line="259" w:lineRule="auto"/>
        <w:ind w:left="-5"/>
        <w:rPr>
          <w:rFonts w:cs="Times New Roman"/>
          <w:noProof/>
        </w:rPr>
      </w:pPr>
      <w:r>
        <w:rPr>
          <w:noProof/>
        </w:rPr>
        <w:t xml:space="preserve">2.2.5. Fünfte Tranche (Darlehensunterstützung): </w:t>
      </w:r>
    </w:p>
    <w:tbl>
      <w:tblPr>
        <w:tblStyle w:val="TableGrid0"/>
        <w:tblW w:w="10481" w:type="dxa"/>
        <w:tblInd w:w="10" w:type="dxa"/>
        <w:tblCellMar>
          <w:top w:w="51" w:type="dxa"/>
          <w:left w:w="107" w:type="dxa"/>
          <w:right w:w="73" w:type="dxa"/>
        </w:tblCellMar>
        <w:tblLook w:val="04A0" w:firstRow="1" w:lastRow="0" w:firstColumn="1" w:lastColumn="0" w:noHBand="0" w:noVBand="1"/>
      </w:tblPr>
      <w:tblGrid>
        <w:gridCol w:w="1252"/>
        <w:gridCol w:w="3549"/>
        <w:gridCol w:w="2173"/>
        <w:gridCol w:w="3507"/>
      </w:tblGrid>
      <w:tr w:rsidR="00EB245A" w14:paraId="2DE8CBEF" w14:textId="77777777">
        <w:trPr>
          <w:trHeight w:val="782"/>
          <w:tblHeader/>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38AFBF69" w14:textId="77777777" w:rsidR="00EB245A" w:rsidRDefault="006021EE">
            <w:pPr>
              <w:pStyle w:val="P68B1DB1-Normal46"/>
              <w:spacing w:line="259" w:lineRule="auto"/>
              <w:jc w:val="center"/>
              <w:rPr>
                <w:rFonts w:cs="Times New Roman"/>
                <w:noProof/>
              </w:rPr>
            </w:pPr>
            <w:r>
              <w:rPr>
                <w:b/>
                <w:noProof/>
              </w:rPr>
              <w:t>Laufende Nummer</w:t>
            </w:r>
            <w:r>
              <w:rPr>
                <w:noProof/>
              </w:rPr>
              <w:t xml:space="preserve">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494EEE6B" w14:textId="77777777" w:rsidR="00EB245A" w:rsidRDefault="006021EE">
            <w:pPr>
              <w:pStyle w:val="P68B1DB1-Normal46"/>
              <w:spacing w:line="259" w:lineRule="auto"/>
              <w:jc w:val="center"/>
              <w:rPr>
                <w:rFonts w:cs="Times New Roman"/>
                <w:noProof/>
              </w:rPr>
            </w:pPr>
            <w:r>
              <w:rPr>
                <w:b/>
                <w:noProof/>
              </w:rPr>
              <w:t>Verbundene Maßnahme (Reform oder Investition)</w:t>
            </w:r>
            <w:r>
              <w:rPr>
                <w:noProof/>
              </w:rPr>
              <w:t xml:space="preserv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741D5F73" w14:textId="77777777" w:rsidR="00EB245A" w:rsidRDefault="006021EE">
            <w:pPr>
              <w:pStyle w:val="P68B1DB1-Normal46"/>
              <w:spacing w:line="259" w:lineRule="auto"/>
              <w:ind w:left="25"/>
              <w:jc w:val="center"/>
              <w:rPr>
                <w:rFonts w:cs="Times New Roman"/>
                <w:noProof/>
              </w:rPr>
            </w:pPr>
            <w:r>
              <w:rPr>
                <w:b/>
                <w:noProof/>
              </w:rPr>
              <w:t>Etappenziel/Zielwert</w:t>
            </w:r>
            <w:r>
              <w:rPr>
                <w:noProof/>
              </w:rPr>
              <w:t xml:space="preserve">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25E3C427" w14:textId="77777777" w:rsidR="00EB245A" w:rsidRDefault="006021EE">
            <w:pPr>
              <w:pStyle w:val="P68B1DB1-Normal46"/>
              <w:spacing w:line="259" w:lineRule="auto"/>
              <w:ind w:right="11"/>
              <w:jc w:val="center"/>
              <w:rPr>
                <w:rFonts w:cs="Times New Roman"/>
                <w:noProof/>
              </w:rPr>
            </w:pPr>
            <w:r>
              <w:rPr>
                <w:b/>
                <w:noProof/>
              </w:rPr>
              <w:t>Namen</w:t>
            </w:r>
            <w:r>
              <w:rPr>
                <w:noProof/>
              </w:rPr>
              <w:t xml:space="preserve"> </w:t>
            </w:r>
          </w:p>
        </w:tc>
      </w:tr>
      <w:tr w:rsidR="00EB245A" w14:paraId="2947E8B1" w14:textId="77777777">
        <w:trPr>
          <w:trHeight w:val="1227"/>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6E45967" w14:textId="77777777" w:rsidR="00EB245A" w:rsidRDefault="006021EE">
            <w:pPr>
              <w:pStyle w:val="P68B1DB1-Normal46"/>
              <w:spacing w:line="259" w:lineRule="auto"/>
              <w:ind w:right="15"/>
              <w:jc w:val="center"/>
              <w:rPr>
                <w:rFonts w:cs="Times New Roman"/>
                <w:noProof/>
              </w:rPr>
            </w:pPr>
            <w:r>
              <w:rPr>
                <w:noProof/>
              </w:rPr>
              <w:t xml:space="preserve">B4L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146AC7F" w14:textId="77777777" w:rsidR="00EB245A" w:rsidRDefault="006021EE">
            <w:pPr>
              <w:pStyle w:val="P68B1DB1-Normal46"/>
              <w:spacing w:line="259" w:lineRule="auto"/>
              <w:rPr>
                <w:rFonts w:cs="Times New Roman"/>
                <w:noProof/>
              </w:rPr>
            </w:pPr>
            <w:r>
              <w:rPr>
                <w:noProof/>
              </w:rPr>
              <w:t xml:space="preserve">B2.3 Förderung von Investitionen in Offshore-Windparks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F544313" w14:textId="545A09A1" w:rsidR="00EB245A" w:rsidRDefault="006021EE" w:rsidP="00E624AF">
            <w:pPr>
              <w:pStyle w:val="P68B1DB1-Normal46"/>
              <w:spacing w:line="259" w:lineRule="auto"/>
              <w:ind w:left="74"/>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E9E1FEC" w14:textId="77777777" w:rsidR="00EB245A" w:rsidRDefault="006021EE">
            <w:pPr>
              <w:pStyle w:val="P68B1DB1-Normal46"/>
              <w:spacing w:after="1" w:line="238" w:lineRule="auto"/>
              <w:rPr>
                <w:rFonts w:cs="Times New Roman"/>
                <w:noProof/>
              </w:rPr>
            </w:pPr>
            <w:r>
              <w:rPr>
                <w:noProof/>
              </w:rPr>
              <w:t xml:space="preserve">Inkrafttreten von Durchführungsverordnungen im Anschluss an das Gesetz zur Förderung der Stromerzeugung in </w:t>
            </w:r>
          </w:p>
          <w:p w14:paraId="533B696A" w14:textId="77777777" w:rsidR="00EB245A" w:rsidRDefault="006021EE">
            <w:pPr>
              <w:pStyle w:val="P68B1DB1-Normal46"/>
              <w:spacing w:line="259" w:lineRule="auto"/>
              <w:rPr>
                <w:rFonts w:cs="Times New Roman"/>
                <w:noProof/>
              </w:rPr>
            </w:pPr>
            <w:r>
              <w:rPr>
                <w:noProof/>
              </w:rPr>
              <w:t xml:space="preserve">Offshore-Windparks </w:t>
            </w:r>
          </w:p>
        </w:tc>
      </w:tr>
      <w:tr w:rsidR="00EB245A" w14:paraId="3821C905" w14:textId="77777777">
        <w:trPr>
          <w:trHeight w:val="972"/>
        </w:trPr>
        <w:tc>
          <w:tcPr>
            <w:tcW w:w="1348" w:type="dxa"/>
            <w:tcBorders>
              <w:top w:val="single" w:sz="6"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6B69854" w14:textId="77777777" w:rsidR="00EB245A" w:rsidRDefault="006021EE">
            <w:pPr>
              <w:pStyle w:val="P68B1DB1-Normal46"/>
              <w:spacing w:line="259" w:lineRule="auto"/>
              <w:ind w:right="15"/>
              <w:jc w:val="center"/>
              <w:rPr>
                <w:rFonts w:cs="Times New Roman"/>
                <w:noProof/>
              </w:rPr>
            </w:pPr>
            <w:r>
              <w:rPr>
                <w:noProof/>
              </w:rPr>
              <w:t xml:space="preserve">C15L </w:t>
            </w:r>
          </w:p>
        </w:tc>
        <w:tc>
          <w:tcPr>
            <w:tcW w:w="3961" w:type="dxa"/>
            <w:tcBorders>
              <w:top w:val="single" w:sz="6"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FEBA09" w14:textId="77777777" w:rsidR="00EB245A" w:rsidRDefault="006021EE">
            <w:pPr>
              <w:pStyle w:val="P68B1DB1-Normal46"/>
              <w:spacing w:line="259" w:lineRule="auto"/>
              <w:rPr>
                <w:rFonts w:cs="Times New Roman"/>
                <w:noProof/>
              </w:rPr>
            </w:pPr>
            <w:r>
              <w:rPr>
                <w:noProof/>
              </w:rPr>
              <w:t xml:space="preserve">C4.1.1 Unterstützung der Digitalisierung </w:t>
            </w:r>
          </w:p>
          <w:p w14:paraId="7833DE35" w14:textId="77777777" w:rsidR="00EB245A" w:rsidRDefault="006021EE">
            <w:pPr>
              <w:pStyle w:val="P68B1DB1-Normal46"/>
              <w:spacing w:line="259" w:lineRule="auto"/>
              <w:rPr>
                <w:rFonts w:cs="Times New Roman"/>
                <w:noProof/>
              </w:rPr>
            </w:pPr>
            <w:r>
              <w:rPr>
                <w:noProof/>
              </w:rPr>
              <w:t xml:space="preserve">Umgestaltung von Unternehmen durch den Einsatz von Cloud Computing   </w:t>
            </w:r>
          </w:p>
        </w:tc>
        <w:tc>
          <w:tcPr>
            <w:tcW w:w="1246" w:type="dxa"/>
            <w:tcBorders>
              <w:top w:val="single" w:sz="6"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8E08984" w14:textId="1D303CEF" w:rsidR="00EB245A" w:rsidRDefault="006021EE" w:rsidP="00E624AF">
            <w:pPr>
              <w:pStyle w:val="P68B1DB1-Normal46"/>
              <w:spacing w:line="259" w:lineRule="auto"/>
              <w:ind w:left="74"/>
              <w:jc w:val="center"/>
              <w:rPr>
                <w:rFonts w:cs="Times New Roman"/>
                <w:noProof/>
              </w:rPr>
            </w:pPr>
            <w:r>
              <w:rPr>
                <w:noProof/>
              </w:rPr>
              <w:t>Meilenstein</w:t>
            </w:r>
          </w:p>
        </w:tc>
        <w:tc>
          <w:tcPr>
            <w:tcW w:w="3926" w:type="dxa"/>
            <w:tcBorders>
              <w:top w:val="single" w:sz="6"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9088D4E" w14:textId="77777777" w:rsidR="00EB245A" w:rsidRDefault="006021EE">
            <w:pPr>
              <w:pStyle w:val="P68B1DB1-Normal46"/>
              <w:spacing w:line="259" w:lineRule="auto"/>
              <w:rPr>
                <w:rFonts w:cs="Times New Roman"/>
                <w:noProof/>
              </w:rPr>
            </w:pPr>
            <w:r>
              <w:rPr>
                <w:noProof/>
              </w:rPr>
              <w:t xml:space="preserve">Leitfaden für den digitalen Wandel von Unternehmern, die Cloud-Computing nutzen   </w:t>
            </w:r>
          </w:p>
        </w:tc>
      </w:tr>
      <w:tr w:rsidR="00EB245A" w14:paraId="051E9A04" w14:textId="77777777">
        <w:trPr>
          <w:trHeight w:val="968"/>
        </w:trPr>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299CF0" w14:textId="77777777" w:rsidR="00EB245A" w:rsidRDefault="006021EE">
            <w:pPr>
              <w:pStyle w:val="P68B1DB1-Normal46"/>
              <w:spacing w:line="259" w:lineRule="auto"/>
              <w:ind w:right="15"/>
              <w:jc w:val="center"/>
              <w:rPr>
                <w:rFonts w:cs="Times New Roman"/>
                <w:noProof/>
              </w:rPr>
            </w:pPr>
            <w:r>
              <w:rPr>
                <w:noProof/>
              </w:rPr>
              <w:t xml:space="preserve">C16L </w:t>
            </w:r>
          </w:p>
        </w:tc>
        <w:tc>
          <w:tcPr>
            <w:tcW w:w="3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7647AD" w14:textId="77777777" w:rsidR="00EB245A" w:rsidRDefault="006021EE">
            <w:pPr>
              <w:pStyle w:val="P68B1DB1-Normal46"/>
              <w:spacing w:line="259" w:lineRule="auto"/>
              <w:rPr>
                <w:rFonts w:cs="Times New Roman"/>
                <w:noProof/>
              </w:rPr>
            </w:pPr>
            <w:r>
              <w:rPr>
                <w:noProof/>
              </w:rPr>
              <w:t xml:space="preserve">C4.1.1 Unterstützung des digitalen Wandels von Unternehmen durch den Einsatz von Cloud Computing  </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AA8A34C" w14:textId="5E9E4F53" w:rsidR="00EB245A" w:rsidRDefault="006021EE" w:rsidP="00E624AF">
            <w:pPr>
              <w:pStyle w:val="P68B1DB1-Normal46"/>
              <w:spacing w:line="259" w:lineRule="auto"/>
              <w:ind w:left="74"/>
              <w:jc w:val="center"/>
              <w:rPr>
                <w:rFonts w:cs="Times New Roman"/>
                <w:noProof/>
              </w:rPr>
            </w:pPr>
            <w:r>
              <w:rPr>
                <w:noProof/>
              </w:rPr>
              <w:t>Meilenstein</w:t>
            </w:r>
          </w:p>
        </w:tc>
        <w:tc>
          <w:tcPr>
            <w:tcW w:w="3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8D774C" w14:textId="77777777" w:rsidR="00EB245A" w:rsidRDefault="006021EE">
            <w:pPr>
              <w:pStyle w:val="P68B1DB1-Normal46"/>
              <w:spacing w:line="259" w:lineRule="auto"/>
              <w:rPr>
                <w:rFonts w:cs="Times New Roman"/>
                <w:noProof/>
              </w:rPr>
            </w:pPr>
            <w:r>
              <w:rPr>
                <w:noProof/>
              </w:rPr>
              <w:t xml:space="preserve">Durchführungsvereinbarung </w:t>
            </w:r>
          </w:p>
          <w:p w14:paraId="48266C89" w14:textId="77777777" w:rsidR="00EB245A" w:rsidRDefault="006021EE">
            <w:pPr>
              <w:pStyle w:val="P68B1DB1-Normal46"/>
              <w:spacing w:line="259" w:lineRule="auto"/>
              <w:rPr>
                <w:rFonts w:cs="Times New Roman"/>
                <w:noProof/>
              </w:rPr>
            </w:pPr>
            <w:r>
              <w:rPr>
                <w:noProof/>
              </w:rPr>
              <w:t xml:space="preserve"> </w:t>
            </w:r>
          </w:p>
        </w:tc>
      </w:tr>
      <w:tr w:rsidR="00EB245A" w14:paraId="16ADF442" w14:textId="77777777">
        <w:trPr>
          <w:trHeight w:val="1228"/>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6C16B43" w14:textId="77777777" w:rsidR="00EB245A" w:rsidRDefault="006021EE">
            <w:pPr>
              <w:pStyle w:val="P68B1DB1-Normal46"/>
              <w:spacing w:line="259" w:lineRule="auto"/>
              <w:ind w:right="34"/>
              <w:jc w:val="center"/>
              <w:rPr>
                <w:rFonts w:cs="Times New Roman"/>
                <w:noProof/>
              </w:rPr>
            </w:pPr>
            <w:r>
              <w:rPr>
                <w:noProof/>
              </w:rPr>
              <w:t xml:space="preserve">E1L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53CD23D" w14:textId="77777777" w:rsidR="00EB245A" w:rsidRDefault="006021EE">
            <w:pPr>
              <w:pStyle w:val="P68B1DB1-Normal46"/>
              <w:spacing w:line="259" w:lineRule="auto"/>
              <w:ind w:left="1"/>
              <w:rPr>
                <w:rFonts w:cs="Times New Roman"/>
                <w:noProof/>
              </w:rPr>
            </w:pPr>
            <w:r>
              <w:rPr>
                <w:noProof/>
              </w:rPr>
              <w:t xml:space="preserve">E1.2 Erhöhung des Anteils emissionsfreier und emissionsarmer Verkehrsmittel, Vermeidung und Verringerung der negativen Auswirkungen des Verkehrs auf die Umwelt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95A5364" w14:textId="7A560D53" w:rsidR="00EB245A" w:rsidRDefault="006021EE" w:rsidP="00E624AF">
            <w:pPr>
              <w:pStyle w:val="P68B1DB1-Normal46"/>
              <w:spacing w:line="259" w:lineRule="auto"/>
              <w:ind w:left="75"/>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93DE604" w14:textId="77777777" w:rsidR="00EB245A" w:rsidRDefault="006021EE">
            <w:pPr>
              <w:pStyle w:val="P68B1DB1-Normal46"/>
              <w:spacing w:line="259" w:lineRule="auto"/>
              <w:ind w:left="1"/>
              <w:rPr>
                <w:rFonts w:cs="Times New Roman"/>
                <w:noProof/>
              </w:rPr>
            </w:pPr>
            <w:r>
              <w:rPr>
                <w:noProof/>
              </w:rPr>
              <w:t>Inkrafttreten eines Rechtsakts zur Einführung einer Verpflichtung zu Emissionszonen</w:t>
            </w:r>
            <w:r>
              <w:rPr>
                <w:noProof/>
              </w:rPr>
              <w:t xml:space="preserve"> für ausgewählte, am stärksten verschmutzte Städte </w:t>
            </w:r>
          </w:p>
        </w:tc>
      </w:tr>
      <w:tr w:rsidR="00EB245A" w14:paraId="5BDEC1B7" w14:textId="77777777">
        <w:trPr>
          <w:trHeight w:val="1228"/>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A80426C" w14:textId="77777777" w:rsidR="00EB245A" w:rsidRDefault="006021EE">
            <w:pPr>
              <w:pStyle w:val="P68B1DB1-Normal46"/>
              <w:spacing w:line="259" w:lineRule="auto"/>
              <w:ind w:right="34"/>
              <w:jc w:val="center"/>
              <w:rPr>
                <w:rFonts w:cs="Times New Roman"/>
                <w:noProof/>
              </w:rPr>
            </w:pPr>
            <w:r>
              <w:rPr>
                <w:noProof/>
              </w:rPr>
              <w:t xml:space="preserve">E6L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580F6CA" w14:textId="77777777" w:rsidR="00EB245A" w:rsidRDefault="006021EE">
            <w:pPr>
              <w:pStyle w:val="P68B1DB1-Normal46"/>
              <w:spacing w:line="259" w:lineRule="auto"/>
              <w:ind w:left="1"/>
              <w:rPr>
                <w:rFonts w:cs="Times New Roman"/>
                <w:noProof/>
              </w:rPr>
            </w:pPr>
            <w:r>
              <w:rPr>
                <w:noProof/>
              </w:rPr>
              <w:t xml:space="preserve">E2.3 Verbesserung der Zugänglichkeit, der Sicherheit und digitaler Lösungen im Verkehrsbereich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F8856C9" w14:textId="524A11C0" w:rsidR="00EB245A" w:rsidRDefault="006021EE" w:rsidP="00E624AF">
            <w:pPr>
              <w:pStyle w:val="P68B1DB1-Normal46"/>
              <w:spacing w:line="259" w:lineRule="auto"/>
              <w:ind w:left="75"/>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C7627B8" w14:textId="77777777" w:rsidR="00EB245A" w:rsidRDefault="006021EE">
            <w:pPr>
              <w:pStyle w:val="P68B1DB1-Normal46"/>
              <w:spacing w:line="259" w:lineRule="auto"/>
              <w:ind w:left="1"/>
              <w:rPr>
                <w:rFonts w:cs="Times New Roman"/>
                <w:noProof/>
              </w:rPr>
            </w:pPr>
            <w:r>
              <w:rPr>
                <w:noProof/>
              </w:rPr>
              <w:t xml:space="preserve">Verpflichtung zur Umrüstung nationaler, internationaler und regionaler Fahrzeuge mit Anforderungen für Fahrgäste mit Behinderungen </w:t>
            </w:r>
          </w:p>
        </w:tc>
      </w:tr>
      <w:tr w:rsidR="00EB245A" w14:paraId="11DD8488" w14:textId="77777777">
        <w:trPr>
          <w:trHeight w:val="720"/>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BBA7DB3" w14:textId="77777777" w:rsidR="00EB245A" w:rsidRDefault="006021EE">
            <w:pPr>
              <w:pStyle w:val="P68B1DB1-Normal46"/>
              <w:spacing w:line="259" w:lineRule="auto"/>
              <w:ind w:right="34"/>
              <w:jc w:val="center"/>
              <w:rPr>
                <w:rFonts w:cs="Times New Roman"/>
                <w:noProof/>
              </w:rPr>
            </w:pPr>
            <w:r>
              <w:rPr>
                <w:noProof/>
              </w:rPr>
              <w:t xml:space="preserve">G12L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C74E4F1" w14:textId="77777777" w:rsidR="00EB245A" w:rsidRDefault="006021EE">
            <w:pPr>
              <w:pStyle w:val="P68B1DB1-Normal46"/>
              <w:spacing w:line="259" w:lineRule="auto"/>
              <w:ind w:left="1"/>
              <w:rPr>
                <w:rFonts w:cs="Times New Roman"/>
                <w:noProof/>
              </w:rPr>
            </w:pPr>
            <w:r>
              <w:rPr>
                <w:noProof/>
              </w:rPr>
              <w:t xml:space="preserve">G3.1.4 Unterstützung des nationalen Energiesystems (Energiehilfefonds)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B7FABC4" w14:textId="7E97E277" w:rsidR="00EB245A" w:rsidRDefault="006021EE" w:rsidP="00E624AF">
            <w:pPr>
              <w:pStyle w:val="P68B1DB1-Normal46"/>
              <w:spacing w:line="259" w:lineRule="auto"/>
              <w:ind w:left="75"/>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BED8393" w14:textId="77777777" w:rsidR="00EB245A" w:rsidRDefault="006021EE">
            <w:pPr>
              <w:pStyle w:val="P68B1DB1-Normal46"/>
              <w:spacing w:line="259" w:lineRule="auto"/>
              <w:ind w:left="1"/>
              <w:rPr>
                <w:rFonts w:cs="Times New Roman"/>
                <w:noProof/>
              </w:rPr>
            </w:pPr>
            <w:r>
              <w:rPr>
                <w:noProof/>
              </w:rPr>
              <w:t xml:space="preserve">Durchführungsvereinbarung </w:t>
            </w:r>
          </w:p>
        </w:tc>
      </w:tr>
      <w:tr w:rsidR="00EB245A" w14:paraId="48893615" w14:textId="77777777">
        <w:trPr>
          <w:trHeight w:val="722"/>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A321F0F" w14:textId="77777777" w:rsidR="00EB245A" w:rsidRDefault="006021EE">
            <w:pPr>
              <w:pStyle w:val="P68B1DB1-Normal46"/>
              <w:spacing w:line="259" w:lineRule="auto"/>
              <w:ind w:right="34"/>
              <w:jc w:val="center"/>
              <w:rPr>
                <w:rFonts w:cs="Times New Roman"/>
                <w:noProof/>
              </w:rPr>
            </w:pPr>
            <w:r>
              <w:rPr>
                <w:noProof/>
              </w:rPr>
              <w:t xml:space="preserve">G20L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FDE717E" w14:textId="56BB69F7" w:rsidR="00EB245A" w:rsidRDefault="006021EE">
            <w:pPr>
              <w:pStyle w:val="P68B1DB1-Normal46"/>
              <w:spacing w:line="259" w:lineRule="auto"/>
              <w:ind w:left="1"/>
              <w:rPr>
                <w:rFonts w:cs="Times New Roman"/>
                <w:noProof/>
              </w:rPr>
            </w:pPr>
            <w:r>
              <w:rPr>
                <w:noProof/>
              </w:rPr>
              <w:t xml:space="preserve">G3.2.1 Bau von Erdgasinfrastruktur zur Gewährleistung der Energieversorgungssicherheit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3B4D01B" w14:textId="23D7E8C4" w:rsidR="00EB245A" w:rsidRDefault="006021EE" w:rsidP="00E624AF">
            <w:pPr>
              <w:pStyle w:val="P68B1DB1-Normal46"/>
              <w:spacing w:line="259" w:lineRule="auto"/>
              <w:ind w:left="73"/>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AA073DA" w14:textId="77777777" w:rsidR="00EB245A" w:rsidRDefault="006021EE">
            <w:pPr>
              <w:pStyle w:val="P68B1DB1-Normal46"/>
              <w:spacing w:line="259" w:lineRule="auto"/>
              <w:ind w:left="1"/>
              <w:rPr>
                <w:rFonts w:cs="Times New Roman"/>
                <w:noProof/>
              </w:rPr>
            </w:pPr>
            <w:r>
              <w:rPr>
                <w:noProof/>
              </w:rPr>
              <w:t xml:space="preserve">Erteilung der Baugenehmigungen </w:t>
            </w:r>
          </w:p>
        </w:tc>
      </w:tr>
      <w:tr w:rsidR="00EB245A" w14:paraId="726161BF" w14:textId="77777777">
        <w:trPr>
          <w:trHeight w:val="719"/>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2EC8CD5" w14:textId="77777777" w:rsidR="00EB245A" w:rsidRDefault="006021EE">
            <w:pPr>
              <w:pStyle w:val="P68B1DB1-Normal46"/>
              <w:spacing w:line="259" w:lineRule="auto"/>
              <w:rPr>
                <w:rFonts w:cs="Times New Roman"/>
                <w:noProof/>
              </w:rPr>
            </w:pPr>
            <w:r>
              <w:rPr>
                <w:noProof/>
              </w:rPr>
              <w:t xml:space="preserve">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7E3B2FA" w14:textId="77777777" w:rsidR="00EB245A" w:rsidRDefault="006021EE">
            <w:pPr>
              <w:pStyle w:val="P68B1DB1-Normal46"/>
              <w:spacing w:line="259" w:lineRule="auto"/>
              <w:ind w:left="1"/>
              <w:rPr>
                <w:rFonts w:cs="Times New Roman"/>
                <w:noProof/>
              </w:rPr>
            </w:pPr>
            <w:r>
              <w:rPr>
                <w:noProof/>
              </w:rPr>
              <w:t xml:space="preserv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555F45D" w14:textId="77777777" w:rsidR="00EB245A" w:rsidRDefault="006021EE">
            <w:pPr>
              <w:pStyle w:val="P68B1DB1-Normal46"/>
              <w:spacing w:line="259" w:lineRule="auto"/>
              <w:ind w:left="1"/>
              <w:rPr>
                <w:rFonts w:cs="Times New Roman"/>
                <w:noProof/>
              </w:rPr>
            </w:pPr>
            <w:r>
              <w:rPr>
                <w:noProof/>
              </w:rPr>
              <w:t xml:space="preserve">Ratenzahlungsbetrag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D8C81EE" w14:textId="7C11320B" w:rsidR="00EB245A" w:rsidRDefault="006021EE">
            <w:pPr>
              <w:pStyle w:val="P68B1DB1-Normal46"/>
              <w:spacing w:line="259" w:lineRule="auto"/>
              <w:ind w:left="1"/>
              <w:rPr>
                <w:rFonts w:cs="Times New Roman"/>
                <w:noProof/>
              </w:rPr>
            </w:pPr>
            <w:r>
              <w:rPr>
                <w:noProof/>
              </w:rPr>
              <w:t>2 004 416 305 EUR</w:t>
            </w:r>
          </w:p>
        </w:tc>
      </w:tr>
    </w:tbl>
    <w:p w14:paraId="1CEFD7DF" w14:textId="77777777" w:rsidR="00EB245A" w:rsidRDefault="006021EE">
      <w:pPr>
        <w:pStyle w:val="P68B1DB1-Normal46"/>
        <w:spacing w:after="96" w:line="259" w:lineRule="auto"/>
        <w:rPr>
          <w:rFonts w:cs="Times New Roman"/>
          <w:noProof/>
        </w:rPr>
      </w:pPr>
      <w:r>
        <w:rPr>
          <w:noProof/>
        </w:rPr>
        <w:t xml:space="preserve"> </w:t>
      </w:r>
    </w:p>
    <w:p w14:paraId="383946AD" w14:textId="77777777" w:rsidR="00EB245A" w:rsidRDefault="006021EE">
      <w:pPr>
        <w:pStyle w:val="P68B1DB1-Normal46"/>
        <w:spacing w:after="3" w:line="259" w:lineRule="auto"/>
        <w:ind w:left="-5"/>
        <w:rPr>
          <w:rFonts w:cs="Times New Roman"/>
          <w:noProof/>
        </w:rPr>
      </w:pPr>
      <w:r>
        <w:rPr>
          <w:noProof/>
        </w:rPr>
        <w:t xml:space="preserve">2.2.6 Sechste Tranche (Darlehensunterstützung): </w:t>
      </w:r>
    </w:p>
    <w:tbl>
      <w:tblPr>
        <w:tblStyle w:val="TableGrid0"/>
        <w:tblW w:w="10481" w:type="dxa"/>
        <w:tblInd w:w="10" w:type="dxa"/>
        <w:tblCellMar>
          <w:top w:w="53" w:type="dxa"/>
          <w:left w:w="107" w:type="dxa"/>
          <w:right w:w="65" w:type="dxa"/>
        </w:tblCellMar>
        <w:tblLook w:val="04A0" w:firstRow="1" w:lastRow="0" w:firstColumn="1" w:lastColumn="0" w:noHBand="0" w:noVBand="1"/>
      </w:tblPr>
      <w:tblGrid>
        <w:gridCol w:w="1234"/>
        <w:gridCol w:w="3348"/>
        <w:gridCol w:w="2177"/>
        <w:gridCol w:w="3722"/>
      </w:tblGrid>
      <w:tr w:rsidR="00EB245A" w14:paraId="06D1F944" w14:textId="77777777">
        <w:trPr>
          <w:trHeight w:val="968"/>
          <w:tblHeader/>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08592B53" w14:textId="77777777" w:rsidR="00EB245A" w:rsidRDefault="006021EE">
            <w:pPr>
              <w:pStyle w:val="P68B1DB1-Normal46"/>
              <w:spacing w:line="259" w:lineRule="auto"/>
              <w:jc w:val="center"/>
              <w:rPr>
                <w:rFonts w:cs="Times New Roman"/>
                <w:noProof/>
              </w:rPr>
            </w:pPr>
            <w:r>
              <w:rPr>
                <w:b/>
                <w:noProof/>
              </w:rPr>
              <w:t>Laufende Nummer</w:t>
            </w:r>
            <w:r>
              <w:rPr>
                <w:noProof/>
              </w:rPr>
              <w:t xml:space="preserve">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5FDFC5C6" w14:textId="77777777" w:rsidR="00EB245A" w:rsidRDefault="006021EE">
            <w:pPr>
              <w:pStyle w:val="P68B1DB1-Normal46"/>
              <w:spacing w:line="259" w:lineRule="auto"/>
              <w:jc w:val="center"/>
              <w:rPr>
                <w:rFonts w:cs="Times New Roman"/>
                <w:noProof/>
              </w:rPr>
            </w:pPr>
            <w:r>
              <w:rPr>
                <w:b/>
                <w:noProof/>
              </w:rPr>
              <w:t>Verbundene Maßnahme (Reform oder Investition)</w:t>
            </w:r>
            <w:r>
              <w:rPr>
                <w:noProof/>
              </w:rPr>
              <w:t xml:space="preserv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26B326BB" w14:textId="77777777" w:rsidR="00EB245A" w:rsidRDefault="006021EE">
            <w:pPr>
              <w:pStyle w:val="P68B1DB1-Normal46"/>
              <w:spacing w:line="259" w:lineRule="auto"/>
              <w:ind w:left="25" w:right="12"/>
              <w:jc w:val="center"/>
              <w:rPr>
                <w:rFonts w:cs="Times New Roman"/>
                <w:noProof/>
              </w:rPr>
            </w:pPr>
            <w:r>
              <w:rPr>
                <w:b/>
                <w:noProof/>
              </w:rPr>
              <w:t>Etappenziel/Zielwert</w:t>
            </w:r>
            <w:r>
              <w:rPr>
                <w:noProof/>
              </w:rPr>
              <w:t xml:space="preserve">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41E199B1" w14:textId="77777777" w:rsidR="00EB245A" w:rsidRDefault="006021EE">
            <w:pPr>
              <w:pStyle w:val="P68B1DB1-Normal46"/>
              <w:spacing w:line="259" w:lineRule="auto"/>
              <w:ind w:right="41"/>
              <w:jc w:val="center"/>
              <w:rPr>
                <w:rFonts w:cs="Times New Roman"/>
                <w:noProof/>
              </w:rPr>
            </w:pPr>
            <w:r>
              <w:rPr>
                <w:b/>
                <w:noProof/>
              </w:rPr>
              <w:t>Namen</w:t>
            </w:r>
            <w:r>
              <w:rPr>
                <w:noProof/>
              </w:rPr>
              <w:t xml:space="preserve"> </w:t>
            </w:r>
          </w:p>
        </w:tc>
      </w:tr>
      <w:tr w:rsidR="00EB245A" w14:paraId="2E359722" w14:textId="77777777">
        <w:trPr>
          <w:trHeight w:val="1479"/>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05450A3" w14:textId="77777777" w:rsidR="00EB245A" w:rsidRDefault="006021EE">
            <w:pPr>
              <w:pStyle w:val="P68B1DB1-Normal46"/>
              <w:spacing w:line="259" w:lineRule="auto"/>
              <w:ind w:right="42"/>
              <w:jc w:val="center"/>
              <w:rPr>
                <w:rFonts w:cs="Times New Roman"/>
                <w:noProof/>
              </w:rPr>
            </w:pPr>
            <w:r>
              <w:rPr>
                <w:noProof/>
              </w:rPr>
              <w:t xml:space="preserve">A7L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DA65A1F" w14:textId="77777777" w:rsidR="00EB245A" w:rsidRDefault="006021EE">
            <w:pPr>
              <w:pStyle w:val="P68B1DB1-Normal46"/>
              <w:spacing w:line="259" w:lineRule="auto"/>
              <w:rPr>
                <w:rFonts w:cs="Times New Roman"/>
                <w:noProof/>
              </w:rPr>
            </w:pPr>
            <w:r>
              <w:rPr>
                <w:noProof/>
              </w:rPr>
              <w:t xml:space="preserve">A2.6.1 Entwicklung des nationalen Systems für Überwachungsdienste, Produkte, Analyseinstrumente, Dienste und begleitende Infrastruktur unter Verwendung von Satellitendaten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1DC6074" w14:textId="2D0972A8" w:rsidR="00EB245A" w:rsidRDefault="006021EE" w:rsidP="00E624AF">
            <w:pPr>
              <w:pStyle w:val="P68B1DB1-Normal46"/>
              <w:spacing w:line="259" w:lineRule="auto"/>
              <w:ind w:left="74"/>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E6D3276" w14:textId="77777777" w:rsidR="00EB245A" w:rsidRDefault="006021EE">
            <w:pPr>
              <w:pStyle w:val="P68B1DB1-Normal46"/>
              <w:spacing w:line="259" w:lineRule="auto"/>
              <w:rPr>
                <w:rFonts w:cs="Times New Roman"/>
                <w:noProof/>
              </w:rPr>
            </w:pPr>
            <w:r>
              <w:rPr>
                <w:noProof/>
              </w:rPr>
              <w:t xml:space="preserve">Inkrafttreten eines vom Parlament zu verabschiedenden Gesetzes über Weltraumtätigkeiten </w:t>
            </w:r>
          </w:p>
        </w:tc>
      </w:tr>
      <w:tr w:rsidR="00EB245A" w14:paraId="6D552500" w14:textId="77777777">
        <w:trPr>
          <w:trHeight w:val="1481"/>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8F3CB04" w14:textId="77777777" w:rsidR="00EB245A" w:rsidRDefault="006021EE">
            <w:pPr>
              <w:pStyle w:val="P68B1DB1-Normal46"/>
              <w:spacing w:line="259" w:lineRule="auto"/>
              <w:ind w:right="42"/>
              <w:jc w:val="center"/>
              <w:rPr>
                <w:rFonts w:cs="Times New Roman"/>
                <w:noProof/>
              </w:rPr>
            </w:pPr>
            <w:r>
              <w:rPr>
                <w:noProof/>
              </w:rPr>
              <w:t xml:space="preserve">A9L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BC0463A" w14:textId="77777777" w:rsidR="00EB245A" w:rsidRDefault="006021EE">
            <w:pPr>
              <w:pStyle w:val="P68B1DB1-Normal46"/>
              <w:spacing w:line="259" w:lineRule="auto"/>
              <w:rPr>
                <w:rFonts w:cs="Times New Roman"/>
                <w:noProof/>
              </w:rPr>
            </w:pPr>
            <w:r>
              <w:rPr>
                <w:noProof/>
              </w:rPr>
              <w:t xml:space="preserve">A2.6.1 Entwicklung des nationalen Systems für Überwachungsdienste, Produkte, Analyseinstrumente, Dienste und begleitende Infrastruktur unter Verwendung von Satellitendaten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A52D685" w14:textId="5E806D7F" w:rsidR="00EB245A" w:rsidRDefault="006021EE" w:rsidP="00E624AF">
            <w:pPr>
              <w:pStyle w:val="P68B1DB1-Normal46"/>
              <w:spacing w:line="259" w:lineRule="auto"/>
              <w:ind w:left="74"/>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6FC6FAE" w14:textId="77777777" w:rsidR="00EB245A" w:rsidRDefault="006021EE">
            <w:pPr>
              <w:pStyle w:val="P68B1DB1-Normal46"/>
              <w:spacing w:line="259" w:lineRule="auto"/>
              <w:rPr>
                <w:rFonts w:cs="Times New Roman"/>
                <w:noProof/>
              </w:rPr>
            </w:pPr>
            <w:r>
              <w:rPr>
                <w:noProof/>
              </w:rPr>
              <w:t>Vorbereitungsarbeiten für den Start des ersten polnischen Satelliten: E</w:t>
            </w:r>
            <w:r>
              <w:rPr>
                <w:noProof/>
              </w:rPr>
              <w:t xml:space="preserve">CS Phase 0/A/B/C (Missionsanalyse/Bedarfsermittlung, Durchführbarkeit und Definition) </w:t>
            </w:r>
          </w:p>
        </w:tc>
      </w:tr>
      <w:tr w:rsidR="00EB245A" w14:paraId="0F22F6AD" w14:textId="77777777">
        <w:trPr>
          <w:trHeight w:val="974"/>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99C0954" w14:textId="77777777" w:rsidR="00EB245A" w:rsidRDefault="006021EE">
            <w:pPr>
              <w:pStyle w:val="P68B1DB1-Normal46"/>
              <w:spacing w:line="259" w:lineRule="auto"/>
              <w:ind w:right="45"/>
              <w:jc w:val="center"/>
              <w:rPr>
                <w:rFonts w:cs="Times New Roman"/>
                <w:noProof/>
              </w:rPr>
            </w:pPr>
            <w:r>
              <w:rPr>
                <w:noProof/>
              </w:rPr>
              <w:t xml:space="preserve">B26L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21EB282" w14:textId="77777777" w:rsidR="00EB245A" w:rsidRDefault="006021EE">
            <w:pPr>
              <w:pStyle w:val="P68B1DB1-Normal46"/>
              <w:spacing w:line="259" w:lineRule="auto"/>
              <w:rPr>
                <w:rFonts w:cs="Times New Roman"/>
                <w:noProof/>
              </w:rPr>
            </w:pPr>
            <w:r>
              <w:rPr>
                <w:noProof/>
              </w:rPr>
              <w:t xml:space="preserve">B3.4.1 Investitionen in einen grünen Wandel der Städte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EB2FAA5" w14:textId="77777777" w:rsidR="00EB245A" w:rsidRDefault="006021EE">
            <w:pPr>
              <w:pStyle w:val="P68B1DB1-Normal46"/>
              <w:spacing w:line="259" w:lineRule="auto"/>
              <w:ind w:right="42"/>
              <w:jc w:val="center"/>
              <w:rPr>
                <w:rFonts w:cs="Times New Roman"/>
                <w:noProof/>
              </w:rPr>
            </w:pPr>
            <w:r>
              <w:rPr>
                <w:noProof/>
              </w:rPr>
              <w:t xml:space="preserve">Ziel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346687B" w14:textId="77777777" w:rsidR="00EB245A" w:rsidRDefault="006021EE">
            <w:pPr>
              <w:pStyle w:val="P68B1DB1-Normal46"/>
              <w:spacing w:line="259" w:lineRule="auto"/>
              <w:rPr>
                <w:rFonts w:cs="Times New Roman"/>
                <w:noProof/>
              </w:rPr>
            </w:pPr>
            <w:r>
              <w:rPr>
                <w:noProof/>
              </w:rPr>
              <w:t xml:space="preserve">T1 – Unterzeichnung aller Verträge für Investitionen in grüne Stadtentwicklungsprojekte (berechnet auf Basis einer Mischfinanzierung) </w:t>
            </w:r>
          </w:p>
        </w:tc>
      </w:tr>
      <w:tr w:rsidR="00EB245A" w14:paraId="503B5E48" w14:textId="77777777">
        <w:trPr>
          <w:trHeight w:val="973"/>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B5E02F8" w14:textId="77777777" w:rsidR="00EB245A" w:rsidRDefault="006021EE">
            <w:pPr>
              <w:pStyle w:val="P68B1DB1-Normal46"/>
              <w:spacing w:line="259" w:lineRule="auto"/>
              <w:ind w:right="45"/>
              <w:jc w:val="center"/>
              <w:rPr>
                <w:rFonts w:cs="Times New Roman"/>
                <w:noProof/>
              </w:rPr>
            </w:pPr>
            <w:r>
              <w:rPr>
                <w:noProof/>
              </w:rPr>
              <w:t xml:space="preserve">B29L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0A4BFCE" w14:textId="77777777" w:rsidR="00EB245A" w:rsidRDefault="006021EE">
            <w:pPr>
              <w:pStyle w:val="P68B1DB1-Normal46"/>
              <w:spacing w:line="259" w:lineRule="auto"/>
              <w:rPr>
                <w:rFonts w:cs="Times New Roman"/>
                <w:noProof/>
              </w:rPr>
            </w:pPr>
            <w:r>
              <w:rPr>
                <w:noProof/>
              </w:rPr>
              <w:t xml:space="preserve">B3.5.1 Investitionen in energieeffiziente Wohnungen für Haushalte mit niedrigem und mittlerem Einkommen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B5F2842" w14:textId="77777777" w:rsidR="00EB245A" w:rsidRDefault="006021EE">
            <w:pPr>
              <w:pStyle w:val="P68B1DB1-Normal46"/>
              <w:spacing w:line="259" w:lineRule="auto"/>
              <w:ind w:right="42"/>
              <w:jc w:val="center"/>
              <w:rPr>
                <w:rFonts w:cs="Times New Roman"/>
                <w:noProof/>
              </w:rPr>
            </w:pPr>
            <w:r>
              <w:rPr>
                <w:noProof/>
              </w:rPr>
              <w:t xml:space="preserve">Ziel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C9877DF" w14:textId="77777777" w:rsidR="00EB245A" w:rsidRDefault="006021EE">
            <w:pPr>
              <w:pStyle w:val="P68B1DB1-Normal46"/>
              <w:spacing w:line="259" w:lineRule="auto"/>
              <w:rPr>
                <w:rFonts w:cs="Times New Roman"/>
                <w:noProof/>
              </w:rPr>
            </w:pPr>
            <w:r>
              <w:rPr>
                <w:noProof/>
              </w:rPr>
              <w:t xml:space="preserve">T1 – Abschluss des Baus der ersten Gruppe energieeffizienter Wohnungen für Haushalte mit niedrigem und mittlerem Einkommen  </w:t>
            </w:r>
          </w:p>
        </w:tc>
      </w:tr>
      <w:tr w:rsidR="00EB245A" w14:paraId="64FAE67F" w14:textId="77777777">
        <w:trPr>
          <w:trHeight w:val="974"/>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9755F57" w14:textId="77777777" w:rsidR="00EB245A" w:rsidRDefault="006021EE">
            <w:pPr>
              <w:pStyle w:val="P68B1DB1-Normal46"/>
              <w:spacing w:line="259" w:lineRule="auto"/>
              <w:ind w:left="1"/>
              <w:jc w:val="center"/>
              <w:rPr>
                <w:rFonts w:cs="Times New Roman"/>
                <w:noProof/>
              </w:rPr>
            </w:pPr>
            <w:r>
              <w:rPr>
                <w:noProof/>
              </w:rPr>
              <w:t xml:space="preserve">G1L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6D752BD" w14:textId="77777777" w:rsidR="00EB245A" w:rsidRDefault="006021EE">
            <w:pPr>
              <w:pStyle w:val="P68B1DB1-Normal46"/>
              <w:spacing w:line="259" w:lineRule="auto"/>
              <w:ind w:left="1"/>
              <w:rPr>
                <w:rFonts w:cs="Times New Roman"/>
                <w:noProof/>
              </w:rPr>
            </w:pPr>
            <w:r>
              <w:rPr>
                <w:noProof/>
              </w:rPr>
              <w:t xml:space="preserve">G3.1.1 Straffung des Genehmigungsverfahrens für erneuerbare Energiequellen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D8DF719" w14:textId="7FF59280" w:rsidR="00EB245A" w:rsidRDefault="006021EE" w:rsidP="00E624AF">
            <w:pPr>
              <w:pStyle w:val="P68B1DB1-Normal46"/>
              <w:spacing w:line="259" w:lineRule="auto"/>
              <w:ind w:left="75"/>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A4D5D23" w14:textId="77777777" w:rsidR="00EB245A" w:rsidRDefault="006021EE">
            <w:pPr>
              <w:pStyle w:val="P68B1DB1-Normal46"/>
              <w:spacing w:line="259" w:lineRule="auto"/>
              <w:ind w:left="1" w:right="239"/>
              <w:rPr>
                <w:rFonts w:cs="Times New Roman"/>
                <w:noProof/>
              </w:rPr>
            </w:pPr>
            <w:r>
              <w:rPr>
                <w:noProof/>
              </w:rPr>
              <w:t xml:space="preserve">Kartierung des Potenzials erneuerbarer Energien für Photovoltaik- und Onshore-Windkraftanlagen </w:t>
            </w:r>
          </w:p>
        </w:tc>
      </w:tr>
      <w:tr w:rsidR="00EB245A" w14:paraId="1E244D4B" w14:textId="77777777">
        <w:trPr>
          <w:trHeight w:val="721"/>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8698DBA" w14:textId="77777777" w:rsidR="00EB245A" w:rsidRDefault="006021EE">
            <w:pPr>
              <w:pStyle w:val="P68B1DB1-Normal46"/>
              <w:spacing w:line="259" w:lineRule="auto"/>
              <w:ind w:left="1"/>
              <w:jc w:val="center"/>
              <w:rPr>
                <w:rFonts w:cs="Times New Roman"/>
                <w:noProof/>
              </w:rPr>
            </w:pPr>
            <w:r>
              <w:rPr>
                <w:noProof/>
              </w:rPr>
              <w:t xml:space="preserve">G2L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46EC826" w14:textId="77777777" w:rsidR="00EB245A" w:rsidRDefault="006021EE">
            <w:pPr>
              <w:pStyle w:val="P68B1DB1-Normal46"/>
              <w:spacing w:line="259" w:lineRule="auto"/>
              <w:ind w:left="1"/>
              <w:rPr>
                <w:rFonts w:cs="Times New Roman"/>
                <w:noProof/>
              </w:rPr>
            </w:pPr>
            <w:r>
              <w:rPr>
                <w:noProof/>
              </w:rPr>
              <w:t xml:space="preserve">G3.1.1 Straffung des Genehmigungsverfahrens für erneuerbare Energiequellen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90140C2" w14:textId="0B0231E3" w:rsidR="00EB245A" w:rsidRDefault="006021EE" w:rsidP="00E624AF">
            <w:pPr>
              <w:pStyle w:val="P68B1DB1-Normal46"/>
              <w:spacing w:line="259" w:lineRule="auto"/>
              <w:ind w:left="75"/>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01E1BFC" w14:textId="77777777" w:rsidR="00EB245A" w:rsidRDefault="006021EE">
            <w:pPr>
              <w:pStyle w:val="P68B1DB1-Normal46"/>
              <w:spacing w:line="259" w:lineRule="auto"/>
              <w:ind w:left="1"/>
              <w:rPr>
                <w:rFonts w:cs="Times New Roman"/>
                <w:noProof/>
              </w:rPr>
            </w:pPr>
            <w:r>
              <w:rPr>
                <w:noProof/>
              </w:rPr>
              <w:t xml:space="preserve">Beschleunigung der Genehmigungsverfahren </w:t>
            </w:r>
          </w:p>
        </w:tc>
      </w:tr>
      <w:tr w:rsidR="00EB245A" w14:paraId="4BB6786B" w14:textId="77777777">
        <w:trPr>
          <w:trHeight w:val="920"/>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1B5F94E" w14:textId="77777777" w:rsidR="00EB245A" w:rsidRDefault="006021EE">
            <w:pPr>
              <w:pStyle w:val="P68B1DB1-Normal46"/>
              <w:spacing w:line="259" w:lineRule="auto"/>
              <w:ind w:left="1"/>
              <w:jc w:val="center"/>
              <w:rPr>
                <w:rFonts w:cs="Times New Roman"/>
                <w:noProof/>
              </w:rPr>
            </w:pPr>
            <w:r>
              <w:rPr>
                <w:noProof/>
              </w:rPr>
              <w:t xml:space="preserve">G3L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D2A235D" w14:textId="77777777" w:rsidR="00EB245A" w:rsidRDefault="006021EE">
            <w:pPr>
              <w:pStyle w:val="P68B1DB1-Normal46"/>
              <w:spacing w:line="259" w:lineRule="auto"/>
              <w:ind w:left="1"/>
              <w:rPr>
                <w:rFonts w:cs="Times New Roman"/>
                <w:noProof/>
              </w:rPr>
            </w:pPr>
            <w:r>
              <w:rPr>
                <w:noProof/>
              </w:rPr>
              <w:t xml:space="preserve">G3.1.1 Straffung des Genehmigungsverfahrens für erneuerbare Energiequellen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49B94B5" w14:textId="6E408ED4" w:rsidR="00EB245A" w:rsidRDefault="006021EE" w:rsidP="00E624AF">
            <w:pPr>
              <w:pStyle w:val="P68B1DB1-Normal46"/>
              <w:spacing w:after="175" w:line="259" w:lineRule="auto"/>
              <w:ind w:left="1"/>
              <w:jc w:val="center"/>
              <w:rPr>
                <w:rFonts w:cs="Times New Roman"/>
                <w:noProof/>
              </w:rPr>
            </w:pPr>
            <w:r>
              <w:rPr>
                <w:noProof/>
              </w:rPr>
              <w:t>Meilenstein</w:t>
            </w:r>
          </w:p>
          <w:p w14:paraId="5FA4A936" w14:textId="77777777" w:rsidR="00EB245A" w:rsidRDefault="006021EE">
            <w:pPr>
              <w:pStyle w:val="P68B1DB1-Normal46"/>
              <w:spacing w:line="259" w:lineRule="auto"/>
              <w:ind w:left="54"/>
              <w:jc w:val="center"/>
              <w:rPr>
                <w:rFonts w:cs="Times New Roman"/>
                <w:noProof/>
              </w:rPr>
            </w:pPr>
            <w:r>
              <w:rPr>
                <w:noProof/>
              </w:rPr>
              <w:t xml:space="preserve">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AFC6511" w14:textId="77777777" w:rsidR="00EB245A" w:rsidRDefault="006021EE">
            <w:pPr>
              <w:pStyle w:val="P68B1DB1-Normal46"/>
              <w:spacing w:line="259" w:lineRule="auto"/>
              <w:ind w:left="1"/>
              <w:rPr>
                <w:rFonts w:cs="Times New Roman"/>
                <w:noProof/>
              </w:rPr>
            </w:pPr>
            <w:r>
              <w:rPr>
                <w:noProof/>
              </w:rPr>
              <w:t xml:space="preserve">Digitalisierung der Genehmigungsverfahren   </w:t>
            </w:r>
          </w:p>
          <w:p w14:paraId="4FBE1EF5" w14:textId="77777777" w:rsidR="00EB245A" w:rsidRDefault="006021EE">
            <w:pPr>
              <w:pStyle w:val="P68B1DB1-Normal46"/>
              <w:spacing w:line="259" w:lineRule="auto"/>
              <w:ind w:left="1"/>
              <w:rPr>
                <w:rFonts w:cs="Times New Roman"/>
                <w:noProof/>
              </w:rPr>
            </w:pPr>
            <w:r>
              <w:rPr>
                <w:noProof/>
              </w:rPr>
              <w:t xml:space="preserve"> </w:t>
            </w:r>
          </w:p>
        </w:tc>
      </w:tr>
      <w:tr w:rsidR="00EB245A" w14:paraId="03C4F7E2" w14:textId="77777777">
        <w:trPr>
          <w:trHeight w:val="1028"/>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2366B6D" w14:textId="77777777" w:rsidR="00EB245A" w:rsidRDefault="006021EE">
            <w:pPr>
              <w:pStyle w:val="P68B1DB1-Normal46"/>
              <w:spacing w:line="259" w:lineRule="auto"/>
              <w:ind w:left="1"/>
              <w:jc w:val="center"/>
              <w:rPr>
                <w:rFonts w:cs="Times New Roman"/>
                <w:noProof/>
              </w:rPr>
            </w:pPr>
            <w:r>
              <w:rPr>
                <w:noProof/>
              </w:rPr>
              <w:t xml:space="preserve">G11L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CC4042B" w14:textId="77777777" w:rsidR="00EB245A" w:rsidRDefault="006021EE">
            <w:pPr>
              <w:pStyle w:val="P68B1DB1-Normal46"/>
              <w:spacing w:line="259" w:lineRule="auto"/>
              <w:ind w:left="1" w:right="214"/>
              <w:rPr>
                <w:rFonts w:cs="Times New Roman"/>
                <w:noProof/>
              </w:rPr>
            </w:pPr>
            <w:r>
              <w:rPr>
                <w:noProof/>
              </w:rPr>
              <w:t xml:space="preserve">G3.1.3 Steigerung der Energieeffizienz und Beschleunigung des Ausstiegs aus fossilen Brennstoffen in der Wärmeerzeugung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6E0E214" w14:textId="3DB45227" w:rsidR="00EB245A" w:rsidRDefault="006021EE" w:rsidP="00E624AF">
            <w:pPr>
              <w:pStyle w:val="P68B1DB1-Normal46"/>
              <w:spacing w:line="259" w:lineRule="auto"/>
              <w:ind w:left="1"/>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C4DE7DD" w14:textId="77777777" w:rsidR="00EB245A" w:rsidRDefault="006021EE">
            <w:pPr>
              <w:pStyle w:val="P68B1DB1-Normal46"/>
              <w:spacing w:line="259" w:lineRule="auto"/>
              <w:ind w:left="1"/>
              <w:rPr>
                <w:rFonts w:cs="Times New Roman"/>
                <w:noProof/>
              </w:rPr>
            </w:pPr>
            <w:r>
              <w:rPr>
                <w:noProof/>
              </w:rPr>
              <w:t xml:space="preserve">Inkrafttreten eines Rechtsakts zur Umsetzung einer Förderregelung für Anbieter integrierter Hausrenovierungsdienste </w:t>
            </w:r>
          </w:p>
        </w:tc>
      </w:tr>
      <w:tr w:rsidR="00EB245A" w14:paraId="47D41EB7" w14:textId="77777777">
        <w:trPr>
          <w:trHeight w:val="721"/>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6665079" w14:textId="77777777" w:rsidR="00EB245A" w:rsidRDefault="006021EE">
            <w:pPr>
              <w:pStyle w:val="P68B1DB1-Normal46"/>
              <w:spacing w:line="259" w:lineRule="auto"/>
              <w:ind w:left="1"/>
              <w:jc w:val="center"/>
              <w:rPr>
                <w:rFonts w:cs="Times New Roman"/>
                <w:noProof/>
              </w:rPr>
            </w:pPr>
            <w:r>
              <w:rPr>
                <w:noProof/>
              </w:rPr>
              <w:t xml:space="preserve">G16L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E2A14B7" w14:textId="77777777" w:rsidR="00EB245A" w:rsidRDefault="006021EE">
            <w:pPr>
              <w:pStyle w:val="P68B1DB1-Normal46"/>
              <w:spacing w:line="259" w:lineRule="auto"/>
              <w:ind w:left="1"/>
              <w:rPr>
                <w:rFonts w:cs="Times New Roman"/>
                <w:noProof/>
              </w:rPr>
            </w:pPr>
            <w:r>
              <w:rPr>
                <w:noProof/>
              </w:rPr>
              <w:t xml:space="preserve">G3.1.5 Bau von Offshore-Windparks (Offshore-Windenergiefonds)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F697363" w14:textId="49C074D0" w:rsidR="00EB245A" w:rsidRDefault="006021EE" w:rsidP="00E624AF">
            <w:pPr>
              <w:pStyle w:val="P68B1DB1-Normal46"/>
              <w:spacing w:line="259" w:lineRule="auto"/>
              <w:ind w:left="1"/>
              <w:jc w:val="center"/>
              <w:rPr>
                <w:rFonts w:cs="Times New Roman"/>
                <w:noProof/>
              </w:rPr>
            </w:pPr>
            <w:r>
              <w:rPr>
                <w:noProof/>
              </w:rPr>
              <w:t>Meilenstein</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B7CA50A" w14:textId="77777777" w:rsidR="00EB245A" w:rsidRDefault="006021EE">
            <w:pPr>
              <w:pStyle w:val="P68B1DB1-Normal46"/>
              <w:spacing w:line="259" w:lineRule="auto"/>
              <w:ind w:left="1"/>
              <w:rPr>
                <w:rFonts w:cs="Times New Roman"/>
                <w:noProof/>
              </w:rPr>
            </w:pPr>
            <w:r>
              <w:rPr>
                <w:noProof/>
              </w:rPr>
              <w:t xml:space="preserve">Durchführungsvereinbarung </w:t>
            </w:r>
          </w:p>
        </w:tc>
      </w:tr>
      <w:tr w:rsidR="00EB245A" w14:paraId="718B21A9" w14:textId="77777777">
        <w:trPr>
          <w:trHeight w:val="719"/>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FAB2128" w14:textId="77777777" w:rsidR="00EB245A" w:rsidRDefault="006021EE">
            <w:pPr>
              <w:pStyle w:val="P68B1DB1-Normal46"/>
              <w:spacing w:line="259" w:lineRule="auto"/>
              <w:rPr>
                <w:rFonts w:cs="Times New Roman"/>
                <w:noProof/>
              </w:rPr>
            </w:pPr>
            <w:r>
              <w:rPr>
                <w:noProof/>
              </w:rPr>
              <w:t xml:space="preserve">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323CABB" w14:textId="77777777" w:rsidR="00EB245A" w:rsidRDefault="006021EE">
            <w:pPr>
              <w:pStyle w:val="P68B1DB1-Normal46"/>
              <w:spacing w:line="259" w:lineRule="auto"/>
              <w:ind w:left="1"/>
              <w:rPr>
                <w:rFonts w:cs="Times New Roman"/>
                <w:noProof/>
              </w:rPr>
            </w:pPr>
            <w:r>
              <w:rPr>
                <w:noProof/>
              </w:rPr>
              <w:t xml:space="preserv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F25418D" w14:textId="77777777" w:rsidR="00EB245A" w:rsidRDefault="006021EE">
            <w:pPr>
              <w:pStyle w:val="P68B1DB1-Normal46"/>
              <w:spacing w:line="259" w:lineRule="auto"/>
              <w:ind w:left="1"/>
              <w:rPr>
                <w:rFonts w:cs="Times New Roman"/>
                <w:noProof/>
              </w:rPr>
            </w:pPr>
            <w:r>
              <w:rPr>
                <w:noProof/>
              </w:rPr>
              <w:t xml:space="preserve">Ratenzahlungsbetrag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3507AFD" w14:textId="0CA83089" w:rsidR="00EB245A" w:rsidRDefault="006021EE">
            <w:pPr>
              <w:pStyle w:val="P68B1DB1-Normal46"/>
              <w:spacing w:line="259" w:lineRule="auto"/>
              <w:ind w:left="1"/>
              <w:rPr>
                <w:rFonts w:cs="Times New Roman"/>
                <w:noProof/>
              </w:rPr>
            </w:pPr>
            <w:r>
              <w:rPr>
                <w:noProof/>
              </w:rPr>
              <w:t>3 209 470 155 EUR</w:t>
            </w:r>
          </w:p>
        </w:tc>
      </w:tr>
    </w:tbl>
    <w:p w14:paraId="01974403" w14:textId="77777777" w:rsidR="00EB245A" w:rsidRDefault="006021EE">
      <w:pPr>
        <w:pStyle w:val="P68B1DB1-Normal46"/>
        <w:spacing w:after="98" w:line="259" w:lineRule="auto"/>
        <w:rPr>
          <w:rFonts w:cs="Times New Roman"/>
          <w:noProof/>
        </w:rPr>
      </w:pPr>
      <w:r>
        <w:rPr>
          <w:noProof/>
        </w:rPr>
        <w:t xml:space="preserve"> </w:t>
      </w:r>
    </w:p>
    <w:p w14:paraId="2318E50F" w14:textId="77777777" w:rsidR="00EB245A" w:rsidRDefault="006021EE">
      <w:pPr>
        <w:pStyle w:val="P68B1DB1-Normal46"/>
        <w:spacing w:after="3" w:line="259" w:lineRule="auto"/>
        <w:ind w:left="-5"/>
        <w:rPr>
          <w:rFonts w:cs="Times New Roman"/>
          <w:noProof/>
        </w:rPr>
      </w:pPr>
      <w:r>
        <w:rPr>
          <w:noProof/>
        </w:rPr>
        <w:t xml:space="preserve">2.2.7. Siebte Tranche (Darlehensunterstützung): </w:t>
      </w:r>
    </w:p>
    <w:tbl>
      <w:tblPr>
        <w:tblStyle w:val="TableGrid0"/>
        <w:tblW w:w="10481" w:type="dxa"/>
        <w:tblInd w:w="10" w:type="dxa"/>
        <w:tblCellMar>
          <w:top w:w="53" w:type="dxa"/>
          <w:left w:w="107" w:type="dxa"/>
          <w:right w:w="59" w:type="dxa"/>
        </w:tblCellMar>
        <w:tblLook w:val="04A0" w:firstRow="1" w:lastRow="0" w:firstColumn="1" w:lastColumn="0" w:noHBand="0" w:noVBand="1"/>
      </w:tblPr>
      <w:tblGrid>
        <w:gridCol w:w="1248"/>
        <w:gridCol w:w="3547"/>
        <w:gridCol w:w="2177"/>
        <w:gridCol w:w="3509"/>
      </w:tblGrid>
      <w:tr w:rsidR="00EB245A" w14:paraId="4D9EE734" w14:textId="77777777">
        <w:trPr>
          <w:trHeight w:val="930"/>
          <w:tblHeader/>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0D182C3F" w14:textId="77777777" w:rsidR="00EB245A" w:rsidRDefault="006021EE">
            <w:pPr>
              <w:pStyle w:val="P68B1DB1-Normal46"/>
              <w:spacing w:line="259" w:lineRule="auto"/>
              <w:jc w:val="center"/>
              <w:rPr>
                <w:rFonts w:cs="Times New Roman"/>
                <w:noProof/>
              </w:rPr>
            </w:pPr>
            <w:r>
              <w:rPr>
                <w:b/>
                <w:noProof/>
              </w:rPr>
              <w:t>Laufende Nummer</w:t>
            </w:r>
            <w:r>
              <w:rPr>
                <w:noProof/>
              </w:rPr>
              <w:t xml:space="preserve">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736629EA" w14:textId="77777777" w:rsidR="00EB245A" w:rsidRDefault="006021EE">
            <w:pPr>
              <w:pStyle w:val="P68B1DB1-Normal46"/>
              <w:spacing w:line="259" w:lineRule="auto"/>
              <w:jc w:val="center"/>
              <w:rPr>
                <w:rFonts w:cs="Times New Roman"/>
                <w:noProof/>
              </w:rPr>
            </w:pPr>
            <w:r>
              <w:rPr>
                <w:b/>
                <w:noProof/>
              </w:rPr>
              <w:t xml:space="preserve">Verbundene Maßnahme (Reform oder </w:t>
            </w:r>
            <w:r>
              <w:rPr>
                <w:b/>
                <w:noProof/>
              </w:rPr>
              <w:t>Investition)</w:t>
            </w:r>
            <w:r>
              <w:rPr>
                <w:noProof/>
              </w:rPr>
              <w:t xml:space="preserv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3162E0F8" w14:textId="77777777" w:rsidR="00EB245A" w:rsidRDefault="006021EE">
            <w:pPr>
              <w:pStyle w:val="P68B1DB1-Normal46"/>
              <w:spacing w:line="259" w:lineRule="auto"/>
              <w:ind w:left="25" w:right="18"/>
              <w:jc w:val="center"/>
              <w:rPr>
                <w:rFonts w:cs="Times New Roman"/>
                <w:noProof/>
              </w:rPr>
            </w:pPr>
            <w:r>
              <w:rPr>
                <w:b/>
                <w:noProof/>
              </w:rPr>
              <w:t>Etappenziel/Zielwert</w:t>
            </w:r>
            <w:r>
              <w:rPr>
                <w:noProof/>
              </w:rPr>
              <w:t xml:space="preserve"> </w:t>
            </w:r>
          </w:p>
        </w:tc>
        <w:tc>
          <w:tcPr>
            <w:tcW w:w="3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395D5BFE" w14:textId="77777777" w:rsidR="00EB245A" w:rsidRDefault="006021EE">
            <w:pPr>
              <w:pStyle w:val="P68B1DB1-Normal46"/>
              <w:spacing w:line="259" w:lineRule="auto"/>
              <w:ind w:right="47"/>
              <w:jc w:val="center"/>
              <w:rPr>
                <w:rFonts w:cs="Times New Roman"/>
                <w:noProof/>
              </w:rPr>
            </w:pPr>
            <w:r>
              <w:rPr>
                <w:b/>
                <w:noProof/>
              </w:rPr>
              <w:t>Namen</w:t>
            </w:r>
            <w:r>
              <w:rPr>
                <w:noProof/>
              </w:rPr>
              <w:t xml:space="preserve"> </w:t>
            </w:r>
          </w:p>
        </w:tc>
      </w:tr>
      <w:tr w:rsidR="00EB245A" w14:paraId="0A72872A" w14:textId="77777777">
        <w:trPr>
          <w:trHeight w:val="1480"/>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4189E1D" w14:textId="77777777" w:rsidR="00EB245A" w:rsidRDefault="006021EE">
            <w:pPr>
              <w:pStyle w:val="P68B1DB1-Normal46"/>
              <w:spacing w:line="259" w:lineRule="auto"/>
              <w:ind w:right="48"/>
              <w:jc w:val="center"/>
              <w:rPr>
                <w:rFonts w:cs="Times New Roman"/>
                <w:noProof/>
              </w:rPr>
            </w:pPr>
            <w:r>
              <w:rPr>
                <w:noProof/>
              </w:rPr>
              <w:t xml:space="preserve">A8L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F76B1C7" w14:textId="77777777" w:rsidR="00EB245A" w:rsidRDefault="006021EE">
            <w:pPr>
              <w:pStyle w:val="P68B1DB1-Normal46"/>
              <w:spacing w:line="259" w:lineRule="auto"/>
              <w:rPr>
                <w:rFonts w:cs="Times New Roman"/>
                <w:noProof/>
              </w:rPr>
            </w:pPr>
            <w:r>
              <w:rPr>
                <w:noProof/>
              </w:rPr>
              <w:t xml:space="preserve">A2.6.1 Entwicklung des nationalen Systems für Überwachungsdienste, Produkte, Analyseinstrumente, Dienste und begleitende Infrastruktur unter Verwendung von Satellitendaten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78EE0B5" w14:textId="77777777" w:rsidR="00EB245A" w:rsidRDefault="006021EE">
            <w:pPr>
              <w:pStyle w:val="P68B1DB1-Normal46"/>
              <w:spacing w:line="259" w:lineRule="auto"/>
              <w:ind w:right="48"/>
              <w:jc w:val="center"/>
              <w:rPr>
                <w:rFonts w:cs="Times New Roman"/>
                <w:noProof/>
              </w:rPr>
            </w:pPr>
            <w:r>
              <w:rPr>
                <w:noProof/>
              </w:rPr>
              <w:t xml:space="preserve">Ziel </w:t>
            </w:r>
          </w:p>
        </w:tc>
        <w:tc>
          <w:tcPr>
            <w:tcW w:w="3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F4F492F" w14:textId="77777777" w:rsidR="00EB245A" w:rsidRDefault="006021EE">
            <w:pPr>
              <w:pStyle w:val="P68B1DB1-Normal46"/>
              <w:spacing w:after="4" w:line="237" w:lineRule="auto"/>
              <w:rPr>
                <w:rFonts w:cs="Times New Roman"/>
                <w:noProof/>
              </w:rPr>
            </w:pPr>
            <w:r>
              <w:rPr>
                <w:noProof/>
              </w:rPr>
              <w:t xml:space="preserve">Entwicklung der erforderlichen Infrastruktur: das nationale Satelliteninformationssystem (NSIS), das Überwachungsdienste unter Verwendung von Daten aus der Satelliten Erde bereitstellt </w:t>
            </w:r>
          </w:p>
          <w:p w14:paraId="0FB76A37" w14:textId="77777777" w:rsidR="00EB245A" w:rsidRDefault="006021EE">
            <w:pPr>
              <w:pStyle w:val="P68B1DB1-Normal46"/>
              <w:spacing w:line="259" w:lineRule="auto"/>
              <w:rPr>
                <w:rFonts w:cs="Times New Roman"/>
                <w:noProof/>
              </w:rPr>
            </w:pPr>
            <w:r>
              <w:rPr>
                <w:noProof/>
              </w:rPr>
              <w:t xml:space="preserve">Beobachtung (EO) </w:t>
            </w:r>
          </w:p>
        </w:tc>
      </w:tr>
      <w:tr w:rsidR="00EB245A" w14:paraId="25AF80DE" w14:textId="77777777">
        <w:trPr>
          <w:trHeight w:val="1480"/>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6B81F29" w14:textId="77777777" w:rsidR="00EB245A" w:rsidRDefault="006021EE">
            <w:pPr>
              <w:pStyle w:val="P68B1DB1-Normal46"/>
              <w:spacing w:line="259" w:lineRule="auto"/>
              <w:ind w:right="48"/>
              <w:jc w:val="center"/>
              <w:rPr>
                <w:rFonts w:cs="Times New Roman"/>
                <w:noProof/>
              </w:rPr>
            </w:pPr>
            <w:r>
              <w:rPr>
                <w:noProof/>
              </w:rPr>
              <w:t xml:space="preserve">A10L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0905DFB" w14:textId="77777777" w:rsidR="00EB245A" w:rsidRDefault="006021EE">
            <w:pPr>
              <w:pStyle w:val="P68B1DB1-Normal46"/>
              <w:spacing w:line="259" w:lineRule="auto"/>
              <w:rPr>
                <w:rFonts w:cs="Times New Roman"/>
                <w:noProof/>
              </w:rPr>
            </w:pPr>
            <w:r>
              <w:rPr>
                <w:noProof/>
              </w:rPr>
              <w:t xml:space="preserve">A2.6.1 Entwicklung des nationalen Systems für Überwachungsdienste, Produkte, Analyseinstrumente, Dienste und begleitende Infrastruktur unter Verwendung von Satellitendaten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D724A36" w14:textId="77777777" w:rsidR="00EB245A" w:rsidRDefault="006021EE">
            <w:pPr>
              <w:pStyle w:val="P68B1DB1-Normal46"/>
              <w:spacing w:line="259" w:lineRule="auto"/>
              <w:ind w:right="48"/>
              <w:jc w:val="center"/>
              <w:rPr>
                <w:rFonts w:cs="Times New Roman"/>
                <w:noProof/>
              </w:rPr>
            </w:pPr>
            <w:r>
              <w:rPr>
                <w:noProof/>
              </w:rPr>
              <w:t xml:space="preserve">Ziel </w:t>
            </w:r>
          </w:p>
        </w:tc>
        <w:tc>
          <w:tcPr>
            <w:tcW w:w="3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495E644" w14:textId="77777777" w:rsidR="00EB245A" w:rsidRDefault="006021EE">
            <w:pPr>
              <w:pStyle w:val="P68B1DB1-Normal46"/>
              <w:spacing w:line="259" w:lineRule="auto"/>
              <w:rPr>
                <w:rFonts w:cs="Times New Roman"/>
                <w:noProof/>
              </w:rPr>
            </w:pPr>
            <w:r>
              <w:rPr>
                <w:noProof/>
              </w:rPr>
              <w:t xml:space="preserve">T1 – Start des ersten polnischen Satelliten </w:t>
            </w:r>
          </w:p>
        </w:tc>
      </w:tr>
      <w:tr w:rsidR="00EB245A" w14:paraId="5031AB54" w14:textId="77777777">
        <w:trPr>
          <w:trHeight w:val="975"/>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8EF8709" w14:textId="77777777" w:rsidR="00EB245A" w:rsidRDefault="006021EE">
            <w:pPr>
              <w:pStyle w:val="P68B1DB1-Normal46"/>
              <w:spacing w:line="259" w:lineRule="auto"/>
              <w:ind w:right="51"/>
              <w:jc w:val="center"/>
              <w:rPr>
                <w:rFonts w:cs="Times New Roman"/>
                <w:noProof/>
              </w:rPr>
            </w:pPr>
            <w:r>
              <w:rPr>
                <w:noProof/>
              </w:rPr>
              <w:t xml:space="preserve">B15L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81C3B8F" w14:textId="77777777" w:rsidR="00EB245A" w:rsidRDefault="006021EE">
            <w:pPr>
              <w:pStyle w:val="P68B1DB1-Normal46"/>
              <w:spacing w:line="259" w:lineRule="auto"/>
              <w:rPr>
                <w:rFonts w:cs="Times New Roman"/>
                <w:noProof/>
              </w:rPr>
            </w:pPr>
            <w:r>
              <w:rPr>
                <w:noProof/>
              </w:rPr>
              <w:t>B3.2 Förderung der Verbes</w:t>
            </w:r>
            <w:r>
              <w:rPr>
                <w:noProof/>
              </w:rPr>
              <w:t xml:space="preserve">serung des Zustands der Umwelt und des Schutzes vor gefährlichen Stoffen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E25CE3D" w14:textId="774E36D0" w:rsidR="00EB245A" w:rsidRDefault="006021EE" w:rsidP="00E624AF">
            <w:pPr>
              <w:pStyle w:val="P68B1DB1-Normal46"/>
              <w:spacing w:line="259" w:lineRule="auto"/>
              <w:ind w:left="74"/>
              <w:jc w:val="center"/>
              <w:rPr>
                <w:rFonts w:cs="Times New Roman"/>
                <w:noProof/>
              </w:rPr>
            </w:pPr>
            <w:r>
              <w:rPr>
                <w:noProof/>
              </w:rPr>
              <w:t>Meilenstein</w:t>
            </w:r>
          </w:p>
        </w:tc>
        <w:tc>
          <w:tcPr>
            <w:tcW w:w="3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B65EC94" w14:textId="77777777" w:rsidR="00EB245A" w:rsidRDefault="006021EE">
            <w:pPr>
              <w:pStyle w:val="P68B1DB1-Normal46"/>
              <w:spacing w:line="259" w:lineRule="auto"/>
              <w:ind w:right="22"/>
              <w:rPr>
                <w:rFonts w:cs="Times New Roman"/>
                <w:noProof/>
              </w:rPr>
            </w:pPr>
            <w:r>
              <w:rPr>
                <w:noProof/>
              </w:rPr>
              <w:t xml:space="preserve">Inkrafttreten eines Rechtsakts über gefährliche Stoffe in der Ostsee </w:t>
            </w:r>
          </w:p>
        </w:tc>
      </w:tr>
      <w:tr w:rsidR="00EB245A" w14:paraId="540131D0" w14:textId="77777777">
        <w:trPr>
          <w:trHeight w:val="1226"/>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C868CE2" w14:textId="77777777" w:rsidR="00EB245A" w:rsidRDefault="006021EE">
            <w:pPr>
              <w:pStyle w:val="P68B1DB1-Normal46"/>
              <w:spacing w:line="259" w:lineRule="auto"/>
              <w:ind w:right="51"/>
              <w:jc w:val="center"/>
              <w:rPr>
                <w:rFonts w:cs="Times New Roman"/>
                <w:noProof/>
              </w:rPr>
            </w:pPr>
            <w:r>
              <w:rPr>
                <w:noProof/>
              </w:rPr>
              <w:t xml:space="preserve">C12L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0D78BFF" w14:textId="77777777" w:rsidR="00EB245A" w:rsidRDefault="006021EE">
            <w:pPr>
              <w:pStyle w:val="P68B1DB1-Normal46"/>
              <w:spacing w:line="259" w:lineRule="auto"/>
              <w:ind w:right="32"/>
              <w:rPr>
                <w:rFonts w:cs="Times New Roman"/>
                <w:noProof/>
              </w:rPr>
            </w:pPr>
            <w:r>
              <w:rPr>
                <w:noProof/>
              </w:rPr>
              <w:t xml:space="preserve">C2.2.1 Ausstattungsschulen/-einrichtungen mit angemessenen IKT-Geräten und -Infrastrukturen zur Verbesserung der Gesamtleistung des Bildungssystems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822A3EF" w14:textId="77777777" w:rsidR="00EB245A" w:rsidRDefault="006021EE">
            <w:pPr>
              <w:pStyle w:val="P68B1DB1-Normal46"/>
              <w:spacing w:line="259" w:lineRule="auto"/>
              <w:ind w:right="48"/>
              <w:jc w:val="center"/>
              <w:rPr>
                <w:rFonts w:cs="Times New Roman"/>
                <w:noProof/>
              </w:rPr>
            </w:pPr>
            <w:r>
              <w:rPr>
                <w:noProof/>
              </w:rPr>
              <w:t xml:space="preserve">Ziel </w:t>
            </w:r>
          </w:p>
        </w:tc>
        <w:tc>
          <w:tcPr>
            <w:tcW w:w="3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3F7C9B1" w14:textId="77777777" w:rsidR="00EB245A" w:rsidRDefault="006021EE">
            <w:pPr>
              <w:pStyle w:val="P68B1DB1-Normal46"/>
              <w:spacing w:line="259" w:lineRule="auto"/>
              <w:rPr>
                <w:rFonts w:cs="Times New Roman"/>
                <w:noProof/>
              </w:rPr>
            </w:pPr>
            <w:r>
              <w:rPr>
                <w:noProof/>
              </w:rPr>
              <w:t xml:space="preserve">Klassenzimmer in Berufsschulen und allgemeinen Bildungseinrichtungen, die mit IT-Tools ausgestattet sind, um Fernunterricht zu ermöglichen </w:t>
            </w:r>
          </w:p>
        </w:tc>
      </w:tr>
      <w:tr w:rsidR="00EB245A" w14:paraId="034EF21C" w14:textId="77777777">
        <w:trPr>
          <w:trHeight w:val="720"/>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4B11CCC" w14:textId="77777777" w:rsidR="00EB245A" w:rsidRDefault="006021EE">
            <w:pPr>
              <w:pStyle w:val="P68B1DB1-Normal46"/>
              <w:spacing w:line="259" w:lineRule="auto"/>
              <w:ind w:right="32"/>
              <w:jc w:val="center"/>
              <w:rPr>
                <w:rFonts w:cs="Times New Roman"/>
                <w:noProof/>
              </w:rPr>
            </w:pPr>
            <w:r>
              <w:rPr>
                <w:noProof/>
              </w:rPr>
              <w:t xml:space="preserve">E3L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9AABA44" w14:textId="77777777" w:rsidR="00EB245A" w:rsidRDefault="006021EE">
            <w:pPr>
              <w:pStyle w:val="P68B1DB1-Normal46"/>
              <w:spacing w:line="259" w:lineRule="auto"/>
              <w:ind w:left="1"/>
              <w:rPr>
                <w:rFonts w:cs="Times New Roman"/>
                <w:noProof/>
              </w:rPr>
            </w:pPr>
            <w:r>
              <w:rPr>
                <w:noProof/>
              </w:rPr>
              <w:t xml:space="preserve">E1.2.1 Emissionsfreie öffentliche Verkehrsmittel in Städten (Straßenbahnen)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5B89BCB" w14:textId="0E99AEF2" w:rsidR="00EB245A" w:rsidRDefault="006021EE" w:rsidP="00E624AF">
            <w:pPr>
              <w:pStyle w:val="P68B1DB1-Normal46"/>
              <w:spacing w:line="259" w:lineRule="auto"/>
              <w:ind w:left="75"/>
              <w:jc w:val="center"/>
              <w:rPr>
                <w:rFonts w:cs="Times New Roman"/>
                <w:noProof/>
              </w:rPr>
            </w:pPr>
            <w:r>
              <w:rPr>
                <w:noProof/>
              </w:rPr>
              <w:t>Meilenstein</w:t>
            </w:r>
          </w:p>
        </w:tc>
        <w:tc>
          <w:tcPr>
            <w:tcW w:w="3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63D9377" w14:textId="77777777" w:rsidR="00EB245A" w:rsidRDefault="006021EE">
            <w:pPr>
              <w:pStyle w:val="P68B1DB1-Normal46"/>
              <w:spacing w:line="259" w:lineRule="auto"/>
              <w:ind w:left="1"/>
              <w:rPr>
                <w:rFonts w:cs="Times New Roman"/>
                <w:noProof/>
              </w:rPr>
            </w:pPr>
            <w:r>
              <w:rPr>
                <w:noProof/>
              </w:rPr>
              <w:t>Neue Straßenbahnen: A</w:t>
            </w:r>
            <w:r>
              <w:rPr>
                <w:noProof/>
              </w:rPr>
              <w:t xml:space="preserve">uswahl der Begünstigten </w:t>
            </w:r>
          </w:p>
        </w:tc>
      </w:tr>
      <w:tr w:rsidR="00EB245A" w14:paraId="54CC9AD6" w14:textId="77777777">
        <w:trPr>
          <w:trHeight w:val="720"/>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E5F47F3" w14:textId="2C8F1AD7" w:rsidR="00EB245A" w:rsidRDefault="006021EE">
            <w:pPr>
              <w:pStyle w:val="P68B1DB1-Normal46"/>
              <w:spacing w:line="259" w:lineRule="auto"/>
              <w:ind w:right="32"/>
              <w:jc w:val="center"/>
              <w:rPr>
                <w:rFonts w:cs="Times New Roman"/>
                <w:noProof/>
              </w:rPr>
            </w:pPr>
            <w:r>
              <w:rPr>
                <w:noProof/>
              </w:rPr>
              <w:t>E7L</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8581077" w14:textId="47B1F5BE" w:rsidR="00EB245A" w:rsidRDefault="006021EE">
            <w:pPr>
              <w:pStyle w:val="P68B1DB1-Normal46"/>
              <w:spacing w:line="259" w:lineRule="auto"/>
              <w:ind w:left="1"/>
              <w:rPr>
                <w:rFonts w:cs="Times New Roman"/>
                <w:noProof/>
              </w:rPr>
            </w:pPr>
            <w:r>
              <w:rPr>
                <w:noProof/>
              </w:rPr>
              <w:t>E3.1.1 Fazilität zur Unterstützung einer CO2-armen Wirtschaft</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57C813F" w14:textId="5A2F1F30" w:rsidR="00EB245A" w:rsidRDefault="006021EE" w:rsidP="00E624AF">
            <w:pPr>
              <w:pStyle w:val="P68B1DB1-Normal46"/>
              <w:spacing w:line="259" w:lineRule="auto"/>
              <w:ind w:left="75"/>
              <w:jc w:val="center"/>
              <w:rPr>
                <w:rFonts w:cs="Times New Roman"/>
                <w:noProof/>
              </w:rPr>
            </w:pPr>
            <w:r>
              <w:rPr>
                <w:noProof/>
              </w:rPr>
              <w:t>Meilenstein</w:t>
            </w:r>
          </w:p>
        </w:tc>
        <w:tc>
          <w:tcPr>
            <w:tcW w:w="3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4770376" w14:textId="1DFBBFB2" w:rsidR="00EB245A" w:rsidRDefault="006021EE">
            <w:pPr>
              <w:pStyle w:val="P68B1DB1-Normal46"/>
              <w:spacing w:line="259" w:lineRule="auto"/>
              <w:ind w:left="1" w:right="14"/>
              <w:rPr>
                <w:rFonts w:cs="Times New Roman"/>
                <w:noProof/>
              </w:rPr>
            </w:pPr>
            <w:r>
              <w:rPr>
                <w:noProof/>
              </w:rPr>
              <w:t>Änderungen der Anlagepolitik</w:t>
            </w:r>
          </w:p>
        </w:tc>
      </w:tr>
      <w:tr w:rsidR="00EB245A" w14:paraId="2A820423" w14:textId="77777777">
        <w:trPr>
          <w:trHeight w:val="720"/>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871F2EA" w14:textId="7B2AA85B" w:rsidR="00EB245A" w:rsidRDefault="006021EE">
            <w:pPr>
              <w:pStyle w:val="P68B1DB1-Normal46"/>
              <w:spacing w:line="259" w:lineRule="auto"/>
              <w:ind w:right="32"/>
              <w:jc w:val="center"/>
              <w:rPr>
                <w:rFonts w:cs="Times New Roman"/>
                <w:noProof/>
              </w:rPr>
            </w:pPr>
            <w:r>
              <w:rPr>
                <w:noProof/>
              </w:rPr>
              <w:t>E8L</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680D200" w14:textId="31F1DFF7" w:rsidR="00EB245A" w:rsidRDefault="006021EE">
            <w:pPr>
              <w:pStyle w:val="P68B1DB1-Normal46"/>
              <w:spacing w:line="259" w:lineRule="auto"/>
              <w:ind w:left="1"/>
              <w:rPr>
                <w:rFonts w:cs="Times New Roman"/>
                <w:noProof/>
              </w:rPr>
            </w:pPr>
            <w:r>
              <w:rPr>
                <w:noProof/>
              </w:rPr>
              <w:t>E3.1.1 Fazilität zur Unterstützung einer CO2-armen Wirtschaft</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7051F6C" w14:textId="2729CE24" w:rsidR="00EB245A" w:rsidRDefault="006021EE" w:rsidP="00E624AF">
            <w:pPr>
              <w:pStyle w:val="P68B1DB1-Normal46"/>
              <w:spacing w:line="259" w:lineRule="auto"/>
              <w:ind w:left="75"/>
              <w:jc w:val="center"/>
              <w:rPr>
                <w:rFonts w:eastAsia="Times New Roman" w:cs="Times New Roman"/>
                <w:noProof/>
                <w:sz w:val="18"/>
              </w:rPr>
            </w:pPr>
            <w:r>
              <w:rPr>
                <w:noProof/>
              </w:rPr>
              <w:t>Meilenstein</w:t>
            </w:r>
          </w:p>
        </w:tc>
        <w:tc>
          <w:tcPr>
            <w:tcW w:w="3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A932868" w14:textId="68E61324" w:rsidR="00EB245A" w:rsidRDefault="006021EE">
            <w:pPr>
              <w:pStyle w:val="P68B1DB1-Normal46"/>
              <w:spacing w:line="259" w:lineRule="auto"/>
              <w:ind w:left="1" w:right="14"/>
              <w:rPr>
                <w:rFonts w:cs="Times New Roman"/>
                <w:noProof/>
              </w:rPr>
            </w:pPr>
            <w:r>
              <w:rPr>
                <w:noProof/>
              </w:rPr>
              <w:t>Unterzeichnung der Durchführungsvereinbarung</w:t>
            </w:r>
          </w:p>
        </w:tc>
      </w:tr>
      <w:tr w:rsidR="00EB245A" w14:paraId="04EE43D4" w14:textId="77777777">
        <w:trPr>
          <w:trHeight w:val="974"/>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6AAC04B" w14:textId="77777777" w:rsidR="00EB245A" w:rsidRDefault="006021EE">
            <w:pPr>
              <w:pStyle w:val="P68B1DB1-Normal46"/>
              <w:spacing w:line="259" w:lineRule="auto"/>
              <w:ind w:right="33"/>
              <w:jc w:val="center"/>
              <w:rPr>
                <w:rFonts w:cs="Times New Roman"/>
                <w:noProof/>
              </w:rPr>
            </w:pPr>
            <w:r>
              <w:rPr>
                <w:noProof/>
              </w:rPr>
              <w:t xml:space="preserve">G8L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F9F9F7D" w14:textId="77777777" w:rsidR="00EB245A" w:rsidRDefault="006021EE">
            <w:pPr>
              <w:pStyle w:val="P68B1DB1-Normal46"/>
              <w:spacing w:line="259" w:lineRule="auto"/>
              <w:ind w:left="1"/>
              <w:rPr>
                <w:rFonts w:cs="Times New Roman"/>
                <w:noProof/>
              </w:rPr>
            </w:pPr>
            <w:r>
              <w:rPr>
                <w:noProof/>
              </w:rPr>
              <w:t xml:space="preserve">G3.1.2 Kompetenzen für den ökologischen Wandel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9B66F9F" w14:textId="38D92440" w:rsidR="00EB245A" w:rsidRDefault="006021EE" w:rsidP="00E624AF">
            <w:pPr>
              <w:pStyle w:val="P68B1DB1-Normal46"/>
              <w:spacing w:line="259" w:lineRule="auto"/>
              <w:ind w:left="75"/>
              <w:jc w:val="center"/>
              <w:rPr>
                <w:rFonts w:cs="Times New Roman"/>
                <w:noProof/>
              </w:rPr>
            </w:pPr>
            <w:r>
              <w:rPr>
                <w:noProof/>
              </w:rPr>
              <w:t>Meilenstein</w:t>
            </w:r>
          </w:p>
        </w:tc>
        <w:tc>
          <w:tcPr>
            <w:tcW w:w="3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6E4DC90" w14:textId="77777777" w:rsidR="00EB245A" w:rsidRDefault="006021EE">
            <w:pPr>
              <w:pStyle w:val="P68B1DB1-Normal46"/>
              <w:spacing w:line="259" w:lineRule="auto"/>
              <w:ind w:left="1" w:right="14"/>
              <w:rPr>
                <w:rFonts w:cs="Times New Roman"/>
                <w:noProof/>
              </w:rPr>
            </w:pPr>
            <w:r>
              <w:rPr>
                <w:noProof/>
              </w:rPr>
              <w:t xml:space="preserve">Änderung von drei sektoralen Qualifikationsrahmen für den ökologischen Wandel  </w:t>
            </w:r>
          </w:p>
        </w:tc>
      </w:tr>
      <w:tr w:rsidR="00EB245A" w14:paraId="5EB22D10" w14:textId="77777777">
        <w:trPr>
          <w:trHeight w:val="721"/>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3ACC261" w14:textId="77777777" w:rsidR="00EB245A" w:rsidRDefault="006021EE">
            <w:pPr>
              <w:pStyle w:val="P68B1DB1-Normal46"/>
              <w:spacing w:line="259" w:lineRule="auto"/>
              <w:ind w:right="33"/>
              <w:jc w:val="center"/>
              <w:rPr>
                <w:rFonts w:cs="Times New Roman"/>
                <w:noProof/>
              </w:rPr>
            </w:pPr>
            <w:r>
              <w:rPr>
                <w:noProof/>
              </w:rPr>
              <w:t xml:space="preserve">G9L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5A9DD14" w14:textId="77777777" w:rsidR="00EB245A" w:rsidRDefault="006021EE">
            <w:pPr>
              <w:pStyle w:val="P68B1DB1-Normal46"/>
              <w:spacing w:line="259" w:lineRule="auto"/>
              <w:ind w:left="1"/>
              <w:rPr>
                <w:rFonts w:cs="Times New Roman"/>
                <w:noProof/>
              </w:rPr>
            </w:pPr>
            <w:r>
              <w:rPr>
                <w:noProof/>
              </w:rPr>
              <w:t xml:space="preserve">G3.1.2 Kompetenzen für den ökologischen Wandel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09319EF" w14:textId="7D5076C6" w:rsidR="00EB245A" w:rsidRDefault="006021EE" w:rsidP="00E624AF">
            <w:pPr>
              <w:pStyle w:val="P68B1DB1-Normal46"/>
              <w:spacing w:line="259" w:lineRule="auto"/>
              <w:ind w:left="75"/>
              <w:jc w:val="center"/>
              <w:rPr>
                <w:rFonts w:cs="Times New Roman"/>
                <w:noProof/>
              </w:rPr>
            </w:pPr>
            <w:r>
              <w:rPr>
                <w:noProof/>
              </w:rPr>
              <w:t>Meilenstein</w:t>
            </w:r>
          </w:p>
        </w:tc>
        <w:tc>
          <w:tcPr>
            <w:tcW w:w="3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656E593" w14:textId="77777777" w:rsidR="00EB245A" w:rsidRDefault="006021EE">
            <w:pPr>
              <w:pStyle w:val="P68B1DB1-Normal46"/>
              <w:spacing w:line="259" w:lineRule="auto"/>
              <w:ind w:left="1"/>
              <w:rPr>
                <w:rFonts w:cs="Times New Roman"/>
                <w:noProof/>
              </w:rPr>
            </w:pPr>
            <w:r>
              <w:rPr>
                <w:noProof/>
              </w:rPr>
              <w:t xml:space="preserve">Änderung des sektoralen Qualifikationsrahmens für Energie </w:t>
            </w:r>
          </w:p>
        </w:tc>
      </w:tr>
      <w:tr w:rsidR="00EB245A" w14:paraId="1F085ACD" w14:textId="77777777">
        <w:trPr>
          <w:trHeight w:val="722"/>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477B7E5" w14:textId="77777777" w:rsidR="00EB245A" w:rsidRDefault="006021EE">
            <w:pPr>
              <w:pStyle w:val="P68B1DB1-Normal46"/>
              <w:spacing w:line="259" w:lineRule="auto"/>
              <w:ind w:right="33"/>
              <w:jc w:val="center"/>
              <w:rPr>
                <w:rFonts w:cs="Times New Roman"/>
                <w:noProof/>
              </w:rPr>
            </w:pPr>
            <w:r>
              <w:rPr>
                <w:noProof/>
              </w:rPr>
              <w:t xml:space="preserve">G13L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FD6BA6A" w14:textId="77777777" w:rsidR="00EB245A" w:rsidRDefault="006021EE">
            <w:pPr>
              <w:pStyle w:val="P68B1DB1-Normal46"/>
              <w:spacing w:line="259" w:lineRule="auto"/>
              <w:ind w:left="1"/>
              <w:rPr>
                <w:rFonts w:cs="Times New Roman"/>
                <w:noProof/>
              </w:rPr>
            </w:pPr>
            <w:r>
              <w:rPr>
                <w:noProof/>
              </w:rPr>
              <w:t xml:space="preserve">G3.1.4 Unterstützung des nationalen Energiesystems (Energiehilfefonds)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BBA2F7A" w14:textId="77777777" w:rsidR="00EB245A" w:rsidRDefault="006021EE">
            <w:pPr>
              <w:pStyle w:val="P68B1DB1-Normal46"/>
              <w:spacing w:line="259" w:lineRule="auto"/>
              <w:ind w:right="32"/>
              <w:jc w:val="center"/>
              <w:rPr>
                <w:rFonts w:cs="Times New Roman"/>
                <w:noProof/>
              </w:rPr>
            </w:pPr>
            <w:r>
              <w:rPr>
                <w:noProof/>
              </w:rPr>
              <w:t xml:space="preserve">Ziel </w:t>
            </w:r>
          </w:p>
        </w:tc>
        <w:tc>
          <w:tcPr>
            <w:tcW w:w="3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0BC334A" w14:textId="77777777" w:rsidR="00EB245A" w:rsidRDefault="006021EE">
            <w:pPr>
              <w:pStyle w:val="P68B1DB1-Normal46"/>
              <w:spacing w:line="259" w:lineRule="auto"/>
              <w:ind w:left="1"/>
              <w:rPr>
                <w:rFonts w:cs="Times New Roman"/>
                <w:noProof/>
              </w:rPr>
            </w:pPr>
            <w:r>
              <w:rPr>
                <w:noProof/>
              </w:rPr>
              <w:t xml:space="preserve">Mit den Endbegünstigten unterzeichnete rechtliche Vereinbarungen </w:t>
            </w:r>
          </w:p>
        </w:tc>
      </w:tr>
      <w:tr w:rsidR="00EB245A" w14:paraId="40B7C428" w14:textId="77777777">
        <w:trPr>
          <w:trHeight w:val="974"/>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E9037CD" w14:textId="77777777" w:rsidR="00EB245A" w:rsidRDefault="006021EE">
            <w:pPr>
              <w:pStyle w:val="P68B1DB1-Normal46"/>
              <w:spacing w:line="259" w:lineRule="auto"/>
              <w:ind w:right="33"/>
              <w:jc w:val="center"/>
              <w:rPr>
                <w:rFonts w:cs="Times New Roman"/>
                <w:noProof/>
              </w:rPr>
            </w:pPr>
            <w:r>
              <w:rPr>
                <w:noProof/>
              </w:rPr>
              <w:t xml:space="preserve">G17L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DB97856" w14:textId="77777777" w:rsidR="00EB245A" w:rsidRDefault="006021EE">
            <w:pPr>
              <w:pStyle w:val="P68B1DB1-Normal46"/>
              <w:spacing w:line="259" w:lineRule="auto"/>
              <w:ind w:left="1"/>
              <w:rPr>
                <w:rFonts w:cs="Times New Roman"/>
                <w:noProof/>
              </w:rPr>
            </w:pPr>
            <w:r>
              <w:rPr>
                <w:noProof/>
              </w:rPr>
              <w:t xml:space="preserve">G3.1.5 Förderung der Offshore-Windenergie </w:t>
            </w:r>
          </w:p>
          <w:p w14:paraId="6F4A2BF1" w14:textId="77777777" w:rsidR="00EB245A" w:rsidRDefault="006021EE">
            <w:pPr>
              <w:pStyle w:val="P68B1DB1-Normal46"/>
              <w:spacing w:line="259" w:lineRule="auto"/>
              <w:ind w:left="1"/>
              <w:rPr>
                <w:rFonts w:cs="Times New Roman"/>
                <w:noProof/>
              </w:rPr>
            </w:pPr>
            <w:r>
              <w:rPr>
                <w:noProof/>
              </w:rPr>
              <w:t xml:space="preserve">Fonds für den Bau von Offshore-Windparks </w:t>
            </w:r>
          </w:p>
          <w:p w14:paraId="0B84BF4E" w14:textId="77777777" w:rsidR="00EB245A" w:rsidRDefault="006021EE">
            <w:pPr>
              <w:pStyle w:val="P68B1DB1-Normal46"/>
              <w:spacing w:line="259" w:lineRule="auto"/>
              <w:ind w:left="1"/>
              <w:rPr>
                <w:rFonts w:cs="Times New Roman"/>
                <w:noProof/>
              </w:rPr>
            </w:pPr>
            <w:r>
              <w:rPr>
                <w:noProof/>
              </w:rPr>
              <w:t xml:space="preserve">(Offshore-Windenergiefonds)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EABC576" w14:textId="77777777" w:rsidR="00EB245A" w:rsidRDefault="006021EE">
            <w:pPr>
              <w:pStyle w:val="P68B1DB1-Normal46"/>
              <w:spacing w:line="259" w:lineRule="auto"/>
              <w:ind w:right="32"/>
              <w:jc w:val="center"/>
              <w:rPr>
                <w:rFonts w:cs="Times New Roman"/>
                <w:noProof/>
              </w:rPr>
            </w:pPr>
            <w:r>
              <w:rPr>
                <w:noProof/>
              </w:rPr>
              <w:t xml:space="preserve">Ziel </w:t>
            </w:r>
          </w:p>
        </w:tc>
        <w:tc>
          <w:tcPr>
            <w:tcW w:w="3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EC32D91" w14:textId="77777777" w:rsidR="00EB245A" w:rsidRDefault="006021EE">
            <w:pPr>
              <w:pStyle w:val="P68B1DB1-Normal46"/>
              <w:spacing w:line="259" w:lineRule="auto"/>
              <w:ind w:left="1"/>
              <w:rPr>
                <w:rFonts w:cs="Times New Roman"/>
                <w:noProof/>
              </w:rPr>
            </w:pPr>
            <w:r>
              <w:rPr>
                <w:noProof/>
              </w:rPr>
              <w:t xml:space="preserve">Mit den Endbegünstigten unterzeichnete rechtliche Vereinbarungen </w:t>
            </w:r>
          </w:p>
        </w:tc>
      </w:tr>
      <w:tr w:rsidR="00EB245A" w14:paraId="314783DB" w14:textId="77777777">
        <w:trPr>
          <w:trHeight w:val="720"/>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4ECFA03" w14:textId="77777777" w:rsidR="00EB245A" w:rsidRDefault="006021EE">
            <w:pPr>
              <w:pStyle w:val="P68B1DB1-Normal46"/>
              <w:spacing w:line="259" w:lineRule="auto"/>
              <w:ind w:right="33"/>
              <w:jc w:val="center"/>
              <w:rPr>
                <w:rFonts w:cs="Times New Roman"/>
                <w:noProof/>
              </w:rPr>
            </w:pPr>
            <w:r>
              <w:rPr>
                <w:noProof/>
              </w:rPr>
              <w:t>G21L</w:t>
            </w:r>
            <w:r>
              <w:rPr>
                <w:noProof/>
                <w:color w:val="0078D4"/>
              </w:rPr>
              <w:t xml:space="preserve"> </w:t>
            </w:r>
            <w:r>
              <w:rPr>
                <w:noProof/>
              </w:rPr>
              <w:t xml:space="preserve">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24029DE" w14:textId="77777777" w:rsidR="00EB245A" w:rsidRDefault="006021EE">
            <w:pPr>
              <w:pStyle w:val="P68B1DB1-Normal46"/>
              <w:spacing w:line="259" w:lineRule="auto"/>
              <w:ind w:left="1"/>
              <w:rPr>
                <w:rFonts w:cs="Times New Roman"/>
                <w:noProof/>
              </w:rPr>
            </w:pPr>
            <w:r>
              <w:rPr>
                <w:noProof/>
              </w:rPr>
              <w:t xml:space="preserve"> G3.2.1 Bau von Erdgasinfrastruktur zur Gewährleistung der Energieversorgungssicherheit</w:t>
            </w:r>
            <w:r>
              <w:rPr>
                <w:noProof/>
                <w:color w:val="0078D4"/>
              </w:rPr>
              <w:t xml:space="preserve"> </w:t>
            </w:r>
            <w:r>
              <w:rPr>
                <w:noProof/>
              </w:rPr>
              <w:t xml:space="preserv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2930F41" w14:textId="12E98DBB" w:rsidR="00EB245A" w:rsidRDefault="006021EE" w:rsidP="00E624AF">
            <w:pPr>
              <w:pStyle w:val="P68B1DB1-Normal46"/>
              <w:spacing w:line="259" w:lineRule="auto"/>
              <w:ind w:left="73"/>
              <w:jc w:val="center"/>
              <w:rPr>
                <w:rFonts w:cs="Times New Roman"/>
                <w:noProof/>
              </w:rPr>
            </w:pPr>
            <w:r>
              <w:rPr>
                <w:noProof/>
              </w:rPr>
              <w:t>Meilenstein</w:t>
            </w:r>
          </w:p>
        </w:tc>
        <w:tc>
          <w:tcPr>
            <w:tcW w:w="3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EBCEFC6" w14:textId="77777777" w:rsidR="00EB245A" w:rsidRDefault="006021EE">
            <w:pPr>
              <w:pStyle w:val="P68B1DB1-Normal46"/>
              <w:spacing w:line="259" w:lineRule="auto"/>
              <w:ind w:left="1"/>
              <w:rPr>
                <w:rFonts w:cs="Times New Roman"/>
                <w:noProof/>
              </w:rPr>
            </w:pPr>
            <w:r>
              <w:rPr>
                <w:noProof/>
              </w:rPr>
              <w:t>Auswahl des Auftragnehmers</w:t>
            </w:r>
            <w:r>
              <w:rPr>
                <w:noProof/>
                <w:color w:val="0078D4"/>
              </w:rPr>
              <w:t xml:space="preserve"> </w:t>
            </w:r>
            <w:r>
              <w:rPr>
                <w:noProof/>
              </w:rPr>
              <w:t xml:space="preserve"> </w:t>
            </w:r>
          </w:p>
        </w:tc>
      </w:tr>
      <w:tr w:rsidR="00EB245A" w14:paraId="6774A532" w14:textId="77777777">
        <w:trPr>
          <w:trHeight w:val="721"/>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F9A2507" w14:textId="77777777" w:rsidR="00EB245A" w:rsidRDefault="006021EE">
            <w:pPr>
              <w:pStyle w:val="P68B1DB1-Normal46"/>
              <w:spacing w:line="259" w:lineRule="auto"/>
              <w:ind w:right="33"/>
              <w:jc w:val="center"/>
              <w:rPr>
                <w:rFonts w:cs="Times New Roman"/>
                <w:noProof/>
              </w:rPr>
            </w:pPr>
            <w:r>
              <w:rPr>
                <w:noProof/>
              </w:rPr>
              <w:t>G22L</w:t>
            </w:r>
            <w:r>
              <w:rPr>
                <w:noProof/>
                <w:color w:val="0078D4"/>
              </w:rPr>
              <w:t xml:space="preserve"> </w:t>
            </w:r>
            <w:r>
              <w:rPr>
                <w:noProof/>
              </w:rPr>
              <w:t xml:space="preserve">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78B476B" w14:textId="77777777" w:rsidR="00EB245A" w:rsidRDefault="006021EE">
            <w:pPr>
              <w:pStyle w:val="P68B1DB1-Normal46"/>
              <w:spacing w:line="259" w:lineRule="auto"/>
              <w:ind w:left="1"/>
              <w:rPr>
                <w:rFonts w:cs="Times New Roman"/>
                <w:noProof/>
              </w:rPr>
            </w:pPr>
            <w:r>
              <w:rPr>
                <w:noProof/>
              </w:rPr>
              <w:t xml:space="preserve"> G3.2.1 Bau von Erdgasinfrastruktur zur Gewährleistung der Energieversorgungssicherheit</w:t>
            </w:r>
            <w:r>
              <w:rPr>
                <w:noProof/>
                <w:color w:val="0078D4"/>
              </w:rPr>
              <w:t xml:space="preserve"> </w:t>
            </w:r>
            <w:r>
              <w:rPr>
                <w:noProof/>
              </w:rPr>
              <w:t xml:space="preserv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53FD7D2" w14:textId="24EF05E5" w:rsidR="00EB245A" w:rsidRDefault="006021EE" w:rsidP="00E624AF">
            <w:pPr>
              <w:pStyle w:val="P68B1DB1-Normal46"/>
              <w:spacing w:line="259" w:lineRule="auto"/>
              <w:ind w:left="73"/>
              <w:jc w:val="center"/>
              <w:rPr>
                <w:rFonts w:cs="Times New Roman"/>
                <w:noProof/>
              </w:rPr>
            </w:pPr>
            <w:r>
              <w:rPr>
                <w:noProof/>
              </w:rPr>
              <w:t>Meilenstein</w:t>
            </w:r>
          </w:p>
        </w:tc>
        <w:tc>
          <w:tcPr>
            <w:tcW w:w="3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D47682E" w14:textId="77777777" w:rsidR="00EB245A" w:rsidRDefault="006021EE">
            <w:pPr>
              <w:pStyle w:val="P68B1DB1-Normal46"/>
              <w:spacing w:line="259" w:lineRule="auto"/>
              <w:ind w:left="1"/>
              <w:rPr>
                <w:rFonts w:cs="Times New Roman"/>
                <w:noProof/>
              </w:rPr>
            </w:pPr>
            <w:r>
              <w:rPr>
                <w:noProof/>
              </w:rPr>
              <w:t xml:space="preserve">Beginn der Bauarbeiten </w:t>
            </w:r>
          </w:p>
        </w:tc>
      </w:tr>
      <w:tr w:rsidR="00EB245A" w14:paraId="24FAC27D" w14:textId="77777777">
        <w:trPr>
          <w:trHeight w:val="720"/>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0F24C01" w14:textId="77777777" w:rsidR="00EB245A" w:rsidRDefault="006021EE">
            <w:pPr>
              <w:pStyle w:val="P68B1DB1-Normal46"/>
              <w:spacing w:line="259" w:lineRule="auto"/>
              <w:rPr>
                <w:rFonts w:cs="Times New Roman"/>
                <w:noProof/>
              </w:rPr>
            </w:pPr>
            <w:r>
              <w:rPr>
                <w:noProof/>
              </w:rPr>
              <w:t xml:space="preserve">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A5A77DC" w14:textId="77777777" w:rsidR="00EB245A" w:rsidRDefault="006021EE">
            <w:pPr>
              <w:pStyle w:val="P68B1DB1-Normal46"/>
              <w:spacing w:line="259" w:lineRule="auto"/>
              <w:ind w:left="1"/>
              <w:rPr>
                <w:rFonts w:cs="Times New Roman"/>
                <w:noProof/>
              </w:rPr>
            </w:pPr>
            <w:r>
              <w:rPr>
                <w:noProof/>
              </w:rPr>
              <w:t xml:space="preserv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BB5274A" w14:textId="77777777" w:rsidR="00EB245A" w:rsidRDefault="006021EE">
            <w:pPr>
              <w:pStyle w:val="P68B1DB1-Normal46"/>
              <w:spacing w:line="259" w:lineRule="auto"/>
              <w:ind w:left="1"/>
              <w:rPr>
                <w:rFonts w:cs="Times New Roman"/>
                <w:noProof/>
              </w:rPr>
            </w:pPr>
            <w:r>
              <w:rPr>
                <w:noProof/>
              </w:rPr>
              <w:t xml:space="preserve">Ratenzahlungsbetrag </w:t>
            </w:r>
          </w:p>
        </w:tc>
        <w:tc>
          <w:tcPr>
            <w:tcW w:w="3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FB10431" w14:textId="331EA289" w:rsidR="00EB245A" w:rsidRDefault="006021EE">
            <w:pPr>
              <w:pStyle w:val="P68B1DB1-Normal46"/>
              <w:spacing w:line="259" w:lineRule="auto"/>
              <w:ind w:left="1"/>
              <w:rPr>
                <w:rFonts w:cs="Times New Roman"/>
                <w:noProof/>
              </w:rPr>
            </w:pPr>
            <w:r>
              <w:rPr>
                <w:noProof/>
              </w:rPr>
              <w:t>4 376 313 884 EUR</w:t>
            </w:r>
          </w:p>
        </w:tc>
      </w:tr>
    </w:tbl>
    <w:p w14:paraId="43040476" w14:textId="77777777" w:rsidR="00EB245A" w:rsidRDefault="006021EE">
      <w:pPr>
        <w:pStyle w:val="P68B1DB1-Normal46"/>
        <w:spacing w:after="0" w:line="259" w:lineRule="auto"/>
        <w:rPr>
          <w:rFonts w:cs="Times New Roman"/>
          <w:noProof/>
        </w:rPr>
      </w:pPr>
      <w:r>
        <w:rPr>
          <w:noProof/>
        </w:rPr>
        <w:t xml:space="preserve"> </w:t>
      </w:r>
    </w:p>
    <w:p w14:paraId="0C2BEE8C" w14:textId="77777777" w:rsidR="00EB245A" w:rsidRDefault="006021EE">
      <w:pPr>
        <w:pStyle w:val="P68B1DB1-Normal46"/>
        <w:spacing w:after="3" w:line="259" w:lineRule="auto"/>
        <w:ind w:left="-5"/>
        <w:rPr>
          <w:rFonts w:cs="Times New Roman"/>
          <w:noProof/>
        </w:rPr>
      </w:pPr>
      <w:r>
        <w:rPr>
          <w:noProof/>
        </w:rPr>
        <w:t xml:space="preserve">2.2.8. 8 Tranche (Darlehensunterstützung): </w:t>
      </w:r>
    </w:p>
    <w:tbl>
      <w:tblPr>
        <w:tblStyle w:val="TableGrid0"/>
        <w:tblW w:w="10481" w:type="dxa"/>
        <w:tblInd w:w="10" w:type="dxa"/>
        <w:tblCellMar>
          <w:top w:w="53" w:type="dxa"/>
          <w:left w:w="107" w:type="dxa"/>
          <w:right w:w="65" w:type="dxa"/>
        </w:tblCellMar>
        <w:tblLook w:val="04A0" w:firstRow="1" w:lastRow="0" w:firstColumn="1" w:lastColumn="0" w:noHBand="0" w:noVBand="1"/>
      </w:tblPr>
      <w:tblGrid>
        <w:gridCol w:w="1259"/>
        <w:gridCol w:w="3479"/>
        <w:gridCol w:w="2177"/>
        <w:gridCol w:w="3566"/>
      </w:tblGrid>
      <w:tr w:rsidR="00EB245A" w14:paraId="34306F41" w14:textId="77777777">
        <w:trPr>
          <w:trHeight w:val="1065"/>
          <w:tblHeader/>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0C6B35DF" w14:textId="77777777" w:rsidR="00EB245A" w:rsidRDefault="006021EE">
            <w:pPr>
              <w:pStyle w:val="P68B1DB1-Normal46"/>
              <w:spacing w:line="259" w:lineRule="auto"/>
              <w:jc w:val="center"/>
              <w:rPr>
                <w:rFonts w:cs="Times New Roman"/>
                <w:noProof/>
              </w:rPr>
            </w:pPr>
            <w:r>
              <w:rPr>
                <w:b/>
                <w:noProof/>
              </w:rPr>
              <w:t>Laufende Nummer</w:t>
            </w:r>
            <w:r>
              <w:rPr>
                <w:noProof/>
              </w:rPr>
              <w:t xml:space="preserve">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07FE6AA8" w14:textId="77777777" w:rsidR="00EB245A" w:rsidRDefault="006021EE">
            <w:pPr>
              <w:pStyle w:val="P68B1DB1-Normal46"/>
              <w:spacing w:line="259" w:lineRule="auto"/>
              <w:jc w:val="center"/>
              <w:rPr>
                <w:rFonts w:cs="Times New Roman"/>
                <w:noProof/>
              </w:rPr>
            </w:pPr>
            <w:r>
              <w:rPr>
                <w:b/>
                <w:noProof/>
              </w:rPr>
              <w:t>Verbundene Maßnahme (Reform oder Investition)</w:t>
            </w:r>
            <w:r>
              <w:rPr>
                <w:noProof/>
              </w:rPr>
              <w:t xml:space="preserv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464E5CD0" w14:textId="77777777" w:rsidR="00EB245A" w:rsidRDefault="006021EE">
            <w:pPr>
              <w:pStyle w:val="P68B1DB1-Normal46"/>
              <w:spacing w:line="259" w:lineRule="auto"/>
              <w:ind w:left="25" w:right="12"/>
              <w:jc w:val="center"/>
              <w:rPr>
                <w:rFonts w:cs="Times New Roman"/>
                <w:noProof/>
              </w:rPr>
            </w:pPr>
            <w:r>
              <w:rPr>
                <w:b/>
                <w:noProof/>
              </w:rPr>
              <w:t>Etappenziel/Zielwert</w:t>
            </w:r>
            <w:r>
              <w:rPr>
                <w:noProof/>
              </w:rPr>
              <w:t xml:space="preserve"> </w:t>
            </w:r>
          </w:p>
        </w:tc>
        <w:tc>
          <w:tcPr>
            <w:tcW w:w="3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474B70BA" w14:textId="77777777" w:rsidR="00EB245A" w:rsidRDefault="006021EE">
            <w:pPr>
              <w:pStyle w:val="P68B1DB1-Normal46"/>
              <w:spacing w:line="259" w:lineRule="auto"/>
              <w:ind w:right="41"/>
              <w:jc w:val="center"/>
              <w:rPr>
                <w:rFonts w:cs="Times New Roman"/>
                <w:noProof/>
              </w:rPr>
            </w:pPr>
            <w:r>
              <w:rPr>
                <w:b/>
                <w:noProof/>
              </w:rPr>
              <w:t>Namen</w:t>
            </w:r>
            <w:r>
              <w:rPr>
                <w:noProof/>
              </w:rPr>
              <w:t xml:space="preserve"> </w:t>
            </w:r>
          </w:p>
        </w:tc>
      </w:tr>
      <w:tr w:rsidR="00EB245A" w14:paraId="191D09FE" w14:textId="77777777">
        <w:trPr>
          <w:trHeight w:val="1228"/>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128E8BB" w14:textId="77777777" w:rsidR="00EB245A" w:rsidRDefault="006021EE">
            <w:pPr>
              <w:pStyle w:val="P68B1DB1-Normal46"/>
              <w:spacing w:line="259" w:lineRule="auto"/>
              <w:ind w:right="42"/>
              <w:jc w:val="center"/>
              <w:rPr>
                <w:rFonts w:cs="Times New Roman"/>
                <w:noProof/>
              </w:rPr>
            </w:pPr>
            <w:r>
              <w:rPr>
                <w:noProof/>
              </w:rPr>
              <w:t xml:space="preserve">A3L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97518C9" w14:textId="77777777" w:rsidR="00EB245A" w:rsidRDefault="006021EE">
            <w:pPr>
              <w:pStyle w:val="P68B1DB1-Normal46"/>
              <w:spacing w:line="259" w:lineRule="auto"/>
              <w:rPr>
                <w:rFonts w:cs="Times New Roman"/>
                <w:noProof/>
              </w:rPr>
            </w:pPr>
            <w:r>
              <w:rPr>
                <w:noProof/>
              </w:rPr>
              <w:t xml:space="preserve">A2.5.1 Ein Programm zur Unterstützung der Aktivitäten von Einrichtungen der Kultur- und Kreativwirtschaft zur Stimulierung ihrer Entwicklung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C44C277" w14:textId="77777777" w:rsidR="00EB245A" w:rsidRDefault="006021EE">
            <w:pPr>
              <w:pStyle w:val="P68B1DB1-Normal46"/>
              <w:spacing w:line="259" w:lineRule="auto"/>
              <w:ind w:right="42"/>
              <w:jc w:val="center"/>
              <w:rPr>
                <w:rFonts w:cs="Times New Roman"/>
                <w:noProof/>
              </w:rPr>
            </w:pPr>
            <w:r>
              <w:rPr>
                <w:noProof/>
              </w:rPr>
              <w:t xml:space="preserve">Ziel </w:t>
            </w:r>
          </w:p>
        </w:tc>
        <w:tc>
          <w:tcPr>
            <w:tcW w:w="3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4E53B33" w14:textId="77777777" w:rsidR="00EB245A" w:rsidRDefault="006021EE">
            <w:pPr>
              <w:pStyle w:val="P68B1DB1-Normal46"/>
              <w:spacing w:line="259" w:lineRule="auto"/>
              <w:ind w:right="40"/>
              <w:rPr>
                <w:rFonts w:cs="Times New Roman"/>
                <w:noProof/>
              </w:rPr>
            </w:pPr>
            <w:r>
              <w:rPr>
                <w:noProof/>
              </w:rPr>
              <w:t>Zahl der unterzeichneten Verträge für Projekte von Kultureinrichtungen, NRO, KMU und Kleinstunternehmen, die</w:t>
            </w:r>
            <w:r>
              <w:rPr>
                <w:noProof/>
              </w:rPr>
              <w:t xml:space="preserve"> in der Kultur- und Kreativbranche tätig sind    </w:t>
            </w:r>
          </w:p>
        </w:tc>
      </w:tr>
      <w:tr w:rsidR="00EB245A" w14:paraId="1E916AA9" w14:textId="77777777">
        <w:trPr>
          <w:trHeight w:val="974"/>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A150F7F" w14:textId="77777777" w:rsidR="00EB245A" w:rsidRDefault="006021EE">
            <w:pPr>
              <w:pStyle w:val="P68B1DB1-Normal46"/>
              <w:spacing w:line="259" w:lineRule="auto"/>
              <w:ind w:right="42"/>
              <w:jc w:val="center"/>
              <w:rPr>
                <w:rFonts w:cs="Times New Roman"/>
                <w:noProof/>
              </w:rPr>
            </w:pPr>
            <w:r>
              <w:rPr>
                <w:noProof/>
              </w:rPr>
              <w:t xml:space="preserve">A4L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50033C8" w14:textId="77777777" w:rsidR="00EB245A" w:rsidRDefault="006021EE">
            <w:pPr>
              <w:pStyle w:val="P68B1DB1-Normal46"/>
              <w:spacing w:line="259" w:lineRule="auto"/>
              <w:rPr>
                <w:rFonts w:cs="Times New Roman"/>
                <w:noProof/>
              </w:rPr>
            </w:pPr>
            <w:r>
              <w:rPr>
                <w:noProof/>
              </w:rPr>
              <w:t xml:space="preserve">A2.5.1 Ein Programm zur Unterstützung der Aktivitäten von Einrichtungen der Kultur- und Kreativwirtschaft zur Stimulierung ihrer Entwicklung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3CF65C8" w14:textId="77777777" w:rsidR="00EB245A" w:rsidRDefault="006021EE">
            <w:pPr>
              <w:pStyle w:val="P68B1DB1-Normal46"/>
              <w:spacing w:line="259" w:lineRule="auto"/>
              <w:ind w:right="42"/>
              <w:jc w:val="center"/>
              <w:rPr>
                <w:rFonts w:cs="Times New Roman"/>
                <w:noProof/>
              </w:rPr>
            </w:pPr>
            <w:r>
              <w:rPr>
                <w:noProof/>
              </w:rPr>
              <w:t xml:space="preserve">Ziel </w:t>
            </w:r>
          </w:p>
        </w:tc>
        <w:tc>
          <w:tcPr>
            <w:tcW w:w="3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6809999" w14:textId="77777777" w:rsidR="00EB245A" w:rsidRDefault="006021EE">
            <w:pPr>
              <w:pStyle w:val="P68B1DB1-Normal46"/>
              <w:spacing w:line="259" w:lineRule="auto"/>
              <w:rPr>
                <w:rFonts w:cs="Times New Roman"/>
                <w:noProof/>
              </w:rPr>
            </w:pPr>
            <w:r>
              <w:rPr>
                <w:noProof/>
              </w:rPr>
              <w:t xml:space="preserve">Zahl der Stipendien in der Kultur- und Kreativbranche (CCS) </w:t>
            </w:r>
          </w:p>
        </w:tc>
      </w:tr>
      <w:tr w:rsidR="00EB245A" w14:paraId="631B7D36" w14:textId="77777777">
        <w:trPr>
          <w:trHeight w:val="721"/>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BB59455" w14:textId="77777777" w:rsidR="00EB245A" w:rsidRDefault="006021EE">
            <w:pPr>
              <w:pStyle w:val="P68B1DB1-Normal46"/>
              <w:spacing w:line="259" w:lineRule="auto"/>
              <w:ind w:right="45"/>
              <w:jc w:val="center"/>
              <w:rPr>
                <w:rFonts w:cs="Times New Roman"/>
                <w:noProof/>
              </w:rPr>
            </w:pPr>
            <w:r>
              <w:rPr>
                <w:noProof/>
              </w:rPr>
              <w:t xml:space="preserve">B5L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00870E6" w14:textId="77777777" w:rsidR="00EB245A" w:rsidRDefault="006021EE">
            <w:pPr>
              <w:pStyle w:val="P68B1DB1-Normal46"/>
              <w:spacing w:line="259" w:lineRule="auto"/>
              <w:rPr>
                <w:rFonts w:cs="Times New Roman"/>
                <w:noProof/>
              </w:rPr>
            </w:pPr>
            <w:r>
              <w:rPr>
                <w:noProof/>
              </w:rPr>
              <w:t xml:space="preserve">B2.3 Förderung von Investitionen in Offshore-Windparks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EDFF03D" w14:textId="00C1D632" w:rsidR="00EB245A" w:rsidRDefault="006021EE" w:rsidP="00E624AF">
            <w:pPr>
              <w:pStyle w:val="P68B1DB1-Normal46"/>
              <w:spacing w:line="259" w:lineRule="auto"/>
              <w:ind w:left="74"/>
              <w:jc w:val="center"/>
              <w:rPr>
                <w:rFonts w:cs="Times New Roman"/>
                <w:noProof/>
              </w:rPr>
            </w:pPr>
            <w:r>
              <w:rPr>
                <w:noProof/>
              </w:rPr>
              <w:t>Meilenstein</w:t>
            </w:r>
          </w:p>
        </w:tc>
        <w:tc>
          <w:tcPr>
            <w:tcW w:w="3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0100EFA" w14:textId="77777777" w:rsidR="00EB245A" w:rsidRDefault="006021EE">
            <w:pPr>
              <w:pStyle w:val="P68B1DB1-Normal46"/>
              <w:spacing w:line="259" w:lineRule="auto"/>
              <w:rPr>
                <w:rFonts w:cs="Times New Roman"/>
                <w:noProof/>
              </w:rPr>
            </w:pPr>
            <w:r>
              <w:rPr>
                <w:noProof/>
              </w:rPr>
              <w:t xml:space="preserve">Organisation von Auktionen für Strom aus Offshore-Windparks </w:t>
            </w:r>
          </w:p>
        </w:tc>
      </w:tr>
      <w:tr w:rsidR="00EB245A" w14:paraId="5D43D2FA" w14:textId="77777777">
        <w:trPr>
          <w:trHeight w:val="721"/>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DC4B33D" w14:textId="6A862703" w:rsidR="00EB245A" w:rsidRDefault="006021EE">
            <w:pPr>
              <w:pStyle w:val="P68B1DB1-Normal46"/>
              <w:spacing w:line="259" w:lineRule="auto"/>
              <w:ind w:right="45"/>
              <w:jc w:val="center"/>
              <w:rPr>
                <w:rFonts w:cs="Times New Roman"/>
                <w:noProof/>
              </w:rPr>
            </w:pPr>
            <w:r>
              <w:rPr>
                <w:noProof/>
              </w:rPr>
              <w:t xml:space="preserve">B17L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E1D0466" w14:textId="37939633" w:rsidR="00EB245A" w:rsidRDefault="006021EE">
            <w:pPr>
              <w:pStyle w:val="P68B1DB1-Normal46"/>
              <w:spacing w:line="259" w:lineRule="auto"/>
              <w:rPr>
                <w:rFonts w:cs="Times New Roman"/>
                <w:noProof/>
              </w:rPr>
            </w:pPr>
            <w:r>
              <w:rPr>
                <w:noProof/>
              </w:rPr>
              <w:t xml:space="preserve">B3.2.1 Investitionen in die Risikoneutralisierung und die Sanierung großer Industriebrachen und der Ostsee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A3EA3B6" w14:textId="154A3684" w:rsidR="00EB245A" w:rsidRDefault="006021EE" w:rsidP="009A3AB9">
            <w:pPr>
              <w:pStyle w:val="P68B1DB1-Normal46"/>
              <w:spacing w:line="259" w:lineRule="auto"/>
              <w:ind w:left="74"/>
              <w:jc w:val="center"/>
              <w:rPr>
                <w:rFonts w:cs="Times New Roman"/>
                <w:noProof/>
              </w:rPr>
            </w:pPr>
            <w:r>
              <w:rPr>
                <w:noProof/>
              </w:rPr>
              <w:t>Ziel</w:t>
            </w:r>
          </w:p>
        </w:tc>
        <w:tc>
          <w:tcPr>
            <w:tcW w:w="3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01B2ABF" w14:textId="7FD98891" w:rsidR="00EB245A" w:rsidRDefault="006021EE">
            <w:pPr>
              <w:pStyle w:val="P68B1DB1-Normal46"/>
              <w:spacing w:line="259" w:lineRule="auto"/>
              <w:rPr>
                <w:rFonts w:cs="Times New Roman"/>
                <w:noProof/>
              </w:rPr>
            </w:pPr>
            <w:r>
              <w:rPr>
                <w:noProof/>
              </w:rPr>
              <w:t xml:space="preserve">Flächen, für die Feldforschung im Zusammenhang mit Schadstoffen und gefährlichen Stoffen durchgeführt wurde </w:t>
            </w:r>
          </w:p>
        </w:tc>
      </w:tr>
      <w:tr w:rsidR="00EB245A" w14:paraId="4462B722" w14:textId="77777777">
        <w:trPr>
          <w:trHeight w:val="1427"/>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09F6C24" w14:textId="77777777" w:rsidR="00EB245A" w:rsidRDefault="006021EE">
            <w:pPr>
              <w:pStyle w:val="P68B1DB1-Normal46"/>
              <w:spacing w:line="259" w:lineRule="auto"/>
              <w:ind w:right="45"/>
              <w:jc w:val="center"/>
              <w:rPr>
                <w:rFonts w:cs="Times New Roman"/>
                <w:noProof/>
              </w:rPr>
            </w:pPr>
            <w:r>
              <w:rPr>
                <w:noProof/>
              </w:rPr>
              <w:t xml:space="preserve">B18L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F046DA7" w14:textId="77777777" w:rsidR="00EB245A" w:rsidRDefault="006021EE">
            <w:pPr>
              <w:pStyle w:val="P68B1DB1-Normal46"/>
              <w:spacing w:after="199" w:line="239" w:lineRule="auto"/>
              <w:rPr>
                <w:rFonts w:cs="Times New Roman"/>
                <w:noProof/>
              </w:rPr>
            </w:pPr>
            <w:r>
              <w:rPr>
                <w:noProof/>
              </w:rPr>
              <w:t xml:space="preserve"> B3.2.1 Investitionen in di</w:t>
            </w:r>
            <w:r>
              <w:rPr>
                <w:noProof/>
              </w:rPr>
              <w:t xml:space="preserve">e Risikoneutralisierung und die Sanierung großer Industriebrachen und der Ostsee </w:t>
            </w:r>
          </w:p>
          <w:p w14:paraId="17EF91F0" w14:textId="77777777" w:rsidR="00EB245A" w:rsidRDefault="006021EE">
            <w:pPr>
              <w:pStyle w:val="P68B1DB1-Normal46"/>
              <w:spacing w:line="259" w:lineRule="auto"/>
              <w:rPr>
                <w:rFonts w:cs="Times New Roman"/>
                <w:noProof/>
              </w:rPr>
            </w:pPr>
            <w:r>
              <w:rPr>
                <w:noProof/>
              </w:rPr>
              <w:t xml:space="preserv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CBE57D0" w14:textId="77777777" w:rsidR="00EB245A" w:rsidRDefault="006021EE">
            <w:pPr>
              <w:pStyle w:val="P68B1DB1-Normal46"/>
              <w:spacing w:line="259" w:lineRule="auto"/>
              <w:ind w:right="42"/>
              <w:jc w:val="center"/>
              <w:rPr>
                <w:rFonts w:cs="Times New Roman"/>
                <w:noProof/>
              </w:rPr>
            </w:pPr>
            <w:r>
              <w:rPr>
                <w:noProof/>
              </w:rPr>
              <w:t xml:space="preserve">Ziel </w:t>
            </w:r>
          </w:p>
        </w:tc>
        <w:tc>
          <w:tcPr>
            <w:tcW w:w="3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D3BA62D" w14:textId="77777777" w:rsidR="00EB245A" w:rsidRDefault="006021EE">
            <w:pPr>
              <w:pStyle w:val="P68B1DB1-Normal46"/>
              <w:spacing w:line="259" w:lineRule="auto"/>
              <w:rPr>
                <w:rFonts w:cs="Times New Roman"/>
                <w:noProof/>
              </w:rPr>
            </w:pPr>
            <w:r>
              <w:rPr>
                <w:noProof/>
              </w:rPr>
              <w:t xml:space="preserve">Standorte in polnischen Meeresgebieten (einschließlich Wracks) mit Bestandsaufnahme und Feldforschung im Zusammenhang mit Gefahrstoffen </w:t>
            </w:r>
          </w:p>
        </w:tc>
      </w:tr>
      <w:tr w:rsidR="00EB245A" w14:paraId="57BA2E32" w14:textId="77777777">
        <w:trPr>
          <w:trHeight w:val="974"/>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A186254" w14:textId="77777777" w:rsidR="00EB245A" w:rsidRDefault="006021EE">
            <w:pPr>
              <w:pStyle w:val="P68B1DB1-Normal46"/>
              <w:spacing w:line="259" w:lineRule="auto"/>
              <w:ind w:right="45"/>
              <w:jc w:val="center"/>
              <w:rPr>
                <w:rFonts w:cs="Times New Roman"/>
                <w:noProof/>
              </w:rPr>
            </w:pPr>
            <w:r>
              <w:rPr>
                <w:noProof/>
              </w:rPr>
              <w:t xml:space="preserve">B23L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480F53A" w14:textId="77777777" w:rsidR="00EB245A" w:rsidRDefault="006021EE">
            <w:pPr>
              <w:pStyle w:val="P68B1DB1-Normal46"/>
              <w:spacing w:line="259" w:lineRule="auto"/>
              <w:ind w:right="25"/>
              <w:rPr>
                <w:rFonts w:cs="Times New Roman"/>
                <w:noProof/>
              </w:rPr>
            </w:pPr>
            <w:r>
              <w:rPr>
                <w:noProof/>
              </w:rPr>
              <w:t xml:space="preserve">B3.3.1 Investitionen zur Steigerung des Potenzials einer nachhaltigen Wasserbewirtschaftung in ländlichen Gebieten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24C7B33" w14:textId="77777777" w:rsidR="00EB245A" w:rsidRDefault="006021EE">
            <w:pPr>
              <w:pStyle w:val="P68B1DB1-Normal46"/>
              <w:spacing w:line="259" w:lineRule="auto"/>
              <w:ind w:right="42"/>
              <w:jc w:val="center"/>
              <w:rPr>
                <w:rFonts w:cs="Times New Roman"/>
                <w:noProof/>
              </w:rPr>
            </w:pPr>
            <w:r>
              <w:rPr>
                <w:noProof/>
              </w:rPr>
              <w:t xml:space="preserve">Ziel </w:t>
            </w:r>
          </w:p>
        </w:tc>
        <w:tc>
          <w:tcPr>
            <w:tcW w:w="3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B1F3828" w14:textId="77777777" w:rsidR="00EB245A" w:rsidRDefault="006021EE">
            <w:pPr>
              <w:pStyle w:val="P68B1DB1-Normal46"/>
              <w:spacing w:line="259" w:lineRule="auto"/>
              <w:ind w:right="29"/>
              <w:rPr>
                <w:rFonts w:cs="Times New Roman"/>
                <w:noProof/>
              </w:rPr>
            </w:pPr>
            <w:r>
              <w:rPr>
                <w:noProof/>
              </w:rPr>
              <w:t xml:space="preserve">Landwirtschaftliche Fläche/Waldfläche (in Hektar), die von einer verbesserten Wasserrückhaltung profitiert </w:t>
            </w:r>
          </w:p>
        </w:tc>
      </w:tr>
      <w:tr w:rsidR="00EB245A" w14:paraId="1C3CECD2" w14:textId="77777777">
        <w:trPr>
          <w:trHeight w:val="973"/>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C8B21F0" w14:textId="77777777" w:rsidR="00EB245A" w:rsidRDefault="006021EE">
            <w:pPr>
              <w:pStyle w:val="P68B1DB1-Normal46"/>
              <w:spacing w:line="259" w:lineRule="auto"/>
              <w:ind w:right="45"/>
              <w:jc w:val="center"/>
              <w:rPr>
                <w:rFonts w:cs="Times New Roman"/>
                <w:noProof/>
              </w:rPr>
            </w:pPr>
            <w:r>
              <w:rPr>
                <w:noProof/>
              </w:rPr>
              <w:t xml:space="preserve">B27L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0A1ABA3" w14:textId="77777777" w:rsidR="00EB245A" w:rsidRDefault="006021EE">
            <w:pPr>
              <w:pStyle w:val="P68B1DB1-Normal46"/>
              <w:spacing w:line="259" w:lineRule="auto"/>
              <w:rPr>
                <w:rFonts w:cs="Times New Roman"/>
                <w:noProof/>
              </w:rPr>
            </w:pPr>
            <w:r>
              <w:rPr>
                <w:noProof/>
              </w:rPr>
              <w:t xml:space="preserve">B3.4.1 Investitionen in einen grünen Wandel der Städte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5424F93" w14:textId="77777777" w:rsidR="00EB245A" w:rsidRDefault="006021EE">
            <w:pPr>
              <w:pStyle w:val="P68B1DB1-Normal46"/>
              <w:spacing w:line="259" w:lineRule="auto"/>
              <w:ind w:right="42"/>
              <w:jc w:val="center"/>
              <w:rPr>
                <w:rFonts w:cs="Times New Roman"/>
                <w:noProof/>
              </w:rPr>
            </w:pPr>
            <w:r>
              <w:rPr>
                <w:noProof/>
              </w:rPr>
              <w:t xml:space="preserve">Ziel </w:t>
            </w:r>
          </w:p>
        </w:tc>
        <w:tc>
          <w:tcPr>
            <w:tcW w:w="3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BF39F8F" w14:textId="77777777" w:rsidR="00EB245A" w:rsidRDefault="006021EE">
            <w:pPr>
              <w:pStyle w:val="P68B1DB1-Normal46"/>
              <w:spacing w:line="259" w:lineRule="auto"/>
              <w:rPr>
                <w:rFonts w:cs="Times New Roman"/>
                <w:noProof/>
              </w:rPr>
            </w:pPr>
            <w:r>
              <w:rPr>
                <w:noProof/>
              </w:rPr>
              <w:t xml:space="preserve">T2 – Unterzeichnung aller Verträge für Investitionen in grüne Stadtentwicklungsprojekte (berechnet auf Basis einer Mischfinanzierung) </w:t>
            </w:r>
          </w:p>
        </w:tc>
      </w:tr>
      <w:tr w:rsidR="00EB245A" w14:paraId="569BEE55" w14:textId="77777777">
        <w:trPr>
          <w:trHeight w:val="1481"/>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855ECC8" w14:textId="77777777" w:rsidR="00EB245A" w:rsidRDefault="006021EE">
            <w:pPr>
              <w:pStyle w:val="P68B1DB1-Normal46"/>
              <w:spacing w:line="259" w:lineRule="auto"/>
              <w:ind w:right="45"/>
              <w:jc w:val="center"/>
              <w:rPr>
                <w:rFonts w:cs="Times New Roman"/>
                <w:noProof/>
              </w:rPr>
            </w:pPr>
            <w:r>
              <w:rPr>
                <w:noProof/>
              </w:rPr>
              <w:t xml:space="preserve">C13L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369B336" w14:textId="77777777" w:rsidR="00EB245A" w:rsidRDefault="006021EE">
            <w:pPr>
              <w:pStyle w:val="P68B1DB1-Normal46"/>
              <w:spacing w:line="259" w:lineRule="auto"/>
              <w:ind w:right="26"/>
              <w:rPr>
                <w:rFonts w:cs="Times New Roman"/>
                <w:noProof/>
              </w:rPr>
            </w:pPr>
            <w:r>
              <w:rPr>
                <w:noProof/>
              </w:rPr>
              <w:t xml:space="preserve">C2.2.1 Ausstattungsschulen/-einrichtungen mit angemessenen IKT-Geräten und -Infrastrukturen zur Verbesserung der Gesamtleistung des Bildungssystems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90CF070" w14:textId="77777777" w:rsidR="00EB245A" w:rsidRDefault="006021EE">
            <w:pPr>
              <w:pStyle w:val="P68B1DB1-Normal46"/>
              <w:spacing w:line="259" w:lineRule="auto"/>
              <w:ind w:right="42"/>
              <w:jc w:val="center"/>
              <w:rPr>
                <w:rFonts w:cs="Times New Roman"/>
                <w:noProof/>
              </w:rPr>
            </w:pPr>
            <w:r>
              <w:rPr>
                <w:noProof/>
              </w:rPr>
              <w:t xml:space="preserve">Ziel </w:t>
            </w:r>
          </w:p>
        </w:tc>
        <w:tc>
          <w:tcPr>
            <w:tcW w:w="3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070E004" w14:textId="77777777" w:rsidR="00EB245A" w:rsidRDefault="006021EE">
            <w:pPr>
              <w:pStyle w:val="P68B1DB1-Normal46"/>
              <w:spacing w:line="259" w:lineRule="auto"/>
              <w:rPr>
                <w:rFonts w:cs="Times New Roman"/>
                <w:noProof/>
              </w:rPr>
            </w:pPr>
            <w:r>
              <w:rPr>
                <w:noProof/>
              </w:rPr>
              <w:t xml:space="preserve">Künstliche Intelligenz (KI) und Wissenschaft, </w:t>
            </w:r>
          </w:p>
          <w:p w14:paraId="554EBF6F" w14:textId="77777777" w:rsidR="00EB245A" w:rsidRDefault="006021EE">
            <w:pPr>
              <w:pStyle w:val="P68B1DB1-Normal46"/>
              <w:spacing w:line="259" w:lineRule="auto"/>
              <w:rPr>
                <w:rFonts w:cs="Times New Roman"/>
                <w:noProof/>
              </w:rPr>
            </w:pPr>
            <w:r>
              <w:rPr>
                <w:noProof/>
              </w:rPr>
              <w:t xml:space="preserve">Technologie, Ingenieurwesen und </w:t>
            </w:r>
          </w:p>
          <w:p w14:paraId="4912F830" w14:textId="77777777" w:rsidR="00EB245A" w:rsidRDefault="006021EE">
            <w:pPr>
              <w:pStyle w:val="P68B1DB1-Normal46"/>
              <w:spacing w:line="259" w:lineRule="auto"/>
              <w:rPr>
                <w:rFonts w:cs="Times New Roman"/>
                <w:noProof/>
              </w:rPr>
            </w:pPr>
            <w:r>
              <w:rPr>
                <w:noProof/>
              </w:rPr>
              <w:t>Einrichtung von Mathe</w:t>
            </w:r>
            <w:r>
              <w:rPr>
                <w:noProof/>
              </w:rPr>
              <w:t xml:space="preserve">matik-Laboratorien (MINT) </w:t>
            </w:r>
          </w:p>
          <w:p w14:paraId="77C834BB" w14:textId="77777777" w:rsidR="00EB245A" w:rsidRDefault="006021EE">
            <w:pPr>
              <w:pStyle w:val="P68B1DB1-Normal46"/>
              <w:spacing w:line="259" w:lineRule="auto"/>
              <w:rPr>
                <w:rFonts w:cs="Times New Roman"/>
                <w:noProof/>
              </w:rPr>
            </w:pPr>
            <w:r>
              <w:rPr>
                <w:noProof/>
              </w:rPr>
              <w:t xml:space="preserve">in Schulen und anderen Bildungseinrichtungen  </w:t>
            </w:r>
          </w:p>
        </w:tc>
      </w:tr>
      <w:tr w:rsidR="00EB245A" w14:paraId="6F71C568" w14:textId="77777777">
        <w:trPr>
          <w:trHeight w:val="1226"/>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7130B38" w14:textId="77777777" w:rsidR="00EB245A" w:rsidRDefault="006021EE">
            <w:pPr>
              <w:pStyle w:val="P68B1DB1-Normal46"/>
              <w:spacing w:line="259" w:lineRule="auto"/>
              <w:ind w:right="45"/>
              <w:jc w:val="center"/>
              <w:rPr>
                <w:rFonts w:cs="Times New Roman"/>
                <w:noProof/>
              </w:rPr>
            </w:pPr>
            <w:r>
              <w:rPr>
                <w:noProof/>
              </w:rPr>
              <w:t xml:space="preserve">C14L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0A24319" w14:textId="77777777" w:rsidR="00EB245A" w:rsidRDefault="006021EE">
            <w:pPr>
              <w:pStyle w:val="P68B1DB1-Normal46"/>
              <w:spacing w:line="259" w:lineRule="auto"/>
              <w:ind w:right="26"/>
              <w:rPr>
                <w:rFonts w:cs="Times New Roman"/>
                <w:noProof/>
              </w:rPr>
            </w:pPr>
            <w:r>
              <w:rPr>
                <w:noProof/>
              </w:rPr>
              <w:t xml:space="preserve">C2.2.1 Ausstattungsschulen/-einrichtungen mit angemessenen IKT-Geräten und -Infrastrukturen zur Verbesserung der Gesamtleistung des Bildungssystems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BF51B88" w14:textId="2742F1E4" w:rsidR="00EB245A" w:rsidRDefault="006021EE" w:rsidP="00E624AF">
            <w:pPr>
              <w:pStyle w:val="P68B1DB1-Normal46"/>
              <w:spacing w:line="259" w:lineRule="auto"/>
              <w:ind w:left="74"/>
              <w:jc w:val="center"/>
              <w:rPr>
                <w:rFonts w:cs="Times New Roman"/>
                <w:noProof/>
              </w:rPr>
            </w:pPr>
            <w:r>
              <w:rPr>
                <w:noProof/>
              </w:rPr>
              <w:t>Meilenstein</w:t>
            </w:r>
          </w:p>
        </w:tc>
        <w:tc>
          <w:tcPr>
            <w:tcW w:w="3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52DF737" w14:textId="77777777" w:rsidR="00EB245A" w:rsidRDefault="006021EE">
            <w:pPr>
              <w:pStyle w:val="P68B1DB1-Normal46"/>
              <w:spacing w:line="259" w:lineRule="auto"/>
              <w:rPr>
                <w:rFonts w:cs="Times New Roman"/>
                <w:noProof/>
              </w:rPr>
            </w:pPr>
            <w:r>
              <w:rPr>
                <w:noProof/>
              </w:rPr>
              <w:t xml:space="preserve">Digitalisierung des Prüfungssystems </w:t>
            </w:r>
          </w:p>
        </w:tc>
      </w:tr>
      <w:tr w:rsidR="00EB245A" w14:paraId="21BE24B2" w14:textId="77777777">
        <w:trPr>
          <w:trHeight w:val="1226"/>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7C3E1F7" w14:textId="436E6585" w:rsidR="00EB245A" w:rsidRDefault="006021EE">
            <w:pPr>
              <w:pStyle w:val="P68B1DB1-Normal46"/>
              <w:spacing w:line="259" w:lineRule="auto"/>
              <w:ind w:right="45"/>
              <w:jc w:val="center"/>
              <w:rPr>
                <w:rFonts w:cs="Times New Roman"/>
                <w:noProof/>
              </w:rPr>
            </w:pPr>
            <w:r>
              <w:rPr>
                <w:noProof/>
              </w:rPr>
              <w:t xml:space="preserve">E2L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0C0963A" w14:textId="7D39788D" w:rsidR="00EB245A" w:rsidRDefault="006021EE">
            <w:pPr>
              <w:pStyle w:val="P68B1DB1-Normal46"/>
              <w:spacing w:line="259" w:lineRule="auto"/>
              <w:ind w:right="26"/>
              <w:rPr>
                <w:rFonts w:cs="Times New Roman"/>
                <w:noProof/>
              </w:rPr>
            </w:pPr>
            <w:r>
              <w:rPr>
                <w:noProof/>
              </w:rPr>
              <w:t>E1.2 Erhöhung des Anteils emissionsfreier und emissionsarmer Verkehrsmittel, Vermeidung und Verringerung der negativen Auswirkungen des Verkehrs auf die Umwelt</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74FEC36" w14:textId="4E46745F" w:rsidR="00EB245A" w:rsidRDefault="006021EE" w:rsidP="00E624AF">
            <w:pPr>
              <w:pStyle w:val="P68B1DB1-Normal46"/>
              <w:spacing w:line="259" w:lineRule="auto"/>
              <w:ind w:left="74"/>
              <w:jc w:val="center"/>
              <w:rPr>
                <w:rFonts w:cs="Times New Roman"/>
                <w:noProof/>
              </w:rPr>
            </w:pPr>
            <w:r>
              <w:rPr>
                <w:noProof/>
              </w:rPr>
              <w:t>Meilenstein</w:t>
            </w:r>
          </w:p>
        </w:tc>
        <w:tc>
          <w:tcPr>
            <w:tcW w:w="3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025B5D9" w14:textId="510BE64E" w:rsidR="00EB245A" w:rsidRDefault="006021EE">
            <w:pPr>
              <w:pStyle w:val="P68B1DB1-Normal46"/>
              <w:spacing w:line="259" w:lineRule="auto"/>
              <w:rPr>
                <w:rFonts w:cs="Times New Roman"/>
                <w:noProof/>
              </w:rPr>
            </w:pPr>
            <w:r>
              <w:rPr>
                <w:noProof/>
              </w:rPr>
              <w:t xml:space="preserve">Einführung emissionsarmer Verkehrszonen durch die zuständigen kommunalen Behörden </w:t>
            </w:r>
          </w:p>
        </w:tc>
      </w:tr>
      <w:tr w:rsidR="00EB245A" w14:paraId="2CB75AE5" w14:textId="77777777">
        <w:trPr>
          <w:trHeight w:val="1226"/>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893B986" w14:textId="26A4EB8D" w:rsidR="00EB245A" w:rsidRDefault="006021EE">
            <w:pPr>
              <w:pStyle w:val="P68B1DB1-Normal46"/>
              <w:spacing w:line="259" w:lineRule="auto"/>
              <w:ind w:right="45"/>
              <w:jc w:val="center"/>
              <w:rPr>
                <w:rFonts w:cs="Times New Roman"/>
                <w:noProof/>
              </w:rPr>
            </w:pPr>
            <w:r>
              <w:rPr>
                <w:noProof/>
              </w:rPr>
              <w:t xml:space="preserve">E9L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6412B89" w14:textId="52F7D091" w:rsidR="00EB245A" w:rsidRDefault="006021EE">
            <w:pPr>
              <w:pStyle w:val="P68B1DB1-Normal46"/>
              <w:spacing w:line="259" w:lineRule="auto"/>
              <w:ind w:right="26"/>
              <w:rPr>
                <w:rFonts w:cs="Times New Roman"/>
                <w:noProof/>
              </w:rPr>
            </w:pPr>
            <w:r>
              <w:rPr>
                <w:noProof/>
              </w:rPr>
              <w:t>E3.1.1 Fazilität zur Unterstützung einer CO2-armen Wirtschaft</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D300926" w14:textId="79995BDD" w:rsidR="00EB245A" w:rsidRDefault="006021EE" w:rsidP="00E624AF">
            <w:pPr>
              <w:pStyle w:val="P68B1DB1-Normal46"/>
              <w:spacing w:line="259" w:lineRule="auto"/>
              <w:ind w:left="74"/>
              <w:jc w:val="center"/>
              <w:rPr>
                <w:rFonts w:cs="Times New Roman"/>
                <w:noProof/>
              </w:rPr>
            </w:pPr>
            <w:r>
              <w:rPr>
                <w:noProof/>
              </w:rPr>
              <w:t>Meilenstein</w:t>
            </w:r>
          </w:p>
        </w:tc>
        <w:tc>
          <w:tcPr>
            <w:tcW w:w="3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6DBE39A" w14:textId="157234AD" w:rsidR="00EB245A" w:rsidRDefault="006021EE">
            <w:pPr>
              <w:pStyle w:val="P68B1DB1-Normal46"/>
              <w:spacing w:line="259" w:lineRule="auto"/>
              <w:rPr>
                <w:rFonts w:cs="Times New Roman"/>
                <w:noProof/>
              </w:rPr>
            </w:pPr>
            <w:r>
              <w:rPr>
                <w:noProof/>
              </w:rPr>
              <w:t>Unterzeichnung der Finanzierungsvereinbarungen</w:t>
            </w:r>
          </w:p>
        </w:tc>
      </w:tr>
      <w:tr w:rsidR="00EB245A" w14:paraId="7C6677AB" w14:textId="77777777">
        <w:trPr>
          <w:trHeight w:val="922"/>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AAF0B1B" w14:textId="77777777" w:rsidR="00EB245A" w:rsidRDefault="006021EE">
            <w:pPr>
              <w:pStyle w:val="P68B1DB1-Normal46"/>
              <w:spacing w:line="259" w:lineRule="auto"/>
              <w:ind w:right="42"/>
              <w:jc w:val="center"/>
              <w:rPr>
                <w:rFonts w:cs="Times New Roman"/>
                <w:noProof/>
              </w:rPr>
            </w:pPr>
            <w:r>
              <w:rPr>
                <w:noProof/>
              </w:rPr>
              <w:t xml:space="preserve">G4L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84A1368" w14:textId="77777777" w:rsidR="00EB245A" w:rsidRDefault="006021EE">
            <w:pPr>
              <w:pStyle w:val="P68B1DB1-Normal46"/>
              <w:spacing w:line="259" w:lineRule="auto"/>
              <w:rPr>
                <w:rFonts w:cs="Times New Roman"/>
                <w:noProof/>
              </w:rPr>
            </w:pPr>
            <w:r>
              <w:rPr>
                <w:noProof/>
              </w:rPr>
              <w:t xml:space="preserve">G3.1.1 Straffung des Genehmigungsverfahrens für erneuerbare Energiequellen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CD7355A" w14:textId="7FEB3CDB" w:rsidR="00EB245A" w:rsidRDefault="006021EE" w:rsidP="00E624AF">
            <w:pPr>
              <w:pStyle w:val="P68B1DB1-Normal46"/>
              <w:spacing w:line="259" w:lineRule="auto"/>
              <w:ind w:left="74"/>
              <w:jc w:val="center"/>
              <w:rPr>
                <w:rFonts w:cs="Times New Roman"/>
                <w:noProof/>
              </w:rPr>
            </w:pPr>
            <w:r>
              <w:rPr>
                <w:noProof/>
              </w:rPr>
              <w:t>Meilenstein</w:t>
            </w:r>
          </w:p>
          <w:p w14:paraId="27269CDB" w14:textId="77777777" w:rsidR="00EB245A" w:rsidRDefault="006021EE">
            <w:pPr>
              <w:pStyle w:val="P68B1DB1-Normal46"/>
              <w:spacing w:line="259" w:lineRule="auto"/>
              <w:ind w:left="10"/>
              <w:jc w:val="center"/>
              <w:rPr>
                <w:rFonts w:cs="Times New Roman"/>
                <w:noProof/>
              </w:rPr>
            </w:pPr>
            <w:r>
              <w:rPr>
                <w:noProof/>
              </w:rPr>
              <w:t xml:space="preserve"> </w:t>
            </w:r>
          </w:p>
        </w:tc>
        <w:tc>
          <w:tcPr>
            <w:tcW w:w="3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F5C4B43" w14:textId="77777777" w:rsidR="00EB245A" w:rsidRDefault="006021EE">
            <w:pPr>
              <w:pStyle w:val="P68B1DB1-Normal46"/>
              <w:spacing w:line="259" w:lineRule="auto"/>
              <w:rPr>
                <w:rFonts w:cs="Times New Roman"/>
                <w:noProof/>
              </w:rPr>
            </w:pPr>
            <w:r>
              <w:rPr>
                <w:noProof/>
              </w:rPr>
              <w:t xml:space="preserve">Digitalisierung der Genehmigungsverfahren   </w:t>
            </w:r>
          </w:p>
          <w:p w14:paraId="62C00AAD" w14:textId="77777777" w:rsidR="00EB245A" w:rsidRDefault="006021EE">
            <w:pPr>
              <w:pStyle w:val="P68B1DB1-Normal46"/>
              <w:spacing w:line="259" w:lineRule="auto"/>
              <w:rPr>
                <w:rFonts w:cs="Times New Roman"/>
                <w:noProof/>
              </w:rPr>
            </w:pPr>
            <w:r>
              <w:rPr>
                <w:noProof/>
              </w:rPr>
              <w:t xml:space="preserve"> </w:t>
            </w:r>
          </w:p>
        </w:tc>
      </w:tr>
      <w:tr w:rsidR="00EB245A" w14:paraId="1E3B0B80" w14:textId="77777777">
        <w:trPr>
          <w:trHeight w:val="1174"/>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209DFC0" w14:textId="77777777" w:rsidR="00EB245A" w:rsidRDefault="006021EE">
            <w:pPr>
              <w:pStyle w:val="P68B1DB1-Normal46"/>
              <w:spacing w:line="259" w:lineRule="auto"/>
              <w:ind w:right="42"/>
              <w:jc w:val="center"/>
              <w:rPr>
                <w:rFonts w:cs="Times New Roman"/>
                <w:noProof/>
              </w:rPr>
            </w:pPr>
            <w:r>
              <w:rPr>
                <w:noProof/>
              </w:rPr>
              <w:t xml:space="preserve">G6L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FD96958" w14:textId="77777777" w:rsidR="00EB245A" w:rsidRDefault="006021EE">
            <w:pPr>
              <w:pStyle w:val="P68B1DB1-Normal46"/>
              <w:spacing w:after="199" w:line="239" w:lineRule="auto"/>
              <w:rPr>
                <w:rFonts w:cs="Times New Roman"/>
                <w:noProof/>
              </w:rPr>
            </w:pPr>
            <w:r>
              <w:rPr>
                <w:noProof/>
              </w:rPr>
              <w:t xml:space="preserve">G3.1.1 Straffung des Genehmigungsverfahrens für erneuerbare Energiequellen </w:t>
            </w:r>
          </w:p>
          <w:p w14:paraId="62AB2F55" w14:textId="77777777" w:rsidR="00EB245A" w:rsidRDefault="006021EE">
            <w:pPr>
              <w:pStyle w:val="P68B1DB1-Normal46"/>
              <w:spacing w:line="259" w:lineRule="auto"/>
              <w:rPr>
                <w:rFonts w:cs="Times New Roman"/>
                <w:noProof/>
              </w:rPr>
            </w:pPr>
            <w:r>
              <w:rPr>
                <w:noProof/>
              </w:rPr>
              <w:t xml:space="preserv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C43C2F8" w14:textId="77777777" w:rsidR="00EB245A" w:rsidRDefault="006021EE">
            <w:pPr>
              <w:pStyle w:val="P68B1DB1-Normal46"/>
              <w:spacing w:line="259" w:lineRule="auto"/>
              <w:ind w:right="42"/>
              <w:jc w:val="center"/>
              <w:rPr>
                <w:rFonts w:cs="Times New Roman"/>
                <w:noProof/>
              </w:rPr>
            </w:pPr>
            <w:r>
              <w:rPr>
                <w:noProof/>
              </w:rPr>
              <w:t xml:space="preserve">Ziel </w:t>
            </w:r>
          </w:p>
        </w:tc>
        <w:tc>
          <w:tcPr>
            <w:tcW w:w="3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E9B7DEF" w14:textId="77777777" w:rsidR="00EB245A" w:rsidRDefault="006021EE">
            <w:pPr>
              <w:pStyle w:val="P68B1DB1-Normal46"/>
              <w:spacing w:line="259" w:lineRule="auto"/>
              <w:rPr>
                <w:rFonts w:cs="Times New Roman"/>
                <w:noProof/>
              </w:rPr>
            </w:pPr>
            <w:r>
              <w:rPr>
                <w:noProof/>
              </w:rPr>
              <w:t xml:space="preserve">Installierte Kapazität von Onshore-Wind- und Photovoltaikanlagen (in GW) </w:t>
            </w:r>
          </w:p>
        </w:tc>
      </w:tr>
      <w:tr w:rsidR="00EB245A" w14:paraId="670E4316" w14:textId="77777777">
        <w:trPr>
          <w:trHeight w:val="1172"/>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A34E086" w14:textId="77777777" w:rsidR="00EB245A" w:rsidRDefault="006021EE">
            <w:pPr>
              <w:pStyle w:val="P68B1DB1-Normal46"/>
              <w:spacing w:line="259" w:lineRule="auto"/>
              <w:ind w:right="42"/>
              <w:jc w:val="center"/>
              <w:rPr>
                <w:rFonts w:cs="Times New Roman"/>
                <w:noProof/>
              </w:rPr>
            </w:pPr>
            <w:r>
              <w:rPr>
                <w:noProof/>
              </w:rPr>
              <w:t xml:space="preserve">G7L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9966945" w14:textId="77777777" w:rsidR="00EB245A" w:rsidRDefault="006021EE">
            <w:pPr>
              <w:pStyle w:val="P68B1DB1-Normal46"/>
              <w:spacing w:after="199" w:line="239" w:lineRule="auto"/>
              <w:rPr>
                <w:rFonts w:cs="Times New Roman"/>
                <w:noProof/>
              </w:rPr>
            </w:pPr>
            <w:r>
              <w:rPr>
                <w:noProof/>
              </w:rPr>
              <w:t xml:space="preserve">G3.1.1 Straffung des Genehmigungsverfahrens für erneuerbare Energiequellen </w:t>
            </w:r>
          </w:p>
          <w:p w14:paraId="5A5147D1" w14:textId="77777777" w:rsidR="00EB245A" w:rsidRDefault="006021EE">
            <w:pPr>
              <w:pStyle w:val="P68B1DB1-Normal46"/>
              <w:spacing w:line="259" w:lineRule="auto"/>
              <w:rPr>
                <w:rFonts w:cs="Times New Roman"/>
                <w:noProof/>
              </w:rPr>
            </w:pPr>
            <w:r>
              <w:rPr>
                <w:noProof/>
              </w:rPr>
              <w:t xml:space="preserv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B3D0F43" w14:textId="77777777" w:rsidR="00EB245A" w:rsidRDefault="006021EE">
            <w:pPr>
              <w:pStyle w:val="P68B1DB1-Normal46"/>
              <w:spacing w:line="259" w:lineRule="auto"/>
              <w:ind w:right="42"/>
              <w:jc w:val="center"/>
              <w:rPr>
                <w:rFonts w:cs="Times New Roman"/>
                <w:noProof/>
              </w:rPr>
            </w:pPr>
            <w:r>
              <w:rPr>
                <w:noProof/>
              </w:rPr>
              <w:t xml:space="preserve">Ziel </w:t>
            </w:r>
          </w:p>
        </w:tc>
        <w:tc>
          <w:tcPr>
            <w:tcW w:w="3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07F8495" w14:textId="77777777" w:rsidR="00EB245A" w:rsidRDefault="006021EE">
            <w:pPr>
              <w:pStyle w:val="P68B1DB1-Normal46"/>
              <w:spacing w:line="259" w:lineRule="auto"/>
              <w:rPr>
                <w:rFonts w:cs="Times New Roman"/>
                <w:noProof/>
              </w:rPr>
            </w:pPr>
            <w:r>
              <w:rPr>
                <w:noProof/>
              </w:rPr>
              <w:t xml:space="preserve">Installierte Kapazität von Onshore-Wind- und Photovoltaikanlagen (in GW) </w:t>
            </w:r>
          </w:p>
        </w:tc>
      </w:tr>
      <w:tr w:rsidR="00EB245A" w14:paraId="7E898F98" w14:textId="77777777">
        <w:trPr>
          <w:trHeight w:val="1228"/>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7DFE0A4" w14:textId="77777777" w:rsidR="00EB245A" w:rsidRDefault="006021EE">
            <w:pPr>
              <w:pStyle w:val="P68B1DB1-Normal46"/>
              <w:spacing w:line="259" w:lineRule="auto"/>
              <w:ind w:left="1"/>
              <w:jc w:val="center"/>
              <w:rPr>
                <w:rFonts w:cs="Times New Roman"/>
                <w:noProof/>
              </w:rPr>
            </w:pPr>
            <w:r>
              <w:rPr>
                <w:noProof/>
              </w:rPr>
              <w:t xml:space="preserve">G10L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2B9CEEA" w14:textId="77777777" w:rsidR="00EB245A" w:rsidRDefault="006021EE">
            <w:pPr>
              <w:pStyle w:val="P68B1DB1-Normal46"/>
              <w:spacing w:line="259" w:lineRule="auto"/>
              <w:ind w:left="1"/>
              <w:rPr>
                <w:rFonts w:cs="Times New Roman"/>
                <w:noProof/>
              </w:rPr>
            </w:pPr>
            <w:r>
              <w:rPr>
                <w:noProof/>
              </w:rPr>
              <w:t xml:space="preserve">G3.1.2 Kompetenzen für den ökologischen Wandel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D43D0F4" w14:textId="7E8AAC12" w:rsidR="00EB245A" w:rsidRDefault="006021EE" w:rsidP="00E624AF">
            <w:pPr>
              <w:pStyle w:val="P68B1DB1-Normal46"/>
              <w:spacing w:line="259" w:lineRule="auto"/>
              <w:ind w:left="75"/>
              <w:jc w:val="center"/>
              <w:rPr>
                <w:rFonts w:cs="Times New Roman"/>
                <w:noProof/>
              </w:rPr>
            </w:pPr>
            <w:r>
              <w:rPr>
                <w:noProof/>
              </w:rPr>
              <w:t>Meilenstein</w:t>
            </w:r>
          </w:p>
        </w:tc>
        <w:tc>
          <w:tcPr>
            <w:tcW w:w="3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DB41ADA" w14:textId="77777777" w:rsidR="00EB245A" w:rsidRDefault="006021EE">
            <w:pPr>
              <w:pStyle w:val="P68B1DB1-Normal46"/>
              <w:spacing w:line="239" w:lineRule="auto"/>
              <w:ind w:left="1"/>
              <w:rPr>
                <w:rFonts w:cs="Times New Roman"/>
                <w:noProof/>
              </w:rPr>
            </w:pPr>
            <w:r>
              <w:rPr>
                <w:noProof/>
              </w:rPr>
              <w:t xml:space="preserve">Branchenspezifische Qualifikationsrahmen in den kritischsten Sektoren des ökologischen Wandels </w:t>
            </w:r>
          </w:p>
          <w:p w14:paraId="5176DA7C" w14:textId="77777777" w:rsidR="00EB245A" w:rsidRDefault="006021EE">
            <w:pPr>
              <w:pStyle w:val="P68B1DB1-Normal46"/>
              <w:spacing w:line="259" w:lineRule="auto"/>
              <w:ind w:left="1"/>
              <w:rPr>
                <w:rFonts w:cs="Times New Roman"/>
                <w:noProof/>
              </w:rPr>
            </w:pPr>
            <w:r>
              <w:rPr>
                <w:noProof/>
              </w:rPr>
              <w:t xml:space="preserve">integriert in die Integrierte </w:t>
            </w:r>
          </w:p>
          <w:p w14:paraId="57A8B737" w14:textId="77777777" w:rsidR="00EB245A" w:rsidRDefault="006021EE">
            <w:pPr>
              <w:pStyle w:val="P68B1DB1-Normal46"/>
              <w:spacing w:line="259" w:lineRule="auto"/>
              <w:ind w:left="1"/>
              <w:rPr>
                <w:rFonts w:cs="Times New Roman"/>
                <w:noProof/>
              </w:rPr>
            </w:pPr>
            <w:r>
              <w:rPr>
                <w:noProof/>
              </w:rPr>
              <w:t xml:space="preserve">Qualifikationssystem </w:t>
            </w:r>
          </w:p>
        </w:tc>
      </w:tr>
      <w:tr w:rsidR="00EB245A" w14:paraId="6FAC9688" w14:textId="77777777">
        <w:trPr>
          <w:trHeight w:val="719"/>
        </w:trPr>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E56B985" w14:textId="77777777" w:rsidR="00EB245A" w:rsidRDefault="006021EE">
            <w:pPr>
              <w:pStyle w:val="P68B1DB1-Normal46"/>
              <w:spacing w:line="259" w:lineRule="auto"/>
              <w:rPr>
                <w:rFonts w:cs="Times New Roman"/>
                <w:noProof/>
              </w:rPr>
            </w:pPr>
            <w:r>
              <w:rPr>
                <w:noProof/>
              </w:rPr>
              <w:t xml:space="preserve">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0181488" w14:textId="77777777" w:rsidR="00EB245A" w:rsidRDefault="006021EE">
            <w:pPr>
              <w:pStyle w:val="P68B1DB1-Normal46"/>
              <w:spacing w:line="259" w:lineRule="auto"/>
              <w:ind w:left="1"/>
              <w:rPr>
                <w:rFonts w:cs="Times New Roman"/>
                <w:noProof/>
              </w:rPr>
            </w:pPr>
            <w:r>
              <w:rPr>
                <w:noProof/>
              </w:rPr>
              <w:t xml:space="preserv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6D890EE" w14:textId="77777777" w:rsidR="00EB245A" w:rsidRDefault="006021EE">
            <w:pPr>
              <w:pStyle w:val="P68B1DB1-Normal46"/>
              <w:spacing w:line="259" w:lineRule="auto"/>
              <w:ind w:left="1"/>
              <w:rPr>
                <w:rFonts w:cs="Times New Roman"/>
                <w:noProof/>
              </w:rPr>
            </w:pPr>
            <w:r>
              <w:rPr>
                <w:noProof/>
              </w:rPr>
              <w:t xml:space="preserve">Ratenzahlungsbetrag </w:t>
            </w:r>
          </w:p>
        </w:tc>
        <w:tc>
          <w:tcPr>
            <w:tcW w:w="3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D3CC70B" w14:textId="592C9DAC" w:rsidR="00EB245A" w:rsidRDefault="006021EE">
            <w:pPr>
              <w:pStyle w:val="P68B1DB1-Normal46"/>
              <w:spacing w:line="259" w:lineRule="auto"/>
              <w:ind w:left="1"/>
              <w:rPr>
                <w:rFonts w:cs="Times New Roman"/>
                <w:noProof/>
              </w:rPr>
            </w:pPr>
            <w:r>
              <w:rPr>
                <w:noProof/>
              </w:rPr>
              <w:t>6 431 581 974 EUR</w:t>
            </w:r>
          </w:p>
        </w:tc>
      </w:tr>
    </w:tbl>
    <w:p w14:paraId="4B17DFAF" w14:textId="7C04FD2A" w:rsidR="00EB245A" w:rsidRDefault="006021EE">
      <w:pPr>
        <w:pStyle w:val="P68B1DB1-Normal46"/>
        <w:spacing w:after="96" w:line="259" w:lineRule="auto"/>
        <w:rPr>
          <w:rFonts w:cs="Times New Roman"/>
          <w:noProof/>
        </w:rPr>
      </w:pPr>
      <w:r>
        <w:rPr>
          <w:noProof/>
        </w:rPr>
        <w:t xml:space="preserve"> </w:t>
      </w:r>
    </w:p>
    <w:p w14:paraId="66712EFD" w14:textId="77777777" w:rsidR="00EB245A" w:rsidRDefault="006021EE">
      <w:pPr>
        <w:rPr>
          <w:rFonts w:ascii="Times New Roman" w:hAnsi="Times New Roman" w:cs="Times New Roman"/>
          <w:noProof/>
        </w:rPr>
      </w:pPr>
      <w:r>
        <w:rPr>
          <w:noProof/>
        </w:rPr>
        <w:br w:type="page"/>
      </w:r>
    </w:p>
    <w:p w14:paraId="6DED1536" w14:textId="77777777" w:rsidR="00EB245A" w:rsidRDefault="006021EE">
      <w:pPr>
        <w:pStyle w:val="P68B1DB1-Normal46"/>
        <w:spacing w:after="3" w:line="259" w:lineRule="auto"/>
        <w:ind w:left="-5"/>
        <w:rPr>
          <w:rFonts w:cs="Times New Roman"/>
          <w:noProof/>
        </w:rPr>
      </w:pPr>
      <w:r>
        <w:rPr>
          <w:noProof/>
        </w:rPr>
        <w:t xml:space="preserve">2.2.9. Neunte Tranche (Darlehensunterstützung): </w:t>
      </w:r>
    </w:p>
    <w:tbl>
      <w:tblPr>
        <w:tblStyle w:val="TableGrid0"/>
        <w:tblW w:w="10481" w:type="dxa"/>
        <w:tblInd w:w="10" w:type="dxa"/>
        <w:tblCellMar>
          <w:top w:w="51" w:type="dxa"/>
          <w:left w:w="107" w:type="dxa"/>
          <w:right w:w="102" w:type="dxa"/>
        </w:tblCellMar>
        <w:tblLook w:val="04A0" w:firstRow="1" w:lastRow="0" w:firstColumn="1" w:lastColumn="0" w:noHBand="0" w:noVBand="1"/>
      </w:tblPr>
      <w:tblGrid>
        <w:gridCol w:w="1262"/>
        <w:gridCol w:w="3559"/>
        <w:gridCol w:w="2202"/>
        <w:gridCol w:w="3458"/>
      </w:tblGrid>
      <w:tr w:rsidR="00EB245A" w14:paraId="648FFF1D" w14:textId="77777777">
        <w:trPr>
          <w:trHeight w:val="782"/>
          <w:tblHeader/>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3B53B440" w14:textId="77777777" w:rsidR="00EB245A" w:rsidRDefault="006021EE">
            <w:pPr>
              <w:pStyle w:val="P68B1DB1-Normal46"/>
              <w:spacing w:line="259" w:lineRule="auto"/>
              <w:jc w:val="center"/>
              <w:rPr>
                <w:rFonts w:cs="Times New Roman"/>
                <w:noProof/>
              </w:rPr>
            </w:pPr>
            <w:r>
              <w:rPr>
                <w:b/>
                <w:noProof/>
              </w:rPr>
              <w:t>Laufende Nummer</w:t>
            </w:r>
            <w:r>
              <w:rPr>
                <w:noProof/>
              </w:rPr>
              <w:t xml:space="preserve">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1536CA01" w14:textId="77777777" w:rsidR="00EB245A" w:rsidRDefault="006021EE">
            <w:pPr>
              <w:pStyle w:val="P68B1DB1-Normal46"/>
              <w:spacing w:line="259" w:lineRule="auto"/>
              <w:jc w:val="center"/>
              <w:rPr>
                <w:rFonts w:cs="Times New Roman"/>
                <w:noProof/>
              </w:rPr>
            </w:pPr>
            <w:r>
              <w:rPr>
                <w:b/>
                <w:noProof/>
              </w:rPr>
              <w:t>Verbundene Maßnahme (Reform oder Investition)</w:t>
            </w:r>
            <w:r>
              <w:rPr>
                <w:noProof/>
              </w:rPr>
              <w:t xml:space="preserv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71F0382A" w14:textId="77777777" w:rsidR="00EB245A" w:rsidRDefault="006021EE">
            <w:pPr>
              <w:pStyle w:val="P68B1DB1-Normal46"/>
              <w:spacing w:line="259" w:lineRule="auto"/>
              <w:ind w:left="25"/>
              <w:jc w:val="center"/>
              <w:rPr>
                <w:rFonts w:cs="Times New Roman"/>
                <w:noProof/>
              </w:rPr>
            </w:pPr>
            <w:r>
              <w:rPr>
                <w:b/>
                <w:noProof/>
              </w:rPr>
              <w:t>Etappenziel/Zielwert</w:t>
            </w:r>
            <w:r>
              <w:rPr>
                <w:noProof/>
              </w:rPr>
              <w:t xml:space="preserve">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Pr>
          <w:p w14:paraId="27A79F1E" w14:textId="77777777" w:rsidR="00EB245A" w:rsidRDefault="006021EE">
            <w:pPr>
              <w:pStyle w:val="P68B1DB1-Normal46"/>
              <w:spacing w:line="259" w:lineRule="auto"/>
              <w:ind w:right="4"/>
              <w:jc w:val="center"/>
              <w:rPr>
                <w:rFonts w:cs="Times New Roman"/>
                <w:noProof/>
              </w:rPr>
            </w:pPr>
            <w:r>
              <w:rPr>
                <w:b/>
                <w:noProof/>
              </w:rPr>
              <w:t>Namen</w:t>
            </w:r>
            <w:r>
              <w:rPr>
                <w:noProof/>
              </w:rPr>
              <w:t xml:space="preserve"> </w:t>
            </w:r>
          </w:p>
        </w:tc>
      </w:tr>
      <w:tr w:rsidR="00EB245A" w14:paraId="1D74B50B" w14:textId="77777777">
        <w:trPr>
          <w:trHeight w:val="1480"/>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33AE4BD" w14:textId="77777777" w:rsidR="00EB245A" w:rsidRDefault="006021EE">
            <w:pPr>
              <w:pStyle w:val="P68B1DB1-Normal46"/>
              <w:spacing w:line="259" w:lineRule="auto"/>
              <w:ind w:right="5"/>
              <w:jc w:val="center"/>
              <w:rPr>
                <w:rFonts w:cs="Times New Roman"/>
                <w:noProof/>
              </w:rPr>
            </w:pPr>
            <w:r>
              <w:rPr>
                <w:noProof/>
              </w:rPr>
              <w:t xml:space="preserve">A11L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565DB0A" w14:textId="77777777" w:rsidR="00EB245A" w:rsidRDefault="006021EE">
            <w:pPr>
              <w:pStyle w:val="P68B1DB1-Normal46"/>
              <w:spacing w:line="259" w:lineRule="auto"/>
              <w:ind w:left="1"/>
              <w:rPr>
                <w:rFonts w:cs="Times New Roman"/>
                <w:noProof/>
              </w:rPr>
            </w:pPr>
            <w:r>
              <w:rPr>
                <w:noProof/>
              </w:rPr>
              <w:t xml:space="preserve">A2.6.1 Entwicklung des nationalen Systems für Überwachungsdienste, Produkte, Analyseinstrumente, Dienste und begleitende Infrastruktur unter Verwendung von Satellitendaten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F90C0D7" w14:textId="77777777" w:rsidR="00EB245A" w:rsidRDefault="006021EE">
            <w:pPr>
              <w:pStyle w:val="P68B1DB1-Normal46"/>
              <w:spacing w:line="259" w:lineRule="auto"/>
              <w:ind w:right="5"/>
              <w:jc w:val="center"/>
              <w:rPr>
                <w:rFonts w:cs="Times New Roman"/>
                <w:noProof/>
              </w:rPr>
            </w:pPr>
            <w:r>
              <w:rPr>
                <w:noProof/>
              </w:rPr>
              <w:t xml:space="preserve">Ziel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F42B709" w14:textId="77777777" w:rsidR="00EB245A" w:rsidRDefault="006021EE">
            <w:pPr>
              <w:pStyle w:val="P68B1DB1-Normal46"/>
              <w:spacing w:line="259" w:lineRule="auto"/>
              <w:ind w:left="1"/>
              <w:rPr>
                <w:rFonts w:cs="Times New Roman"/>
                <w:noProof/>
              </w:rPr>
            </w:pPr>
            <w:r>
              <w:rPr>
                <w:noProof/>
              </w:rPr>
              <w:t xml:space="preserve">T2 – Start der nächsten drei polnischen Satelliten </w:t>
            </w:r>
          </w:p>
        </w:tc>
      </w:tr>
      <w:tr w:rsidR="00EB245A" w14:paraId="730715D0" w14:textId="77777777">
        <w:trPr>
          <w:trHeight w:val="1733"/>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1521DD9" w14:textId="77777777" w:rsidR="00EB245A" w:rsidRDefault="006021EE">
            <w:pPr>
              <w:pStyle w:val="P68B1DB1-Normal46"/>
              <w:spacing w:line="259" w:lineRule="auto"/>
              <w:ind w:right="7"/>
              <w:jc w:val="center"/>
              <w:rPr>
                <w:rFonts w:cs="Times New Roman"/>
                <w:noProof/>
              </w:rPr>
            </w:pPr>
            <w:r>
              <w:rPr>
                <w:noProof/>
              </w:rPr>
              <w:t xml:space="preserve">B16L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64FBFCF" w14:textId="77777777" w:rsidR="00EB245A" w:rsidRDefault="006021EE">
            <w:pPr>
              <w:pStyle w:val="P68B1DB1-Normal46"/>
              <w:spacing w:after="199" w:line="239" w:lineRule="auto"/>
              <w:ind w:left="1"/>
              <w:rPr>
                <w:rFonts w:cs="Times New Roman"/>
                <w:noProof/>
              </w:rPr>
            </w:pPr>
            <w:r>
              <w:rPr>
                <w:noProof/>
              </w:rPr>
              <w:t xml:space="preserve"> B3.2.1 Investitionen in die Risikoneutralisierung und die Sanierung großer Industriebrachen und der Ostsee </w:t>
            </w:r>
          </w:p>
          <w:p w14:paraId="1C7E47F6" w14:textId="77777777" w:rsidR="00EB245A" w:rsidRDefault="006021EE">
            <w:pPr>
              <w:pStyle w:val="P68B1DB1-Normal46"/>
              <w:spacing w:line="259" w:lineRule="auto"/>
              <w:ind w:left="1"/>
              <w:rPr>
                <w:rFonts w:cs="Times New Roman"/>
                <w:noProof/>
              </w:rPr>
            </w:pPr>
            <w:r>
              <w:rPr>
                <w:noProof/>
              </w:rPr>
              <w:t xml:space="preserv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39B6117" w14:textId="77777777" w:rsidR="00EB245A" w:rsidRDefault="006021EE">
            <w:pPr>
              <w:pStyle w:val="P68B1DB1-Normal46"/>
              <w:spacing w:line="259" w:lineRule="auto"/>
              <w:ind w:right="5"/>
              <w:jc w:val="center"/>
              <w:rPr>
                <w:rFonts w:cs="Times New Roman"/>
                <w:noProof/>
              </w:rPr>
            </w:pPr>
            <w:r>
              <w:rPr>
                <w:noProof/>
              </w:rPr>
              <w:t xml:space="preserve">Ziel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AE87616" w14:textId="77777777" w:rsidR="00EB245A" w:rsidRDefault="006021EE">
            <w:pPr>
              <w:pStyle w:val="P68B1DB1-Normal46"/>
              <w:spacing w:line="259" w:lineRule="auto"/>
              <w:ind w:left="1"/>
              <w:rPr>
                <w:rFonts w:cs="Times New Roman"/>
                <w:noProof/>
              </w:rPr>
            </w:pPr>
            <w:r>
              <w:rPr>
                <w:noProof/>
              </w:rPr>
              <w:t>Dokumentationsunterlagen für Investitionen im Zusammenhang mit den negativen Umweltauswirkungen ausgewählter großflächiger Brachflächen und</w:t>
            </w:r>
            <w:r>
              <w:rPr>
                <w:noProof/>
              </w:rPr>
              <w:t xml:space="preserve"> gefährlicher Stoffe, die am Boden der Ostsee versenkt werden </w:t>
            </w:r>
          </w:p>
        </w:tc>
      </w:tr>
      <w:tr w:rsidR="00EB245A" w14:paraId="365F04D8" w14:textId="77777777">
        <w:trPr>
          <w:trHeight w:val="1289"/>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1DCB516" w14:textId="77777777" w:rsidR="00EB245A" w:rsidRDefault="006021EE">
            <w:pPr>
              <w:pStyle w:val="P68B1DB1-Normal46"/>
              <w:spacing w:after="216" w:line="259" w:lineRule="auto"/>
              <w:ind w:right="5"/>
              <w:jc w:val="center"/>
              <w:rPr>
                <w:rFonts w:cs="Times New Roman"/>
                <w:noProof/>
              </w:rPr>
            </w:pPr>
            <w:r>
              <w:rPr>
                <w:noProof/>
              </w:rPr>
              <w:t>B27aL</w:t>
            </w:r>
            <w:r>
              <w:rPr>
                <w:b/>
                <w:noProof/>
              </w:rPr>
              <w:t xml:space="preserve"> </w:t>
            </w:r>
          </w:p>
          <w:p w14:paraId="3B1BF5D1" w14:textId="77777777" w:rsidR="00EB245A" w:rsidRDefault="006021EE">
            <w:pPr>
              <w:pStyle w:val="P68B1DB1-Normal46"/>
              <w:spacing w:line="259" w:lineRule="auto"/>
              <w:rPr>
                <w:rFonts w:cs="Times New Roman"/>
                <w:noProof/>
              </w:rPr>
            </w:pPr>
            <w:r>
              <w:rPr>
                <w:noProof/>
              </w:rPr>
              <w:t xml:space="preserve">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AB23143" w14:textId="77777777" w:rsidR="00EB245A" w:rsidRDefault="006021EE">
            <w:pPr>
              <w:pStyle w:val="P68B1DB1-Normal46"/>
              <w:spacing w:after="194" w:line="277" w:lineRule="auto"/>
              <w:ind w:left="1"/>
              <w:rPr>
                <w:rFonts w:cs="Times New Roman"/>
                <w:noProof/>
              </w:rPr>
            </w:pPr>
            <w:r>
              <w:rPr>
                <w:noProof/>
              </w:rPr>
              <w:t xml:space="preserve">B3.4.1 Investitionen in einen grünen Wandel der Städte </w:t>
            </w:r>
          </w:p>
          <w:p w14:paraId="6118A51D" w14:textId="77777777" w:rsidR="00EB245A" w:rsidRDefault="006021EE">
            <w:pPr>
              <w:pStyle w:val="P68B1DB1-Normal46"/>
              <w:spacing w:line="259" w:lineRule="auto"/>
              <w:ind w:left="1"/>
              <w:rPr>
                <w:rFonts w:cs="Times New Roman"/>
                <w:noProof/>
              </w:rPr>
            </w:pPr>
            <w:r>
              <w:rPr>
                <w:noProof/>
              </w:rPr>
              <w:t xml:space="preserv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A100799" w14:textId="512F22E9" w:rsidR="00EB245A" w:rsidRDefault="006021EE" w:rsidP="00E624AF">
            <w:pPr>
              <w:pStyle w:val="P68B1DB1-Normal46"/>
              <w:spacing w:after="216" w:line="259" w:lineRule="auto"/>
              <w:ind w:left="1"/>
              <w:jc w:val="center"/>
              <w:rPr>
                <w:rFonts w:cs="Times New Roman"/>
                <w:noProof/>
              </w:rPr>
            </w:pPr>
            <w:r>
              <w:rPr>
                <w:noProof/>
              </w:rPr>
              <w:t xml:space="preserve">Ziel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40030DB" w14:textId="77777777" w:rsidR="00EB245A" w:rsidRDefault="006021EE">
            <w:pPr>
              <w:pStyle w:val="P68B1DB1-Normal46"/>
              <w:spacing w:line="259" w:lineRule="auto"/>
              <w:ind w:left="1"/>
              <w:rPr>
                <w:rFonts w:cs="Times New Roman"/>
                <w:noProof/>
              </w:rPr>
            </w:pPr>
            <w:r>
              <w:rPr>
                <w:noProof/>
              </w:rPr>
              <w:t xml:space="preserve">T3 – Abschlusste Projekte zur Unterstützung von Investitionen in grüne Stadtentwicklungsprojekte   </w:t>
            </w:r>
          </w:p>
        </w:tc>
      </w:tr>
      <w:tr w:rsidR="00EB245A" w14:paraId="709E8F98" w14:textId="77777777">
        <w:trPr>
          <w:trHeight w:val="1226"/>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649B0A7" w14:textId="77777777" w:rsidR="00EB245A" w:rsidRDefault="006021EE">
            <w:pPr>
              <w:pStyle w:val="P68B1DB1-Normal46"/>
              <w:spacing w:line="259" w:lineRule="auto"/>
              <w:ind w:right="7"/>
              <w:jc w:val="center"/>
              <w:rPr>
                <w:rFonts w:cs="Times New Roman"/>
                <w:noProof/>
              </w:rPr>
            </w:pPr>
            <w:r>
              <w:rPr>
                <w:noProof/>
              </w:rPr>
              <w:t xml:space="preserve">B30L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40ADCE0" w14:textId="77777777" w:rsidR="00EB245A" w:rsidRDefault="006021EE">
            <w:pPr>
              <w:pStyle w:val="P68B1DB1-Normal46"/>
              <w:spacing w:line="259" w:lineRule="auto"/>
              <w:ind w:left="1"/>
              <w:rPr>
                <w:rFonts w:cs="Times New Roman"/>
                <w:noProof/>
              </w:rPr>
            </w:pPr>
            <w:r>
              <w:rPr>
                <w:noProof/>
              </w:rPr>
              <w:t xml:space="preserve">B3.5.1 Investitionen in energieeffiziente Wohnungen für Haushalte mit niedrigem und mittlerem Einkommen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FC82790" w14:textId="77777777" w:rsidR="00EB245A" w:rsidRDefault="006021EE">
            <w:pPr>
              <w:pStyle w:val="P68B1DB1-Normal46"/>
              <w:spacing w:line="259" w:lineRule="auto"/>
              <w:ind w:right="5"/>
              <w:jc w:val="center"/>
              <w:rPr>
                <w:rFonts w:cs="Times New Roman"/>
                <w:noProof/>
              </w:rPr>
            </w:pPr>
            <w:r>
              <w:rPr>
                <w:noProof/>
              </w:rPr>
              <w:t xml:space="preserve">Ziel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CA27CE8" w14:textId="77777777" w:rsidR="00EB245A" w:rsidRDefault="006021EE">
            <w:pPr>
              <w:pStyle w:val="P68B1DB1-Normal46"/>
              <w:spacing w:line="259" w:lineRule="auto"/>
              <w:ind w:left="1"/>
              <w:rPr>
                <w:rFonts w:cs="Times New Roman"/>
                <w:noProof/>
              </w:rPr>
            </w:pPr>
            <w:r>
              <w:rPr>
                <w:noProof/>
              </w:rPr>
              <w:t xml:space="preserve">T2 – Abschluss des Baus der zweiten Gruppe von energieeffizientem Wohnraum für Haushalte mit niedrigem und mittlerem Einkommen. </w:t>
            </w:r>
          </w:p>
        </w:tc>
      </w:tr>
      <w:tr w:rsidR="00EB245A" w14:paraId="5580F286" w14:textId="77777777">
        <w:trPr>
          <w:trHeight w:val="973"/>
        </w:trPr>
        <w:tc>
          <w:tcPr>
            <w:tcW w:w="1348" w:type="dxa"/>
            <w:tcBorders>
              <w:top w:val="single" w:sz="6"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DF7A6B8" w14:textId="77777777" w:rsidR="00EB245A" w:rsidRDefault="006021EE">
            <w:pPr>
              <w:pStyle w:val="P68B1DB1-Normal46"/>
              <w:spacing w:line="259" w:lineRule="auto"/>
              <w:ind w:right="7"/>
              <w:jc w:val="center"/>
              <w:rPr>
                <w:rFonts w:cs="Times New Roman"/>
                <w:noProof/>
              </w:rPr>
            </w:pPr>
            <w:r>
              <w:rPr>
                <w:noProof/>
              </w:rPr>
              <w:t xml:space="preserve">C17L </w:t>
            </w:r>
          </w:p>
        </w:tc>
        <w:tc>
          <w:tcPr>
            <w:tcW w:w="3961" w:type="dxa"/>
            <w:tcBorders>
              <w:top w:val="single" w:sz="6"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0C394EB" w14:textId="77777777" w:rsidR="00EB245A" w:rsidRDefault="006021EE">
            <w:pPr>
              <w:pStyle w:val="P68B1DB1-Normal46"/>
              <w:spacing w:line="259" w:lineRule="auto"/>
              <w:ind w:left="1"/>
              <w:rPr>
                <w:rFonts w:cs="Times New Roman"/>
                <w:noProof/>
              </w:rPr>
            </w:pPr>
            <w:r>
              <w:rPr>
                <w:noProof/>
              </w:rPr>
              <w:t xml:space="preserve">C4.1.1 Unterstützung des digitalen Wandels von Unternehmen durch den Einsatz von Cloud Computing </w:t>
            </w:r>
          </w:p>
        </w:tc>
        <w:tc>
          <w:tcPr>
            <w:tcW w:w="1246" w:type="dxa"/>
            <w:tcBorders>
              <w:top w:val="single" w:sz="6"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34DE6E" w14:textId="77777777" w:rsidR="00EB245A" w:rsidRDefault="006021EE">
            <w:pPr>
              <w:pStyle w:val="P68B1DB1-Normal46"/>
              <w:spacing w:line="259" w:lineRule="auto"/>
              <w:ind w:right="5"/>
              <w:jc w:val="center"/>
              <w:rPr>
                <w:rFonts w:cs="Times New Roman"/>
                <w:noProof/>
              </w:rPr>
            </w:pPr>
            <w:r>
              <w:rPr>
                <w:noProof/>
              </w:rPr>
              <w:t xml:space="preserve">Ziel </w:t>
            </w:r>
          </w:p>
        </w:tc>
        <w:tc>
          <w:tcPr>
            <w:tcW w:w="3926" w:type="dxa"/>
            <w:tcBorders>
              <w:top w:val="single" w:sz="6"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945DA87" w14:textId="77777777" w:rsidR="00EB245A" w:rsidRDefault="006021EE">
            <w:pPr>
              <w:pStyle w:val="P68B1DB1-Normal46"/>
              <w:spacing w:line="237" w:lineRule="auto"/>
              <w:ind w:left="1"/>
              <w:rPr>
                <w:rFonts w:cs="Times New Roman"/>
                <w:noProof/>
              </w:rPr>
            </w:pPr>
            <w:r>
              <w:rPr>
                <w:noProof/>
              </w:rPr>
              <w:t xml:space="preserve">Mit den Endbegünstigten unterzeichnete rechtliche Vereinbarungen </w:t>
            </w:r>
          </w:p>
          <w:p w14:paraId="07DD7292" w14:textId="77777777" w:rsidR="00EB245A" w:rsidRDefault="006021EE">
            <w:pPr>
              <w:pStyle w:val="P68B1DB1-Normal46"/>
              <w:spacing w:line="259" w:lineRule="auto"/>
              <w:ind w:left="1"/>
              <w:rPr>
                <w:rFonts w:cs="Times New Roman"/>
                <w:noProof/>
              </w:rPr>
            </w:pPr>
            <w:r>
              <w:rPr>
                <w:noProof/>
              </w:rPr>
              <w:t xml:space="preserve"> </w:t>
            </w:r>
          </w:p>
        </w:tc>
      </w:tr>
      <w:tr w:rsidR="00EB245A" w14:paraId="2843B68B" w14:textId="77777777">
        <w:trPr>
          <w:trHeight w:val="971"/>
        </w:trPr>
        <w:tc>
          <w:tcPr>
            <w:tcW w:w="1348" w:type="dxa"/>
            <w:tcBorders>
              <w:top w:val="single" w:sz="4" w:space="0" w:color="000000" w:themeColor="text1"/>
              <w:left w:val="single" w:sz="4" w:space="0" w:color="000000" w:themeColor="text1"/>
              <w:bottom w:val="single" w:sz="6" w:space="0" w:color="000000" w:themeColor="text1"/>
              <w:right w:val="single" w:sz="4" w:space="0" w:color="000000" w:themeColor="text1"/>
            </w:tcBorders>
            <w:shd w:val="clear" w:color="auto" w:fill="C6EFCE"/>
          </w:tcPr>
          <w:p w14:paraId="4EE4F451" w14:textId="77777777" w:rsidR="00EB245A" w:rsidRDefault="006021EE">
            <w:pPr>
              <w:pStyle w:val="P68B1DB1-Normal46"/>
              <w:spacing w:line="259" w:lineRule="auto"/>
              <w:ind w:right="7"/>
              <w:jc w:val="center"/>
              <w:rPr>
                <w:rFonts w:cs="Times New Roman"/>
                <w:noProof/>
              </w:rPr>
            </w:pPr>
            <w:r>
              <w:rPr>
                <w:noProof/>
              </w:rPr>
              <w:t xml:space="preserve">C18L </w:t>
            </w:r>
          </w:p>
        </w:tc>
        <w:tc>
          <w:tcPr>
            <w:tcW w:w="3961" w:type="dxa"/>
            <w:tcBorders>
              <w:top w:val="single" w:sz="4" w:space="0" w:color="000000" w:themeColor="text1"/>
              <w:left w:val="single" w:sz="4" w:space="0" w:color="000000" w:themeColor="text1"/>
              <w:bottom w:val="single" w:sz="6" w:space="0" w:color="000000" w:themeColor="text1"/>
              <w:right w:val="single" w:sz="4" w:space="0" w:color="000000" w:themeColor="text1"/>
            </w:tcBorders>
            <w:shd w:val="clear" w:color="auto" w:fill="C6EFCE"/>
          </w:tcPr>
          <w:p w14:paraId="407DA802" w14:textId="77777777" w:rsidR="00EB245A" w:rsidRDefault="006021EE">
            <w:pPr>
              <w:pStyle w:val="P68B1DB1-Normal46"/>
              <w:spacing w:line="259" w:lineRule="auto"/>
              <w:ind w:left="1"/>
              <w:rPr>
                <w:rFonts w:cs="Times New Roman"/>
                <w:noProof/>
              </w:rPr>
            </w:pPr>
            <w:r>
              <w:rPr>
                <w:noProof/>
              </w:rPr>
              <w:t xml:space="preserve">C4.1.1 Unterstützung der Digitalisierung </w:t>
            </w:r>
          </w:p>
          <w:p w14:paraId="2FA333BD" w14:textId="77777777" w:rsidR="00EB245A" w:rsidRDefault="006021EE">
            <w:pPr>
              <w:pStyle w:val="P68B1DB1-Normal46"/>
              <w:spacing w:line="259" w:lineRule="auto"/>
              <w:ind w:left="1"/>
              <w:rPr>
                <w:rFonts w:cs="Times New Roman"/>
                <w:noProof/>
              </w:rPr>
            </w:pPr>
            <w:r>
              <w:rPr>
                <w:noProof/>
              </w:rPr>
              <w:t xml:space="preserve">Umgestaltung von Unternehmen durch den Einsatz von Cloud Computing </w:t>
            </w:r>
          </w:p>
        </w:tc>
        <w:tc>
          <w:tcPr>
            <w:tcW w:w="1246" w:type="dxa"/>
            <w:tcBorders>
              <w:top w:val="single" w:sz="4" w:space="0" w:color="000000" w:themeColor="text1"/>
              <w:left w:val="single" w:sz="4" w:space="0" w:color="000000" w:themeColor="text1"/>
              <w:bottom w:val="single" w:sz="6" w:space="0" w:color="000000" w:themeColor="text1"/>
              <w:right w:val="single" w:sz="4" w:space="0" w:color="000000" w:themeColor="text1"/>
            </w:tcBorders>
            <w:shd w:val="clear" w:color="auto" w:fill="C6EFCE"/>
          </w:tcPr>
          <w:p w14:paraId="2304996D" w14:textId="185B32CB" w:rsidR="00EB245A" w:rsidRDefault="006021EE" w:rsidP="00E624AF">
            <w:pPr>
              <w:pStyle w:val="P68B1DB1-Normal46"/>
              <w:spacing w:line="259" w:lineRule="auto"/>
              <w:ind w:left="75"/>
              <w:jc w:val="center"/>
              <w:rPr>
                <w:rFonts w:cs="Times New Roman"/>
                <w:noProof/>
              </w:rPr>
            </w:pPr>
            <w:r>
              <w:rPr>
                <w:noProof/>
              </w:rPr>
              <w:t>Meilenstein</w:t>
            </w:r>
          </w:p>
        </w:tc>
        <w:tc>
          <w:tcPr>
            <w:tcW w:w="3926" w:type="dxa"/>
            <w:tcBorders>
              <w:top w:val="single" w:sz="4" w:space="0" w:color="000000" w:themeColor="text1"/>
              <w:left w:val="single" w:sz="4" w:space="0" w:color="000000" w:themeColor="text1"/>
              <w:bottom w:val="single" w:sz="6" w:space="0" w:color="000000" w:themeColor="text1"/>
              <w:right w:val="single" w:sz="4" w:space="0" w:color="000000" w:themeColor="text1"/>
            </w:tcBorders>
            <w:shd w:val="clear" w:color="auto" w:fill="C6EFCE"/>
          </w:tcPr>
          <w:p w14:paraId="027EB42E" w14:textId="77777777" w:rsidR="00EB245A" w:rsidRDefault="006021EE">
            <w:pPr>
              <w:pStyle w:val="P68B1DB1-Normal46"/>
              <w:spacing w:line="259" w:lineRule="auto"/>
              <w:ind w:left="1"/>
              <w:rPr>
                <w:rFonts w:cs="Times New Roman"/>
                <w:noProof/>
              </w:rPr>
            </w:pPr>
            <w:r>
              <w:rPr>
                <w:noProof/>
              </w:rPr>
              <w:t xml:space="preserve">Das Ministerium hat die Investition abgeschlossen. </w:t>
            </w:r>
          </w:p>
          <w:p w14:paraId="51D30A6C" w14:textId="77777777" w:rsidR="00EB245A" w:rsidRDefault="006021EE">
            <w:pPr>
              <w:pStyle w:val="P68B1DB1-Normal46"/>
              <w:spacing w:line="259" w:lineRule="auto"/>
              <w:ind w:left="1"/>
              <w:rPr>
                <w:rFonts w:cs="Times New Roman"/>
                <w:noProof/>
              </w:rPr>
            </w:pPr>
            <w:r>
              <w:rPr>
                <w:noProof/>
              </w:rPr>
              <w:t xml:space="preserve"> </w:t>
            </w:r>
          </w:p>
        </w:tc>
      </w:tr>
      <w:tr w:rsidR="00EB245A" w14:paraId="24795C87" w14:textId="77777777">
        <w:trPr>
          <w:trHeight w:val="721"/>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408DB9F" w14:textId="77777777" w:rsidR="00EB245A" w:rsidRDefault="006021EE">
            <w:pPr>
              <w:pStyle w:val="P68B1DB1-Normal46"/>
              <w:spacing w:line="259" w:lineRule="auto"/>
              <w:ind w:right="5"/>
              <w:jc w:val="center"/>
              <w:rPr>
                <w:rFonts w:cs="Times New Roman"/>
                <w:noProof/>
              </w:rPr>
            </w:pPr>
            <w:r>
              <w:rPr>
                <w:noProof/>
              </w:rPr>
              <w:t xml:space="preserve">E4L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2DE19D6" w14:textId="77777777" w:rsidR="00EB245A" w:rsidRDefault="006021EE">
            <w:pPr>
              <w:pStyle w:val="P68B1DB1-Normal46"/>
              <w:spacing w:line="259" w:lineRule="auto"/>
              <w:ind w:left="1"/>
              <w:rPr>
                <w:rFonts w:cs="Times New Roman"/>
                <w:noProof/>
              </w:rPr>
            </w:pPr>
            <w:r>
              <w:rPr>
                <w:noProof/>
              </w:rPr>
              <w:t xml:space="preserve">E1.2.1 Emissionsfreie öffentliche Verkehrsmittel in Städten (Straßenbahnen)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D91EDA1" w14:textId="77777777" w:rsidR="00EB245A" w:rsidRDefault="006021EE">
            <w:pPr>
              <w:pStyle w:val="P68B1DB1-Normal46"/>
              <w:spacing w:line="259" w:lineRule="auto"/>
              <w:ind w:right="5"/>
              <w:jc w:val="center"/>
              <w:rPr>
                <w:rFonts w:cs="Times New Roman"/>
                <w:noProof/>
              </w:rPr>
            </w:pPr>
            <w:r>
              <w:rPr>
                <w:noProof/>
              </w:rPr>
              <w:t xml:space="preserve">Ziel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255E685" w14:textId="77777777" w:rsidR="00EB245A" w:rsidRDefault="006021EE">
            <w:pPr>
              <w:pStyle w:val="P68B1DB1-Normal46"/>
              <w:spacing w:line="259" w:lineRule="auto"/>
              <w:ind w:left="1"/>
              <w:rPr>
                <w:rFonts w:cs="Times New Roman"/>
                <w:noProof/>
              </w:rPr>
            </w:pPr>
            <w:r>
              <w:rPr>
                <w:noProof/>
              </w:rPr>
              <w:t xml:space="preserve">Neue Straßenbahnen für den öffentlichen Nahverkehr </w:t>
            </w:r>
          </w:p>
        </w:tc>
      </w:tr>
      <w:tr w:rsidR="00EB245A" w14:paraId="10A110BD" w14:textId="77777777">
        <w:trPr>
          <w:trHeight w:val="721"/>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3C1B375" w14:textId="7CBED47A" w:rsidR="00EB245A" w:rsidRDefault="006021EE">
            <w:pPr>
              <w:pStyle w:val="P68B1DB1-Normal46"/>
              <w:spacing w:line="259" w:lineRule="auto"/>
              <w:ind w:right="5"/>
              <w:jc w:val="center"/>
              <w:rPr>
                <w:rFonts w:cs="Times New Roman"/>
                <w:noProof/>
              </w:rPr>
            </w:pPr>
            <w:r>
              <w:rPr>
                <w:noProof/>
              </w:rPr>
              <w:t>E10L</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90E5411" w14:textId="289C587D" w:rsidR="00EB245A" w:rsidRDefault="006021EE">
            <w:pPr>
              <w:pStyle w:val="P68B1DB1-Normal46"/>
              <w:spacing w:line="259" w:lineRule="auto"/>
              <w:ind w:left="1"/>
              <w:rPr>
                <w:rFonts w:cs="Times New Roman"/>
                <w:noProof/>
              </w:rPr>
            </w:pPr>
            <w:r>
              <w:rPr>
                <w:noProof/>
              </w:rPr>
              <w:t>E3.1.1 Fazilität zur Unterstützung einer CO2-armen Wirtschaft</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5BBCB5F" w14:textId="7FF41C95" w:rsidR="00EB245A" w:rsidRDefault="006021EE">
            <w:pPr>
              <w:pStyle w:val="P68B1DB1-Normal46"/>
              <w:spacing w:line="259" w:lineRule="auto"/>
              <w:ind w:right="5"/>
              <w:jc w:val="center"/>
              <w:rPr>
                <w:rFonts w:cs="Times New Roman"/>
                <w:noProof/>
              </w:rPr>
            </w:pPr>
            <w:r>
              <w:rPr>
                <w:noProof/>
              </w:rPr>
              <w:t>Ziel</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075C206" w14:textId="41B31D19" w:rsidR="00EB245A" w:rsidRDefault="006021EE">
            <w:pPr>
              <w:pStyle w:val="P68B1DB1-Normal46"/>
              <w:spacing w:line="259" w:lineRule="auto"/>
              <w:ind w:left="1"/>
              <w:rPr>
                <w:rFonts w:cs="Times New Roman"/>
                <w:noProof/>
              </w:rPr>
            </w:pPr>
            <w:r>
              <w:rPr>
                <w:noProof/>
              </w:rPr>
              <w:t>Abschluss von Kapitalbeteiligungen</w:t>
            </w:r>
          </w:p>
        </w:tc>
      </w:tr>
      <w:tr w:rsidR="00EB245A" w14:paraId="69F68665" w14:textId="77777777">
        <w:trPr>
          <w:trHeight w:val="721"/>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1806AB2" w14:textId="7D6C4009" w:rsidR="00EB245A" w:rsidRDefault="006021EE">
            <w:pPr>
              <w:pStyle w:val="P68B1DB1-Normal46"/>
              <w:spacing w:line="259" w:lineRule="auto"/>
              <w:ind w:right="5"/>
              <w:jc w:val="center"/>
              <w:rPr>
                <w:rFonts w:cs="Times New Roman"/>
                <w:noProof/>
              </w:rPr>
            </w:pPr>
            <w:r>
              <w:rPr>
                <w:noProof/>
              </w:rPr>
              <w:t xml:space="preserve">G5L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689FFBC" w14:textId="3CE19846" w:rsidR="00EB245A" w:rsidRDefault="006021EE">
            <w:pPr>
              <w:pStyle w:val="P68B1DB1-Normal46"/>
              <w:spacing w:line="259" w:lineRule="auto"/>
              <w:ind w:left="1"/>
              <w:rPr>
                <w:rFonts w:cs="Times New Roman"/>
                <w:noProof/>
              </w:rPr>
            </w:pPr>
            <w:r>
              <w:rPr>
                <w:noProof/>
              </w:rPr>
              <w:t xml:space="preserve">G3.1.1 Straffung des Genehmigungsverfahrens für erneuerbare Energiequellen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724BDAC" w14:textId="359B8AC6" w:rsidR="00EB245A" w:rsidRDefault="006021EE">
            <w:pPr>
              <w:pStyle w:val="P68B1DB1-Normal46"/>
              <w:spacing w:line="259" w:lineRule="auto"/>
              <w:ind w:right="5"/>
              <w:jc w:val="center"/>
              <w:rPr>
                <w:rFonts w:cs="Times New Roman"/>
                <w:noProof/>
              </w:rPr>
            </w:pPr>
            <w:r>
              <w:rPr>
                <w:noProof/>
              </w:rPr>
              <w:t xml:space="preserve">Meilenstein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B27A380" w14:textId="77777777" w:rsidR="00EB245A" w:rsidRDefault="006021EE">
            <w:pPr>
              <w:pStyle w:val="P68B1DB1-Normal46"/>
              <w:spacing w:line="259" w:lineRule="auto"/>
              <w:ind w:left="1"/>
              <w:rPr>
                <w:rFonts w:cs="Times New Roman"/>
                <w:noProof/>
              </w:rPr>
            </w:pPr>
            <w:r>
              <w:rPr>
                <w:noProof/>
              </w:rPr>
              <w:t xml:space="preserve">Digitalisierung der Genehmigungsverfahren   </w:t>
            </w:r>
          </w:p>
          <w:p w14:paraId="278D11F4" w14:textId="2AB8299D" w:rsidR="00EB245A" w:rsidRDefault="006021EE">
            <w:pPr>
              <w:pStyle w:val="P68B1DB1-Normal46"/>
              <w:spacing w:line="259" w:lineRule="auto"/>
              <w:ind w:left="1"/>
              <w:rPr>
                <w:rFonts w:cs="Times New Roman"/>
                <w:noProof/>
              </w:rPr>
            </w:pPr>
            <w:r>
              <w:rPr>
                <w:noProof/>
              </w:rPr>
              <w:t xml:space="preserve"> </w:t>
            </w:r>
          </w:p>
        </w:tc>
      </w:tr>
      <w:tr w:rsidR="00EB245A" w14:paraId="2D2B4B5A" w14:textId="77777777">
        <w:trPr>
          <w:trHeight w:val="721"/>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705FB71" w14:textId="70F673D0" w:rsidR="00EB245A" w:rsidRDefault="006021EE">
            <w:pPr>
              <w:pStyle w:val="P68B1DB1-Normal46"/>
              <w:spacing w:line="259" w:lineRule="auto"/>
              <w:ind w:right="5"/>
              <w:jc w:val="center"/>
              <w:rPr>
                <w:rFonts w:cs="Times New Roman"/>
                <w:noProof/>
              </w:rPr>
            </w:pPr>
            <w:r>
              <w:rPr>
                <w:noProof/>
              </w:rPr>
              <w:t xml:space="preserve">G14L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B8BF50B" w14:textId="39C5F4A4" w:rsidR="00EB245A" w:rsidRDefault="006021EE">
            <w:pPr>
              <w:pStyle w:val="P68B1DB1-Normal46"/>
              <w:spacing w:line="259" w:lineRule="auto"/>
              <w:ind w:left="1"/>
              <w:rPr>
                <w:rFonts w:cs="Times New Roman"/>
                <w:noProof/>
              </w:rPr>
            </w:pPr>
            <w:r>
              <w:rPr>
                <w:noProof/>
              </w:rPr>
              <w:t xml:space="preserve">G3.1.4 Unterstützung des nationalen Energiesystems (Energiehilfefonds)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3447C6A" w14:textId="7A46F7A3" w:rsidR="00EB245A" w:rsidRDefault="006021EE">
            <w:pPr>
              <w:pStyle w:val="P68B1DB1-Normal46"/>
              <w:spacing w:line="259" w:lineRule="auto"/>
              <w:ind w:right="5"/>
              <w:jc w:val="center"/>
              <w:rPr>
                <w:rFonts w:cs="Times New Roman"/>
                <w:noProof/>
              </w:rPr>
            </w:pPr>
            <w:r>
              <w:rPr>
                <w:noProof/>
              </w:rPr>
              <w:t xml:space="preserve">Ziel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565CB0C" w14:textId="0F973409" w:rsidR="00EB245A" w:rsidRDefault="006021EE">
            <w:pPr>
              <w:pStyle w:val="P68B1DB1-Normal46"/>
              <w:spacing w:line="259" w:lineRule="auto"/>
              <w:ind w:left="1"/>
              <w:rPr>
                <w:rFonts w:cs="Times New Roman"/>
                <w:noProof/>
              </w:rPr>
            </w:pPr>
            <w:r>
              <w:rPr>
                <w:noProof/>
              </w:rPr>
              <w:t xml:space="preserve">Mit den Endbegünstigten unterzeichnete rechtliche Vereinbarungen </w:t>
            </w:r>
          </w:p>
        </w:tc>
      </w:tr>
      <w:tr w:rsidR="00EB245A" w14:paraId="39A97B7A" w14:textId="77777777">
        <w:trPr>
          <w:trHeight w:val="721"/>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4E1254C" w14:textId="35F2DBA6" w:rsidR="00EB245A" w:rsidRDefault="006021EE">
            <w:pPr>
              <w:pStyle w:val="P68B1DB1-Normal46"/>
              <w:spacing w:line="259" w:lineRule="auto"/>
              <w:ind w:right="5"/>
              <w:jc w:val="center"/>
              <w:rPr>
                <w:rFonts w:cs="Times New Roman"/>
                <w:noProof/>
              </w:rPr>
            </w:pPr>
            <w:r>
              <w:rPr>
                <w:noProof/>
              </w:rPr>
              <w:t xml:space="preserve">G15L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C60C873" w14:textId="40E15176" w:rsidR="00EB245A" w:rsidRDefault="006021EE">
            <w:pPr>
              <w:pStyle w:val="P68B1DB1-Normal46"/>
              <w:spacing w:line="259" w:lineRule="auto"/>
              <w:ind w:left="1"/>
              <w:rPr>
                <w:rFonts w:cs="Times New Roman"/>
                <w:noProof/>
              </w:rPr>
            </w:pPr>
            <w:r>
              <w:rPr>
                <w:noProof/>
              </w:rPr>
              <w:t xml:space="preserve">G3.1.4 Unterstützung des nationalen Energiesystems (Energiehilfefonds)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07F6C20A" w14:textId="1EFEF3C3" w:rsidR="00EB245A" w:rsidRDefault="006021EE">
            <w:pPr>
              <w:pStyle w:val="P68B1DB1-Normal46"/>
              <w:spacing w:line="259" w:lineRule="auto"/>
              <w:ind w:right="5"/>
              <w:jc w:val="center"/>
              <w:rPr>
                <w:rFonts w:cs="Times New Roman"/>
                <w:noProof/>
              </w:rPr>
            </w:pPr>
            <w:r>
              <w:rPr>
                <w:noProof/>
              </w:rPr>
              <w:t xml:space="preserve">Meilenstein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07EC071" w14:textId="35DA35CA" w:rsidR="00EB245A" w:rsidRDefault="006021EE">
            <w:pPr>
              <w:pStyle w:val="P68B1DB1-Normal46"/>
              <w:spacing w:line="259" w:lineRule="auto"/>
              <w:ind w:left="1"/>
              <w:rPr>
                <w:rFonts w:cs="Times New Roman"/>
                <w:noProof/>
              </w:rPr>
            </w:pPr>
            <w:r>
              <w:rPr>
                <w:noProof/>
              </w:rPr>
              <w:t xml:space="preserve">Das Ministerium hat die Investition abgeschlossen. </w:t>
            </w:r>
          </w:p>
        </w:tc>
      </w:tr>
      <w:tr w:rsidR="00EB245A" w14:paraId="61B1D6EA" w14:textId="77777777">
        <w:trPr>
          <w:trHeight w:val="721"/>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D4992E8" w14:textId="7E8EB342" w:rsidR="00EB245A" w:rsidRDefault="006021EE">
            <w:pPr>
              <w:pStyle w:val="P68B1DB1-Normal46"/>
              <w:spacing w:line="259" w:lineRule="auto"/>
              <w:ind w:right="5"/>
              <w:jc w:val="center"/>
              <w:rPr>
                <w:rFonts w:cs="Times New Roman"/>
                <w:noProof/>
              </w:rPr>
            </w:pPr>
            <w:r>
              <w:rPr>
                <w:noProof/>
              </w:rPr>
              <w:t xml:space="preserve">G18L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A95A041" w14:textId="4590E25D" w:rsidR="00EB245A" w:rsidRDefault="006021EE">
            <w:pPr>
              <w:pStyle w:val="P68B1DB1-Normal46"/>
              <w:spacing w:line="259" w:lineRule="auto"/>
              <w:ind w:left="1"/>
              <w:rPr>
                <w:rFonts w:cs="Times New Roman"/>
                <w:noProof/>
              </w:rPr>
            </w:pPr>
            <w:r>
              <w:rPr>
                <w:noProof/>
              </w:rPr>
              <w:t xml:space="preserve">G3.1.5 Bau von Offshore-Windparks (Offshore-Windenergiefonds)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931AC83" w14:textId="1DA1D322" w:rsidR="00EB245A" w:rsidRDefault="006021EE">
            <w:pPr>
              <w:pStyle w:val="P68B1DB1-Normal46"/>
              <w:spacing w:line="259" w:lineRule="auto"/>
              <w:ind w:right="5"/>
              <w:jc w:val="center"/>
              <w:rPr>
                <w:rFonts w:cs="Times New Roman"/>
                <w:noProof/>
              </w:rPr>
            </w:pPr>
            <w:r>
              <w:rPr>
                <w:noProof/>
              </w:rPr>
              <w:t xml:space="preserve">Ziel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1B401B2" w14:textId="642D7BE4" w:rsidR="00EB245A" w:rsidRDefault="006021EE">
            <w:pPr>
              <w:pStyle w:val="P68B1DB1-Normal46"/>
              <w:spacing w:line="259" w:lineRule="auto"/>
              <w:ind w:left="1"/>
              <w:rPr>
                <w:rFonts w:cs="Times New Roman"/>
                <w:noProof/>
              </w:rPr>
            </w:pPr>
            <w:r>
              <w:rPr>
                <w:noProof/>
              </w:rPr>
              <w:t>Mit den Endbegünstigten unterzeichnete rec</w:t>
            </w:r>
            <w:r>
              <w:rPr>
                <w:noProof/>
              </w:rPr>
              <w:t xml:space="preserve">htliche Vereinbarungen </w:t>
            </w:r>
          </w:p>
        </w:tc>
      </w:tr>
      <w:tr w:rsidR="00EB245A" w14:paraId="1BD05632" w14:textId="77777777">
        <w:trPr>
          <w:trHeight w:val="721"/>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43372E6" w14:textId="22878BF7" w:rsidR="00EB245A" w:rsidRDefault="006021EE">
            <w:pPr>
              <w:pStyle w:val="P68B1DB1-Normal46"/>
              <w:spacing w:line="259" w:lineRule="auto"/>
              <w:ind w:right="5"/>
              <w:jc w:val="center"/>
              <w:rPr>
                <w:rFonts w:cs="Times New Roman"/>
                <w:noProof/>
              </w:rPr>
            </w:pPr>
            <w:r>
              <w:rPr>
                <w:noProof/>
              </w:rPr>
              <w:t xml:space="preserve">G19L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4CB9B7A" w14:textId="0EE4FE56" w:rsidR="00EB245A" w:rsidRDefault="006021EE">
            <w:pPr>
              <w:pStyle w:val="P68B1DB1-Normal46"/>
              <w:spacing w:line="259" w:lineRule="auto"/>
              <w:ind w:left="1"/>
              <w:rPr>
                <w:rFonts w:cs="Times New Roman"/>
                <w:noProof/>
              </w:rPr>
            </w:pPr>
            <w:r>
              <w:rPr>
                <w:noProof/>
              </w:rPr>
              <w:t xml:space="preserve">G3.1.5 Bau von Offshore-Windparks (Offshore-Windenergiefonds)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2185A74" w14:textId="42EBA34F" w:rsidR="00EB245A" w:rsidRDefault="006021EE">
            <w:pPr>
              <w:pStyle w:val="P68B1DB1-Normal46"/>
              <w:spacing w:line="259" w:lineRule="auto"/>
              <w:ind w:right="5"/>
              <w:jc w:val="center"/>
              <w:rPr>
                <w:rFonts w:cs="Times New Roman"/>
                <w:noProof/>
              </w:rPr>
            </w:pPr>
            <w:r>
              <w:rPr>
                <w:noProof/>
              </w:rPr>
              <w:t xml:space="preserve">Meilenstein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B530AC0" w14:textId="64E4F672" w:rsidR="00EB245A" w:rsidRDefault="006021EE">
            <w:pPr>
              <w:pStyle w:val="P68B1DB1-Normal46"/>
              <w:spacing w:line="259" w:lineRule="auto"/>
              <w:ind w:left="1"/>
              <w:rPr>
                <w:rFonts w:cs="Times New Roman"/>
                <w:noProof/>
              </w:rPr>
            </w:pPr>
            <w:r>
              <w:rPr>
                <w:noProof/>
              </w:rPr>
              <w:t xml:space="preserve">Das Ministerium hat die Investition abgeschlossen. </w:t>
            </w:r>
          </w:p>
        </w:tc>
      </w:tr>
      <w:tr w:rsidR="00EB245A" w14:paraId="043133BC" w14:textId="77777777">
        <w:trPr>
          <w:trHeight w:val="721"/>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099AA26" w14:textId="6E9A6A97" w:rsidR="00EB245A" w:rsidRDefault="006021EE">
            <w:pPr>
              <w:pStyle w:val="P68B1DB1-Normal46"/>
              <w:spacing w:line="259" w:lineRule="auto"/>
              <w:ind w:right="5"/>
              <w:jc w:val="center"/>
              <w:rPr>
                <w:rFonts w:cs="Times New Roman"/>
                <w:noProof/>
              </w:rPr>
            </w:pPr>
            <w:r>
              <w:rPr>
                <w:noProof/>
              </w:rPr>
              <w:t>G23L</w:t>
            </w:r>
            <w:r>
              <w:rPr>
                <w:noProof/>
                <w:color w:val="0078D4"/>
              </w:rPr>
              <w:t xml:space="preserve"> </w:t>
            </w:r>
            <w:r>
              <w:rPr>
                <w:noProof/>
              </w:rPr>
              <w:t xml:space="preserve">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2213A76" w14:textId="34F82502" w:rsidR="00EB245A" w:rsidRDefault="006021EE">
            <w:pPr>
              <w:pStyle w:val="P68B1DB1-Normal46"/>
              <w:spacing w:line="259" w:lineRule="auto"/>
              <w:ind w:left="1"/>
              <w:rPr>
                <w:rFonts w:cs="Times New Roman"/>
                <w:noProof/>
              </w:rPr>
            </w:pPr>
            <w:r>
              <w:rPr>
                <w:noProof/>
              </w:rPr>
              <w:t xml:space="preserve"> G3.2.1 Bau von Erdgasinfrastruktur zur Gewährleistung der Energieversorgungssicherheit</w:t>
            </w:r>
            <w:r>
              <w:rPr>
                <w:noProof/>
                <w:color w:val="0078D4"/>
              </w:rPr>
              <w:t xml:space="preserve"> </w:t>
            </w:r>
            <w:r>
              <w:rPr>
                <w:noProof/>
              </w:rPr>
              <w:t xml:space="preserv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7FCCA5B8" w14:textId="2EB084D6" w:rsidR="00EB245A" w:rsidRDefault="006021EE">
            <w:pPr>
              <w:pStyle w:val="P68B1DB1-Normal46"/>
              <w:spacing w:line="259" w:lineRule="auto"/>
              <w:ind w:right="5"/>
              <w:jc w:val="center"/>
              <w:rPr>
                <w:rFonts w:cs="Times New Roman"/>
                <w:noProof/>
              </w:rPr>
            </w:pPr>
            <w:r>
              <w:rPr>
                <w:noProof/>
              </w:rPr>
              <w:t xml:space="preserve">Meilenstein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8FE7090" w14:textId="44E4C7AE" w:rsidR="00EB245A" w:rsidRDefault="006021EE">
            <w:pPr>
              <w:pStyle w:val="P68B1DB1-Normal46"/>
              <w:spacing w:line="259" w:lineRule="auto"/>
              <w:ind w:left="1"/>
              <w:rPr>
                <w:rFonts w:cs="Times New Roman"/>
                <w:noProof/>
              </w:rPr>
            </w:pPr>
            <w:r>
              <w:rPr>
                <w:noProof/>
              </w:rPr>
              <w:t xml:space="preserve">Fertigstellung des Baus der Gaspipeline </w:t>
            </w:r>
          </w:p>
        </w:tc>
      </w:tr>
      <w:tr w:rsidR="00EB245A" w14:paraId="7FE32CC5" w14:textId="77777777">
        <w:trPr>
          <w:trHeight w:val="721"/>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E48FECA" w14:textId="493984FE" w:rsidR="00EB245A" w:rsidRDefault="006021EE">
            <w:pPr>
              <w:pStyle w:val="P68B1DB1-Normal46"/>
              <w:spacing w:line="259" w:lineRule="auto"/>
              <w:ind w:right="5"/>
              <w:jc w:val="center"/>
              <w:rPr>
                <w:rFonts w:cs="Times New Roman"/>
                <w:noProof/>
              </w:rPr>
            </w:pPr>
            <w:r>
              <w:rPr>
                <w:noProof/>
              </w:rPr>
              <w:t xml:space="preserve">G24L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61637C86" w14:textId="3EAFCED4" w:rsidR="00EB245A" w:rsidRDefault="006021EE">
            <w:pPr>
              <w:pStyle w:val="P68B1DB1-Normal46"/>
              <w:spacing w:line="259" w:lineRule="auto"/>
              <w:ind w:left="1"/>
              <w:rPr>
                <w:rFonts w:cs="Times New Roman"/>
                <w:noProof/>
              </w:rPr>
            </w:pPr>
            <w:r>
              <w:rPr>
                <w:noProof/>
              </w:rPr>
              <w:t xml:space="preserve">G3.3.1 Energiespeichersysteme (rückzahlbare Unterstützung)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0AD0529" w14:textId="799E6A96" w:rsidR="00EB245A" w:rsidRDefault="006021EE">
            <w:pPr>
              <w:pStyle w:val="P68B1DB1-Normal46"/>
              <w:spacing w:line="259" w:lineRule="auto"/>
              <w:ind w:right="5"/>
              <w:jc w:val="center"/>
              <w:rPr>
                <w:rFonts w:cs="Times New Roman"/>
                <w:noProof/>
              </w:rPr>
            </w:pPr>
            <w:r>
              <w:rPr>
                <w:noProof/>
              </w:rPr>
              <w:t xml:space="preserve">Meilenstein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48ABBFA0" w14:textId="4D6BF8F3" w:rsidR="00EB245A" w:rsidRDefault="006021EE">
            <w:pPr>
              <w:pStyle w:val="P68B1DB1-Normal46"/>
              <w:spacing w:line="259" w:lineRule="auto"/>
              <w:ind w:left="1"/>
              <w:rPr>
                <w:rFonts w:cs="Times New Roman"/>
                <w:noProof/>
              </w:rPr>
            </w:pPr>
            <w:r>
              <w:rPr>
                <w:noProof/>
              </w:rPr>
              <w:t xml:space="preserve">Modernisierung bestehender Pumpspeicheranlagen </w:t>
            </w:r>
          </w:p>
        </w:tc>
      </w:tr>
      <w:tr w:rsidR="00EB245A" w14:paraId="34775D9E" w14:textId="77777777">
        <w:trPr>
          <w:trHeight w:val="721"/>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D8B63D8" w14:textId="624F5003" w:rsidR="00EB245A" w:rsidRDefault="006021EE">
            <w:pPr>
              <w:pStyle w:val="P68B1DB1-Normal46"/>
              <w:spacing w:line="259" w:lineRule="auto"/>
              <w:ind w:right="5"/>
              <w:jc w:val="center"/>
              <w:rPr>
                <w:rFonts w:cs="Times New Roman"/>
                <w:noProof/>
              </w:rPr>
            </w:pPr>
            <w:r>
              <w:rPr>
                <w:noProof/>
              </w:rPr>
              <w:t xml:space="preserve"> </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78210D0" w14:textId="17BD6639" w:rsidR="00EB245A" w:rsidRDefault="006021EE">
            <w:pPr>
              <w:pStyle w:val="P68B1DB1-Normal46"/>
              <w:spacing w:line="259" w:lineRule="auto"/>
              <w:ind w:left="1"/>
              <w:rPr>
                <w:rFonts w:cs="Times New Roman"/>
                <w:noProof/>
              </w:rPr>
            </w:pPr>
            <w:r>
              <w:rPr>
                <w:noProof/>
              </w:rPr>
              <w:t xml:space="preserve"> </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33CBD002" w14:textId="58075818" w:rsidR="00EB245A" w:rsidRDefault="006021EE">
            <w:pPr>
              <w:pStyle w:val="P68B1DB1-Normal46"/>
              <w:spacing w:line="259" w:lineRule="auto"/>
              <w:ind w:right="5"/>
              <w:jc w:val="center"/>
              <w:rPr>
                <w:rFonts w:cs="Times New Roman"/>
                <w:noProof/>
              </w:rPr>
            </w:pPr>
            <w:r>
              <w:rPr>
                <w:noProof/>
              </w:rPr>
              <w:t xml:space="preserve">Ratenzahlungsbetrag </w:t>
            </w:r>
          </w:p>
        </w:tc>
        <w:tc>
          <w:tcPr>
            <w:tcW w:w="3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2CF7AB67" w14:textId="3C9EBB8B" w:rsidR="00EB245A" w:rsidRDefault="006021EE">
            <w:pPr>
              <w:pStyle w:val="P68B1DB1-Normal46"/>
              <w:spacing w:line="259" w:lineRule="auto"/>
              <w:ind w:left="1"/>
              <w:rPr>
                <w:rFonts w:cs="Times New Roman"/>
                <w:noProof/>
              </w:rPr>
            </w:pPr>
            <w:r>
              <w:rPr>
                <w:noProof/>
              </w:rPr>
              <w:t>6 657 692 771 EUR</w:t>
            </w:r>
          </w:p>
        </w:tc>
      </w:tr>
    </w:tbl>
    <w:p w14:paraId="3CF3D340" w14:textId="11263564" w:rsidR="00EB245A" w:rsidRDefault="00EB245A">
      <w:pPr>
        <w:rPr>
          <w:noProof/>
        </w:rPr>
      </w:pPr>
    </w:p>
    <w:p w14:paraId="3DB584A5" w14:textId="078691D9" w:rsidR="00EB245A" w:rsidRDefault="00EB245A">
      <w:pPr>
        <w:rPr>
          <w:noProof/>
        </w:rPr>
      </w:pPr>
    </w:p>
    <w:p w14:paraId="3A5AECD2" w14:textId="3CC74454" w:rsidR="00EB245A" w:rsidRDefault="006021EE">
      <w:pPr>
        <w:rPr>
          <w:noProof/>
        </w:rPr>
      </w:pPr>
      <w:r>
        <w:rPr>
          <w:noProof/>
        </w:rPr>
        <w:br w:type="page"/>
      </w:r>
    </w:p>
    <w:p w14:paraId="7D2BA7E7" w14:textId="79428E73" w:rsidR="00EB245A" w:rsidRDefault="006021EE">
      <w:pPr>
        <w:pStyle w:val="P68B1DB1-Normal1"/>
        <w:spacing w:line="240" w:lineRule="auto"/>
        <w:rPr>
          <w:rFonts w:eastAsia="Times New Roman" w:cs="Times New Roman"/>
          <w:noProof/>
        </w:rPr>
      </w:pPr>
      <w:r>
        <w:rPr>
          <w:noProof/>
        </w:rPr>
        <w:t xml:space="preserve">ABSCHNITT 3: ZUSÄTZLICHE REGELUNG </w:t>
      </w:r>
    </w:p>
    <w:p w14:paraId="746A6812" w14:textId="05E45A11" w:rsidR="00EB245A" w:rsidRDefault="006021EE">
      <w:pPr>
        <w:pStyle w:val="P68B1DB1-ListParagraph45"/>
        <w:numPr>
          <w:ilvl w:val="0"/>
          <w:numId w:val="224"/>
        </w:numPr>
        <w:spacing w:line="240" w:lineRule="auto"/>
        <w:rPr>
          <w:rFonts w:eastAsia="Times New Roman" w:cs="Times New Roman"/>
          <w:noProof/>
        </w:rPr>
      </w:pPr>
      <w:r>
        <w:rPr>
          <w:noProof/>
        </w:rPr>
        <w:t>Vorkehrungen für die Überwachung und Durchführung des Aufbau- und Resilienzplans</w:t>
      </w:r>
    </w:p>
    <w:p w14:paraId="22DF069B" w14:textId="558023D0" w:rsidR="00EB245A" w:rsidRDefault="006021EE">
      <w:pPr>
        <w:pStyle w:val="P68B1DB1-Normal16"/>
        <w:spacing w:line="240" w:lineRule="auto"/>
        <w:jc w:val="both"/>
        <w:rPr>
          <w:rFonts w:eastAsia="Times New Roman" w:cs="Times New Roman"/>
          <w:noProof/>
        </w:rPr>
      </w:pPr>
      <w:r>
        <w:rPr>
          <w:noProof/>
        </w:rPr>
        <w:t xml:space="preserve">Die Überwachung und Durchführung des Aufbau- und Resilienzplans Polens erfolgt gemäß den folgenden Modalitäten: </w:t>
      </w:r>
    </w:p>
    <w:p w14:paraId="50A60815" w14:textId="44980DFF" w:rsidR="00EB245A" w:rsidRDefault="006021EE">
      <w:pPr>
        <w:pStyle w:val="P68B1DB1-Normal16"/>
        <w:spacing w:line="240" w:lineRule="auto"/>
        <w:jc w:val="both"/>
        <w:rPr>
          <w:rFonts w:eastAsia="Times New Roman" w:cs="Times New Roman"/>
          <w:noProof/>
        </w:rPr>
      </w:pPr>
      <w:r>
        <w:rPr>
          <w:noProof/>
        </w:rPr>
        <w:t xml:space="preserve">Die für die </w:t>
      </w:r>
      <w:r>
        <w:rPr>
          <w:noProof/>
        </w:rPr>
        <w:t>Gesamtkoordinierung der Durchführung und Überwachung des Aufbau- und Resilienzplans zuständige Stelle ist das Ministerium für Fonds und Regionalpolitik. Diese Stelle ist auch für die Erstellung der Zahlungsanträge, der Verwaltungserklärungen und der Zusamm</w:t>
      </w:r>
      <w:r>
        <w:rPr>
          <w:noProof/>
        </w:rPr>
        <w:t>enfassung der Prüfungen zuständig und fungiert als Verbindungsstelle zwischen der Kommission und den polnischen Behörden. Die für die Durchführung der Reformen und Investitionen zuständigen Organe überprüfen die Übereinstimmung der durchgeführten Maßnahmen</w:t>
      </w:r>
      <w:r>
        <w:rPr>
          <w:noProof/>
        </w:rPr>
        <w:t xml:space="preserve"> mit dem geltenden Unionsrecht und dem nationalen Recht sowie die Fortschritte bei der Erreichung der festgelegten Etappenziele und Zielwerte auf Ebene der Endempfänger. Die Informationen und Ergebnisse dieser Überprüfungen werden der Koordinierungsstelle </w:t>
      </w:r>
      <w:r>
        <w:rPr>
          <w:noProof/>
        </w:rPr>
        <w:t>über ein IT-System übermittelt.</w:t>
      </w:r>
    </w:p>
    <w:p w14:paraId="14DCA21D" w14:textId="628C1E2E" w:rsidR="00EB245A" w:rsidRDefault="006021EE">
      <w:pPr>
        <w:pStyle w:val="P68B1DB1-Normal16"/>
        <w:spacing w:line="240" w:lineRule="auto"/>
        <w:jc w:val="both"/>
        <w:rPr>
          <w:rFonts w:eastAsia="Times New Roman" w:cs="Times New Roman"/>
          <w:noProof/>
        </w:rPr>
      </w:pPr>
      <w:r>
        <w:rPr>
          <w:noProof/>
        </w:rPr>
        <w:t xml:space="preserve">Darüber hinaus wird mittels eines Gesetzgebungsakts ein Begleitausschuss eingerichtet, der sich aus Interessenträgern und Sozialpartnern zusammensetzt, die an der Umsetzung des Aufbau- und Resilienzplans beteiligt sind. Der </w:t>
      </w:r>
      <w:r>
        <w:rPr>
          <w:noProof/>
        </w:rPr>
        <w:t>Begleitausschuss überwacht die wirksame Durchführung des Aufbau- und Resilienzplans. Der Gesetzgebungsakt enthält eine Bestimmung, wonach der Begleitausschuss während der Durchführung des Aufbau- und Resilienzplans rechtlich zu konsultieren ist.</w:t>
      </w:r>
    </w:p>
    <w:p w14:paraId="007DF631" w14:textId="15F3C193" w:rsidR="00EB245A" w:rsidRDefault="006021EE">
      <w:pPr>
        <w:pStyle w:val="P68B1DB1-Normal16"/>
        <w:spacing w:line="240" w:lineRule="auto"/>
        <w:jc w:val="both"/>
        <w:rPr>
          <w:rFonts w:eastAsia="Times New Roman" w:cs="Times New Roman"/>
          <w:noProof/>
        </w:rPr>
      </w:pPr>
      <w:r>
        <w:rPr>
          <w:noProof/>
        </w:rPr>
        <w:t>Die Rechnu</w:t>
      </w:r>
      <w:r>
        <w:rPr>
          <w:noProof/>
        </w:rPr>
        <w:t>ngsprüfung wird von der Nationalen Steuerverwaltung durchgeführt, insbesondere von der Abteilung für Rechnungsprüfung aus öffentlichen Mitteln im Finanzministerium und 16 Kammern der Steuerverwaltung (Regionalbüros) des Landes. Diese Prüfstelle überprüft d</w:t>
      </w:r>
      <w:r>
        <w:rPr>
          <w:noProof/>
        </w:rPr>
        <w:t>ie ordnungsgemäße Durchführung von Reformen und Investitionen, das Erreichen festgelegter Etappenziele und Zielwerte, die Wirksamkeit der Mechanismen zur Verhinderung, Aufdeckung und Behebung schwerwiegender Unregelmäßigkeiten, d. h. Betrug, Korruption und</w:t>
      </w:r>
      <w:r>
        <w:rPr>
          <w:noProof/>
        </w:rPr>
        <w:t xml:space="preserve"> Interessenkonflikte, sowie die Vermeidung von Doppelfinanzierungen sowie die Zuverlässigkeit und Sicherheit des IT-Systems.</w:t>
      </w:r>
    </w:p>
    <w:p w14:paraId="26EE3F0C" w14:textId="7DABFD18" w:rsidR="00EB245A" w:rsidRDefault="006021EE">
      <w:pPr>
        <w:pStyle w:val="P68B1DB1-ListParagraph48"/>
        <w:numPr>
          <w:ilvl w:val="0"/>
          <w:numId w:val="224"/>
        </w:numPr>
        <w:spacing w:line="240" w:lineRule="auto"/>
        <w:rPr>
          <w:rFonts w:eastAsia="Times New Roman" w:cs="Times New Roman"/>
          <w:noProof/>
        </w:rPr>
      </w:pPr>
      <w:r>
        <w:rPr>
          <w:noProof/>
        </w:rPr>
        <w:t>Modalitäten für die Gewährung des uneingeschränkten Zugangs der Kommission zu den zugrunde liegenden Daten</w:t>
      </w:r>
    </w:p>
    <w:p w14:paraId="5AD3F6F8" w14:textId="397A3868" w:rsidR="00EB245A" w:rsidRDefault="006021EE">
      <w:pPr>
        <w:pStyle w:val="P68B1DB1-Normal16"/>
        <w:spacing w:line="240" w:lineRule="auto"/>
        <w:jc w:val="both"/>
        <w:rPr>
          <w:rFonts w:eastAsia="Times New Roman" w:cs="Times New Roman"/>
          <w:noProof/>
        </w:rPr>
      </w:pPr>
      <w:r>
        <w:rPr>
          <w:noProof/>
        </w:rPr>
        <w:t>Das Ministerium für Fond</w:t>
      </w:r>
      <w:r>
        <w:rPr>
          <w:noProof/>
        </w:rPr>
        <w:t>s und Regionalpolitik als zentrale Koordinierungsstelle für den polnischen Aufbau- und Resilienzplan und seine Umsetzung ist für die Gesamtkoordinierung und Überwachung des Plans zuständig. Insbesondere fungiert sie als Koordinierungsstelle für die Überwac</w:t>
      </w:r>
      <w:r>
        <w:rPr>
          <w:noProof/>
        </w:rPr>
        <w:t>hung der Fortschritte bei den Etappenzielen und Zielwerten sowie für die Übermittlung von Berichten und Zahlungsanträgen. Sie koordiniert die Berichterstattung über Etappenziele und Zielwerte, relevante Indikatoren, aber auch qualitative Finanzinformatione</w:t>
      </w:r>
      <w:r>
        <w:rPr>
          <w:noProof/>
        </w:rPr>
        <w:t>n und andere Daten, z. B. über Endempfänger. Die Datencodierung erfolgt in einem IT-System, über das die für die Durchführung von Reformen und Investitionen zuständigen Institutionen dem Ministerium für Fonds und Regionalpolitik Bericht erstatten müssen.</w:t>
      </w:r>
    </w:p>
    <w:p w14:paraId="40C1037D" w14:textId="228221CB" w:rsidR="00EB245A" w:rsidRDefault="006021EE">
      <w:pPr>
        <w:pStyle w:val="P68B1DB1-Normal16"/>
        <w:spacing w:line="240" w:lineRule="auto"/>
        <w:jc w:val="both"/>
        <w:rPr>
          <w:rFonts w:eastAsia="Times New Roman" w:cs="Times New Roman"/>
          <w:noProof/>
        </w:rPr>
      </w:pPr>
      <w:r>
        <w:rPr>
          <w:noProof/>
        </w:rPr>
        <w:t>N</w:t>
      </w:r>
      <w:r>
        <w:rPr>
          <w:noProof/>
        </w:rPr>
        <w:t>ach Artikel 24 Absatz 2 der Verordnung (EU) 2021/241 übermittelt Polen der Kommission nach Abschluss der einschlägigen vereinbarten Etappenziele und Zielwerte in Abschnitt 2.1 dieses Anhangs einen hinreichend begründeten Antrag auf Zahlung des Finanzbeitra</w:t>
      </w:r>
      <w:r>
        <w:rPr>
          <w:noProof/>
        </w:rPr>
        <w:t>gs und gegebenenfalls des Darlehens. Polen stellt sicher, dass die Kommission auf Antrag uneingeschränkten Zugang zu den zugrunde liegenden einschlägigen Daten hat, die die ordnungsgemäße Begründung des Zahlungsantrags stützen, und zwar sowohl für die Bewe</w:t>
      </w:r>
      <w:r>
        <w:rPr>
          <w:noProof/>
        </w:rPr>
        <w:t>rtung des Zahlungsantrags gemäß Artikel 24 Absatz 3 der Verordnung (EU) 2021/241 als auch für Prüfungs- und Kontrollzwecke.</w:t>
      </w:r>
    </w:p>
    <w:sectPr w:rsidR="00EB245A">
      <w:headerReference w:type="even" r:id="rId187"/>
      <w:headerReference w:type="default" r:id="rId188"/>
      <w:footerReference w:type="even" r:id="rId189"/>
      <w:footerReference w:type="default" r:id="rId190"/>
      <w:headerReference w:type="first" r:id="rId191"/>
      <w:footerReference w:type="first" r:id="rId192"/>
      <w:pgSz w:w="11907" w:h="16839"/>
      <w:pgMar w:top="1134" w:right="1134" w:bottom="1134"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6045F" w14:textId="77777777" w:rsidR="00C75078" w:rsidRDefault="00C75078">
      <w:pPr>
        <w:spacing w:after="0" w:line="240" w:lineRule="auto"/>
      </w:pPr>
      <w:r>
        <w:separator/>
      </w:r>
    </w:p>
  </w:endnote>
  <w:endnote w:type="continuationSeparator" w:id="0">
    <w:p w14:paraId="206A7CF9" w14:textId="77777777" w:rsidR="00C75078" w:rsidRDefault="00C75078">
      <w:pPr>
        <w:spacing w:after="0" w:line="240" w:lineRule="auto"/>
      </w:pPr>
      <w:r>
        <w:continuationSeparator/>
      </w:r>
    </w:p>
  </w:endnote>
  <w:endnote w:type="continuationNotice" w:id="1">
    <w:p w14:paraId="005959F4" w14:textId="77777777" w:rsidR="00C75078" w:rsidRDefault="00C750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26513" w14:textId="0ABC4A54" w:rsidR="006021EE" w:rsidRPr="006021EE" w:rsidRDefault="006021EE" w:rsidP="006021EE">
    <w:pPr>
      <w:pStyle w:val="FooterCoverPage"/>
      <w:rPr>
        <w:rFonts w:ascii="Arial" w:hAnsi="Arial" w:cs="Arial"/>
        <w:b/>
        <w:sz w:val="48"/>
      </w:rPr>
    </w:pPr>
    <w:r w:rsidRPr="006021EE">
      <w:rPr>
        <w:rFonts w:ascii="Arial" w:hAnsi="Arial" w:cs="Arial"/>
        <w:b/>
        <w:sz w:val="48"/>
      </w:rPr>
      <w:t>DE</w:t>
    </w:r>
    <w:r w:rsidRPr="006021EE">
      <w:rPr>
        <w:rFonts w:ascii="Arial" w:hAnsi="Arial" w:cs="Arial"/>
        <w:b/>
        <w:sz w:val="48"/>
      </w:rPr>
      <w:tab/>
    </w:r>
    <w:r w:rsidRPr="006021EE">
      <w:rPr>
        <w:rFonts w:ascii="Arial" w:hAnsi="Arial" w:cs="Arial"/>
        <w:b/>
        <w:sz w:val="48"/>
      </w:rPr>
      <w:tab/>
    </w:r>
    <w:r w:rsidRPr="006021EE">
      <w:tab/>
    </w:r>
    <w:r w:rsidRPr="006021EE">
      <w:rPr>
        <w:rFonts w:ascii="Arial" w:hAnsi="Arial" w:cs="Arial"/>
        <w:b/>
        <w:sz w:val="48"/>
      </w:rPr>
      <w:t>DE</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08F9D" w14:textId="77777777" w:rsidR="00EB245A" w:rsidRDefault="00EB245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383915"/>
      <w:docPartObj>
        <w:docPartGallery w:val="Page Numbers (Bottom of Page)"/>
        <w:docPartUnique/>
      </w:docPartObj>
    </w:sdtPr>
    <w:sdtEndPr>
      <w:rPr>
        <w:noProof/>
      </w:rPr>
    </w:sdtEndPr>
    <w:sdtContent>
      <w:p w14:paraId="6481F594" w14:textId="0AE84702" w:rsidR="00EB245A" w:rsidRDefault="006021EE">
        <w:pPr>
          <w:pStyle w:val="Footer"/>
          <w:jc w:val="center"/>
        </w:pPr>
        <w:r>
          <w:fldChar w:fldCharType="begin"/>
        </w:r>
        <w:r>
          <w:instrText xml:space="preserve"> PAGE   \* MERGEFORMAT </w:instrText>
        </w:r>
        <w:r>
          <w:fldChar w:fldCharType="separate"/>
        </w:r>
        <w:r>
          <w:t>2</w:t>
        </w:r>
        <w:r>
          <w:fldChar w:fldCharType="end"/>
        </w:r>
      </w:p>
    </w:sdtContent>
  </w:sdt>
  <w:p w14:paraId="65342FDE" w14:textId="77777777" w:rsidR="00EB245A" w:rsidRDefault="00EB245A">
    <w:pPr>
      <w:pStyle w:val="FooterCouncil"/>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CED67" w14:textId="77777777" w:rsidR="00EB245A" w:rsidRDefault="00EB245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ED62B" w14:textId="77777777" w:rsidR="00EB245A" w:rsidRDefault="00EB245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251305"/>
      <w:docPartObj>
        <w:docPartGallery w:val="Page Numbers (Bottom of Page)"/>
        <w:docPartUnique/>
      </w:docPartObj>
    </w:sdtPr>
    <w:sdtEndPr>
      <w:rPr>
        <w:noProof/>
      </w:rPr>
    </w:sdtEndPr>
    <w:sdtContent>
      <w:p w14:paraId="6B496CBB" w14:textId="4145E3B8" w:rsidR="00EB245A" w:rsidRDefault="006021EE">
        <w:pPr>
          <w:pStyle w:val="Footer"/>
          <w:jc w:val="center"/>
        </w:pPr>
        <w:r>
          <w:fldChar w:fldCharType="begin"/>
        </w:r>
        <w:r>
          <w:instrText xml:space="preserve"> PAGE   \* MERGEFORMAT </w:instrText>
        </w:r>
        <w:r>
          <w:fldChar w:fldCharType="separate"/>
        </w:r>
        <w:r>
          <w:t>2</w:t>
        </w:r>
        <w:r>
          <w:fldChar w:fldCharType="end"/>
        </w:r>
      </w:p>
    </w:sdtContent>
  </w:sdt>
  <w:p w14:paraId="1B51A5C1" w14:textId="77777777" w:rsidR="00EB245A" w:rsidRDefault="00EB245A">
    <w:pPr>
      <w:pStyle w:val="FooterCouncil"/>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36A9B" w14:textId="77777777" w:rsidR="00EB245A" w:rsidRDefault="00EB245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9CF1D" w14:textId="77777777" w:rsidR="00EB245A" w:rsidRDefault="00EB245A">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209888"/>
      <w:docPartObj>
        <w:docPartGallery w:val="Page Numbers (Bottom of Page)"/>
        <w:docPartUnique/>
      </w:docPartObj>
    </w:sdtPr>
    <w:sdtEndPr>
      <w:rPr>
        <w:noProof/>
      </w:rPr>
    </w:sdtEndPr>
    <w:sdtContent>
      <w:p w14:paraId="249AB402" w14:textId="42C30BCB" w:rsidR="00EB245A" w:rsidRDefault="006021EE">
        <w:pPr>
          <w:pStyle w:val="Footer"/>
          <w:jc w:val="center"/>
        </w:pPr>
        <w:r>
          <w:fldChar w:fldCharType="begin"/>
        </w:r>
        <w:r>
          <w:instrText xml:space="preserve"> PAGE   \* MERGEFORMAT </w:instrText>
        </w:r>
        <w:r>
          <w:fldChar w:fldCharType="separate"/>
        </w:r>
        <w:r>
          <w:t>2</w:t>
        </w:r>
        <w:r>
          <w:fldChar w:fldCharType="end"/>
        </w:r>
      </w:p>
    </w:sdtContent>
  </w:sdt>
  <w:p w14:paraId="1CF7881D" w14:textId="77777777" w:rsidR="00EB245A" w:rsidRDefault="00EB245A">
    <w:pPr>
      <w:pStyle w:val="FooterCouncil"/>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816AE" w14:textId="77777777" w:rsidR="00EB245A" w:rsidRDefault="00EB245A">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52BA6" w14:textId="77777777" w:rsidR="00EB245A" w:rsidRDefault="00EB24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49580" w14:textId="66BBC5DA" w:rsidR="006021EE" w:rsidRPr="006021EE" w:rsidRDefault="006021EE" w:rsidP="006021EE">
    <w:pPr>
      <w:pStyle w:val="FooterCoverPage"/>
      <w:rPr>
        <w:rFonts w:ascii="Arial" w:hAnsi="Arial" w:cs="Arial"/>
        <w:b/>
        <w:sz w:val="48"/>
      </w:rPr>
    </w:pPr>
    <w:r w:rsidRPr="006021EE">
      <w:rPr>
        <w:rFonts w:ascii="Arial" w:hAnsi="Arial" w:cs="Arial"/>
        <w:b/>
        <w:sz w:val="48"/>
      </w:rPr>
      <w:t>DE</w:t>
    </w:r>
    <w:r w:rsidRPr="006021EE">
      <w:rPr>
        <w:rFonts w:ascii="Arial" w:hAnsi="Arial" w:cs="Arial"/>
        <w:b/>
        <w:sz w:val="48"/>
      </w:rPr>
      <w:tab/>
    </w:r>
    <w:r w:rsidRPr="006021EE">
      <w:rPr>
        <w:rFonts w:ascii="Arial" w:hAnsi="Arial" w:cs="Arial"/>
        <w:b/>
        <w:sz w:val="48"/>
      </w:rPr>
      <w:tab/>
    </w:r>
    <w:r w:rsidRPr="006021EE">
      <w:tab/>
    </w:r>
    <w:r w:rsidRPr="006021EE">
      <w:rPr>
        <w:rFonts w:ascii="Arial" w:hAnsi="Arial" w:cs="Arial"/>
        <w:b/>
        <w:sz w:val="48"/>
      </w:rPr>
      <w:t>DE</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437001"/>
      <w:docPartObj>
        <w:docPartGallery w:val="Page Numbers (Bottom of Page)"/>
        <w:docPartUnique/>
      </w:docPartObj>
    </w:sdtPr>
    <w:sdtEndPr>
      <w:rPr>
        <w:noProof/>
      </w:rPr>
    </w:sdtEndPr>
    <w:sdtContent>
      <w:p w14:paraId="4A7E1548" w14:textId="5D87FE34" w:rsidR="00EB245A" w:rsidRDefault="006021EE">
        <w:pPr>
          <w:pStyle w:val="Footer"/>
          <w:jc w:val="center"/>
        </w:pPr>
        <w:r>
          <w:fldChar w:fldCharType="begin"/>
        </w:r>
        <w:r>
          <w:instrText xml:space="preserve"> PAGE   \* MERGEFORMAT </w:instrText>
        </w:r>
        <w:r>
          <w:fldChar w:fldCharType="separate"/>
        </w:r>
        <w:r>
          <w:t>2</w:t>
        </w:r>
        <w:r>
          <w:fldChar w:fldCharType="end"/>
        </w:r>
      </w:p>
    </w:sdtContent>
  </w:sdt>
  <w:p w14:paraId="2005C50F" w14:textId="77777777" w:rsidR="00EB245A" w:rsidRDefault="00EB245A">
    <w:pPr>
      <w:pStyle w:val="FooterCouncil"/>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A7268" w14:textId="77777777" w:rsidR="00EB245A" w:rsidRDefault="00EB245A">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BF58C" w14:textId="77777777" w:rsidR="00EB245A" w:rsidRDefault="00EB245A">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375795"/>
      <w:docPartObj>
        <w:docPartGallery w:val="Page Numbers (Bottom of Page)"/>
        <w:docPartUnique/>
      </w:docPartObj>
    </w:sdtPr>
    <w:sdtEndPr>
      <w:rPr>
        <w:noProof/>
      </w:rPr>
    </w:sdtEndPr>
    <w:sdtContent>
      <w:p w14:paraId="34F0D84F" w14:textId="3493C447" w:rsidR="00EB245A" w:rsidRDefault="006021EE">
        <w:pPr>
          <w:pStyle w:val="Footer"/>
          <w:jc w:val="center"/>
        </w:pPr>
        <w:r>
          <w:fldChar w:fldCharType="begin"/>
        </w:r>
        <w:r>
          <w:instrText xml:space="preserve"> PAGE   \* MERGEFORMAT </w:instrText>
        </w:r>
        <w:r>
          <w:fldChar w:fldCharType="separate"/>
        </w:r>
        <w:r>
          <w:t>2</w:t>
        </w:r>
        <w:r>
          <w:fldChar w:fldCharType="end"/>
        </w:r>
      </w:p>
    </w:sdtContent>
  </w:sdt>
  <w:p w14:paraId="34AB85AB" w14:textId="77777777" w:rsidR="00EB245A" w:rsidRDefault="00EB245A">
    <w:pPr>
      <w:pStyle w:val="FooterCouncil"/>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A2604" w14:textId="77777777" w:rsidR="00EB245A" w:rsidRDefault="00EB245A">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76C7C" w14:textId="77777777" w:rsidR="00EB245A" w:rsidRDefault="00EB245A">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310802"/>
      <w:docPartObj>
        <w:docPartGallery w:val="Page Numbers (Bottom of Page)"/>
        <w:docPartUnique/>
      </w:docPartObj>
    </w:sdtPr>
    <w:sdtEndPr>
      <w:rPr>
        <w:noProof/>
      </w:rPr>
    </w:sdtEndPr>
    <w:sdtContent>
      <w:p w14:paraId="7DE73144" w14:textId="6A02090B" w:rsidR="00EB245A" w:rsidRDefault="006021EE">
        <w:pPr>
          <w:pStyle w:val="Footer"/>
          <w:jc w:val="center"/>
        </w:pPr>
        <w:r>
          <w:fldChar w:fldCharType="begin"/>
        </w:r>
        <w:r>
          <w:instrText xml:space="preserve"> PAGE   \* MERGEFORMAT </w:instrText>
        </w:r>
        <w:r>
          <w:fldChar w:fldCharType="separate"/>
        </w:r>
        <w:r>
          <w:t>2</w:t>
        </w:r>
        <w:r>
          <w:fldChar w:fldCharType="end"/>
        </w:r>
      </w:p>
    </w:sdtContent>
  </w:sdt>
  <w:p w14:paraId="1B086DCC" w14:textId="77777777" w:rsidR="00EB245A" w:rsidRDefault="00EB245A">
    <w:pPr>
      <w:pStyle w:val="FooterCouncil"/>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F7D4A" w14:textId="77777777" w:rsidR="00EB245A" w:rsidRDefault="00EB245A">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6F150" w14:textId="77777777" w:rsidR="00EB245A" w:rsidRDefault="00EB245A">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136899"/>
      <w:docPartObj>
        <w:docPartGallery w:val="Page Numbers (Bottom of Page)"/>
        <w:docPartUnique/>
      </w:docPartObj>
    </w:sdtPr>
    <w:sdtEndPr>
      <w:rPr>
        <w:noProof/>
      </w:rPr>
    </w:sdtEndPr>
    <w:sdtContent>
      <w:p w14:paraId="2F98DCA1" w14:textId="7EFFEF1B" w:rsidR="00EB245A" w:rsidRDefault="006021EE">
        <w:pPr>
          <w:pStyle w:val="Footer"/>
          <w:jc w:val="center"/>
        </w:pPr>
        <w:r>
          <w:fldChar w:fldCharType="begin"/>
        </w:r>
        <w:r>
          <w:instrText xml:space="preserve"> PAGE   \* MERGEFORMAT </w:instrText>
        </w:r>
        <w:r>
          <w:fldChar w:fldCharType="separate"/>
        </w:r>
        <w:r>
          <w:t>2</w:t>
        </w:r>
        <w:r>
          <w:fldChar w:fldCharType="end"/>
        </w:r>
      </w:p>
    </w:sdtContent>
  </w:sdt>
  <w:p w14:paraId="63A5ED8B" w14:textId="77777777" w:rsidR="00EB245A" w:rsidRDefault="00EB245A">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E7888" w14:textId="77777777" w:rsidR="006021EE" w:rsidRPr="006021EE" w:rsidRDefault="006021EE" w:rsidP="006021EE">
    <w:pPr>
      <w:pStyle w:val="FooterCoverPage"/>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93745" w14:textId="77777777" w:rsidR="00EB245A" w:rsidRDefault="00EB245A">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8BA75" w14:textId="77777777" w:rsidR="00EB245A" w:rsidRDefault="00EB245A">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295467"/>
      <w:docPartObj>
        <w:docPartGallery w:val="Page Numbers (Bottom of Page)"/>
        <w:docPartUnique/>
      </w:docPartObj>
    </w:sdtPr>
    <w:sdtEndPr>
      <w:rPr>
        <w:noProof/>
      </w:rPr>
    </w:sdtEndPr>
    <w:sdtContent>
      <w:p w14:paraId="467A87F0" w14:textId="1A7F6254" w:rsidR="00EB245A" w:rsidRDefault="006021EE">
        <w:pPr>
          <w:pStyle w:val="Footer"/>
          <w:jc w:val="center"/>
        </w:pPr>
        <w:r>
          <w:fldChar w:fldCharType="begin"/>
        </w:r>
        <w:r>
          <w:instrText xml:space="preserve"> PAGE   \* MERGEFORMAT </w:instrText>
        </w:r>
        <w:r>
          <w:fldChar w:fldCharType="separate"/>
        </w:r>
        <w:r>
          <w:t>2</w:t>
        </w:r>
        <w:r>
          <w:fldChar w:fldCharType="end"/>
        </w:r>
      </w:p>
    </w:sdtContent>
  </w:sdt>
  <w:p w14:paraId="31194734" w14:textId="77777777" w:rsidR="00EB245A" w:rsidRDefault="00EB245A">
    <w:pPr>
      <w:pStyle w:val="FooterCouncil"/>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6E9D9" w14:textId="77777777" w:rsidR="00EB245A" w:rsidRDefault="00EB245A">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86A81" w14:textId="77777777" w:rsidR="00EB245A" w:rsidRDefault="00EB245A">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65195"/>
      <w:docPartObj>
        <w:docPartGallery w:val="Page Numbers (Bottom of Page)"/>
        <w:docPartUnique/>
      </w:docPartObj>
    </w:sdtPr>
    <w:sdtEndPr>
      <w:rPr>
        <w:noProof/>
      </w:rPr>
    </w:sdtEndPr>
    <w:sdtContent>
      <w:p w14:paraId="5560725E" w14:textId="06C2DC92" w:rsidR="00EB245A" w:rsidRDefault="006021EE">
        <w:pPr>
          <w:pStyle w:val="Footer"/>
          <w:jc w:val="center"/>
        </w:pPr>
        <w:r>
          <w:fldChar w:fldCharType="begin"/>
        </w:r>
        <w:r>
          <w:instrText xml:space="preserve"> PAGE   \* MERGEFORMAT </w:instrText>
        </w:r>
        <w:r>
          <w:fldChar w:fldCharType="separate"/>
        </w:r>
        <w:r>
          <w:t>2</w:t>
        </w:r>
        <w:r>
          <w:fldChar w:fldCharType="end"/>
        </w:r>
      </w:p>
    </w:sdtContent>
  </w:sdt>
  <w:p w14:paraId="645318C0" w14:textId="77777777" w:rsidR="00EB245A" w:rsidRDefault="00EB245A">
    <w:pPr>
      <w:pStyle w:val="FooterCouncil"/>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E7A80" w14:textId="77777777" w:rsidR="00EB245A" w:rsidRDefault="00EB245A">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B69A3" w14:textId="77777777" w:rsidR="00EB245A" w:rsidRDefault="00EB245A">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913685"/>
      <w:docPartObj>
        <w:docPartGallery w:val="Page Numbers (Bottom of Page)"/>
        <w:docPartUnique/>
      </w:docPartObj>
    </w:sdtPr>
    <w:sdtEndPr>
      <w:rPr>
        <w:noProof/>
      </w:rPr>
    </w:sdtEndPr>
    <w:sdtContent>
      <w:p w14:paraId="1E1F8355" w14:textId="23AC21F1" w:rsidR="00EB245A" w:rsidRDefault="006021EE">
        <w:pPr>
          <w:pStyle w:val="Footer"/>
          <w:jc w:val="center"/>
        </w:pPr>
        <w:r>
          <w:fldChar w:fldCharType="begin"/>
        </w:r>
        <w:r>
          <w:instrText xml:space="preserve"> PAGE   \* MERGEFORMAT </w:instrText>
        </w:r>
        <w:r>
          <w:fldChar w:fldCharType="separate"/>
        </w:r>
        <w:r>
          <w:t>2</w:t>
        </w:r>
        <w:r>
          <w:fldChar w:fldCharType="end"/>
        </w:r>
      </w:p>
    </w:sdtContent>
  </w:sdt>
  <w:p w14:paraId="7D35F879" w14:textId="77777777" w:rsidR="00EB245A" w:rsidRDefault="00EB245A">
    <w:pPr>
      <w:pStyle w:val="FooterCouncil"/>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38875" w14:textId="77777777" w:rsidR="00EB245A" w:rsidRDefault="00EB24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A783A" w14:textId="77777777" w:rsidR="00EB245A" w:rsidRDefault="00EB245A">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53FC6" w14:textId="77777777" w:rsidR="00EB245A" w:rsidRDefault="00EB245A">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168667"/>
      <w:docPartObj>
        <w:docPartGallery w:val="Page Numbers (Bottom of Page)"/>
        <w:docPartUnique/>
      </w:docPartObj>
    </w:sdtPr>
    <w:sdtEndPr>
      <w:rPr>
        <w:noProof/>
      </w:rPr>
    </w:sdtEndPr>
    <w:sdtContent>
      <w:p w14:paraId="1982B565" w14:textId="3D8E415F" w:rsidR="00EB245A" w:rsidRDefault="006021EE">
        <w:pPr>
          <w:pStyle w:val="Footer"/>
          <w:jc w:val="center"/>
        </w:pPr>
        <w:r>
          <w:fldChar w:fldCharType="begin"/>
        </w:r>
        <w:r>
          <w:instrText xml:space="preserve"> PAGE   \* MERGEFORMAT </w:instrText>
        </w:r>
        <w:r>
          <w:fldChar w:fldCharType="separate"/>
        </w:r>
        <w:r>
          <w:t>2</w:t>
        </w:r>
        <w:r>
          <w:fldChar w:fldCharType="end"/>
        </w:r>
      </w:p>
    </w:sdtContent>
  </w:sdt>
  <w:p w14:paraId="518F66A9" w14:textId="77777777" w:rsidR="00EB245A" w:rsidRDefault="00EB245A">
    <w:pPr>
      <w:pStyle w:val="FooterCouncil"/>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80729" w14:textId="77777777" w:rsidR="00EB245A" w:rsidRDefault="00EB245A">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8DC78" w14:textId="77777777" w:rsidR="00EB245A" w:rsidRDefault="00EB245A">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109412"/>
      <w:docPartObj>
        <w:docPartGallery w:val="Page Numbers (Bottom of Page)"/>
        <w:docPartUnique/>
      </w:docPartObj>
    </w:sdtPr>
    <w:sdtEndPr>
      <w:rPr>
        <w:noProof/>
      </w:rPr>
    </w:sdtEndPr>
    <w:sdtContent>
      <w:p w14:paraId="2DCE1F4D" w14:textId="1606C776" w:rsidR="00EB245A" w:rsidRDefault="006021EE">
        <w:pPr>
          <w:pStyle w:val="Footer"/>
          <w:jc w:val="center"/>
        </w:pPr>
        <w:r>
          <w:fldChar w:fldCharType="begin"/>
        </w:r>
        <w:r>
          <w:instrText xml:space="preserve"> PAGE   \* MERGEFORMAT </w:instrText>
        </w:r>
        <w:r>
          <w:fldChar w:fldCharType="separate"/>
        </w:r>
        <w:r>
          <w:t>2</w:t>
        </w:r>
        <w:r>
          <w:fldChar w:fldCharType="end"/>
        </w:r>
      </w:p>
    </w:sdtContent>
  </w:sdt>
  <w:p w14:paraId="76AFDCA3" w14:textId="77777777" w:rsidR="00EB245A" w:rsidRDefault="00EB245A">
    <w:pPr>
      <w:pStyle w:val="FooterCouncil"/>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9664E" w14:textId="77777777" w:rsidR="00EB245A" w:rsidRDefault="00EB245A">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E47C2" w14:textId="77777777" w:rsidR="00EB245A" w:rsidRDefault="00EB245A">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390126"/>
      <w:docPartObj>
        <w:docPartGallery w:val="Page Numbers (Bottom of Page)"/>
        <w:docPartUnique/>
      </w:docPartObj>
    </w:sdtPr>
    <w:sdtEndPr>
      <w:rPr>
        <w:noProof/>
      </w:rPr>
    </w:sdtEndPr>
    <w:sdtContent>
      <w:p w14:paraId="5EFE2707" w14:textId="50AD4387" w:rsidR="00EB245A" w:rsidRDefault="006021EE">
        <w:pPr>
          <w:pStyle w:val="Footer"/>
          <w:jc w:val="center"/>
        </w:pPr>
        <w:r>
          <w:fldChar w:fldCharType="begin"/>
        </w:r>
        <w:r>
          <w:instrText xml:space="preserve"> PAGE   \* MERGEFORMAT </w:instrText>
        </w:r>
        <w:r>
          <w:fldChar w:fldCharType="separate"/>
        </w:r>
        <w:r>
          <w:t>2</w:t>
        </w:r>
        <w:r>
          <w:fldChar w:fldCharType="end"/>
        </w:r>
      </w:p>
    </w:sdtContent>
  </w:sdt>
  <w:p w14:paraId="6A44B286" w14:textId="77777777" w:rsidR="00EB245A" w:rsidRDefault="00EB245A">
    <w:pPr>
      <w:pStyle w:val="FooterCouncil"/>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7C88" w14:textId="77777777" w:rsidR="00EB245A" w:rsidRDefault="00EB245A">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BE600" w14:textId="77777777" w:rsidR="00EB245A" w:rsidRDefault="00EB245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064247"/>
      <w:docPartObj>
        <w:docPartGallery w:val="Page Numbers (Bottom of Page)"/>
        <w:docPartUnique/>
      </w:docPartObj>
    </w:sdtPr>
    <w:sdtEndPr>
      <w:rPr>
        <w:noProof/>
      </w:rPr>
    </w:sdtEndPr>
    <w:sdtContent>
      <w:p w14:paraId="3EF85C4D" w14:textId="38E04462" w:rsidR="00EB245A" w:rsidRDefault="006021EE">
        <w:pPr>
          <w:pStyle w:val="Footer"/>
          <w:jc w:val="center"/>
        </w:pPr>
        <w:r>
          <w:fldChar w:fldCharType="begin"/>
        </w:r>
        <w:r>
          <w:instrText xml:space="preserve"> PAGE   \* MERGEFORMAT </w:instrText>
        </w:r>
        <w:r>
          <w:fldChar w:fldCharType="separate"/>
        </w:r>
        <w:r>
          <w:rPr>
            <w:noProof/>
          </w:rPr>
          <w:t>1</w:t>
        </w:r>
        <w:r>
          <w:fldChar w:fldCharType="end"/>
        </w:r>
      </w:p>
    </w:sdtContent>
  </w:sdt>
  <w:p w14:paraId="17A52FB6" w14:textId="77777777" w:rsidR="00EB245A" w:rsidRDefault="00EB245A">
    <w:pPr>
      <w:pStyle w:val="FooterCouncil"/>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315111"/>
      <w:docPartObj>
        <w:docPartGallery w:val="Page Numbers (Bottom of Page)"/>
        <w:docPartUnique/>
      </w:docPartObj>
    </w:sdtPr>
    <w:sdtEndPr>
      <w:rPr>
        <w:noProof/>
      </w:rPr>
    </w:sdtEndPr>
    <w:sdtContent>
      <w:p w14:paraId="5C2965D0" w14:textId="2BBB5874" w:rsidR="00EB245A" w:rsidRDefault="006021EE">
        <w:pPr>
          <w:pStyle w:val="Footer"/>
          <w:jc w:val="center"/>
        </w:pPr>
        <w:r>
          <w:fldChar w:fldCharType="begin"/>
        </w:r>
        <w:r>
          <w:instrText xml:space="preserve"> PAGE   \* MERGEFORMAT </w:instrText>
        </w:r>
        <w:r>
          <w:fldChar w:fldCharType="separate"/>
        </w:r>
        <w:r>
          <w:t>2</w:t>
        </w:r>
        <w:r>
          <w:fldChar w:fldCharType="end"/>
        </w:r>
      </w:p>
    </w:sdtContent>
  </w:sdt>
  <w:p w14:paraId="353830B0" w14:textId="77777777" w:rsidR="00EB245A" w:rsidRDefault="00EB245A">
    <w:pPr>
      <w:pStyle w:val="FooterCouncil"/>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85D32" w14:textId="77777777" w:rsidR="00EB245A" w:rsidRDefault="00EB245A">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03EDE" w14:textId="77777777" w:rsidR="00EB245A" w:rsidRDefault="00EB245A">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3107142"/>
      <w:docPartObj>
        <w:docPartGallery w:val="Page Numbers (Bottom of Page)"/>
        <w:docPartUnique/>
      </w:docPartObj>
    </w:sdtPr>
    <w:sdtEndPr>
      <w:rPr>
        <w:noProof/>
      </w:rPr>
    </w:sdtEndPr>
    <w:sdtContent>
      <w:p w14:paraId="3076283B" w14:textId="60B371C4" w:rsidR="00EB245A" w:rsidRDefault="006021EE">
        <w:pPr>
          <w:pStyle w:val="Footer"/>
          <w:jc w:val="center"/>
        </w:pPr>
        <w:r>
          <w:fldChar w:fldCharType="begin"/>
        </w:r>
        <w:r>
          <w:instrText xml:space="preserve"> PAGE   \* MERGEFORMAT </w:instrText>
        </w:r>
        <w:r>
          <w:fldChar w:fldCharType="separate"/>
        </w:r>
        <w:r>
          <w:t>2</w:t>
        </w:r>
        <w:r>
          <w:fldChar w:fldCharType="end"/>
        </w:r>
      </w:p>
    </w:sdtContent>
  </w:sdt>
  <w:p w14:paraId="5BB42394" w14:textId="77777777" w:rsidR="00EB245A" w:rsidRDefault="00EB245A">
    <w:pPr>
      <w:pStyle w:val="FooterCouncil"/>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1CA98" w14:textId="77777777" w:rsidR="00EB245A" w:rsidRDefault="00EB245A">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CC4CD" w14:textId="77777777" w:rsidR="00EB245A" w:rsidRDefault="00EB245A">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197314"/>
      <w:docPartObj>
        <w:docPartGallery w:val="Page Numbers (Bottom of Page)"/>
        <w:docPartUnique/>
      </w:docPartObj>
    </w:sdtPr>
    <w:sdtEndPr>
      <w:rPr>
        <w:noProof/>
      </w:rPr>
    </w:sdtEndPr>
    <w:sdtContent>
      <w:p w14:paraId="19033D25" w14:textId="1DF9ABFF" w:rsidR="00EB245A" w:rsidRDefault="006021EE">
        <w:pPr>
          <w:pStyle w:val="Footer"/>
          <w:jc w:val="center"/>
        </w:pPr>
        <w:r>
          <w:fldChar w:fldCharType="begin"/>
        </w:r>
        <w:r>
          <w:instrText xml:space="preserve"> PAGE   \* MERGEFORMAT </w:instrText>
        </w:r>
        <w:r>
          <w:fldChar w:fldCharType="separate"/>
        </w:r>
        <w:r>
          <w:t>2</w:t>
        </w:r>
        <w:r>
          <w:fldChar w:fldCharType="end"/>
        </w:r>
      </w:p>
    </w:sdtContent>
  </w:sdt>
  <w:p w14:paraId="387E6FF9" w14:textId="77777777" w:rsidR="00EB245A" w:rsidRDefault="00EB245A">
    <w:pPr>
      <w:pStyle w:val="FooterCouncil"/>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8F9AD" w14:textId="77777777" w:rsidR="00EB245A" w:rsidRDefault="00EB245A">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54643" w14:textId="77777777" w:rsidR="00EB245A" w:rsidRDefault="00EB245A">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77514"/>
      <w:docPartObj>
        <w:docPartGallery w:val="Page Numbers (Bottom of Page)"/>
        <w:docPartUnique/>
      </w:docPartObj>
    </w:sdtPr>
    <w:sdtEndPr>
      <w:rPr>
        <w:noProof/>
      </w:rPr>
    </w:sdtEndPr>
    <w:sdtContent>
      <w:p w14:paraId="140A6795" w14:textId="580BBD09" w:rsidR="00EB245A" w:rsidRDefault="006021EE">
        <w:pPr>
          <w:pStyle w:val="Footer"/>
          <w:jc w:val="center"/>
        </w:pPr>
        <w:r>
          <w:fldChar w:fldCharType="begin"/>
        </w:r>
        <w:r>
          <w:instrText xml:space="preserve"> PAGE   \* MERGEFORMAT </w:instrText>
        </w:r>
        <w:r>
          <w:fldChar w:fldCharType="separate"/>
        </w:r>
        <w:r>
          <w:t>2</w:t>
        </w:r>
        <w:r>
          <w:fldChar w:fldCharType="end"/>
        </w:r>
      </w:p>
    </w:sdtContent>
  </w:sdt>
  <w:p w14:paraId="10447CCD" w14:textId="77777777" w:rsidR="00EB245A" w:rsidRDefault="00EB245A">
    <w:pPr>
      <w:pStyle w:val="FooterCouncil"/>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68E78" w14:textId="77777777" w:rsidR="00EB245A" w:rsidRDefault="00EB245A">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3568E" w14:textId="77777777" w:rsidR="00EB245A" w:rsidRDefault="00EB245A">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23B45" w14:textId="77777777" w:rsidR="00EB245A" w:rsidRDefault="00EB245A">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692078"/>
      <w:docPartObj>
        <w:docPartGallery w:val="Page Numbers (Bottom of Page)"/>
        <w:docPartUnique/>
      </w:docPartObj>
    </w:sdtPr>
    <w:sdtEndPr>
      <w:rPr>
        <w:noProof/>
      </w:rPr>
    </w:sdtEndPr>
    <w:sdtContent>
      <w:p w14:paraId="1897F98D" w14:textId="328A44B3" w:rsidR="00EB245A" w:rsidRDefault="006021EE">
        <w:pPr>
          <w:pStyle w:val="Footer"/>
          <w:jc w:val="center"/>
        </w:pPr>
        <w:r>
          <w:fldChar w:fldCharType="begin"/>
        </w:r>
        <w:r>
          <w:instrText xml:space="preserve"> PAGE   \* MERGEFORMAT </w:instrText>
        </w:r>
        <w:r>
          <w:fldChar w:fldCharType="separate"/>
        </w:r>
        <w:r>
          <w:t>2</w:t>
        </w:r>
        <w:r>
          <w:fldChar w:fldCharType="end"/>
        </w:r>
      </w:p>
    </w:sdtContent>
  </w:sdt>
  <w:p w14:paraId="0A9745AA" w14:textId="77777777" w:rsidR="00EB245A" w:rsidRDefault="00EB245A">
    <w:pPr>
      <w:pStyle w:val="FooterCouncil"/>
    </w:pP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6F7AA" w14:textId="77777777" w:rsidR="00EB245A" w:rsidRDefault="00EB245A">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C30FB" w14:textId="77777777" w:rsidR="00EB245A" w:rsidRDefault="00EB245A">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600707"/>
      <w:docPartObj>
        <w:docPartGallery w:val="Page Numbers (Bottom of Page)"/>
        <w:docPartUnique/>
      </w:docPartObj>
    </w:sdtPr>
    <w:sdtEndPr>
      <w:rPr>
        <w:noProof/>
      </w:rPr>
    </w:sdtEndPr>
    <w:sdtContent>
      <w:p w14:paraId="1C8E7045" w14:textId="42146F8D" w:rsidR="00EB245A" w:rsidRDefault="006021EE">
        <w:pPr>
          <w:pStyle w:val="Footer"/>
          <w:jc w:val="center"/>
        </w:pPr>
        <w:r>
          <w:fldChar w:fldCharType="begin"/>
        </w:r>
        <w:r>
          <w:instrText xml:space="preserve"> PAGE   \* MERGEFORMAT </w:instrText>
        </w:r>
        <w:r>
          <w:fldChar w:fldCharType="separate"/>
        </w:r>
        <w:r>
          <w:t>2</w:t>
        </w:r>
        <w:r>
          <w:fldChar w:fldCharType="end"/>
        </w:r>
      </w:p>
    </w:sdtContent>
  </w:sdt>
  <w:p w14:paraId="1BEBEA7C" w14:textId="77777777" w:rsidR="00EB245A" w:rsidRDefault="00EB245A">
    <w:pPr>
      <w:pStyle w:val="FooterCouncil"/>
    </w:pP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AA0AC" w14:textId="77777777" w:rsidR="00EB245A" w:rsidRDefault="00EB245A">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CCBB3" w14:textId="77777777" w:rsidR="00EB245A" w:rsidRDefault="00EB245A">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098876"/>
      <w:docPartObj>
        <w:docPartGallery w:val="Page Numbers (Bottom of Page)"/>
        <w:docPartUnique/>
      </w:docPartObj>
    </w:sdtPr>
    <w:sdtEndPr>
      <w:rPr>
        <w:noProof/>
      </w:rPr>
    </w:sdtEndPr>
    <w:sdtContent>
      <w:p w14:paraId="7F5846DB" w14:textId="01E2D9CC" w:rsidR="00EB245A" w:rsidRDefault="006021EE">
        <w:pPr>
          <w:pStyle w:val="Footer"/>
          <w:jc w:val="center"/>
        </w:pPr>
        <w:r>
          <w:fldChar w:fldCharType="begin"/>
        </w:r>
        <w:r>
          <w:instrText xml:space="preserve"> PAGE   \* MERGEFORMAT </w:instrText>
        </w:r>
        <w:r>
          <w:fldChar w:fldCharType="separate"/>
        </w:r>
        <w:r>
          <w:t>2</w:t>
        </w:r>
        <w:r>
          <w:fldChar w:fldCharType="end"/>
        </w:r>
      </w:p>
    </w:sdtContent>
  </w:sdt>
  <w:p w14:paraId="03029F9C" w14:textId="77777777" w:rsidR="00EB245A" w:rsidRDefault="00EB245A">
    <w:pPr>
      <w:pStyle w:val="Footer"/>
    </w:pP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ACB7F" w14:textId="77777777" w:rsidR="00EB245A" w:rsidRDefault="00EB245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C11DD" w14:textId="77777777" w:rsidR="00EB245A" w:rsidRDefault="00EB245A">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CA522" w14:textId="77777777" w:rsidR="00EB245A" w:rsidRDefault="00EB245A">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637138"/>
      <w:docPartObj>
        <w:docPartGallery w:val="Page Numbers (Bottom of Page)"/>
        <w:docPartUnique/>
      </w:docPartObj>
    </w:sdtPr>
    <w:sdtEndPr>
      <w:rPr>
        <w:noProof/>
      </w:rPr>
    </w:sdtEndPr>
    <w:sdtContent>
      <w:p w14:paraId="7B4C72FC" w14:textId="0A54B83E" w:rsidR="00EB245A" w:rsidRDefault="006021EE">
        <w:pPr>
          <w:pStyle w:val="Footer"/>
          <w:jc w:val="center"/>
        </w:pPr>
        <w:r>
          <w:fldChar w:fldCharType="begin"/>
        </w:r>
        <w:r>
          <w:instrText xml:space="preserve"> PAGE   \* MERGEFORMAT </w:instrText>
        </w:r>
        <w:r>
          <w:fldChar w:fldCharType="separate"/>
        </w:r>
        <w:r>
          <w:t>2</w:t>
        </w:r>
        <w:r>
          <w:fldChar w:fldCharType="end"/>
        </w:r>
      </w:p>
    </w:sdtContent>
  </w:sdt>
  <w:p w14:paraId="2FD9B25C" w14:textId="77777777" w:rsidR="00EB245A" w:rsidRDefault="00EB245A">
    <w:pPr>
      <w:pStyle w:val="FooterCouncil"/>
    </w:pP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E1F8D" w14:textId="77777777" w:rsidR="00EB245A" w:rsidRDefault="00EB245A">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34A15" w14:textId="77777777" w:rsidR="00EB245A" w:rsidRDefault="00EB245A">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452247"/>
      <w:docPartObj>
        <w:docPartGallery w:val="Page Numbers (Bottom of Page)"/>
        <w:docPartUnique/>
      </w:docPartObj>
    </w:sdtPr>
    <w:sdtEndPr>
      <w:rPr>
        <w:noProof/>
      </w:rPr>
    </w:sdtEndPr>
    <w:sdtContent>
      <w:p w14:paraId="793099C9" w14:textId="628D7E6F" w:rsidR="00EB245A" w:rsidRDefault="006021EE">
        <w:pPr>
          <w:pStyle w:val="Footer"/>
          <w:jc w:val="center"/>
        </w:pPr>
        <w:r>
          <w:fldChar w:fldCharType="begin"/>
        </w:r>
        <w:r>
          <w:instrText xml:space="preserve"> PAGE   \* MERGEFORMAT </w:instrText>
        </w:r>
        <w:r>
          <w:fldChar w:fldCharType="separate"/>
        </w:r>
        <w:r>
          <w:t>2</w:t>
        </w:r>
        <w:r>
          <w:fldChar w:fldCharType="end"/>
        </w:r>
      </w:p>
    </w:sdtContent>
  </w:sdt>
  <w:p w14:paraId="3338D4B6" w14:textId="77777777" w:rsidR="00EB245A" w:rsidRDefault="00EB245A">
    <w:pPr>
      <w:pStyle w:val="FooterCouncil"/>
    </w:pP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83F18" w14:textId="77777777" w:rsidR="00EB245A" w:rsidRDefault="00EB245A">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6326A" w14:textId="77777777" w:rsidR="00EB245A" w:rsidRDefault="00EB245A">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004546"/>
      <w:docPartObj>
        <w:docPartGallery w:val="Page Numbers (Bottom of Page)"/>
        <w:docPartUnique/>
      </w:docPartObj>
    </w:sdtPr>
    <w:sdtEndPr>
      <w:rPr>
        <w:noProof/>
      </w:rPr>
    </w:sdtEndPr>
    <w:sdtContent>
      <w:p w14:paraId="4E2639A4" w14:textId="5F4B2288" w:rsidR="00EB245A" w:rsidRDefault="006021EE">
        <w:pPr>
          <w:pStyle w:val="Footer"/>
          <w:jc w:val="center"/>
        </w:pPr>
        <w:r>
          <w:fldChar w:fldCharType="begin"/>
        </w:r>
        <w:r>
          <w:instrText xml:space="preserve"> PAGE   \* MERGEFORMAT </w:instrText>
        </w:r>
        <w:r>
          <w:fldChar w:fldCharType="separate"/>
        </w:r>
        <w:r>
          <w:t>2</w:t>
        </w:r>
        <w:r>
          <w:fldChar w:fldCharType="end"/>
        </w:r>
      </w:p>
    </w:sdtContent>
  </w:sdt>
  <w:p w14:paraId="48F98027" w14:textId="77777777" w:rsidR="00EB245A" w:rsidRDefault="00EB245A">
    <w:pPr>
      <w:pStyle w:val="FooterCouncil"/>
    </w:pP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A9198" w14:textId="77777777" w:rsidR="00EB245A" w:rsidRDefault="00EB245A">
    <w:pPr>
      <w:pStyle w:val="Footer"/>
    </w:pP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17C0B" w14:textId="77777777" w:rsidR="00EB245A" w:rsidRDefault="00EB245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259655"/>
      <w:docPartObj>
        <w:docPartGallery w:val="Page Numbers (Bottom of Page)"/>
        <w:docPartUnique/>
      </w:docPartObj>
    </w:sdtPr>
    <w:sdtEndPr>
      <w:rPr>
        <w:noProof/>
      </w:rPr>
    </w:sdtEndPr>
    <w:sdtContent>
      <w:p w14:paraId="392A514B" w14:textId="47349169" w:rsidR="00EB245A" w:rsidRDefault="006021EE">
        <w:pPr>
          <w:pStyle w:val="Footer"/>
          <w:jc w:val="center"/>
        </w:pPr>
        <w:r>
          <w:fldChar w:fldCharType="begin"/>
        </w:r>
        <w:r>
          <w:instrText xml:space="preserve"> PAGE   \* MERGEFORMAT </w:instrText>
        </w:r>
        <w:r>
          <w:fldChar w:fldCharType="separate"/>
        </w:r>
        <w:r w:rsidR="00FE505A">
          <w:rPr>
            <w:noProof/>
          </w:rPr>
          <w:t>23</w:t>
        </w:r>
        <w:r>
          <w:fldChar w:fldCharType="end"/>
        </w:r>
      </w:p>
    </w:sdtContent>
  </w:sdt>
  <w:p w14:paraId="325F3311" w14:textId="77777777" w:rsidR="00EB245A" w:rsidRDefault="00EB245A">
    <w:pPr>
      <w:pStyle w:val="FooterCouncil"/>
    </w:pP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790453"/>
      <w:docPartObj>
        <w:docPartGallery w:val="Page Numbers (Bottom of Page)"/>
        <w:docPartUnique/>
      </w:docPartObj>
    </w:sdtPr>
    <w:sdtEndPr>
      <w:rPr>
        <w:noProof/>
      </w:rPr>
    </w:sdtEndPr>
    <w:sdtContent>
      <w:p w14:paraId="5E5088BA" w14:textId="064E9719" w:rsidR="00EB245A" w:rsidRDefault="006021EE">
        <w:pPr>
          <w:pStyle w:val="Footer"/>
          <w:jc w:val="center"/>
        </w:pPr>
        <w:r>
          <w:fldChar w:fldCharType="begin"/>
        </w:r>
        <w:r>
          <w:instrText xml:space="preserve"> PAGE   \* MERGEFORMAT </w:instrText>
        </w:r>
        <w:r>
          <w:fldChar w:fldCharType="separate"/>
        </w:r>
        <w:r>
          <w:t>2</w:t>
        </w:r>
        <w:r>
          <w:fldChar w:fldCharType="end"/>
        </w:r>
      </w:p>
    </w:sdtContent>
  </w:sdt>
  <w:p w14:paraId="34B54C8C" w14:textId="77777777" w:rsidR="00EB245A" w:rsidRDefault="00EB245A">
    <w:pPr>
      <w:pStyle w:val="FooterCouncil"/>
    </w:pP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34F0E" w14:textId="77777777" w:rsidR="00EB245A" w:rsidRDefault="00EB245A">
    <w:pPr>
      <w:pStyle w:val="Footer"/>
    </w:pP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19CCA" w14:textId="77777777" w:rsidR="00EB245A" w:rsidRDefault="00EB245A">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159334"/>
      <w:docPartObj>
        <w:docPartGallery w:val="Page Numbers (Bottom of Page)"/>
        <w:docPartUnique/>
      </w:docPartObj>
    </w:sdtPr>
    <w:sdtEndPr>
      <w:rPr>
        <w:noProof/>
      </w:rPr>
    </w:sdtEndPr>
    <w:sdtContent>
      <w:p w14:paraId="06074BA4" w14:textId="7C103EF4" w:rsidR="00EB245A" w:rsidRDefault="006021EE">
        <w:pPr>
          <w:pStyle w:val="Footer"/>
          <w:jc w:val="center"/>
        </w:pPr>
        <w:r>
          <w:fldChar w:fldCharType="begin"/>
        </w:r>
        <w:r>
          <w:instrText xml:space="preserve"> PAGE   \* MERGEFORMAT </w:instrText>
        </w:r>
        <w:r>
          <w:fldChar w:fldCharType="separate"/>
        </w:r>
        <w:r>
          <w:t>2</w:t>
        </w:r>
        <w:r>
          <w:fldChar w:fldCharType="end"/>
        </w:r>
      </w:p>
    </w:sdtContent>
  </w:sdt>
  <w:p w14:paraId="7ED08A45" w14:textId="77777777" w:rsidR="00EB245A" w:rsidRDefault="00EB245A">
    <w:pPr>
      <w:pStyle w:val="FooterCouncil"/>
    </w:pP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77543" w14:textId="77777777" w:rsidR="00EB245A" w:rsidRDefault="00EB245A">
    <w:pPr>
      <w:pStyle w:val="Footer"/>
    </w:pP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1E209" w14:textId="77777777" w:rsidR="00EB245A" w:rsidRDefault="00EB245A">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075751"/>
      <w:docPartObj>
        <w:docPartGallery w:val="Page Numbers (Bottom of Page)"/>
        <w:docPartUnique/>
      </w:docPartObj>
    </w:sdtPr>
    <w:sdtEndPr>
      <w:rPr>
        <w:noProof/>
      </w:rPr>
    </w:sdtEndPr>
    <w:sdtContent>
      <w:p w14:paraId="5E5B5585" w14:textId="61ACC861" w:rsidR="00EB245A" w:rsidRDefault="006021EE">
        <w:pPr>
          <w:pStyle w:val="Footer"/>
          <w:jc w:val="center"/>
        </w:pPr>
        <w:r>
          <w:fldChar w:fldCharType="begin"/>
        </w:r>
        <w:r>
          <w:instrText xml:space="preserve"> PAGE   \* MERGEFORMAT </w:instrText>
        </w:r>
        <w:r>
          <w:fldChar w:fldCharType="separate"/>
        </w:r>
        <w:r>
          <w:t>2</w:t>
        </w:r>
        <w:r>
          <w:fldChar w:fldCharType="end"/>
        </w:r>
      </w:p>
    </w:sdtContent>
  </w:sdt>
  <w:p w14:paraId="05A05E88" w14:textId="77777777" w:rsidR="00EB245A" w:rsidRDefault="00EB245A">
    <w:pPr>
      <w:pStyle w:val="FooterCouncil"/>
    </w:pP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D2BDB" w14:textId="77777777" w:rsidR="00EB245A" w:rsidRDefault="00EB245A">
    <w:pPr>
      <w:pStyle w:val="Footer"/>
    </w:pP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D18B9" w14:textId="77777777" w:rsidR="00EB245A" w:rsidRDefault="00EB245A">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6963738"/>
      <w:docPartObj>
        <w:docPartGallery w:val="Page Numbers (Bottom of Page)"/>
        <w:docPartUnique/>
      </w:docPartObj>
    </w:sdtPr>
    <w:sdtEndPr>
      <w:rPr>
        <w:noProof/>
      </w:rPr>
    </w:sdtEndPr>
    <w:sdtContent>
      <w:p w14:paraId="570A9BEC" w14:textId="67050BBC" w:rsidR="00EB245A" w:rsidRDefault="006021EE">
        <w:pPr>
          <w:pStyle w:val="Footer"/>
          <w:jc w:val="center"/>
        </w:pPr>
        <w:r>
          <w:fldChar w:fldCharType="begin"/>
        </w:r>
        <w:r>
          <w:instrText xml:space="preserve"> PAGE   \* MERGEFORMAT </w:instrText>
        </w:r>
        <w:r>
          <w:fldChar w:fldCharType="separate"/>
        </w:r>
        <w:r>
          <w:t>2</w:t>
        </w:r>
        <w:r>
          <w:fldChar w:fldCharType="end"/>
        </w:r>
      </w:p>
    </w:sdtContent>
  </w:sdt>
  <w:p w14:paraId="10A4B48F" w14:textId="77777777" w:rsidR="00EB245A" w:rsidRDefault="00EB245A">
    <w:pPr>
      <w:pStyle w:val="FooterCouncil"/>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F3B9E" w14:textId="77777777" w:rsidR="00EB245A" w:rsidRDefault="00EB245A">
    <w:pPr>
      <w:pStyle w:val="Footer"/>
    </w:pP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62F2B" w14:textId="77777777" w:rsidR="00EB245A" w:rsidRDefault="00EB24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D7B83" w14:textId="77777777" w:rsidR="00C75078" w:rsidRDefault="00C75078">
      <w:pPr>
        <w:spacing w:after="0" w:line="240" w:lineRule="auto"/>
      </w:pPr>
      <w:r>
        <w:separator/>
      </w:r>
    </w:p>
  </w:footnote>
  <w:footnote w:type="continuationSeparator" w:id="0">
    <w:p w14:paraId="0CBA78E0" w14:textId="77777777" w:rsidR="00C75078" w:rsidRDefault="00C75078">
      <w:pPr>
        <w:spacing w:after="0" w:line="240" w:lineRule="auto"/>
      </w:pPr>
      <w:r>
        <w:continuationSeparator/>
      </w:r>
    </w:p>
  </w:footnote>
  <w:footnote w:type="continuationNotice" w:id="1">
    <w:p w14:paraId="0A8D2370" w14:textId="77777777" w:rsidR="00C75078" w:rsidRDefault="00C75078">
      <w:pPr>
        <w:spacing w:after="0" w:line="240" w:lineRule="auto"/>
      </w:pPr>
    </w:p>
  </w:footnote>
  <w:footnote w:id="2">
    <w:p w14:paraId="686E7D65" w14:textId="77777777" w:rsidR="00EB245A" w:rsidRDefault="006021EE">
      <w:pPr>
        <w:pStyle w:val="FootnoteText"/>
        <w:ind w:left="0" w:firstLine="0"/>
        <w:rPr>
          <w:sz w:val="18"/>
        </w:rPr>
      </w:pPr>
      <w:r w:rsidRPr="004E1987">
        <w:rPr>
          <w:rStyle w:val="FootnoteReference"/>
          <w:sz w:val="18"/>
        </w:rPr>
        <w:footnoteRef/>
      </w:r>
      <w:r>
        <w:rPr>
          <w:sz w:val="18"/>
        </w:rPr>
        <w:t xml:space="preserve"> Im Sinne von Artikel 3 Nummer 11 der Verordnung (EU) 2019/1242: ein Fahrzeug ohne Verbre</w:t>
      </w:r>
      <w:r>
        <w:rPr>
          <w:sz w:val="18"/>
        </w:rPr>
        <w:t>nnungsmotor oder mit einem Verbrennungsmotor, der weniger als 1 g CO2/km emittiert.</w:t>
      </w:r>
    </w:p>
  </w:footnote>
  <w:footnote w:id="3">
    <w:p w14:paraId="62CABCB5" w14:textId="77777777" w:rsidR="00EB245A" w:rsidRDefault="006021EE">
      <w:pPr>
        <w:pStyle w:val="FootnoteText"/>
        <w:ind w:left="0" w:firstLine="0"/>
      </w:pPr>
      <w:r w:rsidRPr="004E1987">
        <w:rPr>
          <w:rStyle w:val="FootnoteReference"/>
          <w:sz w:val="18"/>
        </w:rPr>
        <w:footnoteRef/>
      </w:r>
      <w:r>
        <w:rPr>
          <w:sz w:val="18"/>
        </w:rPr>
        <w:t xml:space="preserve"> Im Sinne von Artikel 3 Nummer 12 der Verordnung (EU) 2019/1242: mit CO2-Emissionen von weniger als der Hälfte der Bezugswerte für CO2-Emissionen aller Fahrzeuge der Fahrz</w:t>
      </w:r>
      <w:r>
        <w:rPr>
          <w:sz w:val="18"/>
        </w:rPr>
        <w:t>euguntergruppe; die Referenzwerte unterscheiden sich je nach Lkw-Typ.</w:t>
      </w:r>
    </w:p>
  </w:footnote>
  <w:footnote w:id="4">
    <w:p w14:paraId="63101451" w14:textId="77777777" w:rsidR="00EB245A" w:rsidRDefault="006021EE">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18"/>
        </w:rPr>
      </w:pPr>
      <w:r w:rsidRPr="004E1987">
        <w:rPr>
          <w:rStyle w:val="FootnoteReference"/>
          <w:rFonts w:ascii="Times New Roman" w:hAnsi="Times New Roman" w:cs="Times New Roman"/>
          <w:sz w:val="18"/>
        </w:rPr>
        <w:footnoteRef/>
      </w:r>
      <w:r>
        <w:rPr>
          <w:rFonts w:ascii="Times New Roman" w:hAnsi="Times New Roman"/>
          <w:color w:val="000000"/>
          <w:sz w:val="18"/>
        </w:rPr>
        <w:t xml:space="preserve">Ausgenommen Projekte im Rahmen dieser Maßnahme in Bezug auf die Strom- und/oder Wärmeerzeugung sowie die zugehörige Fernleitungs- und Verteilungsinfrastruktur unter Verwendung von </w:t>
      </w:r>
      <w:r>
        <w:rPr>
          <w:rFonts w:ascii="Times New Roman" w:hAnsi="Times New Roman"/>
          <w:color w:val="000000"/>
          <w:sz w:val="18"/>
        </w:rPr>
        <w:t>Erdgas, die die Bedingungen in Anhang III der Technischen Leitlinien für die Anwendung des Grundsatzes der „Vermeidung erheblicher Beeinträchtigungen“ (2021/C58/01) erfüllen.</w:t>
      </w:r>
    </w:p>
  </w:footnote>
  <w:footnote w:id="5">
    <w:p w14:paraId="6296EAAA" w14:textId="2C610AE4" w:rsidR="00EB245A" w:rsidRDefault="006021EE">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0"/>
        </w:rPr>
      </w:pPr>
      <w:r w:rsidRPr="004E1987">
        <w:rPr>
          <w:rStyle w:val="FootnoteReference"/>
          <w:rFonts w:ascii="Times New Roman" w:hAnsi="Times New Roman" w:cs="Times New Roman"/>
          <w:sz w:val="18"/>
        </w:rPr>
        <w:footnoteRef/>
      </w:r>
      <w:r>
        <w:rPr>
          <w:rFonts w:ascii="Times New Roman" w:hAnsi="Times New Roman"/>
          <w:color w:val="000000"/>
          <w:sz w:val="18"/>
        </w:rPr>
        <w:t xml:space="preserve">Erreicht die geförderte Tätigkeit projizierte Treibhausgasemissionen, die nicht </w:t>
      </w:r>
      <w:r>
        <w:rPr>
          <w:rFonts w:ascii="Times New Roman" w:hAnsi="Times New Roman"/>
          <w:color w:val="000000"/>
          <w:sz w:val="18"/>
        </w:rPr>
        <w:t>wesentlich niedriger sind als die entsprechenden Referenzwerte, sind die Gründe dafür anzugeben, warum dies nicht möglich ist. Referenzwerte für die kostenlose Zuteilung von Zertifikaten für Tätigkeiten, die in den Anwendungsbereich des EU-Emissionshandels</w:t>
      </w:r>
      <w:r>
        <w:rPr>
          <w:rFonts w:ascii="Times New Roman" w:hAnsi="Times New Roman"/>
          <w:color w:val="000000"/>
          <w:sz w:val="18"/>
        </w:rPr>
        <w:t>systems fallen, gemäß der Durchführungsverordnung (EU) 2021/447 der Kommission.</w:t>
      </w:r>
    </w:p>
  </w:footnote>
  <w:footnote w:id="6">
    <w:p w14:paraId="63F0BE5B" w14:textId="77777777" w:rsidR="00EB245A" w:rsidRDefault="006021EE">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18"/>
        </w:rPr>
      </w:pPr>
      <w:r w:rsidRPr="004E1987">
        <w:rPr>
          <w:rStyle w:val="FootnoteReference"/>
          <w:rFonts w:ascii="Times New Roman" w:hAnsi="Times New Roman" w:cs="Times New Roman"/>
          <w:sz w:val="18"/>
        </w:rPr>
        <w:footnoteRef/>
      </w:r>
      <w:r>
        <w:rPr>
          <w:rFonts w:ascii="Times New Roman" w:hAnsi="Times New Roman"/>
          <w:color w:val="000000"/>
          <w:sz w:val="18"/>
        </w:rPr>
        <w:t>Dieser Ausschluss gilt nicht für Maßnahmen im Rahmen dieser Maßnahme in Anlagen, die ausschließlich der Behandlung nicht rezyklierbarer gefährlicher Abfälle dienen, und für be</w:t>
      </w:r>
      <w:r>
        <w:rPr>
          <w:rFonts w:ascii="Times New Roman" w:hAnsi="Times New Roman"/>
          <w:color w:val="000000"/>
          <w:sz w:val="18"/>
        </w:rPr>
        <w:t>stehende Anlagen, wenn die Maßnahmen im Rahmen dieser Maßnahme der Steigerung der Energieeffizienz, der Abscheidung von Abgasen zur Lagerung oder Verwendung oder der Rückgewinnung von Materialien aus Verbrennungsasche dienen, sofern diese Maßnahmen im Rahm</w:t>
      </w:r>
      <w:r>
        <w:rPr>
          <w:rFonts w:ascii="Times New Roman" w:hAnsi="Times New Roman"/>
          <w:color w:val="000000"/>
          <w:sz w:val="18"/>
        </w:rPr>
        <w:t>en dieser Maßnahme nicht zu einer Erhöhung der Abfallbehandlungskapazitäten der Anlagen oder zu einer Verlängerung der Lebensdauer der Anlagen führen; für die Nachweise auf Anlagenebene erbracht werden.</w:t>
      </w:r>
    </w:p>
  </w:footnote>
  <w:footnote w:id="7">
    <w:p w14:paraId="508C08BD" w14:textId="77777777" w:rsidR="00EB245A" w:rsidRDefault="006021EE">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0"/>
        </w:rPr>
      </w:pPr>
      <w:r w:rsidRPr="004E1987">
        <w:rPr>
          <w:rStyle w:val="FootnoteReference"/>
          <w:rFonts w:ascii="Times New Roman" w:hAnsi="Times New Roman" w:cs="Times New Roman"/>
          <w:sz w:val="18"/>
        </w:rPr>
        <w:footnoteRef/>
      </w:r>
      <w:r>
        <w:rPr>
          <w:rFonts w:ascii="Times New Roman" w:hAnsi="Times New Roman"/>
          <w:color w:val="000000"/>
          <w:sz w:val="18"/>
        </w:rPr>
        <w:t>Dieser Ausschluss gilt nicht für Maßnahmen im Rahmen</w:t>
      </w:r>
      <w:r>
        <w:rPr>
          <w:rFonts w:ascii="Times New Roman" w:hAnsi="Times New Roman"/>
          <w:color w:val="000000"/>
          <w:sz w:val="18"/>
        </w:rPr>
        <w:t xml:space="preserve"> dieser Maßnahme in bestehenden Anlagen zur mechanisch-biologischen Behandlung, bei denen die Maßnahmen im Rahmen dieser Maßnahme der Steigerung der Energieeffizienz oder der Nachrüstung von getrennten Abfällen zur Kompostierung von Bioabfällen und der ana</w:t>
      </w:r>
      <w:r>
        <w:rPr>
          <w:rFonts w:ascii="Times New Roman" w:hAnsi="Times New Roman"/>
          <w:color w:val="000000"/>
          <w:sz w:val="18"/>
        </w:rPr>
        <w:t>eroben Vergärung von Bioabfällen dienen, sofern diese Maßnahmen im Rahmen dieser Maßnahme nicht zu einer Erhöhung der Abfallaufbereitungskapazität der Anlagen oder zu einer Verlängerung der Lebensdauer der Anlagen führen; für die Nachweise auf Anlagenebene</w:t>
      </w:r>
      <w:r>
        <w:rPr>
          <w:rFonts w:ascii="Times New Roman" w:hAnsi="Times New Roman"/>
          <w:color w:val="000000"/>
          <w:sz w:val="18"/>
        </w:rPr>
        <w:t xml:space="preserve"> erbracht werden.</w:t>
      </w:r>
    </w:p>
  </w:footnote>
  <w:footnote w:id="8">
    <w:p w14:paraId="6D3D4F05" w14:textId="3F6CAECF" w:rsidR="00EB245A" w:rsidRDefault="006021EE">
      <w:pPr>
        <w:pStyle w:val="FootnoteText"/>
        <w:ind w:left="0" w:firstLine="0"/>
        <w:rPr>
          <w:sz w:val="18"/>
        </w:rPr>
      </w:pPr>
      <w:r w:rsidRPr="004E1987">
        <w:rPr>
          <w:rStyle w:val="FootnoteReference"/>
          <w:sz w:val="18"/>
        </w:rPr>
        <w:footnoteRef/>
      </w:r>
      <w:r>
        <w:rPr>
          <w:sz w:val="18"/>
        </w:rPr>
        <w:t xml:space="preserve"> Ausgenommen Projekte im Rahmen dieser Maßnahme im Bereich der Strom- und/oder Wärmeerzeugung sowie der damit verbundenen Fernleitungs- und Verteilungsinfrastruktur unter Nutzung von Erdgas, die die in Anhang III der Technischen Leitlini</w:t>
      </w:r>
      <w:r>
        <w:rPr>
          <w:sz w:val="18"/>
        </w:rPr>
        <w:t>en „Vermeidung erheblicher Beeinträchtigungen“ (2021/C 58/01) festgelegten Bedingungen erfüllen.</w:t>
      </w:r>
    </w:p>
  </w:footnote>
  <w:footnote w:id="9">
    <w:p w14:paraId="769306E1" w14:textId="771856AD" w:rsidR="00EB245A" w:rsidRDefault="006021EE">
      <w:pPr>
        <w:pStyle w:val="FootnoteText"/>
        <w:ind w:left="0" w:firstLine="0"/>
        <w:rPr>
          <w:sz w:val="18"/>
        </w:rPr>
      </w:pPr>
      <w:r w:rsidRPr="004E1987">
        <w:rPr>
          <w:rStyle w:val="FootnoteReference"/>
          <w:sz w:val="18"/>
        </w:rPr>
        <w:footnoteRef/>
      </w:r>
      <w:r>
        <w:rPr>
          <w:sz w:val="18"/>
        </w:rPr>
        <w:t xml:space="preserve"> Erreicht die geförderte Tätigkeit projizierte Treibhausgasemissionen, die nicht wesentlich niedriger sind als die entsprechenden Referenzwerte, sind die Grün</w:t>
      </w:r>
      <w:r>
        <w:rPr>
          <w:sz w:val="18"/>
        </w:rPr>
        <w:t>de dafür anzugeben, warum dies nicht möglich ist. Referenzwerte für die kostenlose Zuteilung von Zertifikaten für Tätigkeiten, die in den Anwendungsbereich des EU-Emissionshandelssystems fallen, gemäß der Durchführungsverordnung (EU) 2021/447 der Kommissio</w:t>
      </w:r>
      <w:r>
        <w:rPr>
          <w:sz w:val="18"/>
        </w:rPr>
        <w:t>n.</w:t>
      </w:r>
    </w:p>
  </w:footnote>
  <w:footnote w:id="10">
    <w:p w14:paraId="59DB1D0F" w14:textId="49BF65A4" w:rsidR="00EB245A" w:rsidRDefault="006021EE">
      <w:pPr>
        <w:pStyle w:val="FootnoteText"/>
        <w:ind w:left="0" w:firstLine="0"/>
        <w:rPr>
          <w:sz w:val="18"/>
        </w:rPr>
      </w:pPr>
      <w:r w:rsidRPr="004E1987">
        <w:rPr>
          <w:rStyle w:val="FootnoteReference"/>
          <w:sz w:val="18"/>
        </w:rPr>
        <w:footnoteRef/>
      </w:r>
      <w:r>
        <w:rPr>
          <w:sz w:val="18"/>
        </w:rPr>
        <w:t xml:space="preserve"> Dieser Ausschluss gilt nicht für Maßnahmen im Rahmen dieser Maßnahme in Anlagen, die ausschließlich der Behandlung nicht rezyklierbarer gefährlicher Abfälle dienen, und für bestehende Anlagen, wenn die Maßnahmen im Rahmen dieser Maßnahme der Steigerun</w:t>
      </w:r>
      <w:r>
        <w:rPr>
          <w:sz w:val="18"/>
        </w:rPr>
        <w:t xml:space="preserve">g der Energieeffizienz, der Abscheidung von Abgasen zur Lagerung oder Verwendung oder der Rückgewinnung von Materialien aus Verbrennungsasche dienen, sofern diese Maßnahmen im Rahmen dieser Maßnahme nicht zu einer Erhöhung der Abfallbehandlungskapazitäten </w:t>
      </w:r>
      <w:r>
        <w:rPr>
          <w:sz w:val="18"/>
        </w:rPr>
        <w:t>der Anlagen oder zu einer Verlängerung der Lebensdauer der Anlagen führen; für die Nachweise auf Anlagenebene erbracht werden.</w:t>
      </w:r>
    </w:p>
  </w:footnote>
  <w:footnote w:id="11">
    <w:p w14:paraId="2E46A04B" w14:textId="3E31E909" w:rsidR="00EB245A" w:rsidRDefault="006021EE">
      <w:pPr>
        <w:spacing w:after="240" w:line="240" w:lineRule="auto"/>
        <w:jc w:val="both"/>
        <w:rPr>
          <w:rFonts w:ascii="Times New Roman" w:eastAsia="Times New Roman" w:hAnsi="Times New Roman" w:cs="Times New Roman"/>
          <w:sz w:val="18"/>
        </w:rPr>
      </w:pPr>
      <w:r w:rsidRPr="004E1987">
        <w:rPr>
          <w:rStyle w:val="FootnoteReference"/>
          <w:rFonts w:ascii="Times New Roman" w:hAnsi="Times New Roman" w:cs="Times New Roman"/>
          <w:sz w:val="18"/>
        </w:rPr>
        <w:footnoteRef/>
      </w:r>
      <w:r>
        <w:rPr>
          <w:rFonts w:ascii="Times New Roman" w:hAnsi="Times New Roman"/>
          <w:sz w:val="18"/>
        </w:rPr>
        <w:t xml:space="preserve"> Dieser Ausschluss gilt nicht für Maßnahmen im Rahmen dieser Maßnahme in bestehenden Anlagen zur mechanisch-biologischen Behandl</w:t>
      </w:r>
      <w:r>
        <w:rPr>
          <w:rFonts w:ascii="Times New Roman" w:hAnsi="Times New Roman"/>
          <w:sz w:val="18"/>
        </w:rPr>
        <w:t>ung, bei denen die Maßnahmen im Rahmen dieser Maßnahme der Steigerung der Energieeffizienz oder der Nachrüstung von getrennten Abfällen zur Kompostierung von Bioabfällen und der anaeroben Vergärung von Bioabfällen dienen, sofern diese Maßnahmen im Rahmen d</w:t>
      </w:r>
      <w:r>
        <w:rPr>
          <w:rFonts w:ascii="Times New Roman" w:hAnsi="Times New Roman"/>
          <w:sz w:val="18"/>
        </w:rPr>
        <w:t>ieser Maßnahme nicht zu einer Erhöhung der Abfallaufbereitungskapazität der Anlagen oder zu einer Verlängerung der Lebensdauer der Anlagen führen; für die Nachweise auf Anlagenebene erbracht werden.</w:t>
      </w:r>
    </w:p>
  </w:footnote>
  <w:footnote w:id="12">
    <w:p w14:paraId="6DB42EB8" w14:textId="52C74EA9" w:rsidR="00EB245A" w:rsidRDefault="006021EE">
      <w:pPr>
        <w:pStyle w:val="FootnoteText"/>
        <w:ind w:left="0" w:firstLine="0"/>
      </w:pPr>
      <w:r w:rsidRPr="004E1987">
        <w:rPr>
          <w:rStyle w:val="FootnoteReference"/>
        </w:rPr>
        <w:footnoteRef/>
      </w:r>
      <w:r>
        <w:t xml:space="preserve"> Dieser Wert ist nicht per se die Kosten, sondern das an</w:t>
      </w:r>
      <w:r>
        <w:t>gestrebte Investitionsvolumen. Dies kann den Kosten entsprechen, je nachdem, wie das Instrument strukturiert ist, ob eine Hebelwirkung erreicht wird und ob dem Durchführungspartner Kosten/Gebühren in Rechnung gestellt werden.</w:t>
      </w:r>
    </w:p>
  </w:footnote>
  <w:footnote w:id="13">
    <w:p w14:paraId="2CE9D1D7" w14:textId="108AFE0E" w:rsidR="00EB245A" w:rsidRDefault="006021EE">
      <w:pPr>
        <w:pStyle w:val="FootnoteText"/>
        <w:ind w:left="0" w:firstLine="0"/>
      </w:pPr>
      <w:r w:rsidRPr="004E1987">
        <w:rPr>
          <w:rStyle w:val="FootnoteReference"/>
        </w:rPr>
        <w:footnoteRef/>
      </w:r>
      <w:r>
        <w:t xml:space="preserve"> Ausgenommen a) Projekte im R</w:t>
      </w:r>
      <w:r>
        <w:t>ahmen dieser Maßnahme im Bereich der Strom- und/oder Wärmeerzeugung sowie der damit verbundenen Fernleitungs- und Verteilungsinfrastruktur unter Nutzung von Erdgas, die die in Anhang III der Technischen Leitlinien „Vermeidung erheblicher Beeinträchtigungen</w:t>
      </w:r>
      <w:r>
        <w:t>“ (2021/C58/01) festgelegten Bedingungen erfüllen, b) Tätigkeiten und Anlagen gemäß Ziffer ii, bei denen die Verwendung fossiler Brennstoffe vorübergehend und für den rechtzeitigen Übergang zu einem von fossilen Brennstoffen freien Betrieb technisch unverm</w:t>
      </w:r>
      <w:r>
        <w:t>eidbar ist; C) Anlagen für CO2-armer Wasserstoff, die die Anforderung von Einsparungen von Treibhausgasemissionen über den gesamten Lebenszyklus von 73,4 % für Wasserstoff erfüllen, was zu Lebenszyklus-Treibhausgasemissionen von weniger als 3 t CO2-Äq/tH2)</w:t>
      </w:r>
      <w:r>
        <w:t xml:space="preserve"> und 70 % für wasserstoffbasierte synthetische Kraftstoffe führt, bezogen auf einen Vergleichswert für fossile Brennstoffe von 94 g CO2-Äq/MJ, was entsprechend dem Ansatz gemäß Artikel 25 Absatz 2 und Anhang V der Richtlinie (EU) 2018/2001 zu 2,256 t CO2-Ä</w:t>
      </w:r>
      <w:r>
        <w:t>q/tH2 führt. Die Einsparungen von Lebenszyklus-Treibhausgasemissionen werden nach der in Artikel 28 Absatz 5 der Richtlinie (EU) 2018/2001 genannten Methode oder alternativ nach ISO 14067:2018 oder ISO 14064-1:2018 berechnet.</w:t>
      </w:r>
    </w:p>
  </w:footnote>
  <w:footnote w:id="14">
    <w:p w14:paraId="74C3801D" w14:textId="1C2B2951" w:rsidR="00EB245A" w:rsidRDefault="006021EE">
      <w:pPr>
        <w:pStyle w:val="FootnoteText"/>
        <w:ind w:left="0" w:firstLine="0"/>
      </w:pPr>
      <w:r w:rsidRPr="004E1987">
        <w:rPr>
          <w:rStyle w:val="FootnoteReference"/>
        </w:rPr>
        <w:footnoteRef/>
      </w:r>
      <w:r>
        <w:t xml:space="preserve"> Wenn die geförderte Tätigkei</w:t>
      </w:r>
      <w:r>
        <w:t>t die prognostizierten Treibhausgasemissionen erreicht, die nicht wesentlich niedriger sind als</w:t>
      </w:r>
      <w:r w:rsidR="004E1987">
        <w:t xml:space="preserve"> </w:t>
      </w:r>
      <w:r>
        <w:t>relevante Benchmarks sollten eine Erläuterung der Gründe dafür enthalten, warum dies nicht möglich ist. Benchmarks festgelegt</w:t>
      </w:r>
      <w:r w:rsidR="004E1987">
        <w:t xml:space="preserve"> </w:t>
      </w:r>
      <w:r>
        <w:t>für die kostenlose Zuteilung von</w:t>
      </w:r>
      <w:r>
        <w:t xml:space="preserve"> Zertifikaten für Tätigkeiten, die in den Anwendungsbereich des Emissionshandelssystems fallen, wie von der Kommission festgelegt</w:t>
      </w:r>
      <w:r w:rsidR="004E1987">
        <w:t xml:space="preserve"> </w:t>
      </w:r>
      <w:r>
        <w:t>Durchführungsverordnung (EU) 2021/447.</w:t>
      </w:r>
    </w:p>
  </w:footnote>
  <w:footnote w:id="15">
    <w:p w14:paraId="6AE4FDC9" w14:textId="3D04E069" w:rsidR="00EB245A" w:rsidRDefault="006021EE">
      <w:pPr>
        <w:pStyle w:val="FootnoteText"/>
        <w:ind w:left="0" w:firstLine="0"/>
      </w:pPr>
      <w:r w:rsidRPr="004E1987">
        <w:rPr>
          <w:rStyle w:val="FootnoteReference"/>
        </w:rPr>
        <w:footnoteRef/>
      </w:r>
      <w:r>
        <w:t xml:space="preserve"> Dieser Ausschluss gilt nicht für Maßnahmen im Rahmen dieser Maßnahme in Anlagen, die </w:t>
      </w:r>
      <w:r>
        <w:t xml:space="preserve">ausschließlich der Behandlung nicht rezyklierbarer gefährlicher Abfälle dienen, und für bestehende Anlagen, wenn die Maßnahmen im Rahmen dieser Maßnahme der Steigerung der Energieeffizienz, der Abscheidung von Abgasen zur Lagerung oder Verwendung oder der </w:t>
      </w:r>
      <w:r>
        <w:t>Rückgewinnung von Materialien aus Verbrennungsasche dienen, sofern diese Maßnahmen im Rahmen dieser Maßnahme nicht zu einer Erhöhung der Abfallbehandlungskapazitäten der Anlagen oder zu einer Verlängerung der Lebensdauer der Anlagen führen; für die Nachwei</w:t>
      </w:r>
      <w:r>
        <w:t>se auf Anlagenebene erbracht werden.</w:t>
      </w:r>
    </w:p>
  </w:footnote>
  <w:footnote w:id="16">
    <w:p w14:paraId="5643EAB2" w14:textId="6316EF47" w:rsidR="00EB245A" w:rsidRDefault="006021EE">
      <w:pPr>
        <w:pStyle w:val="FootnoteText"/>
        <w:ind w:left="0" w:firstLine="0"/>
      </w:pPr>
      <w:r w:rsidRPr="004E1987">
        <w:rPr>
          <w:rStyle w:val="FootnoteReference"/>
        </w:rPr>
        <w:footnoteRef/>
      </w:r>
      <w:r>
        <w:t xml:space="preserve"> Dieser Ausschluss gilt nicht für Maßnahmen im Rahmen dieser Maßnahme in bestehenden Anlagen zur mechanisch-biologischen Behandlung, bei denen die Maßnahmen im Rahmen dieser Maßnahme der Steigerung der Energieeffizienz</w:t>
      </w:r>
      <w:r>
        <w:t xml:space="preserve"> oder der Nachrüstung von getrennten Abfällen zur Kompostierung von Bioabfällen und der anaeroben Vergärung von Bioabfällen dienen, sofern diese Maßnahmen im Rahmen dieser Maßnahme nicht zu einer Erhöhung der Abfallaufbereitungskapazität der Anlagen oder z</w:t>
      </w:r>
      <w:r>
        <w:t>u einer Verlängerung der Lebensdauer der Anlagen führen; für die Nachweise auf Anlagenebene erbracht werden</w:t>
      </w:r>
      <w:r>
        <w:rPr>
          <w:sz w:val="18"/>
        </w:rPr>
        <w:t>.</w:t>
      </w:r>
    </w:p>
  </w:footnote>
  <w:footnote w:id="17">
    <w:p w14:paraId="143A90CC" w14:textId="77777777" w:rsidR="00EB245A" w:rsidRDefault="006021EE">
      <w:pPr>
        <w:pBdr>
          <w:top w:val="nil"/>
          <w:left w:val="nil"/>
          <w:bottom w:val="nil"/>
          <w:right w:val="nil"/>
          <w:between w:val="nil"/>
        </w:pBdr>
        <w:spacing w:after="0" w:line="257" w:lineRule="auto"/>
        <w:jc w:val="both"/>
        <w:rPr>
          <w:rFonts w:ascii="Times New Roman" w:eastAsia="Times New Roman" w:hAnsi="Times New Roman" w:cs="Times New Roman"/>
          <w:sz w:val="18"/>
        </w:rPr>
      </w:pPr>
      <w:r w:rsidRPr="004E1987">
        <w:rPr>
          <w:rStyle w:val="FootnoteReference"/>
          <w:rFonts w:ascii="Times New Roman" w:hAnsi="Times New Roman" w:cs="Times New Roman"/>
          <w:sz w:val="18"/>
        </w:rPr>
        <w:footnoteRef/>
      </w:r>
      <w:r>
        <w:rPr>
          <w:rFonts w:ascii="Times New Roman" w:hAnsi="Times New Roman"/>
          <w:sz w:val="18"/>
        </w:rPr>
        <w:t xml:space="preserve"> Ausgenommen Projekte im Rahmen dieser Maßnahme im Bereich der Strom- und/oder Wärmeerzeugung sowie der damit verbundenen Fernleitungs- und Vertei</w:t>
      </w:r>
      <w:r>
        <w:rPr>
          <w:rFonts w:ascii="Times New Roman" w:hAnsi="Times New Roman"/>
          <w:sz w:val="18"/>
        </w:rPr>
        <w:t>lungsinfrastruktur unter Nutzung von Erdgas, die die in Anhang III der Technischen Leitlinien „Vermeidung erheblicher Beeinträchtigungen“ (2021/C 58/01) festgelegten Bedingungen erfüllen.</w:t>
      </w:r>
    </w:p>
  </w:footnote>
  <w:footnote w:id="18">
    <w:p w14:paraId="2D3A97D4" w14:textId="639D36E2" w:rsidR="00EB245A" w:rsidRDefault="006021EE">
      <w:pPr>
        <w:pStyle w:val="FootnoteText"/>
        <w:ind w:left="0" w:firstLine="0"/>
        <w:rPr>
          <w:sz w:val="18"/>
        </w:rPr>
      </w:pPr>
      <w:r w:rsidRPr="004E1987">
        <w:rPr>
          <w:rStyle w:val="FootnoteReference"/>
          <w:sz w:val="18"/>
        </w:rPr>
        <w:footnoteRef/>
      </w:r>
      <w:r>
        <w:rPr>
          <w:sz w:val="18"/>
        </w:rPr>
        <w:t xml:space="preserve"> Erreicht die geförderte Tätigkeit projizierte Treibhausgasemission</w:t>
      </w:r>
      <w:r>
        <w:rPr>
          <w:sz w:val="18"/>
        </w:rPr>
        <w:t>en, die nicht wesentlich niedriger sind als die entsprechenden Referenzwerte, sind die Gründe dafür anzugeben, warum dies nicht möglich ist. Referenzwerte für die kostenlose Zuteilung von Zertifikaten für Tätigkeiten, die in den Anwendungsbereich des EU-Em</w:t>
      </w:r>
      <w:r>
        <w:rPr>
          <w:sz w:val="18"/>
        </w:rPr>
        <w:t>issionshandelssystems fallen, gemäß der Durchführungsverordnung (EU) 2021/447 der Kommission.</w:t>
      </w:r>
    </w:p>
  </w:footnote>
  <w:footnote w:id="19">
    <w:p w14:paraId="0458E323" w14:textId="77777777" w:rsidR="00EB245A" w:rsidRDefault="006021EE">
      <w:pPr>
        <w:pStyle w:val="FootnoteText"/>
        <w:ind w:left="0" w:firstLine="0"/>
        <w:rPr>
          <w:sz w:val="18"/>
        </w:rPr>
      </w:pPr>
      <w:r w:rsidRPr="004E1987">
        <w:rPr>
          <w:rStyle w:val="FootnoteReference"/>
          <w:sz w:val="18"/>
        </w:rPr>
        <w:footnoteRef/>
      </w:r>
      <w:r>
        <w:rPr>
          <w:sz w:val="18"/>
        </w:rPr>
        <w:t xml:space="preserve"> Dieser Ausschluss gilt nicht für Maßnahmen im Rahmen dieser Maßnahme in Anlagen, die ausschließlich der Behandlung nicht rezyklierbarer gefährlicher Abfälle </w:t>
      </w:r>
      <w:r>
        <w:rPr>
          <w:sz w:val="18"/>
        </w:rPr>
        <w:t>dienen, und für bestehende Anlagen, wenn die Maßnahmen im Rahmen dieser Maßnahme der Steigerung der Energieeffizienz, der Abscheidung von Abgasen zur Lagerung oder Verwendung oder der Rückgewinnung von Materialien aus Verbrennungsasche dienen, sofern diese</w:t>
      </w:r>
      <w:r>
        <w:rPr>
          <w:sz w:val="18"/>
        </w:rPr>
        <w:t xml:space="preserve"> Maßnahmen im Rahmen dieser Maßnahme nicht zu einer Erhöhung der Abfallbehandlungskapazitäten der Anlagen oder zu einer Verlängerung der Lebensdauer der Anlagen führen; für die Nachweise auf Anlagenebene erbracht werden.</w:t>
      </w:r>
    </w:p>
  </w:footnote>
  <w:footnote w:id="20">
    <w:p w14:paraId="0CA2247E" w14:textId="77777777" w:rsidR="00EB245A" w:rsidRDefault="006021EE">
      <w:pPr>
        <w:pBdr>
          <w:top w:val="nil"/>
          <w:left w:val="nil"/>
          <w:bottom w:val="nil"/>
          <w:right w:val="nil"/>
          <w:between w:val="nil"/>
        </w:pBdr>
        <w:spacing w:after="0" w:line="240" w:lineRule="auto"/>
        <w:jc w:val="both"/>
        <w:rPr>
          <w:rFonts w:ascii="Times New Roman" w:eastAsia="Times New Roman" w:hAnsi="Times New Roman" w:cs="Times New Roman"/>
          <w:sz w:val="16"/>
        </w:rPr>
      </w:pPr>
      <w:r w:rsidRPr="004E1987">
        <w:rPr>
          <w:rStyle w:val="FootnoteReference"/>
          <w:rFonts w:ascii="Times New Roman" w:hAnsi="Times New Roman" w:cs="Times New Roman"/>
          <w:sz w:val="18"/>
        </w:rPr>
        <w:footnoteRef/>
      </w:r>
      <w:r>
        <w:rPr>
          <w:rFonts w:ascii="Times New Roman" w:hAnsi="Times New Roman"/>
          <w:sz w:val="18"/>
        </w:rPr>
        <w:t xml:space="preserve"> Dieser Ausschluss gilt nicht für </w:t>
      </w:r>
      <w:r>
        <w:rPr>
          <w:rFonts w:ascii="Times New Roman" w:hAnsi="Times New Roman"/>
          <w:sz w:val="18"/>
        </w:rPr>
        <w:t>Maßnahmen im Rahmen dieser Maßnahme in bestehenden Anlagen zur mechanisch-biologischen Behandlung, bei denen die Maßnahmen im Rahmen dieser Maßnahme der Steigerung der Energieeffizienz oder der Nachrüstung von getrennten Abfällen zur Kompostierung von Bioa</w:t>
      </w:r>
      <w:r>
        <w:rPr>
          <w:rFonts w:ascii="Times New Roman" w:hAnsi="Times New Roman"/>
          <w:sz w:val="18"/>
        </w:rPr>
        <w:t>bfällen und der anaeroben Vergärung von Bioabfällen dienen, sofern diese Maßnahmen im Rahmen dieser Maßnahme nicht zu einer Erhöhung der Abfallaufbereitungskapazität der Anlagen oder zu einer Verlängerung der Lebensdauer der Anlagen führen; für die Nachwei</w:t>
      </w:r>
      <w:r>
        <w:rPr>
          <w:rFonts w:ascii="Times New Roman" w:hAnsi="Times New Roman"/>
          <w:sz w:val="18"/>
        </w:rPr>
        <w:t>se auf Anlagenebene erbracht werden.</w:t>
      </w:r>
    </w:p>
  </w:footnote>
  <w:footnote w:id="21">
    <w:p w14:paraId="17F6034B" w14:textId="77777777" w:rsidR="00EB245A" w:rsidRDefault="006021EE">
      <w:pPr>
        <w:pStyle w:val="FootnoteText"/>
        <w:ind w:left="0" w:firstLine="0"/>
        <w:rPr>
          <w:sz w:val="18"/>
        </w:rPr>
      </w:pPr>
      <w:r w:rsidRPr="004E1987">
        <w:rPr>
          <w:rStyle w:val="FootnoteReference"/>
          <w:sz w:val="18"/>
        </w:rPr>
        <w:footnoteRef/>
      </w:r>
      <w:r>
        <w:rPr>
          <w:sz w:val="18"/>
        </w:rPr>
        <w:t xml:space="preserve"> Ausgenommen Projekte im Rahmen dieser Maßnahme in Bezug auf die Strom- und/oder Wärmeerzeugung sowie die zugehörige Fernleitungs- und Verteilungsinfrastruktur unter Verwendung von Erdgas, die die Bedingungen in Anhang</w:t>
      </w:r>
      <w:r>
        <w:rPr>
          <w:sz w:val="18"/>
        </w:rPr>
        <w:t xml:space="preserve"> III der Technischen Leitlinien für die Anwendung des Grundsatzes der „Vermeidung erheblicher Beeinträchtigungen“ (2021/C58/01) erfüllen.</w:t>
      </w:r>
    </w:p>
  </w:footnote>
  <w:footnote w:id="22">
    <w:p w14:paraId="1291BE33" w14:textId="214F72B7" w:rsidR="00EB245A" w:rsidRDefault="006021EE">
      <w:pPr>
        <w:pStyle w:val="FootnoteText"/>
        <w:ind w:left="0" w:firstLine="0"/>
        <w:rPr>
          <w:sz w:val="18"/>
        </w:rPr>
      </w:pPr>
      <w:r w:rsidRPr="004E1987">
        <w:rPr>
          <w:rStyle w:val="FootnoteReference"/>
          <w:sz w:val="18"/>
        </w:rPr>
        <w:footnoteRef/>
      </w:r>
      <w:r>
        <w:rPr>
          <w:sz w:val="18"/>
        </w:rPr>
        <w:t xml:space="preserve"> Erreicht die geförderte Tätigkeit projizierte Treibhausgasemissionen, die nicht wesentlich niedriger sind als die en</w:t>
      </w:r>
      <w:r>
        <w:rPr>
          <w:sz w:val="18"/>
        </w:rPr>
        <w:t>tsprechenden Referenzwerte, sind die Gründe dafür anzugeben, warum dies nicht möglich ist. Referenzwerte für die kostenlose Zuteilung von Zertifikaten für Tätigkeiten, die in den Anwendungsbereich des EU-Emissionshandelssystems fallen, gemäß der Durchführu</w:t>
      </w:r>
      <w:r>
        <w:rPr>
          <w:sz w:val="18"/>
        </w:rPr>
        <w:t>ngsverordnung (EU) 2021/447 der Kommission.</w:t>
      </w:r>
    </w:p>
  </w:footnote>
  <w:footnote w:id="23">
    <w:p w14:paraId="7BB9DAC5" w14:textId="77777777" w:rsidR="00EB245A" w:rsidRDefault="006021EE">
      <w:pPr>
        <w:pStyle w:val="FootnoteText"/>
        <w:ind w:left="0" w:firstLine="0"/>
        <w:rPr>
          <w:sz w:val="18"/>
        </w:rPr>
      </w:pPr>
      <w:r w:rsidRPr="004E1987">
        <w:rPr>
          <w:rStyle w:val="FootnoteReference"/>
          <w:sz w:val="18"/>
        </w:rPr>
        <w:footnoteRef/>
      </w:r>
      <w:r>
        <w:rPr>
          <w:sz w:val="18"/>
        </w:rPr>
        <w:t xml:space="preserve"> Dieser Ausschluss gilt nicht für Maßnahmen im Rahmen dieser Maßnahme in Anlagen, die ausschließlich der Behandlung nicht rezyklierbarer gefährlicher Abfälle dienen, und für bestehende Anlagen, wenn die Maßnahme</w:t>
      </w:r>
      <w:r>
        <w:rPr>
          <w:sz w:val="18"/>
        </w:rPr>
        <w:t>n im Rahmen dieser Maßnahme der Steigerung der Energieeffizienz, der Abscheidung von Abgasen zur Lagerung oder Verwendung oder der Rückgewinnung von Materialien aus Verbrennungsasche dienen, sofern diese Maßnahmen im Rahmen dieser Maßnahme nicht zu einer E</w:t>
      </w:r>
      <w:r>
        <w:rPr>
          <w:sz w:val="18"/>
        </w:rPr>
        <w:t>rhöhung der Abfallbehandlungskapazitäten der Anlagen oder zu einer Verlängerung der Lebensdauer der Anlagen führen; für die Nachweise auf Anlagenebene erbracht werden.</w:t>
      </w:r>
    </w:p>
  </w:footnote>
  <w:footnote w:id="24">
    <w:p w14:paraId="132774F8" w14:textId="77777777" w:rsidR="00EB245A" w:rsidRDefault="006021EE">
      <w:pPr>
        <w:pStyle w:val="FootnoteText"/>
        <w:ind w:left="0" w:firstLine="0"/>
        <w:rPr>
          <w:sz w:val="18"/>
        </w:rPr>
      </w:pPr>
      <w:r w:rsidRPr="004E1987">
        <w:rPr>
          <w:rStyle w:val="FootnoteReference"/>
          <w:sz w:val="18"/>
        </w:rPr>
        <w:footnoteRef/>
      </w:r>
      <w:r>
        <w:rPr>
          <w:sz w:val="18"/>
        </w:rPr>
        <w:t xml:space="preserve"> Dieser Ausschluss gilt nicht für Maßnahmen im Rahmen dieser Maßnahme in bestehenden An</w:t>
      </w:r>
      <w:r>
        <w:rPr>
          <w:sz w:val="18"/>
        </w:rPr>
        <w:t>lagen zur mechanisch-biologischen Behandlung, bei denen die Maßnahmen im Rahmen dieser Maßnahme der Steigerung der Energieeffizienz oder der Nachrüstung von getrennten Abfällen zur Kompostierung von Bioabfällen und der anaeroben Vergärung von Bioabfällen d</w:t>
      </w:r>
      <w:r>
        <w:rPr>
          <w:sz w:val="18"/>
        </w:rPr>
        <w:t>ienen, sofern diese Maßnahmen im Rahmen dieser Maßnahme nicht zu einer Erhöhung der Abfallaufbereitungskapazität der Anlagen oder zu einer Verlängerung der Lebensdauer der Anlagen führen; für die Nachweise auf Anlagenebene erbracht werden.</w:t>
      </w:r>
    </w:p>
  </w:footnote>
  <w:footnote w:id="25">
    <w:p w14:paraId="5B6F72E2" w14:textId="272B5688" w:rsidR="00EB245A" w:rsidRDefault="006021EE">
      <w:pPr>
        <w:pStyle w:val="FootnoteText"/>
        <w:ind w:left="0" w:firstLine="0"/>
        <w:rPr>
          <w:sz w:val="18"/>
        </w:rPr>
      </w:pPr>
      <w:r w:rsidRPr="004E1987">
        <w:rPr>
          <w:rStyle w:val="FootnoteReference"/>
          <w:sz w:val="18"/>
        </w:rPr>
        <w:footnoteRef/>
      </w:r>
      <w:r>
        <w:rPr>
          <w:sz w:val="18"/>
        </w:rPr>
        <w:t xml:space="preserve"> Ausgenommen Vo</w:t>
      </w:r>
      <w:r>
        <w:rPr>
          <w:sz w:val="18"/>
        </w:rPr>
        <w:t>rhaben im Rahmen dieser Maßnahme im Bereich der Strom- und/oder Wärmeerzeugung sowie der damit verbundenen Fernleitungs- und Verteilungsinfrastruktur unter Nutzung von Erdgas, die die Bedingungen gemäß Anhang III der Technischen Leitlinien C(2023) 6454 fin</w:t>
      </w:r>
      <w:r>
        <w:rPr>
          <w:sz w:val="18"/>
        </w:rPr>
        <w:t>al „Vermeidung erheblicher Beeinträchtigungen“ erfüllen.</w:t>
      </w:r>
    </w:p>
  </w:footnote>
  <w:footnote w:id="26">
    <w:p w14:paraId="43B9F8DB" w14:textId="4CFFCA1C" w:rsidR="00EB245A" w:rsidRDefault="006021EE">
      <w:pPr>
        <w:pStyle w:val="FootnoteText"/>
        <w:ind w:left="0" w:firstLine="0"/>
        <w:rPr>
          <w:sz w:val="18"/>
        </w:rPr>
      </w:pPr>
      <w:r w:rsidRPr="004E1987">
        <w:rPr>
          <w:rStyle w:val="FootnoteReference"/>
          <w:sz w:val="18"/>
        </w:rPr>
        <w:footnoteRef/>
      </w:r>
      <w:r>
        <w:rPr>
          <w:sz w:val="18"/>
        </w:rPr>
        <w:t xml:space="preserve"> Erreicht die geförderte Tätigkeit projizierte Treibhausgasemissionen, die nicht wesentlich niedriger sind als die entsprechenden Referenzwerte, sind die Gründe dafür anzugeben, warum dies nicht mög</w:t>
      </w:r>
      <w:r>
        <w:rPr>
          <w:sz w:val="18"/>
        </w:rPr>
        <w:t>lich ist. Referenzwerte für die kostenlose Zuteilung von Zertifikaten für Tätigkeiten, die in den Anwendungsbereich des EU-Emissionshandelssystems fallen, gemäß der Durchführungsverordnung (EU) 2021/447 der Kommission.</w:t>
      </w:r>
    </w:p>
  </w:footnote>
  <w:footnote w:id="27">
    <w:p w14:paraId="06673560" w14:textId="77777777" w:rsidR="00EB245A" w:rsidRDefault="006021EE">
      <w:pPr>
        <w:pStyle w:val="FootnoteText"/>
        <w:ind w:left="0" w:firstLine="0"/>
        <w:rPr>
          <w:sz w:val="18"/>
        </w:rPr>
      </w:pPr>
      <w:r w:rsidRPr="004E1987">
        <w:rPr>
          <w:rStyle w:val="FootnoteReference"/>
          <w:sz w:val="18"/>
        </w:rPr>
        <w:footnoteRef/>
      </w:r>
      <w:r>
        <w:rPr>
          <w:sz w:val="18"/>
        </w:rPr>
        <w:t xml:space="preserve"> Dieser Ausschluss gilt nicht für Ma</w:t>
      </w:r>
      <w:r>
        <w:rPr>
          <w:sz w:val="18"/>
        </w:rPr>
        <w:t xml:space="preserve">ßnahmen im Rahmen dieser Maßnahme in Anlagen, die ausschließlich der Behandlung nicht rezyklierbarer gefährlicher Abfälle dienen, und für bestehende Anlagen, wenn die Maßnahmen im Rahmen dieser Maßnahme der Steigerung der Energieeffizienz, der Abscheidung </w:t>
      </w:r>
      <w:r>
        <w:rPr>
          <w:sz w:val="18"/>
        </w:rPr>
        <w:t>von Abgasen zur Lagerung oder Verwendung oder der Rückgewinnung von Materialien aus Verbrennungsasche dienen, sofern diese Maßnahmen im Rahmen dieser Maßnahme nicht zu einer Erhöhung der Abfallbehandlungskapazitäten der Anlagen oder zu einer Verlängerung d</w:t>
      </w:r>
      <w:r>
        <w:rPr>
          <w:sz w:val="18"/>
        </w:rPr>
        <w:t>er Lebensdauer der Anlagen führen; für die Nachweise auf Anlagenebene erbracht werden.</w:t>
      </w:r>
    </w:p>
  </w:footnote>
  <w:footnote w:id="28">
    <w:p w14:paraId="4F991F2B" w14:textId="77777777" w:rsidR="00EB245A" w:rsidRDefault="006021EE">
      <w:pPr>
        <w:pStyle w:val="FootnoteText"/>
        <w:ind w:left="0" w:firstLine="0"/>
      </w:pPr>
      <w:r w:rsidRPr="004E1987">
        <w:rPr>
          <w:rStyle w:val="FootnoteReference"/>
          <w:sz w:val="18"/>
        </w:rPr>
        <w:footnoteRef/>
      </w:r>
      <w:r>
        <w:rPr>
          <w:sz w:val="18"/>
        </w:rPr>
        <w:t xml:space="preserve"> Dieser Ausschluss gilt nicht für Maßnahmen im Rahmen dieser Maßnahme in bestehenden Anlagen zur mechanisch-biologischen Behandlung, bei denen die Maßnahmen im Rahmen d</w:t>
      </w:r>
      <w:r>
        <w:rPr>
          <w:sz w:val="18"/>
        </w:rPr>
        <w:t>ieser Maßnahme der Steigerung der Energieeffizienz oder der Nachrüstung von getrennten Abfällen zur Kompostierung von Bioabfällen und der anaeroben Vergärung von Bioabfällen dienen, sofern diese Maßnahmen im Rahmen dieser Maßnahme nicht zu einer Erhöhung d</w:t>
      </w:r>
      <w:r>
        <w:rPr>
          <w:sz w:val="18"/>
        </w:rPr>
        <w:t>er Abfallaufbereitungskapazität der Anlagen oder zu einer Verlängerung der Lebensdauer der Anlagen führen; für die Nachweise auf Anlagenebene erbracht werden.</w:t>
      </w:r>
    </w:p>
  </w:footnote>
  <w:footnote w:id="29">
    <w:p w14:paraId="08D2E802" w14:textId="77777777" w:rsidR="00EB245A" w:rsidRDefault="006021EE">
      <w:pPr>
        <w:jc w:val="both"/>
        <w:rPr>
          <w:rFonts w:ascii="Times New Roman" w:hAnsi="Times New Roman"/>
          <w:sz w:val="18"/>
        </w:rPr>
      </w:pPr>
      <w:r w:rsidRPr="004E1987">
        <w:rPr>
          <w:rStyle w:val="FootnoteReference"/>
          <w:rFonts w:ascii="Times New Roman" w:hAnsi="Times New Roman" w:cs="Times New Roman"/>
          <w:sz w:val="18"/>
        </w:rPr>
        <w:footnoteRef/>
      </w:r>
      <w:r>
        <w:rPr>
          <w:rFonts w:ascii="Times New Roman" w:hAnsi="Times New Roman"/>
          <w:sz w:val="18"/>
        </w:rPr>
        <w:t xml:space="preserve"> Insbesondere müssen die Wirtschaftsteilnehmer, die die Bauarbeiten durchführen, sicherstellen, </w:t>
      </w:r>
      <w:r>
        <w:rPr>
          <w:rFonts w:ascii="Times New Roman" w:hAnsi="Times New Roman"/>
          <w:sz w:val="18"/>
        </w:rPr>
        <w:t>dass mindestens 70 % (nach Gewicht) der nicht gefährlichen Bau- und Abbruchabfälle (ausgenommen natürlich vorkommende Materialien der Kategorie 170504 des Europäischen Abfallverzeichnisses gemäß der Entscheidung 2000/532/EG vom 3. Mai 2000 zur Ersetzung de</w:t>
      </w:r>
      <w:r>
        <w:rPr>
          <w:rFonts w:ascii="Times New Roman" w:hAnsi="Times New Roman"/>
          <w:sz w:val="18"/>
        </w:rPr>
        <w:t>r Entscheidung 94/3/EG über ein Abfallverzeichnis gemäß Artikel 1 Buchstabe a) der Richtlinie 75/442/EWG des Rates über Abfälle und der Entscheidung 94/904/EG des Rates über ein Verzeichnis gefährlicher Abfälle im Sinne von Artikel 1 Absatz 4 der Richtlini</w:t>
      </w:r>
      <w:r>
        <w:rPr>
          <w:rFonts w:ascii="Times New Roman" w:hAnsi="Times New Roman"/>
          <w:sz w:val="18"/>
        </w:rPr>
        <w:t>e 91/689/EWG des Rates über gefährliche Abfälle (bekanntgegeben unter Aktenzeichen K(2000) 1147)) auf dem Baustellengelände zur Wiederverwendung vorbereitet werden. Recycling und sonstige stoffliche Verwertung, einschließlich Verfüllungsverfahren, bei dene</w:t>
      </w:r>
      <w:r>
        <w:rPr>
          <w:rFonts w:ascii="Times New Roman" w:hAnsi="Times New Roman"/>
          <w:sz w:val="18"/>
        </w:rPr>
        <w:t>n Abfälle als Ersatz für andere Materialien verwendet werden, im Einklang mit der Abfallhierarchie und dem EU-Protokoll über die Bewirtschaftung von Bau- und Abbruchabfällen.</w:t>
      </w:r>
    </w:p>
    <w:p w14:paraId="478D7399" w14:textId="77777777" w:rsidR="00EB245A" w:rsidRDefault="00EB245A">
      <w:pPr>
        <w:pStyle w:val="FootnoteText"/>
        <w:ind w:left="0" w:firstLine="0"/>
      </w:pPr>
    </w:p>
  </w:footnote>
  <w:footnote w:id="30">
    <w:p w14:paraId="05951833" w14:textId="0C33F196" w:rsidR="00EB245A" w:rsidRDefault="006021EE" w:rsidP="004E1987">
      <w:pPr>
        <w:spacing w:after="0" w:line="240" w:lineRule="auto"/>
        <w:jc w:val="both"/>
      </w:pPr>
      <w:r w:rsidRPr="004E1987">
        <w:rPr>
          <w:rStyle w:val="FootnoteReference"/>
        </w:rPr>
        <w:footnoteRef/>
      </w:r>
      <w:r>
        <w:rPr>
          <w:rFonts w:ascii="Times New Roman" w:hAnsi="Times New Roman"/>
          <w:sz w:val="18"/>
        </w:rPr>
        <w:t>Ausgenommen a) Anlagen und Tätigkeiten im Bereich der Strom- und/oder Wärmeerze</w:t>
      </w:r>
      <w:r>
        <w:rPr>
          <w:rFonts w:ascii="Times New Roman" w:hAnsi="Times New Roman"/>
          <w:sz w:val="18"/>
        </w:rPr>
        <w:t>ugung sowie die damit verbundene Fernleitungs- und Verteilungsinfrastruktur unter Verwendung von Erdgas, die die in Anhang III der Technischen Leitlinien „Vermeidung erheblicher Beeinträchtigungen“ (2021/C58/01) festgelegten Bedingungen erfüllen, und b) Tä</w:t>
      </w:r>
      <w:r>
        <w:rPr>
          <w:rFonts w:ascii="Times New Roman" w:hAnsi="Times New Roman"/>
          <w:sz w:val="18"/>
        </w:rPr>
        <w:t>tigkeiten und Anlagen gemäß Ziffer ii, bei denen die Verwendung fossiler Brennstoffe vorübergehend und für den rechtzeitigen Übergang zu einem von fossilen Brennstoffen freien Betrieb technisch unvermeidbar ist.</w:t>
      </w:r>
    </w:p>
  </w:footnote>
  <w:footnote w:id="31">
    <w:p w14:paraId="5C9AD744" w14:textId="4D288D43" w:rsidR="00EB245A" w:rsidRDefault="006021EE">
      <w:pPr>
        <w:pStyle w:val="FootnoteText"/>
        <w:ind w:left="0" w:firstLine="0"/>
      </w:pPr>
      <w:r w:rsidRPr="004E1987">
        <w:rPr>
          <w:rStyle w:val="FootnoteReference"/>
        </w:rPr>
        <w:footnoteRef/>
      </w:r>
      <w:r>
        <w:t xml:space="preserve"> </w:t>
      </w:r>
      <w:r>
        <w:rPr>
          <w:sz w:val="18"/>
        </w:rPr>
        <w:t>Erreicht</w:t>
      </w:r>
      <w:r>
        <w:rPr>
          <w:sz w:val="18"/>
        </w:rPr>
        <w:t xml:space="preserve"> die geförderte Tätigkeit die prognostizierten Treibhausgasemissionen, die nicht wesentlich unter den einschlägigen Richtwerten liegen, so ist zu erläutern, warum dies nicht möglich ist. Die Richtwerte für die kostenlose Zuteilung von Zertifikaten für Täti</w:t>
      </w:r>
      <w:r>
        <w:rPr>
          <w:sz w:val="18"/>
        </w:rPr>
        <w:t>gkeiten, die unter das Emissionshandelssystem fallen, sind in der Durchführungsverordnung (EU) 2021/447 der Kommission festgelegt.</w:t>
      </w:r>
      <w:r>
        <w:rPr>
          <w:rFonts w:ascii="Calibri" w:hAnsi="Calibri"/>
          <w:sz w:val="22"/>
        </w:rPr>
        <w:t xml:space="preserve"> </w:t>
      </w:r>
    </w:p>
  </w:footnote>
  <w:footnote w:id="32">
    <w:p w14:paraId="2B65465D" w14:textId="089A90B7" w:rsidR="00EB245A" w:rsidRDefault="006021EE" w:rsidP="004E1987">
      <w:pPr>
        <w:pStyle w:val="FootnoteText"/>
        <w:ind w:left="0" w:firstLine="0"/>
      </w:pPr>
      <w:r w:rsidRPr="004E1987">
        <w:rPr>
          <w:rStyle w:val="FootnoteReference"/>
        </w:rPr>
        <w:footnoteRef/>
      </w:r>
      <w:r>
        <w:t xml:space="preserve"> Ausgenommen a) Anlagen und Tätigkeiten im Bereich der Strom- und/oder Wärmeerzeugung sowie die damit verbundene Fernleitun</w:t>
      </w:r>
      <w:r>
        <w:t>gs- und Verteilungsinfrastruktur unter Verwendung von Erdgas, die die in Anhang III der Technischen Leitlinien für die Vermeidung erheblicher Beeinträchtigungen (C(2023) 6454 final) festgelegten Bedingungen erfüllen, und b) Tätigkeiten und Anlagen gemäß Zi</w:t>
      </w:r>
      <w:r>
        <w:t>ffer ii, bei denen die Verwendung fossiler Brennstoffe vorübergehend und für den zeitnahen Übergang zu einem Betrieb ohne fossile Brennstoffe technisch unvermeidbar ist.</w:t>
      </w:r>
    </w:p>
  </w:footnote>
  <w:footnote w:id="33">
    <w:p w14:paraId="6749160E" w14:textId="77777777" w:rsidR="00EB245A" w:rsidRDefault="006021EE" w:rsidP="004E1987">
      <w:pPr>
        <w:pStyle w:val="FootnoteText"/>
        <w:ind w:left="0" w:firstLine="0"/>
      </w:pPr>
      <w:r w:rsidRPr="004E1987">
        <w:rPr>
          <w:rStyle w:val="FootnoteReference"/>
        </w:rPr>
        <w:footnoteRef/>
      </w:r>
      <w:r>
        <w:t xml:space="preserve"> Erreicht die geförderte Tätigkeit die prognostizierten Treibhausgasemissionen, die n</w:t>
      </w:r>
      <w:r>
        <w:t>icht wesentlich unter den einschlägigen Richtwerten liegen, so ist zu erläutern, warum dies nicht möglich ist. Die Richtwerte für die kostenlose Zuteilung von Zertifikaten für Tätigkeiten, die unter das Emissionshandelssystem fallen, sind in der Durchführu</w:t>
      </w:r>
      <w:r>
        <w:t>ngsverordnung (EU) 2021/447 der Kommission festgelegt.</w:t>
      </w:r>
    </w:p>
  </w:footnote>
  <w:footnote w:id="34">
    <w:p w14:paraId="79E000BB" w14:textId="77777777" w:rsidR="00EB245A" w:rsidRDefault="006021EE">
      <w:pPr>
        <w:pStyle w:val="FootnoteText"/>
        <w:ind w:left="0" w:firstLine="0"/>
      </w:pPr>
      <w:r w:rsidRPr="004E1987">
        <w:rPr>
          <w:rStyle w:val="FootnoteReference"/>
        </w:rPr>
        <w:footnoteRef/>
      </w:r>
      <w:r>
        <w:t xml:space="preserve"> Dieser Ausschluss gilt nicht für Maßnahmen im Rahmen dieser Maßnahme in Anlagen, die ausschließlich der Behandlung nicht rezyklierbarer gefährlicher Abfälle dienen, und für bestehende Anlagen, wenn d</w:t>
      </w:r>
      <w:r>
        <w:t>ie Maßnahmen im Rahmen dieser Maßnahme der Steigerung der Energieeffizienz, der Abscheidung von Abgasen zur Lagerung oder Verwendung oder der Rückgewinnung von Materialien aus Verbrennungsasche dienen, sofern diese Maßnahmen im Rahmen dieser Maßnahme nicht</w:t>
      </w:r>
      <w:r>
        <w:t xml:space="preserve"> zu einer Erhöhung der Abfallbehandlungskapazitäten der Anlagen oder zu einer Verlängerung der Lebensdauer der Anlagen führen; für die Nachweise auf Anlagenebene erbracht werden. </w:t>
      </w:r>
    </w:p>
  </w:footnote>
  <w:footnote w:id="35">
    <w:p w14:paraId="21890A7C" w14:textId="77777777" w:rsidR="00EB245A" w:rsidRDefault="006021EE">
      <w:pPr>
        <w:pStyle w:val="FootnoteText"/>
        <w:ind w:left="0" w:firstLine="0"/>
      </w:pPr>
      <w:r w:rsidRPr="004E1987">
        <w:rPr>
          <w:rStyle w:val="FootnoteReference"/>
        </w:rPr>
        <w:footnoteRef/>
      </w:r>
      <w:r>
        <w:t xml:space="preserve"> Dieser Ausschluss gilt nicht für Maßnahmen im Rahmen dieser Maßnahme in be</w:t>
      </w:r>
      <w:r>
        <w:t>stehenden Anlagen zur mechanisch-biologischen Behandlung, bei denen die Maßnahmen im Rahmen dieser Maßnahme der Steigerung der Energieeffizienz oder der Nachrüstung von getrennten Abfällen zur Kompostierung von Bioabfällen und der anaeroben Vergärung von B</w:t>
      </w:r>
      <w:r>
        <w:t>ioabfällen dienen, sofern diese Maßnahmen im Rahmen dieser Maßnahme nicht zu einer Erhöhung der Abfallaufbereitungskapazität der Anlagen oder zu einer Verlängerung der Lebensdauer der Anlagen führen; für die Nachweise auf Anlagenebene erbracht werden. </w:t>
      </w:r>
    </w:p>
  </w:footnote>
  <w:footnote w:id="36">
    <w:p w14:paraId="0D5173A8" w14:textId="1571E7A1" w:rsidR="00EB245A" w:rsidRDefault="006021EE">
      <w:pPr>
        <w:pStyle w:val="FootnoteText"/>
        <w:ind w:left="0" w:firstLine="0"/>
      </w:pPr>
      <w:r w:rsidRPr="004E1987">
        <w:rPr>
          <w:rStyle w:val="FootnoteReference"/>
        </w:rPr>
        <w:footnoteRef/>
      </w:r>
      <w:r>
        <w:t xml:space="preserve"> Endbegünstigte, die mit spezifischen Projekten assoziiert sind, müssen für jedes geförderte Projekt eine Begründung des ausgewählten Interventionsbereichs zusammen mit einer Beschreibung des Projekts für die Zwecke der Berechnung des Beitrags zum Klimasch</w:t>
      </w:r>
      <w:r>
        <w:t>utz vorlegen. Der Durchführungspartner ist ferner verpflichtet, dem Mitgliedstaat einen halbjährlichen Bericht über die Durchführung jedes Projekts/jeder Tätigkeit vorzulegen.</w:t>
      </w:r>
    </w:p>
  </w:footnote>
  <w:footnote w:id="37">
    <w:p w14:paraId="2163F6F7" w14:textId="2CAE7102" w:rsidR="00EB245A" w:rsidRDefault="006021EE">
      <w:pPr>
        <w:pStyle w:val="FootnoteText"/>
        <w:ind w:left="0" w:firstLine="0"/>
      </w:pPr>
      <w:r w:rsidRPr="004E1987">
        <w:rPr>
          <w:rStyle w:val="FootnoteReference"/>
        </w:rPr>
        <w:footnoteRef/>
      </w:r>
      <w:r>
        <w:t xml:space="preserve"> Ausgenommen a) Anlagen und Tätigkeiten im Bereich der Strom- und/oder Wärmeerz</w:t>
      </w:r>
      <w:r>
        <w:t>eugung sowie die damit verbundene Fernleitungs- und Verteilungsinfrastruktur unter Verwendung von Erdgas, die die in Anhang III der Technischen Leitlinien für die Vermeidung erheblicher Beeinträchtigungen (C(2023) 6454 final) festgelegten Bedingungen erfül</w:t>
      </w:r>
      <w:r>
        <w:t>len, und b) Tätigkeiten und Anlagen gemäß Ziffer ii, bei denen die Verwendung fossiler Brennstoffe vorübergehend und für den zeitnahen Übergang zu einem Betrieb ohne fossile Brennstoffe technisch unvermeidbar ist.</w:t>
      </w:r>
    </w:p>
  </w:footnote>
  <w:footnote w:id="38">
    <w:p w14:paraId="130612E3" w14:textId="77777777" w:rsidR="00EB245A" w:rsidRDefault="006021EE">
      <w:pPr>
        <w:pStyle w:val="FootnoteText"/>
        <w:ind w:left="0" w:firstLine="0"/>
      </w:pPr>
      <w:r w:rsidRPr="004E1987">
        <w:rPr>
          <w:rStyle w:val="FootnoteReference"/>
        </w:rPr>
        <w:footnoteRef/>
      </w:r>
      <w:r>
        <w:t xml:space="preserve"> Erreicht die geförderte Tätigkeit die pr</w:t>
      </w:r>
      <w:r>
        <w:t>ognostizierten Treibhausgasemissionen, die nicht wesentlich unter den einschlägigen Richtwerten liegen, so ist zu erläutern, warum dies nicht möglich ist. Die Richtwerte für die kostenlose Zuteilung von Zertifikaten für Tätigkeiten, die unter das Emissions</w:t>
      </w:r>
      <w:r>
        <w:t>handelssystem fallen, sind in der Durchführungsverordnung (EU) 2021/447 der Kommission festgelegt.</w:t>
      </w:r>
    </w:p>
  </w:footnote>
  <w:footnote w:id="39">
    <w:p w14:paraId="6B0F47EF" w14:textId="77777777" w:rsidR="00EB245A" w:rsidRDefault="006021EE">
      <w:pPr>
        <w:pStyle w:val="FootnoteText"/>
        <w:ind w:left="0" w:firstLine="0"/>
      </w:pPr>
      <w:r w:rsidRPr="004E1987">
        <w:rPr>
          <w:rStyle w:val="FootnoteReference"/>
        </w:rPr>
        <w:footnoteRef/>
      </w:r>
      <w:r>
        <w:t xml:space="preserve"> Dieser Ausschluss gilt nicht für Maßnahmen im Rahmen dieser Maßnahme in Anlagen, die ausschließlich der Behandlung nicht rezyklierbarer gefährlicher Abfäll</w:t>
      </w:r>
      <w:r>
        <w:t>e dienen, und für bestehende Anlagen, wenn die Maßnahmen im Rahmen dieser Maßnahme der Steigerung der Energieeffizienz, der Abscheidung von Abgasen zur Lagerung oder Verwendung oder der Rückgewinnung von Materialien aus Verbrennungsasche dienen, sofern die</w:t>
      </w:r>
      <w:r>
        <w:t>se Maßnahmen im Rahmen dieser Maßnahme nicht zu einer Erhöhung der Abfallbehandlungskapazitäten der Anlagen oder zu einer Verlängerung der Lebensdauer der Anlagen führen; für die Nachweise auf Anlagenebene erbracht werden. </w:t>
      </w:r>
    </w:p>
  </w:footnote>
  <w:footnote w:id="40">
    <w:p w14:paraId="444781E0" w14:textId="77777777" w:rsidR="00EB245A" w:rsidRDefault="006021EE">
      <w:pPr>
        <w:pStyle w:val="FootnoteText"/>
        <w:ind w:left="0" w:firstLine="0"/>
      </w:pPr>
      <w:r w:rsidRPr="004E1987">
        <w:rPr>
          <w:rStyle w:val="FootnoteReference"/>
        </w:rPr>
        <w:footnoteRef/>
      </w:r>
      <w:r>
        <w:t xml:space="preserve"> Dieser Ausschluss gilt nicht f</w:t>
      </w:r>
      <w:r>
        <w:t>ür Maßnahmen im Rahmen dieser Maßnahme in bestehenden Anlagen zur mechanisch-biologischen Behandlung, bei denen die Maßnahmen im Rahmen dieser Maßnahme der Steigerung der Energieeffizienz oder der Nachrüstung von getrennten Abfällen zur Kompostierung von B</w:t>
      </w:r>
      <w:r>
        <w:t>ioabfällen und der anaeroben Vergärung von Bioabfällen dienen, sofern diese Maßnahmen im Rahmen dieser Maßnahme nicht zu einer Erhöhung der Abfallaufbereitungskapazität der Anlagen oder zu einer Verlängerung der Lebensdauer der Anlagen führen; für die Nach</w:t>
      </w:r>
      <w:r>
        <w:t>weise auf Anlagenebene erbracht werden. </w:t>
      </w:r>
    </w:p>
  </w:footnote>
  <w:footnote w:id="41">
    <w:p w14:paraId="1F490F25" w14:textId="77777777" w:rsidR="00EB245A" w:rsidRDefault="006021EE">
      <w:pPr>
        <w:pStyle w:val="NormalWeb"/>
        <w:spacing w:before="0" w:beforeAutospacing="0" w:after="0" w:afterAutospacing="0"/>
        <w:rPr>
          <w:rFonts w:ascii="Calibri" w:hAnsi="Calibri" w:cs="Calibri"/>
          <w:sz w:val="22"/>
        </w:rPr>
      </w:pPr>
      <w:r w:rsidRPr="004E1987">
        <w:rPr>
          <w:rStyle w:val="FootnoteReference"/>
        </w:rPr>
        <w:footnoteRef/>
      </w:r>
      <w:r>
        <w:t xml:space="preserve"> </w:t>
      </w:r>
      <w:r>
        <w:rPr>
          <w:sz w:val="20"/>
        </w:rPr>
        <w:t>Endbegünstigte, die mit spezifischen Projekten assoziiert sind, müssen für jedes geförderte Projekt eine Begründung des ausgewählten Interventionsbereichs zusammen mit einer Beschreibung des Projekts für die Zweck</w:t>
      </w:r>
      <w:r>
        <w:rPr>
          <w:sz w:val="20"/>
        </w:rPr>
        <w:t>e der Berechnung des Beitrags zum Klimaschutz vorlegen. Der Durchführungspartner ist ferner verpflichtet, dem Mitgliedstaat einen halbjährlichen Bericht über die Durchführung jedes Projekts/jeder Tätigkeit vorzulegen.</w:t>
      </w:r>
    </w:p>
    <w:p w14:paraId="00D37130" w14:textId="50D6BF7A" w:rsidR="00EB245A" w:rsidRDefault="00EB245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797AE" w14:textId="77777777" w:rsidR="006021EE" w:rsidRPr="006021EE" w:rsidRDefault="006021EE" w:rsidP="006021EE">
    <w:pPr>
      <w:pStyle w:val="HeaderCoverPag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FF747" w14:textId="77777777" w:rsidR="00EB245A" w:rsidRDefault="00EB245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FF884" w14:textId="77777777" w:rsidR="00EB245A" w:rsidRDefault="00EB245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577AF" w14:textId="77777777" w:rsidR="00EB245A" w:rsidRDefault="00EB245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E6D68" w14:textId="77777777" w:rsidR="00EB245A" w:rsidRDefault="00EB245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4E0B2" w14:textId="77777777" w:rsidR="00EB245A" w:rsidRDefault="00EB245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5D6E9" w14:textId="77777777" w:rsidR="00EB245A" w:rsidRDefault="00EB245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70FBB" w14:textId="77777777" w:rsidR="00EB245A" w:rsidRDefault="00EB245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BE25A" w14:textId="77777777" w:rsidR="00EB245A" w:rsidRDefault="00EB245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77D48" w14:textId="77777777" w:rsidR="00EB245A" w:rsidRDefault="00EB245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2B8F9" w14:textId="77777777" w:rsidR="00EB245A" w:rsidRDefault="00EB24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9AC7C" w14:textId="77777777" w:rsidR="006021EE" w:rsidRPr="006021EE" w:rsidRDefault="006021EE" w:rsidP="006021EE">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A9836" w14:textId="77777777" w:rsidR="00EB245A" w:rsidRDefault="00EB245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5E008" w14:textId="77777777" w:rsidR="00EB245A" w:rsidRDefault="00EB245A">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E7A2C" w14:textId="77777777" w:rsidR="00EB245A" w:rsidRDefault="00EB245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FC03" w14:textId="77777777" w:rsidR="00EB245A" w:rsidRDefault="00EB245A">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ED501" w14:textId="77777777" w:rsidR="00EB245A" w:rsidRDefault="00EB245A">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0E7A7" w14:textId="77777777" w:rsidR="00EB245A" w:rsidRDefault="00EB245A">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F0C5E" w14:textId="77777777" w:rsidR="00EB245A" w:rsidRDefault="00EB245A">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220FA" w14:textId="77777777" w:rsidR="00EB245A" w:rsidRDefault="00EB245A">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F30A4" w14:textId="77777777" w:rsidR="00EB245A" w:rsidRDefault="00EB245A">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4D195" w14:textId="77777777" w:rsidR="00EB245A" w:rsidRDefault="00EB24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69AEB" w14:textId="77777777" w:rsidR="006021EE" w:rsidRPr="006021EE" w:rsidRDefault="006021EE" w:rsidP="006021EE">
    <w:pPr>
      <w:pStyle w:val="HeaderCoverPage"/>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DA92C" w14:textId="77777777" w:rsidR="00EB245A" w:rsidRDefault="00EB245A">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2A837" w14:textId="77777777" w:rsidR="00EB245A" w:rsidRDefault="00EB245A">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2860B" w14:textId="77777777" w:rsidR="00EB245A" w:rsidRDefault="00EB245A">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08331" w14:textId="77777777" w:rsidR="00EB245A" w:rsidRDefault="00EB245A">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6C40E" w14:textId="77777777" w:rsidR="00EB245A" w:rsidRDefault="00EB245A">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35555" w14:textId="77777777" w:rsidR="00EB245A" w:rsidRDefault="00EB245A">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19C6E" w14:textId="77777777" w:rsidR="00EB245A" w:rsidRDefault="00EB245A">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94B97" w14:textId="77777777" w:rsidR="00EB245A" w:rsidRDefault="00EB245A">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4943C" w14:textId="77777777" w:rsidR="00EB245A" w:rsidRDefault="00EB245A">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D7778" w14:textId="77777777" w:rsidR="00EB245A" w:rsidRDefault="00EB24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B2522" w14:textId="77777777" w:rsidR="00EB245A" w:rsidRDefault="00EB245A">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F0334" w14:textId="77777777" w:rsidR="00EB245A" w:rsidRDefault="00EB245A">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04CCB" w14:textId="77777777" w:rsidR="00EB245A" w:rsidRDefault="00EB245A">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50CB3" w14:textId="77777777" w:rsidR="00EB245A" w:rsidRDefault="00EB245A">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360B8" w14:textId="77777777" w:rsidR="00EB245A" w:rsidRDefault="00EB245A">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938B" w14:textId="77777777" w:rsidR="00EB245A" w:rsidRDefault="00EB245A">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EAE01" w14:textId="77777777" w:rsidR="00EB245A" w:rsidRDefault="00EB245A">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B98D5" w14:textId="77777777" w:rsidR="00EB245A" w:rsidRDefault="00EB245A">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6FC12" w14:textId="77777777" w:rsidR="00EB245A" w:rsidRDefault="00EB245A">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7610E" w14:textId="77777777" w:rsidR="00EB245A" w:rsidRDefault="00EB245A">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07069" w14:textId="77777777" w:rsidR="00EB245A" w:rsidRDefault="00EB24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39DCA" w14:textId="77777777" w:rsidR="00EB245A" w:rsidRDefault="006021EE">
    <w:pPr>
      <w:pStyle w:val="HeaderCouncilLarge"/>
    </w:pPr>
    <w:r>
      <w:t xml:space="preserve"> </w:t>
    </w: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070F0" w14:textId="77777777" w:rsidR="00EB245A" w:rsidRDefault="00EB245A">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88F8C" w14:textId="77777777" w:rsidR="00EB245A" w:rsidRDefault="00EB245A">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A139D" w14:textId="77777777" w:rsidR="00EB245A" w:rsidRDefault="00EB245A">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3B4B9" w14:textId="77777777" w:rsidR="00EB245A" w:rsidRDefault="00EB245A">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6F948" w14:textId="77777777" w:rsidR="00EB245A" w:rsidRDefault="00EB245A">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26D91" w14:textId="77777777" w:rsidR="00EB245A" w:rsidRDefault="00EB245A">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0069A" w14:textId="77777777" w:rsidR="00EB245A" w:rsidRDefault="00EB245A">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AD364" w14:textId="77777777" w:rsidR="00EB245A" w:rsidRDefault="00EB245A">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A08E0" w14:textId="77777777" w:rsidR="00EB245A" w:rsidRDefault="00EB245A">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BC471" w14:textId="77777777" w:rsidR="00EB245A" w:rsidRDefault="00EB24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E5B1E" w14:textId="77777777" w:rsidR="00EB245A" w:rsidRDefault="00EB245A">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0829D" w14:textId="77777777" w:rsidR="00EB245A" w:rsidRDefault="00EB245A">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C6F47" w14:textId="77777777" w:rsidR="00EB245A" w:rsidRDefault="00EB245A">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160CB" w14:textId="77777777" w:rsidR="00EB245A" w:rsidRDefault="00EB245A">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CEB47" w14:textId="77777777" w:rsidR="00EB245A" w:rsidRDefault="00EB245A">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4AFED" w14:textId="77777777" w:rsidR="00EB245A" w:rsidRDefault="00EB245A">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D2C48" w14:textId="77777777" w:rsidR="00EB245A" w:rsidRDefault="00EB245A">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E47D9" w14:textId="77777777" w:rsidR="00EB245A" w:rsidRDefault="00EB245A">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8D1BC" w14:textId="77777777" w:rsidR="00EB245A" w:rsidRDefault="00EB245A">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3CF20" w14:textId="77777777" w:rsidR="00EB245A" w:rsidRDefault="00EB245A">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989B1" w14:textId="77777777" w:rsidR="00EB245A" w:rsidRDefault="00EB245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E47F7" w14:textId="77777777" w:rsidR="00EB245A" w:rsidRDefault="00EB245A">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28EE9" w14:textId="77777777" w:rsidR="00EB245A" w:rsidRDefault="00EB245A">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23F1C" w14:textId="77777777" w:rsidR="00EB245A" w:rsidRDefault="00EB245A">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0C26A" w14:textId="77777777" w:rsidR="00EB245A" w:rsidRDefault="00EB245A">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C539F" w14:textId="77777777" w:rsidR="00EB245A" w:rsidRDefault="00EB245A">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A8924" w14:textId="77777777" w:rsidR="00EB245A" w:rsidRDefault="00EB245A">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1A375" w14:textId="77777777" w:rsidR="00EB245A" w:rsidRDefault="00EB245A">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5F524" w14:textId="77777777" w:rsidR="00EB245A" w:rsidRDefault="00EB245A">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6CC66" w14:textId="77777777" w:rsidR="00EB245A" w:rsidRDefault="00EB245A">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8D072" w14:textId="77777777" w:rsidR="00EB245A" w:rsidRDefault="00EB245A">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70B50" w14:textId="77777777" w:rsidR="00EB245A" w:rsidRDefault="00EB245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7F98F" w14:textId="77777777" w:rsidR="00EB245A" w:rsidRDefault="00EB245A">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DB1DD" w14:textId="77777777" w:rsidR="00EB245A" w:rsidRDefault="00EB245A">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62113" w14:textId="77777777" w:rsidR="00EB245A" w:rsidRDefault="00EB245A">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AAD6D" w14:textId="77777777" w:rsidR="00EB245A" w:rsidRDefault="00EB245A">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B440C" w14:textId="77777777" w:rsidR="00EB245A" w:rsidRDefault="00EB245A">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906B7" w14:textId="77777777" w:rsidR="00EB245A" w:rsidRDefault="00EB245A">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C9D71" w14:textId="77777777" w:rsidR="00EB245A" w:rsidRDefault="00EB245A">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02EAC" w14:textId="77777777" w:rsidR="00EB245A" w:rsidRDefault="00EB245A">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0DDD3" w14:textId="77777777" w:rsidR="00EB245A" w:rsidRDefault="00EB245A">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0882F" w14:textId="77777777" w:rsidR="00EB245A" w:rsidRDefault="00EB245A">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BC26E" w14:textId="77777777" w:rsidR="00EB245A" w:rsidRDefault="00EB24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B60E1" w14:textId="77777777" w:rsidR="00EB245A" w:rsidRDefault="00EB245A">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ACBDA" w14:textId="77777777" w:rsidR="00EB245A" w:rsidRDefault="00EB245A">
    <w:pPr>
      <w:pStyle w:val="Header"/>
    </w:pPr>
  </w:p>
</w:hdr>
</file>

<file path=word/intelligence.xml><?xml version="1.0" encoding="utf-8"?>
<int:Intelligence xmlns:int="http://schemas.microsoft.com/office/intelligence/2019/intelligence">
  <int:IntelligenceSettings/>
  <int:Manifest>
    <int:WordHash hashCode="4ilNJA7VQe2W4v" id="saK5d4xp"/>
    <int:ParagraphRange paragraphId="730702701" textId="1384402202" start="72" length="5" invalidationStart="72" invalidationLength="5" id="pegID2jZ"/>
  </int:Manifest>
  <int:Observations>
    <int:Content id="saK5d4xp">
      <int:Rejection type="LegacyProofing"/>
    </int:Content>
    <int:Content id="pegID2jZ">
      <int:Rejection type="LegacyProofing"/>
    </int:Content>
  </int:Observations>
</int:Intelligence>
</file>

<file path=word/intelligence2.xml><?xml version="1.0" encoding="utf-8"?>
<int2:intelligence xmlns:int2="http://schemas.microsoft.com/office/intelligence/2020/intelligence" xmlns:oel="http://schemas.microsoft.com/office/2019/extlst">
  <int2:observations>
    <int2:textHash int2:hashCode="4ilNJA7VQe2W4v" int2:id="saK5d4xp">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singleLevel"/>
    <w:tmpl w:val="00000011"/>
    <w:name w:val="WW8Num61"/>
    <w:lvl w:ilvl="0">
      <w:start w:val="1"/>
      <w:numFmt w:val="bullet"/>
      <w:lvlText w:val="-"/>
      <w:lvlJc w:val="left"/>
      <w:pPr>
        <w:tabs>
          <w:tab w:val="num" w:pos="0"/>
        </w:tabs>
        <w:ind w:left="720" w:hanging="360"/>
      </w:pPr>
      <w:rPr>
        <w:rFonts w:ascii="Courier New" w:hAnsi="Courier New" w:cs="Courier New"/>
      </w:rPr>
    </w:lvl>
  </w:abstractNum>
  <w:abstractNum w:abstractNumId="1" w15:restartNumberingAfterBreak="0">
    <w:nsid w:val="0011A0E7"/>
    <w:multiLevelType w:val="hybridMultilevel"/>
    <w:tmpl w:val="FFFFFFFF"/>
    <w:lvl w:ilvl="0" w:tplc="1F7298FE">
      <w:start w:val="1"/>
      <w:numFmt w:val="decimal"/>
      <w:lvlText w:val="%1."/>
      <w:lvlJc w:val="left"/>
      <w:pPr>
        <w:ind w:left="720" w:hanging="360"/>
      </w:pPr>
    </w:lvl>
    <w:lvl w:ilvl="1" w:tplc="BA6E96B0">
      <w:start w:val="1"/>
      <w:numFmt w:val="lowerLetter"/>
      <w:lvlText w:val="%2."/>
      <w:lvlJc w:val="left"/>
      <w:pPr>
        <w:ind w:left="1440" w:hanging="360"/>
      </w:pPr>
    </w:lvl>
    <w:lvl w:ilvl="2" w:tplc="8944768C">
      <w:start w:val="1"/>
      <w:numFmt w:val="lowerRoman"/>
      <w:lvlText w:val="%3."/>
      <w:lvlJc w:val="right"/>
      <w:pPr>
        <w:ind w:left="2160" w:hanging="180"/>
      </w:pPr>
    </w:lvl>
    <w:lvl w:ilvl="3" w:tplc="3EA827DC">
      <w:start w:val="1"/>
      <w:numFmt w:val="decimal"/>
      <w:lvlText w:val="%4."/>
      <w:lvlJc w:val="left"/>
      <w:pPr>
        <w:ind w:left="2880" w:hanging="360"/>
      </w:pPr>
    </w:lvl>
    <w:lvl w:ilvl="4" w:tplc="A5C2AC48">
      <w:start w:val="1"/>
      <w:numFmt w:val="lowerLetter"/>
      <w:lvlText w:val="%5."/>
      <w:lvlJc w:val="left"/>
      <w:pPr>
        <w:ind w:left="3600" w:hanging="360"/>
      </w:pPr>
    </w:lvl>
    <w:lvl w:ilvl="5" w:tplc="CD4EB3EE">
      <w:start w:val="1"/>
      <w:numFmt w:val="lowerRoman"/>
      <w:lvlText w:val="%6."/>
      <w:lvlJc w:val="right"/>
      <w:pPr>
        <w:ind w:left="4320" w:hanging="180"/>
      </w:pPr>
    </w:lvl>
    <w:lvl w:ilvl="6" w:tplc="201414D2">
      <w:start w:val="1"/>
      <w:numFmt w:val="decimal"/>
      <w:lvlText w:val="%7."/>
      <w:lvlJc w:val="left"/>
      <w:pPr>
        <w:ind w:left="5040" w:hanging="360"/>
      </w:pPr>
    </w:lvl>
    <w:lvl w:ilvl="7" w:tplc="1F4AD862">
      <w:start w:val="1"/>
      <w:numFmt w:val="lowerLetter"/>
      <w:lvlText w:val="%8."/>
      <w:lvlJc w:val="left"/>
      <w:pPr>
        <w:ind w:left="5760" w:hanging="360"/>
      </w:pPr>
    </w:lvl>
    <w:lvl w:ilvl="8" w:tplc="DF462B7A">
      <w:start w:val="1"/>
      <w:numFmt w:val="lowerRoman"/>
      <w:lvlText w:val="%9."/>
      <w:lvlJc w:val="right"/>
      <w:pPr>
        <w:ind w:left="6480" w:hanging="180"/>
      </w:pPr>
    </w:lvl>
  </w:abstractNum>
  <w:abstractNum w:abstractNumId="2" w15:restartNumberingAfterBreak="0">
    <w:nsid w:val="00CA018E"/>
    <w:multiLevelType w:val="hybridMultilevel"/>
    <w:tmpl w:val="B406D3A8"/>
    <w:lvl w:ilvl="0" w:tplc="729AF088">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070AFBC">
      <w:start w:val="1"/>
      <w:numFmt w:val="bullet"/>
      <w:lvlText w:val="o"/>
      <w:lvlJc w:val="left"/>
      <w:pPr>
        <w:ind w:left="11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0367A2C">
      <w:start w:val="1"/>
      <w:numFmt w:val="bullet"/>
      <w:lvlText w:val="▪"/>
      <w:lvlJc w:val="left"/>
      <w:pPr>
        <w:ind w:left="19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0461FE2">
      <w:start w:val="1"/>
      <w:numFmt w:val="bullet"/>
      <w:lvlText w:val="•"/>
      <w:lvlJc w:val="left"/>
      <w:pPr>
        <w:ind w:left="26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1B41B72">
      <w:start w:val="1"/>
      <w:numFmt w:val="bullet"/>
      <w:lvlText w:val="o"/>
      <w:lvlJc w:val="left"/>
      <w:pPr>
        <w:ind w:left="33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610B7F8">
      <w:start w:val="1"/>
      <w:numFmt w:val="bullet"/>
      <w:lvlText w:val="▪"/>
      <w:lvlJc w:val="left"/>
      <w:pPr>
        <w:ind w:left="40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E708402">
      <w:start w:val="1"/>
      <w:numFmt w:val="bullet"/>
      <w:lvlText w:val="•"/>
      <w:lvlJc w:val="left"/>
      <w:pPr>
        <w:ind w:left="47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B40DB94">
      <w:start w:val="1"/>
      <w:numFmt w:val="bullet"/>
      <w:lvlText w:val="o"/>
      <w:lvlJc w:val="left"/>
      <w:pPr>
        <w:ind w:left="55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7447684">
      <w:start w:val="1"/>
      <w:numFmt w:val="bullet"/>
      <w:lvlText w:val="▪"/>
      <w:lvlJc w:val="left"/>
      <w:pPr>
        <w:ind w:left="62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0CB1C81"/>
    <w:multiLevelType w:val="hybridMultilevel"/>
    <w:tmpl w:val="7AB02B62"/>
    <w:lvl w:ilvl="0" w:tplc="9DA09234">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F94EF96">
      <w:start w:val="1"/>
      <w:numFmt w:val="bullet"/>
      <w:lvlText w:val="o"/>
      <w:lvlJc w:val="left"/>
      <w:pPr>
        <w:ind w:left="11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85C9E8C">
      <w:start w:val="1"/>
      <w:numFmt w:val="bullet"/>
      <w:lvlText w:val="▪"/>
      <w:lvlJc w:val="left"/>
      <w:pPr>
        <w:ind w:left="19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1C0300A">
      <w:start w:val="1"/>
      <w:numFmt w:val="bullet"/>
      <w:lvlText w:val="•"/>
      <w:lvlJc w:val="left"/>
      <w:pPr>
        <w:ind w:left="26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A703756">
      <w:start w:val="1"/>
      <w:numFmt w:val="bullet"/>
      <w:lvlText w:val="o"/>
      <w:lvlJc w:val="left"/>
      <w:pPr>
        <w:ind w:left="33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C720748">
      <w:start w:val="1"/>
      <w:numFmt w:val="bullet"/>
      <w:lvlText w:val="▪"/>
      <w:lvlJc w:val="left"/>
      <w:pPr>
        <w:ind w:left="40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6B27A4A">
      <w:start w:val="1"/>
      <w:numFmt w:val="bullet"/>
      <w:lvlText w:val="•"/>
      <w:lvlJc w:val="left"/>
      <w:pPr>
        <w:ind w:left="47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98A0BFC">
      <w:start w:val="1"/>
      <w:numFmt w:val="bullet"/>
      <w:lvlText w:val="o"/>
      <w:lvlJc w:val="left"/>
      <w:pPr>
        <w:ind w:left="55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BC6AEB2">
      <w:start w:val="1"/>
      <w:numFmt w:val="bullet"/>
      <w:lvlText w:val="▪"/>
      <w:lvlJc w:val="left"/>
      <w:pPr>
        <w:ind w:left="62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0FC7C37"/>
    <w:multiLevelType w:val="hybridMultilevel"/>
    <w:tmpl w:val="3BD82E48"/>
    <w:lvl w:ilvl="0" w:tplc="FD508F14">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65E4D5E">
      <w:start w:val="1"/>
      <w:numFmt w:val="bullet"/>
      <w:lvlText w:val="o"/>
      <w:lvlJc w:val="left"/>
      <w:pPr>
        <w:ind w:left="11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9A3F38">
      <w:start w:val="1"/>
      <w:numFmt w:val="bullet"/>
      <w:lvlText w:val="▪"/>
      <w:lvlJc w:val="left"/>
      <w:pPr>
        <w:ind w:left="19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8DE3814">
      <w:start w:val="1"/>
      <w:numFmt w:val="bullet"/>
      <w:lvlText w:val="•"/>
      <w:lvlJc w:val="left"/>
      <w:pPr>
        <w:ind w:left="26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388AAE0">
      <w:start w:val="1"/>
      <w:numFmt w:val="bullet"/>
      <w:lvlText w:val="o"/>
      <w:lvlJc w:val="left"/>
      <w:pPr>
        <w:ind w:left="33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0C467EA">
      <w:start w:val="1"/>
      <w:numFmt w:val="bullet"/>
      <w:lvlText w:val="▪"/>
      <w:lvlJc w:val="left"/>
      <w:pPr>
        <w:ind w:left="40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AE2C212">
      <w:start w:val="1"/>
      <w:numFmt w:val="bullet"/>
      <w:lvlText w:val="•"/>
      <w:lvlJc w:val="left"/>
      <w:pPr>
        <w:ind w:left="47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B0C3C60">
      <w:start w:val="1"/>
      <w:numFmt w:val="bullet"/>
      <w:lvlText w:val="o"/>
      <w:lvlJc w:val="left"/>
      <w:pPr>
        <w:ind w:left="55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9BE55D6">
      <w:start w:val="1"/>
      <w:numFmt w:val="bullet"/>
      <w:lvlText w:val="▪"/>
      <w:lvlJc w:val="left"/>
      <w:pPr>
        <w:ind w:left="62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2A530DD"/>
    <w:multiLevelType w:val="multilevel"/>
    <w:tmpl w:val="78BA19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2A53DE3"/>
    <w:multiLevelType w:val="hybridMultilevel"/>
    <w:tmpl w:val="FFFFFFFF"/>
    <w:lvl w:ilvl="0" w:tplc="B3EA97AA">
      <w:start w:val="1"/>
      <w:numFmt w:val="bullet"/>
      <w:lvlText w:val="·"/>
      <w:lvlJc w:val="left"/>
      <w:pPr>
        <w:ind w:left="720" w:hanging="360"/>
      </w:pPr>
      <w:rPr>
        <w:rFonts w:ascii="Symbol" w:hAnsi="Symbol" w:hint="default"/>
      </w:rPr>
    </w:lvl>
    <w:lvl w:ilvl="1" w:tplc="D57C8124">
      <w:start w:val="1"/>
      <w:numFmt w:val="bullet"/>
      <w:lvlText w:val="o"/>
      <w:lvlJc w:val="left"/>
      <w:pPr>
        <w:ind w:left="1440" w:hanging="360"/>
      </w:pPr>
      <w:rPr>
        <w:rFonts w:ascii="Courier New" w:hAnsi="Courier New" w:hint="default"/>
      </w:rPr>
    </w:lvl>
    <w:lvl w:ilvl="2" w:tplc="E12ABCCA">
      <w:start w:val="1"/>
      <w:numFmt w:val="bullet"/>
      <w:lvlText w:val=""/>
      <w:lvlJc w:val="left"/>
      <w:pPr>
        <w:ind w:left="2160" w:hanging="360"/>
      </w:pPr>
      <w:rPr>
        <w:rFonts w:ascii="Wingdings" w:hAnsi="Wingdings" w:hint="default"/>
      </w:rPr>
    </w:lvl>
    <w:lvl w:ilvl="3" w:tplc="11CC149A">
      <w:start w:val="1"/>
      <w:numFmt w:val="bullet"/>
      <w:lvlText w:val=""/>
      <w:lvlJc w:val="left"/>
      <w:pPr>
        <w:ind w:left="2880" w:hanging="360"/>
      </w:pPr>
      <w:rPr>
        <w:rFonts w:ascii="Symbol" w:hAnsi="Symbol" w:hint="default"/>
      </w:rPr>
    </w:lvl>
    <w:lvl w:ilvl="4" w:tplc="D9EE140C">
      <w:start w:val="1"/>
      <w:numFmt w:val="bullet"/>
      <w:lvlText w:val="o"/>
      <w:lvlJc w:val="left"/>
      <w:pPr>
        <w:ind w:left="3600" w:hanging="360"/>
      </w:pPr>
      <w:rPr>
        <w:rFonts w:ascii="Courier New" w:hAnsi="Courier New" w:hint="default"/>
      </w:rPr>
    </w:lvl>
    <w:lvl w:ilvl="5" w:tplc="64C09290">
      <w:start w:val="1"/>
      <w:numFmt w:val="bullet"/>
      <w:lvlText w:val=""/>
      <w:lvlJc w:val="left"/>
      <w:pPr>
        <w:ind w:left="4320" w:hanging="360"/>
      </w:pPr>
      <w:rPr>
        <w:rFonts w:ascii="Wingdings" w:hAnsi="Wingdings" w:hint="default"/>
      </w:rPr>
    </w:lvl>
    <w:lvl w:ilvl="6" w:tplc="41FCBCEC">
      <w:start w:val="1"/>
      <w:numFmt w:val="bullet"/>
      <w:lvlText w:val=""/>
      <w:lvlJc w:val="left"/>
      <w:pPr>
        <w:ind w:left="5040" w:hanging="360"/>
      </w:pPr>
      <w:rPr>
        <w:rFonts w:ascii="Symbol" w:hAnsi="Symbol" w:hint="default"/>
      </w:rPr>
    </w:lvl>
    <w:lvl w:ilvl="7" w:tplc="4C944430">
      <w:start w:val="1"/>
      <w:numFmt w:val="bullet"/>
      <w:lvlText w:val="o"/>
      <w:lvlJc w:val="left"/>
      <w:pPr>
        <w:ind w:left="5760" w:hanging="360"/>
      </w:pPr>
      <w:rPr>
        <w:rFonts w:ascii="Courier New" w:hAnsi="Courier New" w:hint="default"/>
      </w:rPr>
    </w:lvl>
    <w:lvl w:ilvl="8" w:tplc="3DD6C814">
      <w:start w:val="1"/>
      <w:numFmt w:val="bullet"/>
      <w:lvlText w:val=""/>
      <w:lvlJc w:val="left"/>
      <w:pPr>
        <w:ind w:left="6480" w:hanging="360"/>
      </w:pPr>
      <w:rPr>
        <w:rFonts w:ascii="Wingdings" w:hAnsi="Wingdings" w:hint="default"/>
      </w:rPr>
    </w:lvl>
  </w:abstractNum>
  <w:abstractNum w:abstractNumId="7" w15:restartNumberingAfterBreak="0">
    <w:nsid w:val="033C4423"/>
    <w:multiLevelType w:val="hybridMultilevel"/>
    <w:tmpl w:val="66D09DAA"/>
    <w:lvl w:ilvl="0" w:tplc="0D667F2A">
      <w:start w:val="1"/>
      <w:numFmt w:val="bullet"/>
      <w:lvlText w:val="-"/>
      <w:lvlJc w:val="left"/>
      <w:pPr>
        <w:ind w:left="720" w:hanging="360"/>
      </w:pPr>
      <w:rPr>
        <w:rFonts w:ascii="Calibri" w:hAnsi="Calibri" w:hint="default"/>
      </w:rPr>
    </w:lvl>
    <w:lvl w:ilvl="1" w:tplc="F29C1300">
      <w:start w:val="1"/>
      <w:numFmt w:val="bullet"/>
      <w:lvlText w:val="o"/>
      <w:lvlJc w:val="left"/>
      <w:pPr>
        <w:ind w:left="1440" w:hanging="360"/>
      </w:pPr>
      <w:rPr>
        <w:rFonts w:ascii="Courier New" w:hAnsi="Courier New" w:hint="default"/>
      </w:rPr>
    </w:lvl>
    <w:lvl w:ilvl="2" w:tplc="43CA055C">
      <w:start w:val="1"/>
      <w:numFmt w:val="bullet"/>
      <w:lvlText w:val=""/>
      <w:lvlJc w:val="left"/>
      <w:pPr>
        <w:ind w:left="2160" w:hanging="360"/>
      </w:pPr>
      <w:rPr>
        <w:rFonts w:ascii="Wingdings" w:hAnsi="Wingdings" w:hint="default"/>
      </w:rPr>
    </w:lvl>
    <w:lvl w:ilvl="3" w:tplc="10EEDF28">
      <w:start w:val="1"/>
      <w:numFmt w:val="bullet"/>
      <w:lvlText w:val=""/>
      <w:lvlJc w:val="left"/>
      <w:pPr>
        <w:ind w:left="2880" w:hanging="360"/>
      </w:pPr>
      <w:rPr>
        <w:rFonts w:ascii="Symbol" w:hAnsi="Symbol" w:hint="default"/>
      </w:rPr>
    </w:lvl>
    <w:lvl w:ilvl="4" w:tplc="BAC21754">
      <w:start w:val="1"/>
      <w:numFmt w:val="bullet"/>
      <w:lvlText w:val="o"/>
      <w:lvlJc w:val="left"/>
      <w:pPr>
        <w:ind w:left="3600" w:hanging="360"/>
      </w:pPr>
      <w:rPr>
        <w:rFonts w:ascii="Courier New" w:hAnsi="Courier New" w:hint="default"/>
      </w:rPr>
    </w:lvl>
    <w:lvl w:ilvl="5" w:tplc="46D6E1A4">
      <w:start w:val="1"/>
      <w:numFmt w:val="bullet"/>
      <w:lvlText w:val=""/>
      <w:lvlJc w:val="left"/>
      <w:pPr>
        <w:ind w:left="4320" w:hanging="360"/>
      </w:pPr>
      <w:rPr>
        <w:rFonts w:ascii="Wingdings" w:hAnsi="Wingdings" w:hint="default"/>
      </w:rPr>
    </w:lvl>
    <w:lvl w:ilvl="6" w:tplc="E0D613A0">
      <w:start w:val="1"/>
      <w:numFmt w:val="bullet"/>
      <w:lvlText w:val=""/>
      <w:lvlJc w:val="left"/>
      <w:pPr>
        <w:ind w:left="5040" w:hanging="360"/>
      </w:pPr>
      <w:rPr>
        <w:rFonts w:ascii="Symbol" w:hAnsi="Symbol" w:hint="default"/>
      </w:rPr>
    </w:lvl>
    <w:lvl w:ilvl="7" w:tplc="43846AF4">
      <w:start w:val="1"/>
      <w:numFmt w:val="bullet"/>
      <w:lvlText w:val="o"/>
      <w:lvlJc w:val="left"/>
      <w:pPr>
        <w:ind w:left="5760" w:hanging="360"/>
      </w:pPr>
      <w:rPr>
        <w:rFonts w:ascii="Courier New" w:hAnsi="Courier New" w:hint="default"/>
      </w:rPr>
    </w:lvl>
    <w:lvl w:ilvl="8" w:tplc="6B7A8322">
      <w:start w:val="1"/>
      <w:numFmt w:val="bullet"/>
      <w:lvlText w:val=""/>
      <w:lvlJc w:val="left"/>
      <w:pPr>
        <w:ind w:left="6480" w:hanging="360"/>
      </w:pPr>
      <w:rPr>
        <w:rFonts w:ascii="Wingdings" w:hAnsi="Wingdings" w:hint="default"/>
      </w:rPr>
    </w:lvl>
  </w:abstractNum>
  <w:abstractNum w:abstractNumId="8" w15:restartNumberingAfterBreak="0">
    <w:nsid w:val="03730246"/>
    <w:multiLevelType w:val="hybridMultilevel"/>
    <w:tmpl w:val="ABF8D33E"/>
    <w:lvl w:ilvl="0" w:tplc="A49EBB42">
      <w:start w:val="1"/>
      <w:numFmt w:val="bullet"/>
      <w:lvlText w:val="-"/>
      <w:lvlJc w:val="left"/>
      <w:pPr>
        <w:ind w:left="1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3ACFF9E">
      <w:start w:val="1"/>
      <w:numFmt w:val="bullet"/>
      <w:lvlText w:val="o"/>
      <w:lvlJc w:val="left"/>
      <w:pPr>
        <w:ind w:left="1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5B04FE8">
      <w:start w:val="1"/>
      <w:numFmt w:val="bullet"/>
      <w:lvlText w:val="▪"/>
      <w:lvlJc w:val="left"/>
      <w:pPr>
        <w:ind w:left="19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460A230">
      <w:start w:val="1"/>
      <w:numFmt w:val="bullet"/>
      <w:lvlText w:val="•"/>
      <w:lvlJc w:val="left"/>
      <w:pPr>
        <w:ind w:left="26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EDE2376">
      <w:start w:val="1"/>
      <w:numFmt w:val="bullet"/>
      <w:lvlText w:val="o"/>
      <w:lvlJc w:val="left"/>
      <w:pPr>
        <w:ind w:left="33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EDE6A50">
      <w:start w:val="1"/>
      <w:numFmt w:val="bullet"/>
      <w:lvlText w:val="▪"/>
      <w:lvlJc w:val="left"/>
      <w:pPr>
        <w:ind w:left="40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C4AB678">
      <w:start w:val="1"/>
      <w:numFmt w:val="bullet"/>
      <w:lvlText w:val="•"/>
      <w:lvlJc w:val="left"/>
      <w:pPr>
        <w:ind w:left="47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CD2D292">
      <w:start w:val="1"/>
      <w:numFmt w:val="bullet"/>
      <w:lvlText w:val="o"/>
      <w:lvlJc w:val="left"/>
      <w:pPr>
        <w:ind w:left="55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46DB32">
      <w:start w:val="1"/>
      <w:numFmt w:val="bullet"/>
      <w:lvlText w:val="▪"/>
      <w:lvlJc w:val="left"/>
      <w:pPr>
        <w:ind w:left="62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04C768D6"/>
    <w:multiLevelType w:val="hybridMultilevel"/>
    <w:tmpl w:val="2FA6727E"/>
    <w:lvl w:ilvl="0" w:tplc="BADAAE5C">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6C24C9C">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832C09A">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AC8DA92">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45290F2">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D48D4B4">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A74A81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D4C6D86">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ED008F4">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4EF7EEA"/>
    <w:multiLevelType w:val="multilevel"/>
    <w:tmpl w:val="3A2649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0C4504"/>
    <w:multiLevelType w:val="hybridMultilevel"/>
    <w:tmpl w:val="EC5AFF7C"/>
    <w:lvl w:ilvl="0" w:tplc="FFFFFFFF">
      <w:start w:val="1"/>
      <w:numFmt w:val="lowerRoman"/>
      <w:lvlText w:val="%1."/>
      <w:lvlJc w:val="right"/>
      <w:pPr>
        <w:ind w:left="1080" w:hanging="360"/>
      </w:pPr>
    </w:lvl>
    <w:lvl w:ilvl="1" w:tplc="295E3E3A" w:tentative="1">
      <w:start w:val="1"/>
      <w:numFmt w:val="lowerLetter"/>
      <w:lvlText w:val="%2."/>
      <w:lvlJc w:val="left"/>
      <w:pPr>
        <w:ind w:left="1800" w:hanging="360"/>
      </w:pPr>
    </w:lvl>
    <w:lvl w:ilvl="2" w:tplc="9D1E29DC" w:tentative="1">
      <w:start w:val="1"/>
      <w:numFmt w:val="lowerRoman"/>
      <w:lvlText w:val="%3."/>
      <w:lvlJc w:val="right"/>
      <w:pPr>
        <w:ind w:left="2520" w:hanging="180"/>
      </w:pPr>
    </w:lvl>
    <w:lvl w:ilvl="3" w:tplc="69928E92" w:tentative="1">
      <w:start w:val="1"/>
      <w:numFmt w:val="decimal"/>
      <w:lvlText w:val="%4."/>
      <w:lvlJc w:val="left"/>
      <w:pPr>
        <w:ind w:left="3240" w:hanging="360"/>
      </w:pPr>
    </w:lvl>
    <w:lvl w:ilvl="4" w:tplc="11705C1E" w:tentative="1">
      <w:start w:val="1"/>
      <w:numFmt w:val="lowerLetter"/>
      <w:lvlText w:val="%5."/>
      <w:lvlJc w:val="left"/>
      <w:pPr>
        <w:ind w:left="3960" w:hanging="360"/>
      </w:pPr>
    </w:lvl>
    <w:lvl w:ilvl="5" w:tplc="734C9A96" w:tentative="1">
      <w:start w:val="1"/>
      <w:numFmt w:val="lowerRoman"/>
      <w:lvlText w:val="%6."/>
      <w:lvlJc w:val="right"/>
      <w:pPr>
        <w:ind w:left="4680" w:hanging="180"/>
      </w:pPr>
    </w:lvl>
    <w:lvl w:ilvl="6" w:tplc="066A8F06" w:tentative="1">
      <w:start w:val="1"/>
      <w:numFmt w:val="decimal"/>
      <w:lvlText w:val="%7."/>
      <w:lvlJc w:val="left"/>
      <w:pPr>
        <w:ind w:left="5400" w:hanging="360"/>
      </w:pPr>
    </w:lvl>
    <w:lvl w:ilvl="7" w:tplc="744A9E3E" w:tentative="1">
      <w:start w:val="1"/>
      <w:numFmt w:val="lowerLetter"/>
      <w:lvlText w:val="%8."/>
      <w:lvlJc w:val="left"/>
      <w:pPr>
        <w:ind w:left="6120" w:hanging="360"/>
      </w:pPr>
    </w:lvl>
    <w:lvl w:ilvl="8" w:tplc="5344A8E2" w:tentative="1">
      <w:start w:val="1"/>
      <w:numFmt w:val="lowerRoman"/>
      <w:lvlText w:val="%9."/>
      <w:lvlJc w:val="right"/>
      <w:pPr>
        <w:ind w:left="6840" w:hanging="180"/>
      </w:pPr>
    </w:lvl>
  </w:abstractNum>
  <w:abstractNum w:abstractNumId="12" w15:restartNumberingAfterBreak="0">
    <w:nsid w:val="059F440F"/>
    <w:multiLevelType w:val="hybridMultilevel"/>
    <w:tmpl w:val="91C0E5CA"/>
    <w:lvl w:ilvl="0" w:tplc="0B1CB1B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E205C6">
      <w:start w:val="1"/>
      <w:numFmt w:val="lowerRoman"/>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0ACA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5EE6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6A51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140D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CA40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C8B9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9E2E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7D47ABD"/>
    <w:multiLevelType w:val="multilevel"/>
    <w:tmpl w:val="07D27A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9565B88"/>
    <w:multiLevelType w:val="hybridMultilevel"/>
    <w:tmpl w:val="932C8314"/>
    <w:lvl w:ilvl="0" w:tplc="F4DA1284">
      <w:start w:val="1"/>
      <w:numFmt w:val="decimal"/>
      <w:lvlText w:val="%1)"/>
      <w:lvlJc w:val="left"/>
      <w:pPr>
        <w:ind w:left="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E02C6D0">
      <w:start w:val="1"/>
      <w:numFmt w:val="lowerLetter"/>
      <w:lvlText w:val="%2"/>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54C23E">
      <w:start w:val="1"/>
      <w:numFmt w:val="lowerRoman"/>
      <w:lvlText w:val="%3"/>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2BC6E0E">
      <w:start w:val="1"/>
      <w:numFmt w:val="decimal"/>
      <w:lvlText w:val="%4"/>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736A482">
      <w:start w:val="1"/>
      <w:numFmt w:val="lowerLetter"/>
      <w:lvlText w:val="%5"/>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0829336">
      <w:start w:val="1"/>
      <w:numFmt w:val="lowerRoman"/>
      <w:lvlText w:val="%6"/>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128B9C0">
      <w:start w:val="1"/>
      <w:numFmt w:val="decimal"/>
      <w:lvlText w:val="%7"/>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648B580">
      <w:start w:val="1"/>
      <w:numFmt w:val="lowerLetter"/>
      <w:lvlText w:val="%8"/>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AB0F766">
      <w:start w:val="1"/>
      <w:numFmt w:val="lowerRoman"/>
      <w:lvlText w:val="%9"/>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097A3B98"/>
    <w:multiLevelType w:val="hybridMultilevel"/>
    <w:tmpl w:val="F7E0D492"/>
    <w:lvl w:ilvl="0" w:tplc="8242B6A0">
      <w:start w:val="1"/>
      <w:numFmt w:val="lowerRoman"/>
      <w:lvlText w:val="(%1)"/>
      <w:lvlJc w:val="left"/>
      <w:pPr>
        <w:ind w:left="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CDE75A0">
      <w:start w:val="1"/>
      <w:numFmt w:val="lowerLetter"/>
      <w:lvlText w:val="%2"/>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1E4D1D2">
      <w:start w:val="1"/>
      <w:numFmt w:val="lowerRoman"/>
      <w:lvlText w:val="%3"/>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9261B2E">
      <w:start w:val="1"/>
      <w:numFmt w:val="decimal"/>
      <w:lvlText w:val="%4"/>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37442A0">
      <w:start w:val="1"/>
      <w:numFmt w:val="lowerLetter"/>
      <w:lvlText w:val="%5"/>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6DC3C36">
      <w:start w:val="1"/>
      <w:numFmt w:val="lowerRoman"/>
      <w:lvlText w:val="%6"/>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0A74A">
      <w:start w:val="1"/>
      <w:numFmt w:val="decimal"/>
      <w:lvlText w:val="%7"/>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1A2F6E0">
      <w:start w:val="1"/>
      <w:numFmt w:val="lowerLetter"/>
      <w:lvlText w:val="%8"/>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0BAD784">
      <w:start w:val="1"/>
      <w:numFmt w:val="lowerRoman"/>
      <w:lvlText w:val="%9"/>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09C049E2"/>
    <w:multiLevelType w:val="hybridMultilevel"/>
    <w:tmpl w:val="52BEAAF6"/>
    <w:lvl w:ilvl="0" w:tplc="0B844B8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28646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D0FE6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12990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7A560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2C0A5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0A2B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CACA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9EDEA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9C447C3"/>
    <w:multiLevelType w:val="hybridMultilevel"/>
    <w:tmpl w:val="974498A4"/>
    <w:lvl w:ilvl="0" w:tplc="7386673C">
      <w:start w:val="17"/>
      <w:numFmt w:val="decimal"/>
      <w:lvlText w:val="%1"/>
      <w:lvlJc w:val="left"/>
      <w:pPr>
        <w:ind w:left="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CDD4B6E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79B4563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B002E9F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6986A3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1AE8975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9F0292A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64D6DD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8A14CA3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abstractNum w:abstractNumId="18" w15:restartNumberingAfterBreak="0">
    <w:nsid w:val="09E9517B"/>
    <w:multiLevelType w:val="hybridMultilevel"/>
    <w:tmpl w:val="31E81596"/>
    <w:lvl w:ilvl="0" w:tplc="8BDE3A1A">
      <w:start w:val="1"/>
      <w:numFmt w:val="bullet"/>
      <w:lvlText w:val="-"/>
      <w:lvlJc w:val="left"/>
      <w:pPr>
        <w:ind w:left="7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7B8BA5A">
      <w:start w:val="1"/>
      <w:numFmt w:val="bullet"/>
      <w:lvlText w:val="o"/>
      <w:lvlJc w:val="left"/>
      <w:pPr>
        <w:ind w:left="155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15E502A">
      <w:start w:val="1"/>
      <w:numFmt w:val="bullet"/>
      <w:lvlText w:val="▪"/>
      <w:lvlJc w:val="left"/>
      <w:pPr>
        <w:ind w:left="22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BD2C406">
      <w:start w:val="1"/>
      <w:numFmt w:val="bullet"/>
      <w:lvlText w:val="•"/>
      <w:lvlJc w:val="left"/>
      <w:pPr>
        <w:ind w:left="29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65C1EEE">
      <w:start w:val="1"/>
      <w:numFmt w:val="bullet"/>
      <w:lvlText w:val="o"/>
      <w:lvlJc w:val="left"/>
      <w:pPr>
        <w:ind w:left="37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14CFC98">
      <w:start w:val="1"/>
      <w:numFmt w:val="bullet"/>
      <w:lvlText w:val="▪"/>
      <w:lvlJc w:val="left"/>
      <w:pPr>
        <w:ind w:left="44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80C76CC">
      <w:start w:val="1"/>
      <w:numFmt w:val="bullet"/>
      <w:lvlText w:val="•"/>
      <w:lvlJc w:val="left"/>
      <w:pPr>
        <w:ind w:left="515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014E3D2">
      <w:start w:val="1"/>
      <w:numFmt w:val="bullet"/>
      <w:lvlText w:val="o"/>
      <w:lvlJc w:val="left"/>
      <w:pPr>
        <w:ind w:left="58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DAA4398">
      <w:start w:val="1"/>
      <w:numFmt w:val="bullet"/>
      <w:lvlText w:val="▪"/>
      <w:lvlJc w:val="left"/>
      <w:pPr>
        <w:ind w:left="65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0A1B6DF8"/>
    <w:multiLevelType w:val="hybridMultilevel"/>
    <w:tmpl w:val="5240D0E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0A580A0E"/>
    <w:multiLevelType w:val="multilevel"/>
    <w:tmpl w:val="F7D096AA"/>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0B001E19"/>
    <w:multiLevelType w:val="hybridMultilevel"/>
    <w:tmpl w:val="E8967B14"/>
    <w:lvl w:ilvl="0" w:tplc="4B1E2BD8">
      <w:start w:val="1"/>
      <w:numFmt w:val="lowerRoman"/>
      <w:lvlText w:val="(%1)"/>
      <w:lvlJc w:val="left"/>
      <w:pPr>
        <w:ind w:left="720" w:hanging="360"/>
      </w:pPr>
      <w:rPr>
        <w:rFonts w:ascii="Times New Roman" w:hAnsi="Times New Roman" w:cs="Times New Roman" w:hint="default"/>
        <w:sz w:val="18"/>
        <w:szCs w:val="18"/>
      </w:rPr>
    </w:lvl>
    <w:lvl w:ilvl="1" w:tplc="82A09472">
      <w:start w:val="1"/>
      <w:numFmt w:val="lowerLetter"/>
      <w:lvlText w:val="%2."/>
      <w:lvlJc w:val="left"/>
      <w:pPr>
        <w:ind w:left="1440" w:hanging="360"/>
      </w:pPr>
    </w:lvl>
    <w:lvl w:ilvl="2" w:tplc="4D92282A">
      <w:start w:val="1"/>
      <w:numFmt w:val="lowerRoman"/>
      <w:lvlText w:val="%3."/>
      <w:lvlJc w:val="right"/>
      <w:pPr>
        <w:ind w:left="2160" w:hanging="180"/>
      </w:pPr>
    </w:lvl>
    <w:lvl w:ilvl="3" w:tplc="556EC066">
      <w:start w:val="1"/>
      <w:numFmt w:val="decimal"/>
      <w:lvlText w:val="%4."/>
      <w:lvlJc w:val="left"/>
      <w:pPr>
        <w:ind w:left="2880" w:hanging="360"/>
      </w:pPr>
    </w:lvl>
    <w:lvl w:ilvl="4" w:tplc="7E90E59C">
      <w:start w:val="1"/>
      <w:numFmt w:val="lowerLetter"/>
      <w:lvlText w:val="%5."/>
      <w:lvlJc w:val="left"/>
      <w:pPr>
        <w:ind w:left="3600" w:hanging="360"/>
      </w:pPr>
    </w:lvl>
    <w:lvl w:ilvl="5" w:tplc="3C40CA58">
      <w:start w:val="1"/>
      <w:numFmt w:val="lowerRoman"/>
      <w:lvlText w:val="%6."/>
      <w:lvlJc w:val="right"/>
      <w:pPr>
        <w:ind w:left="4320" w:hanging="180"/>
      </w:pPr>
    </w:lvl>
    <w:lvl w:ilvl="6" w:tplc="333AA69A">
      <w:start w:val="1"/>
      <w:numFmt w:val="decimal"/>
      <w:lvlText w:val="%7."/>
      <w:lvlJc w:val="left"/>
      <w:pPr>
        <w:ind w:left="5040" w:hanging="360"/>
      </w:pPr>
    </w:lvl>
    <w:lvl w:ilvl="7" w:tplc="0890C31A">
      <w:start w:val="1"/>
      <w:numFmt w:val="lowerLetter"/>
      <w:lvlText w:val="%8."/>
      <w:lvlJc w:val="left"/>
      <w:pPr>
        <w:ind w:left="5760" w:hanging="360"/>
      </w:pPr>
    </w:lvl>
    <w:lvl w:ilvl="8" w:tplc="453C807C">
      <w:start w:val="1"/>
      <w:numFmt w:val="lowerRoman"/>
      <w:lvlText w:val="%9."/>
      <w:lvlJc w:val="right"/>
      <w:pPr>
        <w:ind w:left="6480" w:hanging="180"/>
      </w:pPr>
    </w:lvl>
  </w:abstractNum>
  <w:abstractNum w:abstractNumId="22" w15:restartNumberingAfterBreak="0">
    <w:nsid w:val="0C264F82"/>
    <w:multiLevelType w:val="hybridMultilevel"/>
    <w:tmpl w:val="F24E45D2"/>
    <w:lvl w:ilvl="0" w:tplc="0172B5C6">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98FA0C">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10F1E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46F7D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CCF9C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4A883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7AD76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82764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2A87A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0D292011"/>
    <w:multiLevelType w:val="multilevel"/>
    <w:tmpl w:val="EDE4D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D3D1195"/>
    <w:multiLevelType w:val="multilevel"/>
    <w:tmpl w:val="73B2D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D59386A"/>
    <w:multiLevelType w:val="hybridMultilevel"/>
    <w:tmpl w:val="4560FED6"/>
    <w:lvl w:ilvl="0" w:tplc="0D64FD42">
      <w:start w:val="1"/>
      <w:numFmt w:val="decimal"/>
      <w:lvlText w:val="G%1L"/>
      <w:lvlJc w:val="left"/>
      <w:pPr>
        <w:ind w:left="360" w:hanging="360"/>
      </w:pPr>
      <w:rPr>
        <w:rFonts w:hint="default"/>
        <w:color w:val="auto"/>
        <w:sz w:val="18"/>
        <w:szCs w:val="18"/>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0EBE420B"/>
    <w:multiLevelType w:val="hybridMultilevel"/>
    <w:tmpl w:val="ACE696CC"/>
    <w:lvl w:ilvl="0" w:tplc="7A08F7C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0A036DA">
      <w:start w:val="1"/>
      <w:numFmt w:val="bullet"/>
      <w:lvlText w:val="o"/>
      <w:lvlJc w:val="left"/>
      <w:pPr>
        <w:ind w:left="1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D5E4776">
      <w:start w:val="1"/>
      <w:numFmt w:val="bullet"/>
      <w:lvlText w:val="▪"/>
      <w:lvlJc w:val="left"/>
      <w:pPr>
        <w:ind w:left="19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86A68E">
      <w:start w:val="1"/>
      <w:numFmt w:val="bullet"/>
      <w:lvlText w:val="•"/>
      <w:lvlJc w:val="left"/>
      <w:pPr>
        <w:ind w:left="26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2F2E93C">
      <w:start w:val="1"/>
      <w:numFmt w:val="bullet"/>
      <w:lvlText w:val="o"/>
      <w:lvlJc w:val="left"/>
      <w:pPr>
        <w:ind w:left="33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B5C3D48">
      <w:start w:val="1"/>
      <w:numFmt w:val="bullet"/>
      <w:lvlText w:val="▪"/>
      <w:lvlJc w:val="left"/>
      <w:pPr>
        <w:ind w:left="40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90E7CA2">
      <w:start w:val="1"/>
      <w:numFmt w:val="bullet"/>
      <w:lvlText w:val="•"/>
      <w:lvlJc w:val="left"/>
      <w:pPr>
        <w:ind w:left="47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AF6EC2C">
      <w:start w:val="1"/>
      <w:numFmt w:val="bullet"/>
      <w:lvlText w:val="o"/>
      <w:lvlJc w:val="left"/>
      <w:pPr>
        <w:ind w:left="55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DE88EDE">
      <w:start w:val="1"/>
      <w:numFmt w:val="bullet"/>
      <w:lvlText w:val="▪"/>
      <w:lvlJc w:val="left"/>
      <w:pPr>
        <w:ind w:left="62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105F3D22"/>
    <w:multiLevelType w:val="hybridMultilevel"/>
    <w:tmpl w:val="FEEE7EEA"/>
    <w:lvl w:ilvl="0" w:tplc="AB964F36">
      <w:start w:val="1"/>
      <w:numFmt w:val="decimal"/>
      <w:lvlText w:val="%1."/>
      <w:lvlJc w:val="left"/>
      <w:pPr>
        <w:tabs>
          <w:tab w:val="num" w:pos="720"/>
        </w:tabs>
        <w:ind w:left="1080" w:hanging="360"/>
      </w:pPr>
    </w:lvl>
    <w:lvl w:ilvl="1" w:tplc="59B6FF6E" w:tentative="1">
      <w:start w:val="1"/>
      <w:numFmt w:val="decimal"/>
      <w:lvlText w:val="%2."/>
      <w:lvlJc w:val="left"/>
      <w:pPr>
        <w:tabs>
          <w:tab w:val="num" w:pos="1440"/>
        </w:tabs>
        <w:ind w:left="1800" w:hanging="360"/>
      </w:pPr>
    </w:lvl>
    <w:lvl w:ilvl="2" w:tplc="A296FC40" w:tentative="1">
      <w:start w:val="1"/>
      <w:numFmt w:val="decimal"/>
      <w:lvlText w:val="%3."/>
      <w:lvlJc w:val="left"/>
      <w:pPr>
        <w:tabs>
          <w:tab w:val="num" w:pos="2160"/>
        </w:tabs>
        <w:ind w:left="2520" w:hanging="360"/>
      </w:pPr>
    </w:lvl>
    <w:lvl w:ilvl="3" w:tplc="A66E7ABA" w:tentative="1">
      <w:start w:val="1"/>
      <w:numFmt w:val="decimal"/>
      <w:lvlText w:val="%4."/>
      <w:lvlJc w:val="left"/>
      <w:pPr>
        <w:tabs>
          <w:tab w:val="num" w:pos="2880"/>
        </w:tabs>
        <w:ind w:left="3240" w:hanging="360"/>
      </w:pPr>
    </w:lvl>
    <w:lvl w:ilvl="4" w:tplc="CC1AAAB4" w:tentative="1">
      <w:start w:val="1"/>
      <w:numFmt w:val="decimal"/>
      <w:lvlText w:val="%5."/>
      <w:lvlJc w:val="left"/>
      <w:pPr>
        <w:tabs>
          <w:tab w:val="num" w:pos="3600"/>
        </w:tabs>
        <w:ind w:left="3960" w:hanging="360"/>
      </w:pPr>
    </w:lvl>
    <w:lvl w:ilvl="5" w:tplc="3C7CBDE0" w:tentative="1">
      <w:start w:val="1"/>
      <w:numFmt w:val="decimal"/>
      <w:lvlText w:val="%6."/>
      <w:lvlJc w:val="left"/>
      <w:pPr>
        <w:tabs>
          <w:tab w:val="num" w:pos="4320"/>
        </w:tabs>
        <w:ind w:left="4680" w:hanging="360"/>
      </w:pPr>
    </w:lvl>
    <w:lvl w:ilvl="6" w:tplc="D340CB32" w:tentative="1">
      <w:start w:val="1"/>
      <w:numFmt w:val="decimal"/>
      <w:lvlText w:val="%7."/>
      <w:lvlJc w:val="left"/>
      <w:pPr>
        <w:tabs>
          <w:tab w:val="num" w:pos="5040"/>
        </w:tabs>
        <w:ind w:left="5400" w:hanging="360"/>
      </w:pPr>
    </w:lvl>
    <w:lvl w:ilvl="7" w:tplc="C1EE44DA" w:tentative="1">
      <w:start w:val="1"/>
      <w:numFmt w:val="decimal"/>
      <w:lvlText w:val="%8."/>
      <w:lvlJc w:val="left"/>
      <w:pPr>
        <w:tabs>
          <w:tab w:val="num" w:pos="5760"/>
        </w:tabs>
        <w:ind w:left="6120" w:hanging="360"/>
      </w:pPr>
    </w:lvl>
    <w:lvl w:ilvl="8" w:tplc="D5861BD8" w:tentative="1">
      <w:start w:val="1"/>
      <w:numFmt w:val="decimal"/>
      <w:lvlText w:val="%9."/>
      <w:lvlJc w:val="left"/>
      <w:pPr>
        <w:tabs>
          <w:tab w:val="num" w:pos="6480"/>
        </w:tabs>
        <w:ind w:left="6840" w:hanging="360"/>
      </w:pPr>
    </w:lvl>
  </w:abstractNum>
  <w:abstractNum w:abstractNumId="28" w15:restartNumberingAfterBreak="0">
    <w:nsid w:val="11152FC4"/>
    <w:multiLevelType w:val="hybridMultilevel"/>
    <w:tmpl w:val="FFFFFFFF"/>
    <w:lvl w:ilvl="0" w:tplc="B6CAD54A">
      <w:start w:val="1"/>
      <w:numFmt w:val="bullet"/>
      <w:lvlText w:val="·"/>
      <w:lvlJc w:val="left"/>
      <w:pPr>
        <w:ind w:left="720" w:hanging="360"/>
      </w:pPr>
      <w:rPr>
        <w:rFonts w:ascii="Symbol" w:hAnsi="Symbol" w:hint="default"/>
      </w:rPr>
    </w:lvl>
    <w:lvl w:ilvl="1" w:tplc="2B9A2F76">
      <w:start w:val="1"/>
      <w:numFmt w:val="bullet"/>
      <w:lvlText w:val="o"/>
      <w:lvlJc w:val="left"/>
      <w:pPr>
        <w:ind w:left="1440" w:hanging="360"/>
      </w:pPr>
      <w:rPr>
        <w:rFonts w:ascii="Courier New" w:hAnsi="Courier New" w:hint="default"/>
      </w:rPr>
    </w:lvl>
    <w:lvl w:ilvl="2" w:tplc="1E563744">
      <w:start w:val="1"/>
      <w:numFmt w:val="bullet"/>
      <w:lvlText w:val=""/>
      <w:lvlJc w:val="left"/>
      <w:pPr>
        <w:ind w:left="2160" w:hanging="360"/>
      </w:pPr>
      <w:rPr>
        <w:rFonts w:ascii="Wingdings" w:hAnsi="Wingdings" w:hint="default"/>
      </w:rPr>
    </w:lvl>
    <w:lvl w:ilvl="3" w:tplc="8788FFAE">
      <w:start w:val="1"/>
      <w:numFmt w:val="bullet"/>
      <w:lvlText w:val=""/>
      <w:lvlJc w:val="left"/>
      <w:pPr>
        <w:ind w:left="2880" w:hanging="360"/>
      </w:pPr>
      <w:rPr>
        <w:rFonts w:ascii="Symbol" w:hAnsi="Symbol" w:hint="default"/>
      </w:rPr>
    </w:lvl>
    <w:lvl w:ilvl="4" w:tplc="80CA42A6">
      <w:start w:val="1"/>
      <w:numFmt w:val="bullet"/>
      <w:lvlText w:val="o"/>
      <w:lvlJc w:val="left"/>
      <w:pPr>
        <w:ind w:left="3600" w:hanging="360"/>
      </w:pPr>
      <w:rPr>
        <w:rFonts w:ascii="Courier New" w:hAnsi="Courier New" w:hint="default"/>
      </w:rPr>
    </w:lvl>
    <w:lvl w:ilvl="5" w:tplc="3490BE60">
      <w:start w:val="1"/>
      <w:numFmt w:val="bullet"/>
      <w:lvlText w:val=""/>
      <w:lvlJc w:val="left"/>
      <w:pPr>
        <w:ind w:left="4320" w:hanging="360"/>
      </w:pPr>
      <w:rPr>
        <w:rFonts w:ascii="Wingdings" w:hAnsi="Wingdings" w:hint="default"/>
      </w:rPr>
    </w:lvl>
    <w:lvl w:ilvl="6" w:tplc="0FF0A8FA">
      <w:start w:val="1"/>
      <w:numFmt w:val="bullet"/>
      <w:lvlText w:val=""/>
      <w:lvlJc w:val="left"/>
      <w:pPr>
        <w:ind w:left="5040" w:hanging="360"/>
      </w:pPr>
      <w:rPr>
        <w:rFonts w:ascii="Symbol" w:hAnsi="Symbol" w:hint="default"/>
      </w:rPr>
    </w:lvl>
    <w:lvl w:ilvl="7" w:tplc="0B504DFC">
      <w:start w:val="1"/>
      <w:numFmt w:val="bullet"/>
      <w:lvlText w:val="o"/>
      <w:lvlJc w:val="left"/>
      <w:pPr>
        <w:ind w:left="5760" w:hanging="360"/>
      </w:pPr>
      <w:rPr>
        <w:rFonts w:ascii="Courier New" w:hAnsi="Courier New" w:hint="default"/>
      </w:rPr>
    </w:lvl>
    <w:lvl w:ilvl="8" w:tplc="1D4AE048">
      <w:start w:val="1"/>
      <w:numFmt w:val="bullet"/>
      <w:lvlText w:val=""/>
      <w:lvlJc w:val="left"/>
      <w:pPr>
        <w:ind w:left="6480" w:hanging="360"/>
      </w:pPr>
      <w:rPr>
        <w:rFonts w:ascii="Wingdings" w:hAnsi="Wingdings" w:hint="default"/>
      </w:rPr>
    </w:lvl>
  </w:abstractNum>
  <w:abstractNum w:abstractNumId="29" w15:restartNumberingAfterBreak="0">
    <w:nsid w:val="114B1DD6"/>
    <w:multiLevelType w:val="hybridMultilevel"/>
    <w:tmpl w:val="AFCE1B0E"/>
    <w:lvl w:ilvl="0" w:tplc="61DC8B96">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400492A">
      <w:start w:val="1"/>
      <w:numFmt w:val="bullet"/>
      <w:lvlText w:val="o"/>
      <w:lvlJc w:val="left"/>
      <w:pPr>
        <w:ind w:left="11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A2A8260">
      <w:start w:val="1"/>
      <w:numFmt w:val="bullet"/>
      <w:lvlText w:val="▪"/>
      <w:lvlJc w:val="left"/>
      <w:pPr>
        <w:ind w:left="19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FBE9FEC">
      <w:start w:val="1"/>
      <w:numFmt w:val="bullet"/>
      <w:lvlText w:val="•"/>
      <w:lvlJc w:val="left"/>
      <w:pPr>
        <w:ind w:left="26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FCA5D26">
      <w:start w:val="1"/>
      <w:numFmt w:val="bullet"/>
      <w:lvlText w:val="o"/>
      <w:lvlJc w:val="left"/>
      <w:pPr>
        <w:ind w:left="33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3942B80">
      <w:start w:val="1"/>
      <w:numFmt w:val="bullet"/>
      <w:lvlText w:val="▪"/>
      <w:lvlJc w:val="left"/>
      <w:pPr>
        <w:ind w:left="40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CA0327E">
      <w:start w:val="1"/>
      <w:numFmt w:val="bullet"/>
      <w:lvlText w:val="•"/>
      <w:lvlJc w:val="left"/>
      <w:pPr>
        <w:ind w:left="47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340D7B4">
      <w:start w:val="1"/>
      <w:numFmt w:val="bullet"/>
      <w:lvlText w:val="o"/>
      <w:lvlJc w:val="left"/>
      <w:pPr>
        <w:ind w:left="55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E0A0A0">
      <w:start w:val="1"/>
      <w:numFmt w:val="bullet"/>
      <w:lvlText w:val="▪"/>
      <w:lvlJc w:val="left"/>
      <w:pPr>
        <w:ind w:left="62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115E07D0"/>
    <w:multiLevelType w:val="multilevel"/>
    <w:tmpl w:val="AAECC2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2C71639"/>
    <w:multiLevelType w:val="hybridMultilevel"/>
    <w:tmpl w:val="8D206ED0"/>
    <w:lvl w:ilvl="0" w:tplc="839C6A42">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AFA1334">
      <w:start w:val="1"/>
      <w:numFmt w:val="lowerLetter"/>
      <w:lvlText w:val="%2"/>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3DAACA6">
      <w:start w:val="1"/>
      <w:numFmt w:val="lowerRoman"/>
      <w:lvlText w:val="%3"/>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B88AD28">
      <w:start w:val="1"/>
      <w:numFmt w:val="decimal"/>
      <w:lvlText w:val="%4"/>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C080042">
      <w:start w:val="1"/>
      <w:numFmt w:val="lowerLetter"/>
      <w:lvlText w:val="%5"/>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5AC4054">
      <w:start w:val="1"/>
      <w:numFmt w:val="lowerRoman"/>
      <w:lvlText w:val="%6"/>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61AA7EE">
      <w:start w:val="1"/>
      <w:numFmt w:val="decimal"/>
      <w:lvlText w:val="%7"/>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C8EB7F0">
      <w:start w:val="1"/>
      <w:numFmt w:val="lowerLetter"/>
      <w:lvlText w:val="%8"/>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50CECEE">
      <w:start w:val="1"/>
      <w:numFmt w:val="lowerRoman"/>
      <w:lvlText w:val="%9"/>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13071F51"/>
    <w:multiLevelType w:val="hybridMultilevel"/>
    <w:tmpl w:val="173EF248"/>
    <w:lvl w:ilvl="0" w:tplc="7F5675B6">
      <w:start w:val="1"/>
      <w:numFmt w:val="lowerRoman"/>
      <w:lvlText w:val="%1."/>
      <w:lvlJc w:val="right"/>
      <w:pPr>
        <w:ind w:left="720" w:hanging="360"/>
      </w:pPr>
      <w:rPr>
        <w:rFonts w:hint="default"/>
      </w:rPr>
    </w:lvl>
    <w:lvl w:ilvl="1" w:tplc="40BA8482">
      <w:start w:val="1"/>
      <w:numFmt w:val="bullet"/>
      <w:lvlText w:val="o"/>
      <w:lvlJc w:val="left"/>
      <w:pPr>
        <w:ind w:left="1440" w:hanging="360"/>
      </w:pPr>
      <w:rPr>
        <w:rFonts w:ascii="Courier New" w:hAnsi="Courier New" w:hint="default"/>
      </w:rPr>
    </w:lvl>
    <w:lvl w:ilvl="2" w:tplc="0D9090EC">
      <w:start w:val="1"/>
      <w:numFmt w:val="bullet"/>
      <w:lvlText w:val=""/>
      <w:lvlJc w:val="left"/>
      <w:pPr>
        <w:ind w:left="2160" w:hanging="360"/>
      </w:pPr>
      <w:rPr>
        <w:rFonts w:ascii="Wingdings" w:hAnsi="Wingdings" w:hint="default"/>
      </w:rPr>
    </w:lvl>
    <w:lvl w:ilvl="3" w:tplc="2D0EDF68">
      <w:start w:val="1"/>
      <w:numFmt w:val="bullet"/>
      <w:lvlText w:val=""/>
      <w:lvlJc w:val="left"/>
      <w:pPr>
        <w:ind w:left="2880" w:hanging="360"/>
      </w:pPr>
      <w:rPr>
        <w:rFonts w:ascii="Symbol" w:hAnsi="Symbol" w:hint="default"/>
      </w:rPr>
    </w:lvl>
    <w:lvl w:ilvl="4" w:tplc="191C98C0">
      <w:start w:val="1"/>
      <w:numFmt w:val="bullet"/>
      <w:lvlText w:val="o"/>
      <w:lvlJc w:val="left"/>
      <w:pPr>
        <w:ind w:left="3600" w:hanging="360"/>
      </w:pPr>
      <w:rPr>
        <w:rFonts w:ascii="Courier New" w:hAnsi="Courier New" w:hint="default"/>
      </w:rPr>
    </w:lvl>
    <w:lvl w:ilvl="5" w:tplc="68A60C68">
      <w:start w:val="1"/>
      <w:numFmt w:val="bullet"/>
      <w:lvlText w:val=""/>
      <w:lvlJc w:val="left"/>
      <w:pPr>
        <w:ind w:left="4320" w:hanging="360"/>
      </w:pPr>
      <w:rPr>
        <w:rFonts w:ascii="Wingdings" w:hAnsi="Wingdings" w:hint="default"/>
      </w:rPr>
    </w:lvl>
    <w:lvl w:ilvl="6" w:tplc="489E2F40">
      <w:start w:val="1"/>
      <w:numFmt w:val="bullet"/>
      <w:lvlText w:val=""/>
      <w:lvlJc w:val="left"/>
      <w:pPr>
        <w:ind w:left="5040" w:hanging="360"/>
      </w:pPr>
      <w:rPr>
        <w:rFonts w:ascii="Symbol" w:hAnsi="Symbol" w:hint="default"/>
      </w:rPr>
    </w:lvl>
    <w:lvl w:ilvl="7" w:tplc="1AE87734">
      <w:start w:val="1"/>
      <w:numFmt w:val="bullet"/>
      <w:lvlText w:val="o"/>
      <w:lvlJc w:val="left"/>
      <w:pPr>
        <w:ind w:left="5760" w:hanging="360"/>
      </w:pPr>
      <w:rPr>
        <w:rFonts w:ascii="Courier New" w:hAnsi="Courier New" w:hint="default"/>
      </w:rPr>
    </w:lvl>
    <w:lvl w:ilvl="8" w:tplc="6E96DDEA">
      <w:start w:val="1"/>
      <w:numFmt w:val="bullet"/>
      <w:lvlText w:val=""/>
      <w:lvlJc w:val="left"/>
      <w:pPr>
        <w:ind w:left="6480" w:hanging="360"/>
      </w:pPr>
      <w:rPr>
        <w:rFonts w:ascii="Wingdings" w:hAnsi="Wingdings" w:hint="default"/>
      </w:rPr>
    </w:lvl>
  </w:abstractNum>
  <w:abstractNum w:abstractNumId="33" w15:restartNumberingAfterBreak="0">
    <w:nsid w:val="137B1763"/>
    <w:multiLevelType w:val="hybridMultilevel"/>
    <w:tmpl w:val="E5D6002A"/>
    <w:lvl w:ilvl="0" w:tplc="8B70BADE">
      <w:start w:val="1"/>
      <w:numFmt w:val="bullet"/>
      <w:lvlText w:val="-"/>
      <w:lvlJc w:val="left"/>
      <w:pPr>
        <w:ind w:left="360" w:hanging="360"/>
      </w:pPr>
      <w:rPr>
        <w:rFonts w:ascii="Calibri" w:hAnsi="Calibri" w:hint="default"/>
      </w:rPr>
    </w:lvl>
    <w:lvl w:ilvl="1" w:tplc="692E835A">
      <w:start w:val="1"/>
      <w:numFmt w:val="bullet"/>
      <w:lvlText w:val="o"/>
      <w:lvlJc w:val="left"/>
      <w:pPr>
        <w:ind w:left="1080" w:hanging="360"/>
      </w:pPr>
      <w:rPr>
        <w:rFonts w:ascii="Courier New" w:hAnsi="Courier New" w:hint="default"/>
      </w:rPr>
    </w:lvl>
    <w:lvl w:ilvl="2" w:tplc="B0D0AD06">
      <w:start w:val="1"/>
      <w:numFmt w:val="bullet"/>
      <w:lvlText w:val=""/>
      <w:lvlJc w:val="left"/>
      <w:pPr>
        <w:ind w:left="1800" w:hanging="360"/>
      </w:pPr>
      <w:rPr>
        <w:rFonts w:ascii="Wingdings" w:hAnsi="Wingdings" w:hint="default"/>
      </w:rPr>
    </w:lvl>
    <w:lvl w:ilvl="3" w:tplc="3538EF68">
      <w:start w:val="1"/>
      <w:numFmt w:val="bullet"/>
      <w:lvlText w:val=""/>
      <w:lvlJc w:val="left"/>
      <w:pPr>
        <w:ind w:left="2520" w:hanging="360"/>
      </w:pPr>
      <w:rPr>
        <w:rFonts w:ascii="Symbol" w:hAnsi="Symbol" w:hint="default"/>
      </w:rPr>
    </w:lvl>
    <w:lvl w:ilvl="4" w:tplc="1B04C702">
      <w:start w:val="1"/>
      <w:numFmt w:val="bullet"/>
      <w:lvlText w:val="o"/>
      <w:lvlJc w:val="left"/>
      <w:pPr>
        <w:ind w:left="3240" w:hanging="360"/>
      </w:pPr>
      <w:rPr>
        <w:rFonts w:ascii="Courier New" w:hAnsi="Courier New" w:hint="default"/>
      </w:rPr>
    </w:lvl>
    <w:lvl w:ilvl="5" w:tplc="2340BCEC">
      <w:start w:val="1"/>
      <w:numFmt w:val="bullet"/>
      <w:lvlText w:val=""/>
      <w:lvlJc w:val="left"/>
      <w:pPr>
        <w:ind w:left="3960" w:hanging="360"/>
      </w:pPr>
      <w:rPr>
        <w:rFonts w:ascii="Wingdings" w:hAnsi="Wingdings" w:hint="default"/>
      </w:rPr>
    </w:lvl>
    <w:lvl w:ilvl="6" w:tplc="3A8C7412">
      <w:start w:val="1"/>
      <w:numFmt w:val="bullet"/>
      <w:lvlText w:val=""/>
      <w:lvlJc w:val="left"/>
      <w:pPr>
        <w:ind w:left="4680" w:hanging="360"/>
      </w:pPr>
      <w:rPr>
        <w:rFonts w:ascii="Symbol" w:hAnsi="Symbol" w:hint="default"/>
      </w:rPr>
    </w:lvl>
    <w:lvl w:ilvl="7" w:tplc="3AC877DC">
      <w:start w:val="1"/>
      <w:numFmt w:val="bullet"/>
      <w:lvlText w:val="o"/>
      <w:lvlJc w:val="left"/>
      <w:pPr>
        <w:ind w:left="5400" w:hanging="360"/>
      </w:pPr>
      <w:rPr>
        <w:rFonts w:ascii="Courier New" w:hAnsi="Courier New" w:hint="default"/>
      </w:rPr>
    </w:lvl>
    <w:lvl w:ilvl="8" w:tplc="B7442772">
      <w:start w:val="1"/>
      <w:numFmt w:val="bullet"/>
      <w:lvlText w:val=""/>
      <w:lvlJc w:val="left"/>
      <w:pPr>
        <w:ind w:left="6120" w:hanging="360"/>
      </w:pPr>
      <w:rPr>
        <w:rFonts w:ascii="Wingdings" w:hAnsi="Wingdings" w:hint="default"/>
      </w:rPr>
    </w:lvl>
  </w:abstractNum>
  <w:abstractNum w:abstractNumId="34" w15:restartNumberingAfterBreak="0">
    <w:nsid w:val="14094407"/>
    <w:multiLevelType w:val="hybridMultilevel"/>
    <w:tmpl w:val="034CDBE4"/>
    <w:lvl w:ilvl="0" w:tplc="04150017">
      <w:start w:val="1"/>
      <w:numFmt w:val="lowerLetter"/>
      <w:lvlText w:val="%1)"/>
      <w:lvlJc w:val="left"/>
      <w:pPr>
        <w:ind w:left="720" w:hanging="360"/>
      </w:pPr>
    </w:lvl>
    <w:lvl w:ilvl="1" w:tplc="74681310">
      <w:start w:val="1"/>
      <w:numFmt w:val="lowerRoman"/>
      <w:lvlText w:val="(%2)"/>
      <w:lvlJc w:val="right"/>
      <w:pPr>
        <w:ind w:left="1440" w:hanging="360"/>
      </w:p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1420B5E6"/>
    <w:multiLevelType w:val="hybridMultilevel"/>
    <w:tmpl w:val="FFFFFFFF"/>
    <w:lvl w:ilvl="0" w:tplc="B38ED670">
      <w:start w:val="4"/>
      <w:numFmt w:val="decimal"/>
      <w:lvlText w:val="%1."/>
      <w:lvlJc w:val="left"/>
      <w:pPr>
        <w:ind w:left="720" w:hanging="360"/>
      </w:pPr>
    </w:lvl>
    <w:lvl w:ilvl="1" w:tplc="445879D8">
      <w:start w:val="1"/>
      <w:numFmt w:val="lowerLetter"/>
      <w:lvlText w:val="%2."/>
      <w:lvlJc w:val="left"/>
      <w:pPr>
        <w:ind w:left="1440" w:hanging="360"/>
      </w:pPr>
    </w:lvl>
    <w:lvl w:ilvl="2" w:tplc="C9F2DA28">
      <w:start w:val="1"/>
      <w:numFmt w:val="lowerRoman"/>
      <w:lvlText w:val="%3."/>
      <w:lvlJc w:val="right"/>
      <w:pPr>
        <w:ind w:left="2160" w:hanging="180"/>
      </w:pPr>
    </w:lvl>
    <w:lvl w:ilvl="3" w:tplc="B248064C">
      <w:start w:val="1"/>
      <w:numFmt w:val="decimal"/>
      <w:lvlText w:val="%4."/>
      <w:lvlJc w:val="left"/>
      <w:pPr>
        <w:ind w:left="2880" w:hanging="360"/>
      </w:pPr>
    </w:lvl>
    <w:lvl w:ilvl="4" w:tplc="CFBE2D68">
      <w:start w:val="1"/>
      <w:numFmt w:val="lowerLetter"/>
      <w:lvlText w:val="%5."/>
      <w:lvlJc w:val="left"/>
      <w:pPr>
        <w:ind w:left="3600" w:hanging="360"/>
      </w:pPr>
    </w:lvl>
    <w:lvl w:ilvl="5" w:tplc="5C34BB08">
      <w:start w:val="1"/>
      <w:numFmt w:val="lowerRoman"/>
      <w:lvlText w:val="%6."/>
      <w:lvlJc w:val="right"/>
      <w:pPr>
        <w:ind w:left="4320" w:hanging="180"/>
      </w:pPr>
    </w:lvl>
    <w:lvl w:ilvl="6" w:tplc="D18EBA30">
      <w:start w:val="1"/>
      <w:numFmt w:val="decimal"/>
      <w:lvlText w:val="%7."/>
      <w:lvlJc w:val="left"/>
      <w:pPr>
        <w:ind w:left="5040" w:hanging="360"/>
      </w:pPr>
    </w:lvl>
    <w:lvl w:ilvl="7" w:tplc="494435E8">
      <w:start w:val="1"/>
      <w:numFmt w:val="lowerLetter"/>
      <w:lvlText w:val="%8."/>
      <w:lvlJc w:val="left"/>
      <w:pPr>
        <w:ind w:left="5760" w:hanging="360"/>
      </w:pPr>
    </w:lvl>
    <w:lvl w:ilvl="8" w:tplc="94A633B6">
      <w:start w:val="1"/>
      <w:numFmt w:val="lowerRoman"/>
      <w:lvlText w:val="%9."/>
      <w:lvlJc w:val="right"/>
      <w:pPr>
        <w:ind w:left="6480" w:hanging="180"/>
      </w:pPr>
    </w:lvl>
  </w:abstractNum>
  <w:abstractNum w:abstractNumId="36" w15:restartNumberingAfterBreak="0">
    <w:nsid w:val="1429164D"/>
    <w:multiLevelType w:val="hybridMultilevel"/>
    <w:tmpl w:val="71428BDC"/>
    <w:lvl w:ilvl="0" w:tplc="029C61E0">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D504A8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4D06C9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430ACD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BEA320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A30EC9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8B059E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278486A">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9781A4E">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146C3835"/>
    <w:multiLevelType w:val="hybridMultilevel"/>
    <w:tmpl w:val="0E2C0404"/>
    <w:lvl w:ilvl="0" w:tplc="1809000F">
      <w:start w:val="1"/>
      <w:numFmt w:val="decimal"/>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8" w15:restartNumberingAfterBreak="0">
    <w:nsid w:val="14BF2775"/>
    <w:multiLevelType w:val="hybridMultilevel"/>
    <w:tmpl w:val="D2BC1DEA"/>
    <w:lvl w:ilvl="0" w:tplc="DFA2D0A0">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95ADA96">
      <w:start w:val="1"/>
      <w:numFmt w:val="bullet"/>
      <w:lvlText w:val="o"/>
      <w:lvlJc w:val="left"/>
      <w:pPr>
        <w:ind w:left="11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52208E0">
      <w:start w:val="1"/>
      <w:numFmt w:val="bullet"/>
      <w:lvlText w:val="▪"/>
      <w:lvlJc w:val="left"/>
      <w:pPr>
        <w:ind w:left="19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BB23FC6">
      <w:start w:val="1"/>
      <w:numFmt w:val="bullet"/>
      <w:lvlText w:val="•"/>
      <w:lvlJc w:val="left"/>
      <w:pPr>
        <w:ind w:left="26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C8A2428">
      <w:start w:val="1"/>
      <w:numFmt w:val="bullet"/>
      <w:lvlText w:val="o"/>
      <w:lvlJc w:val="left"/>
      <w:pPr>
        <w:ind w:left="33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522F388">
      <w:start w:val="1"/>
      <w:numFmt w:val="bullet"/>
      <w:lvlText w:val="▪"/>
      <w:lvlJc w:val="left"/>
      <w:pPr>
        <w:ind w:left="40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406E8FE">
      <w:start w:val="1"/>
      <w:numFmt w:val="bullet"/>
      <w:lvlText w:val="•"/>
      <w:lvlJc w:val="left"/>
      <w:pPr>
        <w:ind w:left="47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28CA2D2">
      <w:start w:val="1"/>
      <w:numFmt w:val="bullet"/>
      <w:lvlText w:val="o"/>
      <w:lvlJc w:val="left"/>
      <w:pPr>
        <w:ind w:left="55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F98C506">
      <w:start w:val="1"/>
      <w:numFmt w:val="bullet"/>
      <w:lvlText w:val="▪"/>
      <w:lvlJc w:val="left"/>
      <w:pPr>
        <w:ind w:left="62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16002875"/>
    <w:multiLevelType w:val="hybridMultilevel"/>
    <w:tmpl w:val="B1B6290C"/>
    <w:lvl w:ilvl="0" w:tplc="1E449EFE">
      <w:start w:val="1"/>
      <w:numFmt w:val="decimal"/>
      <w:lvlText w:val="%1)"/>
      <w:lvlJc w:val="left"/>
      <w:pPr>
        <w:ind w:left="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EB6B334">
      <w:start w:val="1"/>
      <w:numFmt w:val="lowerLetter"/>
      <w:lvlText w:val="%2"/>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7A742C">
      <w:start w:val="1"/>
      <w:numFmt w:val="lowerRoman"/>
      <w:lvlText w:val="%3"/>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D04E334">
      <w:start w:val="1"/>
      <w:numFmt w:val="decimal"/>
      <w:lvlText w:val="%4"/>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BCA4D8">
      <w:start w:val="1"/>
      <w:numFmt w:val="lowerLetter"/>
      <w:lvlText w:val="%5"/>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B1EC8A0">
      <w:start w:val="1"/>
      <w:numFmt w:val="lowerRoman"/>
      <w:lvlText w:val="%6"/>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D48403C">
      <w:start w:val="1"/>
      <w:numFmt w:val="decimal"/>
      <w:lvlText w:val="%7"/>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B2A6D72">
      <w:start w:val="1"/>
      <w:numFmt w:val="lowerLetter"/>
      <w:lvlText w:val="%8"/>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F92A3EA">
      <w:start w:val="1"/>
      <w:numFmt w:val="lowerRoman"/>
      <w:lvlText w:val="%9"/>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160A11F0"/>
    <w:multiLevelType w:val="hybridMultilevel"/>
    <w:tmpl w:val="FFFFFFFF"/>
    <w:lvl w:ilvl="0" w:tplc="45AEA0A2">
      <w:start w:val="1"/>
      <w:numFmt w:val="decimal"/>
      <w:lvlText w:val="%1."/>
      <w:lvlJc w:val="left"/>
      <w:pPr>
        <w:ind w:left="720" w:hanging="360"/>
      </w:pPr>
    </w:lvl>
    <w:lvl w:ilvl="1" w:tplc="ED84897C">
      <w:start w:val="1"/>
      <w:numFmt w:val="lowerLetter"/>
      <w:lvlText w:val="%2."/>
      <w:lvlJc w:val="left"/>
      <w:pPr>
        <w:ind w:left="1440" w:hanging="360"/>
      </w:pPr>
    </w:lvl>
    <w:lvl w:ilvl="2" w:tplc="E29C0F22">
      <w:start w:val="1"/>
      <w:numFmt w:val="lowerRoman"/>
      <w:lvlText w:val="%3."/>
      <w:lvlJc w:val="right"/>
      <w:pPr>
        <w:ind w:left="2160" w:hanging="180"/>
      </w:pPr>
    </w:lvl>
    <w:lvl w:ilvl="3" w:tplc="F036F99E">
      <w:start w:val="1"/>
      <w:numFmt w:val="decimal"/>
      <w:lvlText w:val="%4."/>
      <w:lvlJc w:val="left"/>
      <w:pPr>
        <w:ind w:left="2880" w:hanging="360"/>
      </w:pPr>
    </w:lvl>
    <w:lvl w:ilvl="4" w:tplc="B7E8C496">
      <w:start w:val="1"/>
      <w:numFmt w:val="lowerLetter"/>
      <w:lvlText w:val="%5."/>
      <w:lvlJc w:val="left"/>
      <w:pPr>
        <w:ind w:left="3600" w:hanging="360"/>
      </w:pPr>
    </w:lvl>
    <w:lvl w:ilvl="5" w:tplc="2F842710">
      <w:start w:val="1"/>
      <w:numFmt w:val="lowerRoman"/>
      <w:lvlText w:val="%6."/>
      <w:lvlJc w:val="right"/>
      <w:pPr>
        <w:ind w:left="4320" w:hanging="180"/>
      </w:pPr>
    </w:lvl>
    <w:lvl w:ilvl="6" w:tplc="0F9E5E0E">
      <w:start w:val="1"/>
      <w:numFmt w:val="decimal"/>
      <w:lvlText w:val="%7."/>
      <w:lvlJc w:val="left"/>
      <w:pPr>
        <w:ind w:left="5040" w:hanging="360"/>
      </w:pPr>
    </w:lvl>
    <w:lvl w:ilvl="7" w:tplc="D1A8C2D6">
      <w:start w:val="1"/>
      <w:numFmt w:val="lowerLetter"/>
      <w:lvlText w:val="%8."/>
      <w:lvlJc w:val="left"/>
      <w:pPr>
        <w:ind w:left="5760" w:hanging="360"/>
      </w:pPr>
    </w:lvl>
    <w:lvl w:ilvl="8" w:tplc="FD707E12">
      <w:start w:val="1"/>
      <w:numFmt w:val="lowerRoman"/>
      <w:lvlText w:val="%9."/>
      <w:lvlJc w:val="right"/>
      <w:pPr>
        <w:ind w:left="6480" w:hanging="180"/>
      </w:pPr>
    </w:lvl>
  </w:abstractNum>
  <w:abstractNum w:abstractNumId="41" w15:restartNumberingAfterBreak="0">
    <w:nsid w:val="16EF0FF3"/>
    <w:multiLevelType w:val="hybridMultilevel"/>
    <w:tmpl w:val="074A0DDE"/>
    <w:lvl w:ilvl="0" w:tplc="4280958C">
      <w:start w:val="2"/>
      <w:numFmt w:val="decimal"/>
      <w:lvlText w:val="%1)"/>
      <w:lvlJc w:val="left"/>
      <w:pPr>
        <w:ind w:left="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10217DE">
      <w:start w:val="1"/>
      <w:numFmt w:val="lowerLetter"/>
      <w:lvlText w:val="%2"/>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E923986">
      <w:start w:val="1"/>
      <w:numFmt w:val="lowerRoman"/>
      <w:lvlText w:val="%3"/>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FB481B4">
      <w:start w:val="1"/>
      <w:numFmt w:val="decimal"/>
      <w:lvlText w:val="%4"/>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DFC52AA">
      <w:start w:val="1"/>
      <w:numFmt w:val="lowerLetter"/>
      <w:lvlText w:val="%5"/>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4B256EC">
      <w:start w:val="1"/>
      <w:numFmt w:val="lowerRoman"/>
      <w:lvlText w:val="%6"/>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3C2093E">
      <w:start w:val="1"/>
      <w:numFmt w:val="decimal"/>
      <w:lvlText w:val="%7"/>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72A1326">
      <w:start w:val="1"/>
      <w:numFmt w:val="lowerLetter"/>
      <w:lvlText w:val="%8"/>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5745558">
      <w:start w:val="1"/>
      <w:numFmt w:val="lowerRoman"/>
      <w:lvlText w:val="%9"/>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171F4660"/>
    <w:multiLevelType w:val="hybridMultilevel"/>
    <w:tmpl w:val="30442D3A"/>
    <w:lvl w:ilvl="0" w:tplc="6CA467AA">
      <w:start w:val="1"/>
      <w:numFmt w:val="bullet"/>
      <w:lvlText w:val="-"/>
      <w:lvlJc w:val="left"/>
      <w:pPr>
        <w:ind w:left="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7B6722C">
      <w:start w:val="1"/>
      <w:numFmt w:val="bullet"/>
      <w:lvlText w:val="o"/>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AFC5CD8">
      <w:start w:val="1"/>
      <w:numFmt w:val="bullet"/>
      <w:lvlText w:val="▪"/>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8D0CFF8">
      <w:start w:val="1"/>
      <w:numFmt w:val="bullet"/>
      <w:lvlText w:val="•"/>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9A429FA">
      <w:start w:val="1"/>
      <w:numFmt w:val="bullet"/>
      <w:lvlText w:val="o"/>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FD451EC">
      <w:start w:val="1"/>
      <w:numFmt w:val="bullet"/>
      <w:lvlText w:val="▪"/>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0A1168">
      <w:start w:val="1"/>
      <w:numFmt w:val="bullet"/>
      <w:lvlText w:val="•"/>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AC66884">
      <w:start w:val="1"/>
      <w:numFmt w:val="bullet"/>
      <w:lvlText w:val="o"/>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F0AFC44">
      <w:start w:val="1"/>
      <w:numFmt w:val="bullet"/>
      <w:lvlText w:val="▪"/>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17E7350E"/>
    <w:multiLevelType w:val="hybridMultilevel"/>
    <w:tmpl w:val="241006CC"/>
    <w:lvl w:ilvl="0" w:tplc="FD926BCC">
      <w:start w:val="1"/>
      <w:numFmt w:val="bullet"/>
      <w:lvlText w:val="-"/>
      <w:lvlJc w:val="left"/>
      <w:pPr>
        <w:ind w:left="1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B40E0D4">
      <w:start w:val="1"/>
      <w:numFmt w:val="bullet"/>
      <w:lvlText w:val="o"/>
      <w:lvlJc w:val="left"/>
      <w:pPr>
        <w:ind w:left="1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3804C34">
      <w:start w:val="1"/>
      <w:numFmt w:val="bullet"/>
      <w:lvlText w:val="▪"/>
      <w:lvlJc w:val="left"/>
      <w:pPr>
        <w:ind w:left="19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7C90BE">
      <w:start w:val="1"/>
      <w:numFmt w:val="bullet"/>
      <w:lvlText w:val="•"/>
      <w:lvlJc w:val="left"/>
      <w:pPr>
        <w:ind w:left="26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84C218C">
      <w:start w:val="1"/>
      <w:numFmt w:val="bullet"/>
      <w:lvlText w:val="o"/>
      <w:lvlJc w:val="left"/>
      <w:pPr>
        <w:ind w:left="33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A2A57AA">
      <w:start w:val="1"/>
      <w:numFmt w:val="bullet"/>
      <w:lvlText w:val="▪"/>
      <w:lvlJc w:val="left"/>
      <w:pPr>
        <w:ind w:left="40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376A35A">
      <w:start w:val="1"/>
      <w:numFmt w:val="bullet"/>
      <w:lvlText w:val="•"/>
      <w:lvlJc w:val="left"/>
      <w:pPr>
        <w:ind w:left="47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C48F54">
      <w:start w:val="1"/>
      <w:numFmt w:val="bullet"/>
      <w:lvlText w:val="o"/>
      <w:lvlJc w:val="left"/>
      <w:pPr>
        <w:ind w:left="55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7368892">
      <w:start w:val="1"/>
      <w:numFmt w:val="bullet"/>
      <w:lvlText w:val="▪"/>
      <w:lvlJc w:val="left"/>
      <w:pPr>
        <w:ind w:left="62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18A074CE"/>
    <w:multiLevelType w:val="hybridMultilevel"/>
    <w:tmpl w:val="E2B0274E"/>
    <w:lvl w:ilvl="0" w:tplc="FFFFFFFF">
      <w:start w:val="1"/>
      <w:numFmt w:val="decimal"/>
      <w:lvlText w:val="%1."/>
      <w:lvlJc w:val="left"/>
      <w:pPr>
        <w:ind w:left="360" w:hanging="360"/>
      </w:pPr>
    </w:lvl>
    <w:lvl w:ilvl="1" w:tplc="1809000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19C72DA4"/>
    <w:multiLevelType w:val="hybridMultilevel"/>
    <w:tmpl w:val="6ADC0F8A"/>
    <w:lvl w:ilvl="0" w:tplc="9DBCD580">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CBA4580">
      <w:start w:val="1"/>
      <w:numFmt w:val="lowerLetter"/>
      <w:lvlText w:val="%2"/>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0766674">
      <w:start w:val="1"/>
      <w:numFmt w:val="lowerRoman"/>
      <w:lvlText w:val="%3"/>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500F46A">
      <w:start w:val="1"/>
      <w:numFmt w:val="decimal"/>
      <w:lvlText w:val="%4"/>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744F476">
      <w:start w:val="1"/>
      <w:numFmt w:val="lowerLetter"/>
      <w:lvlText w:val="%5"/>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DDEE0C0">
      <w:start w:val="1"/>
      <w:numFmt w:val="lowerRoman"/>
      <w:lvlText w:val="%6"/>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4125D5C">
      <w:start w:val="1"/>
      <w:numFmt w:val="decimal"/>
      <w:lvlText w:val="%7"/>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5A6AC16">
      <w:start w:val="1"/>
      <w:numFmt w:val="lowerLetter"/>
      <w:lvlText w:val="%8"/>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7EEC29C">
      <w:start w:val="1"/>
      <w:numFmt w:val="lowerRoman"/>
      <w:lvlText w:val="%9"/>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1A68008B"/>
    <w:multiLevelType w:val="hybridMultilevel"/>
    <w:tmpl w:val="FFFFFFFF"/>
    <w:lvl w:ilvl="0" w:tplc="B22837D2">
      <w:numFmt w:val="none"/>
      <w:lvlText w:val=""/>
      <w:lvlJc w:val="left"/>
      <w:pPr>
        <w:tabs>
          <w:tab w:val="num" w:pos="360"/>
        </w:tabs>
      </w:pPr>
    </w:lvl>
    <w:lvl w:ilvl="1" w:tplc="BC50F048">
      <w:start w:val="1"/>
      <w:numFmt w:val="lowerLetter"/>
      <w:lvlText w:val="%2."/>
      <w:lvlJc w:val="left"/>
      <w:pPr>
        <w:ind w:left="1440" w:hanging="360"/>
      </w:pPr>
    </w:lvl>
    <w:lvl w:ilvl="2" w:tplc="A9A823DC">
      <w:start w:val="1"/>
      <w:numFmt w:val="lowerRoman"/>
      <w:lvlText w:val="%3."/>
      <w:lvlJc w:val="right"/>
      <w:pPr>
        <w:ind w:left="2160" w:hanging="180"/>
      </w:pPr>
    </w:lvl>
    <w:lvl w:ilvl="3" w:tplc="2CA88C6C">
      <w:start w:val="1"/>
      <w:numFmt w:val="decimal"/>
      <w:lvlText w:val="%4."/>
      <w:lvlJc w:val="left"/>
      <w:pPr>
        <w:ind w:left="2880" w:hanging="360"/>
      </w:pPr>
    </w:lvl>
    <w:lvl w:ilvl="4" w:tplc="9342EE66">
      <w:start w:val="1"/>
      <w:numFmt w:val="lowerLetter"/>
      <w:lvlText w:val="%5."/>
      <w:lvlJc w:val="left"/>
      <w:pPr>
        <w:ind w:left="3600" w:hanging="360"/>
      </w:pPr>
    </w:lvl>
    <w:lvl w:ilvl="5" w:tplc="546ACBFA">
      <w:start w:val="1"/>
      <w:numFmt w:val="lowerRoman"/>
      <w:lvlText w:val="%6."/>
      <w:lvlJc w:val="right"/>
      <w:pPr>
        <w:ind w:left="4320" w:hanging="180"/>
      </w:pPr>
    </w:lvl>
    <w:lvl w:ilvl="6" w:tplc="C1382952">
      <w:start w:val="1"/>
      <w:numFmt w:val="decimal"/>
      <w:lvlText w:val="%7."/>
      <w:lvlJc w:val="left"/>
      <w:pPr>
        <w:ind w:left="5040" w:hanging="360"/>
      </w:pPr>
    </w:lvl>
    <w:lvl w:ilvl="7" w:tplc="9F22804C">
      <w:start w:val="1"/>
      <w:numFmt w:val="lowerLetter"/>
      <w:lvlText w:val="%8."/>
      <w:lvlJc w:val="left"/>
      <w:pPr>
        <w:ind w:left="5760" w:hanging="360"/>
      </w:pPr>
    </w:lvl>
    <w:lvl w:ilvl="8" w:tplc="4F5AB154">
      <w:start w:val="1"/>
      <w:numFmt w:val="lowerRoman"/>
      <w:lvlText w:val="%9."/>
      <w:lvlJc w:val="right"/>
      <w:pPr>
        <w:ind w:left="6480" w:hanging="180"/>
      </w:pPr>
    </w:lvl>
  </w:abstractNum>
  <w:abstractNum w:abstractNumId="47" w15:restartNumberingAfterBreak="0">
    <w:nsid w:val="1ACA7B60"/>
    <w:multiLevelType w:val="hybridMultilevel"/>
    <w:tmpl w:val="FFFFFFFF"/>
    <w:lvl w:ilvl="0" w:tplc="41E67784">
      <w:start w:val="1"/>
      <w:numFmt w:val="decimal"/>
      <w:lvlText w:val="%1."/>
      <w:lvlJc w:val="left"/>
      <w:pPr>
        <w:ind w:left="720" w:hanging="360"/>
      </w:pPr>
    </w:lvl>
    <w:lvl w:ilvl="1" w:tplc="94FAA13E">
      <w:start w:val="1"/>
      <w:numFmt w:val="lowerLetter"/>
      <w:lvlText w:val="%2."/>
      <w:lvlJc w:val="left"/>
      <w:pPr>
        <w:ind w:left="1440" w:hanging="360"/>
      </w:pPr>
    </w:lvl>
    <w:lvl w:ilvl="2" w:tplc="3E103F3C">
      <w:start w:val="1"/>
      <w:numFmt w:val="lowerRoman"/>
      <w:lvlText w:val="%3."/>
      <w:lvlJc w:val="right"/>
      <w:pPr>
        <w:ind w:left="2160" w:hanging="180"/>
      </w:pPr>
    </w:lvl>
    <w:lvl w:ilvl="3" w:tplc="68E4911A">
      <w:start w:val="1"/>
      <w:numFmt w:val="decimal"/>
      <w:lvlText w:val="%4."/>
      <w:lvlJc w:val="left"/>
      <w:pPr>
        <w:ind w:left="2880" w:hanging="360"/>
      </w:pPr>
    </w:lvl>
    <w:lvl w:ilvl="4" w:tplc="07BADBBC">
      <w:start w:val="1"/>
      <w:numFmt w:val="lowerLetter"/>
      <w:lvlText w:val="%5."/>
      <w:lvlJc w:val="left"/>
      <w:pPr>
        <w:ind w:left="3600" w:hanging="360"/>
      </w:pPr>
    </w:lvl>
    <w:lvl w:ilvl="5" w:tplc="7A56A578">
      <w:start w:val="1"/>
      <w:numFmt w:val="lowerRoman"/>
      <w:lvlText w:val="%6."/>
      <w:lvlJc w:val="right"/>
      <w:pPr>
        <w:ind w:left="4320" w:hanging="180"/>
      </w:pPr>
    </w:lvl>
    <w:lvl w:ilvl="6" w:tplc="90BAC436">
      <w:start w:val="1"/>
      <w:numFmt w:val="decimal"/>
      <w:lvlText w:val="%7."/>
      <w:lvlJc w:val="left"/>
      <w:pPr>
        <w:ind w:left="5040" w:hanging="360"/>
      </w:pPr>
    </w:lvl>
    <w:lvl w:ilvl="7" w:tplc="039A9494">
      <w:start w:val="1"/>
      <w:numFmt w:val="lowerLetter"/>
      <w:lvlText w:val="%8."/>
      <w:lvlJc w:val="left"/>
      <w:pPr>
        <w:ind w:left="5760" w:hanging="360"/>
      </w:pPr>
    </w:lvl>
    <w:lvl w:ilvl="8" w:tplc="5A3AD7AE">
      <w:start w:val="1"/>
      <w:numFmt w:val="lowerRoman"/>
      <w:lvlText w:val="%9."/>
      <w:lvlJc w:val="right"/>
      <w:pPr>
        <w:ind w:left="6480" w:hanging="180"/>
      </w:pPr>
    </w:lvl>
  </w:abstractNum>
  <w:abstractNum w:abstractNumId="48" w15:restartNumberingAfterBreak="0">
    <w:nsid w:val="1B8E4A9A"/>
    <w:multiLevelType w:val="hybridMultilevel"/>
    <w:tmpl w:val="79E020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1C5224EC"/>
    <w:multiLevelType w:val="hybridMultilevel"/>
    <w:tmpl w:val="584AA3BA"/>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0" w15:restartNumberingAfterBreak="0">
    <w:nsid w:val="1CEF45B1"/>
    <w:multiLevelType w:val="hybridMultilevel"/>
    <w:tmpl w:val="D940FBDE"/>
    <w:lvl w:ilvl="0" w:tplc="2C3E975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DAE7D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40396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02636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00A19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8EB1C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6AB1D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B43A7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7E28E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1D1901D7"/>
    <w:multiLevelType w:val="hybridMultilevel"/>
    <w:tmpl w:val="9BBCF2C0"/>
    <w:lvl w:ilvl="0" w:tplc="3072DDF2">
      <w:start w:val="2"/>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C0E8694">
      <w:start w:val="1"/>
      <w:numFmt w:val="lowerLetter"/>
      <w:lvlText w:val="%2"/>
      <w:lvlJc w:val="left"/>
      <w:pPr>
        <w:ind w:left="11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0462030">
      <w:start w:val="1"/>
      <w:numFmt w:val="lowerRoman"/>
      <w:lvlText w:val="%3"/>
      <w:lvlJc w:val="left"/>
      <w:pPr>
        <w:ind w:left="19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6725BBA">
      <w:start w:val="1"/>
      <w:numFmt w:val="decimal"/>
      <w:lvlText w:val="%4"/>
      <w:lvlJc w:val="left"/>
      <w:pPr>
        <w:ind w:left="26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E62337E">
      <w:start w:val="1"/>
      <w:numFmt w:val="lowerLetter"/>
      <w:lvlText w:val="%5"/>
      <w:lvlJc w:val="left"/>
      <w:pPr>
        <w:ind w:left="33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5028690">
      <w:start w:val="1"/>
      <w:numFmt w:val="lowerRoman"/>
      <w:lvlText w:val="%6"/>
      <w:lvlJc w:val="left"/>
      <w:pPr>
        <w:ind w:left="40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79AFC98">
      <w:start w:val="1"/>
      <w:numFmt w:val="decimal"/>
      <w:lvlText w:val="%7"/>
      <w:lvlJc w:val="left"/>
      <w:pPr>
        <w:ind w:left="47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FE846A">
      <w:start w:val="1"/>
      <w:numFmt w:val="lowerLetter"/>
      <w:lvlText w:val="%8"/>
      <w:lvlJc w:val="left"/>
      <w:pPr>
        <w:ind w:left="55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7668936">
      <w:start w:val="1"/>
      <w:numFmt w:val="lowerRoman"/>
      <w:lvlText w:val="%9"/>
      <w:lvlJc w:val="left"/>
      <w:pPr>
        <w:ind w:left="62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2" w15:restartNumberingAfterBreak="0">
    <w:nsid w:val="1D27285B"/>
    <w:multiLevelType w:val="hybridMultilevel"/>
    <w:tmpl w:val="E256B244"/>
    <w:lvl w:ilvl="0" w:tplc="494AFDE6">
      <w:start w:val="1"/>
      <w:numFmt w:val="bullet"/>
      <w:lvlText w:val="-"/>
      <w:lvlJc w:val="left"/>
      <w:pPr>
        <w:ind w:left="7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AA08C46">
      <w:start w:val="1"/>
      <w:numFmt w:val="bullet"/>
      <w:lvlText w:val="o"/>
      <w:lvlJc w:val="left"/>
      <w:pPr>
        <w:ind w:left="155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360E15E">
      <w:start w:val="1"/>
      <w:numFmt w:val="bullet"/>
      <w:lvlText w:val="▪"/>
      <w:lvlJc w:val="left"/>
      <w:pPr>
        <w:ind w:left="22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AF228C6">
      <w:start w:val="1"/>
      <w:numFmt w:val="bullet"/>
      <w:lvlText w:val="•"/>
      <w:lvlJc w:val="left"/>
      <w:pPr>
        <w:ind w:left="29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614AC54">
      <w:start w:val="1"/>
      <w:numFmt w:val="bullet"/>
      <w:lvlText w:val="o"/>
      <w:lvlJc w:val="left"/>
      <w:pPr>
        <w:ind w:left="37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3E01E5C">
      <w:start w:val="1"/>
      <w:numFmt w:val="bullet"/>
      <w:lvlText w:val="▪"/>
      <w:lvlJc w:val="left"/>
      <w:pPr>
        <w:ind w:left="44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252FCFA">
      <w:start w:val="1"/>
      <w:numFmt w:val="bullet"/>
      <w:lvlText w:val="•"/>
      <w:lvlJc w:val="left"/>
      <w:pPr>
        <w:ind w:left="515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F5070DA">
      <w:start w:val="1"/>
      <w:numFmt w:val="bullet"/>
      <w:lvlText w:val="o"/>
      <w:lvlJc w:val="left"/>
      <w:pPr>
        <w:ind w:left="58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138DF3C">
      <w:start w:val="1"/>
      <w:numFmt w:val="bullet"/>
      <w:lvlText w:val="▪"/>
      <w:lvlJc w:val="left"/>
      <w:pPr>
        <w:ind w:left="65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1E671D94"/>
    <w:multiLevelType w:val="multilevel"/>
    <w:tmpl w:val="D3F29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E79AC8F"/>
    <w:multiLevelType w:val="multilevel"/>
    <w:tmpl w:val="3F309080"/>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1F8F7704"/>
    <w:multiLevelType w:val="hybridMultilevel"/>
    <w:tmpl w:val="2CB214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2154502D"/>
    <w:multiLevelType w:val="hybridMultilevel"/>
    <w:tmpl w:val="FFFFFFFF"/>
    <w:lvl w:ilvl="0" w:tplc="C800492A">
      <w:start w:val="1"/>
      <w:numFmt w:val="decimal"/>
      <w:lvlText w:val="%1."/>
      <w:lvlJc w:val="left"/>
      <w:pPr>
        <w:ind w:left="720" w:hanging="360"/>
      </w:pPr>
    </w:lvl>
    <w:lvl w:ilvl="1" w:tplc="40A44422">
      <w:start w:val="1"/>
      <w:numFmt w:val="lowerLetter"/>
      <w:lvlText w:val="%2."/>
      <w:lvlJc w:val="left"/>
      <w:pPr>
        <w:ind w:left="1440" w:hanging="360"/>
      </w:pPr>
    </w:lvl>
    <w:lvl w:ilvl="2" w:tplc="28A4A696">
      <w:start w:val="1"/>
      <w:numFmt w:val="lowerRoman"/>
      <w:lvlText w:val="%3."/>
      <w:lvlJc w:val="right"/>
      <w:pPr>
        <w:ind w:left="2160" w:hanging="180"/>
      </w:pPr>
    </w:lvl>
    <w:lvl w:ilvl="3" w:tplc="449C9166">
      <w:start w:val="1"/>
      <w:numFmt w:val="decimal"/>
      <w:lvlText w:val="%4."/>
      <w:lvlJc w:val="left"/>
      <w:pPr>
        <w:ind w:left="2880" w:hanging="360"/>
      </w:pPr>
    </w:lvl>
    <w:lvl w:ilvl="4" w:tplc="8E46A25C">
      <w:start w:val="1"/>
      <w:numFmt w:val="lowerLetter"/>
      <w:lvlText w:val="%5."/>
      <w:lvlJc w:val="left"/>
      <w:pPr>
        <w:ind w:left="3600" w:hanging="360"/>
      </w:pPr>
    </w:lvl>
    <w:lvl w:ilvl="5" w:tplc="36B05696">
      <w:start w:val="1"/>
      <w:numFmt w:val="lowerRoman"/>
      <w:lvlText w:val="%6."/>
      <w:lvlJc w:val="right"/>
      <w:pPr>
        <w:ind w:left="4320" w:hanging="180"/>
      </w:pPr>
    </w:lvl>
    <w:lvl w:ilvl="6" w:tplc="1262A5E4">
      <w:start w:val="1"/>
      <w:numFmt w:val="decimal"/>
      <w:lvlText w:val="%7."/>
      <w:lvlJc w:val="left"/>
      <w:pPr>
        <w:ind w:left="5040" w:hanging="360"/>
      </w:pPr>
    </w:lvl>
    <w:lvl w:ilvl="7" w:tplc="C3CAC93C">
      <w:start w:val="1"/>
      <w:numFmt w:val="lowerLetter"/>
      <w:lvlText w:val="%8."/>
      <w:lvlJc w:val="left"/>
      <w:pPr>
        <w:ind w:left="5760" w:hanging="360"/>
      </w:pPr>
    </w:lvl>
    <w:lvl w:ilvl="8" w:tplc="7EC48E1C">
      <w:start w:val="1"/>
      <w:numFmt w:val="lowerRoman"/>
      <w:lvlText w:val="%9."/>
      <w:lvlJc w:val="right"/>
      <w:pPr>
        <w:ind w:left="6480" w:hanging="180"/>
      </w:pPr>
    </w:lvl>
  </w:abstractNum>
  <w:abstractNum w:abstractNumId="57" w15:restartNumberingAfterBreak="0">
    <w:nsid w:val="21B72C75"/>
    <w:multiLevelType w:val="hybridMultilevel"/>
    <w:tmpl w:val="8E2A4C02"/>
    <w:lvl w:ilvl="0" w:tplc="683C20A6">
      <w:start w:val="1"/>
      <w:numFmt w:val="lowerRoman"/>
      <w:lvlText w:val="%1."/>
      <w:lvlJc w:val="left"/>
      <w:pPr>
        <w:ind w:left="1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ACCA4">
      <w:start w:val="1"/>
      <w:numFmt w:val="lowerLetter"/>
      <w:lvlText w:val="%2"/>
      <w:lvlJc w:val="left"/>
      <w:pPr>
        <w:ind w:left="1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8C0672">
      <w:start w:val="1"/>
      <w:numFmt w:val="lowerRoman"/>
      <w:lvlText w:val="%3"/>
      <w:lvlJc w:val="left"/>
      <w:pPr>
        <w:ind w:left="2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BE53E0">
      <w:start w:val="1"/>
      <w:numFmt w:val="decimal"/>
      <w:lvlText w:val="%4"/>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6EBE86">
      <w:start w:val="1"/>
      <w:numFmt w:val="lowerLetter"/>
      <w:lvlText w:val="%5"/>
      <w:lvlJc w:val="left"/>
      <w:pPr>
        <w:ind w:left="3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DE0138">
      <w:start w:val="1"/>
      <w:numFmt w:val="lowerRoman"/>
      <w:lvlText w:val="%6"/>
      <w:lvlJc w:val="left"/>
      <w:pPr>
        <w:ind w:left="4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B8A512">
      <w:start w:val="1"/>
      <w:numFmt w:val="decimal"/>
      <w:lvlText w:val="%7"/>
      <w:lvlJc w:val="left"/>
      <w:pPr>
        <w:ind w:left="4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AC0516">
      <w:start w:val="1"/>
      <w:numFmt w:val="lowerLetter"/>
      <w:lvlText w:val="%8"/>
      <w:lvlJc w:val="left"/>
      <w:pPr>
        <w:ind w:left="5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9E91D4">
      <w:start w:val="1"/>
      <w:numFmt w:val="lowerRoman"/>
      <w:lvlText w:val="%9"/>
      <w:lvlJc w:val="left"/>
      <w:pPr>
        <w:ind w:left="6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21DC3658"/>
    <w:multiLevelType w:val="hybridMultilevel"/>
    <w:tmpl w:val="0F269736"/>
    <w:lvl w:ilvl="0" w:tplc="809ED104">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430B750">
      <w:start w:val="1"/>
      <w:numFmt w:val="bullet"/>
      <w:lvlText w:val="o"/>
      <w:lvlJc w:val="left"/>
      <w:pPr>
        <w:ind w:left="12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FE2253C">
      <w:start w:val="1"/>
      <w:numFmt w:val="bullet"/>
      <w:lvlText w:val="▪"/>
      <w:lvlJc w:val="left"/>
      <w:pPr>
        <w:ind w:left="19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9667DCC">
      <w:start w:val="1"/>
      <w:numFmt w:val="bullet"/>
      <w:lvlText w:val="•"/>
      <w:lvlJc w:val="left"/>
      <w:pPr>
        <w:ind w:left="26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32AC750">
      <w:start w:val="1"/>
      <w:numFmt w:val="bullet"/>
      <w:lvlText w:val="o"/>
      <w:lvlJc w:val="left"/>
      <w:pPr>
        <w:ind w:left="33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D46A24C">
      <w:start w:val="1"/>
      <w:numFmt w:val="bullet"/>
      <w:lvlText w:val="▪"/>
      <w:lvlJc w:val="left"/>
      <w:pPr>
        <w:ind w:left="40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0029ADE">
      <w:start w:val="1"/>
      <w:numFmt w:val="bullet"/>
      <w:lvlText w:val="•"/>
      <w:lvlJc w:val="left"/>
      <w:pPr>
        <w:ind w:left="48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480E5E0">
      <w:start w:val="1"/>
      <w:numFmt w:val="bullet"/>
      <w:lvlText w:val="o"/>
      <w:lvlJc w:val="left"/>
      <w:pPr>
        <w:ind w:left="55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E5AAB2A">
      <w:start w:val="1"/>
      <w:numFmt w:val="bullet"/>
      <w:lvlText w:val="▪"/>
      <w:lvlJc w:val="left"/>
      <w:pPr>
        <w:ind w:left="62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9" w15:restartNumberingAfterBreak="0">
    <w:nsid w:val="22FDA745"/>
    <w:multiLevelType w:val="hybridMultilevel"/>
    <w:tmpl w:val="FFFFFFFF"/>
    <w:lvl w:ilvl="0" w:tplc="3514CEC0">
      <w:start w:val="2"/>
      <w:numFmt w:val="decimal"/>
      <w:lvlText w:val="%1."/>
      <w:lvlJc w:val="left"/>
      <w:pPr>
        <w:ind w:left="720" w:hanging="360"/>
      </w:pPr>
    </w:lvl>
    <w:lvl w:ilvl="1" w:tplc="143A6948">
      <w:start w:val="1"/>
      <w:numFmt w:val="lowerLetter"/>
      <w:lvlText w:val="%2."/>
      <w:lvlJc w:val="left"/>
      <w:pPr>
        <w:ind w:left="1440" w:hanging="360"/>
      </w:pPr>
    </w:lvl>
    <w:lvl w:ilvl="2" w:tplc="7E34F308">
      <w:start w:val="1"/>
      <w:numFmt w:val="lowerRoman"/>
      <w:lvlText w:val="%3."/>
      <w:lvlJc w:val="right"/>
      <w:pPr>
        <w:ind w:left="2160" w:hanging="180"/>
      </w:pPr>
    </w:lvl>
    <w:lvl w:ilvl="3" w:tplc="42F2D3A8">
      <w:start w:val="1"/>
      <w:numFmt w:val="decimal"/>
      <w:lvlText w:val="%4."/>
      <w:lvlJc w:val="left"/>
      <w:pPr>
        <w:ind w:left="2880" w:hanging="360"/>
      </w:pPr>
    </w:lvl>
    <w:lvl w:ilvl="4" w:tplc="78BC2000">
      <w:start w:val="1"/>
      <w:numFmt w:val="lowerLetter"/>
      <w:lvlText w:val="%5."/>
      <w:lvlJc w:val="left"/>
      <w:pPr>
        <w:ind w:left="3600" w:hanging="360"/>
      </w:pPr>
    </w:lvl>
    <w:lvl w:ilvl="5" w:tplc="FAA2B4A4">
      <w:start w:val="1"/>
      <w:numFmt w:val="lowerRoman"/>
      <w:lvlText w:val="%6."/>
      <w:lvlJc w:val="right"/>
      <w:pPr>
        <w:ind w:left="4320" w:hanging="180"/>
      </w:pPr>
    </w:lvl>
    <w:lvl w:ilvl="6" w:tplc="76448BC8">
      <w:start w:val="1"/>
      <w:numFmt w:val="decimal"/>
      <w:lvlText w:val="%7."/>
      <w:lvlJc w:val="left"/>
      <w:pPr>
        <w:ind w:left="5040" w:hanging="360"/>
      </w:pPr>
    </w:lvl>
    <w:lvl w:ilvl="7" w:tplc="EAA427CC">
      <w:start w:val="1"/>
      <w:numFmt w:val="lowerLetter"/>
      <w:lvlText w:val="%8."/>
      <w:lvlJc w:val="left"/>
      <w:pPr>
        <w:ind w:left="5760" w:hanging="360"/>
      </w:pPr>
    </w:lvl>
    <w:lvl w:ilvl="8" w:tplc="21F061FA">
      <w:start w:val="1"/>
      <w:numFmt w:val="lowerRoman"/>
      <w:lvlText w:val="%9."/>
      <w:lvlJc w:val="right"/>
      <w:pPr>
        <w:ind w:left="6480" w:hanging="180"/>
      </w:pPr>
    </w:lvl>
  </w:abstractNum>
  <w:abstractNum w:abstractNumId="60" w15:restartNumberingAfterBreak="0">
    <w:nsid w:val="23DA2489"/>
    <w:multiLevelType w:val="hybridMultilevel"/>
    <w:tmpl w:val="86A293A4"/>
    <w:lvl w:ilvl="0" w:tplc="94505018">
      <w:start w:val="1"/>
      <w:numFmt w:val="bullet"/>
      <w:lvlText w:val="-"/>
      <w:lvlJc w:val="left"/>
      <w:pPr>
        <w:ind w:left="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E42B9DE">
      <w:start w:val="1"/>
      <w:numFmt w:val="bullet"/>
      <w:lvlText w:val="o"/>
      <w:lvlJc w:val="left"/>
      <w:pPr>
        <w:ind w:left="1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17AD3FE">
      <w:start w:val="1"/>
      <w:numFmt w:val="bullet"/>
      <w:lvlText w:val="▪"/>
      <w:lvlJc w:val="left"/>
      <w:pPr>
        <w:ind w:left="19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269CE2">
      <w:start w:val="1"/>
      <w:numFmt w:val="bullet"/>
      <w:lvlText w:val="•"/>
      <w:lvlJc w:val="left"/>
      <w:pPr>
        <w:ind w:left="26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4D095C8">
      <w:start w:val="1"/>
      <w:numFmt w:val="bullet"/>
      <w:lvlText w:val="o"/>
      <w:lvlJc w:val="left"/>
      <w:pPr>
        <w:ind w:left="33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4EDAE2">
      <w:start w:val="1"/>
      <w:numFmt w:val="bullet"/>
      <w:lvlText w:val="▪"/>
      <w:lvlJc w:val="left"/>
      <w:pPr>
        <w:ind w:left="40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B9ED1AA">
      <w:start w:val="1"/>
      <w:numFmt w:val="bullet"/>
      <w:lvlText w:val="•"/>
      <w:lvlJc w:val="left"/>
      <w:pPr>
        <w:ind w:left="47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7CEB4A0">
      <w:start w:val="1"/>
      <w:numFmt w:val="bullet"/>
      <w:lvlText w:val="o"/>
      <w:lvlJc w:val="left"/>
      <w:pPr>
        <w:ind w:left="55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728CFDC">
      <w:start w:val="1"/>
      <w:numFmt w:val="bullet"/>
      <w:lvlText w:val="▪"/>
      <w:lvlJc w:val="left"/>
      <w:pPr>
        <w:ind w:left="62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1" w15:restartNumberingAfterBreak="0">
    <w:nsid w:val="24300804"/>
    <w:multiLevelType w:val="hybridMultilevel"/>
    <w:tmpl w:val="7BE09DC0"/>
    <w:lvl w:ilvl="0" w:tplc="69601FA4">
      <w:start w:val="1"/>
      <w:numFmt w:val="bullet"/>
      <w:lvlText w:val="-"/>
      <w:lvlJc w:val="left"/>
      <w:pPr>
        <w:ind w:left="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8E212D8">
      <w:start w:val="1"/>
      <w:numFmt w:val="bullet"/>
      <w:lvlText w:val="o"/>
      <w:lvlJc w:val="left"/>
      <w:pPr>
        <w:ind w:left="1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3285B38">
      <w:start w:val="1"/>
      <w:numFmt w:val="bullet"/>
      <w:lvlText w:val="▪"/>
      <w:lvlJc w:val="left"/>
      <w:pPr>
        <w:ind w:left="19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BA60128">
      <w:start w:val="1"/>
      <w:numFmt w:val="bullet"/>
      <w:lvlText w:val="•"/>
      <w:lvlJc w:val="left"/>
      <w:pPr>
        <w:ind w:left="26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5A49C34">
      <w:start w:val="1"/>
      <w:numFmt w:val="bullet"/>
      <w:lvlText w:val="o"/>
      <w:lvlJc w:val="left"/>
      <w:pPr>
        <w:ind w:left="33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224E34">
      <w:start w:val="1"/>
      <w:numFmt w:val="bullet"/>
      <w:lvlText w:val="▪"/>
      <w:lvlJc w:val="left"/>
      <w:pPr>
        <w:ind w:left="40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64879D0">
      <w:start w:val="1"/>
      <w:numFmt w:val="bullet"/>
      <w:lvlText w:val="•"/>
      <w:lvlJc w:val="left"/>
      <w:pPr>
        <w:ind w:left="47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0905E5A">
      <w:start w:val="1"/>
      <w:numFmt w:val="bullet"/>
      <w:lvlText w:val="o"/>
      <w:lvlJc w:val="left"/>
      <w:pPr>
        <w:ind w:left="55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0EA0B2A">
      <w:start w:val="1"/>
      <w:numFmt w:val="bullet"/>
      <w:lvlText w:val="▪"/>
      <w:lvlJc w:val="left"/>
      <w:pPr>
        <w:ind w:left="62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2" w15:restartNumberingAfterBreak="0">
    <w:nsid w:val="24DCCC8B"/>
    <w:multiLevelType w:val="hybridMultilevel"/>
    <w:tmpl w:val="FFFFFFFF"/>
    <w:lvl w:ilvl="0" w:tplc="25FCA4D0">
      <w:start w:val="1"/>
      <w:numFmt w:val="decimal"/>
      <w:lvlText w:val="%1."/>
      <w:lvlJc w:val="left"/>
      <w:pPr>
        <w:ind w:left="720" w:hanging="360"/>
      </w:pPr>
    </w:lvl>
    <w:lvl w:ilvl="1" w:tplc="56848104">
      <w:start w:val="1"/>
      <w:numFmt w:val="lowerLetter"/>
      <w:lvlText w:val="%2."/>
      <w:lvlJc w:val="left"/>
      <w:pPr>
        <w:ind w:left="1440" w:hanging="360"/>
      </w:pPr>
    </w:lvl>
    <w:lvl w:ilvl="2" w:tplc="FAFE9DAC">
      <w:start w:val="1"/>
      <w:numFmt w:val="lowerRoman"/>
      <w:lvlText w:val="%3."/>
      <w:lvlJc w:val="right"/>
      <w:pPr>
        <w:ind w:left="2160" w:hanging="180"/>
      </w:pPr>
    </w:lvl>
    <w:lvl w:ilvl="3" w:tplc="785E388E">
      <w:start w:val="1"/>
      <w:numFmt w:val="decimal"/>
      <w:lvlText w:val="%4."/>
      <w:lvlJc w:val="left"/>
      <w:pPr>
        <w:ind w:left="2880" w:hanging="360"/>
      </w:pPr>
    </w:lvl>
    <w:lvl w:ilvl="4" w:tplc="1A34BE40">
      <w:start w:val="1"/>
      <w:numFmt w:val="lowerLetter"/>
      <w:lvlText w:val="%5."/>
      <w:lvlJc w:val="left"/>
      <w:pPr>
        <w:ind w:left="3600" w:hanging="360"/>
      </w:pPr>
    </w:lvl>
    <w:lvl w:ilvl="5" w:tplc="2EB678C6">
      <w:start w:val="1"/>
      <w:numFmt w:val="lowerRoman"/>
      <w:lvlText w:val="%6."/>
      <w:lvlJc w:val="right"/>
      <w:pPr>
        <w:ind w:left="4320" w:hanging="180"/>
      </w:pPr>
    </w:lvl>
    <w:lvl w:ilvl="6" w:tplc="D8E0BD54">
      <w:start w:val="1"/>
      <w:numFmt w:val="decimal"/>
      <w:lvlText w:val="%7."/>
      <w:lvlJc w:val="left"/>
      <w:pPr>
        <w:ind w:left="5040" w:hanging="360"/>
      </w:pPr>
    </w:lvl>
    <w:lvl w:ilvl="7" w:tplc="BE624ED8">
      <w:start w:val="1"/>
      <w:numFmt w:val="lowerLetter"/>
      <w:lvlText w:val="%8."/>
      <w:lvlJc w:val="left"/>
      <w:pPr>
        <w:ind w:left="5760" w:hanging="360"/>
      </w:pPr>
    </w:lvl>
    <w:lvl w:ilvl="8" w:tplc="34622584">
      <w:start w:val="1"/>
      <w:numFmt w:val="lowerRoman"/>
      <w:lvlText w:val="%9."/>
      <w:lvlJc w:val="right"/>
      <w:pPr>
        <w:ind w:left="6480" w:hanging="180"/>
      </w:pPr>
    </w:lvl>
  </w:abstractNum>
  <w:abstractNum w:abstractNumId="63" w15:restartNumberingAfterBreak="0">
    <w:nsid w:val="25293FF2"/>
    <w:multiLevelType w:val="hybridMultilevel"/>
    <w:tmpl w:val="AAE47C40"/>
    <w:lvl w:ilvl="0" w:tplc="2174C9E6">
      <w:start w:val="1"/>
      <w:numFmt w:val="bullet"/>
      <w:lvlText w:val="-"/>
      <w:lvlJc w:val="left"/>
      <w:pPr>
        <w:ind w:left="3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348C9B6">
      <w:start w:val="1"/>
      <w:numFmt w:val="bullet"/>
      <w:lvlText w:val="o"/>
      <w:lvlJc w:val="left"/>
      <w:pPr>
        <w:ind w:left="11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D7C3290">
      <w:start w:val="1"/>
      <w:numFmt w:val="bullet"/>
      <w:lvlText w:val="▪"/>
      <w:lvlJc w:val="left"/>
      <w:pPr>
        <w:ind w:left="19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7D8AEB0">
      <w:start w:val="1"/>
      <w:numFmt w:val="bullet"/>
      <w:lvlText w:val="•"/>
      <w:lvlJc w:val="left"/>
      <w:pPr>
        <w:ind w:left="26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9AABA90">
      <w:start w:val="1"/>
      <w:numFmt w:val="bullet"/>
      <w:lvlText w:val="o"/>
      <w:lvlJc w:val="left"/>
      <w:pPr>
        <w:ind w:left="335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760C024">
      <w:start w:val="1"/>
      <w:numFmt w:val="bullet"/>
      <w:lvlText w:val="▪"/>
      <w:lvlJc w:val="left"/>
      <w:pPr>
        <w:ind w:left="40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988816A">
      <w:start w:val="1"/>
      <w:numFmt w:val="bullet"/>
      <w:lvlText w:val="•"/>
      <w:lvlJc w:val="left"/>
      <w:pPr>
        <w:ind w:left="47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8202BF2">
      <w:start w:val="1"/>
      <w:numFmt w:val="bullet"/>
      <w:lvlText w:val="o"/>
      <w:lvlJc w:val="left"/>
      <w:pPr>
        <w:ind w:left="55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6FE4C08">
      <w:start w:val="1"/>
      <w:numFmt w:val="bullet"/>
      <w:lvlText w:val="▪"/>
      <w:lvlJc w:val="left"/>
      <w:pPr>
        <w:ind w:left="62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4" w15:restartNumberingAfterBreak="0">
    <w:nsid w:val="25E6BA66"/>
    <w:multiLevelType w:val="hybridMultilevel"/>
    <w:tmpl w:val="FFFFFFFF"/>
    <w:lvl w:ilvl="0" w:tplc="A2C4B1F4">
      <w:start w:val="3"/>
      <w:numFmt w:val="decimal"/>
      <w:lvlText w:val="%1."/>
      <w:lvlJc w:val="left"/>
      <w:pPr>
        <w:ind w:left="720" w:hanging="360"/>
      </w:pPr>
    </w:lvl>
    <w:lvl w:ilvl="1" w:tplc="78EEB1C0">
      <w:start w:val="1"/>
      <w:numFmt w:val="lowerLetter"/>
      <w:lvlText w:val="%2."/>
      <w:lvlJc w:val="left"/>
      <w:pPr>
        <w:ind w:left="1440" w:hanging="360"/>
      </w:pPr>
    </w:lvl>
    <w:lvl w:ilvl="2" w:tplc="A798E748">
      <w:start w:val="1"/>
      <w:numFmt w:val="lowerRoman"/>
      <w:lvlText w:val="%3."/>
      <w:lvlJc w:val="right"/>
      <w:pPr>
        <w:ind w:left="2160" w:hanging="180"/>
      </w:pPr>
    </w:lvl>
    <w:lvl w:ilvl="3" w:tplc="7570D2E0">
      <w:start w:val="1"/>
      <w:numFmt w:val="decimal"/>
      <w:lvlText w:val="%4."/>
      <w:lvlJc w:val="left"/>
      <w:pPr>
        <w:ind w:left="2880" w:hanging="360"/>
      </w:pPr>
    </w:lvl>
    <w:lvl w:ilvl="4" w:tplc="898658D2">
      <w:start w:val="1"/>
      <w:numFmt w:val="lowerLetter"/>
      <w:lvlText w:val="%5."/>
      <w:lvlJc w:val="left"/>
      <w:pPr>
        <w:ind w:left="3600" w:hanging="360"/>
      </w:pPr>
    </w:lvl>
    <w:lvl w:ilvl="5" w:tplc="EF52BDAC">
      <w:start w:val="1"/>
      <w:numFmt w:val="lowerRoman"/>
      <w:lvlText w:val="%6."/>
      <w:lvlJc w:val="right"/>
      <w:pPr>
        <w:ind w:left="4320" w:hanging="180"/>
      </w:pPr>
    </w:lvl>
    <w:lvl w:ilvl="6" w:tplc="127A42B2">
      <w:start w:val="1"/>
      <w:numFmt w:val="decimal"/>
      <w:lvlText w:val="%7."/>
      <w:lvlJc w:val="left"/>
      <w:pPr>
        <w:ind w:left="5040" w:hanging="360"/>
      </w:pPr>
    </w:lvl>
    <w:lvl w:ilvl="7" w:tplc="F9DAC080">
      <w:start w:val="1"/>
      <w:numFmt w:val="lowerLetter"/>
      <w:lvlText w:val="%8."/>
      <w:lvlJc w:val="left"/>
      <w:pPr>
        <w:ind w:left="5760" w:hanging="360"/>
      </w:pPr>
    </w:lvl>
    <w:lvl w:ilvl="8" w:tplc="7876C39E">
      <w:start w:val="1"/>
      <w:numFmt w:val="lowerRoman"/>
      <w:lvlText w:val="%9."/>
      <w:lvlJc w:val="right"/>
      <w:pPr>
        <w:ind w:left="6480" w:hanging="180"/>
      </w:pPr>
    </w:lvl>
  </w:abstractNum>
  <w:abstractNum w:abstractNumId="65" w15:restartNumberingAfterBreak="0">
    <w:nsid w:val="25E91717"/>
    <w:multiLevelType w:val="hybridMultilevel"/>
    <w:tmpl w:val="93C20A86"/>
    <w:lvl w:ilvl="0" w:tplc="0CCC55D8">
      <w:start w:val="14"/>
      <w:numFmt w:val="bullet"/>
      <w:lvlText w:val="-"/>
      <w:lvlJc w:val="left"/>
      <w:pPr>
        <w:ind w:left="720" w:hanging="360"/>
      </w:pPr>
      <w:rPr>
        <w:rFonts w:ascii="Times New Roman" w:eastAsia="Times New Roman" w:hAnsi="Times New Roman" w:cs="Times New Roman" w:hint="default"/>
        <w:color w:val="0061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6" w15:restartNumberingAfterBreak="0">
    <w:nsid w:val="26664341"/>
    <w:multiLevelType w:val="hybridMultilevel"/>
    <w:tmpl w:val="90023482"/>
    <w:lvl w:ilvl="0" w:tplc="CDFE001A">
      <w:start w:val="1"/>
      <w:numFmt w:val="decimal"/>
      <w:lvlText w:val="%1."/>
      <w:lvlJc w:val="left"/>
      <w:pPr>
        <w:ind w:left="7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FB4755E">
      <w:start w:val="1"/>
      <w:numFmt w:val="lowerLetter"/>
      <w:lvlText w:val="%2"/>
      <w:lvlJc w:val="left"/>
      <w:pPr>
        <w:ind w:left="15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2548140">
      <w:start w:val="1"/>
      <w:numFmt w:val="lowerRoman"/>
      <w:lvlText w:val="%3"/>
      <w:lvlJc w:val="left"/>
      <w:pPr>
        <w:ind w:left="22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0ED072">
      <w:start w:val="1"/>
      <w:numFmt w:val="decimal"/>
      <w:lvlText w:val="%4"/>
      <w:lvlJc w:val="left"/>
      <w:pPr>
        <w:ind w:left="29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3DED744">
      <w:start w:val="1"/>
      <w:numFmt w:val="lowerLetter"/>
      <w:lvlText w:val="%5"/>
      <w:lvlJc w:val="left"/>
      <w:pPr>
        <w:ind w:left="37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10A0C02">
      <w:start w:val="1"/>
      <w:numFmt w:val="lowerRoman"/>
      <w:lvlText w:val="%6"/>
      <w:lvlJc w:val="left"/>
      <w:pPr>
        <w:ind w:left="44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1627FF8">
      <w:start w:val="1"/>
      <w:numFmt w:val="decimal"/>
      <w:lvlText w:val="%7"/>
      <w:lvlJc w:val="left"/>
      <w:pPr>
        <w:ind w:left="51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C082D0A">
      <w:start w:val="1"/>
      <w:numFmt w:val="lowerLetter"/>
      <w:lvlText w:val="%8"/>
      <w:lvlJc w:val="left"/>
      <w:pPr>
        <w:ind w:left="58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C40E7CE">
      <w:start w:val="1"/>
      <w:numFmt w:val="lowerRoman"/>
      <w:lvlText w:val="%9"/>
      <w:lvlJc w:val="left"/>
      <w:pPr>
        <w:ind w:left="65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7" w15:restartNumberingAfterBreak="0">
    <w:nsid w:val="26722EC3"/>
    <w:multiLevelType w:val="hybridMultilevel"/>
    <w:tmpl w:val="8FEA9D1E"/>
    <w:lvl w:ilvl="0" w:tplc="18090019">
      <w:start w:val="1"/>
      <w:numFmt w:val="lowerLetter"/>
      <w:lvlText w:val="%1."/>
      <w:lvlJc w:val="left"/>
      <w:pPr>
        <w:tabs>
          <w:tab w:val="num" w:pos="-720"/>
        </w:tabs>
      </w:pPr>
    </w:lvl>
    <w:lvl w:ilvl="1" w:tplc="18090019">
      <w:start w:val="1"/>
      <w:numFmt w:val="lowerLetter"/>
      <w:lvlText w:val="%2."/>
      <w:lvlJc w:val="left"/>
      <w:pPr>
        <w:ind w:left="720" w:hanging="360"/>
      </w:pPr>
    </w:lvl>
    <w:lvl w:ilvl="2" w:tplc="1809001B" w:tentative="1">
      <w:start w:val="1"/>
      <w:numFmt w:val="lowerRoman"/>
      <w:lvlText w:val="%3."/>
      <w:lvlJc w:val="right"/>
      <w:pPr>
        <w:ind w:left="1440" w:hanging="180"/>
      </w:pPr>
    </w:lvl>
    <w:lvl w:ilvl="3" w:tplc="1809000F" w:tentative="1">
      <w:start w:val="1"/>
      <w:numFmt w:val="decimal"/>
      <w:lvlText w:val="%4."/>
      <w:lvlJc w:val="left"/>
      <w:pPr>
        <w:ind w:left="2160" w:hanging="360"/>
      </w:pPr>
    </w:lvl>
    <w:lvl w:ilvl="4" w:tplc="18090019" w:tentative="1">
      <w:start w:val="1"/>
      <w:numFmt w:val="lowerLetter"/>
      <w:lvlText w:val="%5."/>
      <w:lvlJc w:val="left"/>
      <w:pPr>
        <w:ind w:left="2880" w:hanging="360"/>
      </w:pPr>
    </w:lvl>
    <w:lvl w:ilvl="5" w:tplc="1809001B" w:tentative="1">
      <w:start w:val="1"/>
      <w:numFmt w:val="lowerRoman"/>
      <w:lvlText w:val="%6."/>
      <w:lvlJc w:val="right"/>
      <w:pPr>
        <w:ind w:left="3600" w:hanging="180"/>
      </w:pPr>
    </w:lvl>
    <w:lvl w:ilvl="6" w:tplc="1809000F" w:tentative="1">
      <w:start w:val="1"/>
      <w:numFmt w:val="decimal"/>
      <w:lvlText w:val="%7."/>
      <w:lvlJc w:val="left"/>
      <w:pPr>
        <w:ind w:left="4320" w:hanging="360"/>
      </w:pPr>
    </w:lvl>
    <w:lvl w:ilvl="7" w:tplc="18090019" w:tentative="1">
      <w:start w:val="1"/>
      <w:numFmt w:val="lowerLetter"/>
      <w:lvlText w:val="%8."/>
      <w:lvlJc w:val="left"/>
      <w:pPr>
        <w:ind w:left="5040" w:hanging="360"/>
      </w:pPr>
    </w:lvl>
    <w:lvl w:ilvl="8" w:tplc="1809001B" w:tentative="1">
      <w:start w:val="1"/>
      <w:numFmt w:val="lowerRoman"/>
      <w:lvlText w:val="%9."/>
      <w:lvlJc w:val="right"/>
      <w:pPr>
        <w:ind w:left="5760" w:hanging="180"/>
      </w:pPr>
    </w:lvl>
  </w:abstractNum>
  <w:abstractNum w:abstractNumId="68" w15:restartNumberingAfterBreak="0">
    <w:nsid w:val="26A37BC4"/>
    <w:multiLevelType w:val="hybridMultilevel"/>
    <w:tmpl w:val="AAE6B81A"/>
    <w:lvl w:ilvl="0" w:tplc="45D0C7A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02FF2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B0B75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24A0A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1C81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4AB46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A8FC3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066DC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708D1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2717F8B3"/>
    <w:multiLevelType w:val="hybridMultilevel"/>
    <w:tmpl w:val="FFFFFFFF"/>
    <w:lvl w:ilvl="0" w:tplc="3CE21F8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97FC4182">
      <w:start w:val="1"/>
      <w:numFmt w:val="bullet"/>
      <w:lvlText w:val=""/>
      <w:lvlJc w:val="left"/>
      <w:pPr>
        <w:ind w:left="2160" w:hanging="360"/>
      </w:pPr>
      <w:rPr>
        <w:rFonts w:ascii="Wingdings" w:hAnsi="Wingdings" w:hint="default"/>
      </w:rPr>
    </w:lvl>
    <w:lvl w:ilvl="3" w:tplc="A39E9170">
      <w:start w:val="1"/>
      <w:numFmt w:val="bullet"/>
      <w:lvlText w:val=""/>
      <w:lvlJc w:val="left"/>
      <w:pPr>
        <w:ind w:left="2880" w:hanging="360"/>
      </w:pPr>
      <w:rPr>
        <w:rFonts w:ascii="Symbol" w:hAnsi="Symbol" w:hint="default"/>
      </w:rPr>
    </w:lvl>
    <w:lvl w:ilvl="4" w:tplc="0B68F3DC">
      <w:start w:val="1"/>
      <w:numFmt w:val="bullet"/>
      <w:lvlText w:val="o"/>
      <w:lvlJc w:val="left"/>
      <w:pPr>
        <w:ind w:left="3600" w:hanging="360"/>
      </w:pPr>
      <w:rPr>
        <w:rFonts w:ascii="Courier New" w:hAnsi="Courier New" w:hint="default"/>
      </w:rPr>
    </w:lvl>
    <w:lvl w:ilvl="5" w:tplc="C088C644">
      <w:start w:val="1"/>
      <w:numFmt w:val="bullet"/>
      <w:lvlText w:val=""/>
      <w:lvlJc w:val="left"/>
      <w:pPr>
        <w:ind w:left="4320" w:hanging="360"/>
      </w:pPr>
      <w:rPr>
        <w:rFonts w:ascii="Wingdings" w:hAnsi="Wingdings" w:hint="default"/>
      </w:rPr>
    </w:lvl>
    <w:lvl w:ilvl="6" w:tplc="98125394">
      <w:start w:val="1"/>
      <w:numFmt w:val="bullet"/>
      <w:lvlText w:val=""/>
      <w:lvlJc w:val="left"/>
      <w:pPr>
        <w:ind w:left="5040" w:hanging="360"/>
      </w:pPr>
      <w:rPr>
        <w:rFonts w:ascii="Symbol" w:hAnsi="Symbol" w:hint="default"/>
      </w:rPr>
    </w:lvl>
    <w:lvl w:ilvl="7" w:tplc="EC7621B0">
      <w:start w:val="1"/>
      <w:numFmt w:val="bullet"/>
      <w:lvlText w:val="o"/>
      <w:lvlJc w:val="left"/>
      <w:pPr>
        <w:ind w:left="5760" w:hanging="360"/>
      </w:pPr>
      <w:rPr>
        <w:rFonts w:ascii="Courier New" w:hAnsi="Courier New" w:hint="default"/>
      </w:rPr>
    </w:lvl>
    <w:lvl w:ilvl="8" w:tplc="DC96E638">
      <w:start w:val="1"/>
      <w:numFmt w:val="bullet"/>
      <w:lvlText w:val=""/>
      <w:lvlJc w:val="left"/>
      <w:pPr>
        <w:ind w:left="6480" w:hanging="360"/>
      </w:pPr>
      <w:rPr>
        <w:rFonts w:ascii="Wingdings" w:hAnsi="Wingdings" w:hint="default"/>
      </w:rPr>
    </w:lvl>
  </w:abstractNum>
  <w:abstractNum w:abstractNumId="70" w15:restartNumberingAfterBreak="0">
    <w:nsid w:val="27826E2C"/>
    <w:multiLevelType w:val="hybridMultilevel"/>
    <w:tmpl w:val="A6965C5E"/>
    <w:lvl w:ilvl="0" w:tplc="13422320">
      <w:start w:val="1"/>
      <w:numFmt w:val="bullet"/>
      <w:lvlText w:val="-"/>
      <w:lvlJc w:val="left"/>
      <w:pPr>
        <w:ind w:left="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3C47ED0">
      <w:start w:val="1"/>
      <w:numFmt w:val="bullet"/>
      <w:lvlText w:val="o"/>
      <w:lvlJc w:val="left"/>
      <w:pPr>
        <w:ind w:left="1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B6EDAA">
      <w:start w:val="1"/>
      <w:numFmt w:val="bullet"/>
      <w:lvlText w:val="▪"/>
      <w:lvlJc w:val="left"/>
      <w:pPr>
        <w:ind w:left="19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B2B4AC">
      <w:start w:val="1"/>
      <w:numFmt w:val="bullet"/>
      <w:lvlText w:val="•"/>
      <w:lvlJc w:val="left"/>
      <w:pPr>
        <w:ind w:left="26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54A74C2">
      <w:start w:val="1"/>
      <w:numFmt w:val="bullet"/>
      <w:lvlText w:val="o"/>
      <w:lvlJc w:val="left"/>
      <w:pPr>
        <w:ind w:left="33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11ACF3C">
      <w:start w:val="1"/>
      <w:numFmt w:val="bullet"/>
      <w:lvlText w:val="▪"/>
      <w:lvlJc w:val="left"/>
      <w:pPr>
        <w:ind w:left="40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B4067B4">
      <w:start w:val="1"/>
      <w:numFmt w:val="bullet"/>
      <w:lvlText w:val="•"/>
      <w:lvlJc w:val="left"/>
      <w:pPr>
        <w:ind w:left="47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8D8F94C">
      <w:start w:val="1"/>
      <w:numFmt w:val="bullet"/>
      <w:lvlText w:val="o"/>
      <w:lvlJc w:val="left"/>
      <w:pPr>
        <w:ind w:left="55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B8AA24">
      <w:start w:val="1"/>
      <w:numFmt w:val="bullet"/>
      <w:lvlText w:val="▪"/>
      <w:lvlJc w:val="left"/>
      <w:pPr>
        <w:ind w:left="62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1" w15:restartNumberingAfterBreak="0">
    <w:nsid w:val="282C67BF"/>
    <w:multiLevelType w:val="hybridMultilevel"/>
    <w:tmpl w:val="8DC0602E"/>
    <w:lvl w:ilvl="0" w:tplc="FFFFFFFF">
      <w:start w:val="1"/>
      <w:numFmt w:val="lowerLetter"/>
      <w:lvlText w:val="%1."/>
      <w:lvlJc w:val="left"/>
      <w:pPr>
        <w:ind w:left="720" w:hanging="360"/>
      </w:pPr>
    </w:lvl>
    <w:lvl w:ilvl="1" w:tplc="18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2A8944C7"/>
    <w:multiLevelType w:val="hybridMultilevel"/>
    <w:tmpl w:val="FFFFFFFF"/>
    <w:lvl w:ilvl="0" w:tplc="1B3AF638">
      <w:start w:val="1"/>
      <w:numFmt w:val="decimal"/>
      <w:lvlText w:val="%1."/>
      <w:lvlJc w:val="left"/>
      <w:pPr>
        <w:ind w:left="720" w:hanging="360"/>
      </w:pPr>
    </w:lvl>
    <w:lvl w:ilvl="1" w:tplc="79ECF196">
      <w:start w:val="1"/>
      <w:numFmt w:val="lowerLetter"/>
      <w:lvlText w:val="%2."/>
      <w:lvlJc w:val="left"/>
      <w:pPr>
        <w:ind w:left="1440" w:hanging="360"/>
      </w:pPr>
    </w:lvl>
    <w:lvl w:ilvl="2" w:tplc="CA76AA98">
      <w:start w:val="1"/>
      <w:numFmt w:val="lowerRoman"/>
      <w:lvlText w:val="%3."/>
      <w:lvlJc w:val="right"/>
      <w:pPr>
        <w:ind w:left="2160" w:hanging="180"/>
      </w:pPr>
    </w:lvl>
    <w:lvl w:ilvl="3" w:tplc="38347F72">
      <w:start w:val="1"/>
      <w:numFmt w:val="decimal"/>
      <w:lvlText w:val="%4."/>
      <w:lvlJc w:val="left"/>
      <w:pPr>
        <w:ind w:left="2880" w:hanging="360"/>
      </w:pPr>
    </w:lvl>
    <w:lvl w:ilvl="4" w:tplc="987EC848">
      <w:start w:val="1"/>
      <w:numFmt w:val="lowerLetter"/>
      <w:lvlText w:val="%5."/>
      <w:lvlJc w:val="left"/>
      <w:pPr>
        <w:ind w:left="3600" w:hanging="360"/>
      </w:pPr>
    </w:lvl>
    <w:lvl w:ilvl="5" w:tplc="F5742620">
      <w:start w:val="1"/>
      <w:numFmt w:val="lowerRoman"/>
      <w:lvlText w:val="%6."/>
      <w:lvlJc w:val="right"/>
      <w:pPr>
        <w:ind w:left="4320" w:hanging="180"/>
      </w:pPr>
    </w:lvl>
    <w:lvl w:ilvl="6" w:tplc="F6C22234">
      <w:start w:val="1"/>
      <w:numFmt w:val="decimal"/>
      <w:lvlText w:val="%7."/>
      <w:lvlJc w:val="left"/>
      <w:pPr>
        <w:ind w:left="5040" w:hanging="360"/>
      </w:pPr>
    </w:lvl>
    <w:lvl w:ilvl="7" w:tplc="A8684E5A">
      <w:start w:val="1"/>
      <w:numFmt w:val="lowerLetter"/>
      <w:lvlText w:val="%8."/>
      <w:lvlJc w:val="left"/>
      <w:pPr>
        <w:ind w:left="5760" w:hanging="360"/>
      </w:pPr>
    </w:lvl>
    <w:lvl w:ilvl="8" w:tplc="533A5038">
      <w:start w:val="1"/>
      <w:numFmt w:val="lowerRoman"/>
      <w:lvlText w:val="%9."/>
      <w:lvlJc w:val="right"/>
      <w:pPr>
        <w:ind w:left="6480" w:hanging="180"/>
      </w:pPr>
    </w:lvl>
  </w:abstractNum>
  <w:abstractNum w:abstractNumId="73" w15:restartNumberingAfterBreak="0">
    <w:nsid w:val="2AAC4A08"/>
    <w:multiLevelType w:val="hybridMultilevel"/>
    <w:tmpl w:val="C8282FCA"/>
    <w:lvl w:ilvl="0" w:tplc="D46AA65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E834F4">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F6E6EE">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78570E">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106CF4">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669EF8">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5ACA0E">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1CE43A">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9AEACC">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2AB4E98F"/>
    <w:multiLevelType w:val="hybridMultilevel"/>
    <w:tmpl w:val="FFFFFFFF"/>
    <w:lvl w:ilvl="0" w:tplc="B094D426">
      <w:start w:val="2"/>
      <w:numFmt w:val="decimal"/>
      <w:lvlText w:val="%1."/>
      <w:lvlJc w:val="left"/>
      <w:pPr>
        <w:ind w:left="720" w:hanging="360"/>
      </w:pPr>
    </w:lvl>
    <w:lvl w:ilvl="1" w:tplc="482C51B2">
      <w:start w:val="1"/>
      <w:numFmt w:val="lowerLetter"/>
      <w:lvlText w:val="%2."/>
      <w:lvlJc w:val="left"/>
      <w:pPr>
        <w:ind w:left="1440" w:hanging="360"/>
      </w:pPr>
    </w:lvl>
    <w:lvl w:ilvl="2" w:tplc="8358315A">
      <w:start w:val="1"/>
      <w:numFmt w:val="lowerRoman"/>
      <w:lvlText w:val="%3."/>
      <w:lvlJc w:val="right"/>
      <w:pPr>
        <w:ind w:left="2160" w:hanging="180"/>
      </w:pPr>
    </w:lvl>
    <w:lvl w:ilvl="3" w:tplc="96188666">
      <w:start w:val="1"/>
      <w:numFmt w:val="decimal"/>
      <w:lvlText w:val="%4."/>
      <w:lvlJc w:val="left"/>
      <w:pPr>
        <w:ind w:left="2880" w:hanging="360"/>
      </w:pPr>
    </w:lvl>
    <w:lvl w:ilvl="4" w:tplc="762E4FDA">
      <w:start w:val="1"/>
      <w:numFmt w:val="lowerLetter"/>
      <w:lvlText w:val="%5."/>
      <w:lvlJc w:val="left"/>
      <w:pPr>
        <w:ind w:left="3600" w:hanging="360"/>
      </w:pPr>
    </w:lvl>
    <w:lvl w:ilvl="5" w:tplc="ECA2C3F2">
      <w:start w:val="1"/>
      <w:numFmt w:val="lowerRoman"/>
      <w:lvlText w:val="%6."/>
      <w:lvlJc w:val="right"/>
      <w:pPr>
        <w:ind w:left="4320" w:hanging="180"/>
      </w:pPr>
    </w:lvl>
    <w:lvl w:ilvl="6" w:tplc="8D0221EE">
      <w:start w:val="1"/>
      <w:numFmt w:val="decimal"/>
      <w:lvlText w:val="%7."/>
      <w:lvlJc w:val="left"/>
      <w:pPr>
        <w:ind w:left="5040" w:hanging="360"/>
      </w:pPr>
    </w:lvl>
    <w:lvl w:ilvl="7" w:tplc="E8E8C4C8">
      <w:start w:val="1"/>
      <w:numFmt w:val="lowerLetter"/>
      <w:lvlText w:val="%8."/>
      <w:lvlJc w:val="left"/>
      <w:pPr>
        <w:ind w:left="5760" w:hanging="360"/>
      </w:pPr>
    </w:lvl>
    <w:lvl w:ilvl="8" w:tplc="B218E198">
      <w:start w:val="1"/>
      <w:numFmt w:val="lowerRoman"/>
      <w:lvlText w:val="%9."/>
      <w:lvlJc w:val="right"/>
      <w:pPr>
        <w:ind w:left="6480" w:hanging="180"/>
      </w:pPr>
    </w:lvl>
  </w:abstractNum>
  <w:abstractNum w:abstractNumId="75" w15:restartNumberingAfterBreak="0">
    <w:nsid w:val="2B6B64E7"/>
    <w:multiLevelType w:val="hybridMultilevel"/>
    <w:tmpl w:val="9C2A707C"/>
    <w:lvl w:ilvl="0" w:tplc="DA08EF84">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DAA7FB8">
      <w:start w:val="1"/>
      <w:numFmt w:val="bullet"/>
      <w:lvlText w:val="o"/>
      <w:lvlJc w:val="left"/>
      <w:pPr>
        <w:ind w:left="11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AE511E">
      <w:start w:val="1"/>
      <w:numFmt w:val="bullet"/>
      <w:lvlText w:val="▪"/>
      <w:lvlJc w:val="left"/>
      <w:pPr>
        <w:ind w:left="19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C94D068">
      <w:start w:val="1"/>
      <w:numFmt w:val="bullet"/>
      <w:lvlText w:val="•"/>
      <w:lvlJc w:val="left"/>
      <w:pPr>
        <w:ind w:left="26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24A6D80">
      <w:start w:val="1"/>
      <w:numFmt w:val="bullet"/>
      <w:lvlText w:val="o"/>
      <w:lvlJc w:val="left"/>
      <w:pPr>
        <w:ind w:left="33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3074F2">
      <w:start w:val="1"/>
      <w:numFmt w:val="bullet"/>
      <w:lvlText w:val="▪"/>
      <w:lvlJc w:val="left"/>
      <w:pPr>
        <w:ind w:left="40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8447588">
      <w:start w:val="1"/>
      <w:numFmt w:val="bullet"/>
      <w:lvlText w:val="•"/>
      <w:lvlJc w:val="left"/>
      <w:pPr>
        <w:ind w:left="47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E90CE6A">
      <w:start w:val="1"/>
      <w:numFmt w:val="bullet"/>
      <w:lvlText w:val="o"/>
      <w:lvlJc w:val="left"/>
      <w:pPr>
        <w:ind w:left="55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B425C78">
      <w:start w:val="1"/>
      <w:numFmt w:val="bullet"/>
      <w:lvlText w:val="▪"/>
      <w:lvlJc w:val="left"/>
      <w:pPr>
        <w:ind w:left="62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6" w15:restartNumberingAfterBreak="0">
    <w:nsid w:val="2B7E3B49"/>
    <w:multiLevelType w:val="hybridMultilevel"/>
    <w:tmpl w:val="556A5BDE"/>
    <w:lvl w:ilvl="0" w:tplc="B6CA0D0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6D221BA">
      <w:start w:val="1"/>
      <w:numFmt w:val="bullet"/>
      <w:lvlText w:val="o"/>
      <w:lvlJc w:val="left"/>
      <w:pPr>
        <w:ind w:left="1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0FCA7DA">
      <w:start w:val="1"/>
      <w:numFmt w:val="bullet"/>
      <w:lvlText w:val="▪"/>
      <w:lvlJc w:val="left"/>
      <w:pPr>
        <w:ind w:left="19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A66D72A">
      <w:start w:val="1"/>
      <w:numFmt w:val="bullet"/>
      <w:lvlText w:val="•"/>
      <w:lvlJc w:val="left"/>
      <w:pPr>
        <w:ind w:left="26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DF6E682">
      <w:start w:val="1"/>
      <w:numFmt w:val="bullet"/>
      <w:lvlText w:val="o"/>
      <w:lvlJc w:val="left"/>
      <w:pPr>
        <w:ind w:left="33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EC4FA4E">
      <w:start w:val="1"/>
      <w:numFmt w:val="bullet"/>
      <w:lvlText w:val="▪"/>
      <w:lvlJc w:val="left"/>
      <w:pPr>
        <w:ind w:left="40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00D2A4">
      <w:start w:val="1"/>
      <w:numFmt w:val="bullet"/>
      <w:lvlText w:val="•"/>
      <w:lvlJc w:val="left"/>
      <w:pPr>
        <w:ind w:left="47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98EDA30">
      <w:start w:val="1"/>
      <w:numFmt w:val="bullet"/>
      <w:lvlText w:val="o"/>
      <w:lvlJc w:val="left"/>
      <w:pPr>
        <w:ind w:left="55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0EC7BB4">
      <w:start w:val="1"/>
      <w:numFmt w:val="bullet"/>
      <w:lvlText w:val="▪"/>
      <w:lvlJc w:val="left"/>
      <w:pPr>
        <w:ind w:left="62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7" w15:restartNumberingAfterBreak="0">
    <w:nsid w:val="2CA87017"/>
    <w:multiLevelType w:val="hybridMultilevel"/>
    <w:tmpl w:val="D3E47E82"/>
    <w:lvl w:ilvl="0" w:tplc="B2923D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A488B6">
      <w:start w:val="2"/>
      <w:numFmt w:val="lowerRoman"/>
      <w:lvlText w:val="%2."/>
      <w:lvlJc w:val="left"/>
      <w:pPr>
        <w:ind w:left="1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7AEFCE">
      <w:start w:val="1"/>
      <w:numFmt w:val="lowerRoman"/>
      <w:lvlText w:val="%3"/>
      <w:lvlJc w:val="left"/>
      <w:pPr>
        <w:ind w:left="1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963FCE">
      <w:start w:val="1"/>
      <w:numFmt w:val="decimal"/>
      <w:lvlText w:val="%4"/>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E4B9C2">
      <w:start w:val="1"/>
      <w:numFmt w:val="lowerLetter"/>
      <w:lvlText w:val="%5"/>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F2D412">
      <w:start w:val="1"/>
      <w:numFmt w:val="lowerRoman"/>
      <w:lvlText w:val="%6"/>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36955C">
      <w:start w:val="1"/>
      <w:numFmt w:val="decimal"/>
      <w:lvlText w:val="%7"/>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5E8A7C">
      <w:start w:val="1"/>
      <w:numFmt w:val="lowerLetter"/>
      <w:lvlText w:val="%8"/>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363AA8">
      <w:start w:val="1"/>
      <w:numFmt w:val="lowerRoman"/>
      <w:lvlText w:val="%9"/>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2CAC7F90"/>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9"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2D512611"/>
    <w:multiLevelType w:val="multilevel"/>
    <w:tmpl w:val="05EC8D4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2D61A1F6"/>
    <w:multiLevelType w:val="hybridMultilevel"/>
    <w:tmpl w:val="FFFFFFFF"/>
    <w:lvl w:ilvl="0" w:tplc="08D41872">
      <w:start w:val="2"/>
      <w:numFmt w:val="decimal"/>
      <w:lvlText w:val="%1."/>
      <w:lvlJc w:val="left"/>
      <w:pPr>
        <w:ind w:left="720" w:hanging="360"/>
      </w:pPr>
      <w:rPr>
        <w:rFonts w:ascii="Times New Roman" w:hAnsi="Times New Roman" w:hint="default"/>
      </w:rPr>
    </w:lvl>
    <w:lvl w:ilvl="1" w:tplc="34AAAFB8">
      <w:start w:val="1"/>
      <w:numFmt w:val="lowerLetter"/>
      <w:lvlText w:val="%2."/>
      <w:lvlJc w:val="left"/>
      <w:pPr>
        <w:ind w:left="1440" w:hanging="360"/>
      </w:pPr>
    </w:lvl>
    <w:lvl w:ilvl="2" w:tplc="9F089B94">
      <w:start w:val="1"/>
      <w:numFmt w:val="lowerRoman"/>
      <w:lvlText w:val="%3."/>
      <w:lvlJc w:val="right"/>
      <w:pPr>
        <w:ind w:left="2160" w:hanging="180"/>
      </w:pPr>
    </w:lvl>
    <w:lvl w:ilvl="3" w:tplc="F48C30BA">
      <w:start w:val="1"/>
      <w:numFmt w:val="decimal"/>
      <w:lvlText w:val="%4."/>
      <w:lvlJc w:val="left"/>
      <w:pPr>
        <w:ind w:left="2880" w:hanging="360"/>
      </w:pPr>
    </w:lvl>
    <w:lvl w:ilvl="4" w:tplc="BDBC8324">
      <w:start w:val="1"/>
      <w:numFmt w:val="lowerLetter"/>
      <w:lvlText w:val="%5."/>
      <w:lvlJc w:val="left"/>
      <w:pPr>
        <w:ind w:left="3600" w:hanging="360"/>
      </w:pPr>
    </w:lvl>
    <w:lvl w:ilvl="5" w:tplc="9FA2754C">
      <w:start w:val="1"/>
      <w:numFmt w:val="lowerRoman"/>
      <w:lvlText w:val="%6."/>
      <w:lvlJc w:val="right"/>
      <w:pPr>
        <w:ind w:left="4320" w:hanging="180"/>
      </w:pPr>
    </w:lvl>
    <w:lvl w:ilvl="6" w:tplc="782E0288">
      <w:start w:val="1"/>
      <w:numFmt w:val="decimal"/>
      <w:lvlText w:val="%7."/>
      <w:lvlJc w:val="left"/>
      <w:pPr>
        <w:ind w:left="5040" w:hanging="360"/>
      </w:pPr>
    </w:lvl>
    <w:lvl w:ilvl="7" w:tplc="8BEE8EEC">
      <w:start w:val="1"/>
      <w:numFmt w:val="lowerLetter"/>
      <w:lvlText w:val="%8."/>
      <w:lvlJc w:val="left"/>
      <w:pPr>
        <w:ind w:left="5760" w:hanging="360"/>
      </w:pPr>
    </w:lvl>
    <w:lvl w:ilvl="8" w:tplc="7ABAB2CC">
      <w:start w:val="1"/>
      <w:numFmt w:val="lowerRoman"/>
      <w:lvlText w:val="%9."/>
      <w:lvlJc w:val="right"/>
      <w:pPr>
        <w:ind w:left="6480" w:hanging="180"/>
      </w:pPr>
    </w:lvl>
  </w:abstractNum>
  <w:abstractNum w:abstractNumId="82" w15:restartNumberingAfterBreak="0">
    <w:nsid w:val="2E73277F"/>
    <w:multiLevelType w:val="hybridMultilevel"/>
    <w:tmpl w:val="B888B16E"/>
    <w:lvl w:ilvl="0" w:tplc="737E2F0E">
      <w:start w:val="1"/>
      <w:numFmt w:val="bullet"/>
      <w:lvlText w:val="-"/>
      <w:lvlJc w:val="left"/>
      <w:pPr>
        <w:ind w:left="289"/>
      </w:pPr>
      <w:rPr>
        <w:rFonts w:ascii="Times New Roman" w:eastAsia="Times New Roman" w:hAnsi="Times New Roman" w:cs="Times New Roman"/>
        <w:b w:val="0"/>
        <w:i w:val="0"/>
        <w:strike w:val="0"/>
        <w:dstrike w:val="0"/>
        <w:color w:val="006100"/>
        <w:sz w:val="18"/>
        <w:szCs w:val="18"/>
        <w:u w:val="none" w:color="000000"/>
        <w:bdr w:val="none" w:sz="0" w:space="0" w:color="auto"/>
        <w:shd w:val="clear" w:color="auto" w:fill="auto"/>
        <w:vertAlign w:val="baseline"/>
      </w:rPr>
    </w:lvl>
    <w:lvl w:ilvl="1" w:tplc="A9384292">
      <w:start w:val="1"/>
      <w:numFmt w:val="bullet"/>
      <w:lvlText w:val="o"/>
      <w:lvlJc w:val="left"/>
      <w:pPr>
        <w:ind w:left="1193"/>
      </w:pPr>
      <w:rPr>
        <w:rFonts w:ascii="Times New Roman" w:eastAsia="Times New Roman" w:hAnsi="Times New Roman" w:cs="Times New Roman"/>
        <w:b w:val="0"/>
        <w:i w:val="0"/>
        <w:strike w:val="0"/>
        <w:dstrike w:val="0"/>
        <w:color w:val="006100"/>
        <w:sz w:val="18"/>
        <w:szCs w:val="18"/>
        <w:u w:val="none" w:color="000000"/>
        <w:bdr w:val="none" w:sz="0" w:space="0" w:color="auto"/>
        <w:shd w:val="clear" w:color="auto" w:fill="auto"/>
        <w:vertAlign w:val="baseline"/>
      </w:rPr>
    </w:lvl>
    <w:lvl w:ilvl="2" w:tplc="4904A940">
      <w:start w:val="1"/>
      <w:numFmt w:val="bullet"/>
      <w:lvlText w:val="▪"/>
      <w:lvlJc w:val="left"/>
      <w:pPr>
        <w:ind w:left="1913"/>
      </w:pPr>
      <w:rPr>
        <w:rFonts w:ascii="Times New Roman" w:eastAsia="Times New Roman" w:hAnsi="Times New Roman" w:cs="Times New Roman"/>
        <w:b w:val="0"/>
        <w:i w:val="0"/>
        <w:strike w:val="0"/>
        <w:dstrike w:val="0"/>
        <w:color w:val="006100"/>
        <w:sz w:val="18"/>
        <w:szCs w:val="18"/>
        <w:u w:val="none" w:color="000000"/>
        <w:bdr w:val="none" w:sz="0" w:space="0" w:color="auto"/>
        <w:shd w:val="clear" w:color="auto" w:fill="auto"/>
        <w:vertAlign w:val="baseline"/>
      </w:rPr>
    </w:lvl>
    <w:lvl w:ilvl="3" w:tplc="A680EAF6">
      <w:start w:val="1"/>
      <w:numFmt w:val="bullet"/>
      <w:lvlText w:val="•"/>
      <w:lvlJc w:val="left"/>
      <w:pPr>
        <w:ind w:left="2633"/>
      </w:pPr>
      <w:rPr>
        <w:rFonts w:ascii="Times New Roman" w:eastAsia="Times New Roman" w:hAnsi="Times New Roman" w:cs="Times New Roman"/>
        <w:b w:val="0"/>
        <w:i w:val="0"/>
        <w:strike w:val="0"/>
        <w:dstrike w:val="0"/>
        <w:color w:val="006100"/>
        <w:sz w:val="18"/>
        <w:szCs w:val="18"/>
        <w:u w:val="none" w:color="000000"/>
        <w:bdr w:val="none" w:sz="0" w:space="0" w:color="auto"/>
        <w:shd w:val="clear" w:color="auto" w:fill="auto"/>
        <w:vertAlign w:val="baseline"/>
      </w:rPr>
    </w:lvl>
    <w:lvl w:ilvl="4" w:tplc="A3348BEE">
      <w:start w:val="1"/>
      <w:numFmt w:val="bullet"/>
      <w:lvlText w:val="o"/>
      <w:lvlJc w:val="left"/>
      <w:pPr>
        <w:ind w:left="3353"/>
      </w:pPr>
      <w:rPr>
        <w:rFonts w:ascii="Times New Roman" w:eastAsia="Times New Roman" w:hAnsi="Times New Roman" w:cs="Times New Roman"/>
        <w:b w:val="0"/>
        <w:i w:val="0"/>
        <w:strike w:val="0"/>
        <w:dstrike w:val="0"/>
        <w:color w:val="006100"/>
        <w:sz w:val="18"/>
        <w:szCs w:val="18"/>
        <w:u w:val="none" w:color="000000"/>
        <w:bdr w:val="none" w:sz="0" w:space="0" w:color="auto"/>
        <w:shd w:val="clear" w:color="auto" w:fill="auto"/>
        <w:vertAlign w:val="baseline"/>
      </w:rPr>
    </w:lvl>
    <w:lvl w:ilvl="5" w:tplc="C6986DD6">
      <w:start w:val="1"/>
      <w:numFmt w:val="bullet"/>
      <w:lvlText w:val="▪"/>
      <w:lvlJc w:val="left"/>
      <w:pPr>
        <w:ind w:left="4073"/>
      </w:pPr>
      <w:rPr>
        <w:rFonts w:ascii="Times New Roman" w:eastAsia="Times New Roman" w:hAnsi="Times New Roman" w:cs="Times New Roman"/>
        <w:b w:val="0"/>
        <w:i w:val="0"/>
        <w:strike w:val="0"/>
        <w:dstrike w:val="0"/>
        <w:color w:val="006100"/>
        <w:sz w:val="18"/>
        <w:szCs w:val="18"/>
        <w:u w:val="none" w:color="000000"/>
        <w:bdr w:val="none" w:sz="0" w:space="0" w:color="auto"/>
        <w:shd w:val="clear" w:color="auto" w:fill="auto"/>
        <w:vertAlign w:val="baseline"/>
      </w:rPr>
    </w:lvl>
    <w:lvl w:ilvl="6" w:tplc="4A5E7BD4">
      <w:start w:val="1"/>
      <w:numFmt w:val="bullet"/>
      <w:lvlText w:val="•"/>
      <w:lvlJc w:val="left"/>
      <w:pPr>
        <w:ind w:left="4793"/>
      </w:pPr>
      <w:rPr>
        <w:rFonts w:ascii="Times New Roman" w:eastAsia="Times New Roman" w:hAnsi="Times New Roman" w:cs="Times New Roman"/>
        <w:b w:val="0"/>
        <w:i w:val="0"/>
        <w:strike w:val="0"/>
        <w:dstrike w:val="0"/>
        <w:color w:val="006100"/>
        <w:sz w:val="18"/>
        <w:szCs w:val="18"/>
        <w:u w:val="none" w:color="000000"/>
        <w:bdr w:val="none" w:sz="0" w:space="0" w:color="auto"/>
        <w:shd w:val="clear" w:color="auto" w:fill="auto"/>
        <w:vertAlign w:val="baseline"/>
      </w:rPr>
    </w:lvl>
    <w:lvl w:ilvl="7" w:tplc="E1A631C6">
      <w:start w:val="1"/>
      <w:numFmt w:val="bullet"/>
      <w:lvlText w:val="o"/>
      <w:lvlJc w:val="left"/>
      <w:pPr>
        <w:ind w:left="5513"/>
      </w:pPr>
      <w:rPr>
        <w:rFonts w:ascii="Times New Roman" w:eastAsia="Times New Roman" w:hAnsi="Times New Roman" w:cs="Times New Roman"/>
        <w:b w:val="0"/>
        <w:i w:val="0"/>
        <w:strike w:val="0"/>
        <w:dstrike w:val="0"/>
        <w:color w:val="006100"/>
        <w:sz w:val="18"/>
        <w:szCs w:val="18"/>
        <w:u w:val="none" w:color="000000"/>
        <w:bdr w:val="none" w:sz="0" w:space="0" w:color="auto"/>
        <w:shd w:val="clear" w:color="auto" w:fill="auto"/>
        <w:vertAlign w:val="baseline"/>
      </w:rPr>
    </w:lvl>
    <w:lvl w:ilvl="8" w:tplc="E7D0D5DA">
      <w:start w:val="1"/>
      <w:numFmt w:val="bullet"/>
      <w:lvlText w:val="▪"/>
      <w:lvlJc w:val="left"/>
      <w:pPr>
        <w:ind w:left="6233"/>
      </w:pPr>
      <w:rPr>
        <w:rFonts w:ascii="Times New Roman" w:eastAsia="Times New Roman" w:hAnsi="Times New Roman" w:cs="Times New Roman"/>
        <w:b w:val="0"/>
        <w:i w:val="0"/>
        <w:strike w:val="0"/>
        <w:dstrike w:val="0"/>
        <w:color w:val="006100"/>
        <w:sz w:val="18"/>
        <w:szCs w:val="18"/>
        <w:u w:val="none" w:color="000000"/>
        <w:bdr w:val="none" w:sz="0" w:space="0" w:color="auto"/>
        <w:shd w:val="clear" w:color="auto" w:fill="auto"/>
        <w:vertAlign w:val="baseline"/>
      </w:rPr>
    </w:lvl>
  </w:abstractNum>
  <w:abstractNum w:abstractNumId="83" w15:restartNumberingAfterBreak="0">
    <w:nsid w:val="2ED1DE59"/>
    <w:multiLevelType w:val="hybridMultilevel"/>
    <w:tmpl w:val="FFFFFFFF"/>
    <w:lvl w:ilvl="0" w:tplc="7E2007A6">
      <w:start w:val="3"/>
      <w:numFmt w:val="decimal"/>
      <w:lvlText w:val="%1."/>
      <w:lvlJc w:val="left"/>
      <w:pPr>
        <w:ind w:left="720" w:hanging="360"/>
      </w:pPr>
    </w:lvl>
    <w:lvl w:ilvl="1" w:tplc="AE8CCE68">
      <w:start w:val="1"/>
      <w:numFmt w:val="lowerLetter"/>
      <w:lvlText w:val="%2."/>
      <w:lvlJc w:val="left"/>
      <w:pPr>
        <w:ind w:left="1440" w:hanging="360"/>
      </w:pPr>
    </w:lvl>
    <w:lvl w:ilvl="2" w:tplc="0E2E3C24">
      <w:start w:val="1"/>
      <w:numFmt w:val="lowerRoman"/>
      <w:lvlText w:val="%3."/>
      <w:lvlJc w:val="right"/>
      <w:pPr>
        <w:ind w:left="2160" w:hanging="180"/>
      </w:pPr>
    </w:lvl>
    <w:lvl w:ilvl="3" w:tplc="960AA612">
      <w:start w:val="1"/>
      <w:numFmt w:val="decimal"/>
      <w:lvlText w:val="%4."/>
      <w:lvlJc w:val="left"/>
      <w:pPr>
        <w:ind w:left="2880" w:hanging="360"/>
      </w:pPr>
    </w:lvl>
    <w:lvl w:ilvl="4" w:tplc="9822C7E8">
      <w:start w:val="1"/>
      <w:numFmt w:val="lowerLetter"/>
      <w:lvlText w:val="%5."/>
      <w:lvlJc w:val="left"/>
      <w:pPr>
        <w:ind w:left="3600" w:hanging="360"/>
      </w:pPr>
    </w:lvl>
    <w:lvl w:ilvl="5" w:tplc="8DDEEADC">
      <w:start w:val="1"/>
      <w:numFmt w:val="lowerRoman"/>
      <w:lvlText w:val="%6."/>
      <w:lvlJc w:val="right"/>
      <w:pPr>
        <w:ind w:left="4320" w:hanging="180"/>
      </w:pPr>
    </w:lvl>
    <w:lvl w:ilvl="6" w:tplc="BD109CAE">
      <w:start w:val="1"/>
      <w:numFmt w:val="decimal"/>
      <w:lvlText w:val="%7."/>
      <w:lvlJc w:val="left"/>
      <w:pPr>
        <w:ind w:left="5040" w:hanging="360"/>
      </w:pPr>
    </w:lvl>
    <w:lvl w:ilvl="7" w:tplc="54D86F70">
      <w:start w:val="1"/>
      <w:numFmt w:val="lowerLetter"/>
      <w:lvlText w:val="%8."/>
      <w:lvlJc w:val="left"/>
      <w:pPr>
        <w:ind w:left="5760" w:hanging="360"/>
      </w:pPr>
    </w:lvl>
    <w:lvl w:ilvl="8" w:tplc="B6822F9E">
      <w:start w:val="1"/>
      <w:numFmt w:val="lowerRoman"/>
      <w:lvlText w:val="%9."/>
      <w:lvlJc w:val="right"/>
      <w:pPr>
        <w:ind w:left="6480" w:hanging="180"/>
      </w:pPr>
    </w:lvl>
  </w:abstractNum>
  <w:abstractNum w:abstractNumId="84" w15:restartNumberingAfterBreak="0">
    <w:nsid w:val="2F1A3C25"/>
    <w:multiLevelType w:val="hybridMultilevel"/>
    <w:tmpl w:val="1D7EC7F2"/>
    <w:lvl w:ilvl="0" w:tplc="40822B6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75CABBC">
      <w:start w:val="1"/>
      <w:numFmt w:val="bullet"/>
      <w:lvlText w:val="o"/>
      <w:lvlJc w:val="left"/>
      <w:pPr>
        <w:ind w:left="1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37ECE1A">
      <w:start w:val="1"/>
      <w:numFmt w:val="bullet"/>
      <w:lvlText w:val="▪"/>
      <w:lvlJc w:val="left"/>
      <w:pPr>
        <w:ind w:left="19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849ACA">
      <w:start w:val="1"/>
      <w:numFmt w:val="bullet"/>
      <w:lvlText w:val="•"/>
      <w:lvlJc w:val="left"/>
      <w:pPr>
        <w:ind w:left="26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3CCEB1A">
      <w:start w:val="1"/>
      <w:numFmt w:val="bullet"/>
      <w:lvlText w:val="o"/>
      <w:lvlJc w:val="left"/>
      <w:pPr>
        <w:ind w:left="33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930CFDE">
      <w:start w:val="1"/>
      <w:numFmt w:val="bullet"/>
      <w:lvlText w:val="▪"/>
      <w:lvlJc w:val="left"/>
      <w:pPr>
        <w:ind w:left="40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1D24686">
      <w:start w:val="1"/>
      <w:numFmt w:val="bullet"/>
      <w:lvlText w:val="•"/>
      <w:lvlJc w:val="left"/>
      <w:pPr>
        <w:ind w:left="47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CFC57F0">
      <w:start w:val="1"/>
      <w:numFmt w:val="bullet"/>
      <w:lvlText w:val="o"/>
      <w:lvlJc w:val="left"/>
      <w:pPr>
        <w:ind w:left="55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44E3588">
      <w:start w:val="1"/>
      <w:numFmt w:val="bullet"/>
      <w:lvlText w:val="▪"/>
      <w:lvlJc w:val="left"/>
      <w:pPr>
        <w:ind w:left="62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5" w15:restartNumberingAfterBreak="0">
    <w:nsid w:val="2F3F4DB9"/>
    <w:multiLevelType w:val="hybridMultilevel"/>
    <w:tmpl w:val="D9E84782"/>
    <w:lvl w:ilvl="0" w:tplc="C404746A">
      <w:start w:val="1"/>
      <w:numFmt w:val="bullet"/>
      <w:lvlText w:val="-"/>
      <w:lvlJc w:val="left"/>
      <w:pPr>
        <w:ind w:left="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D20958C">
      <w:start w:val="1"/>
      <w:numFmt w:val="bullet"/>
      <w:lvlText w:val="o"/>
      <w:lvlJc w:val="left"/>
      <w:pPr>
        <w:ind w:left="1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24E7E06">
      <w:start w:val="1"/>
      <w:numFmt w:val="bullet"/>
      <w:lvlText w:val="▪"/>
      <w:lvlJc w:val="left"/>
      <w:pPr>
        <w:ind w:left="19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2B82AFC">
      <w:start w:val="1"/>
      <w:numFmt w:val="bullet"/>
      <w:lvlText w:val="•"/>
      <w:lvlJc w:val="left"/>
      <w:pPr>
        <w:ind w:left="26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F2A7FE0">
      <w:start w:val="1"/>
      <w:numFmt w:val="bullet"/>
      <w:lvlText w:val="o"/>
      <w:lvlJc w:val="left"/>
      <w:pPr>
        <w:ind w:left="33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DD0F460">
      <w:start w:val="1"/>
      <w:numFmt w:val="bullet"/>
      <w:lvlText w:val="▪"/>
      <w:lvlJc w:val="left"/>
      <w:pPr>
        <w:ind w:left="40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9DE8094">
      <w:start w:val="1"/>
      <w:numFmt w:val="bullet"/>
      <w:lvlText w:val="•"/>
      <w:lvlJc w:val="left"/>
      <w:pPr>
        <w:ind w:left="47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DEBA26">
      <w:start w:val="1"/>
      <w:numFmt w:val="bullet"/>
      <w:lvlText w:val="o"/>
      <w:lvlJc w:val="left"/>
      <w:pPr>
        <w:ind w:left="55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A4E5AA2">
      <w:start w:val="1"/>
      <w:numFmt w:val="bullet"/>
      <w:lvlText w:val="▪"/>
      <w:lvlJc w:val="left"/>
      <w:pPr>
        <w:ind w:left="62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6" w15:restartNumberingAfterBreak="0">
    <w:nsid w:val="2FCA161B"/>
    <w:multiLevelType w:val="hybridMultilevel"/>
    <w:tmpl w:val="6390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30C15CB1"/>
    <w:multiLevelType w:val="hybridMultilevel"/>
    <w:tmpl w:val="FFFFFFFF"/>
    <w:lvl w:ilvl="0" w:tplc="D1228AEC">
      <w:start w:val="3"/>
      <w:numFmt w:val="decimal"/>
      <w:lvlText w:val="%1."/>
      <w:lvlJc w:val="left"/>
      <w:pPr>
        <w:ind w:left="720" w:hanging="360"/>
      </w:pPr>
    </w:lvl>
    <w:lvl w:ilvl="1" w:tplc="04B88124">
      <w:start w:val="1"/>
      <w:numFmt w:val="lowerLetter"/>
      <w:lvlText w:val="%2."/>
      <w:lvlJc w:val="left"/>
      <w:pPr>
        <w:ind w:left="1440" w:hanging="360"/>
      </w:pPr>
    </w:lvl>
    <w:lvl w:ilvl="2" w:tplc="AE30DBA8">
      <w:start w:val="1"/>
      <w:numFmt w:val="lowerRoman"/>
      <w:lvlText w:val="%3."/>
      <w:lvlJc w:val="right"/>
      <w:pPr>
        <w:ind w:left="2160" w:hanging="180"/>
      </w:pPr>
    </w:lvl>
    <w:lvl w:ilvl="3" w:tplc="520051FE">
      <w:start w:val="1"/>
      <w:numFmt w:val="decimal"/>
      <w:lvlText w:val="%4."/>
      <w:lvlJc w:val="left"/>
      <w:pPr>
        <w:ind w:left="2880" w:hanging="360"/>
      </w:pPr>
    </w:lvl>
    <w:lvl w:ilvl="4" w:tplc="E9AAA23C">
      <w:start w:val="1"/>
      <w:numFmt w:val="lowerLetter"/>
      <w:lvlText w:val="%5."/>
      <w:lvlJc w:val="left"/>
      <w:pPr>
        <w:ind w:left="3600" w:hanging="360"/>
      </w:pPr>
    </w:lvl>
    <w:lvl w:ilvl="5" w:tplc="5EE4C308">
      <w:start w:val="1"/>
      <w:numFmt w:val="lowerRoman"/>
      <w:lvlText w:val="%6."/>
      <w:lvlJc w:val="right"/>
      <w:pPr>
        <w:ind w:left="4320" w:hanging="180"/>
      </w:pPr>
    </w:lvl>
    <w:lvl w:ilvl="6" w:tplc="BC14D6E2">
      <w:start w:val="1"/>
      <w:numFmt w:val="decimal"/>
      <w:lvlText w:val="%7."/>
      <w:lvlJc w:val="left"/>
      <w:pPr>
        <w:ind w:left="5040" w:hanging="360"/>
      </w:pPr>
    </w:lvl>
    <w:lvl w:ilvl="7" w:tplc="515A76B2">
      <w:start w:val="1"/>
      <w:numFmt w:val="lowerLetter"/>
      <w:lvlText w:val="%8."/>
      <w:lvlJc w:val="left"/>
      <w:pPr>
        <w:ind w:left="5760" w:hanging="360"/>
      </w:pPr>
    </w:lvl>
    <w:lvl w:ilvl="8" w:tplc="272404A0">
      <w:start w:val="1"/>
      <w:numFmt w:val="lowerRoman"/>
      <w:lvlText w:val="%9."/>
      <w:lvlJc w:val="right"/>
      <w:pPr>
        <w:ind w:left="6480" w:hanging="180"/>
      </w:pPr>
    </w:lvl>
  </w:abstractNum>
  <w:abstractNum w:abstractNumId="88" w15:restartNumberingAfterBreak="0">
    <w:nsid w:val="3329751A"/>
    <w:multiLevelType w:val="hybridMultilevel"/>
    <w:tmpl w:val="6DD6185C"/>
    <w:lvl w:ilvl="0" w:tplc="E990C112">
      <w:start w:val="1"/>
      <w:numFmt w:val="bullet"/>
      <w:lvlText w:val="-"/>
      <w:lvlJc w:val="left"/>
      <w:pPr>
        <w:ind w:left="3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AC03A52">
      <w:start w:val="1"/>
      <w:numFmt w:val="bullet"/>
      <w:lvlText w:val="o"/>
      <w:lvlJc w:val="left"/>
      <w:pPr>
        <w:ind w:left="11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86E5316">
      <w:start w:val="1"/>
      <w:numFmt w:val="bullet"/>
      <w:lvlText w:val="▪"/>
      <w:lvlJc w:val="left"/>
      <w:pPr>
        <w:ind w:left="19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9C2CE92">
      <w:start w:val="1"/>
      <w:numFmt w:val="bullet"/>
      <w:lvlText w:val="•"/>
      <w:lvlJc w:val="left"/>
      <w:pPr>
        <w:ind w:left="26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95CB44A">
      <w:start w:val="1"/>
      <w:numFmt w:val="bullet"/>
      <w:lvlText w:val="o"/>
      <w:lvlJc w:val="left"/>
      <w:pPr>
        <w:ind w:left="335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8523A62">
      <w:start w:val="1"/>
      <w:numFmt w:val="bullet"/>
      <w:lvlText w:val="▪"/>
      <w:lvlJc w:val="left"/>
      <w:pPr>
        <w:ind w:left="40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FACA830">
      <w:start w:val="1"/>
      <w:numFmt w:val="bullet"/>
      <w:lvlText w:val="•"/>
      <w:lvlJc w:val="left"/>
      <w:pPr>
        <w:ind w:left="47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B2AF2CE">
      <w:start w:val="1"/>
      <w:numFmt w:val="bullet"/>
      <w:lvlText w:val="o"/>
      <w:lvlJc w:val="left"/>
      <w:pPr>
        <w:ind w:left="55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88A9500">
      <w:start w:val="1"/>
      <w:numFmt w:val="bullet"/>
      <w:lvlText w:val="▪"/>
      <w:lvlJc w:val="left"/>
      <w:pPr>
        <w:ind w:left="62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9" w15:restartNumberingAfterBreak="0">
    <w:nsid w:val="333C4F3E"/>
    <w:multiLevelType w:val="hybridMultilevel"/>
    <w:tmpl w:val="9E800630"/>
    <w:lvl w:ilvl="0" w:tplc="1809000F">
      <w:start w:val="1"/>
      <w:numFmt w:val="decimal"/>
      <w:lvlText w:val="%1."/>
      <w:lvlJc w:val="left"/>
      <w:pPr>
        <w:ind w:left="1185" w:hanging="360"/>
      </w:pPr>
    </w:lvl>
    <w:lvl w:ilvl="1" w:tplc="18090019" w:tentative="1">
      <w:start w:val="1"/>
      <w:numFmt w:val="lowerLetter"/>
      <w:lvlText w:val="%2."/>
      <w:lvlJc w:val="left"/>
      <w:pPr>
        <w:ind w:left="1905" w:hanging="360"/>
      </w:pPr>
    </w:lvl>
    <w:lvl w:ilvl="2" w:tplc="1809001B" w:tentative="1">
      <w:start w:val="1"/>
      <w:numFmt w:val="lowerRoman"/>
      <w:lvlText w:val="%3."/>
      <w:lvlJc w:val="right"/>
      <w:pPr>
        <w:ind w:left="2625" w:hanging="180"/>
      </w:pPr>
    </w:lvl>
    <w:lvl w:ilvl="3" w:tplc="1809000F" w:tentative="1">
      <w:start w:val="1"/>
      <w:numFmt w:val="decimal"/>
      <w:lvlText w:val="%4."/>
      <w:lvlJc w:val="left"/>
      <w:pPr>
        <w:ind w:left="3345" w:hanging="360"/>
      </w:pPr>
    </w:lvl>
    <w:lvl w:ilvl="4" w:tplc="18090019" w:tentative="1">
      <w:start w:val="1"/>
      <w:numFmt w:val="lowerLetter"/>
      <w:lvlText w:val="%5."/>
      <w:lvlJc w:val="left"/>
      <w:pPr>
        <w:ind w:left="4065" w:hanging="360"/>
      </w:pPr>
    </w:lvl>
    <w:lvl w:ilvl="5" w:tplc="1809001B" w:tentative="1">
      <w:start w:val="1"/>
      <w:numFmt w:val="lowerRoman"/>
      <w:lvlText w:val="%6."/>
      <w:lvlJc w:val="right"/>
      <w:pPr>
        <w:ind w:left="4785" w:hanging="180"/>
      </w:pPr>
    </w:lvl>
    <w:lvl w:ilvl="6" w:tplc="1809000F" w:tentative="1">
      <w:start w:val="1"/>
      <w:numFmt w:val="decimal"/>
      <w:lvlText w:val="%7."/>
      <w:lvlJc w:val="left"/>
      <w:pPr>
        <w:ind w:left="5505" w:hanging="360"/>
      </w:pPr>
    </w:lvl>
    <w:lvl w:ilvl="7" w:tplc="18090019" w:tentative="1">
      <w:start w:val="1"/>
      <w:numFmt w:val="lowerLetter"/>
      <w:lvlText w:val="%8."/>
      <w:lvlJc w:val="left"/>
      <w:pPr>
        <w:ind w:left="6225" w:hanging="360"/>
      </w:pPr>
    </w:lvl>
    <w:lvl w:ilvl="8" w:tplc="1809001B" w:tentative="1">
      <w:start w:val="1"/>
      <w:numFmt w:val="lowerRoman"/>
      <w:lvlText w:val="%9."/>
      <w:lvlJc w:val="right"/>
      <w:pPr>
        <w:ind w:left="6945" w:hanging="180"/>
      </w:pPr>
    </w:lvl>
  </w:abstractNum>
  <w:abstractNum w:abstractNumId="90" w15:restartNumberingAfterBreak="0">
    <w:nsid w:val="33CE28A9"/>
    <w:multiLevelType w:val="multilevel"/>
    <w:tmpl w:val="31A60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40F510C"/>
    <w:multiLevelType w:val="multilevel"/>
    <w:tmpl w:val="0BD07C4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34E45BC4"/>
    <w:multiLevelType w:val="hybridMultilevel"/>
    <w:tmpl w:val="8F0AEBE0"/>
    <w:lvl w:ilvl="0" w:tplc="7BCA766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6C5902">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4A56E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949F3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40931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6C603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24251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0E392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EAF89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35204EF5"/>
    <w:multiLevelType w:val="hybridMultilevel"/>
    <w:tmpl w:val="C2EA1160"/>
    <w:lvl w:ilvl="0" w:tplc="16FE5A94">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5CCABEC">
      <w:start w:val="1"/>
      <w:numFmt w:val="bullet"/>
      <w:lvlText w:val="o"/>
      <w:lvlJc w:val="left"/>
      <w:pPr>
        <w:ind w:left="1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476698A">
      <w:start w:val="1"/>
      <w:numFmt w:val="bullet"/>
      <w:lvlText w:val="▪"/>
      <w:lvlJc w:val="left"/>
      <w:pPr>
        <w:ind w:left="19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9185240">
      <w:start w:val="1"/>
      <w:numFmt w:val="bullet"/>
      <w:lvlText w:val="•"/>
      <w:lvlJc w:val="left"/>
      <w:pPr>
        <w:ind w:left="26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9DAE0E6">
      <w:start w:val="1"/>
      <w:numFmt w:val="bullet"/>
      <w:lvlText w:val="o"/>
      <w:lvlJc w:val="left"/>
      <w:pPr>
        <w:ind w:left="33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5823F94">
      <w:start w:val="1"/>
      <w:numFmt w:val="bullet"/>
      <w:lvlText w:val="▪"/>
      <w:lvlJc w:val="left"/>
      <w:pPr>
        <w:ind w:left="40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92CBE96">
      <w:start w:val="1"/>
      <w:numFmt w:val="bullet"/>
      <w:lvlText w:val="•"/>
      <w:lvlJc w:val="left"/>
      <w:pPr>
        <w:ind w:left="47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EF25A14">
      <w:start w:val="1"/>
      <w:numFmt w:val="bullet"/>
      <w:lvlText w:val="o"/>
      <w:lvlJc w:val="left"/>
      <w:pPr>
        <w:ind w:left="55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7542AA6">
      <w:start w:val="1"/>
      <w:numFmt w:val="bullet"/>
      <w:lvlText w:val="▪"/>
      <w:lvlJc w:val="left"/>
      <w:pPr>
        <w:ind w:left="62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4" w15:restartNumberingAfterBreak="0">
    <w:nsid w:val="3610484A"/>
    <w:multiLevelType w:val="hybridMultilevel"/>
    <w:tmpl w:val="13F4F278"/>
    <w:lvl w:ilvl="0" w:tplc="A5CE69AE">
      <w:start w:val="1"/>
      <w:numFmt w:val="bullet"/>
      <w:lvlText w:val="-"/>
      <w:lvlJc w:val="left"/>
      <w:pPr>
        <w:ind w:left="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5DC9850">
      <w:start w:val="1"/>
      <w:numFmt w:val="bullet"/>
      <w:lvlText w:val="o"/>
      <w:lvlJc w:val="left"/>
      <w:pPr>
        <w:ind w:left="1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F88AF78">
      <w:start w:val="1"/>
      <w:numFmt w:val="bullet"/>
      <w:lvlText w:val="▪"/>
      <w:lvlJc w:val="left"/>
      <w:pPr>
        <w:ind w:left="19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CB0A0F0">
      <w:start w:val="1"/>
      <w:numFmt w:val="bullet"/>
      <w:lvlText w:val="•"/>
      <w:lvlJc w:val="left"/>
      <w:pPr>
        <w:ind w:left="26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10C478E">
      <w:start w:val="1"/>
      <w:numFmt w:val="bullet"/>
      <w:lvlText w:val="o"/>
      <w:lvlJc w:val="left"/>
      <w:pPr>
        <w:ind w:left="33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FDE61D8">
      <w:start w:val="1"/>
      <w:numFmt w:val="bullet"/>
      <w:lvlText w:val="▪"/>
      <w:lvlJc w:val="left"/>
      <w:pPr>
        <w:ind w:left="40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17AEC7C">
      <w:start w:val="1"/>
      <w:numFmt w:val="bullet"/>
      <w:lvlText w:val="•"/>
      <w:lvlJc w:val="left"/>
      <w:pPr>
        <w:ind w:left="47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DFA81FC">
      <w:start w:val="1"/>
      <w:numFmt w:val="bullet"/>
      <w:lvlText w:val="o"/>
      <w:lvlJc w:val="left"/>
      <w:pPr>
        <w:ind w:left="55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08A03AA">
      <w:start w:val="1"/>
      <w:numFmt w:val="bullet"/>
      <w:lvlText w:val="▪"/>
      <w:lvlJc w:val="left"/>
      <w:pPr>
        <w:ind w:left="62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5" w15:restartNumberingAfterBreak="0">
    <w:nsid w:val="37050643"/>
    <w:multiLevelType w:val="hybridMultilevel"/>
    <w:tmpl w:val="B7D0593A"/>
    <w:lvl w:ilvl="0" w:tplc="63C03BF8">
      <w:start w:val="1"/>
      <w:numFmt w:val="decimal"/>
      <w:lvlText w:val="%1)"/>
      <w:lvlJc w:val="left"/>
      <w:pPr>
        <w:ind w:left="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B50E18A">
      <w:start w:val="1"/>
      <w:numFmt w:val="lowerLetter"/>
      <w:lvlText w:val="%2"/>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8AA5788">
      <w:start w:val="1"/>
      <w:numFmt w:val="lowerRoman"/>
      <w:lvlText w:val="%3"/>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7147506">
      <w:start w:val="1"/>
      <w:numFmt w:val="decimal"/>
      <w:lvlText w:val="%4"/>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C22DA78">
      <w:start w:val="1"/>
      <w:numFmt w:val="lowerLetter"/>
      <w:lvlText w:val="%5"/>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42C73CC">
      <w:start w:val="1"/>
      <w:numFmt w:val="lowerRoman"/>
      <w:lvlText w:val="%6"/>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7FAF94C">
      <w:start w:val="1"/>
      <w:numFmt w:val="decimal"/>
      <w:lvlText w:val="%7"/>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18EF104">
      <w:start w:val="1"/>
      <w:numFmt w:val="lowerLetter"/>
      <w:lvlText w:val="%8"/>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C2A6E">
      <w:start w:val="1"/>
      <w:numFmt w:val="lowerRoman"/>
      <w:lvlText w:val="%9"/>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6" w15:restartNumberingAfterBreak="0">
    <w:nsid w:val="3758C3CB"/>
    <w:multiLevelType w:val="hybridMultilevel"/>
    <w:tmpl w:val="4DFC13A4"/>
    <w:lvl w:ilvl="0" w:tplc="BA84E760">
      <w:start w:val="1"/>
      <w:numFmt w:val="bullet"/>
      <w:lvlText w:val=""/>
      <w:lvlJc w:val="left"/>
      <w:pPr>
        <w:ind w:left="720" w:hanging="360"/>
      </w:pPr>
      <w:rPr>
        <w:rFonts w:ascii="Symbol" w:hAnsi="Symbol" w:hint="default"/>
      </w:rPr>
    </w:lvl>
    <w:lvl w:ilvl="1" w:tplc="ED1A8E8E">
      <w:start w:val="1"/>
      <w:numFmt w:val="bullet"/>
      <w:lvlText w:val="o"/>
      <w:lvlJc w:val="left"/>
      <w:pPr>
        <w:ind w:left="1440" w:hanging="360"/>
      </w:pPr>
      <w:rPr>
        <w:rFonts w:ascii="Courier New" w:hAnsi="Courier New" w:hint="default"/>
      </w:rPr>
    </w:lvl>
    <w:lvl w:ilvl="2" w:tplc="67B85CAA">
      <w:start w:val="1"/>
      <w:numFmt w:val="bullet"/>
      <w:lvlText w:val=""/>
      <w:lvlJc w:val="left"/>
      <w:pPr>
        <w:ind w:left="2160" w:hanging="360"/>
      </w:pPr>
      <w:rPr>
        <w:rFonts w:ascii="Wingdings" w:hAnsi="Wingdings" w:hint="default"/>
      </w:rPr>
    </w:lvl>
    <w:lvl w:ilvl="3" w:tplc="39DE89E6">
      <w:start w:val="1"/>
      <w:numFmt w:val="bullet"/>
      <w:lvlText w:val=""/>
      <w:lvlJc w:val="left"/>
      <w:pPr>
        <w:ind w:left="2880" w:hanging="360"/>
      </w:pPr>
      <w:rPr>
        <w:rFonts w:ascii="Symbol" w:hAnsi="Symbol" w:hint="default"/>
      </w:rPr>
    </w:lvl>
    <w:lvl w:ilvl="4" w:tplc="D560473C">
      <w:start w:val="1"/>
      <w:numFmt w:val="bullet"/>
      <w:lvlText w:val="o"/>
      <w:lvlJc w:val="left"/>
      <w:pPr>
        <w:ind w:left="3600" w:hanging="360"/>
      </w:pPr>
      <w:rPr>
        <w:rFonts w:ascii="Courier New" w:hAnsi="Courier New" w:hint="default"/>
      </w:rPr>
    </w:lvl>
    <w:lvl w:ilvl="5" w:tplc="5ACE0484">
      <w:start w:val="1"/>
      <w:numFmt w:val="bullet"/>
      <w:lvlText w:val=""/>
      <w:lvlJc w:val="left"/>
      <w:pPr>
        <w:ind w:left="4320" w:hanging="360"/>
      </w:pPr>
      <w:rPr>
        <w:rFonts w:ascii="Wingdings" w:hAnsi="Wingdings" w:hint="default"/>
      </w:rPr>
    </w:lvl>
    <w:lvl w:ilvl="6" w:tplc="8E560066">
      <w:start w:val="1"/>
      <w:numFmt w:val="bullet"/>
      <w:lvlText w:val=""/>
      <w:lvlJc w:val="left"/>
      <w:pPr>
        <w:ind w:left="5040" w:hanging="360"/>
      </w:pPr>
      <w:rPr>
        <w:rFonts w:ascii="Symbol" w:hAnsi="Symbol" w:hint="default"/>
      </w:rPr>
    </w:lvl>
    <w:lvl w:ilvl="7" w:tplc="8D743554">
      <w:start w:val="1"/>
      <w:numFmt w:val="bullet"/>
      <w:lvlText w:val="o"/>
      <w:lvlJc w:val="left"/>
      <w:pPr>
        <w:ind w:left="5760" w:hanging="360"/>
      </w:pPr>
      <w:rPr>
        <w:rFonts w:ascii="Courier New" w:hAnsi="Courier New" w:hint="default"/>
      </w:rPr>
    </w:lvl>
    <w:lvl w:ilvl="8" w:tplc="40A0AD42">
      <w:start w:val="1"/>
      <w:numFmt w:val="bullet"/>
      <w:lvlText w:val=""/>
      <w:lvlJc w:val="left"/>
      <w:pPr>
        <w:ind w:left="6480" w:hanging="360"/>
      </w:pPr>
      <w:rPr>
        <w:rFonts w:ascii="Wingdings" w:hAnsi="Wingdings" w:hint="default"/>
      </w:rPr>
    </w:lvl>
  </w:abstractNum>
  <w:abstractNum w:abstractNumId="97" w15:restartNumberingAfterBreak="0">
    <w:nsid w:val="37AC0B92"/>
    <w:multiLevelType w:val="hybridMultilevel"/>
    <w:tmpl w:val="274E61D8"/>
    <w:lvl w:ilvl="0" w:tplc="012C58FA">
      <w:start w:val="2"/>
      <w:numFmt w:val="lowerLetter"/>
      <w:lvlText w:val="%1)"/>
      <w:lvlJc w:val="left"/>
      <w:pPr>
        <w:ind w:left="1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DBD8A0AC">
      <w:start w:val="1"/>
      <w:numFmt w:val="lowerLetter"/>
      <w:lvlText w:val="%2"/>
      <w:lvlJc w:val="left"/>
      <w:pPr>
        <w:ind w:left="118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8D7692D8">
      <w:start w:val="1"/>
      <w:numFmt w:val="lowerRoman"/>
      <w:lvlText w:val="%3"/>
      <w:lvlJc w:val="left"/>
      <w:pPr>
        <w:ind w:left="190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028E659E">
      <w:start w:val="1"/>
      <w:numFmt w:val="decimal"/>
      <w:lvlText w:val="%4"/>
      <w:lvlJc w:val="left"/>
      <w:pPr>
        <w:ind w:left="262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BE0A2932">
      <w:start w:val="1"/>
      <w:numFmt w:val="lowerLetter"/>
      <w:lvlText w:val="%5"/>
      <w:lvlJc w:val="left"/>
      <w:pPr>
        <w:ind w:left="334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EBFA93A4">
      <w:start w:val="1"/>
      <w:numFmt w:val="lowerRoman"/>
      <w:lvlText w:val="%6"/>
      <w:lvlJc w:val="left"/>
      <w:pPr>
        <w:ind w:left="406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6FC41E42">
      <w:start w:val="1"/>
      <w:numFmt w:val="decimal"/>
      <w:lvlText w:val="%7"/>
      <w:lvlJc w:val="left"/>
      <w:pPr>
        <w:ind w:left="478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4BCAF8B2">
      <w:start w:val="1"/>
      <w:numFmt w:val="lowerLetter"/>
      <w:lvlText w:val="%8"/>
      <w:lvlJc w:val="left"/>
      <w:pPr>
        <w:ind w:left="550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61C64AC0">
      <w:start w:val="1"/>
      <w:numFmt w:val="lowerRoman"/>
      <w:lvlText w:val="%9"/>
      <w:lvlJc w:val="left"/>
      <w:pPr>
        <w:ind w:left="622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98" w15:restartNumberingAfterBreak="0">
    <w:nsid w:val="385F5A14"/>
    <w:multiLevelType w:val="multilevel"/>
    <w:tmpl w:val="12824D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A5803D6"/>
    <w:multiLevelType w:val="multilevel"/>
    <w:tmpl w:val="D2B865F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A7F4B78"/>
    <w:multiLevelType w:val="hybridMultilevel"/>
    <w:tmpl w:val="B546E0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1" w15:restartNumberingAfterBreak="0">
    <w:nsid w:val="3AB0328D"/>
    <w:multiLevelType w:val="multilevel"/>
    <w:tmpl w:val="08F28EC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3ACBCB22"/>
    <w:multiLevelType w:val="hybridMultilevel"/>
    <w:tmpl w:val="FFFFFFFF"/>
    <w:lvl w:ilvl="0" w:tplc="25662F5A">
      <w:start w:val="1"/>
      <w:numFmt w:val="bullet"/>
      <w:lvlText w:val="·"/>
      <w:lvlJc w:val="left"/>
      <w:pPr>
        <w:ind w:left="720" w:hanging="360"/>
      </w:pPr>
      <w:rPr>
        <w:rFonts w:ascii="Symbol" w:hAnsi="Symbol" w:hint="default"/>
      </w:rPr>
    </w:lvl>
    <w:lvl w:ilvl="1" w:tplc="F1AE26D4">
      <w:start w:val="1"/>
      <w:numFmt w:val="bullet"/>
      <w:lvlText w:val="o"/>
      <w:lvlJc w:val="left"/>
      <w:pPr>
        <w:ind w:left="1440" w:hanging="360"/>
      </w:pPr>
      <w:rPr>
        <w:rFonts w:ascii="Courier New" w:hAnsi="Courier New" w:hint="default"/>
      </w:rPr>
    </w:lvl>
    <w:lvl w:ilvl="2" w:tplc="F04E7FD4">
      <w:start w:val="1"/>
      <w:numFmt w:val="bullet"/>
      <w:lvlText w:val=""/>
      <w:lvlJc w:val="left"/>
      <w:pPr>
        <w:ind w:left="2160" w:hanging="360"/>
      </w:pPr>
      <w:rPr>
        <w:rFonts w:ascii="Wingdings" w:hAnsi="Wingdings" w:hint="default"/>
      </w:rPr>
    </w:lvl>
    <w:lvl w:ilvl="3" w:tplc="631E0C92">
      <w:start w:val="1"/>
      <w:numFmt w:val="bullet"/>
      <w:lvlText w:val=""/>
      <w:lvlJc w:val="left"/>
      <w:pPr>
        <w:ind w:left="2880" w:hanging="360"/>
      </w:pPr>
      <w:rPr>
        <w:rFonts w:ascii="Symbol" w:hAnsi="Symbol" w:hint="default"/>
      </w:rPr>
    </w:lvl>
    <w:lvl w:ilvl="4" w:tplc="95A458A8">
      <w:start w:val="1"/>
      <w:numFmt w:val="bullet"/>
      <w:lvlText w:val="o"/>
      <w:lvlJc w:val="left"/>
      <w:pPr>
        <w:ind w:left="3600" w:hanging="360"/>
      </w:pPr>
      <w:rPr>
        <w:rFonts w:ascii="Courier New" w:hAnsi="Courier New" w:hint="default"/>
      </w:rPr>
    </w:lvl>
    <w:lvl w:ilvl="5" w:tplc="9FAC3B16">
      <w:start w:val="1"/>
      <w:numFmt w:val="bullet"/>
      <w:lvlText w:val=""/>
      <w:lvlJc w:val="left"/>
      <w:pPr>
        <w:ind w:left="4320" w:hanging="360"/>
      </w:pPr>
      <w:rPr>
        <w:rFonts w:ascii="Wingdings" w:hAnsi="Wingdings" w:hint="default"/>
      </w:rPr>
    </w:lvl>
    <w:lvl w:ilvl="6" w:tplc="4B7097A8">
      <w:start w:val="1"/>
      <w:numFmt w:val="bullet"/>
      <w:lvlText w:val=""/>
      <w:lvlJc w:val="left"/>
      <w:pPr>
        <w:ind w:left="5040" w:hanging="360"/>
      </w:pPr>
      <w:rPr>
        <w:rFonts w:ascii="Symbol" w:hAnsi="Symbol" w:hint="default"/>
      </w:rPr>
    </w:lvl>
    <w:lvl w:ilvl="7" w:tplc="ABF090D6">
      <w:start w:val="1"/>
      <w:numFmt w:val="bullet"/>
      <w:lvlText w:val="o"/>
      <w:lvlJc w:val="left"/>
      <w:pPr>
        <w:ind w:left="5760" w:hanging="360"/>
      </w:pPr>
      <w:rPr>
        <w:rFonts w:ascii="Courier New" w:hAnsi="Courier New" w:hint="default"/>
      </w:rPr>
    </w:lvl>
    <w:lvl w:ilvl="8" w:tplc="F468D182">
      <w:start w:val="1"/>
      <w:numFmt w:val="bullet"/>
      <w:lvlText w:val=""/>
      <w:lvlJc w:val="left"/>
      <w:pPr>
        <w:ind w:left="6480" w:hanging="360"/>
      </w:pPr>
      <w:rPr>
        <w:rFonts w:ascii="Wingdings" w:hAnsi="Wingdings" w:hint="default"/>
      </w:rPr>
    </w:lvl>
  </w:abstractNum>
  <w:abstractNum w:abstractNumId="103" w15:restartNumberingAfterBreak="0">
    <w:nsid w:val="3C15D685"/>
    <w:multiLevelType w:val="hybridMultilevel"/>
    <w:tmpl w:val="FFFFFFFF"/>
    <w:lvl w:ilvl="0" w:tplc="4E12A05A">
      <w:start w:val="1"/>
      <w:numFmt w:val="decimal"/>
      <w:lvlText w:val="%1."/>
      <w:lvlJc w:val="left"/>
      <w:pPr>
        <w:ind w:left="720" w:hanging="360"/>
      </w:pPr>
    </w:lvl>
    <w:lvl w:ilvl="1" w:tplc="377285D2">
      <w:start w:val="1"/>
      <w:numFmt w:val="lowerLetter"/>
      <w:lvlText w:val="%2."/>
      <w:lvlJc w:val="left"/>
      <w:pPr>
        <w:ind w:left="1440" w:hanging="360"/>
      </w:pPr>
    </w:lvl>
    <w:lvl w:ilvl="2" w:tplc="645A4820">
      <w:start w:val="1"/>
      <w:numFmt w:val="lowerRoman"/>
      <w:lvlText w:val="%3."/>
      <w:lvlJc w:val="right"/>
      <w:pPr>
        <w:ind w:left="2160" w:hanging="180"/>
      </w:pPr>
    </w:lvl>
    <w:lvl w:ilvl="3" w:tplc="74F68F80">
      <w:start w:val="1"/>
      <w:numFmt w:val="decimal"/>
      <w:lvlText w:val="%4."/>
      <w:lvlJc w:val="left"/>
      <w:pPr>
        <w:ind w:left="2880" w:hanging="360"/>
      </w:pPr>
    </w:lvl>
    <w:lvl w:ilvl="4" w:tplc="9E605F4A">
      <w:start w:val="1"/>
      <w:numFmt w:val="lowerLetter"/>
      <w:lvlText w:val="%5."/>
      <w:lvlJc w:val="left"/>
      <w:pPr>
        <w:ind w:left="3600" w:hanging="360"/>
      </w:pPr>
    </w:lvl>
    <w:lvl w:ilvl="5" w:tplc="1EFAA74C">
      <w:start w:val="1"/>
      <w:numFmt w:val="lowerRoman"/>
      <w:lvlText w:val="%6."/>
      <w:lvlJc w:val="right"/>
      <w:pPr>
        <w:ind w:left="4320" w:hanging="180"/>
      </w:pPr>
    </w:lvl>
    <w:lvl w:ilvl="6" w:tplc="7D8AA86A">
      <w:start w:val="1"/>
      <w:numFmt w:val="decimal"/>
      <w:lvlText w:val="%7."/>
      <w:lvlJc w:val="left"/>
      <w:pPr>
        <w:ind w:left="5040" w:hanging="360"/>
      </w:pPr>
    </w:lvl>
    <w:lvl w:ilvl="7" w:tplc="9744832E">
      <w:start w:val="1"/>
      <w:numFmt w:val="lowerLetter"/>
      <w:lvlText w:val="%8."/>
      <w:lvlJc w:val="left"/>
      <w:pPr>
        <w:ind w:left="5760" w:hanging="360"/>
      </w:pPr>
    </w:lvl>
    <w:lvl w:ilvl="8" w:tplc="1966D97C">
      <w:start w:val="1"/>
      <w:numFmt w:val="lowerRoman"/>
      <w:lvlText w:val="%9."/>
      <w:lvlJc w:val="right"/>
      <w:pPr>
        <w:ind w:left="6480" w:hanging="180"/>
      </w:pPr>
    </w:lvl>
  </w:abstractNum>
  <w:abstractNum w:abstractNumId="104" w15:restartNumberingAfterBreak="0">
    <w:nsid w:val="3C583B63"/>
    <w:multiLevelType w:val="hybridMultilevel"/>
    <w:tmpl w:val="21BA27AC"/>
    <w:lvl w:ilvl="0" w:tplc="533C96C6">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38A89C8">
      <w:start w:val="1"/>
      <w:numFmt w:val="bullet"/>
      <w:lvlText w:val="o"/>
      <w:lvlJc w:val="left"/>
      <w:pPr>
        <w:ind w:left="12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7861866">
      <w:start w:val="1"/>
      <w:numFmt w:val="bullet"/>
      <w:lvlText w:val="▪"/>
      <w:lvlJc w:val="left"/>
      <w:pPr>
        <w:ind w:left="19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1C4C47E">
      <w:start w:val="1"/>
      <w:numFmt w:val="bullet"/>
      <w:lvlText w:val="•"/>
      <w:lvlJc w:val="left"/>
      <w:pPr>
        <w:ind w:left="26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9568D3E">
      <w:start w:val="1"/>
      <w:numFmt w:val="bullet"/>
      <w:lvlText w:val="o"/>
      <w:lvlJc w:val="left"/>
      <w:pPr>
        <w:ind w:left="34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749198">
      <w:start w:val="1"/>
      <w:numFmt w:val="bullet"/>
      <w:lvlText w:val="▪"/>
      <w:lvlJc w:val="left"/>
      <w:pPr>
        <w:ind w:left="41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8002E26">
      <w:start w:val="1"/>
      <w:numFmt w:val="bullet"/>
      <w:lvlText w:val="•"/>
      <w:lvlJc w:val="left"/>
      <w:pPr>
        <w:ind w:left="48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7F2BB78">
      <w:start w:val="1"/>
      <w:numFmt w:val="bullet"/>
      <w:lvlText w:val="o"/>
      <w:lvlJc w:val="left"/>
      <w:pPr>
        <w:ind w:left="55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32A4ADC">
      <w:start w:val="1"/>
      <w:numFmt w:val="bullet"/>
      <w:lvlText w:val="▪"/>
      <w:lvlJc w:val="left"/>
      <w:pPr>
        <w:ind w:left="62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5" w15:restartNumberingAfterBreak="0">
    <w:nsid w:val="3C891D39"/>
    <w:multiLevelType w:val="hybridMultilevel"/>
    <w:tmpl w:val="980EE30E"/>
    <w:lvl w:ilvl="0" w:tplc="29060D9A">
      <w:start w:val="2"/>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E16E27E">
      <w:start w:val="1"/>
      <w:numFmt w:val="lowerLetter"/>
      <w:lvlText w:val="%2"/>
      <w:lvlJc w:val="left"/>
      <w:pPr>
        <w:ind w:left="11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72EE84">
      <w:start w:val="1"/>
      <w:numFmt w:val="lowerRoman"/>
      <w:lvlText w:val="%3"/>
      <w:lvlJc w:val="left"/>
      <w:pPr>
        <w:ind w:left="19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316509E">
      <w:start w:val="1"/>
      <w:numFmt w:val="decimal"/>
      <w:lvlText w:val="%4"/>
      <w:lvlJc w:val="left"/>
      <w:pPr>
        <w:ind w:left="26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408FDFE">
      <w:start w:val="1"/>
      <w:numFmt w:val="lowerLetter"/>
      <w:lvlText w:val="%5"/>
      <w:lvlJc w:val="left"/>
      <w:pPr>
        <w:ind w:left="33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55AEB32">
      <w:start w:val="1"/>
      <w:numFmt w:val="lowerRoman"/>
      <w:lvlText w:val="%6"/>
      <w:lvlJc w:val="left"/>
      <w:pPr>
        <w:ind w:left="40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CBEC42C">
      <w:start w:val="1"/>
      <w:numFmt w:val="decimal"/>
      <w:lvlText w:val="%7"/>
      <w:lvlJc w:val="left"/>
      <w:pPr>
        <w:ind w:left="47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4C05F86">
      <w:start w:val="1"/>
      <w:numFmt w:val="lowerLetter"/>
      <w:lvlText w:val="%8"/>
      <w:lvlJc w:val="left"/>
      <w:pPr>
        <w:ind w:left="55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09C2302">
      <w:start w:val="1"/>
      <w:numFmt w:val="lowerRoman"/>
      <w:lvlText w:val="%9"/>
      <w:lvlJc w:val="left"/>
      <w:pPr>
        <w:ind w:left="62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6" w15:restartNumberingAfterBreak="0">
    <w:nsid w:val="3CAB1ACB"/>
    <w:multiLevelType w:val="hybridMultilevel"/>
    <w:tmpl w:val="3E1AD890"/>
    <w:lvl w:ilvl="0" w:tplc="CEA64C3C">
      <w:start w:val="1"/>
      <w:numFmt w:val="bullet"/>
      <w:lvlText w:val="-"/>
      <w:lvlJc w:val="left"/>
      <w:pPr>
        <w:ind w:left="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6D8DAFA">
      <w:start w:val="1"/>
      <w:numFmt w:val="bullet"/>
      <w:lvlText w:val="o"/>
      <w:lvlJc w:val="left"/>
      <w:pPr>
        <w:ind w:left="1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380CEE">
      <w:start w:val="1"/>
      <w:numFmt w:val="bullet"/>
      <w:lvlText w:val="▪"/>
      <w:lvlJc w:val="left"/>
      <w:pPr>
        <w:ind w:left="19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4B6A8D6">
      <w:start w:val="1"/>
      <w:numFmt w:val="bullet"/>
      <w:lvlText w:val="•"/>
      <w:lvlJc w:val="left"/>
      <w:pPr>
        <w:ind w:left="26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4B0A8C0">
      <w:start w:val="1"/>
      <w:numFmt w:val="bullet"/>
      <w:lvlText w:val="o"/>
      <w:lvlJc w:val="left"/>
      <w:pPr>
        <w:ind w:left="33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37879F0">
      <w:start w:val="1"/>
      <w:numFmt w:val="bullet"/>
      <w:lvlText w:val="▪"/>
      <w:lvlJc w:val="left"/>
      <w:pPr>
        <w:ind w:left="40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B703190">
      <w:start w:val="1"/>
      <w:numFmt w:val="bullet"/>
      <w:lvlText w:val="•"/>
      <w:lvlJc w:val="left"/>
      <w:pPr>
        <w:ind w:left="47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624E64C">
      <w:start w:val="1"/>
      <w:numFmt w:val="bullet"/>
      <w:lvlText w:val="o"/>
      <w:lvlJc w:val="left"/>
      <w:pPr>
        <w:ind w:left="55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81AAF52">
      <w:start w:val="1"/>
      <w:numFmt w:val="bullet"/>
      <w:lvlText w:val="▪"/>
      <w:lvlJc w:val="left"/>
      <w:pPr>
        <w:ind w:left="62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7" w15:restartNumberingAfterBreak="0">
    <w:nsid w:val="3D5361BA"/>
    <w:multiLevelType w:val="hybridMultilevel"/>
    <w:tmpl w:val="C8E81342"/>
    <w:lvl w:ilvl="0" w:tplc="2D3831EE">
      <w:start w:val="1"/>
      <w:numFmt w:val="bullet"/>
      <w:lvlText w:val="-"/>
      <w:lvlJc w:val="left"/>
      <w:pPr>
        <w:ind w:left="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D82538E">
      <w:start w:val="1"/>
      <w:numFmt w:val="bullet"/>
      <w:lvlText w:val="o"/>
      <w:lvlJc w:val="left"/>
      <w:pPr>
        <w:ind w:left="1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B5C3260">
      <w:start w:val="1"/>
      <w:numFmt w:val="bullet"/>
      <w:lvlText w:val="▪"/>
      <w:lvlJc w:val="left"/>
      <w:pPr>
        <w:ind w:left="19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C483014">
      <w:start w:val="1"/>
      <w:numFmt w:val="bullet"/>
      <w:lvlText w:val="•"/>
      <w:lvlJc w:val="left"/>
      <w:pPr>
        <w:ind w:left="26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523292">
      <w:start w:val="1"/>
      <w:numFmt w:val="bullet"/>
      <w:lvlText w:val="o"/>
      <w:lvlJc w:val="left"/>
      <w:pPr>
        <w:ind w:left="33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C6621D6">
      <w:start w:val="1"/>
      <w:numFmt w:val="bullet"/>
      <w:lvlText w:val="▪"/>
      <w:lvlJc w:val="left"/>
      <w:pPr>
        <w:ind w:left="40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BD8697A">
      <w:start w:val="1"/>
      <w:numFmt w:val="bullet"/>
      <w:lvlText w:val="•"/>
      <w:lvlJc w:val="left"/>
      <w:pPr>
        <w:ind w:left="47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D301CA2">
      <w:start w:val="1"/>
      <w:numFmt w:val="bullet"/>
      <w:lvlText w:val="o"/>
      <w:lvlJc w:val="left"/>
      <w:pPr>
        <w:ind w:left="55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FAAF7EA">
      <w:start w:val="1"/>
      <w:numFmt w:val="bullet"/>
      <w:lvlText w:val="▪"/>
      <w:lvlJc w:val="left"/>
      <w:pPr>
        <w:ind w:left="62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8" w15:restartNumberingAfterBreak="0">
    <w:nsid w:val="3DDAD5C8"/>
    <w:multiLevelType w:val="hybridMultilevel"/>
    <w:tmpl w:val="FFFFFFFF"/>
    <w:lvl w:ilvl="0" w:tplc="78248E60">
      <w:start w:val="1"/>
      <w:numFmt w:val="decimal"/>
      <w:lvlText w:val="%1."/>
      <w:lvlJc w:val="left"/>
      <w:pPr>
        <w:ind w:left="720" w:hanging="360"/>
      </w:pPr>
    </w:lvl>
    <w:lvl w:ilvl="1" w:tplc="5DD63862">
      <w:start w:val="1"/>
      <w:numFmt w:val="lowerLetter"/>
      <w:lvlText w:val="%2."/>
      <w:lvlJc w:val="left"/>
      <w:pPr>
        <w:ind w:left="1440" w:hanging="360"/>
      </w:pPr>
    </w:lvl>
    <w:lvl w:ilvl="2" w:tplc="56E63AF6">
      <w:start w:val="1"/>
      <w:numFmt w:val="lowerRoman"/>
      <w:lvlText w:val="%3."/>
      <w:lvlJc w:val="right"/>
      <w:pPr>
        <w:ind w:left="2160" w:hanging="180"/>
      </w:pPr>
    </w:lvl>
    <w:lvl w:ilvl="3" w:tplc="41C69D88">
      <w:start w:val="1"/>
      <w:numFmt w:val="decimal"/>
      <w:lvlText w:val="%4."/>
      <w:lvlJc w:val="left"/>
      <w:pPr>
        <w:ind w:left="2880" w:hanging="360"/>
      </w:pPr>
    </w:lvl>
    <w:lvl w:ilvl="4" w:tplc="01FC9A7C">
      <w:start w:val="1"/>
      <w:numFmt w:val="lowerLetter"/>
      <w:lvlText w:val="%5."/>
      <w:lvlJc w:val="left"/>
      <w:pPr>
        <w:ind w:left="3600" w:hanging="360"/>
      </w:pPr>
    </w:lvl>
    <w:lvl w:ilvl="5" w:tplc="1A9C1796">
      <w:start w:val="1"/>
      <w:numFmt w:val="lowerRoman"/>
      <w:lvlText w:val="%6."/>
      <w:lvlJc w:val="right"/>
      <w:pPr>
        <w:ind w:left="4320" w:hanging="180"/>
      </w:pPr>
    </w:lvl>
    <w:lvl w:ilvl="6" w:tplc="27C8890E">
      <w:start w:val="1"/>
      <w:numFmt w:val="decimal"/>
      <w:lvlText w:val="%7."/>
      <w:lvlJc w:val="left"/>
      <w:pPr>
        <w:ind w:left="5040" w:hanging="360"/>
      </w:pPr>
    </w:lvl>
    <w:lvl w:ilvl="7" w:tplc="802EDE88">
      <w:start w:val="1"/>
      <w:numFmt w:val="lowerLetter"/>
      <w:lvlText w:val="%8."/>
      <w:lvlJc w:val="left"/>
      <w:pPr>
        <w:ind w:left="5760" w:hanging="360"/>
      </w:pPr>
    </w:lvl>
    <w:lvl w:ilvl="8" w:tplc="BC8E391C">
      <w:start w:val="1"/>
      <w:numFmt w:val="lowerRoman"/>
      <w:lvlText w:val="%9."/>
      <w:lvlJc w:val="right"/>
      <w:pPr>
        <w:ind w:left="6480" w:hanging="180"/>
      </w:pPr>
    </w:lvl>
  </w:abstractNum>
  <w:abstractNum w:abstractNumId="109" w15:restartNumberingAfterBreak="0">
    <w:nsid w:val="3E5C1B33"/>
    <w:multiLevelType w:val="hybridMultilevel"/>
    <w:tmpl w:val="6D7A59D0"/>
    <w:lvl w:ilvl="0" w:tplc="D63A0692">
      <w:start w:val="1"/>
      <w:numFmt w:val="bullet"/>
      <w:lvlText w:val="-"/>
      <w:lvlJc w:val="left"/>
      <w:pPr>
        <w:ind w:left="15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3E2366A">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164A54E">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212A39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DE0F760">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8AA0E0A">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9424EE2">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E526466">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AE6188">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3E8666D7"/>
    <w:multiLevelType w:val="multilevel"/>
    <w:tmpl w:val="13AC0F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3EBF6FE5"/>
    <w:multiLevelType w:val="hybridMultilevel"/>
    <w:tmpl w:val="EB8629BA"/>
    <w:lvl w:ilvl="0" w:tplc="359C1DBC">
      <w:start w:val="1"/>
      <w:numFmt w:val="bullet"/>
      <w:lvlText w:val="-"/>
      <w:lvlJc w:val="left"/>
      <w:pPr>
        <w:ind w:left="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EEEF120">
      <w:start w:val="1"/>
      <w:numFmt w:val="bullet"/>
      <w:lvlText w:val="o"/>
      <w:lvlJc w:val="left"/>
      <w:pPr>
        <w:ind w:left="1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7546DA4">
      <w:start w:val="1"/>
      <w:numFmt w:val="bullet"/>
      <w:lvlText w:val="▪"/>
      <w:lvlJc w:val="left"/>
      <w:pPr>
        <w:ind w:left="19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D0CE4EE">
      <w:start w:val="1"/>
      <w:numFmt w:val="bullet"/>
      <w:lvlText w:val="•"/>
      <w:lvlJc w:val="left"/>
      <w:pPr>
        <w:ind w:left="26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980E57A">
      <w:start w:val="1"/>
      <w:numFmt w:val="bullet"/>
      <w:lvlText w:val="o"/>
      <w:lvlJc w:val="left"/>
      <w:pPr>
        <w:ind w:left="33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8E468A">
      <w:start w:val="1"/>
      <w:numFmt w:val="bullet"/>
      <w:lvlText w:val="▪"/>
      <w:lvlJc w:val="left"/>
      <w:pPr>
        <w:ind w:left="40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9B63B36">
      <w:start w:val="1"/>
      <w:numFmt w:val="bullet"/>
      <w:lvlText w:val="•"/>
      <w:lvlJc w:val="left"/>
      <w:pPr>
        <w:ind w:left="47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5C67020">
      <w:start w:val="1"/>
      <w:numFmt w:val="bullet"/>
      <w:lvlText w:val="o"/>
      <w:lvlJc w:val="left"/>
      <w:pPr>
        <w:ind w:left="55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AD4A872">
      <w:start w:val="1"/>
      <w:numFmt w:val="bullet"/>
      <w:lvlText w:val="▪"/>
      <w:lvlJc w:val="left"/>
      <w:pPr>
        <w:ind w:left="62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2" w15:restartNumberingAfterBreak="0">
    <w:nsid w:val="3EFDD1AC"/>
    <w:multiLevelType w:val="hybridMultilevel"/>
    <w:tmpl w:val="FFFFFFFF"/>
    <w:lvl w:ilvl="0" w:tplc="26084B2A">
      <w:numFmt w:val="decimal"/>
      <w:lvlText w:val="%1."/>
      <w:lvlJc w:val="left"/>
      <w:pPr>
        <w:ind w:left="720" w:hanging="360"/>
      </w:pPr>
    </w:lvl>
    <w:lvl w:ilvl="1" w:tplc="15CCA296">
      <w:start w:val="1"/>
      <w:numFmt w:val="lowerLetter"/>
      <w:lvlText w:val="%2."/>
      <w:lvlJc w:val="left"/>
      <w:pPr>
        <w:ind w:left="1440" w:hanging="360"/>
      </w:pPr>
    </w:lvl>
    <w:lvl w:ilvl="2" w:tplc="DE026E02">
      <w:start w:val="1"/>
      <w:numFmt w:val="lowerRoman"/>
      <w:lvlText w:val="%3."/>
      <w:lvlJc w:val="right"/>
      <w:pPr>
        <w:ind w:left="2160" w:hanging="180"/>
      </w:pPr>
    </w:lvl>
    <w:lvl w:ilvl="3" w:tplc="A7341F92">
      <w:start w:val="1"/>
      <w:numFmt w:val="decimal"/>
      <w:lvlText w:val="%4."/>
      <w:lvlJc w:val="left"/>
      <w:pPr>
        <w:ind w:left="2880" w:hanging="360"/>
      </w:pPr>
    </w:lvl>
    <w:lvl w:ilvl="4" w:tplc="A7342900">
      <w:start w:val="1"/>
      <w:numFmt w:val="lowerLetter"/>
      <w:lvlText w:val="%5."/>
      <w:lvlJc w:val="left"/>
      <w:pPr>
        <w:ind w:left="3600" w:hanging="360"/>
      </w:pPr>
    </w:lvl>
    <w:lvl w:ilvl="5" w:tplc="5B0063BC">
      <w:start w:val="1"/>
      <w:numFmt w:val="lowerRoman"/>
      <w:lvlText w:val="%6."/>
      <w:lvlJc w:val="right"/>
      <w:pPr>
        <w:ind w:left="4320" w:hanging="180"/>
      </w:pPr>
    </w:lvl>
    <w:lvl w:ilvl="6" w:tplc="A6BAA676">
      <w:start w:val="1"/>
      <w:numFmt w:val="decimal"/>
      <w:lvlText w:val="%7."/>
      <w:lvlJc w:val="left"/>
      <w:pPr>
        <w:ind w:left="5040" w:hanging="360"/>
      </w:pPr>
    </w:lvl>
    <w:lvl w:ilvl="7" w:tplc="7C844760">
      <w:start w:val="1"/>
      <w:numFmt w:val="lowerLetter"/>
      <w:lvlText w:val="%8."/>
      <w:lvlJc w:val="left"/>
      <w:pPr>
        <w:ind w:left="5760" w:hanging="360"/>
      </w:pPr>
    </w:lvl>
    <w:lvl w:ilvl="8" w:tplc="C1101D26">
      <w:start w:val="1"/>
      <w:numFmt w:val="lowerRoman"/>
      <w:lvlText w:val="%9."/>
      <w:lvlJc w:val="right"/>
      <w:pPr>
        <w:ind w:left="6480" w:hanging="180"/>
      </w:pPr>
    </w:lvl>
  </w:abstractNum>
  <w:abstractNum w:abstractNumId="113" w15:restartNumberingAfterBreak="0">
    <w:nsid w:val="3F0849DB"/>
    <w:multiLevelType w:val="hybridMultilevel"/>
    <w:tmpl w:val="41C21E80"/>
    <w:lvl w:ilvl="0" w:tplc="6C3476EA">
      <w:start w:val="1"/>
      <w:numFmt w:val="bullet"/>
      <w:lvlText w:val=""/>
      <w:lvlJc w:val="left"/>
      <w:pPr>
        <w:ind w:left="720" w:hanging="360"/>
      </w:pPr>
      <w:rPr>
        <w:rFonts w:ascii="Symbol" w:hAnsi="Symbol" w:hint="default"/>
      </w:rPr>
    </w:lvl>
    <w:lvl w:ilvl="1" w:tplc="6C600D02">
      <w:start w:val="1"/>
      <w:numFmt w:val="bullet"/>
      <w:lvlText w:val="o"/>
      <w:lvlJc w:val="left"/>
      <w:pPr>
        <w:ind w:left="1440" w:hanging="360"/>
      </w:pPr>
      <w:rPr>
        <w:rFonts w:ascii="Courier New" w:hAnsi="Courier New" w:hint="default"/>
      </w:rPr>
    </w:lvl>
    <w:lvl w:ilvl="2" w:tplc="71621E68">
      <w:start w:val="1"/>
      <w:numFmt w:val="bullet"/>
      <w:lvlText w:val=""/>
      <w:lvlJc w:val="left"/>
      <w:pPr>
        <w:ind w:left="2160" w:hanging="360"/>
      </w:pPr>
      <w:rPr>
        <w:rFonts w:ascii="Wingdings" w:hAnsi="Wingdings" w:hint="default"/>
      </w:rPr>
    </w:lvl>
    <w:lvl w:ilvl="3" w:tplc="DC98442A">
      <w:start w:val="1"/>
      <w:numFmt w:val="bullet"/>
      <w:lvlText w:val=""/>
      <w:lvlJc w:val="left"/>
      <w:pPr>
        <w:ind w:left="2880" w:hanging="360"/>
      </w:pPr>
      <w:rPr>
        <w:rFonts w:ascii="Symbol" w:hAnsi="Symbol" w:hint="default"/>
      </w:rPr>
    </w:lvl>
    <w:lvl w:ilvl="4" w:tplc="7C8A2134">
      <w:start w:val="1"/>
      <w:numFmt w:val="bullet"/>
      <w:lvlText w:val="o"/>
      <w:lvlJc w:val="left"/>
      <w:pPr>
        <w:ind w:left="3600" w:hanging="360"/>
      </w:pPr>
      <w:rPr>
        <w:rFonts w:ascii="Courier New" w:hAnsi="Courier New" w:hint="default"/>
      </w:rPr>
    </w:lvl>
    <w:lvl w:ilvl="5" w:tplc="483EF78C">
      <w:start w:val="1"/>
      <w:numFmt w:val="bullet"/>
      <w:lvlText w:val=""/>
      <w:lvlJc w:val="left"/>
      <w:pPr>
        <w:ind w:left="4320" w:hanging="360"/>
      </w:pPr>
      <w:rPr>
        <w:rFonts w:ascii="Wingdings" w:hAnsi="Wingdings" w:hint="default"/>
      </w:rPr>
    </w:lvl>
    <w:lvl w:ilvl="6" w:tplc="7084FADC">
      <w:start w:val="1"/>
      <w:numFmt w:val="bullet"/>
      <w:lvlText w:val=""/>
      <w:lvlJc w:val="left"/>
      <w:pPr>
        <w:ind w:left="5040" w:hanging="360"/>
      </w:pPr>
      <w:rPr>
        <w:rFonts w:ascii="Symbol" w:hAnsi="Symbol" w:hint="default"/>
      </w:rPr>
    </w:lvl>
    <w:lvl w:ilvl="7" w:tplc="6D2CABF0">
      <w:start w:val="1"/>
      <w:numFmt w:val="bullet"/>
      <w:lvlText w:val="o"/>
      <w:lvlJc w:val="left"/>
      <w:pPr>
        <w:ind w:left="5760" w:hanging="360"/>
      </w:pPr>
      <w:rPr>
        <w:rFonts w:ascii="Courier New" w:hAnsi="Courier New" w:hint="default"/>
      </w:rPr>
    </w:lvl>
    <w:lvl w:ilvl="8" w:tplc="8A58FCAE">
      <w:start w:val="1"/>
      <w:numFmt w:val="bullet"/>
      <w:lvlText w:val=""/>
      <w:lvlJc w:val="left"/>
      <w:pPr>
        <w:ind w:left="6480" w:hanging="360"/>
      </w:pPr>
      <w:rPr>
        <w:rFonts w:ascii="Wingdings" w:hAnsi="Wingdings" w:hint="default"/>
      </w:rPr>
    </w:lvl>
  </w:abstractNum>
  <w:abstractNum w:abstractNumId="114" w15:restartNumberingAfterBreak="0">
    <w:nsid w:val="402F1912"/>
    <w:multiLevelType w:val="hybridMultilevel"/>
    <w:tmpl w:val="F168D0B4"/>
    <w:lvl w:ilvl="0" w:tplc="3702A116">
      <w:start w:val="3"/>
      <w:numFmt w:val="decimal"/>
      <w:lvlText w:val="%1)"/>
      <w:lvlJc w:val="left"/>
      <w:pPr>
        <w:ind w:left="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57CA4F4">
      <w:start w:val="1"/>
      <w:numFmt w:val="lowerLetter"/>
      <w:lvlText w:val="%2"/>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7F0D10C">
      <w:start w:val="1"/>
      <w:numFmt w:val="lowerRoman"/>
      <w:lvlText w:val="%3"/>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9387832">
      <w:start w:val="1"/>
      <w:numFmt w:val="decimal"/>
      <w:lvlText w:val="%4"/>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528786">
      <w:start w:val="1"/>
      <w:numFmt w:val="lowerLetter"/>
      <w:lvlText w:val="%5"/>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BA51AC">
      <w:start w:val="1"/>
      <w:numFmt w:val="lowerRoman"/>
      <w:lvlText w:val="%6"/>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6C78F2">
      <w:start w:val="1"/>
      <w:numFmt w:val="decimal"/>
      <w:lvlText w:val="%7"/>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E1A907E">
      <w:start w:val="1"/>
      <w:numFmt w:val="lowerLetter"/>
      <w:lvlText w:val="%8"/>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0DAF338">
      <w:start w:val="1"/>
      <w:numFmt w:val="lowerRoman"/>
      <w:lvlText w:val="%9"/>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5" w15:restartNumberingAfterBreak="0">
    <w:nsid w:val="409721F0"/>
    <w:multiLevelType w:val="multilevel"/>
    <w:tmpl w:val="52B204D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6" w15:restartNumberingAfterBreak="0">
    <w:nsid w:val="40BD58B1"/>
    <w:multiLevelType w:val="hybridMultilevel"/>
    <w:tmpl w:val="6DA6E210"/>
    <w:lvl w:ilvl="0" w:tplc="FFD42BC4">
      <w:start w:val="1"/>
      <w:numFmt w:val="bullet"/>
      <w:lvlText w:val="•"/>
      <w:lvlJc w:val="left"/>
      <w:pPr>
        <w:ind w:left="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EA77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E296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F6D9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E680B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34862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126E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7A5CA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B21C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421C7CDE"/>
    <w:multiLevelType w:val="hybridMultilevel"/>
    <w:tmpl w:val="22903402"/>
    <w:lvl w:ilvl="0" w:tplc="B094966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F0D59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5076F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CE6AE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A61DA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58111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BC76A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F81EB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30A3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428354AD"/>
    <w:multiLevelType w:val="hybridMultilevel"/>
    <w:tmpl w:val="7F9A9B0C"/>
    <w:lvl w:ilvl="0" w:tplc="BD1C4D2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904A704">
      <w:start w:val="1"/>
      <w:numFmt w:val="lowerLetter"/>
      <w:lvlText w:val="%2"/>
      <w:lvlJc w:val="left"/>
      <w:pPr>
        <w:ind w:left="1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598D8C4">
      <w:start w:val="1"/>
      <w:numFmt w:val="lowerRoman"/>
      <w:lvlText w:val="%3"/>
      <w:lvlJc w:val="left"/>
      <w:pPr>
        <w:ind w:left="19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088CB32">
      <w:start w:val="1"/>
      <w:numFmt w:val="decimal"/>
      <w:lvlText w:val="%4"/>
      <w:lvlJc w:val="left"/>
      <w:pPr>
        <w:ind w:left="26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DC93C4">
      <w:start w:val="1"/>
      <w:numFmt w:val="lowerLetter"/>
      <w:lvlText w:val="%5"/>
      <w:lvlJc w:val="left"/>
      <w:pPr>
        <w:ind w:left="33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49A7218">
      <w:start w:val="1"/>
      <w:numFmt w:val="lowerRoman"/>
      <w:lvlText w:val="%6"/>
      <w:lvlJc w:val="left"/>
      <w:pPr>
        <w:ind w:left="40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D4C0714">
      <w:start w:val="1"/>
      <w:numFmt w:val="decimal"/>
      <w:lvlText w:val="%7"/>
      <w:lvlJc w:val="left"/>
      <w:pPr>
        <w:ind w:left="47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FFABEC6">
      <w:start w:val="1"/>
      <w:numFmt w:val="lowerLetter"/>
      <w:lvlText w:val="%8"/>
      <w:lvlJc w:val="left"/>
      <w:pPr>
        <w:ind w:left="55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CEECEAE">
      <w:start w:val="1"/>
      <w:numFmt w:val="lowerRoman"/>
      <w:lvlText w:val="%9"/>
      <w:lvlJc w:val="left"/>
      <w:pPr>
        <w:ind w:left="62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9" w15:restartNumberingAfterBreak="0">
    <w:nsid w:val="430771B4"/>
    <w:multiLevelType w:val="multilevel"/>
    <w:tmpl w:val="5A90B71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434D1E6D"/>
    <w:multiLevelType w:val="hybridMultilevel"/>
    <w:tmpl w:val="D3C4950A"/>
    <w:lvl w:ilvl="0" w:tplc="0BBA4016">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226CD50">
      <w:start w:val="1"/>
      <w:numFmt w:val="bullet"/>
      <w:lvlText w:val="o"/>
      <w:lvlJc w:val="left"/>
      <w:pPr>
        <w:ind w:left="1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50CAE08">
      <w:start w:val="1"/>
      <w:numFmt w:val="bullet"/>
      <w:lvlText w:val="▪"/>
      <w:lvlJc w:val="left"/>
      <w:pPr>
        <w:ind w:left="19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66C0EDC">
      <w:start w:val="1"/>
      <w:numFmt w:val="bullet"/>
      <w:lvlText w:val="•"/>
      <w:lvlJc w:val="left"/>
      <w:pPr>
        <w:ind w:left="26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E8C22C">
      <w:start w:val="1"/>
      <w:numFmt w:val="bullet"/>
      <w:lvlText w:val="o"/>
      <w:lvlJc w:val="left"/>
      <w:pPr>
        <w:ind w:left="33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358C46E">
      <w:start w:val="1"/>
      <w:numFmt w:val="bullet"/>
      <w:lvlText w:val="▪"/>
      <w:lvlJc w:val="left"/>
      <w:pPr>
        <w:ind w:left="40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2BA4EDC">
      <w:start w:val="1"/>
      <w:numFmt w:val="bullet"/>
      <w:lvlText w:val="•"/>
      <w:lvlJc w:val="left"/>
      <w:pPr>
        <w:ind w:left="47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6BA6CFC">
      <w:start w:val="1"/>
      <w:numFmt w:val="bullet"/>
      <w:lvlText w:val="o"/>
      <w:lvlJc w:val="left"/>
      <w:pPr>
        <w:ind w:left="55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7EC22DC">
      <w:start w:val="1"/>
      <w:numFmt w:val="bullet"/>
      <w:lvlText w:val="▪"/>
      <w:lvlJc w:val="left"/>
      <w:pPr>
        <w:ind w:left="62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1" w15:restartNumberingAfterBreak="0">
    <w:nsid w:val="43781726"/>
    <w:multiLevelType w:val="hybridMultilevel"/>
    <w:tmpl w:val="844CD8DC"/>
    <w:lvl w:ilvl="0" w:tplc="FC282660">
      <w:start w:val="1"/>
      <w:numFmt w:val="bullet"/>
      <w:lvlText w:val=""/>
      <w:lvlJc w:val="left"/>
      <w:pPr>
        <w:ind w:left="720" w:hanging="360"/>
      </w:pPr>
      <w:rPr>
        <w:rFonts w:ascii="Symbol" w:hAnsi="Symbol"/>
      </w:rPr>
    </w:lvl>
    <w:lvl w:ilvl="1" w:tplc="A8485582">
      <w:start w:val="1"/>
      <w:numFmt w:val="bullet"/>
      <w:lvlText w:val=""/>
      <w:lvlJc w:val="left"/>
      <w:pPr>
        <w:ind w:left="720" w:hanging="360"/>
      </w:pPr>
      <w:rPr>
        <w:rFonts w:ascii="Symbol" w:hAnsi="Symbol"/>
      </w:rPr>
    </w:lvl>
    <w:lvl w:ilvl="2" w:tplc="F488A5E8">
      <w:start w:val="1"/>
      <w:numFmt w:val="bullet"/>
      <w:lvlText w:val=""/>
      <w:lvlJc w:val="left"/>
      <w:pPr>
        <w:ind w:left="720" w:hanging="360"/>
      </w:pPr>
      <w:rPr>
        <w:rFonts w:ascii="Symbol" w:hAnsi="Symbol"/>
      </w:rPr>
    </w:lvl>
    <w:lvl w:ilvl="3" w:tplc="48123C90">
      <w:start w:val="1"/>
      <w:numFmt w:val="bullet"/>
      <w:lvlText w:val=""/>
      <w:lvlJc w:val="left"/>
      <w:pPr>
        <w:ind w:left="720" w:hanging="360"/>
      </w:pPr>
      <w:rPr>
        <w:rFonts w:ascii="Symbol" w:hAnsi="Symbol"/>
      </w:rPr>
    </w:lvl>
    <w:lvl w:ilvl="4" w:tplc="DCB49712">
      <w:start w:val="1"/>
      <w:numFmt w:val="bullet"/>
      <w:lvlText w:val=""/>
      <w:lvlJc w:val="left"/>
      <w:pPr>
        <w:ind w:left="720" w:hanging="360"/>
      </w:pPr>
      <w:rPr>
        <w:rFonts w:ascii="Symbol" w:hAnsi="Symbol"/>
      </w:rPr>
    </w:lvl>
    <w:lvl w:ilvl="5" w:tplc="279A9734">
      <w:start w:val="1"/>
      <w:numFmt w:val="bullet"/>
      <w:lvlText w:val=""/>
      <w:lvlJc w:val="left"/>
      <w:pPr>
        <w:ind w:left="720" w:hanging="360"/>
      </w:pPr>
      <w:rPr>
        <w:rFonts w:ascii="Symbol" w:hAnsi="Symbol"/>
      </w:rPr>
    </w:lvl>
    <w:lvl w:ilvl="6" w:tplc="1454571E">
      <w:start w:val="1"/>
      <w:numFmt w:val="bullet"/>
      <w:lvlText w:val=""/>
      <w:lvlJc w:val="left"/>
      <w:pPr>
        <w:ind w:left="720" w:hanging="360"/>
      </w:pPr>
      <w:rPr>
        <w:rFonts w:ascii="Symbol" w:hAnsi="Symbol"/>
      </w:rPr>
    </w:lvl>
    <w:lvl w:ilvl="7" w:tplc="7FECDF58">
      <w:start w:val="1"/>
      <w:numFmt w:val="bullet"/>
      <w:lvlText w:val=""/>
      <w:lvlJc w:val="left"/>
      <w:pPr>
        <w:ind w:left="720" w:hanging="360"/>
      </w:pPr>
      <w:rPr>
        <w:rFonts w:ascii="Symbol" w:hAnsi="Symbol"/>
      </w:rPr>
    </w:lvl>
    <w:lvl w:ilvl="8" w:tplc="B1AA3BB2">
      <w:start w:val="1"/>
      <w:numFmt w:val="bullet"/>
      <w:lvlText w:val=""/>
      <w:lvlJc w:val="left"/>
      <w:pPr>
        <w:ind w:left="720" w:hanging="360"/>
      </w:pPr>
      <w:rPr>
        <w:rFonts w:ascii="Symbol" w:hAnsi="Symbol"/>
      </w:rPr>
    </w:lvl>
  </w:abstractNum>
  <w:abstractNum w:abstractNumId="122" w15:restartNumberingAfterBreak="0">
    <w:nsid w:val="4389DB2B"/>
    <w:multiLevelType w:val="multilevel"/>
    <w:tmpl w:val="714CD334"/>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46834B99"/>
    <w:multiLevelType w:val="hybridMultilevel"/>
    <w:tmpl w:val="EF7E6F42"/>
    <w:lvl w:ilvl="0" w:tplc="A0E603E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C0DC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7097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0E35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BEC7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2C07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7087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DCBB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FEEE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472233A4"/>
    <w:multiLevelType w:val="hybridMultilevel"/>
    <w:tmpl w:val="8E12CA8C"/>
    <w:lvl w:ilvl="0" w:tplc="F27AC3F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F246AC">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A68CA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34225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48C348">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EA69EE">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AC1352">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3EED10">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02CD90">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47E436C2"/>
    <w:multiLevelType w:val="hybridMultilevel"/>
    <w:tmpl w:val="BFE07E52"/>
    <w:lvl w:ilvl="0" w:tplc="0D78FDEA">
      <w:start w:val="1"/>
      <w:numFmt w:val="decimal"/>
      <w:lvlText w:val="%1."/>
      <w:lvlJc w:val="left"/>
      <w:pPr>
        <w:tabs>
          <w:tab w:val="num" w:pos="720"/>
        </w:tabs>
        <w:ind w:left="720" w:hanging="360"/>
      </w:pPr>
    </w:lvl>
    <w:lvl w:ilvl="1" w:tplc="B8ECEF24" w:tentative="1">
      <w:start w:val="1"/>
      <w:numFmt w:val="decimal"/>
      <w:lvlText w:val="%2."/>
      <w:lvlJc w:val="left"/>
      <w:pPr>
        <w:tabs>
          <w:tab w:val="num" w:pos="1440"/>
        </w:tabs>
        <w:ind w:left="1440" w:hanging="360"/>
      </w:pPr>
    </w:lvl>
    <w:lvl w:ilvl="2" w:tplc="D0527798" w:tentative="1">
      <w:start w:val="1"/>
      <w:numFmt w:val="decimal"/>
      <w:lvlText w:val="%3."/>
      <w:lvlJc w:val="left"/>
      <w:pPr>
        <w:tabs>
          <w:tab w:val="num" w:pos="2160"/>
        </w:tabs>
        <w:ind w:left="2160" w:hanging="360"/>
      </w:pPr>
    </w:lvl>
    <w:lvl w:ilvl="3" w:tplc="6E287A68" w:tentative="1">
      <w:start w:val="1"/>
      <w:numFmt w:val="decimal"/>
      <w:lvlText w:val="%4."/>
      <w:lvlJc w:val="left"/>
      <w:pPr>
        <w:tabs>
          <w:tab w:val="num" w:pos="2880"/>
        </w:tabs>
        <w:ind w:left="2880" w:hanging="360"/>
      </w:pPr>
    </w:lvl>
    <w:lvl w:ilvl="4" w:tplc="73003B3C" w:tentative="1">
      <w:start w:val="1"/>
      <w:numFmt w:val="decimal"/>
      <w:lvlText w:val="%5."/>
      <w:lvlJc w:val="left"/>
      <w:pPr>
        <w:tabs>
          <w:tab w:val="num" w:pos="3600"/>
        </w:tabs>
        <w:ind w:left="3600" w:hanging="360"/>
      </w:pPr>
    </w:lvl>
    <w:lvl w:ilvl="5" w:tplc="BF5E0610" w:tentative="1">
      <w:start w:val="1"/>
      <w:numFmt w:val="decimal"/>
      <w:lvlText w:val="%6."/>
      <w:lvlJc w:val="left"/>
      <w:pPr>
        <w:tabs>
          <w:tab w:val="num" w:pos="4320"/>
        </w:tabs>
        <w:ind w:left="4320" w:hanging="360"/>
      </w:pPr>
    </w:lvl>
    <w:lvl w:ilvl="6" w:tplc="04104CE2" w:tentative="1">
      <w:start w:val="1"/>
      <w:numFmt w:val="decimal"/>
      <w:lvlText w:val="%7."/>
      <w:lvlJc w:val="left"/>
      <w:pPr>
        <w:tabs>
          <w:tab w:val="num" w:pos="5040"/>
        </w:tabs>
        <w:ind w:left="5040" w:hanging="360"/>
      </w:pPr>
    </w:lvl>
    <w:lvl w:ilvl="7" w:tplc="FF74C1AC" w:tentative="1">
      <w:start w:val="1"/>
      <w:numFmt w:val="decimal"/>
      <w:lvlText w:val="%8."/>
      <w:lvlJc w:val="left"/>
      <w:pPr>
        <w:tabs>
          <w:tab w:val="num" w:pos="5760"/>
        </w:tabs>
        <w:ind w:left="5760" w:hanging="360"/>
      </w:pPr>
    </w:lvl>
    <w:lvl w:ilvl="8" w:tplc="9920C9F6" w:tentative="1">
      <w:start w:val="1"/>
      <w:numFmt w:val="decimal"/>
      <w:lvlText w:val="%9."/>
      <w:lvlJc w:val="left"/>
      <w:pPr>
        <w:tabs>
          <w:tab w:val="num" w:pos="6480"/>
        </w:tabs>
        <w:ind w:left="6480" w:hanging="360"/>
      </w:pPr>
    </w:lvl>
  </w:abstractNum>
  <w:abstractNum w:abstractNumId="126" w15:restartNumberingAfterBreak="0">
    <w:nsid w:val="47E85B70"/>
    <w:multiLevelType w:val="hybridMultilevel"/>
    <w:tmpl w:val="62F49E58"/>
    <w:lvl w:ilvl="0" w:tplc="23A00776">
      <w:start w:val="1"/>
      <w:numFmt w:val="lowerLetter"/>
      <w:lvlText w:val="%1)"/>
      <w:lvlJc w:val="left"/>
      <w:pPr>
        <w:ind w:left="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8DE1194">
      <w:start w:val="1"/>
      <w:numFmt w:val="lowerLetter"/>
      <w:lvlText w:val="%2"/>
      <w:lvlJc w:val="left"/>
      <w:pPr>
        <w:ind w:left="1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8B0D484">
      <w:start w:val="1"/>
      <w:numFmt w:val="lowerRoman"/>
      <w:lvlText w:val="%3"/>
      <w:lvlJc w:val="left"/>
      <w:pPr>
        <w:ind w:left="19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4965284">
      <w:start w:val="1"/>
      <w:numFmt w:val="decimal"/>
      <w:lvlText w:val="%4"/>
      <w:lvlJc w:val="left"/>
      <w:pPr>
        <w:ind w:left="26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03675C8">
      <w:start w:val="1"/>
      <w:numFmt w:val="lowerLetter"/>
      <w:lvlText w:val="%5"/>
      <w:lvlJc w:val="left"/>
      <w:pPr>
        <w:ind w:left="33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69E4B6A">
      <w:start w:val="1"/>
      <w:numFmt w:val="lowerRoman"/>
      <w:lvlText w:val="%6"/>
      <w:lvlJc w:val="left"/>
      <w:pPr>
        <w:ind w:left="40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66E91C">
      <w:start w:val="1"/>
      <w:numFmt w:val="decimal"/>
      <w:lvlText w:val="%7"/>
      <w:lvlJc w:val="left"/>
      <w:pPr>
        <w:ind w:left="47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A328988">
      <w:start w:val="1"/>
      <w:numFmt w:val="lowerLetter"/>
      <w:lvlText w:val="%8"/>
      <w:lvlJc w:val="left"/>
      <w:pPr>
        <w:ind w:left="55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95A62AE">
      <w:start w:val="1"/>
      <w:numFmt w:val="lowerRoman"/>
      <w:lvlText w:val="%9"/>
      <w:lvlJc w:val="left"/>
      <w:pPr>
        <w:ind w:left="62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7" w15:restartNumberingAfterBreak="0">
    <w:nsid w:val="483E3ED3"/>
    <w:multiLevelType w:val="hybridMultilevel"/>
    <w:tmpl w:val="C4545DB4"/>
    <w:lvl w:ilvl="0" w:tplc="3E8ABB00">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044F8F8">
      <w:start w:val="1"/>
      <w:numFmt w:val="bullet"/>
      <w:lvlText w:val="o"/>
      <w:lvlJc w:val="left"/>
      <w:pPr>
        <w:ind w:left="11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9BE07A0">
      <w:start w:val="1"/>
      <w:numFmt w:val="bullet"/>
      <w:lvlText w:val="▪"/>
      <w:lvlJc w:val="left"/>
      <w:pPr>
        <w:ind w:left="19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E9024BE">
      <w:start w:val="1"/>
      <w:numFmt w:val="bullet"/>
      <w:lvlText w:val="•"/>
      <w:lvlJc w:val="left"/>
      <w:pPr>
        <w:ind w:left="26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0507C40">
      <w:start w:val="1"/>
      <w:numFmt w:val="bullet"/>
      <w:lvlText w:val="o"/>
      <w:lvlJc w:val="left"/>
      <w:pPr>
        <w:ind w:left="33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0D8B55E">
      <w:start w:val="1"/>
      <w:numFmt w:val="bullet"/>
      <w:lvlText w:val="▪"/>
      <w:lvlJc w:val="left"/>
      <w:pPr>
        <w:ind w:left="40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88250AE">
      <w:start w:val="1"/>
      <w:numFmt w:val="bullet"/>
      <w:lvlText w:val="•"/>
      <w:lvlJc w:val="left"/>
      <w:pPr>
        <w:ind w:left="47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68ACF1C">
      <w:start w:val="1"/>
      <w:numFmt w:val="bullet"/>
      <w:lvlText w:val="o"/>
      <w:lvlJc w:val="left"/>
      <w:pPr>
        <w:ind w:left="55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B02BCCE">
      <w:start w:val="1"/>
      <w:numFmt w:val="bullet"/>
      <w:lvlText w:val="▪"/>
      <w:lvlJc w:val="left"/>
      <w:pPr>
        <w:ind w:left="62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8" w15:restartNumberingAfterBreak="0">
    <w:nsid w:val="487F6698"/>
    <w:multiLevelType w:val="multilevel"/>
    <w:tmpl w:val="28189D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9295F29"/>
    <w:multiLevelType w:val="hybridMultilevel"/>
    <w:tmpl w:val="FFFFFFFF"/>
    <w:lvl w:ilvl="0" w:tplc="C08AFEE2">
      <w:start w:val="1"/>
      <w:numFmt w:val="bullet"/>
      <w:lvlText w:val=""/>
      <w:lvlJc w:val="left"/>
      <w:pPr>
        <w:ind w:left="720" w:hanging="360"/>
      </w:pPr>
      <w:rPr>
        <w:rFonts w:ascii="Symbol" w:hAnsi="Symbol" w:hint="default"/>
      </w:rPr>
    </w:lvl>
    <w:lvl w:ilvl="1" w:tplc="B0229AFA">
      <w:start w:val="1"/>
      <w:numFmt w:val="bullet"/>
      <w:lvlText w:val="o"/>
      <w:lvlJc w:val="left"/>
      <w:pPr>
        <w:ind w:left="1440" w:hanging="360"/>
      </w:pPr>
      <w:rPr>
        <w:rFonts w:ascii="Courier New" w:hAnsi="Courier New" w:hint="default"/>
      </w:rPr>
    </w:lvl>
    <w:lvl w:ilvl="2" w:tplc="F9BE9F6C">
      <w:start w:val="1"/>
      <w:numFmt w:val="bullet"/>
      <w:lvlText w:val=""/>
      <w:lvlJc w:val="left"/>
      <w:pPr>
        <w:ind w:left="2160" w:hanging="360"/>
      </w:pPr>
      <w:rPr>
        <w:rFonts w:ascii="Wingdings" w:hAnsi="Wingdings" w:hint="default"/>
      </w:rPr>
    </w:lvl>
    <w:lvl w:ilvl="3" w:tplc="634CFA78">
      <w:start w:val="1"/>
      <w:numFmt w:val="bullet"/>
      <w:lvlText w:val=""/>
      <w:lvlJc w:val="left"/>
      <w:pPr>
        <w:ind w:left="2880" w:hanging="360"/>
      </w:pPr>
      <w:rPr>
        <w:rFonts w:ascii="Symbol" w:hAnsi="Symbol" w:hint="default"/>
      </w:rPr>
    </w:lvl>
    <w:lvl w:ilvl="4" w:tplc="6EDED2D0">
      <w:start w:val="1"/>
      <w:numFmt w:val="bullet"/>
      <w:lvlText w:val="o"/>
      <w:lvlJc w:val="left"/>
      <w:pPr>
        <w:ind w:left="3600" w:hanging="360"/>
      </w:pPr>
      <w:rPr>
        <w:rFonts w:ascii="Courier New" w:hAnsi="Courier New" w:hint="default"/>
      </w:rPr>
    </w:lvl>
    <w:lvl w:ilvl="5" w:tplc="07FC9EF2">
      <w:start w:val="1"/>
      <w:numFmt w:val="bullet"/>
      <w:lvlText w:val=""/>
      <w:lvlJc w:val="left"/>
      <w:pPr>
        <w:ind w:left="4320" w:hanging="360"/>
      </w:pPr>
      <w:rPr>
        <w:rFonts w:ascii="Wingdings" w:hAnsi="Wingdings" w:hint="default"/>
      </w:rPr>
    </w:lvl>
    <w:lvl w:ilvl="6" w:tplc="314ECD0E">
      <w:start w:val="1"/>
      <w:numFmt w:val="bullet"/>
      <w:lvlText w:val=""/>
      <w:lvlJc w:val="left"/>
      <w:pPr>
        <w:ind w:left="5040" w:hanging="360"/>
      </w:pPr>
      <w:rPr>
        <w:rFonts w:ascii="Symbol" w:hAnsi="Symbol" w:hint="default"/>
      </w:rPr>
    </w:lvl>
    <w:lvl w:ilvl="7" w:tplc="0F8E14A6">
      <w:start w:val="1"/>
      <w:numFmt w:val="bullet"/>
      <w:lvlText w:val="o"/>
      <w:lvlJc w:val="left"/>
      <w:pPr>
        <w:ind w:left="5760" w:hanging="360"/>
      </w:pPr>
      <w:rPr>
        <w:rFonts w:ascii="Courier New" w:hAnsi="Courier New" w:hint="default"/>
      </w:rPr>
    </w:lvl>
    <w:lvl w:ilvl="8" w:tplc="7DD25582">
      <w:start w:val="1"/>
      <w:numFmt w:val="bullet"/>
      <w:lvlText w:val=""/>
      <w:lvlJc w:val="left"/>
      <w:pPr>
        <w:ind w:left="6480" w:hanging="360"/>
      </w:pPr>
      <w:rPr>
        <w:rFonts w:ascii="Wingdings" w:hAnsi="Wingdings" w:hint="default"/>
      </w:rPr>
    </w:lvl>
  </w:abstractNum>
  <w:abstractNum w:abstractNumId="130" w15:restartNumberingAfterBreak="0">
    <w:nsid w:val="497F54CD"/>
    <w:multiLevelType w:val="hybridMultilevel"/>
    <w:tmpl w:val="034CDBE4"/>
    <w:lvl w:ilvl="0" w:tplc="04150017">
      <w:start w:val="1"/>
      <w:numFmt w:val="lowerLetter"/>
      <w:lvlText w:val="%1)"/>
      <w:lvlJc w:val="left"/>
      <w:pPr>
        <w:ind w:left="720" w:hanging="360"/>
      </w:pPr>
      <w:rPr>
        <w:rFonts w:hint="default"/>
      </w:rPr>
    </w:lvl>
    <w:lvl w:ilvl="1" w:tplc="74681310">
      <w:start w:val="1"/>
      <w:numFmt w:val="lowerRoman"/>
      <w:lvlText w:val="(%2)"/>
      <w:lvlJc w:val="righ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4A4C1099"/>
    <w:multiLevelType w:val="multilevel"/>
    <w:tmpl w:val="F6A6F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4A8D2A34"/>
    <w:multiLevelType w:val="hybridMultilevel"/>
    <w:tmpl w:val="FFFFFFFF"/>
    <w:lvl w:ilvl="0" w:tplc="1ABE2A80">
      <w:start w:val="1"/>
      <w:numFmt w:val="decimal"/>
      <w:lvlText w:val="%1."/>
      <w:lvlJc w:val="left"/>
      <w:pPr>
        <w:ind w:left="720" w:hanging="360"/>
      </w:pPr>
    </w:lvl>
    <w:lvl w:ilvl="1" w:tplc="E4B6C4EA">
      <w:start w:val="1"/>
      <w:numFmt w:val="lowerLetter"/>
      <w:lvlText w:val="%2."/>
      <w:lvlJc w:val="left"/>
      <w:pPr>
        <w:ind w:left="1440" w:hanging="360"/>
      </w:pPr>
    </w:lvl>
    <w:lvl w:ilvl="2" w:tplc="EA567504">
      <w:start w:val="1"/>
      <w:numFmt w:val="lowerRoman"/>
      <w:lvlText w:val="%3."/>
      <w:lvlJc w:val="right"/>
      <w:pPr>
        <w:ind w:left="2160" w:hanging="180"/>
      </w:pPr>
    </w:lvl>
    <w:lvl w:ilvl="3" w:tplc="B822A79A">
      <w:start w:val="1"/>
      <w:numFmt w:val="decimal"/>
      <w:lvlText w:val="%4."/>
      <w:lvlJc w:val="left"/>
      <w:pPr>
        <w:ind w:left="2880" w:hanging="360"/>
      </w:pPr>
    </w:lvl>
    <w:lvl w:ilvl="4" w:tplc="3ED2663A">
      <w:start w:val="1"/>
      <w:numFmt w:val="lowerLetter"/>
      <w:lvlText w:val="%5."/>
      <w:lvlJc w:val="left"/>
      <w:pPr>
        <w:ind w:left="3600" w:hanging="360"/>
      </w:pPr>
    </w:lvl>
    <w:lvl w:ilvl="5" w:tplc="4EC652BC">
      <w:start w:val="1"/>
      <w:numFmt w:val="lowerRoman"/>
      <w:lvlText w:val="%6."/>
      <w:lvlJc w:val="right"/>
      <w:pPr>
        <w:ind w:left="4320" w:hanging="180"/>
      </w:pPr>
    </w:lvl>
    <w:lvl w:ilvl="6" w:tplc="58449C18">
      <w:start w:val="1"/>
      <w:numFmt w:val="decimal"/>
      <w:lvlText w:val="%7."/>
      <w:lvlJc w:val="left"/>
      <w:pPr>
        <w:ind w:left="5040" w:hanging="360"/>
      </w:pPr>
    </w:lvl>
    <w:lvl w:ilvl="7" w:tplc="EF72B2A6">
      <w:start w:val="1"/>
      <w:numFmt w:val="lowerLetter"/>
      <w:lvlText w:val="%8."/>
      <w:lvlJc w:val="left"/>
      <w:pPr>
        <w:ind w:left="5760" w:hanging="360"/>
      </w:pPr>
    </w:lvl>
    <w:lvl w:ilvl="8" w:tplc="16840BB8">
      <w:start w:val="1"/>
      <w:numFmt w:val="lowerRoman"/>
      <w:lvlText w:val="%9."/>
      <w:lvlJc w:val="right"/>
      <w:pPr>
        <w:ind w:left="6480" w:hanging="180"/>
      </w:pPr>
    </w:lvl>
  </w:abstractNum>
  <w:abstractNum w:abstractNumId="133" w15:restartNumberingAfterBreak="0">
    <w:nsid w:val="4B1B0905"/>
    <w:multiLevelType w:val="multilevel"/>
    <w:tmpl w:val="52027E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4B37F4ED"/>
    <w:multiLevelType w:val="hybridMultilevel"/>
    <w:tmpl w:val="FFFFFFFF"/>
    <w:lvl w:ilvl="0" w:tplc="CADCEFDE">
      <w:start w:val="1"/>
      <w:numFmt w:val="decimal"/>
      <w:lvlText w:val="%1."/>
      <w:lvlJc w:val="left"/>
      <w:pPr>
        <w:ind w:left="720" w:hanging="360"/>
      </w:pPr>
    </w:lvl>
    <w:lvl w:ilvl="1" w:tplc="B3C6607E">
      <w:start w:val="1"/>
      <w:numFmt w:val="lowerLetter"/>
      <w:lvlText w:val="%2."/>
      <w:lvlJc w:val="left"/>
      <w:pPr>
        <w:ind w:left="1440" w:hanging="360"/>
      </w:pPr>
    </w:lvl>
    <w:lvl w:ilvl="2" w:tplc="205AA01C">
      <w:start w:val="1"/>
      <w:numFmt w:val="lowerRoman"/>
      <w:lvlText w:val="%3."/>
      <w:lvlJc w:val="right"/>
      <w:pPr>
        <w:ind w:left="2160" w:hanging="180"/>
      </w:pPr>
    </w:lvl>
    <w:lvl w:ilvl="3" w:tplc="0450D6F0">
      <w:start w:val="1"/>
      <w:numFmt w:val="decimal"/>
      <w:lvlText w:val="%4."/>
      <w:lvlJc w:val="left"/>
      <w:pPr>
        <w:ind w:left="2880" w:hanging="360"/>
      </w:pPr>
    </w:lvl>
    <w:lvl w:ilvl="4" w:tplc="7442902E">
      <w:start w:val="1"/>
      <w:numFmt w:val="lowerLetter"/>
      <w:lvlText w:val="%5."/>
      <w:lvlJc w:val="left"/>
      <w:pPr>
        <w:ind w:left="3600" w:hanging="360"/>
      </w:pPr>
    </w:lvl>
    <w:lvl w:ilvl="5" w:tplc="D0EEC37A">
      <w:start w:val="1"/>
      <w:numFmt w:val="lowerRoman"/>
      <w:lvlText w:val="%6."/>
      <w:lvlJc w:val="right"/>
      <w:pPr>
        <w:ind w:left="4320" w:hanging="180"/>
      </w:pPr>
    </w:lvl>
    <w:lvl w:ilvl="6" w:tplc="ACB42AEC">
      <w:start w:val="1"/>
      <w:numFmt w:val="decimal"/>
      <w:lvlText w:val="%7."/>
      <w:lvlJc w:val="left"/>
      <w:pPr>
        <w:ind w:left="5040" w:hanging="360"/>
      </w:pPr>
    </w:lvl>
    <w:lvl w:ilvl="7" w:tplc="00261DB6">
      <w:start w:val="1"/>
      <w:numFmt w:val="lowerLetter"/>
      <w:lvlText w:val="%8."/>
      <w:lvlJc w:val="left"/>
      <w:pPr>
        <w:ind w:left="5760" w:hanging="360"/>
      </w:pPr>
    </w:lvl>
    <w:lvl w:ilvl="8" w:tplc="4194402E">
      <w:start w:val="1"/>
      <w:numFmt w:val="lowerRoman"/>
      <w:lvlText w:val="%9."/>
      <w:lvlJc w:val="right"/>
      <w:pPr>
        <w:ind w:left="6480" w:hanging="180"/>
      </w:pPr>
    </w:lvl>
  </w:abstractNum>
  <w:abstractNum w:abstractNumId="135" w15:restartNumberingAfterBreak="0">
    <w:nsid w:val="4BE97960"/>
    <w:multiLevelType w:val="hybridMultilevel"/>
    <w:tmpl w:val="6D724774"/>
    <w:lvl w:ilvl="0" w:tplc="1809000F">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136" w15:restartNumberingAfterBreak="0">
    <w:nsid w:val="4C247310"/>
    <w:multiLevelType w:val="hybridMultilevel"/>
    <w:tmpl w:val="FFFFFFFF"/>
    <w:lvl w:ilvl="0" w:tplc="471EB2AA">
      <w:start w:val="1"/>
      <w:numFmt w:val="decimal"/>
      <w:lvlText w:val="%1."/>
      <w:lvlJc w:val="left"/>
      <w:pPr>
        <w:ind w:left="720" w:hanging="360"/>
      </w:pPr>
    </w:lvl>
    <w:lvl w:ilvl="1" w:tplc="C5E6A66E">
      <w:start w:val="1"/>
      <w:numFmt w:val="lowerLetter"/>
      <w:lvlText w:val="%2."/>
      <w:lvlJc w:val="left"/>
      <w:pPr>
        <w:ind w:left="1440" w:hanging="360"/>
      </w:pPr>
    </w:lvl>
    <w:lvl w:ilvl="2" w:tplc="68B6866A">
      <w:start w:val="1"/>
      <w:numFmt w:val="lowerRoman"/>
      <w:lvlText w:val="%3."/>
      <w:lvlJc w:val="right"/>
      <w:pPr>
        <w:ind w:left="2160" w:hanging="180"/>
      </w:pPr>
    </w:lvl>
    <w:lvl w:ilvl="3" w:tplc="1682BF38">
      <w:start w:val="1"/>
      <w:numFmt w:val="decimal"/>
      <w:lvlText w:val="%4."/>
      <w:lvlJc w:val="left"/>
      <w:pPr>
        <w:ind w:left="2880" w:hanging="360"/>
      </w:pPr>
    </w:lvl>
    <w:lvl w:ilvl="4" w:tplc="40AA36EA">
      <w:start w:val="1"/>
      <w:numFmt w:val="lowerLetter"/>
      <w:lvlText w:val="%5."/>
      <w:lvlJc w:val="left"/>
      <w:pPr>
        <w:ind w:left="3600" w:hanging="360"/>
      </w:pPr>
    </w:lvl>
    <w:lvl w:ilvl="5" w:tplc="18F26D08">
      <w:start w:val="1"/>
      <w:numFmt w:val="lowerRoman"/>
      <w:lvlText w:val="%6."/>
      <w:lvlJc w:val="right"/>
      <w:pPr>
        <w:ind w:left="4320" w:hanging="180"/>
      </w:pPr>
    </w:lvl>
    <w:lvl w:ilvl="6" w:tplc="5CA20810">
      <w:start w:val="1"/>
      <w:numFmt w:val="decimal"/>
      <w:lvlText w:val="%7."/>
      <w:lvlJc w:val="left"/>
      <w:pPr>
        <w:ind w:left="5040" w:hanging="360"/>
      </w:pPr>
    </w:lvl>
    <w:lvl w:ilvl="7" w:tplc="D0087E46">
      <w:start w:val="1"/>
      <w:numFmt w:val="lowerLetter"/>
      <w:lvlText w:val="%8."/>
      <w:lvlJc w:val="left"/>
      <w:pPr>
        <w:ind w:left="5760" w:hanging="360"/>
      </w:pPr>
    </w:lvl>
    <w:lvl w:ilvl="8" w:tplc="A8E8508E">
      <w:start w:val="1"/>
      <w:numFmt w:val="lowerRoman"/>
      <w:lvlText w:val="%9."/>
      <w:lvlJc w:val="right"/>
      <w:pPr>
        <w:ind w:left="6480" w:hanging="180"/>
      </w:pPr>
    </w:lvl>
  </w:abstractNum>
  <w:abstractNum w:abstractNumId="137" w15:restartNumberingAfterBreak="0">
    <w:nsid w:val="4D97571B"/>
    <w:multiLevelType w:val="hybridMultilevel"/>
    <w:tmpl w:val="FE686940"/>
    <w:lvl w:ilvl="0" w:tplc="480A2AD8">
      <w:start w:val="1"/>
      <w:numFmt w:val="decimal"/>
      <w:lvlText w:val="%1."/>
      <w:lvlJc w:val="left"/>
      <w:pPr>
        <w:ind w:left="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FAE8EE6">
      <w:start w:val="1"/>
      <w:numFmt w:val="lowerLetter"/>
      <w:lvlText w:val="%2"/>
      <w:lvlJc w:val="left"/>
      <w:pPr>
        <w:ind w:left="1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86E004C">
      <w:start w:val="1"/>
      <w:numFmt w:val="lowerRoman"/>
      <w:lvlText w:val="%3"/>
      <w:lvlJc w:val="left"/>
      <w:pPr>
        <w:ind w:left="19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6807C7A">
      <w:start w:val="1"/>
      <w:numFmt w:val="decimal"/>
      <w:lvlText w:val="%4"/>
      <w:lvlJc w:val="left"/>
      <w:pPr>
        <w:ind w:left="26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38C4D9E">
      <w:start w:val="1"/>
      <w:numFmt w:val="lowerLetter"/>
      <w:lvlText w:val="%5"/>
      <w:lvlJc w:val="left"/>
      <w:pPr>
        <w:ind w:left="33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E5C459A">
      <w:start w:val="1"/>
      <w:numFmt w:val="lowerRoman"/>
      <w:lvlText w:val="%6"/>
      <w:lvlJc w:val="left"/>
      <w:pPr>
        <w:ind w:left="40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628F776">
      <w:start w:val="1"/>
      <w:numFmt w:val="decimal"/>
      <w:lvlText w:val="%7"/>
      <w:lvlJc w:val="left"/>
      <w:pPr>
        <w:ind w:left="47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76EE912">
      <w:start w:val="1"/>
      <w:numFmt w:val="lowerLetter"/>
      <w:lvlText w:val="%8"/>
      <w:lvlJc w:val="left"/>
      <w:pPr>
        <w:ind w:left="55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554DC2E">
      <w:start w:val="1"/>
      <w:numFmt w:val="lowerRoman"/>
      <w:lvlText w:val="%9"/>
      <w:lvlJc w:val="left"/>
      <w:pPr>
        <w:ind w:left="62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8" w15:restartNumberingAfterBreak="0">
    <w:nsid w:val="4DE05D9B"/>
    <w:multiLevelType w:val="hybridMultilevel"/>
    <w:tmpl w:val="88F6DBFA"/>
    <w:lvl w:ilvl="0" w:tplc="98403A5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62B26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8CD602">
      <w:start w:val="1"/>
      <w:numFmt w:val="decimal"/>
      <w:lvlRestart w:val="0"/>
      <w:lvlText w:val="%3."/>
      <w:lvlJc w:val="left"/>
      <w:pPr>
        <w:ind w:left="1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98F10C">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D2A5D6">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04EC10">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103F0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4E68EA">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B0C64C">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4DE4AF62"/>
    <w:multiLevelType w:val="hybridMultilevel"/>
    <w:tmpl w:val="FFFFFFFF"/>
    <w:lvl w:ilvl="0" w:tplc="B81CB8E0">
      <w:start w:val="1"/>
      <w:numFmt w:val="upperRoman"/>
      <w:lvlText w:val="%1."/>
      <w:lvlJc w:val="left"/>
      <w:pPr>
        <w:ind w:left="720" w:hanging="360"/>
      </w:pPr>
    </w:lvl>
    <w:lvl w:ilvl="1" w:tplc="0444DD2A">
      <w:start w:val="1"/>
      <w:numFmt w:val="lowerLetter"/>
      <w:lvlText w:val="%2."/>
      <w:lvlJc w:val="left"/>
      <w:pPr>
        <w:ind w:left="1440" w:hanging="360"/>
      </w:pPr>
    </w:lvl>
    <w:lvl w:ilvl="2" w:tplc="3CFCE500">
      <w:start w:val="1"/>
      <w:numFmt w:val="lowerRoman"/>
      <w:lvlText w:val="%3."/>
      <w:lvlJc w:val="right"/>
      <w:pPr>
        <w:ind w:left="2160" w:hanging="180"/>
      </w:pPr>
    </w:lvl>
    <w:lvl w:ilvl="3" w:tplc="AF8655CC">
      <w:start w:val="1"/>
      <w:numFmt w:val="decimal"/>
      <w:lvlText w:val="%4."/>
      <w:lvlJc w:val="left"/>
      <w:pPr>
        <w:ind w:left="2880" w:hanging="360"/>
      </w:pPr>
    </w:lvl>
    <w:lvl w:ilvl="4" w:tplc="D452EF84">
      <w:start w:val="1"/>
      <w:numFmt w:val="lowerLetter"/>
      <w:lvlText w:val="%5."/>
      <w:lvlJc w:val="left"/>
      <w:pPr>
        <w:ind w:left="3600" w:hanging="360"/>
      </w:pPr>
    </w:lvl>
    <w:lvl w:ilvl="5" w:tplc="32D68CD2">
      <w:start w:val="1"/>
      <w:numFmt w:val="lowerRoman"/>
      <w:lvlText w:val="%6."/>
      <w:lvlJc w:val="right"/>
      <w:pPr>
        <w:ind w:left="4320" w:hanging="180"/>
      </w:pPr>
    </w:lvl>
    <w:lvl w:ilvl="6" w:tplc="EFECD75E">
      <w:start w:val="1"/>
      <w:numFmt w:val="decimal"/>
      <w:lvlText w:val="%7."/>
      <w:lvlJc w:val="left"/>
      <w:pPr>
        <w:ind w:left="5040" w:hanging="360"/>
      </w:pPr>
    </w:lvl>
    <w:lvl w:ilvl="7" w:tplc="E774E290">
      <w:start w:val="1"/>
      <w:numFmt w:val="lowerLetter"/>
      <w:lvlText w:val="%8."/>
      <w:lvlJc w:val="left"/>
      <w:pPr>
        <w:ind w:left="5760" w:hanging="360"/>
      </w:pPr>
    </w:lvl>
    <w:lvl w:ilvl="8" w:tplc="3B8A7C3A">
      <w:start w:val="1"/>
      <w:numFmt w:val="lowerRoman"/>
      <w:lvlText w:val="%9."/>
      <w:lvlJc w:val="right"/>
      <w:pPr>
        <w:ind w:left="6480" w:hanging="180"/>
      </w:pPr>
    </w:lvl>
  </w:abstractNum>
  <w:abstractNum w:abstractNumId="140" w15:restartNumberingAfterBreak="0">
    <w:nsid w:val="4E9730BB"/>
    <w:multiLevelType w:val="hybridMultilevel"/>
    <w:tmpl w:val="4E7450AC"/>
    <w:lvl w:ilvl="0" w:tplc="42C4CEE6">
      <w:start w:val="1"/>
      <w:numFmt w:val="lowerRoman"/>
      <w:lvlText w:val="(%1)"/>
      <w:lvlJc w:val="left"/>
      <w:pPr>
        <w:ind w:left="4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5D269AE">
      <w:start w:val="1"/>
      <w:numFmt w:val="lowerLetter"/>
      <w:lvlText w:val="%2"/>
      <w:lvlJc w:val="left"/>
      <w:pPr>
        <w:ind w:left="12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AB4FEFA">
      <w:start w:val="1"/>
      <w:numFmt w:val="lowerRoman"/>
      <w:lvlText w:val="%3"/>
      <w:lvlJc w:val="left"/>
      <w:pPr>
        <w:ind w:left="19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5246700">
      <w:start w:val="1"/>
      <w:numFmt w:val="decimal"/>
      <w:lvlText w:val="%4"/>
      <w:lvlJc w:val="left"/>
      <w:pPr>
        <w:ind w:left="26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0E2B446">
      <w:start w:val="1"/>
      <w:numFmt w:val="lowerLetter"/>
      <w:lvlText w:val="%5"/>
      <w:lvlJc w:val="left"/>
      <w:pPr>
        <w:ind w:left="33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F4AC660">
      <w:start w:val="1"/>
      <w:numFmt w:val="lowerRoman"/>
      <w:lvlText w:val="%6"/>
      <w:lvlJc w:val="left"/>
      <w:pPr>
        <w:ind w:left="41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82C505A">
      <w:start w:val="1"/>
      <w:numFmt w:val="decimal"/>
      <w:lvlText w:val="%7"/>
      <w:lvlJc w:val="left"/>
      <w:pPr>
        <w:ind w:left="48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E56CB90">
      <w:start w:val="1"/>
      <w:numFmt w:val="lowerLetter"/>
      <w:lvlText w:val="%8"/>
      <w:lvlJc w:val="left"/>
      <w:pPr>
        <w:ind w:left="55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25C5432">
      <w:start w:val="1"/>
      <w:numFmt w:val="lowerRoman"/>
      <w:lvlText w:val="%9"/>
      <w:lvlJc w:val="left"/>
      <w:pPr>
        <w:ind w:left="62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1" w15:restartNumberingAfterBreak="0">
    <w:nsid w:val="51DF27D2"/>
    <w:multiLevelType w:val="hybridMultilevel"/>
    <w:tmpl w:val="C764F19A"/>
    <w:lvl w:ilvl="0" w:tplc="3B42AA4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A26D720">
      <w:start w:val="1"/>
      <w:numFmt w:val="bullet"/>
      <w:lvlText w:val="o"/>
      <w:lvlJc w:val="left"/>
      <w:pPr>
        <w:ind w:left="11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13CF580">
      <w:start w:val="1"/>
      <w:numFmt w:val="bullet"/>
      <w:lvlText w:val="▪"/>
      <w:lvlJc w:val="left"/>
      <w:pPr>
        <w:ind w:left="19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91CFEA6">
      <w:start w:val="1"/>
      <w:numFmt w:val="bullet"/>
      <w:lvlText w:val="•"/>
      <w:lvlJc w:val="left"/>
      <w:pPr>
        <w:ind w:left="26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69271FE">
      <w:start w:val="1"/>
      <w:numFmt w:val="bullet"/>
      <w:lvlText w:val="o"/>
      <w:lvlJc w:val="left"/>
      <w:pPr>
        <w:ind w:left="33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2727680">
      <w:start w:val="1"/>
      <w:numFmt w:val="bullet"/>
      <w:lvlText w:val="▪"/>
      <w:lvlJc w:val="left"/>
      <w:pPr>
        <w:ind w:left="40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E98DEE2">
      <w:start w:val="1"/>
      <w:numFmt w:val="bullet"/>
      <w:lvlText w:val="•"/>
      <w:lvlJc w:val="left"/>
      <w:pPr>
        <w:ind w:left="47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F9E714E">
      <w:start w:val="1"/>
      <w:numFmt w:val="bullet"/>
      <w:lvlText w:val="o"/>
      <w:lvlJc w:val="left"/>
      <w:pPr>
        <w:ind w:left="55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95C9BE0">
      <w:start w:val="1"/>
      <w:numFmt w:val="bullet"/>
      <w:lvlText w:val="▪"/>
      <w:lvlJc w:val="left"/>
      <w:pPr>
        <w:ind w:left="62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2" w15:restartNumberingAfterBreak="0">
    <w:nsid w:val="5234547A"/>
    <w:multiLevelType w:val="multilevel"/>
    <w:tmpl w:val="3014E3C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3" w15:restartNumberingAfterBreak="0">
    <w:nsid w:val="534415C2"/>
    <w:multiLevelType w:val="hybridMultilevel"/>
    <w:tmpl w:val="EEFCFF8A"/>
    <w:lvl w:ilvl="0" w:tplc="E634095A">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A8C942A">
      <w:start w:val="1"/>
      <w:numFmt w:val="bullet"/>
      <w:lvlText w:val="o"/>
      <w:lvlJc w:val="left"/>
      <w:pPr>
        <w:ind w:left="1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2C09F76">
      <w:start w:val="1"/>
      <w:numFmt w:val="bullet"/>
      <w:lvlText w:val="▪"/>
      <w:lvlJc w:val="left"/>
      <w:pPr>
        <w:ind w:left="19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D925144">
      <w:start w:val="1"/>
      <w:numFmt w:val="bullet"/>
      <w:lvlText w:val="•"/>
      <w:lvlJc w:val="left"/>
      <w:pPr>
        <w:ind w:left="26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E8CC6DC">
      <w:start w:val="1"/>
      <w:numFmt w:val="bullet"/>
      <w:lvlText w:val="o"/>
      <w:lvlJc w:val="left"/>
      <w:pPr>
        <w:ind w:left="33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0B0BE1E">
      <w:start w:val="1"/>
      <w:numFmt w:val="bullet"/>
      <w:lvlText w:val="▪"/>
      <w:lvlJc w:val="left"/>
      <w:pPr>
        <w:ind w:left="40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ED60690">
      <w:start w:val="1"/>
      <w:numFmt w:val="bullet"/>
      <w:lvlText w:val="•"/>
      <w:lvlJc w:val="left"/>
      <w:pPr>
        <w:ind w:left="47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85287FC">
      <w:start w:val="1"/>
      <w:numFmt w:val="bullet"/>
      <w:lvlText w:val="o"/>
      <w:lvlJc w:val="left"/>
      <w:pPr>
        <w:ind w:left="55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5902552">
      <w:start w:val="1"/>
      <w:numFmt w:val="bullet"/>
      <w:lvlText w:val="▪"/>
      <w:lvlJc w:val="left"/>
      <w:pPr>
        <w:ind w:left="62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4" w15:restartNumberingAfterBreak="0">
    <w:nsid w:val="53496E64"/>
    <w:multiLevelType w:val="hybridMultilevel"/>
    <w:tmpl w:val="6DD27592"/>
    <w:lvl w:ilvl="0" w:tplc="F1A4DC3E">
      <w:start w:val="2"/>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168B98E">
      <w:start w:val="1"/>
      <w:numFmt w:val="lowerLetter"/>
      <w:lvlText w:val="%2"/>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C9AC2C4">
      <w:start w:val="1"/>
      <w:numFmt w:val="lowerRoman"/>
      <w:lvlText w:val="%3"/>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E2C1816">
      <w:start w:val="1"/>
      <w:numFmt w:val="decimal"/>
      <w:lvlText w:val="%4"/>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D8AFCEC">
      <w:start w:val="1"/>
      <w:numFmt w:val="lowerLetter"/>
      <w:lvlText w:val="%5"/>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E260B0A">
      <w:start w:val="1"/>
      <w:numFmt w:val="lowerRoman"/>
      <w:lvlText w:val="%6"/>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F285C4">
      <w:start w:val="1"/>
      <w:numFmt w:val="decimal"/>
      <w:lvlText w:val="%7"/>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18C2E8">
      <w:start w:val="1"/>
      <w:numFmt w:val="lowerLetter"/>
      <w:lvlText w:val="%8"/>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6827104">
      <w:start w:val="1"/>
      <w:numFmt w:val="lowerRoman"/>
      <w:lvlText w:val="%9"/>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5" w15:restartNumberingAfterBreak="0">
    <w:nsid w:val="53692930"/>
    <w:multiLevelType w:val="hybridMultilevel"/>
    <w:tmpl w:val="2C563876"/>
    <w:lvl w:ilvl="0" w:tplc="F4AADCAE">
      <w:start w:val="1"/>
      <w:numFmt w:val="decimal"/>
      <w:lvlText w:val="G%1G"/>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6" w15:restartNumberingAfterBreak="0">
    <w:nsid w:val="53B62EC0"/>
    <w:multiLevelType w:val="hybridMultilevel"/>
    <w:tmpl w:val="5EB6D06C"/>
    <w:lvl w:ilvl="0" w:tplc="5C468042">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B18EBE8">
      <w:start w:val="1"/>
      <w:numFmt w:val="bullet"/>
      <w:lvlText w:val="o"/>
      <w:lvlJc w:val="left"/>
      <w:pPr>
        <w:ind w:left="1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0F01CF0">
      <w:start w:val="1"/>
      <w:numFmt w:val="bullet"/>
      <w:lvlText w:val="▪"/>
      <w:lvlJc w:val="left"/>
      <w:pPr>
        <w:ind w:left="19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A3A16FC">
      <w:start w:val="1"/>
      <w:numFmt w:val="bullet"/>
      <w:lvlText w:val="•"/>
      <w:lvlJc w:val="left"/>
      <w:pPr>
        <w:ind w:left="26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A23A92">
      <w:start w:val="1"/>
      <w:numFmt w:val="bullet"/>
      <w:lvlText w:val="o"/>
      <w:lvlJc w:val="left"/>
      <w:pPr>
        <w:ind w:left="33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E9A0764">
      <w:start w:val="1"/>
      <w:numFmt w:val="bullet"/>
      <w:lvlText w:val="▪"/>
      <w:lvlJc w:val="left"/>
      <w:pPr>
        <w:ind w:left="40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84376C">
      <w:start w:val="1"/>
      <w:numFmt w:val="bullet"/>
      <w:lvlText w:val="•"/>
      <w:lvlJc w:val="left"/>
      <w:pPr>
        <w:ind w:left="47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B1039B4">
      <w:start w:val="1"/>
      <w:numFmt w:val="bullet"/>
      <w:lvlText w:val="o"/>
      <w:lvlJc w:val="left"/>
      <w:pPr>
        <w:ind w:left="55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D60F7B8">
      <w:start w:val="1"/>
      <w:numFmt w:val="bullet"/>
      <w:lvlText w:val="▪"/>
      <w:lvlJc w:val="left"/>
      <w:pPr>
        <w:ind w:left="62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7" w15:restartNumberingAfterBreak="0">
    <w:nsid w:val="53D557E7"/>
    <w:multiLevelType w:val="multilevel"/>
    <w:tmpl w:val="F8C08A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53DE2701"/>
    <w:multiLevelType w:val="multilevel"/>
    <w:tmpl w:val="22B4AD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557F3318"/>
    <w:multiLevelType w:val="multilevel"/>
    <w:tmpl w:val="B6BCFE8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0" w15:restartNumberingAfterBreak="0">
    <w:nsid w:val="559744E7"/>
    <w:multiLevelType w:val="hybridMultilevel"/>
    <w:tmpl w:val="38346E2E"/>
    <w:lvl w:ilvl="0" w:tplc="692ADE0C">
      <w:start w:val="1"/>
      <w:numFmt w:val="lowerLetter"/>
      <w:lvlText w:val="%1)"/>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B302F00">
      <w:start w:val="1"/>
      <w:numFmt w:val="lowerLetter"/>
      <w:lvlText w:val="%2"/>
      <w:lvlJc w:val="left"/>
      <w:pPr>
        <w:ind w:left="15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5A8F434">
      <w:start w:val="1"/>
      <w:numFmt w:val="lowerRoman"/>
      <w:lvlText w:val="%3"/>
      <w:lvlJc w:val="left"/>
      <w:pPr>
        <w:ind w:left="22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02E3A2A">
      <w:start w:val="1"/>
      <w:numFmt w:val="decimal"/>
      <w:lvlText w:val="%4"/>
      <w:lvlJc w:val="left"/>
      <w:pPr>
        <w:ind w:left="29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D663D62">
      <w:start w:val="1"/>
      <w:numFmt w:val="lowerLetter"/>
      <w:lvlText w:val="%5"/>
      <w:lvlJc w:val="left"/>
      <w:pPr>
        <w:ind w:left="37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D1E2A54">
      <w:start w:val="1"/>
      <w:numFmt w:val="lowerRoman"/>
      <w:lvlText w:val="%6"/>
      <w:lvlJc w:val="left"/>
      <w:pPr>
        <w:ind w:left="44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C1A9260">
      <w:start w:val="1"/>
      <w:numFmt w:val="decimal"/>
      <w:lvlText w:val="%7"/>
      <w:lvlJc w:val="left"/>
      <w:pPr>
        <w:ind w:left="51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8403106">
      <w:start w:val="1"/>
      <w:numFmt w:val="lowerLetter"/>
      <w:lvlText w:val="%8"/>
      <w:lvlJc w:val="left"/>
      <w:pPr>
        <w:ind w:left="58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CE9474">
      <w:start w:val="1"/>
      <w:numFmt w:val="lowerRoman"/>
      <w:lvlText w:val="%9"/>
      <w:lvlJc w:val="left"/>
      <w:pPr>
        <w:ind w:left="65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1" w15:restartNumberingAfterBreak="0">
    <w:nsid w:val="55C10E65"/>
    <w:multiLevelType w:val="multilevel"/>
    <w:tmpl w:val="8D7C4D2A"/>
    <w:lvl w:ilvl="0">
      <w:start w:val="1"/>
      <w:numFmt w:val="decimal"/>
      <w:lvlText w:val="%1."/>
      <w:lvlJc w:val="left"/>
      <w:pPr>
        <w:ind w:left="476" w:hanging="476"/>
      </w:pPr>
      <w:rPr>
        <w:rFonts w:hint="default"/>
        <w:b/>
        <w:bCs/>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2" w15:restartNumberingAfterBreak="0">
    <w:nsid w:val="56EC53DD"/>
    <w:multiLevelType w:val="hybridMultilevel"/>
    <w:tmpl w:val="0556FE36"/>
    <w:lvl w:ilvl="0" w:tplc="082E05A6">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F3A259E">
      <w:start w:val="1"/>
      <w:numFmt w:val="bullet"/>
      <w:lvlText w:val="o"/>
      <w:lvlJc w:val="left"/>
      <w:pPr>
        <w:ind w:left="1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27C693C">
      <w:start w:val="1"/>
      <w:numFmt w:val="bullet"/>
      <w:lvlText w:val="▪"/>
      <w:lvlJc w:val="left"/>
      <w:pPr>
        <w:ind w:left="19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AFC5F8C">
      <w:start w:val="1"/>
      <w:numFmt w:val="bullet"/>
      <w:lvlText w:val="•"/>
      <w:lvlJc w:val="left"/>
      <w:pPr>
        <w:ind w:left="26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18CBC0">
      <w:start w:val="1"/>
      <w:numFmt w:val="bullet"/>
      <w:lvlText w:val="o"/>
      <w:lvlJc w:val="left"/>
      <w:pPr>
        <w:ind w:left="33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CB8B278">
      <w:start w:val="1"/>
      <w:numFmt w:val="bullet"/>
      <w:lvlText w:val="▪"/>
      <w:lvlJc w:val="left"/>
      <w:pPr>
        <w:ind w:left="40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9F03542">
      <w:start w:val="1"/>
      <w:numFmt w:val="bullet"/>
      <w:lvlText w:val="•"/>
      <w:lvlJc w:val="left"/>
      <w:pPr>
        <w:ind w:left="47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33C3DF6">
      <w:start w:val="1"/>
      <w:numFmt w:val="bullet"/>
      <w:lvlText w:val="o"/>
      <w:lvlJc w:val="left"/>
      <w:pPr>
        <w:ind w:left="55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588B086">
      <w:start w:val="1"/>
      <w:numFmt w:val="bullet"/>
      <w:lvlText w:val="▪"/>
      <w:lvlJc w:val="left"/>
      <w:pPr>
        <w:ind w:left="62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3" w15:restartNumberingAfterBreak="0">
    <w:nsid w:val="56F23E28"/>
    <w:multiLevelType w:val="hybridMultilevel"/>
    <w:tmpl w:val="752211EE"/>
    <w:lvl w:ilvl="0" w:tplc="4C386CDA">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1285C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3189118">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968DED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F801180">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5A6C842">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EC85CB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2026BBC">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B1E9B8E">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4" w15:restartNumberingAfterBreak="0">
    <w:nsid w:val="5702272A"/>
    <w:multiLevelType w:val="hybridMultilevel"/>
    <w:tmpl w:val="5ED459A6"/>
    <w:lvl w:ilvl="0" w:tplc="D29AD65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407C80">
      <w:start w:val="1"/>
      <w:numFmt w:val="decimal"/>
      <w:lvlText w:val="%2."/>
      <w:lvlJc w:val="left"/>
      <w:pPr>
        <w:ind w:left="1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0AB1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641E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CE21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DEDF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68E7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46C3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869E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5" w15:restartNumberingAfterBreak="0">
    <w:nsid w:val="57A04EC1"/>
    <w:multiLevelType w:val="multilevel"/>
    <w:tmpl w:val="2EE6A8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58236F01"/>
    <w:multiLevelType w:val="multilevel"/>
    <w:tmpl w:val="9658367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7" w15:restartNumberingAfterBreak="0">
    <w:nsid w:val="59277CE8"/>
    <w:multiLevelType w:val="hybridMultilevel"/>
    <w:tmpl w:val="1F160E50"/>
    <w:lvl w:ilvl="0" w:tplc="18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8" w15:restartNumberingAfterBreak="0">
    <w:nsid w:val="5A038084"/>
    <w:multiLevelType w:val="hybridMultilevel"/>
    <w:tmpl w:val="FFFFFFFF"/>
    <w:lvl w:ilvl="0" w:tplc="060EBDCE">
      <w:start w:val="1"/>
      <w:numFmt w:val="decimal"/>
      <w:lvlText w:val="%1."/>
      <w:lvlJc w:val="left"/>
      <w:pPr>
        <w:ind w:left="720" w:hanging="360"/>
      </w:pPr>
    </w:lvl>
    <w:lvl w:ilvl="1" w:tplc="433823E0">
      <w:start w:val="2"/>
      <w:numFmt w:val="lowerLetter"/>
      <w:lvlText w:val="%2."/>
      <w:lvlJc w:val="left"/>
      <w:pPr>
        <w:ind w:left="1440" w:hanging="360"/>
      </w:pPr>
    </w:lvl>
    <w:lvl w:ilvl="2" w:tplc="A2028DD4">
      <w:start w:val="1"/>
      <w:numFmt w:val="lowerRoman"/>
      <w:lvlText w:val="%3."/>
      <w:lvlJc w:val="right"/>
      <w:pPr>
        <w:ind w:left="2160" w:hanging="180"/>
      </w:pPr>
    </w:lvl>
    <w:lvl w:ilvl="3" w:tplc="7BC018D8">
      <w:start w:val="1"/>
      <w:numFmt w:val="decimal"/>
      <w:lvlText w:val="%4."/>
      <w:lvlJc w:val="left"/>
      <w:pPr>
        <w:ind w:left="2880" w:hanging="360"/>
      </w:pPr>
    </w:lvl>
    <w:lvl w:ilvl="4" w:tplc="71F67584">
      <w:start w:val="1"/>
      <w:numFmt w:val="lowerLetter"/>
      <w:lvlText w:val="%5."/>
      <w:lvlJc w:val="left"/>
      <w:pPr>
        <w:ind w:left="3600" w:hanging="360"/>
      </w:pPr>
    </w:lvl>
    <w:lvl w:ilvl="5" w:tplc="BF3032E0">
      <w:start w:val="1"/>
      <w:numFmt w:val="lowerRoman"/>
      <w:lvlText w:val="%6."/>
      <w:lvlJc w:val="right"/>
      <w:pPr>
        <w:ind w:left="4320" w:hanging="180"/>
      </w:pPr>
    </w:lvl>
    <w:lvl w:ilvl="6" w:tplc="4392CC02">
      <w:start w:val="1"/>
      <w:numFmt w:val="decimal"/>
      <w:lvlText w:val="%7."/>
      <w:lvlJc w:val="left"/>
      <w:pPr>
        <w:ind w:left="5040" w:hanging="360"/>
      </w:pPr>
    </w:lvl>
    <w:lvl w:ilvl="7" w:tplc="EAF65DB0">
      <w:start w:val="1"/>
      <w:numFmt w:val="lowerLetter"/>
      <w:lvlText w:val="%8."/>
      <w:lvlJc w:val="left"/>
      <w:pPr>
        <w:ind w:left="5760" w:hanging="360"/>
      </w:pPr>
    </w:lvl>
    <w:lvl w:ilvl="8" w:tplc="B852AE84">
      <w:start w:val="1"/>
      <w:numFmt w:val="lowerRoman"/>
      <w:lvlText w:val="%9."/>
      <w:lvlJc w:val="right"/>
      <w:pPr>
        <w:ind w:left="6480" w:hanging="180"/>
      </w:pPr>
    </w:lvl>
  </w:abstractNum>
  <w:abstractNum w:abstractNumId="159" w15:restartNumberingAfterBreak="0">
    <w:nsid w:val="5A3A94B9"/>
    <w:multiLevelType w:val="hybridMultilevel"/>
    <w:tmpl w:val="FFFFFFFF"/>
    <w:lvl w:ilvl="0" w:tplc="038EA86A">
      <w:start w:val="1"/>
      <w:numFmt w:val="decimal"/>
      <w:lvlText w:val="%1."/>
      <w:lvlJc w:val="left"/>
      <w:pPr>
        <w:ind w:left="720" w:hanging="360"/>
      </w:pPr>
    </w:lvl>
    <w:lvl w:ilvl="1" w:tplc="70C4A8C2">
      <w:start w:val="1"/>
      <w:numFmt w:val="lowerLetter"/>
      <w:lvlText w:val="%2."/>
      <w:lvlJc w:val="left"/>
      <w:pPr>
        <w:ind w:left="1440" w:hanging="360"/>
      </w:pPr>
    </w:lvl>
    <w:lvl w:ilvl="2" w:tplc="C3EA7256">
      <w:start w:val="1"/>
      <w:numFmt w:val="lowerRoman"/>
      <w:lvlText w:val="%3."/>
      <w:lvlJc w:val="right"/>
      <w:pPr>
        <w:ind w:left="2160" w:hanging="180"/>
      </w:pPr>
    </w:lvl>
    <w:lvl w:ilvl="3" w:tplc="A7B8EDD8">
      <w:start w:val="1"/>
      <w:numFmt w:val="decimal"/>
      <w:lvlText w:val="%4."/>
      <w:lvlJc w:val="left"/>
      <w:pPr>
        <w:ind w:left="2880" w:hanging="360"/>
      </w:pPr>
    </w:lvl>
    <w:lvl w:ilvl="4" w:tplc="FB28E32C">
      <w:start w:val="1"/>
      <w:numFmt w:val="lowerLetter"/>
      <w:lvlText w:val="%5."/>
      <w:lvlJc w:val="left"/>
      <w:pPr>
        <w:ind w:left="3600" w:hanging="360"/>
      </w:pPr>
    </w:lvl>
    <w:lvl w:ilvl="5" w:tplc="928ED428">
      <w:start w:val="1"/>
      <w:numFmt w:val="lowerRoman"/>
      <w:lvlText w:val="%6."/>
      <w:lvlJc w:val="right"/>
      <w:pPr>
        <w:ind w:left="4320" w:hanging="180"/>
      </w:pPr>
    </w:lvl>
    <w:lvl w:ilvl="6" w:tplc="A5D2F4E0">
      <w:start w:val="1"/>
      <w:numFmt w:val="decimal"/>
      <w:lvlText w:val="%7."/>
      <w:lvlJc w:val="left"/>
      <w:pPr>
        <w:ind w:left="5040" w:hanging="360"/>
      </w:pPr>
    </w:lvl>
    <w:lvl w:ilvl="7" w:tplc="F5E28142">
      <w:start w:val="1"/>
      <w:numFmt w:val="lowerLetter"/>
      <w:lvlText w:val="%8."/>
      <w:lvlJc w:val="left"/>
      <w:pPr>
        <w:ind w:left="5760" w:hanging="360"/>
      </w:pPr>
    </w:lvl>
    <w:lvl w:ilvl="8" w:tplc="364C5A36">
      <w:start w:val="1"/>
      <w:numFmt w:val="lowerRoman"/>
      <w:lvlText w:val="%9."/>
      <w:lvlJc w:val="right"/>
      <w:pPr>
        <w:ind w:left="6480" w:hanging="180"/>
      </w:pPr>
    </w:lvl>
  </w:abstractNum>
  <w:abstractNum w:abstractNumId="160" w15:restartNumberingAfterBreak="0">
    <w:nsid w:val="5AD729BA"/>
    <w:multiLevelType w:val="hybridMultilevel"/>
    <w:tmpl w:val="139CCFFE"/>
    <w:lvl w:ilvl="0" w:tplc="C54EE338">
      <w:start w:val="1"/>
      <w:numFmt w:val="bullet"/>
      <w:lvlText w:val="-"/>
      <w:lvlJc w:val="left"/>
      <w:pPr>
        <w:ind w:left="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8C422A">
      <w:start w:val="1"/>
      <w:numFmt w:val="bullet"/>
      <w:lvlText w:val="o"/>
      <w:lvlJc w:val="left"/>
      <w:pPr>
        <w:ind w:left="1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C1C2BCE">
      <w:start w:val="1"/>
      <w:numFmt w:val="bullet"/>
      <w:lvlText w:val="▪"/>
      <w:lvlJc w:val="left"/>
      <w:pPr>
        <w:ind w:left="19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72C18C2">
      <w:start w:val="1"/>
      <w:numFmt w:val="bullet"/>
      <w:lvlText w:val="•"/>
      <w:lvlJc w:val="left"/>
      <w:pPr>
        <w:ind w:left="26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DEE2CC0">
      <w:start w:val="1"/>
      <w:numFmt w:val="bullet"/>
      <w:lvlText w:val="o"/>
      <w:lvlJc w:val="left"/>
      <w:pPr>
        <w:ind w:left="33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DCE6586">
      <w:start w:val="1"/>
      <w:numFmt w:val="bullet"/>
      <w:lvlText w:val="▪"/>
      <w:lvlJc w:val="left"/>
      <w:pPr>
        <w:ind w:left="40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4CA2ED6">
      <w:start w:val="1"/>
      <w:numFmt w:val="bullet"/>
      <w:lvlText w:val="•"/>
      <w:lvlJc w:val="left"/>
      <w:pPr>
        <w:ind w:left="47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D16C3C8">
      <w:start w:val="1"/>
      <w:numFmt w:val="bullet"/>
      <w:lvlText w:val="o"/>
      <w:lvlJc w:val="left"/>
      <w:pPr>
        <w:ind w:left="55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8B887BC">
      <w:start w:val="1"/>
      <w:numFmt w:val="bullet"/>
      <w:lvlText w:val="▪"/>
      <w:lvlJc w:val="left"/>
      <w:pPr>
        <w:ind w:left="62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1" w15:restartNumberingAfterBreak="0">
    <w:nsid w:val="5B3F0D5C"/>
    <w:multiLevelType w:val="hybridMultilevel"/>
    <w:tmpl w:val="FFFFFFFF"/>
    <w:lvl w:ilvl="0" w:tplc="51045DAC">
      <w:start w:val="1"/>
      <w:numFmt w:val="decimal"/>
      <w:lvlText w:val="%1."/>
      <w:lvlJc w:val="left"/>
      <w:pPr>
        <w:ind w:left="720" w:hanging="360"/>
      </w:pPr>
      <w:rPr>
        <w:rFonts w:ascii="Times New Roman" w:hAnsi="Times New Roman" w:hint="default"/>
      </w:rPr>
    </w:lvl>
    <w:lvl w:ilvl="1" w:tplc="0B8E934A">
      <w:start w:val="1"/>
      <w:numFmt w:val="lowerLetter"/>
      <w:lvlText w:val="%2."/>
      <w:lvlJc w:val="left"/>
      <w:pPr>
        <w:ind w:left="1440" w:hanging="360"/>
      </w:pPr>
    </w:lvl>
    <w:lvl w:ilvl="2" w:tplc="2466A89A">
      <w:start w:val="1"/>
      <w:numFmt w:val="lowerRoman"/>
      <w:lvlText w:val="%3."/>
      <w:lvlJc w:val="right"/>
      <w:pPr>
        <w:ind w:left="2160" w:hanging="180"/>
      </w:pPr>
    </w:lvl>
    <w:lvl w:ilvl="3" w:tplc="97C291DA">
      <w:start w:val="1"/>
      <w:numFmt w:val="decimal"/>
      <w:lvlText w:val="%4."/>
      <w:lvlJc w:val="left"/>
      <w:pPr>
        <w:ind w:left="2880" w:hanging="360"/>
      </w:pPr>
    </w:lvl>
    <w:lvl w:ilvl="4" w:tplc="D73E1260">
      <w:start w:val="1"/>
      <w:numFmt w:val="lowerLetter"/>
      <w:lvlText w:val="%5."/>
      <w:lvlJc w:val="left"/>
      <w:pPr>
        <w:ind w:left="3600" w:hanging="360"/>
      </w:pPr>
    </w:lvl>
    <w:lvl w:ilvl="5" w:tplc="6BB8D5D0">
      <w:start w:val="1"/>
      <w:numFmt w:val="lowerRoman"/>
      <w:lvlText w:val="%6."/>
      <w:lvlJc w:val="right"/>
      <w:pPr>
        <w:ind w:left="4320" w:hanging="180"/>
      </w:pPr>
    </w:lvl>
    <w:lvl w:ilvl="6" w:tplc="162E2F1C">
      <w:start w:val="1"/>
      <w:numFmt w:val="decimal"/>
      <w:lvlText w:val="%7."/>
      <w:lvlJc w:val="left"/>
      <w:pPr>
        <w:ind w:left="5040" w:hanging="360"/>
      </w:pPr>
    </w:lvl>
    <w:lvl w:ilvl="7" w:tplc="8C46C846">
      <w:start w:val="1"/>
      <w:numFmt w:val="lowerLetter"/>
      <w:lvlText w:val="%8."/>
      <w:lvlJc w:val="left"/>
      <w:pPr>
        <w:ind w:left="5760" w:hanging="360"/>
      </w:pPr>
    </w:lvl>
    <w:lvl w:ilvl="8" w:tplc="DD9AE246">
      <w:start w:val="1"/>
      <w:numFmt w:val="lowerRoman"/>
      <w:lvlText w:val="%9."/>
      <w:lvlJc w:val="right"/>
      <w:pPr>
        <w:ind w:left="6480" w:hanging="180"/>
      </w:pPr>
    </w:lvl>
  </w:abstractNum>
  <w:abstractNum w:abstractNumId="162" w15:restartNumberingAfterBreak="0">
    <w:nsid w:val="5BCE43C9"/>
    <w:multiLevelType w:val="hybridMultilevel"/>
    <w:tmpl w:val="87345B28"/>
    <w:lvl w:ilvl="0" w:tplc="A21C8D38">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71A93DC">
      <w:start w:val="1"/>
      <w:numFmt w:val="bullet"/>
      <w:lvlText w:val="o"/>
      <w:lvlJc w:val="left"/>
      <w:pPr>
        <w:ind w:left="1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80A3BE0">
      <w:start w:val="1"/>
      <w:numFmt w:val="bullet"/>
      <w:lvlText w:val="▪"/>
      <w:lvlJc w:val="left"/>
      <w:pPr>
        <w:ind w:left="19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2D82022">
      <w:start w:val="1"/>
      <w:numFmt w:val="bullet"/>
      <w:lvlText w:val="•"/>
      <w:lvlJc w:val="left"/>
      <w:pPr>
        <w:ind w:left="26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520DCC">
      <w:start w:val="1"/>
      <w:numFmt w:val="bullet"/>
      <w:lvlText w:val="o"/>
      <w:lvlJc w:val="left"/>
      <w:pPr>
        <w:ind w:left="33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4A80BF2">
      <w:start w:val="1"/>
      <w:numFmt w:val="bullet"/>
      <w:lvlText w:val="▪"/>
      <w:lvlJc w:val="left"/>
      <w:pPr>
        <w:ind w:left="40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00E98C4">
      <w:start w:val="1"/>
      <w:numFmt w:val="bullet"/>
      <w:lvlText w:val="•"/>
      <w:lvlJc w:val="left"/>
      <w:pPr>
        <w:ind w:left="47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702F62E">
      <w:start w:val="1"/>
      <w:numFmt w:val="bullet"/>
      <w:lvlText w:val="o"/>
      <w:lvlJc w:val="left"/>
      <w:pPr>
        <w:ind w:left="55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0FE92DA">
      <w:start w:val="1"/>
      <w:numFmt w:val="bullet"/>
      <w:lvlText w:val="▪"/>
      <w:lvlJc w:val="left"/>
      <w:pPr>
        <w:ind w:left="62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3" w15:restartNumberingAfterBreak="0">
    <w:nsid w:val="5D9D0A35"/>
    <w:multiLevelType w:val="hybridMultilevel"/>
    <w:tmpl w:val="990A9E9C"/>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4" w15:restartNumberingAfterBreak="0">
    <w:nsid w:val="5E134CDD"/>
    <w:multiLevelType w:val="hybridMultilevel"/>
    <w:tmpl w:val="E6FC1644"/>
    <w:lvl w:ilvl="0" w:tplc="A5AEA294">
      <w:start w:val="4"/>
      <w:numFmt w:val="decimal"/>
      <w:lvlText w:val="%1."/>
      <w:lvlJc w:val="left"/>
      <w:pPr>
        <w:ind w:left="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5986300">
      <w:start w:val="1"/>
      <w:numFmt w:val="lowerLetter"/>
      <w:lvlText w:val="%2"/>
      <w:lvlJc w:val="left"/>
      <w:pPr>
        <w:ind w:left="1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F7CDC10">
      <w:start w:val="1"/>
      <w:numFmt w:val="lowerRoman"/>
      <w:lvlText w:val="%3"/>
      <w:lvlJc w:val="left"/>
      <w:pPr>
        <w:ind w:left="19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182016">
      <w:start w:val="1"/>
      <w:numFmt w:val="decimal"/>
      <w:lvlText w:val="%4"/>
      <w:lvlJc w:val="left"/>
      <w:pPr>
        <w:ind w:left="26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6C45A0A">
      <w:start w:val="1"/>
      <w:numFmt w:val="lowerLetter"/>
      <w:lvlText w:val="%5"/>
      <w:lvlJc w:val="left"/>
      <w:pPr>
        <w:ind w:left="33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25AC266">
      <w:start w:val="1"/>
      <w:numFmt w:val="lowerRoman"/>
      <w:lvlText w:val="%6"/>
      <w:lvlJc w:val="left"/>
      <w:pPr>
        <w:ind w:left="40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0681326">
      <w:start w:val="1"/>
      <w:numFmt w:val="decimal"/>
      <w:lvlText w:val="%7"/>
      <w:lvlJc w:val="left"/>
      <w:pPr>
        <w:ind w:left="47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4D2E540">
      <w:start w:val="1"/>
      <w:numFmt w:val="lowerLetter"/>
      <w:lvlText w:val="%8"/>
      <w:lvlJc w:val="left"/>
      <w:pPr>
        <w:ind w:left="55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F487608">
      <w:start w:val="1"/>
      <w:numFmt w:val="lowerRoman"/>
      <w:lvlText w:val="%9"/>
      <w:lvlJc w:val="left"/>
      <w:pPr>
        <w:ind w:left="62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5" w15:restartNumberingAfterBreak="0">
    <w:nsid w:val="5E53701F"/>
    <w:multiLevelType w:val="hybridMultilevel"/>
    <w:tmpl w:val="2ED04768"/>
    <w:lvl w:ilvl="0" w:tplc="F8EAED0A">
      <w:start w:val="1"/>
      <w:numFmt w:val="bullet"/>
      <w:lvlText w:val="▪"/>
      <w:lvlJc w:val="left"/>
      <w:pPr>
        <w:ind w:left="87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2F124B5A">
      <w:start w:val="1"/>
      <w:numFmt w:val="bullet"/>
      <w:lvlText w:val="o"/>
      <w:lvlJc w:val="left"/>
      <w:pPr>
        <w:ind w:left="167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30D6E6FA">
      <w:start w:val="1"/>
      <w:numFmt w:val="bullet"/>
      <w:lvlText w:val="▪"/>
      <w:lvlJc w:val="left"/>
      <w:pPr>
        <w:ind w:left="239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CA7A2996">
      <w:start w:val="1"/>
      <w:numFmt w:val="bullet"/>
      <w:lvlText w:val="•"/>
      <w:lvlJc w:val="left"/>
      <w:pPr>
        <w:ind w:left="311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DCD438C2">
      <w:start w:val="1"/>
      <w:numFmt w:val="bullet"/>
      <w:lvlText w:val="o"/>
      <w:lvlJc w:val="left"/>
      <w:pPr>
        <w:ind w:left="383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DC1A70E0">
      <w:start w:val="1"/>
      <w:numFmt w:val="bullet"/>
      <w:lvlText w:val="▪"/>
      <w:lvlJc w:val="left"/>
      <w:pPr>
        <w:ind w:left="455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CE8C8654">
      <w:start w:val="1"/>
      <w:numFmt w:val="bullet"/>
      <w:lvlText w:val="•"/>
      <w:lvlJc w:val="left"/>
      <w:pPr>
        <w:ind w:left="527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A342BE28">
      <w:start w:val="1"/>
      <w:numFmt w:val="bullet"/>
      <w:lvlText w:val="o"/>
      <w:lvlJc w:val="left"/>
      <w:pPr>
        <w:ind w:left="599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9CEEFA42">
      <w:start w:val="1"/>
      <w:numFmt w:val="bullet"/>
      <w:lvlText w:val="▪"/>
      <w:lvlJc w:val="left"/>
      <w:pPr>
        <w:ind w:left="671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66" w15:restartNumberingAfterBreak="0">
    <w:nsid w:val="5FBC7E41"/>
    <w:multiLevelType w:val="multilevel"/>
    <w:tmpl w:val="862A6096"/>
    <w:lvl w:ilvl="0">
      <w:start w:val="2"/>
      <w:numFmt w:val="decimal"/>
      <w:lvlText w:val="%1."/>
      <w:lvlJc w:val="left"/>
      <w:pPr>
        <w:ind w:left="850" w:hanging="850"/>
      </w:pPr>
      <w:rPr>
        <w:rFonts w:hint="default"/>
      </w:rPr>
    </w:lvl>
    <w:lvl w:ilvl="1">
      <w:start w:val="1"/>
      <w:numFmt w:val="decimal"/>
      <w:lvlText w:val="%1.%2."/>
      <w:lvlJc w:val="left"/>
      <w:pPr>
        <w:ind w:left="850" w:hanging="850"/>
      </w:pPr>
      <w:rPr>
        <w:rFonts w:hint="default"/>
      </w:rPr>
    </w:lvl>
    <w:lvl w:ilvl="2">
      <w:start w:val="1"/>
      <w:numFmt w:val="decimal"/>
      <w:lvlText w:val="%1.%2.%3."/>
      <w:lvlJc w:val="left"/>
      <w:pPr>
        <w:ind w:left="850" w:hanging="850"/>
      </w:pPr>
      <w:rPr>
        <w:rFonts w:hint="default"/>
      </w:rPr>
    </w:lvl>
    <w:lvl w:ilvl="3">
      <w:start w:val="1"/>
      <w:numFmt w:val="decimal"/>
      <w:lvlText w:val="%1.%2.%3.%4."/>
      <w:lvlJc w:val="left"/>
      <w:pPr>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7" w15:restartNumberingAfterBreak="0">
    <w:nsid w:val="6094D788"/>
    <w:multiLevelType w:val="hybridMultilevel"/>
    <w:tmpl w:val="FFFFFFFF"/>
    <w:lvl w:ilvl="0" w:tplc="1E60B92A">
      <w:numFmt w:val="none"/>
      <w:lvlText w:val=""/>
      <w:lvlJc w:val="left"/>
      <w:pPr>
        <w:tabs>
          <w:tab w:val="num" w:pos="360"/>
        </w:tabs>
      </w:pPr>
    </w:lvl>
    <w:lvl w:ilvl="1" w:tplc="F9361AA0">
      <w:start w:val="1"/>
      <w:numFmt w:val="lowerLetter"/>
      <w:lvlText w:val="%2."/>
      <w:lvlJc w:val="left"/>
      <w:pPr>
        <w:ind w:left="1440" w:hanging="360"/>
      </w:pPr>
    </w:lvl>
    <w:lvl w:ilvl="2" w:tplc="AF249B5C">
      <w:start w:val="1"/>
      <w:numFmt w:val="lowerRoman"/>
      <w:lvlText w:val="%3."/>
      <w:lvlJc w:val="right"/>
      <w:pPr>
        <w:ind w:left="2160" w:hanging="180"/>
      </w:pPr>
    </w:lvl>
    <w:lvl w:ilvl="3" w:tplc="C83AEC6A">
      <w:start w:val="1"/>
      <w:numFmt w:val="decimal"/>
      <w:lvlText w:val="%4."/>
      <w:lvlJc w:val="left"/>
      <w:pPr>
        <w:ind w:left="2880" w:hanging="360"/>
      </w:pPr>
    </w:lvl>
    <w:lvl w:ilvl="4" w:tplc="317496BC">
      <w:start w:val="1"/>
      <w:numFmt w:val="lowerLetter"/>
      <w:lvlText w:val="%5."/>
      <w:lvlJc w:val="left"/>
      <w:pPr>
        <w:ind w:left="3600" w:hanging="360"/>
      </w:pPr>
    </w:lvl>
    <w:lvl w:ilvl="5" w:tplc="1B9460FC">
      <w:start w:val="1"/>
      <w:numFmt w:val="lowerRoman"/>
      <w:lvlText w:val="%6."/>
      <w:lvlJc w:val="right"/>
      <w:pPr>
        <w:ind w:left="4320" w:hanging="180"/>
      </w:pPr>
    </w:lvl>
    <w:lvl w:ilvl="6" w:tplc="3C4A6CDE">
      <w:start w:val="1"/>
      <w:numFmt w:val="decimal"/>
      <w:lvlText w:val="%7."/>
      <w:lvlJc w:val="left"/>
      <w:pPr>
        <w:ind w:left="5040" w:hanging="360"/>
      </w:pPr>
    </w:lvl>
    <w:lvl w:ilvl="7" w:tplc="1194BBAA">
      <w:start w:val="1"/>
      <w:numFmt w:val="lowerLetter"/>
      <w:lvlText w:val="%8."/>
      <w:lvlJc w:val="left"/>
      <w:pPr>
        <w:ind w:left="5760" w:hanging="360"/>
      </w:pPr>
    </w:lvl>
    <w:lvl w:ilvl="8" w:tplc="E056BD6E">
      <w:start w:val="1"/>
      <w:numFmt w:val="lowerRoman"/>
      <w:lvlText w:val="%9."/>
      <w:lvlJc w:val="right"/>
      <w:pPr>
        <w:ind w:left="6480" w:hanging="180"/>
      </w:pPr>
    </w:lvl>
  </w:abstractNum>
  <w:abstractNum w:abstractNumId="168" w15:restartNumberingAfterBreak="0">
    <w:nsid w:val="613AE64B"/>
    <w:multiLevelType w:val="hybridMultilevel"/>
    <w:tmpl w:val="FFFFFFFF"/>
    <w:lvl w:ilvl="0" w:tplc="9F201686">
      <w:start w:val="1"/>
      <w:numFmt w:val="decimal"/>
      <w:lvlText w:val="%1."/>
      <w:lvlJc w:val="left"/>
      <w:pPr>
        <w:ind w:left="720" w:hanging="360"/>
      </w:pPr>
    </w:lvl>
    <w:lvl w:ilvl="1" w:tplc="694AD870">
      <w:start w:val="3"/>
      <w:numFmt w:val="lowerLetter"/>
      <w:lvlText w:val="%2."/>
      <w:lvlJc w:val="left"/>
      <w:pPr>
        <w:ind w:left="1440" w:hanging="360"/>
      </w:pPr>
    </w:lvl>
    <w:lvl w:ilvl="2" w:tplc="D2325C8C">
      <w:start w:val="1"/>
      <w:numFmt w:val="lowerRoman"/>
      <w:lvlText w:val="%3."/>
      <w:lvlJc w:val="right"/>
      <w:pPr>
        <w:ind w:left="2160" w:hanging="180"/>
      </w:pPr>
    </w:lvl>
    <w:lvl w:ilvl="3" w:tplc="DDEEB6B2">
      <w:start w:val="1"/>
      <w:numFmt w:val="decimal"/>
      <w:lvlText w:val="%4."/>
      <w:lvlJc w:val="left"/>
      <w:pPr>
        <w:ind w:left="2880" w:hanging="360"/>
      </w:pPr>
    </w:lvl>
    <w:lvl w:ilvl="4" w:tplc="82187042">
      <w:start w:val="1"/>
      <w:numFmt w:val="lowerLetter"/>
      <w:lvlText w:val="%5."/>
      <w:lvlJc w:val="left"/>
      <w:pPr>
        <w:ind w:left="3600" w:hanging="360"/>
      </w:pPr>
    </w:lvl>
    <w:lvl w:ilvl="5" w:tplc="3634E24E">
      <w:start w:val="1"/>
      <w:numFmt w:val="lowerRoman"/>
      <w:lvlText w:val="%6."/>
      <w:lvlJc w:val="right"/>
      <w:pPr>
        <w:ind w:left="4320" w:hanging="180"/>
      </w:pPr>
    </w:lvl>
    <w:lvl w:ilvl="6" w:tplc="65F6002E">
      <w:start w:val="1"/>
      <w:numFmt w:val="decimal"/>
      <w:lvlText w:val="%7."/>
      <w:lvlJc w:val="left"/>
      <w:pPr>
        <w:ind w:left="5040" w:hanging="360"/>
      </w:pPr>
    </w:lvl>
    <w:lvl w:ilvl="7" w:tplc="5156C7DC">
      <w:start w:val="1"/>
      <w:numFmt w:val="lowerLetter"/>
      <w:lvlText w:val="%8."/>
      <w:lvlJc w:val="left"/>
      <w:pPr>
        <w:ind w:left="5760" w:hanging="360"/>
      </w:pPr>
    </w:lvl>
    <w:lvl w:ilvl="8" w:tplc="DC30B28E">
      <w:start w:val="1"/>
      <w:numFmt w:val="lowerRoman"/>
      <w:lvlText w:val="%9."/>
      <w:lvlJc w:val="right"/>
      <w:pPr>
        <w:ind w:left="6480" w:hanging="180"/>
      </w:pPr>
    </w:lvl>
  </w:abstractNum>
  <w:abstractNum w:abstractNumId="169" w15:restartNumberingAfterBreak="0">
    <w:nsid w:val="616A668A"/>
    <w:multiLevelType w:val="hybridMultilevel"/>
    <w:tmpl w:val="F5E4C38E"/>
    <w:lvl w:ilvl="0" w:tplc="926830F6">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93EF8BA">
      <w:start w:val="1"/>
      <w:numFmt w:val="bullet"/>
      <w:lvlText w:val="o"/>
      <w:lvlJc w:val="left"/>
      <w:pPr>
        <w:ind w:left="11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38494D8">
      <w:start w:val="1"/>
      <w:numFmt w:val="bullet"/>
      <w:lvlText w:val="▪"/>
      <w:lvlJc w:val="left"/>
      <w:pPr>
        <w:ind w:left="19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CE3D68">
      <w:start w:val="1"/>
      <w:numFmt w:val="bullet"/>
      <w:lvlText w:val="•"/>
      <w:lvlJc w:val="left"/>
      <w:pPr>
        <w:ind w:left="26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0E0FFDA">
      <w:start w:val="1"/>
      <w:numFmt w:val="bullet"/>
      <w:lvlText w:val="o"/>
      <w:lvlJc w:val="left"/>
      <w:pPr>
        <w:ind w:left="33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C8EBC66">
      <w:start w:val="1"/>
      <w:numFmt w:val="bullet"/>
      <w:lvlText w:val="▪"/>
      <w:lvlJc w:val="left"/>
      <w:pPr>
        <w:ind w:left="40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CC7958">
      <w:start w:val="1"/>
      <w:numFmt w:val="bullet"/>
      <w:lvlText w:val="•"/>
      <w:lvlJc w:val="left"/>
      <w:pPr>
        <w:ind w:left="47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43E7D14">
      <w:start w:val="1"/>
      <w:numFmt w:val="bullet"/>
      <w:lvlText w:val="o"/>
      <w:lvlJc w:val="left"/>
      <w:pPr>
        <w:ind w:left="55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88E73A4">
      <w:start w:val="1"/>
      <w:numFmt w:val="bullet"/>
      <w:lvlText w:val="▪"/>
      <w:lvlJc w:val="left"/>
      <w:pPr>
        <w:ind w:left="62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0" w15:restartNumberingAfterBreak="0">
    <w:nsid w:val="61BB42CC"/>
    <w:multiLevelType w:val="hybridMultilevel"/>
    <w:tmpl w:val="FFFFFFFF"/>
    <w:lvl w:ilvl="0" w:tplc="DFB81404">
      <w:start w:val="4"/>
      <w:numFmt w:val="decimal"/>
      <w:lvlText w:val="%1."/>
      <w:lvlJc w:val="left"/>
      <w:pPr>
        <w:ind w:left="720" w:hanging="360"/>
      </w:pPr>
    </w:lvl>
    <w:lvl w:ilvl="1" w:tplc="24342C82">
      <w:start w:val="1"/>
      <w:numFmt w:val="lowerLetter"/>
      <w:lvlText w:val="%2."/>
      <w:lvlJc w:val="left"/>
      <w:pPr>
        <w:ind w:left="1440" w:hanging="360"/>
      </w:pPr>
    </w:lvl>
    <w:lvl w:ilvl="2" w:tplc="D2BE77B8">
      <w:start w:val="1"/>
      <w:numFmt w:val="lowerRoman"/>
      <w:lvlText w:val="%3."/>
      <w:lvlJc w:val="right"/>
      <w:pPr>
        <w:ind w:left="2160" w:hanging="180"/>
      </w:pPr>
    </w:lvl>
    <w:lvl w:ilvl="3" w:tplc="61CC6CA8">
      <w:start w:val="1"/>
      <w:numFmt w:val="decimal"/>
      <w:lvlText w:val="%4."/>
      <w:lvlJc w:val="left"/>
      <w:pPr>
        <w:ind w:left="2880" w:hanging="360"/>
      </w:pPr>
    </w:lvl>
    <w:lvl w:ilvl="4" w:tplc="E47ADA80">
      <w:start w:val="1"/>
      <w:numFmt w:val="lowerLetter"/>
      <w:lvlText w:val="%5."/>
      <w:lvlJc w:val="left"/>
      <w:pPr>
        <w:ind w:left="3600" w:hanging="360"/>
      </w:pPr>
    </w:lvl>
    <w:lvl w:ilvl="5" w:tplc="FF7CCD6C">
      <w:start w:val="1"/>
      <w:numFmt w:val="lowerRoman"/>
      <w:lvlText w:val="%6."/>
      <w:lvlJc w:val="right"/>
      <w:pPr>
        <w:ind w:left="4320" w:hanging="180"/>
      </w:pPr>
    </w:lvl>
    <w:lvl w:ilvl="6" w:tplc="5016BB9E">
      <w:start w:val="1"/>
      <w:numFmt w:val="decimal"/>
      <w:lvlText w:val="%7."/>
      <w:lvlJc w:val="left"/>
      <w:pPr>
        <w:ind w:left="5040" w:hanging="360"/>
      </w:pPr>
    </w:lvl>
    <w:lvl w:ilvl="7" w:tplc="53E87A7E">
      <w:start w:val="1"/>
      <w:numFmt w:val="lowerLetter"/>
      <w:lvlText w:val="%8."/>
      <w:lvlJc w:val="left"/>
      <w:pPr>
        <w:ind w:left="5760" w:hanging="360"/>
      </w:pPr>
    </w:lvl>
    <w:lvl w:ilvl="8" w:tplc="DAC8C04A">
      <w:start w:val="1"/>
      <w:numFmt w:val="lowerRoman"/>
      <w:lvlText w:val="%9."/>
      <w:lvlJc w:val="right"/>
      <w:pPr>
        <w:ind w:left="6480" w:hanging="180"/>
      </w:pPr>
    </w:lvl>
  </w:abstractNum>
  <w:abstractNum w:abstractNumId="171" w15:restartNumberingAfterBreak="0">
    <w:nsid w:val="61E8544C"/>
    <w:multiLevelType w:val="hybridMultilevel"/>
    <w:tmpl w:val="46F21BEC"/>
    <w:lvl w:ilvl="0" w:tplc="B608C878">
      <w:start w:val="5"/>
      <w:numFmt w:val="lowerRoman"/>
      <w:lvlText w:val="(%1)"/>
      <w:lvlJc w:val="left"/>
      <w:pPr>
        <w:ind w:left="7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12E971E">
      <w:start w:val="1"/>
      <w:numFmt w:val="lowerLetter"/>
      <w:lvlText w:val="%2"/>
      <w:lvlJc w:val="left"/>
      <w:pPr>
        <w:ind w:left="15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1626502">
      <w:start w:val="1"/>
      <w:numFmt w:val="lowerRoman"/>
      <w:lvlText w:val="%3"/>
      <w:lvlJc w:val="left"/>
      <w:pPr>
        <w:ind w:left="22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B24E56E">
      <w:start w:val="1"/>
      <w:numFmt w:val="decimal"/>
      <w:lvlText w:val="%4"/>
      <w:lvlJc w:val="left"/>
      <w:pPr>
        <w:ind w:left="29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EFCCDCA">
      <w:start w:val="1"/>
      <w:numFmt w:val="lowerLetter"/>
      <w:lvlText w:val="%5"/>
      <w:lvlJc w:val="left"/>
      <w:pPr>
        <w:ind w:left="3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E2C5906">
      <w:start w:val="1"/>
      <w:numFmt w:val="lowerRoman"/>
      <w:lvlText w:val="%6"/>
      <w:lvlJc w:val="left"/>
      <w:pPr>
        <w:ind w:left="4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74091EA">
      <w:start w:val="1"/>
      <w:numFmt w:val="decimal"/>
      <w:lvlText w:val="%7"/>
      <w:lvlJc w:val="left"/>
      <w:pPr>
        <w:ind w:left="5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362E8A">
      <w:start w:val="1"/>
      <w:numFmt w:val="lowerLetter"/>
      <w:lvlText w:val="%8"/>
      <w:lvlJc w:val="left"/>
      <w:pPr>
        <w:ind w:left="5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966E0DC">
      <w:start w:val="1"/>
      <w:numFmt w:val="lowerRoman"/>
      <w:lvlText w:val="%9"/>
      <w:lvlJc w:val="left"/>
      <w:pPr>
        <w:ind w:left="6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2" w15:restartNumberingAfterBreak="0">
    <w:nsid w:val="63016EA5"/>
    <w:multiLevelType w:val="multilevel"/>
    <w:tmpl w:val="05B438A0"/>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3" w15:restartNumberingAfterBreak="0">
    <w:nsid w:val="635C4DAB"/>
    <w:multiLevelType w:val="hybridMultilevel"/>
    <w:tmpl w:val="FFFFFFFF"/>
    <w:lvl w:ilvl="0" w:tplc="06EAB0D6">
      <w:start w:val="1"/>
      <w:numFmt w:val="decimal"/>
      <w:lvlText w:val="%1."/>
      <w:lvlJc w:val="left"/>
      <w:pPr>
        <w:ind w:left="720" w:hanging="360"/>
      </w:pPr>
    </w:lvl>
    <w:lvl w:ilvl="1" w:tplc="9BCA3460">
      <w:start w:val="4"/>
      <w:numFmt w:val="lowerLetter"/>
      <w:lvlText w:val="%2."/>
      <w:lvlJc w:val="left"/>
      <w:pPr>
        <w:ind w:left="1440" w:hanging="360"/>
      </w:pPr>
    </w:lvl>
    <w:lvl w:ilvl="2" w:tplc="9F527892">
      <w:start w:val="1"/>
      <w:numFmt w:val="lowerRoman"/>
      <w:lvlText w:val="%3."/>
      <w:lvlJc w:val="right"/>
      <w:pPr>
        <w:ind w:left="2160" w:hanging="180"/>
      </w:pPr>
    </w:lvl>
    <w:lvl w:ilvl="3" w:tplc="D9B4583A">
      <w:start w:val="1"/>
      <w:numFmt w:val="decimal"/>
      <w:lvlText w:val="%4."/>
      <w:lvlJc w:val="left"/>
      <w:pPr>
        <w:ind w:left="2880" w:hanging="360"/>
      </w:pPr>
    </w:lvl>
    <w:lvl w:ilvl="4" w:tplc="22D0D854">
      <w:start w:val="1"/>
      <w:numFmt w:val="lowerLetter"/>
      <w:lvlText w:val="%5."/>
      <w:lvlJc w:val="left"/>
      <w:pPr>
        <w:ind w:left="3600" w:hanging="360"/>
      </w:pPr>
    </w:lvl>
    <w:lvl w:ilvl="5" w:tplc="A86252B6">
      <w:start w:val="1"/>
      <w:numFmt w:val="lowerRoman"/>
      <w:lvlText w:val="%6."/>
      <w:lvlJc w:val="right"/>
      <w:pPr>
        <w:ind w:left="4320" w:hanging="180"/>
      </w:pPr>
    </w:lvl>
    <w:lvl w:ilvl="6" w:tplc="9CF4E734">
      <w:start w:val="1"/>
      <w:numFmt w:val="decimal"/>
      <w:lvlText w:val="%7."/>
      <w:lvlJc w:val="left"/>
      <w:pPr>
        <w:ind w:left="5040" w:hanging="360"/>
      </w:pPr>
    </w:lvl>
    <w:lvl w:ilvl="7" w:tplc="7B4A46F2">
      <w:start w:val="1"/>
      <w:numFmt w:val="lowerLetter"/>
      <w:lvlText w:val="%8."/>
      <w:lvlJc w:val="left"/>
      <w:pPr>
        <w:ind w:left="5760" w:hanging="360"/>
      </w:pPr>
    </w:lvl>
    <w:lvl w:ilvl="8" w:tplc="0290B1B8">
      <w:start w:val="1"/>
      <w:numFmt w:val="lowerRoman"/>
      <w:lvlText w:val="%9."/>
      <w:lvlJc w:val="right"/>
      <w:pPr>
        <w:ind w:left="6480" w:hanging="180"/>
      </w:pPr>
    </w:lvl>
  </w:abstractNum>
  <w:abstractNum w:abstractNumId="174" w15:restartNumberingAfterBreak="0">
    <w:nsid w:val="63D76D48"/>
    <w:multiLevelType w:val="hybridMultilevel"/>
    <w:tmpl w:val="561CDB9A"/>
    <w:lvl w:ilvl="0" w:tplc="303024E8">
      <w:start w:val="1"/>
      <w:numFmt w:val="decimal"/>
      <w:lvlText w:val="%1)"/>
      <w:lvlJc w:val="left"/>
      <w:pPr>
        <w:ind w:left="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7A25E74">
      <w:start w:val="1"/>
      <w:numFmt w:val="lowerLetter"/>
      <w:lvlText w:val="%2"/>
      <w:lvlJc w:val="left"/>
      <w:pPr>
        <w:ind w:left="12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58AD470">
      <w:start w:val="1"/>
      <w:numFmt w:val="lowerRoman"/>
      <w:lvlText w:val="%3"/>
      <w:lvlJc w:val="left"/>
      <w:pPr>
        <w:ind w:left="19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D4F796">
      <w:start w:val="1"/>
      <w:numFmt w:val="decimal"/>
      <w:lvlText w:val="%4"/>
      <w:lvlJc w:val="left"/>
      <w:pPr>
        <w:ind w:left="26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B520250">
      <w:start w:val="1"/>
      <w:numFmt w:val="lowerLetter"/>
      <w:lvlText w:val="%5"/>
      <w:lvlJc w:val="left"/>
      <w:pPr>
        <w:ind w:left="33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7FE54B2">
      <w:start w:val="1"/>
      <w:numFmt w:val="lowerRoman"/>
      <w:lvlText w:val="%6"/>
      <w:lvlJc w:val="left"/>
      <w:pPr>
        <w:ind w:left="41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46A1F50">
      <w:start w:val="1"/>
      <w:numFmt w:val="decimal"/>
      <w:lvlText w:val="%7"/>
      <w:lvlJc w:val="left"/>
      <w:pPr>
        <w:ind w:left="48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44A9BD8">
      <w:start w:val="1"/>
      <w:numFmt w:val="lowerLetter"/>
      <w:lvlText w:val="%8"/>
      <w:lvlJc w:val="left"/>
      <w:pPr>
        <w:ind w:left="55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458B9C0">
      <w:start w:val="1"/>
      <w:numFmt w:val="lowerRoman"/>
      <w:lvlText w:val="%9"/>
      <w:lvlJc w:val="left"/>
      <w:pPr>
        <w:ind w:left="62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5" w15:restartNumberingAfterBreak="0">
    <w:nsid w:val="648B1F44"/>
    <w:multiLevelType w:val="hybridMultilevel"/>
    <w:tmpl w:val="FFFFFFFF"/>
    <w:lvl w:ilvl="0" w:tplc="3D1A6E02">
      <w:start w:val="1"/>
      <w:numFmt w:val="decimal"/>
      <w:lvlText w:val="%1."/>
      <w:lvlJc w:val="left"/>
      <w:pPr>
        <w:ind w:left="720" w:hanging="360"/>
      </w:pPr>
    </w:lvl>
    <w:lvl w:ilvl="1" w:tplc="9CEC91D2">
      <w:start w:val="1"/>
      <w:numFmt w:val="lowerLetter"/>
      <w:lvlText w:val="%2."/>
      <w:lvlJc w:val="left"/>
      <w:pPr>
        <w:ind w:left="1440" w:hanging="360"/>
      </w:pPr>
    </w:lvl>
    <w:lvl w:ilvl="2" w:tplc="A1FA8E0A">
      <w:start w:val="1"/>
      <w:numFmt w:val="lowerRoman"/>
      <w:lvlText w:val="%3."/>
      <w:lvlJc w:val="right"/>
      <w:pPr>
        <w:ind w:left="2160" w:hanging="180"/>
      </w:pPr>
    </w:lvl>
    <w:lvl w:ilvl="3" w:tplc="97E819FE">
      <w:start w:val="1"/>
      <w:numFmt w:val="decimal"/>
      <w:lvlText w:val="%4."/>
      <w:lvlJc w:val="left"/>
      <w:pPr>
        <w:ind w:left="2880" w:hanging="360"/>
      </w:pPr>
    </w:lvl>
    <w:lvl w:ilvl="4" w:tplc="776253DC">
      <w:start w:val="1"/>
      <w:numFmt w:val="lowerLetter"/>
      <w:lvlText w:val="%5."/>
      <w:lvlJc w:val="left"/>
      <w:pPr>
        <w:ind w:left="3600" w:hanging="360"/>
      </w:pPr>
    </w:lvl>
    <w:lvl w:ilvl="5" w:tplc="B65C5598">
      <w:start w:val="1"/>
      <w:numFmt w:val="lowerRoman"/>
      <w:lvlText w:val="%6."/>
      <w:lvlJc w:val="right"/>
      <w:pPr>
        <w:ind w:left="4320" w:hanging="180"/>
      </w:pPr>
    </w:lvl>
    <w:lvl w:ilvl="6" w:tplc="FEFCA232">
      <w:start w:val="1"/>
      <w:numFmt w:val="decimal"/>
      <w:lvlText w:val="%7."/>
      <w:lvlJc w:val="left"/>
      <w:pPr>
        <w:ind w:left="5040" w:hanging="360"/>
      </w:pPr>
    </w:lvl>
    <w:lvl w:ilvl="7" w:tplc="DBB447EC">
      <w:start w:val="1"/>
      <w:numFmt w:val="lowerLetter"/>
      <w:lvlText w:val="%8."/>
      <w:lvlJc w:val="left"/>
      <w:pPr>
        <w:ind w:left="5760" w:hanging="360"/>
      </w:pPr>
    </w:lvl>
    <w:lvl w:ilvl="8" w:tplc="A82644B8">
      <w:start w:val="1"/>
      <w:numFmt w:val="lowerRoman"/>
      <w:lvlText w:val="%9."/>
      <w:lvlJc w:val="right"/>
      <w:pPr>
        <w:ind w:left="6480" w:hanging="180"/>
      </w:pPr>
    </w:lvl>
  </w:abstractNum>
  <w:abstractNum w:abstractNumId="176" w15:restartNumberingAfterBreak="0">
    <w:nsid w:val="65D57012"/>
    <w:multiLevelType w:val="hybridMultilevel"/>
    <w:tmpl w:val="54F2571C"/>
    <w:lvl w:ilvl="0" w:tplc="53AC4E0E">
      <w:start w:val="1"/>
      <w:numFmt w:val="bullet"/>
      <w:lvlText w:val=""/>
      <w:lvlJc w:val="left"/>
      <w:pPr>
        <w:ind w:left="720" w:hanging="360"/>
      </w:pPr>
      <w:rPr>
        <w:rFonts w:ascii="Symbol" w:hAnsi="Symbol"/>
      </w:rPr>
    </w:lvl>
    <w:lvl w:ilvl="1" w:tplc="F6DCD9E2">
      <w:start w:val="1"/>
      <w:numFmt w:val="bullet"/>
      <w:lvlText w:val=""/>
      <w:lvlJc w:val="left"/>
      <w:pPr>
        <w:ind w:left="720" w:hanging="360"/>
      </w:pPr>
      <w:rPr>
        <w:rFonts w:ascii="Symbol" w:hAnsi="Symbol"/>
      </w:rPr>
    </w:lvl>
    <w:lvl w:ilvl="2" w:tplc="6A2EE51A">
      <w:start w:val="1"/>
      <w:numFmt w:val="bullet"/>
      <w:lvlText w:val=""/>
      <w:lvlJc w:val="left"/>
      <w:pPr>
        <w:ind w:left="720" w:hanging="360"/>
      </w:pPr>
      <w:rPr>
        <w:rFonts w:ascii="Symbol" w:hAnsi="Symbol"/>
      </w:rPr>
    </w:lvl>
    <w:lvl w:ilvl="3" w:tplc="C1F08A86">
      <w:start w:val="1"/>
      <w:numFmt w:val="bullet"/>
      <w:lvlText w:val=""/>
      <w:lvlJc w:val="left"/>
      <w:pPr>
        <w:ind w:left="720" w:hanging="360"/>
      </w:pPr>
      <w:rPr>
        <w:rFonts w:ascii="Symbol" w:hAnsi="Symbol"/>
      </w:rPr>
    </w:lvl>
    <w:lvl w:ilvl="4" w:tplc="DEEA3310">
      <w:start w:val="1"/>
      <w:numFmt w:val="bullet"/>
      <w:lvlText w:val=""/>
      <w:lvlJc w:val="left"/>
      <w:pPr>
        <w:ind w:left="720" w:hanging="360"/>
      </w:pPr>
      <w:rPr>
        <w:rFonts w:ascii="Symbol" w:hAnsi="Symbol"/>
      </w:rPr>
    </w:lvl>
    <w:lvl w:ilvl="5" w:tplc="50D692C2">
      <w:start w:val="1"/>
      <w:numFmt w:val="bullet"/>
      <w:lvlText w:val=""/>
      <w:lvlJc w:val="left"/>
      <w:pPr>
        <w:ind w:left="720" w:hanging="360"/>
      </w:pPr>
      <w:rPr>
        <w:rFonts w:ascii="Symbol" w:hAnsi="Symbol"/>
      </w:rPr>
    </w:lvl>
    <w:lvl w:ilvl="6" w:tplc="A9CEB6EA">
      <w:start w:val="1"/>
      <w:numFmt w:val="bullet"/>
      <w:lvlText w:val=""/>
      <w:lvlJc w:val="left"/>
      <w:pPr>
        <w:ind w:left="720" w:hanging="360"/>
      </w:pPr>
      <w:rPr>
        <w:rFonts w:ascii="Symbol" w:hAnsi="Symbol"/>
      </w:rPr>
    </w:lvl>
    <w:lvl w:ilvl="7" w:tplc="D870D6AE">
      <w:start w:val="1"/>
      <w:numFmt w:val="bullet"/>
      <w:lvlText w:val=""/>
      <w:lvlJc w:val="left"/>
      <w:pPr>
        <w:ind w:left="720" w:hanging="360"/>
      </w:pPr>
      <w:rPr>
        <w:rFonts w:ascii="Symbol" w:hAnsi="Symbol"/>
      </w:rPr>
    </w:lvl>
    <w:lvl w:ilvl="8" w:tplc="58D8EF50">
      <w:start w:val="1"/>
      <w:numFmt w:val="bullet"/>
      <w:lvlText w:val=""/>
      <w:lvlJc w:val="left"/>
      <w:pPr>
        <w:ind w:left="720" w:hanging="360"/>
      </w:pPr>
      <w:rPr>
        <w:rFonts w:ascii="Symbol" w:hAnsi="Symbol"/>
      </w:rPr>
    </w:lvl>
  </w:abstractNum>
  <w:abstractNum w:abstractNumId="177" w15:restartNumberingAfterBreak="0">
    <w:nsid w:val="67BF717E"/>
    <w:multiLevelType w:val="multilevel"/>
    <w:tmpl w:val="B4C2FF44"/>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8" w15:restartNumberingAfterBreak="0">
    <w:nsid w:val="688577CF"/>
    <w:multiLevelType w:val="hybridMultilevel"/>
    <w:tmpl w:val="F3A48936"/>
    <w:lvl w:ilvl="0" w:tplc="18090017">
      <w:start w:val="1"/>
      <w:numFmt w:val="lowerLetter"/>
      <w:lvlText w:val="%1)"/>
      <w:lvlJc w:val="left"/>
      <w:pPr>
        <w:ind w:left="720" w:hanging="360"/>
      </w:pPr>
      <w:rPr>
        <w:rFonts w:hint="default"/>
        <w:sz w:val="16"/>
        <w:szCs w:val="16"/>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9" w15:restartNumberingAfterBreak="0">
    <w:nsid w:val="68A24B5C"/>
    <w:multiLevelType w:val="hybridMultilevel"/>
    <w:tmpl w:val="261099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0" w15:restartNumberingAfterBreak="0">
    <w:nsid w:val="69524126"/>
    <w:multiLevelType w:val="multilevel"/>
    <w:tmpl w:val="0F9C1EB2"/>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1" w15:restartNumberingAfterBreak="0">
    <w:nsid w:val="69BC1632"/>
    <w:multiLevelType w:val="hybridMultilevel"/>
    <w:tmpl w:val="53C63D94"/>
    <w:lvl w:ilvl="0" w:tplc="A3BCFD6C">
      <w:start w:val="3"/>
      <w:numFmt w:val="decimal"/>
      <w:lvlText w:val="%1)"/>
      <w:lvlJc w:val="left"/>
      <w:pPr>
        <w:ind w:left="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E2EC6DA">
      <w:start w:val="1"/>
      <w:numFmt w:val="lowerLetter"/>
      <w:lvlText w:val="%2"/>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194701A">
      <w:start w:val="1"/>
      <w:numFmt w:val="lowerRoman"/>
      <w:lvlText w:val="%3"/>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88E5884">
      <w:start w:val="1"/>
      <w:numFmt w:val="decimal"/>
      <w:lvlText w:val="%4"/>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7F2CA76">
      <w:start w:val="1"/>
      <w:numFmt w:val="lowerLetter"/>
      <w:lvlText w:val="%5"/>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23456E0">
      <w:start w:val="1"/>
      <w:numFmt w:val="lowerRoman"/>
      <w:lvlText w:val="%6"/>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45015A6">
      <w:start w:val="1"/>
      <w:numFmt w:val="decimal"/>
      <w:lvlText w:val="%7"/>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4F07FF6">
      <w:start w:val="1"/>
      <w:numFmt w:val="lowerLetter"/>
      <w:lvlText w:val="%8"/>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FB61DB2">
      <w:start w:val="1"/>
      <w:numFmt w:val="lowerRoman"/>
      <w:lvlText w:val="%9"/>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2" w15:restartNumberingAfterBreak="0">
    <w:nsid w:val="6AD210A6"/>
    <w:multiLevelType w:val="hybridMultilevel"/>
    <w:tmpl w:val="FFFFFFFF"/>
    <w:lvl w:ilvl="0" w:tplc="33EEBFFA">
      <w:start w:val="1"/>
      <w:numFmt w:val="decimal"/>
      <w:lvlText w:val="%1."/>
      <w:lvlJc w:val="left"/>
      <w:pPr>
        <w:ind w:left="720" w:hanging="360"/>
      </w:pPr>
    </w:lvl>
    <w:lvl w:ilvl="1" w:tplc="5D96A200">
      <w:start w:val="1"/>
      <w:numFmt w:val="lowerLetter"/>
      <w:lvlText w:val="%2."/>
      <w:lvlJc w:val="left"/>
      <w:pPr>
        <w:ind w:left="1440" w:hanging="360"/>
      </w:pPr>
    </w:lvl>
    <w:lvl w:ilvl="2" w:tplc="59B4B33C">
      <w:start w:val="1"/>
      <w:numFmt w:val="lowerRoman"/>
      <w:lvlText w:val="%3."/>
      <w:lvlJc w:val="right"/>
      <w:pPr>
        <w:ind w:left="2160" w:hanging="180"/>
      </w:pPr>
    </w:lvl>
    <w:lvl w:ilvl="3" w:tplc="8E16808A">
      <w:start w:val="1"/>
      <w:numFmt w:val="decimal"/>
      <w:lvlText w:val="%4."/>
      <w:lvlJc w:val="left"/>
      <w:pPr>
        <w:ind w:left="2880" w:hanging="360"/>
      </w:pPr>
    </w:lvl>
    <w:lvl w:ilvl="4" w:tplc="9D02FF38">
      <w:start w:val="1"/>
      <w:numFmt w:val="lowerLetter"/>
      <w:lvlText w:val="%5."/>
      <w:lvlJc w:val="left"/>
      <w:pPr>
        <w:ind w:left="3600" w:hanging="360"/>
      </w:pPr>
    </w:lvl>
    <w:lvl w:ilvl="5" w:tplc="CA245CD8">
      <w:start w:val="1"/>
      <w:numFmt w:val="lowerRoman"/>
      <w:lvlText w:val="%6."/>
      <w:lvlJc w:val="right"/>
      <w:pPr>
        <w:ind w:left="4320" w:hanging="180"/>
      </w:pPr>
    </w:lvl>
    <w:lvl w:ilvl="6" w:tplc="1E32CAE0">
      <w:start w:val="1"/>
      <w:numFmt w:val="decimal"/>
      <w:lvlText w:val="%7."/>
      <w:lvlJc w:val="left"/>
      <w:pPr>
        <w:ind w:left="5040" w:hanging="360"/>
      </w:pPr>
    </w:lvl>
    <w:lvl w:ilvl="7" w:tplc="A998A298">
      <w:start w:val="1"/>
      <w:numFmt w:val="lowerLetter"/>
      <w:lvlText w:val="%8."/>
      <w:lvlJc w:val="left"/>
      <w:pPr>
        <w:ind w:left="5760" w:hanging="360"/>
      </w:pPr>
    </w:lvl>
    <w:lvl w:ilvl="8" w:tplc="4628BDF2">
      <w:start w:val="1"/>
      <w:numFmt w:val="lowerRoman"/>
      <w:lvlText w:val="%9."/>
      <w:lvlJc w:val="right"/>
      <w:pPr>
        <w:ind w:left="6480" w:hanging="180"/>
      </w:pPr>
    </w:lvl>
  </w:abstractNum>
  <w:abstractNum w:abstractNumId="183" w15:restartNumberingAfterBreak="0">
    <w:nsid w:val="6BFC76C1"/>
    <w:multiLevelType w:val="hybridMultilevel"/>
    <w:tmpl w:val="515EDAC8"/>
    <w:lvl w:ilvl="0" w:tplc="D61C731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5A049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DEA606">
      <w:start w:val="1"/>
      <w:numFmt w:val="lowerLetter"/>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02AAD6">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AE94C2">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AA78FC">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6642EA">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F6D4D0">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EEDF0C">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4" w15:restartNumberingAfterBreak="0">
    <w:nsid w:val="6BFE30DB"/>
    <w:multiLevelType w:val="hybridMultilevel"/>
    <w:tmpl w:val="F918B3B2"/>
    <w:lvl w:ilvl="0" w:tplc="51FA4B1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0848BEC">
      <w:start w:val="1"/>
      <w:numFmt w:val="bullet"/>
      <w:lvlText w:val="o"/>
      <w:lvlJc w:val="left"/>
      <w:pPr>
        <w:ind w:left="1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95E5D04">
      <w:start w:val="1"/>
      <w:numFmt w:val="bullet"/>
      <w:lvlText w:val="▪"/>
      <w:lvlJc w:val="left"/>
      <w:pPr>
        <w:ind w:left="19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D8246EC">
      <w:start w:val="1"/>
      <w:numFmt w:val="bullet"/>
      <w:lvlText w:val="•"/>
      <w:lvlJc w:val="left"/>
      <w:pPr>
        <w:ind w:left="26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538C376">
      <w:start w:val="1"/>
      <w:numFmt w:val="bullet"/>
      <w:lvlText w:val="o"/>
      <w:lvlJc w:val="left"/>
      <w:pPr>
        <w:ind w:left="33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472033A">
      <w:start w:val="1"/>
      <w:numFmt w:val="bullet"/>
      <w:lvlText w:val="▪"/>
      <w:lvlJc w:val="left"/>
      <w:pPr>
        <w:ind w:left="40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BC86E0">
      <w:start w:val="1"/>
      <w:numFmt w:val="bullet"/>
      <w:lvlText w:val="•"/>
      <w:lvlJc w:val="left"/>
      <w:pPr>
        <w:ind w:left="47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16885B4">
      <w:start w:val="1"/>
      <w:numFmt w:val="bullet"/>
      <w:lvlText w:val="o"/>
      <w:lvlJc w:val="left"/>
      <w:pPr>
        <w:ind w:left="55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D8870E0">
      <w:start w:val="1"/>
      <w:numFmt w:val="bullet"/>
      <w:lvlText w:val="▪"/>
      <w:lvlJc w:val="left"/>
      <w:pPr>
        <w:ind w:left="62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5" w15:restartNumberingAfterBreak="0">
    <w:nsid w:val="6CA14AC0"/>
    <w:multiLevelType w:val="hybridMultilevel"/>
    <w:tmpl w:val="FFFFFFFF"/>
    <w:lvl w:ilvl="0" w:tplc="121059FE">
      <w:start w:val="2"/>
      <w:numFmt w:val="decimal"/>
      <w:lvlText w:val="%1."/>
      <w:lvlJc w:val="left"/>
      <w:pPr>
        <w:ind w:left="720" w:hanging="360"/>
      </w:pPr>
    </w:lvl>
    <w:lvl w:ilvl="1" w:tplc="D86C2A6A">
      <w:start w:val="1"/>
      <w:numFmt w:val="lowerLetter"/>
      <w:lvlText w:val="%2."/>
      <w:lvlJc w:val="left"/>
      <w:pPr>
        <w:ind w:left="1440" w:hanging="360"/>
      </w:pPr>
    </w:lvl>
    <w:lvl w:ilvl="2" w:tplc="9A02E936">
      <w:start w:val="1"/>
      <w:numFmt w:val="lowerRoman"/>
      <w:lvlText w:val="%3."/>
      <w:lvlJc w:val="right"/>
      <w:pPr>
        <w:ind w:left="2160" w:hanging="180"/>
      </w:pPr>
    </w:lvl>
    <w:lvl w:ilvl="3" w:tplc="42B6B286">
      <w:start w:val="1"/>
      <w:numFmt w:val="decimal"/>
      <w:lvlText w:val="%4."/>
      <w:lvlJc w:val="left"/>
      <w:pPr>
        <w:ind w:left="2880" w:hanging="360"/>
      </w:pPr>
    </w:lvl>
    <w:lvl w:ilvl="4" w:tplc="449A2CCC">
      <w:start w:val="1"/>
      <w:numFmt w:val="lowerLetter"/>
      <w:lvlText w:val="%5."/>
      <w:lvlJc w:val="left"/>
      <w:pPr>
        <w:ind w:left="3600" w:hanging="360"/>
      </w:pPr>
    </w:lvl>
    <w:lvl w:ilvl="5" w:tplc="E61E8F42">
      <w:start w:val="1"/>
      <w:numFmt w:val="lowerRoman"/>
      <w:lvlText w:val="%6."/>
      <w:lvlJc w:val="right"/>
      <w:pPr>
        <w:ind w:left="4320" w:hanging="180"/>
      </w:pPr>
    </w:lvl>
    <w:lvl w:ilvl="6" w:tplc="6956A5B6">
      <w:start w:val="1"/>
      <w:numFmt w:val="decimal"/>
      <w:lvlText w:val="%7."/>
      <w:lvlJc w:val="left"/>
      <w:pPr>
        <w:ind w:left="5040" w:hanging="360"/>
      </w:pPr>
    </w:lvl>
    <w:lvl w:ilvl="7" w:tplc="A76EAC68">
      <w:start w:val="1"/>
      <w:numFmt w:val="lowerLetter"/>
      <w:lvlText w:val="%8."/>
      <w:lvlJc w:val="left"/>
      <w:pPr>
        <w:ind w:left="5760" w:hanging="360"/>
      </w:pPr>
    </w:lvl>
    <w:lvl w:ilvl="8" w:tplc="8FC034DE">
      <w:start w:val="1"/>
      <w:numFmt w:val="lowerRoman"/>
      <w:lvlText w:val="%9."/>
      <w:lvlJc w:val="right"/>
      <w:pPr>
        <w:ind w:left="6480" w:hanging="180"/>
      </w:pPr>
    </w:lvl>
  </w:abstractNum>
  <w:abstractNum w:abstractNumId="186" w15:restartNumberingAfterBreak="0">
    <w:nsid w:val="6CB80BA9"/>
    <w:multiLevelType w:val="multilevel"/>
    <w:tmpl w:val="E7E49D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6EC000B6"/>
    <w:multiLevelType w:val="multilevel"/>
    <w:tmpl w:val="ED52FDE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8" w15:restartNumberingAfterBreak="0">
    <w:nsid w:val="6ED3543E"/>
    <w:multiLevelType w:val="multilevel"/>
    <w:tmpl w:val="45C4C8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6F2413F5"/>
    <w:multiLevelType w:val="hybridMultilevel"/>
    <w:tmpl w:val="BB2E7B12"/>
    <w:lvl w:ilvl="0" w:tplc="D7600486">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26075EC">
      <w:start w:val="1"/>
      <w:numFmt w:val="bullet"/>
      <w:lvlText w:val="o"/>
      <w:lvlJc w:val="left"/>
      <w:pPr>
        <w:ind w:left="1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2B8988A">
      <w:start w:val="1"/>
      <w:numFmt w:val="bullet"/>
      <w:lvlText w:val="▪"/>
      <w:lvlJc w:val="left"/>
      <w:pPr>
        <w:ind w:left="19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B0EE314">
      <w:start w:val="1"/>
      <w:numFmt w:val="bullet"/>
      <w:lvlText w:val="•"/>
      <w:lvlJc w:val="left"/>
      <w:pPr>
        <w:ind w:left="26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7784EB8">
      <w:start w:val="1"/>
      <w:numFmt w:val="bullet"/>
      <w:lvlText w:val="o"/>
      <w:lvlJc w:val="left"/>
      <w:pPr>
        <w:ind w:left="33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EECA61A">
      <w:start w:val="1"/>
      <w:numFmt w:val="bullet"/>
      <w:lvlText w:val="▪"/>
      <w:lvlJc w:val="left"/>
      <w:pPr>
        <w:ind w:left="40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01A4D78">
      <w:start w:val="1"/>
      <w:numFmt w:val="bullet"/>
      <w:lvlText w:val="•"/>
      <w:lvlJc w:val="left"/>
      <w:pPr>
        <w:ind w:left="47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DBE4320">
      <w:start w:val="1"/>
      <w:numFmt w:val="bullet"/>
      <w:lvlText w:val="o"/>
      <w:lvlJc w:val="left"/>
      <w:pPr>
        <w:ind w:left="55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3F49824">
      <w:start w:val="1"/>
      <w:numFmt w:val="bullet"/>
      <w:lvlText w:val="▪"/>
      <w:lvlJc w:val="left"/>
      <w:pPr>
        <w:ind w:left="62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0" w15:restartNumberingAfterBreak="0">
    <w:nsid w:val="6FD164DB"/>
    <w:multiLevelType w:val="hybridMultilevel"/>
    <w:tmpl w:val="08EA7720"/>
    <w:lvl w:ilvl="0" w:tplc="97423FFC">
      <w:start w:val="1"/>
      <w:numFmt w:val="lowerLetter"/>
      <w:lvlText w:val="%1)"/>
      <w:lvlJc w:val="left"/>
      <w:pPr>
        <w:ind w:left="3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D663CF2">
      <w:start w:val="1"/>
      <w:numFmt w:val="lowerLetter"/>
      <w:lvlText w:val="%2"/>
      <w:lvlJc w:val="left"/>
      <w:pPr>
        <w:ind w:left="12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93ADFFE">
      <w:start w:val="1"/>
      <w:numFmt w:val="lowerRoman"/>
      <w:lvlText w:val="%3"/>
      <w:lvlJc w:val="left"/>
      <w:pPr>
        <w:ind w:left="19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2F8CE54">
      <w:start w:val="1"/>
      <w:numFmt w:val="decimal"/>
      <w:lvlText w:val="%4"/>
      <w:lvlJc w:val="left"/>
      <w:pPr>
        <w:ind w:left="26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4846602">
      <w:start w:val="1"/>
      <w:numFmt w:val="lowerLetter"/>
      <w:lvlText w:val="%5"/>
      <w:lvlJc w:val="left"/>
      <w:pPr>
        <w:ind w:left="33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22CCC36">
      <w:start w:val="1"/>
      <w:numFmt w:val="lowerRoman"/>
      <w:lvlText w:val="%6"/>
      <w:lvlJc w:val="left"/>
      <w:pPr>
        <w:ind w:left="40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0565680">
      <w:start w:val="1"/>
      <w:numFmt w:val="decimal"/>
      <w:lvlText w:val="%7"/>
      <w:lvlJc w:val="left"/>
      <w:pPr>
        <w:ind w:left="48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74670A4">
      <w:start w:val="1"/>
      <w:numFmt w:val="lowerLetter"/>
      <w:lvlText w:val="%8"/>
      <w:lvlJc w:val="left"/>
      <w:pPr>
        <w:ind w:left="55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E383B9C">
      <w:start w:val="1"/>
      <w:numFmt w:val="lowerRoman"/>
      <w:lvlText w:val="%9"/>
      <w:lvlJc w:val="left"/>
      <w:pPr>
        <w:ind w:left="62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1" w15:restartNumberingAfterBreak="0">
    <w:nsid w:val="6FE5038A"/>
    <w:multiLevelType w:val="multilevel"/>
    <w:tmpl w:val="040ED9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0ED7EA0"/>
    <w:multiLevelType w:val="hybridMultilevel"/>
    <w:tmpl w:val="1AB02394"/>
    <w:lvl w:ilvl="0" w:tplc="30CA23F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888760">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A2B884">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264122">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7202AA">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B83B50">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CEB262">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443D54">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78636C">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3" w15:restartNumberingAfterBreak="0">
    <w:nsid w:val="714F7E87"/>
    <w:multiLevelType w:val="hybridMultilevel"/>
    <w:tmpl w:val="FFFFFFFF"/>
    <w:lvl w:ilvl="0" w:tplc="3F32AD28">
      <w:start w:val="1"/>
      <w:numFmt w:val="decimal"/>
      <w:lvlText w:val="%1."/>
      <w:lvlJc w:val="left"/>
      <w:pPr>
        <w:ind w:left="720" w:hanging="360"/>
      </w:pPr>
    </w:lvl>
    <w:lvl w:ilvl="1" w:tplc="667ACF92">
      <w:start w:val="1"/>
      <w:numFmt w:val="decimal"/>
      <w:lvlText w:val="%2)"/>
      <w:lvlJc w:val="left"/>
      <w:pPr>
        <w:ind w:left="1440" w:hanging="360"/>
      </w:pPr>
    </w:lvl>
    <w:lvl w:ilvl="2" w:tplc="A6DA7050">
      <w:start w:val="1"/>
      <w:numFmt w:val="lowerRoman"/>
      <w:lvlText w:val="%3."/>
      <w:lvlJc w:val="right"/>
      <w:pPr>
        <w:ind w:left="2160" w:hanging="180"/>
      </w:pPr>
    </w:lvl>
    <w:lvl w:ilvl="3" w:tplc="142C4DB8">
      <w:start w:val="1"/>
      <w:numFmt w:val="decimal"/>
      <w:lvlText w:val="%4."/>
      <w:lvlJc w:val="left"/>
      <w:pPr>
        <w:ind w:left="2880" w:hanging="360"/>
      </w:pPr>
    </w:lvl>
    <w:lvl w:ilvl="4" w:tplc="F9C483E2">
      <w:start w:val="1"/>
      <w:numFmt w:val="lowerLetter"/>
      <w:lvlText w:val="%5."/>
      <w:lvlJc w:val="left"/>
      <w:pPr>
        <w:ind w:left="3600" w:hanging="360"/>
      </w:pPr>
    </w:lvl>
    <w:lvl w:ilvl="5" w:tplc="F92A6350">
      <w:start w:val="1"/>
      <w:numFmt w:val="lowerRoman"/>
      <w:lvlText w:val="%6."/>
      <w:lvlJc w:val="right"/>
      <w:pPr>
        <w:ind w:left="4320" w:hanging="180"/>
      </w:pPr>
    </w:lvl>
    <w:lvl w:ilvl="6" w:tplc="4D0AE636">
      <w:start w:val="1"/>
      <w:numFmt w:val="decimal"/>
      <w:lvlText w:val="%7."/>
      <w:lvlJc w:val="left"/>
      <w:pPr>
        <w:ind w:left="5040" w:hanging="360"/>
      </w:pPr>
    </w:lvl>
    <w:lvl w:ilvl="7" w:tplc="2A1A91DA">
      <w:start w:val="1"/>
      <w:numFmt w:val="lowerLetter"/>
      <w:lvlText w:val="%8."/>
      <w:lvlJc w:val="left"/>
      <w:pPr>
        <w:ind w:left="5760" w:hanging="360"/>
      </w:pPr>
    </w:lvl>
    <w:lvl w:ilvl="8" w:tplc="C9C8A5C2">
      <w:start w:val="1"/>
      <w:numFmt w:val="lowerRoman"/>
      <w:lvlText w:val="%9."/>
      <w:lvlJc w:val="right"/>
      <w:pPr>
        <w:ind w:left="6480" w:hanging="180"/>
      </w:pPr>
    </w:lvl>
  </w:abstractNum>
  <w:abstractNum w:abstractNumId="194" w15:restartNumberingAfterBreak="0">
    <w:nsid w:val="725F7D13"/>
    <w:multiLevelType w:val="hybridMultilevel"/>
    <w:tmpl w:val="1DD849C8"/>
    <w:lvl w:ilvl="0" w:tplc="18090019">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95" w15:restartNumberingAfterBreak="0">
    <w:nsid w:val="746C2B15"/>
    <w:multiLevelType w:val="hybridMultilevel"/>
    <w:tmpl w:val="020620E0"/>
    <w:lvl w:ilvl="0" w:tplc="A24CB5C8">
      <w:start w:val="2"/>
      <w:numFmt w:val="lowerRoman"/>
      <w:lvlText w:val="(%1)"/>
      <w:lvlJc w:val="left"/>
      <w:pPr>
        <w:ind w:left="7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E8C49EA">
      <w:start w:val="1"/>
      <w:numFmt w:val="lowerLetter"/>
      <w:lvlText w:val="%2"/>
      <w:lvlJc w:val="left"/>
      <w:pPr>
        <w:ind w:left="15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444860A">
      <w:start w:val="1"/>
      <w:numFmt w:val="lowerRoman"/>
      <w:lvlText w:val="%3"/>
      <w:lvlJc w:val="left"/>
      <w:pPr>
        <w:ind w:left="22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4EA2B68">
      <w:start w:val="1"/>
      <w:numFmt w:val="decimal"/>
      <w:lvlText w:val="%4"/>
      <w:lvlJc w:val="left"/>
      <w:pPr>
        <w:ind w:left="29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D8C1B0C">
      <w:start w:val="1"/>
      <w:numFmt w:val="lowerLetter"/>
      <w:lvlText w:val="%5"/>
      <w:lvlJc w:val="left"/>
      <w:pPr>
        <w:ind w:left="3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F8C673A">
      <w:start w:val="1"/>
      <w:numFmt w:val="lowerRoman"/>
      <w:lvlText w:val="%6"/>
      <w:lvlJc w:val="left"/>
      <w:pPr>
        <w:ind w:left="4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792EEFC">
      <w:start w:val="1"/>
      <w:numFmt w:val="decimal"/>
      <w:lvlText w:val="%7"/>
      <w:lvlJc w:val="left"/>
      <w:pPr>
        <w:ind w:left="5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C0E03A">
      <w:start w:val="1"/>
      <w:numFmt w:val="lowerLetter"/>
      <w:lvlText w:val="%8"/>
      <w:lvlJc w:val="left"/>
      <w:pPr>
        <w:ind w:left="5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700DA72">
      <w:start w:val="1"/>
      <w:numFmt w:val="lowerRoman"/>
      <w:lvlText w:val="%9"/>
      <w:lvlJc w:val="left"/>
      <w:pPr>
        <w:ind w:left="6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6" w15:restartNumberingAfterBreak="0">
    <w:nsid w:val="74703A52"/>
    <w:multiLevelType w:val="multilevel"/>
    <w:tmpl w:val="404AB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7" w15:restartNumberingAfterBreak="0">
    <w:nsid w:val="74BC79F0"/>
    <w:multiLevelType w:val="hybridMultilevel"/>
    <w:tmpl w:val="FFFFFFFF"/>
    <w:lvl w:ilvl="0" w:tplc="58F29954">
      <w:start w:val="1"/>
      <w:numFmt w:val="decimal"/>
      <w:lvlText w:val="%1."/>
      <w:lvlJc w:val="left"/>
      <w:pPr>
        <w:ind w:left="720" w:hanging="360"/>
      </w:pPr>
    </w:lvl>
    <w:lvl w:ilvl="1" w:tplc="CF544774">
      <w:start w:val="5"/>
      <w:numFmt w:val="lowerLetter"/>
      <w:lvlText w:val="%2."/>
      <w:lvlJc w:val="left"/>
      <w:pPr>
        <w:ind w:left="1440" w:hanging="360"/>
      </w:pPr>
    </w:lvl>
    <w:lvl w:ilvl="2" w:tplc="8744C078">
      <w:start w:val="1"/>
      <w:numFmt w:val="lowerRoman"/>
      <w:lvlText w:val="%3."/>
      <w:lvlJc w:val="right"/>
      <w:pPr>
        <w:ind w:left="2160" w:hanging="180"/>
      </w:pPr>
    </w:lvl>
    <w:lvl w:ilvl="3" w:tplc="7090D764">
      <w:start w:val="1"/>
      <w:numFmt w:val="decimal"/>
      <w:lvlText w:val="%4."/>
      <w:lvlJc w:val="left"/>
      <w:pPr>
        <w:ind w:left="2880" w:hanging="360"/>
      </w:pPr>
    </w:lvl>
    <w:lvl w:ilvl="4" w:tplc="AA20F9FC">
      <w:start w:val="1"/>
      <w:numFmt w:val="lowerLetter"/>
      <w:lvlText w:val="%5."/>
      <w:lvlJc w:val="left"/>
      <w:pPr>
        <w:ind w:left="3600" w:hanging="360"/>
      </w:pPr>
    </w:lvl>
    <w:lvl w:ilvl="5" w:tplc="D4E4C6C4">
      <w:start w:val="1"/>
      <w:numFmt w:val="lowerRoman"/>
      <w:lvlText w:val="%6."/>
      <w:lvlJc w:val="right"/>
      <w:pPr>
        <w:ind w:left="4320" w:hanging="180"/>
      </w:pPr>
    </w:lvl>
    <w:lvl w:ilvl="6" w:tplc="CB2CCED0">
      <w:start w:val="1"/>
      <w:numFmt w:val="decimal"/>
      <w:lvlText w:val="%7."/>
      <w:lvlJc w:val="left"/>
      <w:pPr>
        <w:ind w:left="5040" w:hanging="360"/>
      </w:pPr>
    </w:lvl>
    <w:lvl w:ilvl="7" w:tplc="7736B968">
      <w:start w:val="1"/>
      <w:numFmt w:val="lowerLetter"/>
      <w:lvlText w:val="%8."/>
      <w:lvlJc w:val="left"/>
      <w:pPr>
        <w:ind w:left="5760" w:hanging="360"/>
      </w:pPr>
    </w:lvl>
    <w:lvl w:ilvl="8" w:tplc="58D8EB06">
      <w:start w:val="1"/>
      <w:numFmt w:val="lowerRoman"/>
      <w:lvlText w:val="%9."/>
      <w:lvlJc w:val="right"/>
      <w:pPr>
        <w:ind w:left="6480" w:hanging="180"/>
      </w:pPr>
    </w:lvl>
  </w:abstractNum>
  <w:abstractNum w:abstractNumId="198" w15:restartNumberingAfterBreak="0">
    <w:nsid w:val="74C4D9D9"/>
    <w:multiLevelType w:val="hybridMultilevel"/>
    <w:tmpl w:val="FFFFFFFF"/>
    <w:lvl w:ilvl="0" w:tplc="5942A3A2">
      <w:start w:val="1"/>
      <w:numFmt w:val="decimal"/>
      <w:lvlText w:val="%1."/>
      <w:lvlJc w:val="left"/>
      <w:pPr>
        <w:ind w:left="720" w:hanging="360"/>
      </w:pPr>
    </w:lvl>
    <w:lvl w:ilvl="1" w:tplc="1A4ADED6">
      <w:start w:val="1"/>
      <w:numFmt w:val="lowerLetter"/>
      <w:lvlText w:val="%2."/>
      <w:lvlJc w:val="left"/>
      <w:pPr>
        <w:ind w:left="1440" w:hanging="360"/>
      </w:pPr>
    </w:lvl>
    <w:lvl w:ilvl="2" w:tplc="40FA121E">
      <w:start w:val="1"/>
      <w:numFmt w:val="lowerRoman"/>
      <w:lvlText w:val="%3."/>
      <w:lvlJc w:val="right"/>
      <w:pPr>
        <w:ind w:left="2160" w:hanging="180"/>
      </w:pPr>
    </w:lvl>
    <w:lvl w:ilvl="3" w:tplc="4F20043C">
      <w:start w:val="1"/>
      <w:numFmt w:val="decimal"/>
      <w:lvlText w:val="%4."/>
      <w:lvlJc w:val="left"/>
      <w:pPr>
        <w:ind w:left="2880" w:hanging="360"/>
      </w:pPr>
    </w:lvl>
    <w:lvl w:ilvl="4" w:tplc="BAB0607C">
      <w:start w:val="1"/>
      <w:numFmt w:val="lowerLetter"/>
      <w:lvlText w:val="%5."/>
      <w:lvlJc w:val="left"/>
      <w:pPr>
        <w:ind w:left="3600" w:hanging="360"/>
      </w:pPr>
    </w:lvl>
    <w:lvl w:ilvl="5" w:tplc="F3F81A24">
      <w:start w:val="1"/>
      <w:numFmt w:val="lowerRoman"/>
      <w:lvlText w:val="%6."/>
      <w:lvlJc w:val="right"/>
      <w:pPr>
        <w:ind w:left="4320" w:hanging="180"/>
      </w:pPr>
    </w:lvl>
    <w:lvl w:ilvl="6" w:tplc="5BCACF98">
      <w:start w:val="1"/>
      <w:numFmt w:val="decimal"/>
      <w:lvlText w:val="%7."/>
      <w:lvlJc w:val="left"/>
      <w:pPr>
        <w:ind w:left="5040" w:hanging="360"/>
      </w:pPr>
    </w:lvl>
    <w:lvl w:ilvl="7" w:tplc="AA8C32EC">
      <w:start w:val="1"/>
      <w:numFmt w:val="lowerLetter"/>
      <w:lvlText w:val="%8."/>
      <w:lvlJc w:val="left"/>
      <w:pPr>
        <w:ind w:left="5760" w:hanging="360"/>
      </w:pPr>
    </w:lvl>
    <w:lvl w:ilvl="8" w:tplc="CF440310">
      <w:start w:val="1"/>
      <w:numFmt w:val="lowerRoman"/>
      <w:lvlText w:val="%9."/>
      <w:lvlJc w:val="right"/>
      <w:pPr>
        <w:ind w:left="6480" w:hanging="180"/>
      </w:pPr>
    </w:lvl>
  </w:abstractNum>
  <w:abstractNum w:abstractNumId="199" w15:restartNumberingAfterBreak="0">
    <w:nsid w:val="751B6949"/>
    <w:multiLevelType w:val="hybridMultilevel"/>
    <w:tmpl w:val="A8D813D4"/>
    <w:lvl w:ilvl="0" w:tplc="0818F556">
      <w:start w:val="1"/>
      <w:numFmt w:val="decimal"/>
      <w:lvlText w:val="%1)"/>
      <w:lvlJc w:val="left"/>
      <w:pPr>
        <w:ind w:left="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8662948">
      <w:start w:val="1"/>
      <w:numFmt w:val="lowerLetter"/>
      <w:lvlText w:val="%2"/>
      <w:lvlJc w:val="left"/>
      <w:pPr>
        <w:ind w:left="1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FC184C">
      <w:start w:val="1"/>
      <w:numFmt w:val="lowerRoman"/>
      <w:lvlText w:val="%3"/>
      <w:lvlJc w:val="left"/>
      <w:pPr>
        <w:ind w:left="19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A8ED990">
      <w:start w:val="1"/>
      <w:numFmt w:val="decimal"/>
      <w:lvlText w:val="%4"/>
      <w:lvlJc w:val="left"/>
      <w:pPr>
        <w:ind w:left="26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6C8DC4A">
      <w:start w:val="1"/>
      <w:numFmt w:val="lowerLetter"/>
      <w:lvlText w:val="%5"/>
      <w:lvlJc w:val="left"/>
      <w:pPr>
        <w:ind w:left="33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3DA6AE6">
      <w:start w:val="1"/>
      <w:numFmt w:val="lowerRoman"/>
      <w:lvlText w:val="%6"/>
      <w:lvlJc w:val="left"/>
      <w:pPr>
        <w:ind w:left="40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2046D12">
      <w:start w:val="1"/>
      <w:numFmt w:val="decimal"/>
      <w:lvlText w:val="%7"/>
      <w:lvlJc w:val="left"/>
      <w:pPr>
        <w:ind w:left="47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C6A7ED6">
      <w:start w:val="1"/>
      <w:numFmt w:val="lowerLetter"/>
      <w:lvlText w:val="%8"/>
      <w:lvlJc w:val="left"/>
      <w:pPr>
        <w:ind w:left="55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DE174A">
      <w:start w:val="1"/>
      <w:numFmt w:val="lowerRoman"/>
      <w:lvlText w:val="%9"/>
      <w:lvlJc w:val="left"/>
      <w:pPr>
        <w:ind w:left="62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0" w15:restartNumberingAfterBreak="0">
    <w:nsid w:val="75B3E60E"/>
    <w:multiLevelType w:val="hybridMultilevel"/>
    <w:tmpl w:val="FFFFFFFF"/>
    <w:lvl w:ilvl="0" w:tplc="6EF2B5FA">
      <w:start w:val="1"/>
      <w:numFmt w:val="decimal"/>
      <w:lvlText w:val="%1."/>
      <w:lvlJc w:val="left"/>
      <w:pPr>
        <w:ind w:left="720" w:hanging="360"/>
      </w:pPr>
    </w:lvl>
    <w:lvl w:ilvl="1" w:tplc="FFFFFFFF">
      <w:start w:val="1"/>
      <w:numFmt w:val="lowerLetter"/>
      <w:lvlText w:val="%2."/>
      <w:lvlJc w:val="left"/>
      <w:pPr>
        <w:ind w:left="1440" w:hanging="360"/>
      </w:pPr>
    </w:lvl>
    <w:lvl w:ilvl="2" w:tplc="146E1900">
      <w:start w:val="1"/>
      <w:numFmt w:val="lowerRoman"/>
      <w:lvlText w:val="%3."/>
      <w:lvlJc w:val="right"/>
      <w:pPr>
        <w:ind w:left="2160" w:hanging="180"/>
      </w:pPr>
    </w:lvl>
    <w:lvl w:ilvl="3" w:tplc="8B5CF2D6">
      <w:start w:val="1"/>
      <w:numFmt w:val="decimal"/>
      <w:lvlText w:val="%4."/>
      <w:lvlJc w:val="left"/>
      <w:pPr>
        <w:ind w:left="2880" w:hanging="360"/>
      </w:pPr>
    </w:lvl>
    <w:lvl w:ilvl="4" w:tplc="96526FC0">
      <w:start w:val="1"/>
      <w:numFmt w:val="lowerLetter"/>
      <w:lvlText w:val="%5."/>
      <w:lvlJc w:val="left"/>
      <w:pPr>
        <w:ind w:left="3600" w:hanging="360"/>
      </w:pPr>
    </w:lvl>
    <w:lvl w:ilvl="5" w:tplc="BA4EC834">
      <w:start w:val="1"/>
      <w:numFmt w:val="lowerRoman"/>
      <w:lvlText w:val="%6."/>
      <w:lvlJc w:val="right"/>
      <w:pPr>
        <w:ind w:left="4320" w:hanging="180"/>
      </w:pPr>
    </w:lvl>
    <w:lvl w:ilvl="6" w:tplc="2408B162">
      <w:start w:val="1"/>
      <w:numFmt w:val="decimal"/>
      <w:lvlText w:val="%7."/>
      <w:lvlJc w:val="left"/>
      <w:pPr>
        <w:ind w:left="5040" w:hanging="360"/>
      </w:pPr>
    </w:lvl>
    <w:lvl w:ilvl="7" w:tplc="AE2AF1E2">
      <w:start w:val="1"/>
      <w:numFmt w:val="lowerLetter"/>
      <w:lvlText w:val="%8."/>
      <w:lvlJc w:val="left"/>
      <w:pPr>
        <w:ind w:left="5760" w:hanging="360"/>
      </w:pPr>
    </w:lvl>
    <w:lvl w:ilvl="8" w:tplc="EF3EADDE">
      <w:start w:val="1"/>
      <w:numFmt w:val="lowerRoman"/>
      <w:lvlText w:val="%9."/>
      <w:lvlJc w:val="right"/>
      <w:pPr>
        <w:ind w:left="6480" w:hanging="180"/>
      </w:pPr>
    </w:lvl>
  </w:abstractNum>
  <w:abstractNum w:abstractNumId="201" w15:restartNumberingAfterBreak="0">
    <w:nsid w:val="761D11CD"/>
    <w:multiLevelType w:val="multilevel"/>
    <w:tmpl w:val="198EC6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768F23E2"/>
    <w:multiLevelType w:val="hybridMultilevel"/>
    <w:tmpl w:val="C7D49242"/>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3" w15:restartNumberingAfterBreak="0">
    <w:nsid w:val="76D30F9A"/>
    <w:multiLevelType w:val="hybridMultilevel"/>
    <w:tmpl w:val="FFFFFFFF"/>
    <w:lvl w:ilvl="0" w:tplc="C5C6F9FE">
      <w:start w:val="1"/>
      <w:numFmt w:val="bullet"/>
      <w:lvlText w:val=""/>
      <w:lvlJc w:val="left"/>
      <w:pPr>
        <w:ind w:left="720" w:hanging="360"/>
      </w:pPr>
      <w:rPr>
        <w:rFonts w:ascii="Symbol" w:hAnsi="Symbol" w:hint="default"/>
      </w:rPr>
    </w:lvl>
    <w:lvl w:ilvl="1" w:tplc="1EFCF6E2">
      <w:start w:val="1"/>
      <w:numFmt w:val="bullet"/>
      <w:lvlText w:val=""/>
      <w:lvlJc w:val="left"/>
      <w:pPr>
        <w:ind w:left="1440" w:hanging="360"/>
      </w:pPr>
      <w:rPr>
        <w:rFonts w:ascii="Symbol" w:hAnsi="Symbol" w:hint="default"/>
      </w:rPr>
    </w:lvl>
    <w:lvl w:ilvl="2" w:tplc="FA66BF8A">
      <w:start w:val="1"/>
      <w:numFmt w:val="bullet"/>
      <w:lvlText w:val=""/>
      <w:lvlJc w:val="left"/>
      <w:pPr>
        <w:ind w:left="2160" w:hanging="360"/>
      </w:pPr>
      <w:rPr>
        <w:rFonts w:ascii="Wingdings" w:hAnsi="Wingdings" w:hint="default"/>
      </w:rPr>
    </w:lvl>
    <w:lvl w:ilvl="3" w:tplc="B8B0B8B0">
      <w:start w:val="1"/>
      <w:numFmt w:val="bullet"/>
      <w:lvlText w:val=""/>
      <w:lvlJc w:val="left"/>
      <w:pPr>
        <w:ind w:left="2880" w:hanging="360"/>
      </w:pPr>
      <w:rPr>
        <w:rFonts w:ascii="Symbol" w:hAnsi="Symbol" w:hint="default"/>
      </w:rPr>
    </w:lvl>
    <w:lvl w:ilvl="4" w:tplc="BD04F172">
      <w:start w:val="1"/>
      <w:numFmt w:val="bullet"/>
      <w:lvlText w:val="o"/>
      <w:lvlJc w:val="left"/>
      <w:pPr>
        <w:ind w:left="3600" w:hanging="360"/>
      </w:pPr>
      <w:rPr>
        <w:rFonts w:ascii="Courier New" w:hAnsi="Courier New" w:hint="default"/>
      </w:rPr>
    </w:lvl>
    <w:lvl w:ilvl="5" w:tplc="4FEEF374">
      <w:start w:val="1"/>
      <w:numFmt w:val="bullet"/>
      <w:lvlText w:val=""/>
      <w:lvlJc w:val="left"/>
      <w:pPr>
        <w:ind w:left="4320" w:hanging="360"/>
      </w:pPr>
      <w:rPr>
        <w:rFonts w:ascii="Wingdings" w:hAnsi="Wingdings" w:hint="default"/>
      </w:rPr>
    </w:lvl>
    <w:lvl w:ilvl="6" w:tplc="34FACFA4">
      <w:start w:val="1"/>
      <w:numFmt w:val="bullet"/>
      <w:lvlText w:val=""/>
      <w:lvlJc w:val="left"/>
      <w:pPr>
        <w:ind w:left="5040" w:hanging="360"/>
      </w:pPr>
      <w:rPr>
        <w:rFonts w:ascii="Symbol" w:hAnsi="Symbol" w:hint="default"/>
      </w:rPr>
    </w:lvl>
    <w:lvl w:ilvl="7" w:tplc="834EBA58">
      <w:start w:val="1"/>
      <w:numFmt w:val="bullet"/>
      <w:lvlText w:val="o"/>
      <w:lvlJc w:val="left"/>
      <w:pPr>
        <w:ind w:left="5760" w:hanging="360"/>
      </w:pPr>
      <w:rPr>
        <w:rFonts w:ascii="Courier New" w:hAnsi="Courier New" w:hint="default"/>
      </w:rPr>
    </w:lvl>
    <w:lvl w:ilvl="8" w:tplc="460A8394">
      <w:start w:val="1"/>
      <w:numFmt w:val="bullet"/>
      <w:lvlText w:val=""/>
      <w:lvlJc w:val="left"/>
      <w:pPr>
        <w:ind w:left="6480" w:hanging="360"/>
      </w:pPr>
      <w:rPr>
        <w:rFonts w:ascii="Wingdings" w:hAnsi="Wingdings" w:hint="default"/>
      </w:rPr>
    </w:lvl>
  </w:abstractNum>
  <w:abstractNum w:abstractNumId="204" w15:restartNumberingAfterBreak="0">
    <w:nsid w:val="76E614FF"/>
    <w:multiLevelType w:val="multilevel"/>
    <w:tmpl w:val="7B2232E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5" w15:restartNumberingAfterBreak="0">
    <w:nsid w:val="77C219A2"/>
    <w:multiLevelType w:val="hybridMultilevel"/>
    <w:tmpl w:val="2F80BC80"/>
    <w:lvl w:ilvl="0" w:tplc="F70AFEB2">
      <w:start w:val="1"/>
      <w:numFmt w:val="lowerLetter"/>
      <w:lvlText w:val="%1)"/>
      <w:lvlJc w:val="left"/>
      <w:pPr>
        <w:ind w:left="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FFC54A4">
      <w:start w:val="1"/>
      <w:numFmt w:val="lowerLetter"/>
      <w:lvlText w:val="%2"/>
      <w:lvlJc w:val="left"/>
      <w:pPr>
        <w:ind w:left="1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E2E434C">
      <w:start w:val="1"/>
      <w:numFmt w:val="lowerRoman"/>
      <w:lvlText w:val="%3"/>
      <w:lvlJc w:val="left"/>
      <w:pPr>
        <w:ind w:left="19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4207A3A">
      <w:start w:val="1"/>
      <w:numFmt w:val="decimal"/>
      <w:lvlText w:val="%4"/>
      <w:lvlJc w:val="left"/>
      <w:pPr>
        <w:ind w:left="26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244B87C">
      <w:start w:val="1"/>
      <w:numFmt w:val="lowerLetter"/>
      <w:lvlText w:val="%5"/>
      <w:lvlJc w:val="left"/>
      <w:pPr>
        <w:ind w:left="33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2E40402">
      <w:start w:val="1"/>
      <w:numFmt w:val="lowerRoman"/>
      <w:lvlText w:val="%6"/>
      <w:lvlJc w:val="left"/>
      <w:pPr>
        <w:ind w:left="40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E2856B6">
      <w:start w:val="1"/>
      <w:numFmt w:val="decimal"/>
      <w:lvlText w:val="%7"/>
      <w:lvlJc w:val="left"/>
      <w:pPr>
        <w:ind w:left="47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1E6C472">
      <w:start w:val="1"/>
      <w:numFmt w:val="lowerLetter"/>
      <w:lvlText w:val="%8"/>
      <w:lvlJc w:val="left"/>
      <w:pPr>
        <w:ind w:left="55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4EEB98">
      <w:start w:val="1"/>
      <w:numFmt w:val="lowerRoman"/>
      <w:lvlText w:val="%9"/>
      <w:lvlJc w:val="left"/>
      <w:pPr>
        <w:ind w:left="62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6" w15:restartNumberingAfterBreak="0">
    <w:nsid w:val="784D00E7"/>
    <w:multiLevelType w:val="hybridMultilevel"/>
    <w:tmpl w:val="D7CC33B6"/>
    <w:lvl w:ilvl="0" w:tplc="3F24D348">
      <w:start w:val="1"/>
      <w:numFmt w:val="decimal"/>
      <w:lvlText w:val="G%1G"/>
      <w:lvlJc w:val="left"/>
      <w:pPr>
        <w:ind w:left="360" w:hanging="360"/>
      </w:pPr>
      <w:rPr>
        <w:rFonts w:hint="default"/>
        <w:color w:val="auto"/>
        <w:sz w:val="18"/>
        <w:szCs w:val="18"/>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7" w15:restartNumberingAfterBreak="0">
    <w:nsid w:val="7A6425F7"/>
    <w:multiLevelType w:val="hybridMultilevel"/>
    <w:tmpl w:val="36A6F054"/>
    <w:lvl w:ilvl="0" w:tplc="4564A0C2">
      <w:start w:val="1"/>
      <w:numFmt w:val="bullet"/>
      <w:lvlText w:val="-"/>
      <w:lvlJc w:val="left"/>
      <w:pPr>
        <w:ind w:left="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4A403DC">
      <w:start w:val="1"/>
      <w:numFmt w:val="bullet"/>
      <w:lvlText w:val="o"/>
      <w:lvlJc w:val="left"/>
      <w:pPr>
        <w:ind w:left="1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27464BE">
      <w:start w:val="1"/>
      <w:numFmt w:val="bullet"/>
      <w:lvlText w:val="▪"/>
      <w:lvlJc w:val="left"/>
      <w:pPr>
        <w:ind w:left="19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B88F39E">
      <w:start w:val="1"/>
      <w:numFmt w:val="bullet"/>
      <w:lvlText w:val="•"/>
      <w:lvlJc w:val="left"/>
      <w:pPr>
        <w:ind w:left="26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5263A00">
      <w:start w:val="1"/>
      <w:numFmt w:val="bullet"/>
      <w:lvlText w:val="o"/>
      <w:lvlJc w:val="left"/>
      <w:pPr>
        <w:ind w:left="33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3FABE6E">
      <w:start w:val="1"/>
      <w:numFmt w:val="bullet"/>
      <w:lvlText w:val="▪"/>
      <w:lvlJc w:val="left"/>
      <w:pPr>
        <w:ind w:left="40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AF40EF0">
      <w:start w:val="1"/>
      <w:numFmt w:val="bullet"/>
      <w:lvlText w:val="•"/>
      <w:lvlJc w:val="left"/>
      <w:pPr>
        <w:ind w:left="47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50A30FE">
      <w:start w:val="1"/>
      <w:numFmt w:val="bullet"/>
      <w:lvlText w:val="o"/>
      <w:lvlJc w:val="left"/>
      <w:pPr>
        <w:ind w:left="55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15435B2">
      <w:start w:val="1"/>
      <w:numFmt w:val="bullet"/>
      <w:lvlText w:val="▪"/>
      <w:lvlJc w:val="left"/>
      <w:pPr>
        <w:ind w:left="62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8" w15:restartNumberingAfterBreak="0">
    <w:nsid w:val="7ADB4070"/>
    <w:multiLevelType w:val="hybridMultilevel"/>
    <w:tmpl w:val="FFFFFFFF"/>
    <w:lvl w:ilvl="0" w:tplc="9A66AB28">
      <w:start w:val="2"/>
      <w:numFmt w:val="decimal"/>
      <w:lvlText w:val="%1."/>
      <w:lvlJc w:val="left"/>
      <w:pPr>
        <w:ind w:left="720" w:hanging="360"/>
      </w:pPr>
    </w:lvl>
    <w:lvl w:ilvl="1" w:tplc="9D7AEA2E">
      <w:start w:val="1"/>
      <w:numFmt w:val="lowerLetter"/>
      <w:lvlText w:val="%2."/>
      <w:lvlJc w:val="left"/>
      <w:pPr>
        <w:ind w:left="1440" w:hanging="360"/>
      </w:pPr>
    </w:lvl>
    <w:lvl w:ilvl="2" w:tplc="9272CB40">
      <w:start w:val="1"/>
      <w:numFmt w:val="lowerRoman"/>
      <w:lvlText w:val="%3."/>
      <w:lvlJc w:val="right"/>
      <w:pPr>
        <w:ind w:left="2160" w:hanging="180"/>
      </w:pPr>
    </w:lvl>
    <w:lvl w:ilvl="3" w:tplc="0B2CF43E">
      <w:start w:val="1"/>
      <w:numFmt w:val="decimal"/>
      <w:lvlText w:val="%4."/>
      <w:lvlJc w:val="left"/>
      <w:pPr>
        <w:ind w:left="2880" w:hanging="360"/>
      </w:pPr>
    </w:lvl>
    <w:lvl w:ilvl="4" w:tplc="ACCA4CBA">
      <w:start w:val="1"/>
      <w:numFmt w:val="lowerLetter"/>
      <w:lvlText w:val="%5."/>
      <w:lvlJc w:val="left"/>
      <w:pPr>
        <w:ind w:left="3600" w:hanging="360"/>
      </w:pPr>
    </w:lvl>
    <w:lvl w:ilvl="5" w:tplc="0D92E04C">
      <w:start w:val="1"/>
      <w:numFmt w:val="lowerRoman"/>
      <w:lvlText w:val="%6."/>
      <w:lvlJc w:val="right"/>
      <w:pPr>
        <w:ind w:left="4320" w:hanging="180"/>
      </w:pPr>
    </w:lvl>
    <w:lvl w:ilvl="6" w:tplc="45C6098C">
      <w:start w:val="1"/>
      <w:numFmt w:val="decimal"/>
      <w:lvlText w:val="%7."/>
      <w:lvlJc w:val="left"/>
      <w:pPr>
        <w:ind w:left="5040" w:hanging="360"/>
      </w:pPr>
    </w:lvl>
    <w:lvl w:ilvl="7" w:tplc="849AAE6E">
      <w:start w:val="1"/>
      <w:numFmt w:val="lowerLetter"/>
      <w:lvlText w:val="%8."/>
      <w:lvlJc w:val="left"/>
      <w:pPr>
        <w:ind w:left="5760" w:hanging="360"/>
      </w:pPr>
    </w:lvl>
    <w:lvl w:ilvl="8" w:tplc="1D580012">
      <w:start w:val="1"/>
      <w:numFmt w:val="lowerRoman"/>
      <w:lvlText w:val="%9."/>
      <w:lvlJc w:val="right"/>
      <w:pPr>
        <w:ind w:left="6480" w:hanging="180"/>
      </w:pPr>
    </w:lvl>
  </w:abstractNum>
  <w:abstractNum w:abstractNumId="209" w15:restartNumberingAfterBreak="0">
    <w:nsid w:val="7B2C2807"/>
    <w:multiLevelType w:val="hybridMultilevel"/>
    <w:tmpl w:val="91E6CAE2"/>
    <w:lvl w:ilvl="0" w:tplc="CEA04598">
      <w:start w:val="1"/>
      <w:numFmt w:val="bullet"/>
      <w:lvlText w:val="-"/>
      <w:lvlJc w:val="left"/>
      <w:pPr>
        <w:ind w:left="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E106456">
      <w:start w:val="1"/>
      <w:numFmt w:val="bullet"/>
      <w:lvlText w:val="o"/>
      <w:lvlJc w:val="left"/>
      <w:pPr>
        <w:ind w:left="1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866F8E6">
      <w:start w:val="1"/>
      <w:numFmt w:val="bullet"/>
      <w:lvlText w:val="▪"/>
      <w:lvlJc w:val="left"/>
      <w:pPr>
        <w:ind w:left="19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93CA8EA">
      <w:start w:val="1"/>
      <w:numFmt w:val="bullet"/>
      <w:lvlText w:val="•"/>
      <w:lvlJc w:val="left"/>
      <w:pPr>
        <w:ind w:left="26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602FA86">
      <w:start w:val="1"/>
      <w:numFmt w:val="bullet"/>
      <w:lvlText w:val="o"/>
      <w:lvlJc w:val="left"/>
      <w:pPr>
        <w:ind w:left="33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3E82154">
      <w:start w:val="1"/>
      <w:numFmt w:val="bullet"/>
      <w:lvlText w:val="▪"/>
      <w:lvlJc w:val="left"/>
      <w:pPr>
        <w:ind w:left="40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2401744">
      <w:start w:val="1"/>
      <w:numFmt w:val="bullet"/>
      <w:lvlText w:val="•"/>
      <w:lvlJc w:val="left"/>
      <w:pPr>
        <w:ind w:left="47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5DA60B4">
      <w:start w:val="1"/>
      <w:numFmt w:val="bullet"/>
      <w:lvlText w:val="o"/>
      <w:lvlJc w:val="left"/>
      <w:pPr>
        <w:ind w:left="55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77CA0C4">
      <w:start w:val="1"/>
      <w:numFmt w:val="bullet"/>
      <w:lvlText w:val="▪"/>
      <w:lvlJc w:val="left"/>
      <w:pPr>
        <w:ind w:left="62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0" w15:restartNumberingAfterBreak="0">
    <w:nsid w:val="7BF2D7FF"/>
    <w:multiLevelType w:val="hybridMultilevel"/>
    <w:tmpl w:val="FFFFFFFF"/>
    <w:lvl w:ilvl="0" w:tplc="8326DE3E">
      <w:start w:val="2"/>
      <w:numFmt w:val="decimal"/>
      <w:lvlText w:val="%1."/>
      <w:lvlJc w:val="left"/>
      <w:pPr>
        <w:ind w:left="720" w:hanging="360"/>
      </w:pPr>
    </w:lvl>
    <w:lvl w:ilvl="1" w:tplc="70725BE4">
      <w:start w:val="1"/>
      <w:numFmt w:val="lowerLetter"/>
      <w:lvlText w:val="%2."/>
      <w:lvlJc w:val="left"/>
      <w:pPr>
        <w:ind w:left="1440" w:hanging="360"/>
      </w:pPr>
    </w:lvl>
    <w:lvl w:ilvl="2" w:tplc="D0FE608C">
      <w:start w:val="1"/>
      <w:numFmt w:val="lowerRoman"/>
      <w:lvlText w:val="%3."/>
      <w:lvlJc w:val="right"/>
      <w:pPr>
        <w:ind w:left="2160" w:hanging="180"/>
      </w:pPr>
    </w:lvl>
    <w:lvl w:ilvl="3" w:tplc="400C7086">
      <w:start w:val="1"/>
      <w:numFmt w:val="decimal"/>
      <w:lvlText w:val="%4."/>
      <w:lvlJc w:val="left"/>
      <w:pPr>
        <w:ind w:left="2880" w:hanging="360"/>
      </w:pPr>
    </w:lvl>
    <w:lvl w:ilvl="4" w:tplc="2AF2FA38">
      <w:start w:val="1"/>
      <w:numFmt w:val="lowerLetter"/>
      <w:lvlText w:val="%5."/>
      <w:lvlJc w:val="left"/>
      <w:pPr>
        <w:ind w:left="3600" w:hanging="360"/>
      </w:pPr>
    </w:lvl>
    <w:lvl w:ilvl="5" w:tplc="F8A0C1CA">
      <w:start w:val="1"/>
      <w:numFmt w:val="lowerRoman"/>
      <w:lvlText w:val="%6."/>
      <w:lvlJc w:val="right"/>
      <w:pPr>
        <w:ind w:left="4320" w:hanging="180"/>
      </w:pPr>
    </w:lvl>
    <w:lvl w:ilvl="6" w:tplc="093EF2D6">
      <w:start w:val="1"/>
      <w:numFmt w:val="decimal"/>
      <w:lvlText w:val="%7."/>
      <w:lvlJc w:val="left"/>
      <w:pPr>
        <w:ind w:left="5040" w:hanging="360"/>
      </w:pPr>
    </w:lvl>
    <w:lvl w:ilvl="7" w:tplc="BC56C81C">
      <w:start w:val="1"/>
      <w:numFmt w:val="lowerLetter"/>
      <w:lvlText w:val="%8."/>
      <w:lvlJc w:val="left"/>
      <w:pPr>
        <w:ind w:left="5760" w:hanging="360"/>
      </w:pPr>
    </w:lvl>
    <w:lvl w:ilvl="8" w:tplc="57083CA6">
      <w:start w:val="1"/>
      <w:numFmt w:val="lowerRoman"/>
      <w:lvlText w:val="%9."/>
      <w:lvlJc w:val="right"/>
      <w:pPr>
        <w:ind w:left="6480" w:hanging="180"/>
      </w:pPr>
    </w:lvl>
  </w:abstractNum>
  <w:abstractNum w:abstractNumId="211" w15:restartNumberingAfterBreak="0">
    <w:nsid w:val="7C0778A6"/>
    <w:multiLevelType w:val="multilevel"/>
    <w:tmpl w:val="945027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2" w15:restartNumberingAfterBreak="0">
    <w:nsid w:val="7C5B11D7"/>
    <w:multiLevelType w:val="multilevel"/>
    <w:tmpl w:val="26422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7C8E25D7"/>
    <w:multiLevelType w:val="hybridMultilevel"/>
    <w:tmpl w:val="CD5868BA"/>
    <w:lvl w:ilvl="0" w:tplc="0D5CC24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0581F64">
      <w:start w:val="1"/>
      <w:numFmt w:val="bullet"/>
      <w:lvlText w:val="o"/>
      <w:lvlJc w:val="left"/>
      <w:pPr>
        <w:ind w:left="1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A70D584">
      <w:start w:val="1"/>
      <w:numFmt w:val="bullet"/>
      <w:lvlText w:val="▪"/>
      <w:lvlJc w:val="left"/>
      <w:pPr>
        <w:ind w:left="19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CE649D4">
      <w:start w:val="1"/>
      <w:numFmt w:val="bullet"/>
      <w:lvlText w:val="•"/>
      <w:lvlJc w:val="left"/>
      <w:pPr>
        <w:ind w:left="26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BB469DE">
      <w:start w:val="1"/>
      <w:numFmt w:val="bullet"/>
      <w:lvlText w:val="o"/>
      <w:lvlJc w:val="left"/>
      <w:pPr>
        <w:ind w:left="33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5FE3F40">
      <w:start w:val="1"/>
      <w:numFmt w:val="bullet"/>
      <w:lvlText w:val="▪"/>
      <w:lvlJc w:val="left"/>
      <w:pPr>
        <w:ind w:left="40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2B6DA6E">
      <w:start w:val="1"/>
      <w:numFmt w:val="bullet"/>
      <w:lvlText w:val="•"/>
      <w:lvlJc w:val="left"/>
      <w:pPr>
        <w:ind w:left="47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ECCADC">
      <w:start w:val="1"/>
      <w:numFmt w:val="bullet"/>
      <w:lvlText w:val="o"/>
      <w:lvlJc w:val="left"/>
      <w:pPr>
        <w:ind w:left="55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7FA4AAA">
      <w:start w:val="1"/>
      <w:numFmt w:val="bullet"/>
      <w:lvlText w:val="▪"/>
      <w:lvlJc w:val="left"/>
      <w:pPr>
        <w:ind w:left="62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4" w15:restartNumberingAfterBreak="0">
    <w:nsid w:val="7CB5111C"/>
    <w:multiLevelType w:val="hybridMultilevel"/>
    <w:tmpl w:val="3B22E4F0"/>
    <w:lvl w:ilvl="0" w:tplc="6E24E63C">
      <w:start w:val="1"/>
      <w:numFmt w:val="decimal"/>
      <w:lvlText w:val="%1."/>
      <w:lvlJc w:val="left"/>
      <w:pPr>
        <w:ind w:left="720" w:hanging="360"/>
      </w:pPr>
    </w:lvl>
    <w:lvl w:ilvl="1" w:tplc="410499FC">
      <w:start w:val="1"/>
      <w:numFmt w:val="lowerLetter"/>
      <w:lvlText w:val="%2."/>
      <w:lvlJc w:val="left"/>
      <w:pPr>
        <w:ind w:left="1440" w:hanging="360"/>
      </w:pPr>
    </w:lvl>
    <w:lvl w:ilvl="2" w:tplc="F2122FBC">
      <w:start w:val="1"/>
      <w:numFmt w:val="lowerRoman"/>
      <w:lvlText w:val="%3."/>
      <w:lvlJc w:val="right"/>
      <w:pPr>
        <w:ind w:left="2160" w:hanging="180"/>
      </w:pPr>
    </w:lvl>
    <w:lvl w:ilvl="3" w:tplc="A5842E00">
      <w:start w:val="1"/>
      <w:numFmt w:val="decimal"/>
      <w:lvlText w:val="%4."/>
      <w:lvlJc w:val="left"/>
      <w:pPr>
        <w:ind w:left="2880" w:hanging="360"/>
      </w:pPr>
    </w:lvl>
    <w:lvl w:ilvl="4" w:tplc="15A83A82">
      <w:start w:val="1"/>
      <w:numFmt w:val="lowerLetter"/>
      <w:lvlText w:val="%5."/>
      <w:lvlJc w:val="left"/>
      <w:pPr>
        <w:ind w:left="3600" w:hanging="360"/>
      </w:pPr>
    </w:lvl>
    <w:lvl w:ilvl="5" w:tplc="DBEA3690">
      <w:start w:val="1"/>
      <w:numFmt w:val="lowerRoman"/>
      <w:lvlText w:val="%6."/>
      <w:lvlJc w:val="right"/>
      <w:pPr>
        <w:ind w:left="4320" w:hanging="180"/>
      </w:pPr>
    </w:lvl>
    <w:lvl w:ilvl="6" w:tplc="B4084B7A">
      <w:start w:val="1"/>
      <w:numFmt w:val="decimal"/>
      <w:lvlText w:val="%7."/>
      <w:lvlJc w:val="left"/>
      <w:pPr>
        <w:ind w:left="5040" w:hanging="360"/>
      </w:pPr>
    </w:lvl>
    <w:lvl w:ilvl="7" w:tplc="FF54D6A4">
      <w:start w:val="1"/>
      <w:numFmt w:val="lowerLetter"/>
      <w:lvlText w:val="%8."/>
      <w:lvlJc w:val="left"/>
      <w:pPr>
        <w:ind w:left="5760" w:hanging="360"/>
      </w:pPr>
    </w:lvl>
    <w:lvl w:ilvl="8" w:tplc="FE7C8D0A">
      <w:start w:val="1"/>
      <w:numFmt w:val="lowerRoman"/>
      <w:lvlText w:val="%9."/>
      <w:lvlJc w:val="right"/>
      <w:pPr>
        <w:ind w:left="6480" w:hanging="180"/>
      </w:pPr>
    </w:lvl>
  </w:abstractNum>
  <w:abstractNum w:abstractNumId="215" w15:restartNumberingAfterBreak="0">
    <w:nsid w:val="7D131238"/>
    <w:multiLevelType w:val="hybridMultilevel"/>
    <w:tmpl w:val="3BEE9D76"/>
    <w:lvl w:ilvl="0" w:tplc="4F54B15A">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A7485D2">
      <w:start w:val="1"/>
      <w:numFmt w:val="bullet"/>
      <w:lvlText w:val="o"/>
      <w:lvlJc w:val="left"/>
      <w:pPr>
        <w:ind w:left="1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4CCB384">
      <w:start w:val="1"/>
      <w:numFmt w:val="bullet"/>
      <w:lvlText w:val="▪"/>
      <w:lvlJc w:val="left"/>
      <w:pPr>
        <w:ind w:left="19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EA2D60E">
      <w:start w:val="1"/>
      <w:numFmt w:val="bullet"/>
      <w:lvlText w:val="•"/>
      <w:lvlJc w:val="left"/>
      <w:pPr>
        <w:ind w:left="26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5F2073E">
      <w:start w:val="1"/>
      <w:numFmt w:val="bullet"/>
      <w:lvlText w:val="o"/>
      <w:lvlJc w:val="left"/>
      <w:pPr>
        <w:ind w:left="33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2CB16E">
      <w:start w:val="1"/>
      <w:numFmt w:val="bullet"/>
      <w:lvlText w:val="▪"/>
      <w:lvlJc w:val="left"/>
      <w:pPr>
        <w:ind w:left="40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78AFDBC">
      <w:start w:val="1"/>
      <w:numFmt w:val="bullet"/>
      <w:lvlText w:val="•"/>
      <w:lvlJc w:val="left"/>
      <w:pPr>
        <w:ind w:left="47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E2CFB1C">
      <w:start w:val="1"/>
      <w:numFmt w:val="bullet"/>
      <w:lvlText w:val="o"/>
      <w:lvlJc w:val="left"/>
      <w:pPr>
        <w:ind w:left="55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184E792">
      <w:start w:val="1"/>
      <w:numFmt w:val="bullet"/>
      <w:lvlText w:val="▪"/>
      <w:lvlJc w:val="left"/>
      <w:pPr>
        <w:ind w:left="62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6" w15:restartNumberingAfterBreak="0">
    <w:nsid w:val="7D4E72F0"/>
    <w:multiLevelType w:val="hybridMultilevel"/>
    <w:tmpl w:val="3FB2DB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7" w15:restartNumberingAfterBreak="0">
    <w:nsid w:val="7D533B50"/>
    <w:multiLevelType w:val="hybridMultilevel"/>
    <w:tmpl w:val="7C86BF5A"/>
    <w:lvl w:ilvl="0" w:tplc="81DA136E">
      <w:start w:val="1"/>
      <w:numFmt w:val="bullet"/>
      <w:lvlText w:val="-"/>
      <w:lvlJc w:val="left"/>
      <w:pPr>
        <w:ind w:left="15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2705F14">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0A4684E">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44F2C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8BE74A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7D44C44">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99E9466">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C304B5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856ED42">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8" w15:restartNumberingAfterBreak="0">
    <w:nsid w:val="7D9055A5"/>
    <w:multiLevelType w:val="hybridMultilevel"/>
    <w:tmpl w:val="CBA8716C"/>
    <w:lvl w:ilvl="0" w:tplc="982AF3B0">
      <w:start w:val="1"/>
      <w:numFmt w:val="lowerRoman"/>
      <w:lvlText w:val="(%1)"/>
      <w:lvlJc w:val="left"/>
      <w:pPr>
        <w:ind w:left="720" w:hanging="360"/>
      </w:pPr>
      <w:rPr>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9" w15:restartNumberingAfterBreak="0">
    <w:nsid w:val="7DAB9AEE"/>
    <w:multiLevelType w:val="hybridMultilevel"/>
    <w:tmpl w:val="FFFFFFFF"/>
    <w:lvl w:ilvl="0" w:tplc="9A4AAD40">
      <w:numFmt w:val="decimal"/>
      <w:lvlText w:val="%1."/>
      <w:lvlJc w:val="left"/>
      <w:pPr>
        <w:ind w:left="720" w:hanging="360"/>
      </w:pPr>
    </w:lvl>
    <w:lvl w:ilvl="1" w:tplc="099E400C">
      <w:start w:val="1"/>
      <w:numFmt w:val="lowerLetter"/>
      <w:lvlText w:val="%2."/>
      <w:lvlJc w:val="left"/>
      <w:pPr>
        <w:ind w:left="1440" w:hanging="360"/>
      </w:pPr>
    </w:lvl>
    <w:lvl w:ilvl="2" w:tplc="5C48CCB0">
      <w:start w:val="1"/>
      <w:numFmt w:val="lowerRoman"/>
      <w:lvlText w:val="%3."/>
      <w:lvlJc w:val="right"/>
      <w:pPr>
        <w:ind w:left="2160" w:hanging="180"/>
      </w:pPr>
    </w:lvl>
    <w:lvl w:ilvl="3" w:tplc="27569BB8">
      <w:start w:val="1"/>
      <w:numFmt w:val="decimal"/>
      <w:lvlText w:val="%4."/>
      <w:lvlJc w:val="left"/>
      <w:pPr>
        <w:ind w:left="2880" w:hanging="360"/>
      </w:pPr>
    </w:lvl>
    <w:lvl w:ilvl="4" w:tplc="55980A00">
      <w:start w:val="1"/>
      <w:numFmt w:val="lowerLetter"/>
      <w:lvlText w:val="%5."/>
      <w:lvlJc w:val="left"/>
      <w:pPr>
        <w:ind w:left="3600" w:hanging="360"/>
      </w:pPr>
    </w:lvl>
    <w:lvl w:ilvl="5" w:tplc="1590A9F6">
      <w:start w:val="1"/>
      <w:numFmt w:val="lowerRoman"/>
      <w:lvlText w:val="%6."/>
      <w:lvlJc w:val="right"/>
      <w:pPr>
        <w:ind w:left="4320" w:hanging="180"/>
      </w:pPr>
    </w:lvl>
    <w:lvl w:ilvl="6" w:tplc="EF6C848A">
      <w:start w:val="1"/>
      <w:numFmt w:val="decimal"/>
      <w:lvlText w:val="%7."/>
      <w:lvlJc w:val="left"/>
      <w:pPr>
        <w:ind w:left="5040" w:hanging="360"/>
      </w:pPr>
    </w:lvl>
    <w:lvl w:ilvl="7" w:tplc="432A2322">
      <w:start w:val="1"/>
      <w:numFmt w:val="lowerLetter"/>
      <w:lvlText w:val="%8."/>
      <w:lvlJc w:val="left"/>
      <w:pPr>
        <w:ind w:left="5760" w:hanging="360"/>
      </w:pPr>
    </w:lvl>
    <w:lvl w:ilvl="8" w:tplc="1752F490">
      <w:start w:val="1"/>
      <w:numFmt w:val="lowerRoman"/>
      <w:lvlText w:val="%9."/>
      <w:lvlJc w:val="right"/>
      <w:pPr>
        <w:ind w:left="6480" w:hanging="180"/>
      </w:pPr>
    </w:lvl>
  </w:abstractNum>
  <w:abstractNum w:abstractNumId="220" w15:restartNumberingAfterBreak="0">
    <w:nsid w:val="7DEB7838"/>
    <w:multiLevelType w:val="hybridMultilevel"/>
    <w:tmpl w:val="A3D83246"/>
    <w:lvl w:ilvl="0" w:tplc="278EE33A">
      <w:start w:val="1"/>
      <w:numFmt w:val="lowerRoman"/>
      <w:lvlText w:val="(%1)"/>
      <w:lvlJc w:val="left"/>
      <w:pPr>
        <w:ind w:left="7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D44CD5A">
      <w:start w:val="1"/>
      <w:numFmt w:val="lowerLetter"/>
      <w:lvlText w:val="%2"/>
      <w:lvlJc w:val="left"/>
      <w:pPr>
        <w:ind w:left="15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B6CF85E">
      <w:start w:val="1"/>
      <w:numFmt w:val="lowerRoman"/>
      <w:lvlText w:val="%3"/>
      <w:lvlJc w:val="left"/>
      <w:pPr>
        <w:ind w:left="22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24C20A4">
      <w:start w:val="1"/>
      <w:numFmt w:val="decimal"/>
      <w:lvlText w:val="%4"/>
      <w:lvlJc w:val="left"/>
      <w:pPr>
        <w:ind w:left="29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958CAEA">
      <w:start w:val="1"/>
      <w:numFmt w:val="lowerLetter"/>
      <w:lvlText w:val="%5"/>
      <w:lvlJc w:val="left"/>
      <w:pPr>
        <w:ind w:left="37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D88497E">
      <w:start w:val="1"/>
      <w:numFmt w:val="lowerRoman"/>
      <w:lvlText w:val="%6"/>
      <w:lvlJc w:val="left"/>
      <w:pPr>
        <w:ind w:left="44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8DA97EA">
      <w:start w:val="1"/>
      <w:numFmt w:val="decimal"/>
      <w:lvlText w:val="%7"/>
      <w:lvlJc w:val="left"/>
      <w:pPr>
        <w:ind w:left="51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A8C68D6">
      <w:start w:val="1"/>
      <w:numFmt w:val="lowerLetter"/>
      <w:lvlText w:val="%8"/>
      <w:lvlJc w:val="left"/>
      <w:pPr>
        <w:ind w:left="58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DA8AB36">
      <w:start w:val="1"/>
      <w:numFmt w:val="lowerRoman"/>
      <w:lvlText w:val="%9"/>
      <w:lvlJc w:val="left"/>
      <w:pPr>
        <w:ind w:left="65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1" w15:restartNumberingAfterBreak="0">
    <w:nsid w:val="7F8A3169"/>
    <w:multiLevelType w:val="hybridMultilevel"/>
    <w:tmpl w:val="A5D66C66"/>
    <w:lvl w:ilvl="0" w:tplc="E71EF8A8">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02CDAC0">
      <w:start w:val="1"/>
      <w:numFmt w:val="bullet"/>
      <w:lvlText w:val="o"/>
      <w:lvlJc w:val="left"/>
      <w:pPr>
        <w:ind w:left="1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BFEF7AE">
      <w:start w:val="1"/>
      <w:numFmt w:val="bullet"/>
      <w:lvlText w:val="▪"/>
      <w:lvlJc w:val="left"/>
      <w:pPr>
        <w:ind w:left="19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32A8EF0">
      <w:start w:val="1"/>
      <w:numFmt w:val="bullet"/>
      <w:lvlText w:val="•"/>
      <w:lvlJc w:val="left"/>
      <w:pPr>
        <w:ind w:left="26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69A2B56">
      <w:start w:val="1"/>
      <w:numFmt w:val="bullet"/>
      <w:lvlText w:val="o"/>
      <w:lvlJc w:val="left"/>
      <w:pPr>
        <w:ind w:left="33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140D2D6">
      <w:start w:val="1"/>
      <w:numFmt w:val="bullet"/>
      <w:lvlText w:val="▪"/>
      <w:lvlJc w:val="left"/>
      <w:pPr>
        <w:ind w:left="40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86EA668">
      <w:start w:val="1"/>
      <w:numFmt w:val="bullet"/>
      <w:lvlText w:val="•"/>
      <w:lvlJc w:val="left"/>
      <w:pPr>
        <w:ind w:left="47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2EEC8F6">
      <w:start w:val="1"/>
      <w:numFmt w:val="bullet"/>
      <w:lvlText w:val="o"/>
      <w:lvlJc w:val="left"/>
      <w:pPr>
        <w:ind w:left="55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B7CE310">
      <w:start w:val="1"/>
      <w:numFmt w:val="bullet"/>
      <w:lvlText w:val="▪"/>
      <w:lvlJc w:val="left"/>
      <w:pPr>
        <w:ind w:left="62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2" w15:restartNumberingAfterBreak="0">
    <w:nsid w:val="7FAA4BBA"/>
    <w:multiLevelType w:val="multilevel"/>
    <w:tmpl w:val="0F26764E"/>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22"/>
  </w:num>
  <w:num w:numId="2">
    <w:abstractNumId w:val="200"/>
  </w:num>
  <w:num w:numId="3">
    <w:abstractNumId w:val="69"/>
  </w:num>
  <w:num w:numId="4">
    <w:abstractNumId w:val="21"/>
  </w:num>
  <w:num w:numId="5">
    <w:abstractNumId w:val="113"/>
  </w:num>
  <w:num w:numId="6">
    <w:abstractNumId w:val="7"/>
  </w:num>
  <w:num w:numId="7">
    <w:abstractNumId w:val="80"/>
  </w:num>
  <w:num w:numId="8">
    <w:abstractNumId w:val="204"/>
  </w:num>
  <w:num w:numId="9">
    <w:abstractNumId w:val="166"/>
  </w:num>
  <w:num w:numId="10">
    <w:abstractNumId w:val="115"/>
  </w:num>
  <w:num w:numId="11">
    <w:abstractNumId w:val="172"/>
  </w:num>
  <w:num w:numId="12">
    <w:abstractNumId w:val="142"/>
  </w:num>
  <w:num w:numId="13">
    <w:abstractNumId w:val="20"/>
  </w:num>
  <w:num w:numId="14">
    <w:abstractNumId w:val="13"/>
  </w:num>
  <w:num w:numId="15">
    <w:abstractNumId w:val="196"/>
  </w:num>
  <w:num w:numId="16">
    <w:abstractNumId w:val="187"/>
  </w:num>
  <w:num w:numId="17">
    <w:abstractNumId w:val="86"/>
  </w:num>
  <w:num w:numId="18">
    <w:abstractNumId w:val="19"/>
  </w:num>
  <w:num w:numId="19">
    <w:abstractNumId w:val="32"/>
  </w:num>
  <w:num w:numId="20">
    <w:abstractNumId w:val="100"/>
  </w:num>
  <w:num w:numId="21">
    <w:abstractNumId w:val="48"/>
  </w:num>
  <w:num w:numId="22">
    <w:abstractNumId w:val="130"/>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34"/>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33"/>
  </w:num>
  <w:num w:numId="25">
    <w:abstractNumId w:val="214"/>
  </w:num>
  <w:num w:numId="26">
    <w:abstractNumId w:val="218"/>
  </w:num>
  <w:num w:numId="27">
    <w:abstractNumId w:val="203"/>
  </w:num>
  <w:num w:numId="28">
    <w:abstractNumId w:val="65"/>
  </w:num>
  <w:num w:numId="29">
    <w:abstractNumId w:val="206"/>
  </w:num>
  <w:num w:numId="30">
    <w:abstractNumId w:val="178"/>
  </w:num>
  <w:num w:numId="31">
    <w:abstractNumId w:val="156"/>
  </w:num>
  <w:num w:numId="32">
    <w:abstractNumId w:val="101"/>
  </w:num>
  <w:num w:numId="33">
    <w:abstractNumId w:val="148"/>
  </w:num>
  <w:num w:numId="34">
    <w:abstractNumId w:val="98"/>
  </w:num>
  <w:num w:numId="35">
    <w:abstractNumId w:val="53"/>
  </w:num>
  <w:num w:numId="36">
    <w:abstractNumId w:val="155"/>
  </w:num>
  <w:num w:numId="37">
    <w:abstractNumId w:val="188"/>
  </w:num>
  <w:num w:numId="38">
    <w:abstractNumId w:val="99"/>
  </w:num>
  <w:num w:numId="39">
    <w:abstractNumId w:val="186"/>
  </w:num>
  <w:num w:numId="40">
    <w:abstractNumId w:val="212"/>
  </w:num>
  <w:num w:numId="41">
    <w:abstractNumId w:val="10"/>
  </w:num>
  <w:num w:numId="42">
    <w:abstractNumId w:val="163"/>
  </w:num>
  <w:num w:numId="43">
    <w:abstractNumId w:val="67"/>
  </w:num>
  <w:num w:numId="44">
    <w:abstractNumId w:val="125"/>
  </w:num>
  <w:num w:numId="45">
    <w:abstractNumId w:val="30"/>
  </w:num>
  <w:num w:numId="46">
    <w:abstractNumId w:val="27"/>
  </w:num>
  <w:num w:numId="47">
    <w:abstractNumId w:val="147"/>
  </w:num>
  <w:num w:numId="48">
    <w:abstractNumId w:val="194"/>
  </w:num>
  <w:num w:numId="49">
    <w:abstractNumId w:val="37"/>
  </w:num>
  <w:num w:numId="50">
    <w:abstractNumId w:val="179"/>
  </w:num>
  <w:num w:numId="51">
    <w:abstractNumId w:val="49"/>
  </w:num>
  <w:num w:numId="52">
    <w:abstractNumId w:val="11"/>
  </w:num>
  <w:num w:numId="53">
    <w:abstractNumId w:val="89"/>
  </w:num>
  <w:num w:numId="54">
    <w:abstractNumId w:val="129"/>
  </w:num>
  <w:num w:numId="55">
    <w:abstractNumId w:val="25"/>
  </w:num>
  <w:num w:numId="56">
    <w:abstractNumId w:val="79"/>
  </w:num>
  <w:num w:numId="57">
    <w:abstractNumId w:val="79"/>
  </w:num>
  <w:num w:numId="58">
    <w:abstractNumId w:val="79"/>
  </w:num>
  <w:num w:numId="59">
    <w:abstractNumId w:val="222"/>
  </w:num>
  <w:num w:numId="60">
    <w:abstractNumId w:val="177"/>
  </w:num>
  <w:num w:numId="61">
    <w:abstractNumId w:val="54"/>
  </w:num>
  <w:num w:numId="62">
    <w:abstractNumId w:val="119"/>
  </w:num>
  <w:num w:numId="63">
    <w:abstractNumId w:val="145"/>
  </w:num>
  <w:num w:numId="64">
    <w:abstractNumId w:val="219"/>
  </w:num>
  <w:num w:numId="65">
    <w:abstractNumId w:val="35"/>
  </w:num>
  <w:num w:numId="66">
    <w:abstractNumId w:val="64"/>
  </w:num>
  <w:num w:numId="67">
    <w:abstractNumId w:val="210"/>
  </w:num>
  <w:num w:numId="68">
    <w:abstractNumId w:val="1"/>
  </w:num>
  <w:num w:numId="69">
    <w:abstractNumId w:val="83"/>
  </w:num>
  <w:num w:numId="70">
    <w:abstractNumId w:val="74"/>
  </w:num>
  <w:num w:numId="71">
    <w:abstractNumId w:val="197"/>
  </w:num>
  <w:num w:numId="72">
    <w:abstractNumId w:val="173"/>
  </w:num>
  <w:num w:numId="73">
    <w:abstractNumId w:val="168"/>
  </w:num>
  <w:num w:numId="74">
    <w:abstractNumId w:val="158"/>
  </w:num>
  <w:num w:numId="75">
    <w:abstractNumId w:val="159"/>
  </w:num>
  <w:num w:numId="76">
    <w:abstractNumId w:val="175"/>
  </w:num>
  <w:num w:numId="77">
    <w:abstractNumId w:val="112"/>
  </w:num>
  <w:num w:numId="78">
    <w:abstractNumId w:val="6"/>
  </w:num>
  <w:num w:numId="79">
    <w:abstractNumId w:val="108"/>
  </w:num>
  <w:num w:numId="80">
    <w:abstractNumId w:val="182"/>
  </w:num>
  <w:num w:numId="81">
    <w:abstractNumId w:val="136"/>
  </w:num>
  <w:num w:numId="82">
    <w:abstractNumId w:val="55"/>
  </w:num>
  <w:num w:numId="83">
    <w:abstractNumId w:val="46"/>
  </w:num>
  <w:num w:numId="84">
    <w:abstractNumId w:val="167"/>
  </w:num>
  <w:num w:numId="85">
    <w:abstractNumId w:val="170"/>
  </w:num>
  <w:num w:numId="86">
    <w:abstractNumId w:val="87"/>
  </w:num>
  <w:num w:numId="87">
    <w:abstractNumId w:val="208"/>
  </w:num>
  <w:num w:numId="88">
    <w:abstractNumId w:val="198"/>
  </w:num>
  <w:num w:numId="89">
    <w:abstractNumId w:val="59"/>
  </w:num>
  <w:num w:numId="90">
    <w:abstractNumId w:val="62"/>
  </w:num>
  <w:num w:numId="91">
    <w:abstractNumId w:val="72"/>
  </w:num>
  <w:num w:numId="9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16"/>
  </w:num>
  <w:num w:numId="94">
    <w:abstractNumId w:val="139"/>
  </w:num>
  <w:num w:numId="95">
    <w:abstractNumId w:val="102"/>
  </w:num>
  <w:num w:numId="96">
    <w:abstractNumId w:val="185"/>
  </w:num>
  <w:num w:numId="97">
    <w:abstractNumId w:val="40"/>
  </w:num>
  <w:num w:numId="98">
    <w:abstractNumId w:val="157"/>
  </w:num>
  <w:num w:numId="99">
    <w:abstractNumId w:val="44"/>
  </w:num>
  <w:num w:numId="100">
    <w:abstractNumId w:val="132"/>
  </w:num>
  <w:num w:numId="101">
    <w:abstractNumId w:val="56"/>
  </w:num>
  <w:num w:numId="102">
    <w:abstractNumId w:val="103"/>
  </w:num>
  <w:num w:numId="103">
    <w:abstractNumId w:val="47"/>
  </w:num>
  <w:num w:numId="104">
    <w:abstractNumId w:val="134"/>
  </w:num>
  <w:num w:numId="105">
    <w:abstractNumId w:val="202"/>
  </w:num>
  <w:num w:numId="106">
    <w:abstractNumId w:val="121"/>
  </w:num>
  <w:num w:numId="107">
    <w:abstractNumId w:val="176"/>
  </w:num>
  <w:num w:numId="108">
    <w:abstractNumId w:val="96"/>
  </w:num>
  <w:num w:numId="109">
    <w:abstractNumId w:val="151"/>
  </w:num>
  <w:num w:numId="110">
    <w:abstractNumId w:val="71"/>
  </w:num>
  <w:num w:numId="111">
    <w:abstractNumId w:val="23"/>
  </w:num>
  <w:num w:numId="112">
    <w:abstractNumId w:val="24"/>
  </w:num>
  <w:num w:numId="113">
    <w:abstractNumId w:val="201"/>
  </w:num>
  <w:num w:numId="114">
    <w:abstractNumId w:val="211"/>
  </w:num>
  <w:num w:numId="115">
    <w:abstractNumId w:val="149"/>
  </w:num>
  <w:num w:numId="116">
    <w:abstractNumId w:val="180"/>
  </w:num>
  <w:num w:numId="117">
    <w:abstractNumId w:val="91"/>
  </w:num>
  <w:num w:numId="118">
    <w:abstractNumId w:val="110"/>
  </w:num>
  <w:num w:numId="119">
    <w:abstractNumId w:val="5"/>
  </w:num>
  <w:num w:numId="120">
    <w:abstractNumId w:val="131"/>
  </w:num>
  <w:num w:numId="121">
    <w:abstractNumId w:val="191"/>
  </w:num>
  <w:num w:numId="122">
    <w:abstractNumId w:val="90"/>
  </w:num>
  <w:num w:numId="123">
    <w:abstractNumId w:val="133"/>
  </w:num>
  <w:num w:numId="124">
    <w:abstractNumId w:val="128"/>
  </w:num>
  <w:num w:numId="125">
    <w:abstractNumId w:val="78"/>
  </w:num>
  <w:num w:numId="126">
    <w:abstractNumId w:val="217"/>
  </w:num>
  <w:num w:numId="127">
    <w:abstractNumId w:val="57"/>
  </w:num>
  <w:num w:numId="128">
    <w:abstractNumId w:val="109"/>
  </w:num>
  <w:num w:numId="129">
    <w:abstractNumId w:val="22"/>
  </w:num>
  <w:num w:numId="130">
    <w:abstractNumId w:val="183"/>
  </w:num>
  <w:num w:numId="131">
    <w:abstractNumId w:val="17"/>
  </w:num>
  <w:num w:numId="132">
    <w:abstractNumId w:val="116"/>
  </w:num>
  <w:num w:numId="133">
    <w:abstractNumId w:val="36"/>
  </w:num>
  <w:num w:numId="134">
    <w:abstractNumId w:val="16"/>
  </w:num>
  <w:num w:numId="135">
    <w:abstractNumId w:val="117"/>
  </w:num>
  <w:num w:numId="136">
    <w:abstractNumId w:val="50"/>
  </w:num>
  <w:num w:numId="137">
    <w:abstractNumId w:val="9"/>
  </w:num>
  <w:num w:numId="138">
    <w:abstractNumId w:val="153"/>
  </w:num>
  <w:num w:numId="139">
    <w:abstractNumId w:val="68"/>
  </w:num>
  <w:num w:numId="140">
    <w:abstractNumId w:val="12"/>
  </w:num>
  <w:num w:numId="141">
    <w:abstractNumId w:val="123"/>
  </w:num>
  <w:num w:numId="142">
    <w:abstractNumId w:val="154"/>
  </w:num>
  <w:num w:numId="143">
    <w:abstractNumId w:val="77"/>
  </w:num>
  <w:num w:numId="144">
    <w:abstractNumId w:val="92"/>
  </w:num>
  <w:num w:numId="145">
    <w:abstractNumId w:val="138"/>
  </w:num>
  <w:num w:numId="146">
    <w:abstractNumId w:val="42"/>
  </w:num>
  <w:num w:numId="147">
    <w:abstractNumId w:val="39"/>
  </w:num>
  <w:num w:numId="148">
    <w:abstractNumId w:val="114"/>
  </w:num>
  <w:num w:numId="149">
    <w:abstractNumId w:val="95"/>
  </w:num>
  <w:num w:numId="150">
    <w:abstractNumId w:val="14"/>
  </w:num>
  <w:num w:numId="151">
    <w:abstractNumId w:val="174"/>
  </w:num>
  <w:num w:numId="152">
    <w:abstractNumId w:val="15"/>
  </w:num>
  <w:num w:numId="153">
    <w:abstractNumId w:val="195"/>
  </w:num>
  <w:num w:numId="154">
    <w:abstractNumId w:val="171"/>
  </w:num>
  <w:num w:numId="155">
    <w:abstractNumId w:val="181"/>
  </w:num>
  <w:num w:numId="156">
    <w:abstractNumId w:val="45"/>
  </w:num>
  <w:num w:numId="157">
    <w:abstractNumId w:val="41"/>
  </w:num>
  <w:num w:numId="158">
    <w:abstractNumId w:val="144"/>
  </w:num>
  <w:num w:numId="159">
    <w:abstractNumId w:val="31"/>
  </w:num>
  <w:num w:numId="160">
    <w:abstractNumId w:val="120"/>
  </w:num>
  <w:num w:numId="161">
    <w:abstractNumId w:val="76"/>
  </w:num>
  <w:num w:numId="162">
    <w:abstractNumId w:val="215"/>
  </w:num>
  <w:num w:numId="163">
    <w:abstractNumId w:val="26"/>
  </w:num>
  <w:num w:numId="164">
    <w:abstractNumId w:val="146"/>
  </w:num>
  <w:num w:numId="165">
    <w:abstractNumId w:val="160"/>
  </w:num>
  <w:num w:numId="166">
    <w:abstractNumId w:val="60"/>
  </w:num>
  <w:num w:numId="167">
    <w:abstractNumId w:val="106"/>
  </w:num>
  <w:num w:numId="168">
    <w:abstractNumId w:val="126"/>
  </w:num>
  <w:num w:numId="169">
    <w:abstractNumId w:val="207"/>
  </w:num>
  <w:num w:numId="170">
    <w:abstractNumId w:val="70"/>
  </w:num>
  <w:num w:numId="171">
    <w:abstractNumId w:val="118"/>
  </w:num>
  <w:num w:numId="172">
    <w:abstractNumId w:val="189"/>
  </w:num>
  <w:num w:numId="173">
    <w:abstractNumId w:val="143"/>
  </w:num>
  <w:num w:numId="174">
    <w:abstractNumId w:val="152"/>
  </w:num>
  <w:num w:numId="175">
    <w:abstractNumId w:val="104"/>
  </w:num>
  <w:num w:numId="176">
    <w:abstractNumId w:val="85"/>
  </w:num>
  <w:num w:numId="177">
    <w:abstractNumId w:val="66"/>
  </w:num>
  <w:num w:numId="178">
    <w:abstractNumId w:val="205"/>
  </w:num>
  <w:num w:numId="179">
    <w:abstractNumId w:val="52"/>
  </w:num>
  <w:num w:numId="180">
    <w:abstractNumId w:val="150"/>
  </w:num>
  <w:num w:numId="181">
    <w:abstractNumId w:val="107"/>
  </w:num>
  <w:num w:numId="182">
    <w:abstractNumId w:val="63"/>
  </w:num>
  <w:num w:numId="183">
    <w:abstractNumId w:val="137"/>
  </w:num>
  <w:num w:numId="184">
    <w:abstractNumId w:val="164"/>
  </w:num>
  <w:num w:numId="185">
    <w:abstractNumId w:val="18"/>
  </w:num>
  <w:num w:numId="186">
    <w:abstractNumId w:val="184"/>
  </w:num>
  <w:num w:numId="187">
    <w:abstractNumId w:val="84"/>
  </w:num>
  <w:num w:numId="188">
    <w:abstractNumId w:val="93"/>
  </w:num>
  <w:num w:numId="189">
    <w:abstractNumId w:val="8"/>
  </w:num>
  <w:num w:numId="190">
    <w:abstractNumId w:val="162"/>
  </w:num>
  <w:num w:numId="191">
    <w:abstractNumId w:val="221"/>
  </w:num>
  <w:num w:numId="192">
    <w:abstractNumId w:val="43"/>
  </w:num>
  <w:num w:numId="193">
    <w:abstractNumId w:val="3"/>
  </w:num>
  <w:num w:numId="194">
    <w:abstractNumId w:val="105"/>
  </w:num>
  <w:num w:numId="195">
    <w:abstractNumId w:val="2"/>
  </w:num>
  <w:num w:numId="196">
    <w:abstractNumId w:val="127"/>
  </w:num>
  <w:num w:numId="197">
    <w:abstractNumId w:val="141"/>
  </w:num>
  <w:num w:numId="198">
    <w:abstractNumId w:val="38"/>
  </w:num>
  <w:num w:numId="199">
    <w:abstractNumId w:val="51"/>
  </w:num>
  <w:num w:numId="200">
    <w:abstractNumId w:val="169"/>
  </w:num>
  <w:num w:numId="201">
    <w:abstractNumId w:val="75"/>
  </w:num>
  <w:num w:numId="202">
    <w:abstractNumId w:val="4"/>
  </w:num>
  <w:num w:numId="203">
    <w:abstractNumId w:val="29"/>
  </w:num>
  <w:num w:numId="204">
    <w:abstractNumId w:val="58"/>
  </w:num>
  <w:num w:numId="205">
    <w:abstractNumId w:val="209"/>
  </w:num>
  <w:num w:numId="206">
    <w:abstractNumId w:val="111"/>
  </w:num>
  <w:num w:numId="207">
    <w:abstractNumId w:val="94"/>
  </w:num>
  <w:num w:numId="208">
    <w:abstractNumId w:val="61"/>
  </w:num>
  <w:num w:numId="209">
    <w:abstractNumId w:val="213"/>
  </w:num>
  <w:num w:numId="210">
    <w:abstractNumId w:val="88"/>
  </w:num>
  <w:num w:numId="211">
    <w:abstractNumId w:val="190"/>
  </w:num>
  <w:num w:numId="212">
    <w:abstractNumId w:val="220"/>
  </w:num>
  <w:num w:numId="213">
    <w:abstractNumId w:val="199"/>
  </w:num>
  <w:num w:numId="214">
    <w:abstractNumId w:val="82"/>
  </w:num>
  <w:num w:numId="215">
    <w:abstractNumId w:val="97"/>
  </w:num>
  <w:num w:numId="216">
    <w:abstractNumId w:val="140"/>
  </w:num>
  <w:num w:numId="217">
    <w:abstractNumId w:val="165"/>
  </w:num>
  <w:num w:numId="218">
    <w:abstractNumId w:val="73"/>
  </w:num>
  <w:num w:numId="219">
    <w:abstractNumId w:val="192"/>
  </w:num>
  <w:num w:numId="220">
    <w:abstractNumId w:val="124"/>
  </w:num>
  <w:num w:numId="221">
    <w:abstractNumId w:val="193"/>
  </w:num>
  <w:num w:numId="222">
    <w:abstractNumId w:val="28"/>
  </w:num>
  <w:num w:numId="223">
    <w:abstractNumId w:val="81"/>
  </w:num>
  <w:num w:numId="224">
    <w:abstractNumId w:val="161"/>
  </w:num>
  <w:numIdMacAtCleanup w:val="2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de-DE"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GB" w:vendorID="64" w:dllVersion="0" w:nlCheck="1" w:checkStyle="0"/>
  <w:activeWritingStyle w:appName="MSWord" w:lang="en-IE" w:vendorID="64" w:dllVersion="0" w:nlCheck="1" w:checkStyle="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uncil" w:val="true"/>
    <w:docVar w:name="CoverPageOnWordDoc" w:val="false"/>
    <w:docVar w:name="DocStatus" w:val="Green"/>
    <w:docVar w:name="DocuWriteMetaData" w:val="&lt;metadataset docuwriteversion=&quot;4.8.5&quot; technicalblockguid=&quot;4649641047605121205&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CustomFootnote&quot; /&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GName&quot;&gt;_x000d__x000a_    &lt;basicdatatype&gt;_x000d__x000a_      &lt;dgname key=&quot;&quot; /&gt;_x000d__x000a_    &lt;/basicdatatype&gt;_x000d__x000a_  &lt;/metadata&gt;_x000d__x000a_  &lt;metadata key=&quot;md_ContributingService&quot;&gt;_x000d__x000a_    &lt;text&gt;&lt;/text&gt;_x000d__x000a_  &lt;/metadata&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23-11-24&lt;/text&gt;_x000d__x000a_  &lt;/metadata&gt;_x000d__x000a_  &lt;metadata key=&quot;md_Prefix&quot;&gt;_x000d__x000a_    &lt;text&gt;&lt;/text&gt;_x000d__x000a_  &lt;/metadata&gt;_x000d__x000a_  &lt;metadata key=&quot;md_DocumentNumber&quot;&gt;_x000d__x000a_    &lt;text&gt;15835&lt;/text&gt;_x000d__x000a_  &lt;/metadata&gt;_x000d__x000a_  &lt;metadata key=&quot;md_YearDocumentNumber&quot;&gt;_x000d__x000a_    &lt;text&gt;2023&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COFIN 1256&lt;/text&gt;_x000d__x000a_      &lt;text&gt;UEM 405&lt;/text&gt;_x000d__x000a_      &lt;text&gt;FIN 1216&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23/0426(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recipient key=&quot;re_07&quot; text=&quot;Delegations&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ANNEX to the Council Implementing Decision amending Implementing Decision of 17 June 2022 on the approval of the assessment of the recovery and resilience plan for Poland&quot;&gt;&amp;lt;FlowDocument FontFamily=&quot;Segoe UI&quot; FontSize=&quot;12&quot; LineHeight=&quot;6&quot; PageWidth=&quot;329&quot; PagePadding=&quot;2,2,2,2&quot; AllowDrop=&quot;False&quot; xmlns=&quot;http://schemas.microsoft.com/winfx/2006/xaml/presentation&quot;&amp;gt;&amp;lt;Paragraph&amp;gt;ANNEX to the Council Implementing Decision amending Implementing Decision of 17 June 2022 on the approval of the assessment of the recovery and resilience plan for Poland&amp;lt;/Paragraph&amp;gt;&amp;lt;/FlowDocument&amp;gt;&lt;/xaml&gt;_x000d__x000a_  &lt;/metadata&gt;_x000d__x000a_  &lt;metadata key=&quot;md_SubjectFootnote&quot; /&gt;_x000d__x000a_  &lt;metadata key=&quot;md_DG&quot;&gt;_x000d__x000a_    &lt;text&gt;ECOFIN 1A&lt;/text&gt;_x000d__x000a_  &lt;/metadata&gt;_x000d__x000a_  &lt;metadata key=&quot;md_Initials&quot;&gt;_x000d__x000a_    &lt;text&gt;JGR/sr&lt;/text&gt;_x000d__x000a_  &lt;/metadata&gt;_x000d__x000a_  &lt;metadata key=&quot;md_SensitivityLabel&quot;&gt;_x000d__x000a_    &lt;basicdatatype&gt;_x000d__x000a_      &lt;sensitivity_label key=&quot;senslabel_02&quot; text=&quot;NON-PUBLIC&quot; labelid=&quot;b1df41d6-74a9-4a97-809c-213cd32520cc&quot; siteid=&quot;03ad1c97-0a4d-4e82-8f93-27291a6a0767&quot; isdefault=&quot;true&quot; /&gt;_x000d__x000a_    &lt;/basicdatatype&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true&lt;/text&gt;_x000d__x000a_  &lt;/metadata&gt;_x000d__x000a_  &lt;metadata key=&quot;md_SourceDocLanguage&quot;&gt;_x000d__x000a_    &lt;text&gt;DE&lt;/text&gt;_x000d__x000a_  &lt;/metadata&gt;_x000d__x000a_  &lt;metadata key=&quot;md_SourceDocType&quot;&gt;_x000d__x000a_    &lt;text&gt;ANNEX_x000d__x000a_&lt;/text&gt;_x000d__x000a_  &lt;/metadata&gt;_x000d__x000a_  &lt;metadata key=&quot;md_SourceDocTitle&quot;&gt;_x000d__x000a_    &lt;text&gt;to the _x000d__x000a_Proposal for a Council Implementing Decision _x000d__x000a_amending Implementing Decision (EU) (ST 9728/22 INIT; ST/9728/22 ADD 1) of 17 June 2022 on the approval of the assessment of the recovery and resilience plan for Poland&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NB5&quot; /&gt;_x000d__x000a_  &lt;metadata key=&quot;md_CustomNB&quot; /&gt;_x000d__x000a_  &lt;metadata key=&quot;md_Meetings&quot;&gt;_x000d__x000a_    &lt;meetings /&gt;_x000d__x000a_  &lt;/metadata&gt;_x000d__x000a_  &lt;metadata key=&quot;md_VisualRepresentation&quot;&gt;_x000d__x000a_    &lt;basicdatatype&gt;_x000d__x000a_      &lt;originator key=&quot;visrep_02&quot; /&gt;_x000d__x000a_    &lt;/basicdatatype&gt;_x000d__x000a_  &lt;/metadata&gt;_x000d__x000a_  &lt;metadata key=&quot;md_LetterData&quot; /&gt;_x000d__x000a_  &lt;metadata key=&quot;md_InstFrSubWordmark&quot;&gt;_x000d__x000a_    &lt;xaml text=&quot;&quot;&gt;&amp;lt;FlowDocument FontFamily=&quot;Segoe UI&quot; FontSize=&quot;12&quot; PagePadding=&quot;2,2,2,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ocuWriteMetaDataSource1" w:val="&lt;metadataset docuwriteversion=&quot;4.8.5&quot; technicalblockguid=&quot;5649285464044073440&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64&quot; text=&quot;COVER NOTE&quot; /&gt;_x000d__x000a_    &lt;/basicdatatype&gt;_x000d__x000a_  &lt;/metadata&gt;_x000d__x000a_  &lt;metadata key=&quot;md_HeadingText&quot;&gt;_x000d__x000a_    &lt;headingtext text=&quot;COVER NOTE&quot;&gt;_x000d__x000a_      &lt;formattedtext&gt;_x000d__x000a_        &lt;xaml text=&quot;COVER NOTE&quot;&gt;&amp;lt;FlowDocument xmlns=&quot;http://schemas.microsoft.com/winfx/2006/xaml/presentation&quot;&amp;gt;&amp;lt;Paragraph&amp;gt;COVER NOTE&amp;lt;/Paragraph&amp;gt;&amp;lt;/FlowDocument&amp;gt;&lt;/xaml&gt;_x000d__x000a_      &lt;/formattedtext&gt;_x000d__x000a_    &lt;/headingtext&gt;_x000d__x000a_  &lt;/metadata&gt;_x000d__x000a_  &lt;metadata key=&quot;md_CustomFootnote&quot; /&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GName&quot;&gt;_x000d__x000a_    &lt;basicdatatype&gt;_x000d__x000a_      &lt;dgname key=&quot;&quot; /&gt;_x000d__x000a_    &lt;/basicdatatype&gt;_x000d__x000a_  &lt;/metadata&gt;_x000d__x000a_  &lt;metadata key=&quot;md_ContributingService&quot;&gt;_x000d__x000a_    &lt;text&gt;&lt;/text&gt;_x000d__x000a_  &lt;/metadata&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23-11-23&lt;/text&gt;_x000d__x000a_  &lt;/metadata&gt;_x000d__x000a_  &lt;metadata key=&quot;md_Prefix&quot;&gt;_x000d__x000a_    &lt;text&gt;&lt;/text&gt;_x000d__x000a_  &lt;/metadata&gt;_x000d__x000a_  &lt;metadata key=&quot;md_DocumentNumber&quot;&gt;_x000d__x000a_    &lt;text&gt;15835&lt;/text&gt;_x000d__x000a_  &lt;/metadata&gt;_x000d__x000a_  &lt;metadata key=&quot;md_YearDocumentNumber&quot;&gt;_x000d__x000a_    &lt;text&gt;2023&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COFIN 1256&lt;/text&gt;_x000d__x000a_      &lt;text&gt;UEM 405&lt;/text&gt;_x000d__x000a_      &lt;text&gt;FIN 1216&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23/0426(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33&quot; text=&quot;Secretary-General of the European Commission, signed by Ms Martine DEPREZ, Director&quot; /&gt;_x000d__x000a_    &lt;/basicdatatype&gt;_x000d__x000a_  &lt;/metadata&gt;_x000d__x000a_  &lt;metadata key=&quot;md_Recipient&quot;&gt;_x000d__x000a_    &lt;basicdatatype&gt;_x000d__x000a_      &lt;recipient key=&quot;re_47&quot; text=&quot;Ms Thérèse BLANCHET, Secretary-General of the Council of the European Union&quot; /&gt;_x000d__x000a_    &lt;/basicdatatype&gt;_x000d__x000a_  &lt;/metadata&gt;_x000d__x000a_  &lt;metadata key=&quot;md_DateOfReceipt&quot;&gt;_x000d__x000a_    &lt;text&gt;2023-11-22&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ANNEX to the Council Implementing Decision amending Implementing Decision of 17 June 2022 on the approval of the assessment of the recovery and resilience plan for Poland&quot;&gt;&amp;lt;FlowDocument FontFamily=&quot;Segoe UI&quot; FontSize=&quot;12&quot; LineHeight=&quot;6&quot; PageWidth=&quot;329&quot; PagePadding=&quot;2,2,2,2&quot; AllowDrop=&quot;False&quot; xmlns=&quot;http://schemas.microsoft.com/winfx/2006/xaml/presentation&quot;&amp;gt;&amp;lt;Paragraph&amp;gt;ANNEX to the Council Implementing Decision amending Implementing Decision of 17 June 2022 on the approval of the assessment of the recovery and resilience plan for Poland&amp;lt;/Paragraph&amp;gt;&amp;lt;/FlowDocument&amp;gt;&lt;/xaml&gt;_x000d__x000a_  &lt;/metadata&gt;_x000d__x000a_  &lt;metadata key=&quot;md_SubjectFootnote&quot; /&gt;_x000d__x000a_  &lt;metadata key=&quot;md_DG&quot;&gt;_x000d__x000a_    &lt;text&gt;ECOFIN 1A&lt;/text&gt;_x000d__x000a_  &lt;/metadata&gt;_x000d__x000a_  &lt;metadata key=&quot;md_Initials&quot;&gt;_x000d__x000a_    &lt;text&gt;JGR/sr&lt;/text&gt;_x000d__x000a_  &lt;/metadata&gt;_x000d__x000a_  &lt;metadata key=&quot;md_SensitivityLabel&quot;&gt;_x000d__x000a_    &lt;basicdatatype&gt;_x000d__x000a_      &lt;sensitivity_label key=&quot;senslabel_02&quot; text=&quot;NON-PUBLIC&quot; labelid=&quot;b1df41d6-74a9-4a97-809c-213cd32520cc&quot; siteid=&quot;03ad1c97-0a4d-4e82-8f93-27291a6a0767&quot; isdefault=&quot;true&quot; /&gt;_x000d__x000a_    &lt;/basicdatatype&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3&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23&lt;/text&gt;_x000d__x000a_  &lt;/metadata&gt;_x000d__x000a_  &lt;metadata key=&quot;md_Rectif_Source2_Suffixes&quot;&gt;_x000d__x000a_    &lt;text&gt;&lt;/text&gt;_x000d__x000a_  &lt;/metadata&gt;_x000d__x000a_  &lt;metadata key=&quot;md_CoverPageDocWithCouncilFooter&quot;&gt;_x000d__x000a_    &lt;text&gt;true&lt;/text&gt;_x000d__x000a_  &lt;/metadata&gt;_x000d__x000a_  &lt;metadata key=&quot;md_SourceDocLanguage&quot;&gt;_x000d__x000a_    &lt;text&gt;DE&lt;/text&gt;_x000d__x000a_  &lt;/metadata&gt;_x000d__x000a_  &lt;metadata key=&quot;md_SourceDocType&quot;&gt;_x000d__x000a_    &lt;text&gt;ANNEX_x000d__x000a_&lt;/text&gt;_x000d__x000a_  &lt;/metadata&gt;_x000d__x000a_  &lt;metadata key=&quot;md_SourceDocTitle&quot;&gt;_x000d__x000a_    &lt;text&gt;to the _x000d__x000a_Proposal for a Council Implementing Decision _x000d__x000a_amending Implementing Decision (EU) (ST 9728/22 INIT; ST/9728/22 ADD 1) of 17 June 2022 on the approval of the assessment of the recovery and resilience plan for Poland&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NB5&quot; /&gt;_x000d__x000a_  &lt;metadata key=&quot;md_CustomNB&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Segoe UI&quot; FontSize=&quot;12&quot; PagePadding=&quot;2,2,2,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W_KeepCompatibilityMode" w:val="true"/>
    <w:docVar w:name="LW_ACCOMPAGNANT.CP" w:val="des"/>
    <w:docVar w:name="LW_ANNEX_NBR_FIRST" w:val="1"/>
    <w:docVar w:name="LW_ANNEX_NBR_LAST" w:val="1"/>
    <w:docVar w:name="LW_ANNEX_UNIQUE" w:val="1"/>
    <w:docVar w:name="LW_CORRIGENDUM" w:val="&lt;UNUSED&gt;"/>
    <w:docVar w:name="LW_COVERPAGE_EXISTS" w:val="True"/>
    <w:docVar w:name="LW_COVERPAGE_GUID" w:val="C58BE509-2706-44F9-A6E7-9C39F844D953"/>
    <w:docVar w:name="LW_COVERPAGE_TYPE" w:val="1"/>
    <w:docVar w:name="LW_CROSSREFERENCE" w:val="{SWD(2024) 169 final}"/>
    <w:docVar w:name="LW_DocType" w:val="NORMAL"/>
    <w:docVar w:name="LW_EMISSION" w:val="1.7.2024"/>
    <w:docVar w:name="LW_EMISSION_ISODATE" w:val="2024-07-01"/>
    <w:docVar w:name="LW_EMISSION_LOCATION" w:val="BRX"/>
    <w:docVar w:name="LW_EMISSION_PREFIX" w:val="Brüssel, den "/>
    <w:docVar w:name="LW_EMISSION_SUFFIX" w:val=" "/>
    <w:docVar w:name="LW_ID_DOCTYPE_NONLW" w:val="CP-036"/>
    <w:docVar w:name="LW_LANGUE" w:val="DE"/>
    <w:docVar w:name="LW_LEVEL_OF_SENSITIVITY" w:val="Standard treatment"/>
    <w:docVar w:name="LW_NOM.INST" w:val="EUROPÄISCHE KOMMISSION"/>
    <w:docVar w:name="LW_NOM.INST_JOINTDOC" w:val="&lt;EMPTY&gt;"/>
    <w:docVar w:name="LW_OBJETACTEPRINCIPAL.CP" w:val="zur Änderung des Durchführungsbeschlusses (EU) (ST 9728/22 INIT; ST 9728/22 ADD 1) vom 17. Juni 2022 zur Billigung der Bewertung des Aufbau- und Resilienzplans Polens"/>
    <w:docVar w:name="LW_PART_NBR" w:val="1"/>
    <w:docVar w:name="LW_PART_NBR_TOTAL" w:val="1"/>
    <w:docVar w:name="LW_REF.INST.NEW" w:val="COM"/>
    <w:docVar w:name="LW_REF.INST.NEW_ADOPTED" w:val="final"/>
    <w:docVar w:name="LW_REF.INST.NEW_TEXT" w:val="(2024) 2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HANG_x000b_"/>
    <w:docVar w:name="LW_TYPEACTEPRINCIPAL.CP" w:val="Vorschlags für einen DURCHFÜHRUNGSBESCHLUSS DES RATES"/>
    <w:docVar w:name="LwApiVersions" w:val="LW4CoDe 1.24.5.0; LW 9.0, Build 20240221"/>
  </w:docVars>
  <w:rsids>
    <w:rsidRoot w:val="007C4506"/>
    <w:rsid w:val="00000050"/>
    <w:rsid w:val="0000007E"/>
    <w:rsid w:val="0000009C"/>
    <w:rsid w:val="0000013A"/>
    <w:rsid w:val="000002F2"/>
    <w:rsid w:val="00000356"/>
    <w:rsid w:val="00000460"/>
    <w:rsid w:val="00000544"/>
    <w:rsid w:val="00000581"/>
    <w:rsid w:val="00000651"/>
    <w:rsid w:val="00000754"/>
    <w:rsid w:val="000007F1"/>
    <w:rsid w:val="00000894"/>
    <w:rsid w:val="000008DC"/>
    <w:rsid w:val="0000091A"/>
    <w:rsid w:val="00000A51"/>
    <w:rsid w:val="00000C2F"/>
    <w:rsid w:val="00000D89"/>
    <w:rsid w:val="00000E93"/>
    <w:rsid w:val="00000F13"/>
    <w:rsid w:val="00000F64"/>
    <w:rsid w:val="00001020"/>
    <w:rsid w:val="00001155"/>
    <w:rsid w:val="00001275"/>
    <w:rsid w:val="0000155A"/>
    <w:rsid w:val="000015C6"/>
    <w:rsid w:val="000016C3"/>
    <w:rsid w:val="000016D4"/>
    <w:rsid w:val="00001A3D"/>
    <w:rsid w:val="00001A9B"/>
    <w:rsid w:val="00001AAE"/>
    <w:rsid w:val="00001B4B"/>
    <w:rsid w:val="00001BC3"/>
    <w:rsid w:val="00001CB5"/>
    <w:rsid w:val="00001CDE"/>
    <w:rsid w:val="00001E7E"/>
    <w:rsid w:val="00001F1F"/>
    <w:rsid w:val="0000201A"/>
    <w:rsid w:val="00002023"/>
    <w:rsid w:val="000023A6"/>
    <w:rsid w:val="000024A0"/>
    <w:rsid w:val="000026CE"/>
    <w:rsid w:val="0000278E"/>
    <w:rsid w:val="0000281A"/>
    <w:rsid w:val="0000289E"/>
    <w:rsid w:val="000028DC"/>
    <w:rsid w:val="000028FE"/>
    <w:rsid w:val="00002A94"/>
    <w:rsid w:val="00002CB2"/>
    <w:rsid w:val="00002D24"/>
    <w:rsid w:val="00002D80"/>
    <w:rsid w:val="000031D1"/>
    <w:rsid w:val="0000335A"/>
    <w:rsid w:val="000033CD"/>
    <w:rsid w:val="0000351A"/>
    <w:rsid w:val="000036DC"/>
    <w:rsid w:val="00003831"/>
    <w:rsid w:val="00003AF4"/>
    <w:rsid w:val="00003B69"/>
    <w:rsid w:val="00003D70"/>
    <w:rsid w:val="00003DE6"/>
    <w:rsid w:val="00003EEA"/>
    <w:rsid w:val="000041D8"/>
    <w:rsid w:val="00004271"/>
    <w:rsid w:val="00004272"/>
    <w:rsid w:val="00004302"/>
    <w:rsid w:val="0000442A"/>
    <w:rsid w:val="0000451C"/>
    <w:rsid w:val="0000477B"/>
    <w:rsid w:val="00004785"/>
    <w:rsid w:val="00004A54"/>
    <w:rsid w:val="00004A8E"/>
    <w:rsid w:val="00004B0E"/>
    <w:rsid w:val="0000511A"/>
    <w:rsid w:val="00005156"/>
    <w:rsid w:val="0000525E"/>
    <w:rsid w:val="00005409"/>
    <w:rsid w:val="00005693"/>
    <w:rsid w:val="0000576C"/>
    <w:rsid w:val="0000591B"/>
    <w:rsid w:val="00005A81"/>
    <w:rsid w:val="00005B21"/>
    <w:rsid w:val="00005CF2"/>
    <w:rsid w:val="00005CF9"/>
    <w:rsid w:val="00005D28"/>
    <w:rsid w:val="00005D7D"/>
    <w:rsid w:val="00005F11"/>
    <w:rsid w:val="00006009"/>
    <w:rsid w:val="000061CE"/>
    <w:rsid w:val="00006434"/>
    <w:rsid w:val="000064A7"/>
    <w:rsid w:val="000064C9"/>
    <w:rsid w:val="000064CC"/>
    <w:rsid w:val="00006509"/>
    <w:rsid w:val="000065D8"/>
    <w:rsid w:val="00006761"/>
    <w:rsid w:val="00006797"/>
    <w:rsid w:val="00006A26"/>
    <w:rsid w:val="00006A83"/>
    <w:rsid w:val="00006A84"/>
    <w:rsid w:val="00006B00"/>
    <w:rsid w:val="00006FCB"/>
    <w:rsid w:val="0000713B"/>
    <w:rsid w:val="00007608"/>
    <w:rsid w:val="00007640"/>
    <w:rsid w:val="00007671"/>
    <w:rsid w:val="00007709"/>
    <w:rsid w:val="000079DE"/>
    <w:rsid w:val="00007C3E"/>
    <w:rsid w:val="00007C9E"/>
    <w:rsid w:val="00007D19"/>
    <w:rsid w:val="00007DEA"/>
    <w:rsid w:val="00007F35"/>
    <w:rsid w:val="00007F3F"/>
    <w:rsid w:val="00008C9B"/>
    <w:rsid w:val="0000BDEB"/>
    <w:rsid w:val="00010126"/>
    <w:rsid w:val="000101D8"/>
    <w:rsid w:val="000103E1"/>
    <w:rsid w:val="000105D9"/>
    <w:rsid w:val="00010684"/>
    <w:rsid w:val="000106E0"/>
    <w:rsid w:val="0001070A"/>
    <w:rsid w:val="00010760"/>
    <w:rsid w:val="00010768"/>
    <w:rsid w:val="00010959"/>
    <w:rsid w:val="000109D4"/>
    <w:rsid w:val="00010A20"/>
    <w:rsid w:val="00010A6D"/>
    <w:rsid w:val="00010A9B"/>
    <w:rsid w:val="00010AAD"/>
    <w:rsid w:val="00010AFC"/>
    <w:rsid w:val="00010B68"/>
    <w:rsid w:val="00010CD9"/>
    <w:rsid w:val="00010D3A"/>
    <w:rsid w:val="00010E74"/>
    <w:rsid w:val="00010E92"/>
    <w:rsid w:val="00010EE0"/>
    <w:rsid w:val="00010F4B"/>
    <w:rsid w:val="00010F64"/>
    <w:rsid w:val="00010FF8"/>
    <w:rsid w:val="0001115A"/>
    <w:rsid w:val="00011190"/>
    <w:rsid w:val="000113CC"/>
    <w:rsid w:val="000113F6"/>
    <w:rsid w:val="0001144D"/>
    <w:rsid w:val="000115BB"/>
    <w:rsid w:val="000116BA"/>
    <w:rsid w:val="0001176F"/>
    <w:rsid w:val="00011A39"/>
    <w:rsid w:val="00011AD6"/>
    <w:rsid w:val="00011B78"/>
    <w:rsid w:val="00011C42"/>
    <w:rsid w:val="00011C45"/>
    <w:rsid w:val="00011EB0"/>
    <w:rsid w:val="00012044"/>
    <w:rsid w:val="00012181"/>
    <w:rsid w:val="000122D0"/>
    <w:rsid w:val="0001256F"/>
    <w:rsid w:val="0001261E"/>
    <w:rsid w:val="000127CC"/>
    <w:rsid w:val="0001284E"/>
    <w:rsid w:val="00012928"/>
    <w:rsid w:val="000129D4"/>
    <w:rsid w:val="00012B64"/>
    <w:rsid w:val="00012BE6"/>
    <w:rsid w:val="00012C60"/>
    <w:rsid w:val="00012D55"/>
    <w:rsid w:val="00012DB3"/>
    <w:rsid w:val="00012E4E"/>
    <w:rsid w:val="00012F0D"/>
    <w:rsid w:val="00012F92"/>
    <w:rsid w:val="00012F97"/>
    <w:rsid w:val="000131AD"/>
    <w:rsid w:val="000131C5"/>
    <w:rsid w:val="000132DB"/>
    <w:rsid w:val="00013402"/>
    <w:rsid w:val="00013980"/>
    <w:rsid w:val="000139E5"/>
    <w:rsid w:val="00013A4A"/>
    <w:rsid w:val="00013B2B"/>
    <w:rsid w:val="00013C17"/>
    <w:rsid w:val="00013CA4"/>
    <w:rsid w:val="00013F89"/>
    <w:rsid w:val="000140D3"/>
    <w:rsid w:val="00014210"/>
    <w:rsid w:val="0001432C"/>
    <w:rsid w:val="000143A6"/>
    <w:rsid w:val="000143E9"/>
    <w:rsid w:val="00014699"/>
    <w:rsid w:val="000146B5"/>
    <w:rsid w:val="000147CF"/>
    <w:rsid w:val="00014827"/>
    <w:rsid w:val="00014B87"/>
    <w:rsid w:val="00014C0A"/>
    <w:rsid w:val="00014C46"/>
    <w:rsid w:val="00014D32"/>
    <w:rsid w:val="00014D7D"/>
    <w:rsid w:val="00014DDB"/>
    <w:rsid w:val="00014F59"/>
    <w:rsid w:val="00014F71"/>
    <w:rsid w:val="000150FD"/>
    <w:rsid w:val="000151DC"/>
    <w:rsid w:val="000153DA"/>
    <w:rsid w:val="00015482"/>
    <w:rsid w:val="000154D3"/>
    <w:rsid w:val="00015513"/>
    <w:rsid w:val="00015587"/>
    <w:rsid w:val="000155F6"/>
    <w:rsid w:val="00015626"/>
    <w:rsid w:val="00015844"/>
    <w:rsid w:val="000159AF"/>
    <w:rsid w:val="000159FE"/>
    <w:rsid w:val="00015A23"/>
    <w:rsid w:val="00015AC0"/>
    <w:rsid w:val="00015D08"/>
    <w:rsid w:val="00015DDE"/>
    <w:rsid w:val="00015E7F"/>
    <w:rsid w:val="00015F05"/>
    <w:rsid w:val="00015FB9"/>
    <w:rsid w:val="00016051"/>
    <w:rsid w:val="000165A9"/>
    <w:rsid w:val="00016643"/>
    <w:rsid w:val="0001699A"/>
    <w:rsid w:val="00016A9F"/>
    <w:rsid w:val="00016AE5"/>
    <w:rsid w:val="00016C84"/>
    <w:rsid w:val="00016E35"/>
    <w:rsid w:val="00016EA7"/>
    <w:rsid w:val="00016EAC"/>
    <w:rsid w:val="00016EF9"/>
    <w:rsid w:val="0001702F"/>
    <w:rsid w:val="00017183"/>
    <w:rsid w:val="00017229"/>
    <w:rsid w:val="00017296"/>
    <w:rsid w:val="000172E0"/>
    <w:rsid w:val="0001747D"/>
    <w:rsid w:val="00017590"/>
    <w:rsid w:val="00017964"/>
    <w:rsid w:val="00017A48"/>
    <w:rsid w:val="00017CE6"/>
    <w:rsid w:val="00017D59"/>
    <w:rsid w:val="00017D91"/>
    <w:rsid w:val="00017E2E"/>
    <w:rsid w:val="00017E53"/>
    <w:rsid w:val="0001E604"/>
    <w:rsid w:val="0002009A"/>
    <w:rsid w:val="0002017F"/>
    <w:rsid w:val="0002021D"/>
    <w:rsid w:val="00020954"/>
    <w:rsid w:val="000209E9"/>
    <w:rsid w:val="00020A56"/>
    <w:rsid w:val="00020AAF"/>
    <w:rsid w:val="00020D26"/>
    <w:rsid w:val="00020E1E"/>
    <w:rsid w:val="00020E2A"/>
    <w:rsid w:val="00020E45"/>
    <w:rsid w:val="0002102A"/>
    <w:rsid w:val="00021268"/>
    <w:rsid w:val="000212B8"/>
    <w:rsid w:val="00021329"/>
    <w:rsid w:val="00021482"/>
    <w:rsid w:val="0002151E"/>
    <w:rsid w:val="000215A4"/>
    <w:rsid w:val="000216C5"/>
    <w:rsid w:val="00021717"/>
    <w:rsid w:val="0002175A"/>
    <w:rsid w:val="00021831"/>
    <w:rsid w:val="00021877"/>
    <w:rsid w:val="00021A0C"/>
    <w:rsid w:val="00021A53"/>
    <w:rsid w:val="00021A6A"/>
    <w:rsid w:val="00021A9B"/>
    <w:rsid w:val="00021B59"/>
    <w:rsid w:val="00021BFC"/>
    <w:rsid w:val="00021DE6"/>
    <w:rsid w:val="00021E49"/>
    <w:rsid w:val="00022107"/>
    <w:rsid w:val="000224EA"/>
    <w:rsid w:val="000225B6"/>
    <w:rsid w:val="000226CB"/>
    <w:rsid w:val="00022791"/>
    <w:rsid w:val="000227E7"/>
    <w:rsid w:val="000227EF"/>
    <w:rsid w:val="000228DE"/>
    <w:rsid w:val="00022B2A"/>
    <w:rsid w:val="00022B3B"/>
    <w:rsid w:val="00022BD7"/>
    <w:rsid w:val="00022C4E"/>
    <w:rsid w:val="00022DBE"/>
    <w:rsid w:val="00022E18"/>
    <w:rsid w:val="00022E32"/>
    <w:rsid w:val="00023103"/>
    <w:rsid w:val="000231C3"/>
    <w:rsid w:val="000232B4"/>
    <w:rsid w:val="0002330F"/>
    <w:rsid w:val="000234CD"/>
    <w:rsid w:val="0002350F"/>
    <w:rsid w:val="00023643"/>
    <w:rsid w:val="00023997"/>
    <w:rsid w:val="000239CA"/>
    <w:rsid w:val="00023A81"/>
    <w:rsid w:val="00023AF2"/>
    <w:rsid w:val="00023CC9"/>
    <w:rsid w:val="0002404E"/>
    <w:rsid w:val="00024085"/>
    <w:rsid w:val="000240B2"/>
    <w:rsid w:val="000240D2"/>
    <w:rsid w:val="0002426D"/>
    <w:rsid w:val="00024584"/>
    <w:rsid w:val="000245F4"/>
    <w:rsid w:val="000246AE"/>
    <w:rsid w:val="00024886"/>
    <w:rsid w:val="000248CF"/>
    <w:rsid w:val="00024A81"/>
    <w:rsid w:val="00024AB3"/>
    <w:rsid w:val="00024AD9"/>
    <w:rsid w:val="00024B76"/>
    <w:rsid w:val="00024B8D"/>
    <w:rsid w:val="00024BE2"/>
    <w:rsid w:val="00024CE9"/>
    <w:rsid w:val="00024D0D"/>
    <w:rsid w:val="00024D55"/>
    <w:rsid w:val="00025130"/>
    <w:rsid w:val="0002515C"/>
    <w:rsid w:val="000252DF"/>
    <w:rsid w:val="00025604"/>
    <w:rsid w:val="00025687"/>
    <w:rsid w:val="00025760"/>
    <w:rsid w:val="000257BA"/>
    <w:rsid w:val="00025A29"/>
    <w:rsid w:val="00025A79"/>
    <w:rsid w:val="00025B88"/>
    <w:rsid w:val="00025BF2"/>
    <w:rsid w:val="00025C9E"/>
    <w:rsid w:val="00025E2D"/>
    <w:rsid w:val="00025E63"/>
    <w:rsid w:val="00025FA1"/>
    <w:rsid w:val="000260BC"/>
    <w:rsid w:val="000261C6"/>
    <w:rsid w:val="000261CA"/>
    <w:rsid w:val="0002629B"/>
    <w:rsid w:val="0002644D"/>
    <w:rsid w:val="00026494"/>
    <w:rsid w:val="00026520"/>
    <w:rsid w:val="000265BD"/>
    <w:rsid w:val="000266D4"/>
    <w:rsid w:val="00026778"/>
    <w:rsid w:val="000267F3"/>
    <w:rsid w:val="000269EB"/>
    <w:rsid w:val="00026B10"/>
    <w:rsid w:val="00026B58"/>
    <w:rsid w:val="00026D80"/>
    <w:rsid w:val="00026DA8"/>
    <w:rsid w:val="00026E9E"/>
    <w:rsid w:val="00026EE5"/>
    <w:rsid w:val="00026F6C"/>
    <w:rsid w:val="0002708E"/>
    <w:rsid w:val="00027123"/>
    <w:rsid w:val="00027156"/>
    <w:rsid w:val="00027168"/>
    <w:rsid w:val="00027240"/>
    <w:rsid w:val="00027593"/>
    <w:rsid w:val="000275A3"/>
    <w:rsid w:val="0002760E"/>
    <w:rsid w:val="000276B9"/>
    <w:rsid w:val="00027700"/>
    <w:rsid w:val="000277EA"/>
    <w:rsid w:val="000277F7"/>
    <w:rsid w:val="000279F3"/>
    <w:rsid w:val="00027CC5"/>
    <w:rsid w:val="00027D13"/>
    <w:rsid w:val="00027D39"/>
    <w:rsid w:val="00027DD4"/>
    <w:rsid w:val="00027E92"/>
    <w:rsid w:val="00027FEC"/>
    <w:rsid w:val="00030242"/>
    <w:rsid w:val="000302AC"/>
    <w:rsid w:val="000302C7"/>
    <w:rsid w:val="00030305"/>
    <w:rsid w:val="0003041F"/>
    <w:rsid w:val="00030492"/>
    <w:rsid w:val="00030617"/>
    <w:rsid w:val="0003079B"/>
    <w:rsid w:val="00030934"/>
    <w:rsid w:val="000309AF"/>
    <w:rsid w:val="00030CCD"/>
    <w:rsid w:val="00030E69"/>
    <w:rsid w:val="00030E7C"/>
    <w:rsid w:val="00030FDC"/>
    <w:rsid w:val="000310FF"/>
    <w:rsid w:val="00031261"/>
    <w:rsid w:val="000312E0"/>
    <w:rsid w:val="00031304"/>
    <w:rsid w:val="0003137B"/>
    <w:rsid w:val="00031430"/>
    <w:rsid w:val="000314AC"/>
    <w:rsid w:val="00031652"/>
    <w:rsid w:val="00031676"/>
    <w:rsid w:val="000316D8"/>
    <w:rsid w:val="00031701"/>
    <w:rsid w:val="00031894"/>
    <w:rsid w:val="00031935"/>
    <w:rsid w:val="000319A4"/>
    <w:rsid w:val="00031A3F"/>
    <w:rsid w:val="00031A55"/>
    <w:rsid w:val="00031CCD"/>
    <w:rsid w:val="00031EEB"/>
    <w:rsid w:val="00031F76"/>
    <w:rsid w:val="000320A6"/>
    <w:rsid w:val="0003213B"/>
    <w:rsid w:val="000322FF"/>
    <w:rsid w:val="00032406"/>
    <w:rsid w:val="00032481"/>
    <w:rsid w:val="000324F9"/>
    <w:rsid w:val="00032502"/>
    <w:rsid w:val="00032556"/>
    <w:rsid w:val="000326A2"/>
    <w:rsid w:val="000327A9"/>
    <w:rsid w:val="00032839"/>
    <w:rsid w:val="00032860"/>
    <w:rsid w:val="000329B1"/>
    <w:rsid w:val="00032C23"/>
    <w:rsid w:val="00032E12"/>
    <w:rsid w:val="0003309F"/>
    <w:rsid w:val="000330A5"/>
    <w:rsid w:val="00033354"/>
    <w:rsid w:val="000336B9"/>
    <w:rsid w:val="000337DC"/>
    <w:rsid w:val="00033815"/>
    <w:rsid w:val="0003385D"/>
    <w:rsid w:val="00033D22"/>
    <w:rsid w:val="00033DD8"/>
    <w:rsid w:val="00033F6B"/>
    <w:rsid w:val="00034023"/>
    <w:rsid w:val="00034165"/>
    <w:rsid w:val="000342C4"/>
    <w:rsid w:val="00034395"/>
    <w:rsid w:val="000344DA"/>
    <w:rsid w:val="00034787"/>
    <w:rsid w:val="0003488A"/>
    <w:rsid w:val="000348F2"/>
    <w:rsid w:val="0003491A"/>
    <w:rsid w:val="00034942"/>
    <w:rsid w:val="00034A49"/>
    <w:rsid w:val="00034A56"/>
    <w:rsid w:val="00034B9C"/>
    <w:rsid w:val="00035459"/>
    <w:rsid w:val="0003549C"/>
    <w:rsid w:val="0003554F"/>
    <w:rsid w:val="000355D1"/>
    <w:rsid w:val="0003576C"/>
    <w:rsid w:val="000357CE"/>
    <w:rsid w:val="000358BF"/>
    <w:rsid w:val="00035968"/>
    <w:rsid w:val="00035A13"/>
    <w:rsid w:val="00035ABE"/>
    <w:rsid w:val="00035AFF"/>
    <w:rsid w:val="00035B4E"/>
    <w:rsid w:val="00035B9A"/>
    <w:rsid w:val="00035BB1"/>
    <w:rsid w:val="00035BC5"/>
    <w:rsid w:val="00035C8D"/>
    <w:rsid w:val="00035CD8"/>
    <w:rsid w:val="00035FDB"/>
    <w:rsid w:val="000360A2"/>
    <w:rsid w:val="000360CA"/>
    <w:rsid w:val="000360D1"/>
    <w:rsid w:val="000361D3"/>
    <w:rsid w:val="000361ED"/>
    <w:rsid w:val="00036205"/>
    <w:rsid w:val="00036225"/>
    <w:rsid w:val="000362A0"/>
    <w:rsid w:val="000362EC"/>
    <w:rsid w:val="000362F3"/>
    <w:rsid w:val="000363E1"/>
    <w:rsid w:val="000365D3"/>
    <w:rsid w:val="00036683"/>
    <w:rsid w:val="00036773"/>
    <w:rsid w:val="00036849"/>
    <w:rsid w:val="00036B7F"/>
    <w:rsid w:val="00036BBA"/>
    <w:rsid w:val="00036D4D"/>
    <w:rsid w:val="00036D73"/>
    <w:rsid w:val="00036E4C"/>
    <w:rsid w:val="00036E91"/>
    <w:rsid w:val="000371AD"/>
    <w:rsid w:val="000371F2"/>
    <w:rsid w:val="0003729D"/>
    <w:rsid w:val="000372FB"/>
    <w:rsid w:val="0003745B"/>
    <w:rsid w:val="00037604"/>
    <w:rsid w:val="0003766C"/>
    <w:rsid w:val="0003773C"/>
    <w:rsid w:val="00037743"/>
    <w:rsid w:val="00037773"/>
    <w:rsid w:val="000377AE"/>
    <w:rsid w:val="000377CC"/>
    <w:rsid w:val="00037A5A"/>
    <w:rsid w:val="00037DE0"/>
    <w:rsid w:val="00037E7B"/>
    <w:rsid w:val="00040036"/>
    <w:rsid w:val="00040065"/>
    <w:rsid w:val="000401B4"/>
    <w:rsid w:val="000401F0"/>
    <w:rsid w:val="000403FC"/>
    <w:rsid w:val="00040466"/>
    <w:rsid w:val="000405AA"/>
    <w:rsid w:val="000405C8"/>
    <w:rsid w:val="000407CD"/>
    <w:rsid w:val="00040AB4"/>
    <w:rsid w:val="00040BA9"/>
    <w:rsid w:val="00040C75"/>
    <w:rsid w:val="00040D32"/>
    <w:rsid w:val="00040D75"/>
    <w:rsid w:val="00040E6D"/>
    <w:rsid w:val="000410EA"/>
    <w:rsid w:val="0004145D"/>
    <w:rsid w:val="0004151F"/>
    <w:rsid w:val="000415A4"/>
    <w:rsid w:val="000415AB"/>
    <w:rsid w:val="0004162B"/>
    <w:rsid w:val="00041697"/>
    <w:rsid w:val="00041698"/>
    <w:rsid w:val="0004173E"/>
    <w:rsid w:val="000419C8"/>
    <w:rsid w:val="000419EF"/>
    <w:rsid w:val="00041A0A"/>
    <w:rsid w:val="00041AB4"/>
    <w:rsid w:val="00041CDB"/>
    <w:rsid w:val="00041E19"/>
    <w:rsid w:val="00041E28"/>
    <w:rsid w:val="00041ED1"/>
    <w:rsid w:val="00041F7C"/>
    <w:rsid w:val="00041FAC"/>
    <w:rsid w:val="0004207F"/>
    <w:rsid w:val="00042114"/>
    <w:rsid w:val="0004212C"/>
    <w:rsid w:val="000422FC"/>
    <w:rsid w:val="000423A6"/>
    <w:rsid w:val="000424AB"/>
    <w:rsid w:val="0004269E"/>
    <w:rsid w:val="00042834"/>
    <w:rsid w:val="00042936"/>
    <w:rsid w:val="00042966"/>
    <w:rsid w:val="00042A34"/>
    <w:rsid w:val="00042B59"/>
    <w:rsid w:val="00042B90"/>
    <w:rsid w:val="00042C08"/>
    <w:rsid w:val="00042C7A"/>
    <w:rsid w:val="00042C7D"/>
    <w:rsid w:val="00042DA0"/>
    <w:rsid w:val="00042EDF"/>
    <w:rsid w:val="00042EE5"/>
    <w:rsid w:val="00043067"/>
    <w:rsid w:val="00043205"/>
    <w:rsid w:val="00043218"/>
    <w:rsid w:val="00043499"/>
    <w:rsid w:val="000434BB"/>
    <w:rsid w:val="00043724"/>
    <w:rsid w:val="00043754"/>
    <w:rsid w:val="00043766"/>
    <w:rsid w:val="0004378A"/>
    <w:rsid w:val="00043963"/>
    <w:rsid w:val="00043A26"/>
    <w:rsid w:val="00043B52"/>
    <w:rsid w:val="00043B7A"/>
    <w:rsid w:val="00043C59"/>
    <w:rsid w:val="00043ECF"/>
    <w:rsid w:val="00043F69"/>
    <w:rsid w:val="0004406D"/>
    <w:rsid w:val="00044100"/>
    <w:rsid w:val="00044162"/>
    <w:rsid w:val="0004417B"/>
    <w:rsid w:val="000441BE"/>
    <w:rsid w:val="000441EF"/>
    <w:rsid w:val="000442D3"/>
    <w:rsid w:val="0004445E"/>
    <w:rsid w:val="0004469C"/>
    <w:rsid w:val="0004473B"/>
    <w:rsid w:val="00044862"/>
    <w:rsid w:val="000449A8"/>
    <w:rsid w:val="000449AE"/>
    <w:rsid w:val="00045041"/>
    <w:rsid w:val="00045348"/>
    <w:rsid w:val="000453AF"/>
    <w:rsid w:val="000455DD"/>
    <w:rsid w:val="000456D9"/>
    <w:rsid w:val="000457D7"/>
    <w:rsid w:val="000457DE"/>
    <w:rsid w:val="0004588A"/>
    <w:rsid w:val="00045962"/>
    <w:rsid w:val="0004597A"/>
    <w:rsid w:val="0004599E"/>
    <w:rsid w:val="00045B2B"/>
    <w:rsid w:val="00045BEC"/>
    <w:rsid w:val="00045C56"/>
    <w:rsid w:val="00045C65"/>
    <w:rsid w:val="00045D81"/>
    <w:rsid w:val="00045EA2"/>
    <w:rsid w:val="00045F64"/>
    <w:rsid w:val="00046120"/>
    <w:rsid w:val="0004615D"/>
    <w:rsid w:val="00046318"/>
    <w:rsid w:val="00046513"/>
    <w:rsid w:val="00046521"/>
    <w:rsid w:val="00046640"/>
    <w:rsid w:val="000466E9"/>
    <w:rsid w:val="0004673E"/>
    <w:rsid w:val="000467EB"/>
    <w:rsid w:val="00046859"/>
    <w:rsid w:val="00046A01"/>
    <w:rsid w:val="00046CEE"/>
    <w:rsid w:val="00046CFE"/>
    <w:rsid w:val="00046D5C"/>
    <w:rsid w:val="00046F2E"/>
    <w:rsid w:val="00046F75"/>
    <w:rsid w:val="0004713D"/>
    <w:rsid w:val="00047260"/>
    <w:rsid w:val="0004732E"/>
    <w:rsid w:val="000473A9"/>
    <w:rsid w:val="00047445"/>
    <w:rsid w:val="00047575"/>
    <w:rsid w:val="000476A9"/>
    <w:rsid w:val="00047702"/>
    <w:rsid w:val="00047740"/>
    <w:rsid w:val="000477DB"/>
    <w:rsid w:val="0004784E"/>
    <w:rsid w:val="0004793B"/>
    <w:rsid w:val="000479F3"/>
    <w:rsid w:val="00047B47"/>
    <w:rsid w:val="00047B52"/>
    <w:rsid w:val="00047D35"/>
    <w:rsid w:val="00047DA8"/>
    <w:rsid w:val="00047E43"/>
    <w:rsid w:val="0005009F"/>
    <w:rsid w:val="00050178"/>
    <w:rsid w:val="00050192"/>
    <w:rsid w:val="000502AE"/>
    <w:rsid w:val="00050457"/>
    <w:rsid w:val="00050486"/>
    <w:rsid w:val="000507DB"/>
    <w:rsid w:val="000509BC"/>
    <w:rsid w:val="00050A87"/>
    <w:rsid w:val="00050A8F"/>
    <w:rsid w:val="00050ABC"/>
    <w:rsid w:val="00050BA6"/>
    <w:rsid w:val="00051161"/>
    <w:rsid w:val="00051388"/>
    <w:rsid w:val="000514AD"/>
    <w:rsid w:val="00051524"/>
    <w:rsid w:val="00051594"/>
    <w:rsid w:val="0005163A"/>
    <w:rsid w:val="000516A9"/>
    <w:rsid w:val="0005193A"/>
    <w:rsid w:val="00051A09"/>
    <w:rsid w:val="00051D46"/>
    <w:rsid w:val="00051EFE"/>
    <w:rsid w:val="00052050"/>
    <w:rsid w:val="000520EE"/>
    <w:rsid w:val="0005241A"/>
    <w:rsid w:val="00052477"/>
    <w:rsid w:val="0005256E"/>
    <w:rsid w:val="00052642"/>
    <w:rsid w:val="00052661"/>
    <w:rsid w:val="000526FF"/>
    <w:rsid w:val="00052A1D"/>
    <w:rsid w:val="00052BED"/>
    <w:rsid w:val="00052D8D"/>
    <w:rsid w:val="00052DDF"/>
    <w:rsid w:val="00052E3C"/>
    <w:rsid w:val="00052EF0"/>
    <w:rsid w:val="00052F8C"/>
    <w:rsid w:val="000530A7"/>
    <w:rsid w:val="000530E6"/>
    <w:rsid w:val="00053213"/>
    <w:rsid w:val="0005324A"/>
    <w:rsid w:val="000532DA"/>
    <w:rsid w:val="000532E4"/>
    <w:rsid w:val="0005339A"/>
    <w:rsid w:val="00053449"/>
    <w:rsid w:val="00053522"/>
    <w:rsid w:val="000535DD"/>
    <w:rsid w:val="000536F4"/>
    <w:rsid w:val="00053912"/>
    <w:rsid w:val="00053A7B"/>
    <w:rsid w:val="00053AB9"/>
    <w:rsid w:val="00053AE4"/>
    <w:rsid w:val="00053C0A"/>
    <w:rsid w:val="00053C20"/>
    <w:rsid w:val="00053C25"/>
    <w:rsid w:val="00053C7F"/>
    <w:rsid w:val="00053D06"/>
    <w:rsid w:val="00053E4B"/>
    <w:rsid w:val="00053FD9"/>
    <w:rsid w:val="00054174"/>
    <w:rsid w:val="000542EB"/>
    <w:rsid w:val="000543AE"/>
    <w:rsid w:val="000543BD"/>
    <w:rsid w:val="000543F7"/>
    <w:rsid w:val="00054483"/>
    <w:rsid w:val="0005448D"/>
    <w:rsid w:val="0005455F"/>
    <w:rsid w:val="00054624"/>
    <w:rsid w:val="00054695"/>
    <w:rsid w:val="00054704"/>
    <w:rsid w:val="000547D8"/>
    <w:rsid w:val="000548F9"/>
    <w:rsid w:val="0005498E"/>
    <w:rsid w:val="00054990"/>
    <w:rsid w:val="00054A58"/>
    <w:rsid w:val="00054B19"/>
    <w:rsid w:val="00054D5D"/>
    <w:rsid w:val="00054D6D"/>
    <w:rsid w:val="000550E7"/>
    <w:rsid w:val="00055141"/>
    <w:rsid w:val="00055176"/>
    <w:rsid w:val="0005524C"/>
    <w:rsid w:val="000552D6"/>
    <w:rsid w:val="000553BF"/>
    <w:rsid w:val="000556B7"/>
    <w:rsid w:val="000557CC"/>
    <w:rsid w:val="000557DE"/>
    <w:rsid w:val="00055800"/>
    <w:rsid w:val="00055827"/>
    <w:rsid w:val="0005591D"/>
    <w:rsid w:val="00055B36"/>
    <w:rsid w:val="00055BBB"/>
    <w:rsid w:val="00055D5A"/>
    <w:rsid w:val="00055DAA"/>
    <w:rsid w:val="00055E93"/>
    <w:rsid w:val="00056013"/>
    <w:rsid w:val="00056097"/>
    <w:rsid w:val="0005623C"/>
    <w:rsid w:val="000562B8"/>
    <w:rsid w:val="000563B5"/>
    <w:rsid w:val="00056542"/>
    <w:rsid w:val="00056582"/>
    <w:rsid w:val="000565CF"/>
    <w:rsid w:val="000566C9"/>
    <w:rsid w:val="00056A7B"/>
    <w:rsid w:val="00056AA2"/>
    <w:rsid w:val="00056B02"/>
    <w:rsid w:val="00056C15"/>
    <w:rsid w:val="00056CF1"/>
    <w:rsid w:val="00056EF3"/>
    <w:rsid w:val="00056F91"/>
    <w:rsid w:val="0005727D"/>
    <w:rsid w:val="00057339"/>
    <w:rsid w:val="0005740F"/>
    <w:rsid w:val="00057419"/>
    <w:rsid w:val="0005742B"/>
    <w:rsid w:val="0005759F"/>
    <w:rsid w:val="000576BE"/>
    <w:rsid w:val="000577D4"/>
    <w:rsid w:val="0005782A"/>
    <w:rsid w:val="000578E4"/>
    <w:rsid w:val="00057A55"/>
    <w:rsid w:val="00057A72"/>
    <w:rsid w:val="00057AC1"/>
    <w:rsid w:val="00057B2B"/>
    <w:rsid w:val="00057B59"/>
    <w:rsid w:val="00057B5F"/>
    <w:rsid w:val="00057B90"/>
    <w:rsid w:val="00057BA8"/>
    <w:rsid w:val="00057CB7"/>
    <w:rsid w:val="00057D29"/>
    <w:rsid w:val="00057F37"/>
    <w:rsid w:val="0006001F"/>
    <w:rsid w:val="0006006F"/>
    <w:rsid w:val="000600F0"/>
    <w:rsid w:val="0006013B"/>
    <w:rsid w:val="000602AB"/>
    <w:rsid w:val="0006057D"/>
    <w:rsid w:val="000609FE"/>
    <w:rsid w:val="00060AA0"/>
    <w:rsid w:val="00060AD4"/>
    <w:rsid w:val="00060C22"/>
    <w:rsid w:val="00060D75"/>
    <w:rsid w:val="00060EA5"/>
    <w:rsid w:val="00060ED6"/>
    <w:rsid w:val="00060F30"/>
    <w:rsid w:val="00061068"/>
    <w:rsid w:val="0006107A"/>
    <w:rsid w:val="000610BE"/>
    <w:rsid w:val="0006137A"/>
    <w:rsid w:val="000613BD"/>
    <w:rsid w:val="00061487"/>
    <w:rsid w:val="000614D0"/>
    <w:rsid w:val="0006157E"/>
    <w:rsid w:val="00061BD9"/>
    <w:rsid w:val="00061D0C"/>
    <w:rsid w:val="00061D4A"/>
    <w:rsid w:val="00061E31"/>
    <w:rsid w:val="00062321"/>
    <w:rsid w:val="0006238E"/>
    <w:rsid w:val="0006246E"/>
    <w:rsid w:val="0006247D"/>
    <w:rsid w:val="000624CD"/>
    <w:rsid w:val="00062505"/>
    <w:rsid w:val="00062597"/>
    <w:rsid w:val="00062598"/>
    <w:rsid w:val="00062D1D"/>
    <w:rsid w:val="00062D2A"/>
    <w:rsid w:val="00062E8E"/>
    <w:rsid w:val="00063073"/>
    <w:rsid w:val="0006314D"/>
    <w:rsid w:val="000631D1"/>
    <w:rsid w:val="000635DC"/>
    <w:rsid w:val="00063971"/>
    <w:rsid w:val="0006399F"/>
    <w:rsid w:val="00063A83"/>
    <w:rsid w:val="00063BAA"/>
    <w:rsid w:val="00063C34"/>
    <w:rsid w:val="00063FAD"/>
    <w:rsid w:val="00064041"/>
    <w:rsid w:val="00064251"/>
    <w:rsid w:val="00064593"/>
    <w:rsid w:val="00064621"/>
    <w:rsid w:val="00064838"/>
    <w:rsid w:val="00064992"/>
    <w:rsid w:val="00064AA5"/>
    <w:rsid w:val="00064AD1"/>
    <w:rsid w:val="00064AD6"/>
    <w:rsid w:val="00064AF3"/>
    <w:rsid w:val="00064B63"/>
    <w:rsid w:val="00064B91"/>
    <w:rsid w:val="00064BA4"/>
    <w:rsid w:val="00064BCA"/>
    <w:rsid w:val="00064C3E"/>
    <w:rsid w:val="00064C88"/>
    <w:rsid w:val="00064C93"/>
    <w:rsid w:val="00064DD8"/>
    <w:rsid w:val="00064E08"/>
    <w:rsid w:val="00064F7D"/>
    <w:rsid w:val="00065210"/>
    <w:rsid w:val="0006547A"/>
    <w:rsid w:val="00065502"/>
    <w:rsid w:val="00065591"/>
    <w:rsid w:val="000656B2"/>
    <w:rsid w:val="000658F4"/>
    <w:rsid w:val="000659D2"/>
    <w:rsid w:val="00065AAC"/>
    <w:rsid w:val="00065AD6"/>
    <w:rsid w:val="00065C39"/>
    <w:rsid w:val="00065D99"/>
    <w:rsid w:val="00065E20"/>
    <w:rsid w:val="00065EC6"/>
    <w:rsid w:val="00065F9F"/>
    <w:rsid w:val="0006605D"/>
    <w:rsid w:val="000660AF"/>
    <w:rsid w:val="00066473"/>
    <w:rsid w:val="000665FF"/>
    <w:rsid w:val="0006661F"/>
    <w:rsid w:val="000666FA"/>
    <w:rsid w:val="00066A66"/>
    <w:rsid w:val="00066A91"/>
    <w:rsid w:val="00066B5C"/>
    <w:rsid w:val="00066F13"/>
    <w:rsid w:val="00067018"/>
    <w:rsid w:val="000670FB"/>
    <w:rsid w:val="0006714E"/>
    <w:rsid w:val="0006722C"/>
    <w:rsid w:val="000672D0"/>
    <w:rsid w:val="000674D4"/>
    <w:rsid w:val="000675D0"/>
    <w:rsid w:val="0006785A"/>
    <w:rsid w:val="000678FF"/>
    <w:rsid w:val="00067920"/>
    <w:rsid w:val="00067B19"/>
    <w:rsid w:val="00067B5F"/>
    <w:rsid w:val="00067B7C"/>
    <w:rsid w:val="00067CC7"/>
    <w:rsid w:val="00067CEC"/>
    <w:rsid w:val="00067D78"/>
    <w:rsid w:val="00067DEF"/>
    <w:rsid w:val="00067FF6"/>
    <w:rsid w:val="00070090"/>
    <w:rsid w:val="000703D2"/>
    <w:rsid w:val="0007042F"/>
    <w:rsid w:val="0007044B"/>
    <w:rsid w:val="0007063D"/>
    <w:rsid w:val="000706B1"/>
    <w:rsid w:val="00070815"/>
    <w:rsid w:val="00070B73"/>
    <w:rsid w:val="00070DED"/>
    <w:rsid w:val="00070E22"/>
    <w:rsid w:val="00070E7F"/>
    <w:rsid w:val="00070EFB"/>
    <w:rsid w:val="00071051"/>
    <w:rsid w:val="00071171"/>
    <w:rsid w:val="00071273"/>
    <w:rsid w:val="000712BE"/>
    <w:rsid w:val="000712D7"/>
    <w:rsid w:val="00071306"/>
    <w:rsid w:val="0007131A"/>
    <w:rsid w:val="00071358"/>
    <w:rsid w:val="000713E9"/>
    <w:rsid w:val="00071712"/>
    <w:rsid w:val="00071780"/>
    <w:rsid w:val="0007188A"/>
    <w:rsid w:val="000718AF"/>
    <w:rsid w:val="000718CE"/>
    <w:rsid w:val="00071908"/>
    <w:rsid w:val="00071AB8"/>
    <w:rsid w:val="00071BE2"/>
    <w:rsid w:val="00071FCD"/>
    <w:rsid w:val="00071FE7"/>
    <w:rsid w:val="00072067"/>
    <w:rsid w:val="00072337"/>
    <w:rsid w:val="0007257A"/>
    <w:rsid w:val="0007271E"/>
    <w:rsid w:val="00072994"/>
    <w:rsid w:val="000729E8"/>
    <w:rsid w:val="00072A67"/>
    <w:rsid w:val="00072C2A"/>
    <w:rsid w:val="00072C78"/>
    <w:rsid w:val="00072E03"/>
    <w:rsid w:val="00072E16"/>
    <w:rsid w:val="00072E28"/>
    <w:rsid w:val="00072E98"/>
    <w:rsid w:val="00072F57"/>
    <w:rsid w:val="00073041"/>
    <w:rsid w:val="000730F0"/>
    <w:rsid w:val="00073196"/>
    <w:rsid w:val="000732BF"/>
    <w:rsid w:val="00073416"/>
    <w:rsid w:val="0007346E"/>
    <w:rsid w:val="00073550"/>
    <w:rsid w:val="000738E0"/>
    <w:rsid w:val="000738E4"/>
    <w:rsid w:val="0007392A"/>
    <w:rsid w:val="00073B36"/>
    <w:rsid w:val="00073B4C"/>
    <w:rsid w:val="00073C27"/>
    <w:rsid w:val="00073CEA"/>
    <w:rsid w:val="00073D24"/>
    <w:rsid w:val="00073D56"/>
    <w:rsid w:val="00073E5E"/>
    <w:rsid w:val="00073F2E"/>
    <w:rsid w:val="00073FB3"/>
    <w:rsid w:val="00074033"/>
    <w:rsid w:val="000741AD"/>
    <w:rsid w:val="000742A0"/>
    <w:rsid w:val="00074336"/>
    <w:rsid w:val="0007445D"/>
    <w:rsid w:val="00074573"/>
    <w:rsid w:val="000746F3"/>
    <w:rsid w:val="00074794"/>
    <w:rsid w:val="000747F1"/>
    <w:rsid w:val="00074853"/>
    <w:rsid w:val="000749F5"/>
    <w:rsid w:val="00074BAE"/>
    <w:rsid w:val="00074D5B"/>
    <w:rsid w:val="00074E6D"/>
    <w:rsid w:val="00074FA3"/>
    <w:rsid w:val="00075032"/>
    <w:rsid w:val="00075140"/>
    <w:rsid w:val="0007519D"/>
    <w:rsid w:val="000751CA"/>
    <w:rsid w:val="00075213"/>
    <w:rsid w:val="00075256"/>
    <w:rsid w:val="000754C7"/>
    <w:rsid w:val="00075522"/>
    <w:rsid w:val="00075736"/>
    <w:rsid w:val="000758BF"/>
    <w:rsid w:val="0007593E"/>
    <w:rsid w:val="00075A3A"/>
    <w:rsid w:val="00075A7B"/>
    <w:rsid w:val="00075B1C"/>
    <w:rsid w:val="00075B9B"/>
    <w:rsid w:val="00075C0C"/>
    <w:rsid w:val="00075C43"/>
    <w:rsid w:val="00075C64"/>
    <w:rsid w:val="00075C94"/>
    <w:rsid w:val="00075FDB"/>
    <w:rsid w:val="000760FE"/>
    <w:rsid w:val="00076158"/>
    <w:rsid w:val="00076183"/>
    <w:rsid w:val="000762D5"/>
    <w:rsid w:val="00076555"/>
    <w:rsid w:val="0007661D"/>
    <w:rsid w:val="00076881"/>
    <w:rsid w:val="00076884"/>
    <w:rsid w:val="000769E3"/>
    <w:rsid w:val="00076A5D"/>
    <w:rsid w:val="00076A99"/>
    <w:rsid w:val="00076C44"/>
    <w:rsid w:val="00076C7B"/>
    <w:rsid w:val="00076D4B"/>
    <w:rsid w:val="00076D61"/>
    <w:rsid w:val="00076F35"/>
    <w:rsid w:val="00076F3A"/>
    <w:rsid w:val="0007711E"/>
    <w:rsid w:val="000773C8"/>
    <w:rsid w:val="00077714"/>
    <w:rsid w:val="00077720"/>
    <w:rsid w:val="00077846"/>
    <w:rsid w:val="00077938"/>
    <w:rsid w:val="00077987"/>
    <w:rsid w:val="00077A07"/>
    <w:rsid w:val="00077A75"/>
    <w:rsid w:val="00077A81"/>
    <w:rsid w:val="00077A9B"/>
    <w:rsid w:val="00077ACA"/>
    <w:rsid w:val="00077C4D"/>
    <w:rsid w:val="00077CD7"/>
    <w:rsid w:val="00077E1F"/>
    <w:rsid w:val="00077EBE"/>
    <w:rsid w:val="0008008B"/>
    <w:rsid w:val="0008009F"/>
    <w:rsid w:val="00080270"/>
    <w:rsid w:val="000803C7"/>
    <w:rsid w:val="0008054E"/>
    <w:rsid w:val="00080646"/>
    <w:rsid w:val="00080863"/>
    <w:rsid w:val="00080878"/>
    <w:rsid w:val="00080C5A"/>
    <w:rsid w:val="00080DB2"/>
    <w:rsid w:val="00080E14"/>
    <w:rsid w:val="000810D8"/>
    <w:rsid w:val="00081332"/>
    <w:rsid w:val="000814D4"/>
    <w:rsid w:val="0008155F"/>
    <w:rsid w:val="000815E9"/>
    <w:rsid w:val="000815FE"/>
    <w:rsid w:val="000816A4"/>
    <w:rsid w:val="000816E3"/>
    <w:rsid w:val="00081784"/>
    <w:rsid w:val="00081821"/>
    <w:rsid w:val="000818C2"/>
    <w:rsid w:val="00081A95"/>
    <w:rsid w:val="00081A9B"/>
    <w:rsid w:val="00081AC2"/>
    <w:rsid w:val="00081BBB"/>
    <w:rsid w:val="00081BE5"/>
    <w:rsid w:val="00081C01"/>
    <w:rsid w:val="00081C3E"/>
    <w:rsid w:val="00081CFF"/>
    <w:rsid w:val="00081F6F"/>
    <w:rsid w:val="0008219F"/>
    <w:rsid w:val="000821AE"/>
    <w:rsid w:val="0008230E"/>
    <w:rsid w:val="00082387"/>
    <w:rsid w:val="0008244F"/>
    <w:rsid w:val="00082476"/>
    <w:rsid w:val="00082672"/>
    <w:rsid w:val="00082712"/>
    <w:rsid w:val="000827F5"/>
    <w:rsid w:val="00082997"/>
    <w:rsid w:val="000829D2"/>
    <w:rsid w:val="00082E55"/>
    <w:rsid w:val="00082E79"/>
    <w:rsid w:val="00082EC3"/>
    <w:rsid w:val="0008304C"/>
    <w:rsid w:val="0008304F"/>
    <w:rsid w:val="000834D5"/>
    <w:rsid w:val="0008363E"/>
    <w:rsid w:val="0008371D"/>
    <w:rsid w:val="00083735"/>
    <w:rsid w:val="00083810"/>
    <w:rsid w:val="000839D2"/>
    <w:rsid w:val="00083BB2"/>
    <w:rsid w:val="00083C97"/>
    <w:rsid w:val="00083D10"/>
    <w:rsid w:val="00083FBC"/>
    <w:rsid w:val="00083FED"/>
    <w:rsid w:val="000840B9"/>
    <w:rsid w:val="000840C5"/>
    <w:rsid w:val="000841D5"/>
    <w:rsid w:val="000843F7"/>
    <w:rsid w:val="00084410"/>
    <w:rsid w:val="0008443A"/>
    <w:rsid w:val="00084540"/>
    <w:rsid w:val="00084547"/>
    <w:rsid w:val="0008462C"/>
    <w:rsid w:val="00084689"/>
    <w:rsid w:val="00084A34"/>
    <w:rsid w:val="00084C05"/>
    <w:rsid w:val="00084D53"/>
    <w:rsid w:val="00084D74"/>
    <w:rsid w:val="00084EBB"/>
    <w:rsid w:val="00084FA2"/>
    <w:rsid w:val="00085031"/>
    <w:rsid w:val="00085093"/>
    <w:rsid w:val="000850D3"/>
    <w:rsid w:val="00085100"/>
    <w:rsid w:val="000851EC"/>
    <w:rsid w:val="000851F3"/>
    <w:rsid w:val="00085413"/>
    <w:rsid w:val="000854CE"/>
    <w:rsid w:val="000855F2"/>
    <w:rsid w:val="00085699"/>
    <w:rsid w:val="0008578C"/>
    <w:rsid w:val="000857CF"/>
    <w:rsid w:val="00085868"/>
    <w:rsid w:val="00085C57"/>
    <w:rsid w:val="00085C6B"/>
    <w:rsid w:val="00085CB2"/>
    <w:rsid w:val="00085DE9"/>
    <w:rsid w:val="00085EDF"/>
    <w:rsid w:val="00085EEA"/>
    <w:rsid w:val="00085F9D"/>
    <w:rsid w:val="000860E6"/>
    <w:rsid w:val="000860ED"/>
    <w:rsid w:val="0008610E"/>
    <w:rsid w:val="00086159"/>
    <w:rsid w:val="0008644A"/>
    <w:rsid w:val="0008646C"/>
    <w:rsid w:val="000864E1"/>
    <w:rsid w:val="000865DD"/>
    <w:rsid w:val="0008670F"/>
    <w:rsid w:val="0008675C"/>
    <w:rsid w:val="000869D2"/>
    <w:rsid w:val="000869D6"/>
    <w:rsid w:val="00086A9F"/>
    <w:rsid w:val="00086BA1"/>
    <w:rsid w:val="00086BAD"/>
    <w:rsid w:val="00086BF2"/>
    <w:rsid w:val="00086CE5"/>
    <w:rsid w:val="00086D2C"/>
    <w:rsid w:val="00086D95"/>
    <w:rsid w:val="00086DEF"/>
    <w:rsid w:val="00086E36"/>
    <w:rsid w:val="00086E49"/>
    <w:rsid w:val="00086EEA"/>
    <w:rsid w:val="00086FFF"/>
    <w:rsid w:val="00087014"/>
    <w:rsid w:val="0008703C"/>
    <w:rsid w:val="00087107"/>
    <w:rsid w:val="0008719A"/>
    <w:rsid w:val="0008766B"/>
    <w:rsid w:val="0008768B"/>
    <w:rsid w:val="000879F6"/>
    <w:rsid w:val="00087A0B"/>
    <w:rsid w:val="00087B57"/>
    <w:rsid w:val="00087C00"/>
    <w:rsid w:val="00087DA7"/>
    <w:rsid w:val="00087EB1"/>
    <w:rsid w:val="00087FB0"/>
    <w:rsid w:val="00087FD4"/>
    <w:rsid w:val="00087FDF"/>
    <w:rsid w:val="000903BC"/>
    <w:rsid w:val="000903DF"/>
    <w:rsid w:val="000903E1"/>
    <w:rsid w:val="000903E5"/>
    <w:rsid w:val="000904E9"/>
    <w:rsid w:val="00090670"/>
    <w:rsid w:val="00090802"/>
    <w:rsid w:val="000908E5"/>
    <w:rsid w:val="00090928"/>
    <w:rsid w:val="00090952"/>
    <w:rsid w:val="00090957"/>
    <w:rsid w:val="00090978"/>
    <w:rsid w:val="00090B12"/>
    <w:rsid w:val="00090BCF"/>
    <w:rsid w:val="00090CBF"/>
    <w:rsid w:val="00090D56"/>
    <w:rsid w:val="00090EE5"/>
    <w:rsid w:val="00090FA4"/>
    <w:rsid w:val="0009100C"/>
    <w:rsid w:val="00091078"/>
    <w:rsid w:val="0009107A"/>
    <w:rsid w:val="00091103"/>
    <w:rsid w:val="0009126A"/>
    <w:rsid w:val="000912D6"/>
    <w:rsid w:val="000916D4"/>
    <w:rsid w:val="00091700"/>
    <w:rsid w:val="00091703"/>
    <w:rsid w:val="000917B3"/>
    <w:rsid w:val="0009182B"/>
    <w:rsid w:val="0009187C"/>
    <w:rsid w:val="00091C88"/>
    <w:rsid w:val="00091E5F"/>
    <w:rsid w:val="00091E95"/>
    <w:rsid w:val="00091EE3"/>
    <w:rsid w:val="00092039"/>
    <w:rsid w:val="00092071"/>
    <w:rsid w:val="00092356"/>
    <w:rsid w:val="000925CC"/>
    <w:rsid w:val="00092755"/>
    <w:rsid w:val="00092760"/>
    <w:rsid w:val="00092862"/>
    <w:rsid w:val="00092885"/>
    <w:rsid w:val="00092975"/>
    <w:rsid w:val="00092A1A"/>
    <w:rsid w:val="00092A80"/>
    <w:rsid w:val="00092F1D"/>
    <w:rsid w:val="00093016"/>
    <w:rsid w:val="000931A1"/>
    <w:rsid w:val="000932A7"/>
    <w:rsid w:val="000932EB"/>
    <w:rsid w:val="000933B3"/>
    <w:rsid w:val="00093417"/>
    <w:rsid w:val="00093737"/>
    <w:rsid w:val="000937B8"/>
    <w:rsid w:val="000937E4"/>
    <w:rsid w:val="000937E6"/>
    <w:rsid w:val="00093866"/>
    <w:rsid w:val="0009389C"/>
    <w:rsid w:val="00093A98"/>
    <w:rsid w:val="00093AFA"/>
    <w:rsid w:val="00093C62"/>
    <w:rsid w:val="00093D17"/>
    <w:rsid w:val="00093E29"/>
    <w:rsid w:val="00093F34"/>
    <w:rsid w:val="00093FA0"/>
    <w:rsid w:val="00094018"/>
    <w:rsid w:val="000941A4"/>
    <w:rsid w:val="0009421A"/>
    <w:rsid w:val="0009421E"/>
    <w:rsid w:val="00094417"/>
    <w:rsid w:val="00094426"/>
    <w:rsid w:val="0009465A"/>
    <w:rsid w:val="000946DE"/>
    <w:rsid w:val="000946FC"/>
    <w:rsid w:val="00094817"/>
    <w:rsid w:val="0009490F"/>
    <w:rsid w:val="0009492C"/>
    <w:rsid w:val="0009494F"/>
    <w:rsid w:val="00094B8F"/>
    <w:rsid w:val="00094D12"/>
    <w:rsid w:val="00094DDC"/>
    <w:rsid w:val="00094E84"/>
    <w:rsid w:val="00094EF7"/>
    <w:rsid w:val="00094F2E"/>
    <w:rsid w:val="00095054"/>
    <w:rsid w:val="0009515E"/>
    <w:rsid w:val="000951B7"/>
    <w:rsid w:val="00095206"/>
    <w:rsid w:val="00095289"/>
    <w:rsid w:val="000956DB"/>
    <w:rsid w:val="000958A2"/>
    <w:rsid w:val="0009597E"/>
    <w:rsid w:val="00095A9E"/>
    <w:rsid w:val="00095B1B"/>
    <w:rsid w:val="00095E06"/>
    <w:rsid w:val="00095E3E"/>
    <w:rsid w:val="00095EF3"/>
    <w:rsid w:val="00095F28"/>
    <w:rsid w:val="000960E4"/>
    <w:rsid w:val="0009611E"/>
    <w:rsid w:val="0009619E"/>
    <w:rsid w:val="0009624E"/>
    <w:rsid w:val="000962B9"/>
    <w:rsid w:val="0009637C"/>
    <w:rsid w:val="000963AA"/>
    <w:rsid w:val="000963CE"/>
    <w:rsid w:val="00096542"/>
    <w:rsid w:val="00096608"/>
    <w:rsid w:val="00096826"/>
    <w:rsid w:val="0009689B"/>
    <w:rsid w:val="00096986"/>
    <w:rsid w:val="000969AB"/>
    <w:rsid w:val="00096A6B"/>
    <w:rsid w:val="00096C87"/>
    <w:rsid w:val="00096D64"/>
    <w:rsid w:val="00096D97"/>
    <w:rsid w:val="00096DD2"/>
    <w:rsid w:val="00096E6A"/>
    <w:rsid w:val="00097073"/>
    <w:rsid w:val="000971F6"/>
    <w:rsid w:val="00097211"/>
    <w:rsid w:val="0009738D"/>
    <w:rsid w:val="000973FF"/>
    <w:rsid w:val="000978B1"/>
    <w:rsid w:val="00097B51"/>
    <w:rsid w:val="00097C37"/>
    <w:rsid w:val="00097C57"/>
    <w:rsid w:val="00097D5A"/>
    <w:rsid w:val="00097D8E"/>
    <w:rsid w:val="00097DB1"/>
    <w:rsid w:val="00097EA3"/>
    <w:rsid w:val="0009E8E4"/>
    <w:rsid w:val="000A0013"/>
    <w:rsid w:val="000A0062"/>
    <w:rsid w:val="000A009A"/>
    <w:rsid w:val="000A01DA"/>
    <w:rsid w:val="000A0292"/>
    <w:rsid w:val="000A0548"/>
    <w:rsid w:val="000A0573"/>
    <w:rsid w:val="000A067F"/>
    <w:rsid w:val="000A06FD"/>
    <w:rsid w:val="000A0737"/>
    <w:rsid w:val="000A08B0"/>
    <w:rsid w:val="000A0917"/>
    <w:rsid w:val="000A0C38"/>
    <w:rsid w:val="000A0F4E"/>
    <w:rsid w:val="000A0FBD"/>
    <w:rsid w:val="000A102C"/>
    <w:rsid w:val="000A104F"/>
    <w:rsid w:val="000A106D"/>
    <w:rsid w:val="000A1078"/>
    <w:rsid w:val="000A10E7"/>
    <w:rsid w:val="000A1204"/>
    <w:rsid w:val="000A12F7"/>
    <w:rsid w:val="000A144E"/>
    <w:rsid w:val="000A1690"/>
    <w:rsid w:val="000A16C3"/>
    <w:rsid w:val="000A172E"/>
    <w:rsid w:val="000A17EB"/>
    <w:rsid w:val="000A1897"/>
    <w:rsid w:val="000A1AD7"/>
    <w:rsid w:val="000A1B40"/>
    <w:rsid w:val="000A1D68"/>
    <w:rsid w:val="000A1F66"/>
    <w:rsid w:val="000A1F97"/>
    <w:rsid w:val="000A2021"/>
    <w:rsid w:val="000A20BF"/>
    <w:rsid w:val="000A2123"/>
    <w:rsid w:val="000A21E4"/>
    <w:rsid w:val="000A2209"/>
    <w:rsid w:val="000A254B"/>
    <w:rsid w:val="000A258F"/>
    <w:rsid w:val="000A2639"/>
    <w:rsid w:val="000A2642"/>
    <w:rsid w:val="000A26DE"/>
    <w:rsid w:val="000A2716"/>
    <w:rsid w:val="000A289B"/>
    <w:rsid w:val="000A28EB"/>
    <w:rsid w:val="000A2D57"/>
    <w:rsid w:val="000A301D"/>
    <w:rsid w:val="000A3233"/>
    <w:rsid w:val="000A3460"/>
    <w:rsid w:val="000A34C6"/>
    <w:rsid w:val="000A3553"/>
    <w:rsid w:val="000A364C"/>
    <w:rsid w:val="000A3727"/>
    <w:rsid w:val="000A379C"/>
    <w:rsid w:val="000A38E6"/>
    <w:rsid w:val="000A3A2B"/>
    <w:rsid w:val="000A3A31"/>
    <w:rsid w:val="000A3A73"/>
    <w:rsid w:val="000A3B39"/>
    <w:rsid w:val="000A3B75"/>
    <w:rsid w:val="000A41F7"/>
    <w:rsid w:val="000A4317"/>
    <w:rsid w:val="000A4375"/>
    <w:rsid w:val="000A44B4"/>
    <w:rsid w:val="000A466F"/>
    <w:rsid w:val="000A46EC"/>
    <w:rsid w:val="000A479A"/>
    <w:rsid w:val="000A483A"/>
    <w:rsid w:val="000A4942"/>
    <w:rsid w:val="000A49A7"/>
    <w:rsid w:val="000A4B89"/>
    <w:rsid w:val="000A4C87"/>
    <w:rsid w:val="000A4CBD"/>
    <w:rsid w:val="000A4D9F"/>
    <w:rsid w:val="000A4DA4"/>
    <w:rsid w:val="000A4DF5"/>
    <w:rsid w:val="000A5216"/>
    <w:rsid w:val="000A52F9"/>
    <w:rsid w:val="000A536D"/>
    <w:rsid w:val="000A537B"/>
    <w:rsid w:val="000A5386"/>
    <w:rsid w:val="000A54FB"/>
    <w:rsid w:val="000A5508"/>
    <w:rsid w:val="000A551E"/>
    <w:rsid w:val="000A56BD"/>
    <w:rsid w:val="000A56CA"/>
    <w:rsid w:val="000A57CF"/>
    <w:rsid w:val="000A57EF"/>
    <w:rsid w:val="000A5879"/>
    <w:rsid w:val="000A59EE"/>
    <w:rsid w:val="000A5A38"/>
    <w:rsid w:val="000A5AA8"/>
    <w:rsid w:val="000A5BA4"/>
    <w:rsid w:val="000A5D8B"/>
    <w:rsid w:val="000A5F36"/>
    <w:rsid w:val="000A61C1"/>
    <w:rsid w:val="000A6278"/>
    <w:rsid w:val="000A637A"/>
    <w:rsid w:val="000A64E4"/>
    <w:rsid w:val="000A652A"/>
    <w:rsid w:val="000A67A9"/>
    <w:rsid w:val="000A680C"/>
    <w:rsid w:val="000A69C5"/>
    <w:rsid w:val="000A69D2"/>
    <w:rsid w:val="000A69F5"/>
    <w:rsid w:val="000A6A12"/>
    <w:rsid w:val="000A6A77"/>
    <w:rsid w:val="000A6CB9"/>
    <w:rsid w:val="000A6DDE"/>
    <w:rsid w:val="000A7030"/>
    <w:rsid w:val="000A7038"/>
    <w:rsid w:val="000A7130"/>
    <w:rsid w:val="000A72C8"/>
    <w:rsid w:val="000A73E9"/>
    <w:rsid w:val="000A7412"/>
    <w:rsid w:val="000A7425"/>
    <w:rsid w:val="000A74A4"/>
    <w:rsid w:val="000A75CE"/>
    <w:rsid w:val="000A7633"/>
    <w:rsid w:val="000A78F6"/>
    <w:rsid w:val="000A7B37"/>
    <w:rsid w:val="000A7C50"/>
    <w:rsid w:val="000A7C58"/>
    <w:rsid w:val="000A7CB3"/>
    <w:rsid w:val="000A7DC1"/>
    <w:rsid w:val="000A7E04"/>
    <w:rsid w:val="000A7E70"/>
    <w:rsid w:val="000A7E9D"/>
    <w:rsid w:val="000B0114"/>
    <w:rsid w:val="000B03AF"/>
    <w:rsid w:val="000B0456"/>
    <w:rsid w:val="000B0656"/>
    <w:rsid w:val="000B0CA1"/>
    <w:rsid w:val="000B0CBD"/>
    <w:rsid w:val="000B0E05"/>
    <w:rsid w:val="000B0E6F"/>
    <w:rsid w:val="000B0E94"/>
    <w:rsid w:val="000B0F96"/>
    <w:rsid w:val="000B107D"/>
    <w:rsid w:val="000B136C"/>
    <w:rsid w:val="000B13D2"/>
    <w:rsid w:val="000B141F"/>
    <w:rsid w:val="000B1474"/>
    <w:rsid w:val="000B151B"/>
    <w:rsid w:val="000B1588"/>
    <w:rsid w:val="000B18FC"/>
    <w:rsid w:val="000B1A02"/>
    <w:rsid w:val="000B1AD7"/>
    <w:rsid w:val="000B1BDD"/>
    <w:rsid w:val="000B1CD6"/>
    <w:rsid w:val="000B1D00"/>
    <w:rsid w:val="000B1DDF"/>
    <w:rsid w:val="000B1EAF"/>
    <w:rsid w:val="000B1ED6"/>
    <w:rsid w:val="000B2020"/>
    <w:rsid w:val="000B2144"/>
    <w:rsid w:val="000B2159"/>
    <w:rsid w:val="000B2235"/>
    <w:rsid w:val="000B2237"/>
    <w:rsid w:val="000B2262"/>
    <w:rsid w:val="000B22BC"/>
    <w:rsid w:val="000B22E1"/>
    <w:rsid w:val="000B2323"/>
    <w:rsid w:val="000B234C"/>
    <w:rsid w:val="000B2378"/>
    <w:rsid w:val="000B23B9"/>
    <w:rsid w:val="000B2421"/>
    <w:rsid w:val="000B2438"/>
    <w:rsid w:val="000B2471"/>
    <w:rsid w:val="000B24F5"/>
    <w:rsid w:val="000B2780"/>
    <w:rsid w:val="000B27DD"/>
    <w:rsid w:val="000B27F4"/>
    <w:rsid w:val="000B2816"/>
    <w:rsid w:val="000B284D"/>
    <w:rsid w:val="000B2871"/>
    <w:rsid w:val="000B2884"/>
    <w:rsid w:val="000B29D3"/>
    <w:rsid w:val="000B2A3A"/>
    <w:rsid w:val="000B2D31"/>
    <w:rsid w:val="000B2D3F"/>
    <w:rsid w:val="000B2EB8"/>
    <w:rsid w:val="000B2EC9"/>
    <w:rsid w:val="000B2FB5"/>
    <w:rsid w:val="000B2FCE"/>
    <w:rsid w:val="000B30C2"/>
    <w:rsid w:val="000B3104"/>
    <w:rsid w:val="000B311D"/>
    <w:rsid w:val="000B3187"/>
    <w:rsid w:val="000B3217"/>
    <w:rsid w:val="000B3426"/>
    <w:rsid w:val="000B3435"/>
    <w:rsid w:val="000B3700"/>
    <w:rsid w:val="000B37EE"/>
    <w:rsid w:val="000B381F"/>
    <w:rsid w:val="000B3950"/>
    <w:rsid w:val="000B3A2B"/>
    <w:rsid w:val="000B3A3C"/>
    <w:rsid w:val="000B3BB2"/>
    <w:rsid w:val="000B3BF3"/>
    <w:rsid w:val="000B3CB3"/>
    <w:rsid w:val="000B3CF0"/>
    <w:rsid w:val="000B3D01"/>
    <w:rsid w:val="000B3D43"/>
    <w:rsid w:val="000B3F93"/>
    <w:rsid w:val="000B3FE6"/>
    <w:rsid w:val="000B402B"/>
    <w:rsid w:val="000B4125"/>
    <w:rsid w:val="000B427D"/>
    <w:rsid w:val="000B428F"/>
    <w:rsid w:val="000B449F"/>
    <w:rsid w:val="000B4551"/>
    <w:rsid w:val="000B45A8"/>
    <w:rsid w:val="000B45BE"/>
    <w:rsid w:val="000B4656"/>
    <w:rsid w:val="000B4672"/>
    <w:rsid w:val="000B4723"/>
    <w:rsid w:val="000B474D"/>
    <w:rsid w:val="000B4765"/>
    <w:rsid w:val="000B486C"/>
    <w:rsid w:val="000B48C1"/>
    <w:rsid w:val="000B48FE"/>
    <w:rsid w:val="000B49A2"/>
    <w:rsid w:val="000B49EB"/>
    <w:rsid w:val="000B4B79"/>
    <w:rsid w:val="000B4C9B"/>
    <w:rsid w:val="000B4CD4"/>
    <w:rsid w:val="000B4D6B"/>
    <w:rsid w:val="000B4F5C"/>
    <w:rsid w:val="000B509C"/>
    <w:rsid w:val="000B5146"/>
    <w:rsid w:val="000B5397"/>
    <w:rsid w:val="000B54AA"/>
    <w:rsid w:val="000B565F"/>
    <w:rsid w:val="000B57E7"/>
    <w:rsid w:val="000B5882"/>
    <w:rsid w:val="000B5A64"/>
    <w:rsid w:val="000B5AE6"/>
    <w:rsid w:val="000B5B02"/>
    <w:rsid w:val="000B5B51"/>
    <w:rsid w:val="000B5BFA"/>
    <w:rsid w:val="000B5E5B"/>
    <w:rsid w:val="000B5EA0"/>
    <w:rsid w:val="000B60F8"/>
    <w:rsid w:val="000B61D9"/>
    <w:rsid w:val="000B622A"/>
    <w:rsid w:val="000B631E"/>
    <w:rsid w:val="000B6373"/>
    <w:rsid w:val="000B6623"/>
    <w:rsid w:val="000B66BD"/>
    <w:rsid w:val="000B68E3"/>
    <w:rsid w:val="000B6A2C"/>
    <w:rsid w:val="000B6B15"/>
    <w:rsid w:val="000B6B57"/>
    <w:rsid w:val="000B6BD6"/>
    <w:rsid w:val="000B6C7F"/>
    <w:rsid w:val="000B6CA3"/>
    <w:rsid w:val="000B6E0B"/>
    <w:rsid w:val="000B6E52"/>
    <w:rsid w:val="000B70FF"/>
    <w:rsid w:val="000B719C"/>
    <w:rsid w:val="000B71C9"/>
    <w:rsid w:val="000B7238"/>
    <w:rsid w:val="000B7309"/>
    <w:rsid w:val="000B74B9"/>
    <w:rsid w:val="000B74C1"/>
    <w:rsid w:val="000B758F"/>
    <w:rsid w:val="000B7632"/>
    <w:rsid w:val="000B7686"/>
    <w:rsid w:val="000B771B"/>
    <w:rsid w:val="000B773D"/>
    <w:rsid w:val="000B7759"/>
    <w:rsid w:val="000B77C1"/>
    <w:rsid w:val="000B77F4"/>
    <w:rsid w:val="000B787C"/>
    <w:rsid w:val="000B78AC"/>
    <w:rsid w:val="000B78FD"/>
    <w:rsid w:val="000B79E4"/>
    <w:rsid w:val="000B7A20"/>
    <w:rsid w:val="000B7A6A"/>
    <w:rsid w:val="000B7B91"/>
    <w:rsid w:val="000B7B96"/>
    <w:rsid w:val="000B7CB3"/>
    <w:rsid w:val="000B7D3F"/>
    <w:rsid w:val="000B7ED0"/>
    <w:rsid w:val="000B7F40"/>
    <w:rsid w:val="000B7FEE"/>
    <w:rsid w:val="000C010C"/>
    <w:rsid w:val="000C0112"/>
    <w:rsid w:val="000C011C"/>
    <w:rsid w:val="000C014F"/>
    <w:rsid w:val="000C01E7"/>
    <w:rsid w:val="000C01E9"/>
    <w:rsid w:val="000C0291"/>
    <w:rsid w:val="000C0512"/>
    <w:rsid w:val="000C07F8"/>
    <w:rsid w:val="000C0C32"/>
    <w:rsid w:val="000C0D29"/>
    <w:rsid w:val="000C0F39"/>
    <w:rsid w:val="000C10BA"/>
    <w:rsid w:val="000C110D"/>
    <w:rsid w:val="000C1161"/>
    <w:rsid w:val="000C11FB"/>
    <w:rsid w:val="000C1410"/>
    <w:rsid w:val="000C144B"/>
    <w:rsid w:val="000C1496"/>
    <w:rsid w:val="000C167D"/>
    <w:rsid w:val="000C16BB"/>
    <w:rsid w:val="000C181C"/>
    <w:rsid w:val="000C1920"/>
    <w:rsid w:val="000C1984"/>
    <w:rsid w:val="000C19AA"/>
    <w:rsid w:val="000C19E8"/>
    <w:rsid w:val="000C1A2B"/>
    <w:rsid w:val="000C1A37"/>
    <w:rsid w:val="000C1AE9"/>
    <w:rsid w:val="000C1E1C"/>
    <w:rsid w:val="000C1FE7"/>
    <w:rsid w:val="000C209C"/>
    <w:rsid w:val="000C20FC"/>
    <w:rsid w:val="000C22F0"/>
    <w:rsid w:val="000C2309"/>
    <w:rsid w:val="000C231C"/>
    <w:rsid w:val="000C2332"/>
    <w:rsid w:val="000C2347"/>
    <w:rsid w:val="000C2373"/>
    <w:rsid w:val="000C24F6"/>
    <w:rsid w:val="000C2703"/>
    <w:rsid w:val="000C27C2"/>
    <w:rsid w:val="000C2929"/>
    <w:rsid w:val="000C29C5"/>
    <w:rsid w:val="000C2A1E"/>
    <w:rsid w:val="000C2AC2"/>
    <w:rsid w:val="000C2DC7"/>
    <w:rsid w:val="000C2DDA"/>
    <w:rsid w:val="000C2F1D"/>
    <w:rsid w:val="000C2F85"/>
    <w:rsid w:val="000C2FE4"/>
    <w:rsid w:val="000C303B"/>
    <w:rsid w:val="000C315D"/>
    <w:rsid w:val="000C31CC"/>
    <w:rsid w:val="000C3217"/>
    <w:rsid w:val="000C3267"/>
    <w:rsid w:val="000C328B"/>
    <w:rsid w:val="000C3305"/>
    <w:rsid w:val="000C33B1"/>
    <w:rsid w:val="000C33C9"/>
    <w:rsid w:val="000C3559"/>
    <w:rsid w:val="000C3615"/>
    <w:rsid w:val="000C383F"/>
    <w:rsid w:val="000C39B1"/>
    <w:rsid w:val="000C3A71"/>
    <w:rsid w:val="000C3A75"/>
    <w:rsid w:val="000C3BB5"/>
    <w:rsid w:val="000C3E88"/>
    <w:rsid w:val="000C4077"/>
    <w:rsid w:val="000C4337"/>
    <w:rsid w:val="000C43AA"/>
    <w:rsid w:val="000C4623"/>
    <w:rsid w:val="000C493E"/>
    <w:rsid w:val="000C494D"/>
    <w:rsid w:val="000C495C"/>
    <w:rsid w:val="000C4A90"/>
    <w:rsid w:val="000C4B15"/>
    <w:rsid w:val="000C4B77"/>
    <w:rsid w:val="000C4C76"/>
    <w:rsid w:val="000C4CBD"/>
    <w:rsid w:val="000C4CF4"/>
    <w:rsid w:val="000C4D8B"/>
    <w:rsid w:val="000C4EBA"/>
    <w:rsid w:val="000C507E"/>
    <w:rsid w:val="000C5172"/>
    <w:rsid w:val="000C5182"/>
    <w:rsid w:val="000C519C"/>
    <w:rsid w:val="000C534A"/>
    <w:rsid w:val="000C5371"/>
    <w:rsid w:val="000C537C"/>
    <w:rsid w:val="000C53EB"/>
    <w:rsid w:val="000C54C4"/>
    <w:rsid w:val="000C5531"/>
    <w:rsid w:val="000C554D"/>
    <w:rsid w:val="000C555C"/>
    <w:rsid w:val="000C5678"/>
    <w:rsid w:val="000C5850"/>
    <w:rsid w:val="000C5921"/>
    <w:rsid w:val="000C594A"/>
    <w:rsid w:val="000C5954"/>
    <w:rsid w:val="000C5BD7"/>
    <w:rsid w:val="000C5CA1"/>
    <w:rsid w:val="000C5ED9"/>
    <w:rsid w:val="000C5F06"/>
    <w:rsid w:val="000C6049"/>
    <w:rsid w:val="000C60B0"/>
    <w:rsid w:val="000C6222"/>
    <w:rsid w:val="000C63D6"/>
    <w:rsid w:val="000C646A"/>
    <w:rsid w:val="000C6839"/>
    <w:rsid w:val="000C6955"/>
    <w:rsid w:val="000C69C3"/>
    <w:rsid w:val="000C69F1"/>
    <w:rsid w:val="000C6AA7"/>
    <w:rsid w:val="000C6AE7"/>
    <w:rsid w:val="000C6B5A"/>
    <w:rsid w:val="000C6CEA"/>
    <w:rsid w:val="000C6D9F"/>
    <w:rsid w:val="000C6E38"/>
    <w:rsid w:val="000C6E93"/>
    <w:rsid w:val="000C6EAD"/>
    <w:rsid w:val="000C6F26"/>
    <w:rsid w:val="000C6FD9"/>
    <w:rsid w:val="000C7240"/>
    <w:rsid w:val="000C7321"/>
    <w:rsid w:val="000C7344"/>
    <w:rsid w:val="000C7559"/>
    <w:rsid w:val="000C7746"/>
    <w:rsid w:val="000C7953"/>
    <w:rsid w:val="000C7995"/>
    <w:rsid w:val="000C7A0E"/>
    <w:rsid w:val="000C7A1B"/>
    <w:rsid w:val="000C7AD0"/>
    <w:rsid w:val="000C7CB1"/>
    <w:rsid w:val="000C7DF5"/>
    <w:rsid w:val="000C7E69"/>
    <w:rsid w:val="000C7EB3"/>
    <w:rsid w:val="000D0099"/>
    <w:rsid w:val="000D00B5"/>
    <w:rsid w:val="000D0233"/>
    <w:rsid w:val="000D02DE"/>
    <w:rsid w:val="000D0313"/>
    <w:rsid w:val="000D05CA"/>
    <w:rsid w:val="000D05F2"/>
    <w:rsid w:val="000D0620"/>
    <w:rsid w:val="000D07CC"/>
    <w:rsid w:val="000D0C01"/>
    <w:rsid w:val="000D0CDA"/>
    <w:rsid w:val="000D0DD4"/>
    <w:rsid w:val="000D1069"/>
    <w:rsid w:val="000D106D"/>
    <w:rsid w:val="000D10B7"/>
    <w:rsid w:val="000D1217"/>
    <w:rsid w:val="000D1286"/>
    <w:rsid w:val="000D12F1"/>
    <w:rsid w:val="000D1394"/>
    <w:rsid w:val="000D13C4"/>
    <w:rsid w:val="000D1424"/>
    <w:rsid w:val="000D1588"/>
    <w:rsid w:val="000D1775"/>
    <w:rsid w:val="000D1784"/>
    <w:rsid w:val="000D17AE"/>
    <w:rsid w:val="000D18F8"/>
    <w:rsid w:val="000D1927"/>
    <w:rsid w:val="000D1A0C"/>
    <w:rsid w:val="000D1A28"/>
    <w:rsid w:val="000D1A37"/>
    <w:rsid w:val="000D1B13"/>
    <w:rsid w:val="000D1B68"/>
    <w:rsid w:val="000D1CA7"/>
    <w:rsid w:val="000D1D8B"/>
    <w:rsid w:val="000D1DB8"/>
    <w:rsid w:val="000D1EA2"/>
    <w:rsid w:val="000D201D"/>
    <w:rsid w:val="000D2055"/>
    <w:rsid w:val="000D2064"/>
    <w:rsid w:val="000D226E"/>
    <w:rsid w:val="000D22E8"/>
    <w:rsid w:val="000D23A9"/>
    <w:rsid w:val="000D23B1"/>
    <w:rsid w:val="000D2491"/>
    <w:rsid w:val="000D24F8"/>
    <w:rsid w:val="000D255E"/>
    <w:rsid w:val="000D25C5"/>
    <w:rsid w:val="000D2607"/>
    <w:rsid w:val="000D271A"/>
    <w:rsid w:val="000D2753"/>
    <w:rsid w:val="000D2901"/>
    <w:rsid w:val="000D2B77"/>
    <w:rsid w:val="000D2BFF"/>
    <w:rsid w:val="000D2C5A"/>
    <w:rsid w:val="000D2E12"/>
    <w:rsid w:val="000D2FD6"/>
    <w:rsid w:val="000D2FED"/>
    <w:rsid w:val="000D3028"/>
    <w:rsid w:val="000D306A"/>
    <w:rsid w:val="000D3276"/>
    <w:rsid w:val="000D32DB"/>
    <w:rsid w:val="000D3400"/>
    <w:rsid w:val="000D344F"/>
    <w:rsid w:val="000D34AC"/>
    <w:rsid w:val="000D34D8"/>
    <w:rsid w:val="000D38E7"/>
    <w:rsid w:val="000D38FC"/>
    <w:rsid w:val="000D3B46"/>
    <w:rsid w:val="000D3B69"/>
    <w:rsid w:val="000D3B84"/>
    <w:rsid w:val="000D3BCB"/>
    <w:rsid w:val="000D3BE3"/>
    <w:rsid w:val="000D3F27"/>
    <w:rsid w:val="000D404E"/>
    <w:rsid w:val="000D4073"/>
    <w:rsid w:val="000D40B9"/>
    <w:rsid w:val="000D4126"/>
    <w:rsid w:val="000D4167"/>
    <w:rsid w:val="000D42DE"/>
    <w:rsid w:val="000D43DC"/>
    <w:rsid w:val="000D4490"/>
    <w:rsid w:val="000D4509"/>
    <w:rsid w:val="000D4577"/>
    <w:rsid w:val="000D47D3"/>
    <w:rsid w:val="000D4968"/>
    <w:rsid w:val="000D4ACE"/>
    <w:rsid w:val="000D4C4E"/>
    <w:rsid w:val="000D4DDF"/>
    <w:rsid w:val="000D4DF9"/>
    <w:rsid w:val="000D4FB4"/>
    <w:rsid w:val="000D517E"/>
    <w:rsid w:val="000D5203"/>
    <w:rsid w:val="000D5232"/>
    <w:rsid w:val="000D52E5"/>
    <w:rsid w:val="000D530C"/>
    <w:rsid w:val="000D5343"/>
    <w:rsid w:val="000D543C"/>
    <w:rsid w:val="000D54CA"/>
    <w:rsid w:val="000D5731"/>
    <w:rsid w:val="000D5841"/>
    <w:rsid w:val="000D5BF3"/>
    <w:rsid w:val="000D611E"/>
    <w:rsid w:val="000D6161"/>
    <w:rsid w:val="000D6211"/>
    <w:rsid w:val="000D62C4"/>
    <w:rsid w:val="000D65E1"/>
    <w:rsid w:val="000D664B"/>
    <w:rsid w:val="000D6786"/>
    <w:rsid w:val="000D67E0"/>
    <w:rsid w:val="000D68ED"/>
    <w:rsid w:val="000D6908"/>
    <w:rsid w:val="000D6B04"/>
    <w:rsid w:val="000D6B05"/>
    <w:rsid w:val="000D6B32"/>
    <w:rsid w:val="000D6B66"/>
    <w:rsid w:val="000D6B96"/>
    <w:rsid w:val="000D6C37"/>
    <w:rsid w:val="000D6CC1"/>
    <w:rsid w:val="000D6D87"/>
    <w:rsid w:val="000D6E57"/>
    <w:rsid w:val="000D6F19"/>
    <w:rsid w:val="000D6F91"/>
    <w:rsid w:val="000D7105"/>
    <w:rsid w:val="000D7135"/>
    <w:rsid w:val="000D7188"/>
    <w:rsid w:val="000D71FE"/>
    <w:rsid w:val="000D730A"/>
    <w:rsid w:val="000D73F1"/>
    <w:rsid w:val="000D7444"/>
    <w:rsid w:val="000D7593"/>
    <w:rsid w:val="000D77B0"/>
    <w:rsid w:val="000D77D4"/>
    <w:rsid w:val="000D78B8"/>
    <w:rsid w:val="000D7A09"/>
    <w:rsid w:val="000D7A62"/>
    <w:rsid w:val="000D7ADD"/>
    <w:rsid w:val="000D7BD4"/>
    <w:rsid w:val="000D7CA8"/>
    <w:rsid w:val="000D7CCE"/>
    <w:rsid w:val="000D7CF8"/>
    <w:rsid w:val="000D7D89"/>
    <w:rsid w:val="000D7DB4"/>
    <w:rsid w:val="000E001B"/>
    <w:rsid w:val="000E016F"/>
    <w:rsid w:val="000E034B"/>
    <w:rsid w:val="000E03E0"/>
    <w:rsid w:val="000E055E"/>
    <w:rsid w:val="000E0593"/>
    <w:rsid w:val="000E0AAB"/>
    <w:rsid w:val="000E0B19"/>
    <w:rsid w:val="000E0B60"/>
    <w:rsid w:val="000E0CB2"/>
    <w:rsid w:val="000E0D0E"/>
    <w:rsid w:val="000E0E1B"/>
    <w:rsid w:val="000E0E69"/>
    <w:rsid w:val="000E0EFC"/>
    <w:rsid w:val="000E0F86"/>
    <w:rsid w:val="000E0FCD"/>
    <w:rsid w:val="000E10D2"/>
    <w:rsid w:val="000E116C"/>
    <w:rsid w:val="000E119C"/>
    <w:rsid w:val="000E11A8"/>
    <w:rsid w:val="000E12FB"/>
    <w:rsid w:val="000E1337"/>
    <w:rsid w:val="000E13B6"/>
    <w:rsid w:val="000E14F0"/>
    <w:rsid w:val="000E154C"/>
    <w:rsid w:val="000E15F9"/>
    <w:rsid w:val="000E160A"/>
    <w:rsid w:val="000E16E6"/>
    <w:rsid w:val="000E16F7"/>
    <w:rsid w:val="000E1764"/>
    <w:rsid w:val="000E1813"/>
    <w:rsid w:val="000E19D2"/>
    <w:rsid w:val="000E1B83"/>
    <w:rsid w:val="000E1DBF"/>
    <w:rsid w:val="000E1FFC"/>
    <w:rsid w:val="000E2082"/>
    <w:rsid w:val="000E2214"/>
    <w:rsid w:val="000E2268"/>
    <w:rsid w:val="000E242C"/>
    <w:rsid w:val="000E249C"/>
    <w:rsid w:val="000E2526"/>
    <w:rsid w:val="000E25D1"/>
    <w:rsid w:val="000E25DC"/>
    <w:rsid w:val="000E290D"/>
    <w:rsid w:val="000E2B37"/>
    <w:rsid w:val="000E2BAE"/>
    <w:rsid w:val="000E2CFB"/>
    <w:rsid w:val="000E2D44"/>
    <w:rsid w:val="000E32A8"/>
    <w:rsid w:val="000E3304"/>
    <w:rsid w:val="000E3318"/>
    <w:rsid w:val="000E336E"/>
    <w:rsid w:val="000E341A"/>
    <w:rsid w:val="000E34D5"/>
    <w:rsid w:val="000E355F"/>
    <w:rsid w:val="000E3571"/>
    <w:rsid w:val="000E37B8"/>
    <w:rsid w:val="000E386C"/>
    <w:rsid w:val="000E3873"/>
    <w:rsid w:val="000E398C"/>
    <w:rsid w:val="000E39CA"/>
    <w:rsid w:val="000E3D5C"/>
    <w:rsid w:val="000E3DE4"/>
    <w:rsid w:val="000E3EFF"/>
    <w:rsid w:val="000E4101"/>
    <w:rsid w:val="000E41D3"/>
    <w:rsid w:val="000E44AE"/>
    <w:rsid w:val="000E45A8"/>
    <w:rsid w:val="000E45FD"/>
    <w:rsid w:val="000E46AA"/>
    <w:rsid w:val="000E471B"/>
    <w:rsid w:val="000E486B"/>
    <w:rsid w:val="000E49F7"/>
    <w:rsid w:val="000E4AB6"/>
    <w:rsid w:val="000E4BD8"/>
    <w:rsid w:val="000E4C51"/>
    <w:rsid w:val="000E4E41"/>
    <w:rsid w:val="000E4F1B"/>
    <w:rsid w:val="000E510A"/>
    <w:rsid w:val="000E5122"/>
    <w:rsid w:val="000E522B"/>
    <w:rsid w:val="000E5366"/>
    <w:rsid w:val="000E5408"/>
    <w:rsid w:val="000E54FF"/>
    <w:rsid w:val="000E55C6"/>
    <w:rsid w:val="000E560B"/>
    <w:rsid w:val="000E56D8"/>
    <w:rsid w:val="000E5755"/>
    <w:rsid w:val="000E576C"/>
    <w:rsid w:val="000E592E"/>
    <w:rsid w:val="000E59A1"/>
    <w:rsid w:val="000E5AA1"/>
    <w:rsid w:val="000E5EED"/>
    <w:rsid w:val="000E5F48"/>
    <w:rsid w:val="000E5FB2"/>
    <w:rsid w:val="000E61DB"/>
    <w:rsid w:val="000E621F"/>
    <w:rsid w:val="000E6391"/>
    <w:rsid w:val="000E63A8"/>
    <w:rsid w:val="000E6478"/>
    <w:rsid w:val="000E6492"/>
    <w:rsid w:val="000E64D1"/>
    <w:rsid w:val="000E66BE"/>
    <w:rsid w:val="000E66CD"/>
    <w:rsid w:val="000E6782"/>
    <w:rsid w:val="000E6900"/>
    <w:rsid w:val="000E691C"/>
    <w:rsid w:val="000E6967"/>
    <w:rsid w:val="000E6994"/>
    <w:rsid w:val="000E69B6"/>
    <w:rsid w:val="000E6C22"/>
    <w:rsid w:val="000E6CF5"/>
    <w:rsid w:val="000E6E07"/>
    <w:rsid w:val="000E6EED"/>
    <w:rsid w:val="000E6F5C"/>
    <w:rsid w:val="000E6FDE"/>
    <w:rsid w:val="000E7276"/>
    <w:rsid w:val="000E753E"/>
    <w:rsid w:val="000E7621"/>
    <w:rsid w:val="000E775F"/>
    <w:rsid w:val="000E7811"/>
    <w:rsid w:val="000E782F"/>
    <w:rsid w:val="000E79B6"/>
    <w:rsid w:val="000E7A89"/>
    <w:rsid w:val="000E7AE6"/>
    <w:rsid w:val="000E7CA8"/>
    <w:rsid w:val="000E7CF0"/>
    <w:rsid w:val="000E7D42"/>
    <w:rsid w:val="000E7D4B"/>
    <w:rsid w:val="000E7E0E"/>
    <w:rsid w:val="000ECA4A"/>
    <w:rsid w:val="000F005D"/>
    <w:rsid w:val="000F00A2"/>
    <w:rsid w:val="000F00C4"/>
    <w:rsid w:val="000F01B9"/>
    <w:rsid w:val="000F0297"/>
    <w:rsid w:val="000F030F"/>
    <w:rsid w:val="000F035C"/>
    <w:rsid w:val="000F040A"/>
    <w:rsid w:val="000F0635"/>
    <w:rsid w:val="000F0788"/>
    <w:rsid w:val="000F087D"/>
    <w:rsid w:val="000F08FA"/>
    <w:rsid w:val="000F0961"/>
    <w:rsid w:val="000F0AB4"/>
    <w:rsid w:val="000F141B"/>
    <w:rsid w:val="000F141E"/>
    <w:rsid w:val="000F161C"/>
    <w:rsid w:val="000F1683"/>
    <w:rsid w:val="000F176C"/>
    <w:rsid w:val="000F17A4"/>
    <w:rsid w:val="000F199D"/>
    <w:rsid w:val="000F1A71"/>
    <w:rsid w:val="000F1EDA"/>
    <w:rsid w:val="000F1FA0"/>
    <w:rsid w:val="000F1FC5"/>
    <w:rsid w:val="000F205A"/>
    <w:rsid w:val="000F22A7"/>
    <w:rsid w:val="000F245E"/>
    <w:rsid w:val="000F249D"/>
    <w:rsid w:val="000F25FA"/>
    <w:rsid w:val="000F2676"/>
    <w:rsid w:val="000F2715"/>
    <w:rsid w:val="000F2848"/>
    <w:rsid w:val="000F286E"/>
    <w:rsid w:val="000F2901"/>
    <w:rsid w:val="000F29C7"/>
    <w:rsid w:val="000F2A9F"/>
    <w:rsid w:val="000F2BB5"/>
    <w:rsid w:val="000F2CEF"/>
    <w:rsid w:val="000F2DE0"/>
    <w:rsid w:val="000F301D"/>
    <w:rsid w:val="000F3212"/>
    <w:rsid w:val="000F334E"/>
    <w:rsid w:val="000F33A8"/>
    <w:rsid w:val="000F3440"/>
    <w:rsid w:val="000F344B"/>
    <w:rsid w:val="000F3472"/>
    <w:rsid w:val="000F3702"/>
    <w:rsid w:val="000F3898"/>
    <w:rsid w:val="000F3A29"/>
    <w:rsid w:val="000F3C07"/>
    <w:rsid w:val="000F3C85"/>
    <w:rsid w:val="000F3CAC"/>
    <w:rsid w:val="000F3D6C"/>
    <w:rsid w:val="000F3EE6"/>
    <w:rsid w:val="000F40DA"/>
    <w:rsid w:val="000F410F"/>
    <w:rsid w:val="000F414E"/>
    <w:rsid w:val="000F42EA"/>
    <w:rsid w:val="000F42F6"/>
    <w:rsid w:val="000F44E3"/>
    <w:rsid w:val="000F4576"/>
    <w:rsid w:val="000F464F"/>
    <w:rsid w:val="000F46CA"/>
    <w:rsid w:val="000F4762"/>
    <w:rsid w:val="000F47AB"/>
    <w:rsid w:val="000F47B8"/>
    <w:rsid w:val="000F47CA"/>
    <w:rsid w:val="000F47FB"/>
    <w:rsid w:val="000F4936"/>
    <w:rsid w:val="000F4990"/>
    <w:rsid w:val="000F49A7"/>
    <w:rsid w:val="000F49CC"/>
    <w:rsid w:val="000F4A7B"/>
    <w:rsid w:val="000F4E0B"/>
    <w:rsid w:val="000F4EEB"/>
    <w:rsid w:val="000F5355"/>
    <w:rsid w:val="000F53CB"/>
    <w:rsid w:val="000F5538"/>
    <w:rsid w:val="000F57A7"/>
    <w:rsid w:val="000F582A"/>
    <w:rsid w:val="000F582F"/>
    <w:rsid w:val="000F5888"/>
    <w:rsid w:val="000F58A0"/>
    <w:rsid w:val="000F58E8"/>
    <w:rsid w:val="000F590B"/>
    <w:rsid w:val="000F5A74"/>
    <w:rsid w:val="000F5AA5"/>
    <w:rsid w:val="000F5BC7"/>
    <w:rsid w:val="000F5EA4"/>
    <w:rsid w:val="000F5EC4"/>
    <w:rsid w:val="000F5EEC"/>
    <w:rsid w:val="000F615E"/>
    <w:rsid w:val="000F626B"/>
    <w:rsid w:val="000F62AE"/>
    <w:rsid w:val="000F62CE"/>
    <w:rsid w:val="000F6389"/>
    <w:rsid w:val="000F63A4"/>
    <w:rsid w:val="000F6460"/>
    <w:rsid w:val="000F646B"/>
    <w:rsid w:val="000F67BA"/>
    <w:rsid w:val="000F6847"/>
    <w:rsid w:val="000F69D7"/>
    <w:rsid w:val="000F6A79"/>
    <w:rsid w:val="000F6B3A"/>
    <w:rsid w:val="000F6FF7"/>
    <w:rsid w:val="000F70B4"/>
    <w:rsid w:val="000F70DD"/>
    <w:rsid w:val="000F71C2"/>
    <w:rsid w:val="000F7236"/>
    <w:rsid w:val="000F72F1"/>
    <w:rsid w:val="000F73D4"/>
    <w:rsid w:val="000F7579"/>
    <w:rsid w:val="000F7601"/>
    <w:rsid w:val="000F77D4"/>
    <w:rsid w:val="000F792A"/>
    <w:rsid w:val="000F7954"/>
    <w:rsid w:val="000F7A0C"/>
    <w:rsid w:val="000F7B69"/>
    <w:rsid w:val="000F7B6D"/>
    <w:rsid w:val="000F7BBB"/>
    <w:rsid w:val="000F7BC5"/>
    <w:rsid w:val="000F7C8E"/>
    <w:rsid w:val="000F7CBB"/>
    <w:rsid w:val="000F7F78"/>
    <w:rsid w:val="000F7FE4"/>
    <w:rsid w:val="000F8B02"/>
    <w:rsid w:val="0010020C"/>
    <w:rsid w:val="001006E9"/>
    <w:rsid w:val="001009F7"/>
    <w:rsid w:val="00100AA3"/>
    <w:rsid w:val="00100C0A"/>
    <w:rsid w:val="00100D03"/>
    <w:rsid w:val="00100DE6"/>
    <w:rsid w:val="00100F67"/>
    <w:rsid w:val="001010D7"/>
    <w:rsid w:val="001011F2"/>
    <w:rsid w:val="00101204"/>
    <w:rsid w:val="00101340"/>
    <w:rsid w:val="001013F4"/>
    <w:rsid w:val="00101426"/>
    <w:rsid w:val="0010149E"/>
    <w:rsid w:val="001014A8"/>
    <w:rsid w:val="00101752"/>
    <w:rsid w:val="00101867"/>
    <w:rsid w:val="0010193F"/>
    <w:rsid w:val="001019B3"/>
    <w:rsid w:val="00101A09"/>
    <w:rsid w:val="00101B6A"/>
    <w:rsid w:val="00101C34"/>
    <w:rsid w:val="00101C8E"/>
    <w:rsid w:val="00101E5E"/>
    <w:rsid w:val="00101F95"/>
    <w:rsid w:val="001020D3"/>
    <w:rsid w:val="00102194"/>
    <w:rsid w:val="00102390"/>
    <w:rsid w:val="001023AA"/>
    <w:rsid w:val="001023B9"/>
    <w:rsid w:val="0010250C"/>
    <w:rsid w:val="001025EE"/>
    <w:rsid w:val="001026B7"/>
    <w:rsid w:val="0010282D"/>
    <w:rsid w:val="0010296D"/>
    <w:rsid w:val="00102AA1"/>
    <w:rsid w:val="00102BD0"/>
    <w:rsid w:val="00102C96"/>
    <w:rsid w:val="00102D89"/>
    <w:rsid w:val="00102DBC"/>
    <w:rsid w:val="00102E1E"/>
    <w:rsid w:val="00102FF6"/>
    <w:rsid w:val="001031FB"/>
    <w:rsid w:val="0010322E"/>
    <w:rsid w:val="0010347F"/>
    <w:rsid w:val="00103540"/>
    <w:rsid w:val="001039CD"/>
    <w:rsid w:val="001039D1"/>
    <w:rsid w:val="00103A14"/>
    <w:rsid w:val="00103B5D"/>
    <w:rsid w:val="00103C1C"/>
    <w:rsid w:val="00103CF9"/>
    <w:rsid w:val="00103E65"/>
    <w:rsid w:val="00103EC4"/>
    <w:rsid w:val="00103EDA"/>
    <w:rsid w:val="001041CE"/>
    <w:rsid w:val="00104493"/>
    <w:rsid w:val="00104524"/>
    <w:rsid w:val="001045D8"/>
    <w:rsid w:val="00104807"/>
    <w:rsid w:val="00104C24"/>
    <w:rsid w:val="00104D4F"/>
    <w:rsid w:val="00104F9E"/>
    <w:rsid w:val="0010501A"/>
    <w:rsid w:val="00105029"/>
    <w:rsid w:val="00105145"/>
    <w:rsid w:val="001051EA"/>
    <w:rsid w:val="00105202"/>
    <w:rsid w:val="0010553B"/>
    <w:rsid w:val="00105582"/>
    <w:rsid w:val="001055C8"/>
    <w:rsid w:val="0010576F"/>
    <w:rsid w:val="00105780"/>
    <w:rsid w:val="001057FE"/>
    <w:rsid w:val="00105880"/>
    <w:rsid w:val="00105902"/>
    <w:rsid w:val="001059A2"/>
    <w:rsid w:val="00105B32"/>
    <w:rsid w:val="00105B73"/>
    <w:rsid w:val="00105CA3"/>
    <w:rsid w:val="00105D26"/>
    <w:rsid w:val="00105D2F"/>
    <w:rsid w:val="00105D3D"/>
    <w:rsid w:val="00105DCD"/>
    <w:rsid w:val="00105DEB"/>
    <w:rsid w:val="00105E4E"/>
    <w:rsid w:val="00105EFA"/>
    <w:rsid w:val="00105F05"/>
    <w:rsid w:val="00105FEA"/>
    <w:rsid w:val="00106095"/>
    <w:rsid w:val="001060F3"/>
    <w:rsid w:val="00106166"/>
    <w:rsid w:val="001061EB"/>
    <w:rsid w:val="0010631A"/>
    <w:rsid w:val="00106344"/>
    <w:rsid w:val="00106558"/>
    <w:rsid w:val="0010657D"/>
    <w:rsid w:val="001067A5"/>
    <w:rsid w:val="00106922"/>
    <w:rsid w:val="00106943"/>
    <w:rsid w:val="001069F5"/>
    <w:rsid w:val="00106A49"/>
    <w:rsid w:val="00106AC6"/>
    <w:rsid w:val="00106B1B"/>
    <w:rsid w:val="00106B44"/>
    <w:rsid w:val="00106DD6"/>
    <w:rsid w:val="00106DF5"/>
    <w:rsid w:val="00106E25"/>
    <w:rsid w:val="00107004"/>
    <w:rsid w:val="00107100"/>
    <w:rsid w:val="00107299"/>
    <w:rsid w:val="00107310"/>
    <w:rsid w:val="00107380"/>
    <w:rsid w:val="00107589"/>
    <w:rsid w:val="00107770"/>
    <w:rsid w:val="00107913"/>
    <w:rsid w:val="00107C1B"/>
    <w:rsid w:val="00107D0D"/>
    <w:rsid w:val="00107DFB"/>
    <w:rsid w:val="00107EE4"/>
    <w:rsid w:val="00107F51"/>
    <w:rsid w:val="0011019B"/>
    <w:rsid w:val="001102F9"/>
    <w:rsid w:val="001103F3"/>
    <w:rsid w:val="0011047B"/>
    <w:rsid w:val="00110537"/>
    <w:rsid w:val="00110585"/>
    <w:rsid w:val="001105A7"/>
    <w:rsid w:val="0011064A"/>
    <w:rsid w:val="00110777"/>
    <w:rsid w:val="001107B3"/>
    <w:rsid w:val="0011088A"/>
    <w:rsid w:val="001109D4"/>
    <w:rsid w:val="00110ACC"/>
    <w:rsid w:val="00110C17"/>
    <w:rsid w:val="00110C40"/>
    <w:rsid w:val="00110C69"/>
    <w:rsid w:val="00110F4F"/>
    <w:rsid w:val="00111072"/>
    <w:rsid w:val="001110C1"/>
    <w:rsid w:val="00111245"/>
    <w:rsid w:val="001113AE"/>
    <w:rsid w:val="001116C8"/>
    <w:rsid w:val="00111721"/>
    <w:rsid w:val="0011173C"/>
    <w:rsid w:val="001117FB"/>
    <w:rsid w:val="00111914"/>
    <w:rsid w:val="00111938"/>
    <w:rsid w:val="00112077"/>
    <w:rsid w:val="00112196"/>
    <w:rsid w:val="001121D2"/>
    <w:rsid w:val="00112410"/>
    <w:rsid w:val="00112493"/>
    <w:rsid w:val="00112526"/>
    <w:rsid w:val="00112617"/>
    <w:rsid w:val="00112887"/>
    <w:rsid w:val="00112B4C"/>
    <w:rsid w:val="00112B7F"/>
    <w:rsid w:val="00112BA1"/>
    <w:rsid w:val="00112F6F"/>
    <w:rsid w:val="0011301A"/>
    <w:rsid w:val="001130F2"/>
    <w:rsid w:val="00113108"/>
    <w:rsid w:val="00113288"/>
    <w:rsid w:val="0011366E"/>
    <w:rsid w:val="00113799"/>
    <w:rsid w:val="00113B97"/>
    <w:rsid w:val="00113BDD"/>
    <w:rsid w:val="00113C17"/>
    <w:rsid w:val="00113C4D"/>
    <w:rsid w:val="00113C55"/>
    <w:rsid w:val="00113D6E"/>
    <w:rsid w:val="00113DC9"/>
    <w:rsid w:val="00113DE5"/>
    <w:rsid w:val="00113F09"/>
    <w:rsid w:val="00113F6D"/>
    <w:rsid w:val="0011403F"/>
    <w:rsid w:val="0011404B"/>
    <w:rsid w:val="00114199"/>
    <w:rsid w:val="001141E5"/>
    <w:rsid w:val="001142B3"/>
    <w:rsid w:val="001142DC"/>
    <w:rsid w:val="0011461E"/>
    <w:rsid w:val="001146D1"/>
    <w:rsid w:val="001146FE"/>
    <w:rsid w:val="00114883"/>
    <w:rsid w:val="00114943"/>
    <w:rsid w:val="00114975"/>
    <w:rsid w:val="00114998"/>
    <w:rsid w:val="00114A49"/>
    <w:rsid w:val="00114B07"/>
    <w:rsid w:val="00114B2B"/>
    <w:rsid w:val="00114DA7"/>
    <w:rsid w:val="00114DD5"/>
    <w:rsid w:val="00114FA9"/>
    <w:rsid w:val="00115032"/>
    <w:rsid w:val="00115071"/>
    <w:rsid w:val="00115102"/>
    <w:rsid w:val="0011514C"/>
    <w:rsid w:val="00115227"/>
    <w:rsid w:val="0011590E"/>
    <w:rsid w:val="00115AAE"/>
    <w:rsid w:val="00115AB9"/>
    <w:rsid w:val="00115B9E"/>
    <w:rsid w:val="00115D03"/>
    <w:rsid w:val="00115DFE"/>
    <w:rsid w:val="00115E51"/>
    <w:rsid w:val="00115E69"/>
    <w:rsid w:val="00115EB4"/>
    <w:rsid w:val="00115F74"/>
    <w:rsid w:val="001160BC"/>
    <w:rsid w:val="001160EA"/>
    <w:rsid w:val="0011613E"/>
    <w:rsid w:val="001164B9"/>
    <w:rsid w:val="001165E4"/>
    <w:rsid w:val="00116660"/>
    <w:rsid w:val="001166B4"/>
    <w:rsid w:val="001166BF"/>
    <w:rsid w:val="001167B6"/>
    <w:rsid w:val="001167C6"/>
    <w:rsid w:val="00116A2B"/>
    <w:rsid w:val="00116A67"/>
    <w:rsid w:val="00116B5B"/>
    <w:rsid w:val="00116DE0"/>
    <w:rsid w:val="00116F18"/>
    <w:rsid w:val="00116F39"/>
    <w:rsid w:val="00117117"/>
    <w:rsid w:val="001171F4"/>
    <w:rsid w:val="001172A0"/>
    <w:rsid w:val="001172F7"/>
    <w:rsid w:val="00117326"/>
    <w:rsid w:val="00117569"/>
    <w:rsid w:val="0011762F"/>
    <w:rsid w:val="0011763B"/>
    <w:rsid w:val="00117680"/>
    <w:rsid w:val="00117713"/>
    <w:rsid w:val="00117C7F"/>
    <w:rsid w:val="00117DD6"/>
    <w:rsid w:val="00117E6C"/>
    <w:rsid w:val="00117E6E"/>
    <w:rsid w:val="00117EE5"/>
    <w:rsid w:val="00117F57"/>
    <w:rsid w:val="001200A4"/>
    <w:rsid w:val="001200DB"/>
    <w:rsid w:val="001200E5"/>
    <w:rsid w:val="00120186"/>
    <w:rsid w:val="001201E5"/>
    <w:rsid w:val="00120359"/>
    <w:rsid w:val="001203B4"/>
    <w:rsid w:val="001204D2"/>
    <w:rsid w:val="001206CB"/>
    <w:rsid w:val="00120943"/>
    <w:rsid w:val="00120BFE"/>
    <w:rsid w:val="00120C17"/>
    <w:rsid w:val="00120D79"/>
    <w:rsid w:val="00120E42"/>
    <w:rsid w:val="00120EE2"/>
    <w:rsid w:val="001210D2"/>
    <w:rsid w:val="00121232"/>
    <w:rsid w:val="00121280"/>
    <w:rsid w:val="00121369"/>
    <w:rsid w:val="001213B2"/>
    <w:rsid w:val="00121431"/>
    <w:rsid w:val="0012155D"/>
    <w:rsid w:val="00121806"/>
    <w:rsid w:val="001218E5"/>
    <w:rsid w:val="001219F8"/>
    <w:rsid w:val="00121B0C"/>
    <w:rsid w:val="00121D08"/>
    <w:rsid w:val="00121E14"/>
    <w:rsid w:val="00121F5C"/>
    <w:rsid w:val="00122218"/>
    <w:rsid w:val="00122271"/>
    <w:rsid w:val="001222E0"/>
    <w:rsid w:val="00122345"/>
    <w:rsid w:val="0012258F"/>
    <w:rsid w:val="0012280B"/>
    <w:rsid w:val="00122CEB"/>
    <w:rsid w:val="00122E5D"/>
    <w:rsid w:val="00122E83"/>
    <w:rsid w:val="00122EAC"/>
    <w:rsid w:val="00122FFA"/>
    <w:rsid w:val="00123041"/>
    <w:rsid w:val="00123046"/>
    <w:rsid w:val="001230E5"/>
    <w:rsid w:val="00123138"/>
    <w:rsid w:val="0012314A"/>
    <w:rsid w:val="00123155"/>
    <w:rsid w:val="00123163"/>
    <w:rsid w:val="00123351"/>
    <w:rsid w:val="00123404"/>
    <w:rsid w:val="0012363F"/>
    <w:rsid w:val="0012365C"/>
    <w:rsid w:val="001238C8"/>
    <w:rsid w:val="001238E2"/>
    <w:rsid w:val="001239D1"/>
    <w:rsid w:val="00123A70"/>
    <w:rsid w:val="00123AB1"/>
    <w:rsid w:val="00123B04"/>
    <w:rsid w:val="00123D08"/>
    <w:rsid w:val="00123D51"/>
    <w:rsid w:val="00123FC8"/>
    <w:rsid w:val="001240BB"/>
    <w:rsid w:val="0012434B"/>
    <w:rsid w:val="00124354"/>
    <w:rsid w:val="001244EB"/>
    <w:rsid w:val="00124546"/>
    <w:rsid w:val="00124682"/>
    <w:rsid w:val="00124718"/>
    <w:rsid w:val="0012472F"/>
    <w:rsid w:val="00124846"/>
    <w:rsid w:val="0012494C"/>
    <w:rsid w:val="001249A7"/>
    <w:rsid w:val="00124AE1"/>
    <w:rsid w:val="00124CF6"/>
    <w:rsid w:val="00124DE7"/>
    <w:rsid w:val="00124E14"/>
    <w:rsid w:val="00124FAA"/>
    <w:rsid w:val="0012514D"/>
    <w:rsid w:val="00125370"/>
    <w:rsid w:val="0012542B"/>
    <w:rsid w:val="0012569D"/>
    <w:rsid w:val="001259F5"/>
    <w:rsid w:val="00125A20"/>
    <w:rsid w:val="00125D55"/>
    <w:rsid w:val="0012605E"/>
    <w:rsid w:val="00126076"/>
    <w:rsid w:val="00126251"/>
    <w:rsid w:val="00126274"/>
    <w:rsid w:val="00126366"/>
    <w:rsid w:val="001263F9"/>
    <w:rsid w:val="00126430"/>
    <w:rsid w:val="00126513"/>
    <w:rsid w:val="001265FC"/>
    <w:rsid w:val="0012665A"/>
    <w:rsid w:val="001266AD"/>
    <w:rsid w:val="00126999"/>
    <w:rsid w:val="00126B19"/>
    <w:rsid w:val="00126BC3"/>
    <w:rsid w:val="00126C0C"/>
    <w:rsid w:val="00126E81"/>
    <w:rsid w:val="00126F00"/>
    <w:rsid w:val="00126FEB"/>
    <w:rsid w:val="00126FF0"/>
    <w:rsid w:val="001270B4"/>
    <w:rsid w:val="0012710C"/>
    <w:rsid w:val="00127296"/>
    <w:rsid w:val="00127414"/>
    <w:rsid w:val="00127430"/>
    <w:rsid w:val="0012748D"/>
    <w:rsid w:val="001274CE"/>
    <w:rsid w:val="00127724"/>
    <w:rsid w:val="00127730"/>
    <w:rsid w:val="0012790E"/>
    <w:rsid w:val="00127A59"/>
    <w:rsid w:val="00127BE7"/>
    <w:rsid w:val="00127C15"/>
    <w:rsid w:val="00127D15"/>
    <w:rsid w:val="00127DCF"/>
    <w:rsid w:val="00127E08"/>
    <w:rsid w:val="00127E3B"/>
    <w:rsid w:val="00127E7C"/>
    <w:rsid w:val="00127F87"/>
    <w:rsid w:val="00127FB9"/>
    <w:rsid w:val="00127FCC"/>
    <w:rsid w:val="00130038"/>
    <w:rsid w:val="00130065"/>
    <w:rsid w:val="00130144"/>
    <w:rsid w:val="001303B2"/>
    <w:rsid w:val="00130410"/>
    <w:rsid w:val="00130509"/>
    <w:rsid w:val="001305C9"/>
    <w:rsid w:val="001307A6"/>
    <w:rsid w:val="00130811"/>
    <w:rsid w:val="00130C67"/>
    <w:rsid w:val="00130E13"/>
    <w:rsid w:val="00130E89"/>
    <w:rsid w:val="00130EE1"/>
    <w:rsid w:val="00130F0E"/>
    <w:rsid w:val="0013112D"/>
    <w:rsid w:val="001311AF"/>
    <w:rsid w:val="001311F4"/>
    <w:rsid w:val="0013137D"/>
    <w:rsid w:val="00131614"/>
    <w:rsid w:val="0013185E"/>
    <w:rsid w:val="00131894"/>
    <w:rsid w:val="0013189C"/>
    <w:rsid w:val="001318DF"/>
    <w:rsid w:val="00131985"/>
    <w:rsid w:val="00131AEF"/>
    <w:rsid w:val="00131C7F"/>
    <w:rsid w:val="00131CC3"/>
    <w:rsid w:val="00131CF1"/>
    <w:rsid w:val="00131CF7"/>
    <w:rsid w:val="00131DAA"/>
    <w:rsid w:val="00131E4F"/>
    <w:rsid w:val="00131FB7"/>
    <w:rsid w:val="00132012"/>
    <w:rsid w:val="00132172"/>
    <w:rsid w:val="001324D8"/>
    <w:rsid w:val="00132694"/>
    <w:rsid w:val="0013289D"/>
    <w:rsid w:val="001328C1"/>
    <w:rsid w:val="0013296C"/>
    <w:rsid w:val="001329F6"/>
    <w:rsid w:val="00132A18"/>
    <w:rsid w:val="00132B27"/>
    <w:rsid w:val="00132BC1"/>
    <w:rsid w:val="00132C3C"/>
    <w:rsid w:val="00132C96"/>
    <w:rsid w:val="00132DE3"/>
    <w:rsid w:val="00132E03"/>
    <w:rsid w:val="00132E85"/>
    <w:rsid w:val="00133010"/>
    <w:rsid w:val="0013307C"/>
    <w:rsid w:val="00133114"/>
    <w:rsid w:val="00133118"/>
    <w:rsid w:val="0013315B"/>
    <w:rsid w:val="001332B6"/>
    <w:rsid w:val="001332F7"/>
    <w:rsid w:val="001333CA"/>
    <w:rsid w:val="001334BD"/>
    <w:rsid w:val="001335E6"/>
    <w:rsid w:val="00133751"/>
    <w:rsid w:val="001337EA"/>
    <w:rsid w:val="0013388E"/>
    <w:rsid w:val="00133926"/>
    <w:rsid w:val="00133AE3"/>
    <w:rsid w:val="00133AE4"/>
    <w:rsid w:val="00133B64"/>
    <w:rsid w:val="00133B9B"/>
    <w:rsid w:val="00133D7C"/>
    <w:rsid w:val="00133E5F"/>
    <w:rsid w:val="001340D2"/>
    <w:rsid w:val="00134115"/>
    <w:rsid w:val="00134181"/>
    <w:rsid w:val="001343A9"/>
    <w:rsid w:val="0013451F"/>
    <w:rsid w:val="0013455E"/>
    <w:rsid w:val="00134638"/>
    <w:rsid w:val="001346E0"/>
    <w:rsid w:val="00134735"/>
    <w:rsid w:val="00134A5E"/>
    <w:rsid w:val="00134B79"/>
    <w:rsid w:val="00134E45"/>
    <w:rsid w:val="00134F0E"/>
    <w:rsid w:val="00134FA7"/>
    <w:rsid w:val="00135107"/>
    <w:rsid w:val="0013512E"/>
    <w:rsid w:val="0013513F"/>
    <w:rsid w:val="001351C8"/>
    <w:rsid w:val="0013536D"/>
    <w:rsid w:val="00135471"/>
    <w:rsid w:val="00135518"/>
    <w:rsid w:val="001355AC"/>
    <w:rsid w:val="0013572A"/>
    <w:rsid w:val="00135783"/>
    <w:rsid w:val="00135791"/>
    <w:rsid w:val="00135874"/>
    <w:rsid w:val="001358C1"/>
    <w:rsid w:val="00135D70"/>
    <w:rsid w:val="00135DDD"/>
    <w:rsid w:val="00135EA0"/>
    <w:rsid w:val="00135F9C"/>
    <w:rsid w:val="00135FD0"/>
    <w:rsid w:val="0013600C"/>
    <w:rsid w:val="001365A7"/>
    <w:rsid w:val="001366E6"/>
    <w:rsid w:val="00136778"/>
    <w:rsid w:val="00136823"/>
    <w:rsid w:val="00136A48"/>
    <w:rsid w:val="00136B0E"/>
    <w:rsid w:val="00136CCE"/>
    <w:rsid w:val="00136F20"/>
    <w:rsid w:val="00137024"/>
    <w:rsid w:val="0013708B"/>
    <w:rsid w:val="001370CE"/>
    <w:rsid w:val="00137149"/>
    <w:rsid w:val="001371DD"/>
    <w:rsid w:val="00137316"/>
    <w:rsid w:val="00137325"/>
    <w:rsid w:val="00137349"/>
    <w:rsid w:val="001374F5"/>
    <w:rsid w:val="0013753C"/>
    <w:rsid w:val="00137561"/>
    <w:rsid w:val="001376B1"/>
    <w:rsid w:val="0013772A"/>
    <w:rsid w:val="001377A6"/>
    <w:rsid w:val="001377E3"/>
    <w:rsid w:val="001377FF"/>
    <w:rsid w:val="001378B1"/>
    <w:rsid w:val="00137D0C"/>
    <w:rsid w:val="00137D36"/>
    <w:rsid w:val="00137E57"/>
    <w:rsid w:val="00137E6F"/>
    <w:rsid w:val="00137FBB"/>
    <w:rsid w:val="00140050"/>
    <w:rsid w:val="00140053"/>
    <w:rsid w:val="001401E8"/>
    <w:rsid w:val="00140323"/>
    <w:rsid w:val="001404BC"/>
    <w:rsid w:val="00140535"/>
    <w:rsid w:val="00140625"/>
    <w:rsid w:val="0014086B"/>
    <w:rsid w:val="00140B4C"/>
    <w:rsid w:val="00141128"/>
    <w:rsid w:val="0014113C"/>
    <w:rsid w:val="00141196"/>
    <w:rsid w:val="0014123B"/>
    <w:rsid w:val="0014125B"/>
    <w:rsid w:val="001413AB"/>
    <w:rsid w:val="00141562"/>
    <w:rsid w:val="001415C4"/>
    <w:rsid w:val="00141766"/>
    <w:rsid w:val="00141808"/>
    <w:rsid w:val="00141E69"/>
    <w:rsid w:val="00141F91"/>
    <w:rsid w:val="00142172"/>
    <w:rsid w:val="001422E7"/>
    <w:rsid w:val="00142392"/>
    <w:rsid w:val="001423B1"/>
    <w:rsid w:val="00142410"/>
    <w:rsid w:val="00142422"/>
    <w:rsid w:val="001424B0"/>
    <w:rsid w:val="001424C4"/>
    <w:rsid w:val="001425A8"/>
    <w:rsid w:val="001428FB"/>
    <w:rsid w:val="00142A64"/>
    <w:rsid w:val="00142B2C"/>
    <w:rsid w:val="00142B2E"/>
    <w:rsid w:val="00142B40"/>
    <w:rsid w:val="00142D12"/>
    <w:rsid w:val="00142F1B"/>
    <w:rsid w:val="00142F5F"/>
    <w:rsid w:val="00142F7A"/>
    <w:rsid w:val="00142FE5"/>
    <w:rsid w:val="001431B1"/>
    <w:rsid w:val="001431D8"/>
    <w:rsid w:val="00143329"/>
    <w:rsid w:val="00143622"/>
    <w:rsid w:val="0014370F"/>
    <w:rsid w:val="00143751"/>
    <w:rsid w:val="00143794"/>
    <w:rsid w:val="00143980"/>
    <w:rsid w:val="001439D2"/>
    <w:rsid w:val="00143A4C"/>
    <w:rsid w:val="00143ACC"/>
    <w:rsid w:val="00143B9B"/>
    <w:rsid w:val="00143BBB"/>
    <w:rsid w:val="00143CA5"/>
    <w:rsid w:val="00143DD8"/>
    <w:rsid w:val="00143EAB"/>
    <w:rsid w:val="00143F32"/>
    <w:rsid w:val="00144243"/>
    <w:rsid w:val="001443F0"/>
    <w:rsid w:val="00144401"/>
    <w:rsid w:val="0014444C"/>
    <w:rsid w:val="001445F1"/>
    <w:rsid w:val="00144627"/>
    <w:rsid w:val="001446C6"/>
    <w:rsid w:val="00144721"/>
    <w:rsid w:val="001447C7"/>
    <w:rsid w:val="00144808"/>
    <w:rsid w:val="0014482C"/>
    <w:rsid w:val="0014482D"/>
    <w:rsid w:val="0014483C"/>
    <w:rsid w:val="0014490C"/>
    <w:rsid w:val="0014494A"/>
    <w:rsid w:val="00144A85"/>
    <w:rsid w:val="00144A96"/>
    <w:rsid w:val="00144AF8"/>
    <w:rsid w:val="00144B35"/>
    <w:rsid w:val="00144C7A"/>
    <w:rsid w:val="00144CB0"/>
    <w:rsid w:val="00144CCB"/>
    <w:rsid w:val="00144D57"/>
    <w:rsid w:val="00144F9A"/>
    <w:rsid w:val="001450F1"/>
    <w:rsid w:val="00145282"/>
    <w:rsid w:val="00145705"/>
    <w:rsid w:val="0014573E"/>
    <w:rsid w:val="00145757"/>
    <w:rsid w:val="00145779"/>
    <w:rsid w:val="00145912"/>
    <w:rsid w:val="00145945"/>
    <w:rsid w:val="00145C4F"/>
    <w:rsid w:val="00145D4D"/>
    <w:rsid w:val="00145DAB"/>
    <w:rsid w:val="00145EFF"/>
    <w:rsid w:val="0014621A"/>
    <w:rsid w:val="00146306"/>
    <w:rsid w:val="00146520"/>
    <w:rsid w:val="001466F6"/>
    <w:rsid w:val="0014696D"/>
    <w:rsid w:val="00146972"/>
    <w:rsid w:val="00146AA0"/>
    <w:rsid w:val="00146ABE"/>
    <w:rsid w:val="00146AFD"/>
    <w:rsid w:val="00146C16"/>
    <w:rsid w:val="00146C4B"/>
    <w:rsid w:val="00146C51"/>
    <w:rsid w:val="00146D02"/>
    <w:rsid w:val="00146D9B"/>
    <w:rsid w:val="00146F84"/>
    <w:rsid w:val="00147083"/>
    <w:rsid w:val="0014709D"/>
    <w:rsid w:val="00147164"/>
    <w:rsid w:val="0014728C"/>
    <w:rsid w:val="001472A1"/>
    <w:rsid w:val="00147445"/>
    <w:rsid w:val="001474DA"/>
    <w:rsid w:val="00147671"/>
    <w:rsid w:val="001476DC"/>
    <w:rsid w:val="00147856"/>
    <w:rsid w:val="001478A9"/>
    <w:rsid w:val="00147903"/>
    <w:rsid w:val="00147980"/>
    <w:rsid w:val="00147C4A"/>
    <w:rsid w:val="00147D4F"/>
    <w:rsid w:val="00147F34"/>
    <w:rsid w:val="0014AD95"/>
    <w:rsid w:val="0015011B"/>
    <w:rsid w:val="001501E2"/>
    <w:rsid w:val="0015031C"/>
    <w:rsid w:val="0015042F"/>
    <w:rsid w:val="001504FA"/>
    <w:rsid w:val="00150628"/>
    <w:rsid w:val="001507C6"/>
    <w:rsid w:val="0015080C"/>
    <w:rsid w:val="001509A9"/>
    <w:rsid w:val="001509EC"/>
    <w:rsid w:val="00150AA2"/>
    <w:rsid w:val="00150ACB"/>
    <w:rsid w:val="00150AEF"/>
    <w:rsid w:val="00150D59"/>
    <w:rsid w:val="00150E13"/>
    <w:rsid w:val="00151007"/>
    <w:rsid w:val="00151066"/>
    <w:rsid w:val="001511D8"/>
    <w:rsid w:val="001512BC"/>
    <w:rsid w:val="00151330"/>
    <w:rsid w:val="00151390"/>
    <w:rsid w:val="001513C8"/>
    <w:rsid w:val="00151525"/>
    <w:rsid w:val="001515A5"/>
    <w:rsid w:val="001515AE"/>
    <w:rsid w:val="0015174B"/>
    <w:rsid w:val="0015177C"/>
    <w:rsid w:val="00151803"/>
    <w:rsid w:val="00151896"/>
    <w:rsid w:val="0015195E"/>
    <w:rsid w:val="00151C17"/>
    <w:rsid w:val="00151D49"/>
    <w:rsid w:val="00151DEB"/>
    <w:rsid w:val="0015214E"/>
    <w:rsid w:val="0015219C"/>
    <w:rsid w:val="00152313"/>
    <w:rsid w:val="0015235F"/>
    <w:rsid w:val="001523A4"/>
    <w:rsid w:val="0015242E"/>
    <w:rsid w:val="0015245F"/>
    <w:rsid w:val="001525AB"/>
    <w:rsid w:val="00152610"/>
    <w:rsid w:val="00152628"/>
    <w:rsid w:val="001527AE"/>
    <w:rsid w:val="001527E6"/>
    <w:rsid w:val="0015295C"/>
    <w:rsid w:val="00152A01"/>
    <w:rsid w:val="00152A10"/>
    <w:rsid w:val="00152A19"/>
    <w:rsid w:val="00152D13"/>
    <w:rsid w:val="00152D1E"/>
    <w:rsid w:val="00152FA9"/>
    <w:rsid w:val="00152FC4"/>
    <w:rsid w:val="001531D6"/>
    <w:rsid w:val="0015335F"/>
    <w:rsid w:val="00153504"/>
    <w:rsid w:val="001535A8"/>
    <w:rsid w:val="00153778"/>
    <w:rsid w:val="00153814"/>
    <w:rsid w:val="001539B2"/>
    <w:rsid w:val="00153AE2"/>
    <w:rsid w:val="00153B0E"/>
    <w:rsid w:val="00153B3E"/>
    <w:rsid w:val="00153BD2"/>
    <w:rsid w:val="00153D8B"/>
    <w:rsid w:val="00153E37"/>
    <w:rsid w:val="001541A6"/>
    <w:rsid w:val="001541A7"/>
    <w:rsid w:val="0015422A"/>
    <w:rsid w:val="0015429B"/>
    <w:rsid w:val="0015439A"/>
    <w:rsid w:val="0015447F"/>
    <w:rsid w:val="001544A7"/>
    <w:rsid w:val="001544B5"/>
    <w:rsid w:val="0015455A"/>
    <w:rsid w:val="001545CE"/>
    <w:rsid w:val="00154737"/>
    <w:rsid w:val="001548A2"/>
    <w:rsid w:val="00154950"/>
    <w:rsid w:val="00154A33"/>
    <w:rsid w:val="00154A54"/>
    <w:rsid w:val="00154A5F"/>
    <w:rsid w:val="00154A8B"/>
    <w:rsid w:val="00154B7A"/>
    <w:rsid w:val="00154BC6"/>
    <w:rsid w:val="00154C1B"/>
    <w:rsid w:val="00154C8D"/>
    <w:rsid w:val="00154D8B"/>
    <w:rsid w:val="00154D8C"/>
    <w:rsid w:val="00154F37"/>
    <w:rsid w:val="0015515D"/>
    <w:rsid w:val="001551F5"/>
    <w:rsid w:val="00155248"/>
    <w:rsid w:val="0015543F"/>
    <w:rsid w:val="00155655"/>
    <w:rsid w:val="00155B3C"/>
    <w:rsid w:val="00155B91"/>
    <w:rsid w:val="00155E1C"/>
    <w:rsid w:val="00155F4C"/>
    <w:rsid w:val="00156108"/>
    <w:rsid w:val="0015620F"/>
    <w:rsid w:val="001563A3"/>
    <w:rsid w:val="001563F1"/>
    <w:rsid w:val="00156583"/>
    <w:rsid w:val="001565B4"/>
    <w:rsid w:val="0015664B"/>
    <w:rsid w:val="00156706"/>
    <w:rsid w:val="00156942"/>
    <w:rsid w:val="00156992"/>
    <w:rsid w:val="00156C38"/>
    <w:rsid w:val="00156D40"/>
    <w:rsid w:val="00157037"/>
    <w:rsid w:val="0015703C"/>
    <w:rsid w:val="0015715A"/>
    <w:rsid w:val="001571DA"/>
    <w:rsid w:val="00157421"/>
    <w:rsid w:val="00157585"/>
    <w:rsid w:val="001576BC"/>
    <w:rsid w:val="00157809"/>
    <w:rsid w:val="0015786E"/>
    <w:rsid w:val="001579B1"/>
    <w:rsid w:val="00157A47"/>
    <w:rsid w:val="00157A82"/>
    <w:rsid w:val="00157B57"/>
    <w:rsid w:val="00157B7A"/>
    <w:rsid w:val="00157BB3"/>
    <w:rsid w:val="00157DED"/>
    <w:rsid w:val="00160040"/>
    <w:rsid w:val="0016020F"/>
    <w:rsid w:val="00160320"/>
    <w:rsid w:val="00160625"/>
    <w:rsid w:val="001606B1"/>
    <w:rsid w:val="001606C2"/>
    <w:rsid w:val="00160711"/>
    <w:rsid w:val="0016073B"/>
    <w:rsid w:val="00160809"/>
    <w:rsid w:val="00160844"/>
    <w:rsid w:val="00160855"/>
    <w:rsid w:val="0016088C"/>
    <w:rsid w:val="001608C5"/>
    <w:rsid w:val="001608D2"/>
    <w:rsid w:val="00160955"/>
    <w:rsid w:val="00160DB0"/>
    <w:rsid w:val="00160DF6"/>
    <w:rsid w:val="00160F2A"/>
    <w:rsid w:val="00160F38"/>
    <w:rsid w:val="00160FF3"/>
    <w:rsid w:val="0016101C"/>
    <w:rsid w:val="001611F2"/>
    <w:rsid w:val="001614AD"/>
    <w:rsid w:val="0016162F"/>
    <w:rsid w:val="0016182F"/>
    <w:rsid w:val="0016190E"/>
    <w:rsid w:val="00161A60"/>
    <w:rsid w:val="00161AB9"/>
    <w:rsid w:val="00161AD6"/>
    <w:rsid w:val="00161B9F"/>
    <w:rsid w:val="00161C11"/>
    <w:rsid w:val="00161D81"/>
    <w:rsid w:val="00161EA3"/>
    <w:rsid w:val="00161EBB"/>
    <w:rsid w:val="00162058"/>
    <w:rsid w:val="00162088"/>
    <w:rsid w:val="001621DA"/>
    <w:rsid w:val="0016228D"/>
    <w:rsid w:val="00162318"/>
    <w:rsid w:val="00162362"/>
    <w:rsid w:val="001625AF"/>
    <w:rsid w:val="001625E5"/>
    <w:rsid w:val="001628F1"/>
    <w:rsid w:val="00162BE3"/>
    <w:rsid w:val="00162CD5"/>
    <w:rsid w:val="00162CD8"/>
    <w:rsid w:val="00162CF0"/>
    <w:rsid w:val="00162D3B"/>
    <w:rsid w:val="00162D82"/>
    <w:rsid w:val="001630E7"/>
    <w:rsid w:val="001630EA"/>
    <w:rsid w:val="00163152"/>
    <w:rsid w:val="0016320B"/>
    <w:rsid w:val="00163215"/>
    <w:rsid w:val="001632B4"/>
    <w:rsid w:val="00163330"/>
    <w:rsid w:val="0016338D"/>
    <w:rsid w:val="001634F8"/>
    <w:rsid w:val="00163582"/>
    <w:rsid w:val="00163677"/>
    <w:rsid w:val="0016375C"/>
    <w:rsid w:val="001637FF"/>
    <w:rsid w:val="00163A77"/>
    <w:rsid w:val="00163AF6"/>
    <w:rsid w:val="00163BB7"/>
    <w:rsid w:val="00163C0C"/>
    <w:rsid w:val="00163CD5"/>
    <w:rsid w:val="00163CD6"/>
    <w:rsid w:val="00163D99"/>
    <w:rsid w:val="00163DA0"/>
    <w:rsid w:val="00163DD8"/>
    <w:rsid w:val="00163F18"/>
    <w:rsid w:val="00163FC9"/>
    <w:rsid w:val="001643F5"/>
    <w:rsid w:val="001644D6"/>
    <w:rsid w:val="00164511"/>
    <w:rsid w:val="00164512"/>
    <w:rsid w:val="0016462C"/>
    <w:rsid w:val="001647C2"/>
    <w:rsid w:val="001647F7"/>
    <w:rsid w:val="001648F8"/>
    <w:rsid w:val="00164AAF"/>
    <w:rsid w:val="00164ADA"/>
    <w:rsid w:val="00164B39"/>
    <w:rsid w:val="00164C1F"/>
    <w:rsid w:val="00164CB5"/>
    <w:rsid w:val="00164F47"/>
    <w:rsid w:val="0016502F"/>
    <w:rsid w:val="00165031"/>
    <w:rsid w:val="001650D2"/>
    <w:rsid w:val="0016549A"/>
    <w:rsid w:val="001654A3"/>
    <w:rsid w:val="001654AD"/>
    <w:rsid w:val="001654F1"/>
    <w:rsid w:val="0016552E"/>
    <w:rsid w:val="001656EF"/>
    <w:rsid w:val="00165789"/>
    <w:rsid w:val="00165A27"/>
    <w:rsid w:val="00165A36"/>
    <w:rsid w:val="00165BD4"/>
    <w:rsid w:val="00165C3A"/>
    <w:rsid w:val="00165C84"/>
    <w:rsid w:val="00165D4B"/>
    <w:rsid w:val="00165DC3"/>
    <w:rsid w:val="00166113"/>
    <w:rsid w:val="00166478"/>
    <w:rsid w:val="00166482"/>
    <w:rsid w:val="00166788"/>
    <w:rsid w:val="001667C4"/>
    <w:rsid w:val="00166A41"/>
    <w:rsid w:val="00166ABD"/>
    <w:rsid w:val="00166CA4"/>
    <w:rsid w:val="00166CFF"/>
    <w:rsid w:val="00166D6D"/>
    <w:rsid w:val="00166DB9"/>
    <w:rsid w:val="00166DC1"/>
    <w:rsid w:val="00166EEA"/>
    <w:rsid w:val="00166EFB"/>
    <w:rsid w:val="00166FC0"/>
    <w:rsid w:val="00166FD8"/>
    <w:rsid w:val="001671CC"/>
    <w:rsid w:val="00167281"/>
    <w:rsid w:val="00167294"/>
    <w:rsid w:val="001673C8"/>
    <w:rsid w:val="0016752F"/>
    <w:rsid w:val="0016757C"/>
    <w:rsid w:val="0016758A"/>
    <w:rsid w:val="001675B6"/>
    <w:rsid w:val="00167602"/>
    <w:rsid w:val="00167666"/>
    <w:rsid w:val="0016768E"/>
    <w:rsid w:val="001678ED"/>
    <w:rsid w:val="00167A24"/>
    <w:rsid w:val="00167BED"/>
    <w:rsid w:val="00167CBD"/>
    <w:rsid w:val="00167D62"/>
    <w:rsid w:val="00167D78"/>
    <w:rsid w:val="00167DC0"/>
    <w:rsid w:val="0017001B"/>
    <w:rsid w:val="0017028D"/>
    <w:rsid w:val="001702FC"/>
    <w:rsid w:val="00170355"/>
    <w:rsid w:val="0017037B"/>
    <w:rsid w:val="001703DA"/>
    <w:rsid w:val="001704D8"/>
    <w:rsid w:val="001705AD"/>
    <w:rsid w:val="001705CB"/>
    <w:rsid w:val="00170644"/>
    <w:rsid w:val="00170695"/>
    <w:rsid w:val="001707AF"/>
    <w:rsid w:val="001708B6"/>
    <w:rsid w:val="001708FC"/>
    <w:rsid w:val="001709D8"/>
    <w:rsid w:val="00170A0D"/>
    <w:rsid w:val="00170A60"/>
    <w:rsid w:val="00170CA8"/>
    <w:rsid w:val="00170D18"/>
    <w:rsid w:val="00170F38"/>
    <w:rsid w:val="00171051"/>
    <w:rsid w:val="00171176"/>
    <w:rsid w:val="001711E0"/>
    <w:rsid w:val="001713BA"/>
    <w:rsid w:val="001713F4"/>
    <w:rsid w:val="0017146D"/>
    <w:rsid w:val="0017162B"/>
    <w:rsid w:val="00171688"/>
    <w:rsid w:val="001716B0"/>
    <w:rsid w:val="001716F1"/>
    <w:rsid w:val="0017170E"/>
    <w:rsid w:val="001718F7"/>
    <w:rsid w:val="0017193E"/>
    <w:rsid w:val="00171B50"/>
    <w:rsid w:val="00171B79"/>
    <w:rsid w:val="00171B90"/>
    <w:rsid w:val="00171C47"/>
    <w:rsid w:val="00171CE4"/>
    <w:rsid w:val="00172024"/>
    <w:rsid w:val="001720D5"/>
    <w:rsid w:val="001721D1"/>
    <w:rsid w:val="00172446"/>
    <w:rsid w:val="0017251E"/>
    <w:rsid w:val="00172542"/>
    <w:rsid w:val="001726D1"/>
    <w:rsid w:val="001727CC"/>
    <w:rsid w:val="0017286F"/>
    <w:rsid w:val="001729CF"/>
    <w:rsid w:val="001729E0"/>
    <w:rsid w:val="00172A69"/>
    <w:rsid w:val="00172BBC"/>
    <w:rsid w:val="00172C9F"/>
    <w:rsid w:val="001732A6"/>
    <w:rsid w:val="00173448"/>
    <w:rsid w:val="00173666"/>
    <w:rsid w:val="001736F9"/>
    <w:rsid w:val="00173812"/>
    <w:rsid w:val="0017387C"/>
    <w:rsid w:val="0017391A"/>
    <w:rsid w:val="00173A43"/>
    <w:rsid w:val="00173A4F"/>
    <w:rsid w:val="00173B34"/>
    <w:rsid w:val="00173BE9"/>
    <w:rsid w:val="00173E03"/>
    <w:rsid w:val="00173EB9"/>
    <w:rsid w:val="00173F6A"/>
    <w:rsid w:val="00173FFA"/>
    <w:rsid w:val="00174000"/>
    <w:rsid w:val="00174105"/>
    <w:rsid w:val="00174147"/>
    <w:rsid w:val="0017432F"/>
    <w:rsid w:val="00174472"/>
    <w:rsid w:val="00174474"/>
    <w:rsid w:val="00174495"/>
    <w:rsid w:val="0017456D"/>
    <w:rsid w:val="00174615"/>
    <w:rsid w:val="001747F2"/>
    <w:rsid w:val="0017486A"/>
    <w:rsid w:val="00174A7B"/>
    <w:rsid w:val="00174A9D"/>
    <w:rsid w:val="00174CEE"/>
    <w:rsid w:val="00174D3B"/>
    <w:rsid w:val="00174F71"/>
    <w:rsid w:val="00175236"/>
    <w:rsid w:val="0017524E"/>
    <w:rsid w:val="00175258"/>
    <w:rsid w:val="001752FF"/>
    <w:rsid w:val="00175384"/>
    <w:rsid w:val="001754AA"/>
    <w:rsid w:val="001754D3"/>
    <w:rsid w:val="00175527"/>
    <w:rsid w:val="00175692"/>
    <w:rsid w:val="001756BA"/>
    <w:rsid w:val="001756E1"/>
    <w:rsid w:val="00175A94"/>
    <w:rsid w:val="00175AB3"/>
    <w:rsid w:val="00175C9C"/>
    <w:rsid w:val="00175DFE"/>
    <w:rsid w:val="00175E6C"/>
    <w:rsid w:val="00175F36"/>
    <w:rsid w:val="0017613A"/>
    <w:rsid w:val="00176207"/>
    <w:rsid w:val="00176222"/>
    <w:rsid w:val="00176268"/>
    <w:rsid w:val="00176274"/>
    <w:rsid w:val="001762FF"/>
    <w:rsid w:val="001763B0"/>
    <w:rsid w:val="0017643C"/>
    <w:rsid w:val="001764DE"/>
    <w:rsid w:val="0017658C"/>
    <w:rsid w:val="001765B1"/>
    <w:rsid w:val="0017666A"/>
    <w:rsid w:val="00176687"/>
    <w:rsid w:val="00176936"/>
    <w:rsid w:val="00176955"/>
    <w:rsid w:val="00176AC1"/>
    <w:rsid w:val="00176BB5"/>
    <w:rsid w:val="00176CAF"/>
    <w:rsid w:val="00176D54"/>
    <w:rsid w:val="00176E51"/>
    <w:rsid w:val="00176EB8"/>
    <w:rsid w:val="00176FDE"/>
    <w:rsid w:val="00177059"/>
    <w:rsid w:val="001770B1"/>
    <w:rsid w:val="0017733C"/>
    <w:rsid w:val="001773CB"/>
    <w:rsid w:val="0017750C"/>
    <w:rsid w:val="0017757F"/>
    <w:rsid w:val="00177622"/>
    <w:rsid w:val="00177667"/>
    <w:rsid w:val="00177887"/>
    <w:rsid w:val="001778BA"/>
    <w:rsid w:val="00177903"/>
    <w:rsid w:val="00177BBF"/>
    <w:rsid w:val="00177C45"/>
    <w:rsid w:val="00177D3A"/>
    <w:rsid w:val="00177D70"/>
    <w:rsid w:val="00177D7F"/>
    <w:rsid w:val="00177DAB"/>
    <w:rsid w:val="00177FC6"/>
    <w:rsid w:val="001800E3"/>
    <w:rsid w:val="00180172"/>
    <w:rsid w:val="0018017F"/>
    <w:rsid w:val="001801F7"/>
    <w:rsid w:val="00180376"/>
    <w:rsid w:val="0018040F"/>
    <w:rsid w:val="00180423"/>
    <w:rsid w:val="0018077F"/>
    <w:rsid w:val="00180AE1"/>
    <w:rsid w:val="00180BD7"/>
    <w:rsid w:val="00180C3F"/>
    <w:rsid w:val="00181001"/>
    <w:rsid w:val="00181173"/>
    <w:rsid w:val="0018131D"/>
    <w:rsid w:val="001814D6"/>
    <w:rsid w:val="001814FD"/>
    <w:rsid w:val="0018156D"/>
    <w:rsid w:val="001815E9"/>
    <w:rsid w:val="00181620"/>
    <w:rsid w:val="001817E7"/>
    <w:rsid w:val="00181942"/>
    <w:rsid w:val="001819A0"/>
    <w:rsid w:val="00181A4B"/>
    <w:rsid w:val="00181AD8"/>
    <w:rsid w:val="00181B5E"/>
    <w:rsid w:val="00181D18"/>
    <w:rsid w:val="00182071"/>
    <w:rsid w:val="00182114"/>
    <w:rsid w:val="00182127"/>
    <w:rsid w:val="0018217A"/>
    <w:rsid w:val="001821DB"/>
    <w:rsid w:val="001821EA"/>
    <w:rsid w:val="0018238C"/>
    <w:rsid w:val="0018242B"/>
    <w:rsid w:val="001824D7"/>
    <w:rsid w:val="00182629"/>
    <w:rsid w:val="001826A9"/>
    <w:rsid w:val="001826E5"/>
    <w:rsid w:val="00182740"/>
    <w:rsid w:val="00182926"/>
    <w:rsid w:val="00182AF7"/>
    <w:rsid w:val="00182B42"/>
    <w:rsid w:val="00182B7C"/>
    <w:rsid w:val="00182DB8"/>
    <w:rsid w:val="00182EE6"/>
    <w:rsid w:val="00182F78"/>
    <w:rsid w:val="00182FB2"/>
    <w:rsid w:val="0018308B"/>
    <w:rsid w:val="001835B1"/>
    <w:rsid w:val="0018375D"/>
    <w:rsid w:val="001837A1"/>
    <w:rsid w:val="0018381D"/>
    <w:rsid w:val="00183868"/>
    <w:rsid w:val="00183895"/>
    <w:rsid w:val="0018398B"/>
    <w:rsid w:val="00183A5F"/>
    <w:rsid w:val="00183AB5"/>
    <w:rsid w:val="00183B64"/>
    <w:rsid w:val="00183C86"/>
    <w:rsid w:val="00183CBB"/>
    <w:rsid w:val="00183D4F"/>
    <w:rsid w:val="00183E93"/>
    <w:rsid w:val="00184017"/>
    <w:rsid w:val="001840EA"/>
    <w:rsid w:val="00184132"/>
    <w:rsid w:val="001843A5"/>
    <w:rsid w:val="00184608"/>
    <w:rsid w:val="00184765"/>
    <w:rsid w:val="00184899"/>
    <w:rsid w:val="00184CBD"/>
    <w:rsid w:val="00184D75"/>
    <w:rsid w:val="00184E5B"/>
    <w:rsid w:val="00184E93"/>
    <w:rsid w:val="00184EF1"/>
    <w:rsid w:val="00184F3D"/>
    <w:rsid w:val="0018509A"/>
    <w:rsid w:val="00185125"/>
    <w:rsid w:val="00185135"/>
    <w:rsid w:val="00185285"/>
    <w:rsid w:val="00185368"/>
    <w:rsid w:val="00185505"/>
    <w:rsid w:val="00185525"/>
    <w:rsid w:val="0018557C"/>
    <w:rsid w:val="00185756"/>
    <w:rsid w:val="00185879"/>
    <w:rsid w:val="00185958"/>
    <w:rsid w:val="00185B1B"/>
    <w:rsid w:val="00185B58"/>
    <w:rsid w:val="00185B5C"/>
    <w:rsid w:val="00185BA1"/>
    <w:rsid w:val="00185D0A"/>
    <w:rsid w:val="00185D43"/>
    <w:rsid w:val="00185E4F"/>
    <w:rsid w:val="00185EEA"/>
    <w:rsid w:val="00185FB5"/>
    <w:rsid w:val="00185FDE"/>
    <w:rsid w:val="0018615A"/>
    <w:rsid w:val="001861FD"/>
    <w:rsid w:val="001862B7"/>
    <w:rsid w:val="001863C9"/>
    <w:rsid w:val="001864B2"/>
    <w:rsid w:val="001864C2"/>
    <w:rsid w:val="001864C4"/>
    <w:rsid w:val="001867E1"/>
    <w:rsid w:val="0018690E"/>
    <w:rsid w:val="00186B42"/>
    <w:rsid w:val="00186B6E"/>
    <w:rsid w:val="00186BD3"/>
    <w:rsid w:val="00186C93"/>
    <w:rsid w:val="00186D77"/>
    <w:rsid w:val="00186E1A"/>
    <w:rsid w:val="00186F1F"/>
    <w:rsid w:val="00186F6D"/>
    <w:rsid w:val="00187015"/>
    <w:rsid w:val="00187048"/>
    <w:rsid w:val="00187164"/>
    <w:rsid w:val="00187209"/>
    <w:rsid w:val="0018726C"/>
    <w:rsid w:val="00187315"/>
    <w:rsid w:val="0018758D"/>
    <w:rsid w:val="00187668"/>
    <w:rsid w:val="0018769B"/>
    <w:rsid w:val="001876AA"/>
    <w:rsid w:val="0018778E"/>
    <w:rsid w:val="001877E2"/>
    <w:rsid w:val="001878F7"/>
    <w:rsid w:val="00187A5C"/>
    <w:rsid w:val="00187B35"/>
    <w:rsid w:val="00187C43"/>
    <w:rsid w:val="00187CD6"/>
    <w:rsid w:val="00187ECB"/>
    <w:rsid w:val="00187F57"/>
    <w:rsid w:val="00190002"/>
    <w:rsid w:val="00190064"/>
    <w:rsid w:val="00190117"/>
    <w:rsid w:val="00190137"/>
    <w:rsid w:val="00190409"/>
    <w:rsid w:val="0019047B"/>
    <w:rsid w:val="00190584"/>
    <w:rsid w:val="0019081D"/>
    <w:rsid w:val="001908B3"/>
    <w:rsid w:val="0019098F"/>
    <w:rsid w:val="00190B8A"/>
    <w:rsid w:val="00190BE2"/>
    <w:rsid w:val="00190BF0"/>
    <w:rsid w:val="00190D83"/>
    <w:rsid w:val="00190FA8"/>
    <w:rsid w:val="00190FB4"/>
    <w:rsid w:val="0019100F"/>
    <w:rsid w:val="0019111A"/>
    <w:rsid w:val="0019116B"/>
    <w:rsid w:val="001911AA"/>
    <w:rsid w:val="0019132A"/>
    <w:rsid w:val="001913FF"/>
    <w:rsid w:val="001914B4"/>
    <w:rsid w:val="00191640"/>
    <w:rsid w:val="001916D8"/>
    <w:rsid w:val="0019176F"/>
    <w:rsid w:val="001917D6"/>
    <w:rsid w:val="00191843"/>
    <w:rsid w:val="00191861"/>
    <w:rsid w:val="00191888"/>
    <w:rsid w:val="00191974"/>
    <w:rsid w:val="00191B3E"/>
    <w:rsid w:val="00191BCF"/>
    <w:rsid w:val="00191BD6"/>
    <w:rsid w:val="00191D31"/>
    <w:rsid w:val="001920FC"/>
    <w:rsid w:val="001921F0"/>
    <w:rsid w:val="00192291"/>
    <w:rsid w:val="001923C7"/>
    <w:rsid w:val="00192453"/>
    <w:rsid w:val="00192490"/>
    <w:rsid w:val="0019262E"/>
    <w:rsid w:val="001926CB"/>
    <w:rsid w:val="00192745"/>
    <w:rsid w:val="0019276B"/>
    <w:rsid w:val="00192779"/>
    <w:rsid w:val="00192879"/>
    <w:rsid w:val="00192937"/>
    <w:rsid w:val="00192B76"/>
    <w:rsid w:val="00192C57"/>
    <w:rsid w:val="00192D39"/>
    <w:rsid w:val="00192F4E"/>
    <w:rsid w:val="001930B5"/>
    <w:rsid w:val="001930F4"/>
    <w:rsid w:val="0019317A"/>
    <w:rsid w:val="0019335A"/>
    <w:rsid w:val="001933E2"/>
    <w:rsid w:val="00193456"/>
    <w:rsid w:val="001934D5"/>
    <w:rsid w:val="00193521"/>
    <w:rsid w:val="00193582"/>
    <w:rsid w:val="001935A0"/>
    <w:rsid w:val="00193634"/>
    <w:rsid w:val="0019397F"/>
    <w:rsid w:val="001939EA"/>
    <w:rsid w:val="00193B25"/>
    <w:rsid w:val="00193C45"/>
    <w:rsid w:val="00193CCF"/>
    <w:rsid w:val="00193F12"/>
    <w:rsid w:val="00193FA9"/>
    <w:rsid w:val="00193FE1"/>
    <w:rsid w:val="00194030"/>
    <w:rsid w:val="00194154"/>
    <w:rsid w:val="00194277"/>
    <w:rsid w:val="00194327"/>
    <w:rsid w:val="00194353"/>
    <w:rsid w:val="001943A8"/>
    <w:rsid w:val="001944E0"/>
    <w:rsid w:val="00194537"/>
    <w:rsid w:val="00194553"/>
    <w:rsid w:val="0019488C"/>
    <w:rsid w:val="00194909"/>
    <w:rsid w:val="001949D0"/>
    <w:rsid w:val="00194A83"/>
    <w:rsid w:val="00194CB4"/>
    <w:rsid w:val="00194D44"/>
    <w:rsid w:val="00194F20"/>
    <w:rsid w:val="0019511F"/>
    <w:rsid w:val="001954CE"/>
    <w:rsid w:val="0019551A"/>
    <w:rsid w:val="00195842"/>
    <w:rsid w:val="00195A68"/>
    <w:rsid w:val="00195A6E"/>
    <w:rsid w:val="00195D9E"/>
    <w:rsid w:val="00195F4F"/>
    <w:rsid w:val="00195F55"/>
    <w:rsid w:val="00196159"/>
    <w:rsid w:val="001961B0"/>
    <w:rsid w:val="001968DD"/>
    <w:rsid w:val="00196A8C"/>
    <w:rsid w:val="00196AB4"/>
    <w:rsid w:val="00196AC0"/>
    <w:rsid w:val="00196D2D"/>
    <w:rsid w:val="00196D96"/>
    <w:rsid w:val="00196EF2"/>
    <w:rsid w:val="00196F12"/>
    <w:rsid w:val="0019715D"/>
    <w:rsid w:val="001972BC"/>
    <w:rsid w:val="00197489"/>
    <w:rsid w:val="0019748C"/>
    <w:rsid w:val="001974E4"/>
    <w:rsid w:val="0019756F"/>
    <w:rsid w:val="001978B5"/>
    <w:rsid w:val="001978C7"/>
    <w:rsid w:val="00197A3F"/>
    <w:rsid w:val="00197AD0"/>
    <w:rsid w:val="00197ADB"/>
    <w:rsid w:val="00197C0E"/>
    <w:rsid w:val="00197EA1"/>
    <w:rsid w:val="001984C5"/>
    <w:rsid w:val="001A049F"/>
    <w:rsid w:val="001A0681"/>
    <w:rsid w:val="001A06D3"/>
    <w:rsid w:val="001A0707"/>
    <w:rsid w:val="001A08CC"/>
    <w:rsid w:val="001A0973"/>
    <w:rsid w:val="001A0980"/>
    <w:rsid w:val="001A0A6C"/>
    <w:rsid w:val="001A0B9D"/>
    <w:rsid w:val="001A0F18"/>
    <w:rsid w:val="001A144F"/>
    <w:rsid w:val="001A1573"/>
    <w:rsid w:val="001A15EB"/>
    <w:rsid w:val="001A16E8"/>
    <w:rsid w:val="001A177F"/>
    <w:rsid w:val="001A18E6"/>
    <w:rsid w:val="001A1AD1"/>
    <w:rsid w:val="001A1B4F"/>
    <w:rsid w:val="001A1CED"/>
    <w:rsid w:val="001A20BE"/>
    <w:rsid w:val="001A2105"/>
    <w:rsid w:val="001A2131"/>
    <w:rsid w:val="001A2177"/>
    <w:rsid w:val="001A2227"/>
    <w:rsid w:val="001A227D"/>
    <w:rsid w:val="001A234F"/>
    <w:rsid w:val="001A2452"/>
    <w:rsid w:val="001A250A"/>
    <w:rsid w:val="001A25FE"/>
    <w:rsid w:val="001A26E8"/>
    <w:rsid w:val="001A2A6F"/>
    <w:rsid w:val="001A2A77"/>
    <w:rsid w:val="001A2BBD"/>
    <w:rsid w:val="001A2CE7"/>
    <w:rsid w:val="001A2E88"/>
    <w:rsid w:val="001A2EA0"/>
    <w:rsid w:val="001A3243"/>
    <w:rsid w:val="001A32AF"/>
    <w:rsid w:val="001A32C8"/>
    <w:rsid w:val="001A338B"/>
    <w:rsid w:val="001A3429"/>
    <w:rsid w:val="001A34B3"/>
    <w:rsid w:val="001A34E3"/>
    <w:rsid w:val="001A34F8"/>
    <w:rsid w:val="001A35A7"/>
    <w:rsid w:val="001A37C6"/>
    <w:rsid w:val="001A383F"/>
    <w:rsid w:val="001A38B9"/>
    <w:rsid w:val="001A38BB"/>
    <w:rsid w:val="001A3998"/>
    <w:rsid w:val="001A3E35"/>
    <w:rsid w:val="001A3EB9"/>
    <w:rsid w:val="001A4062"/>
    <w:rsid w:val="001A40A0"/>
    <w:rsid w:val="001A41D7"/>
    <w:rsid w:val="001A42CC"/>
    <w:rsid w:val="001A4415"/>
    <w:rsid w:val="001A4454"/>
    <w:rsid w:val="001A44B0"/>
    <w:rsid w:val="001A4527"/>
    <w:rsid w:val="001A461C"/>
    <w:rsid w:val="001A4780"/>
    <w:rsid w:val="001A47DD"/>
    <w:rsid w:val="001A47FD"/>
    <w:rsid w:val="001A480C"/>
    <w:rsid w:val="001A48E7"/>
    <w:rsid w:val="001A48EE"/>
    <w:rsid w:val="001A4965"/>
    <w:rsid w:val="001A49E0"/>
    <w:rsid w:val="001A4A3A"/>
    <w:rsid w:val="001A4C06"/>
    <w:rsid w:val="001A4DCE"/>
    <w:rsid w:val="001A4EE1"/>
    <w:rsid w:val="001A4F57"/>
    <w:rsid w:val="001A502A"/>
    <w:rsid w:val="001A53F0"/>
    <w:rsid w:val="001A5476"/>
    <w:rsid w:val="001A5477"/>
    <w:rsid w:val="001A5500"/>
    <w:rsid w:val="001A5735"/>
    <w:rsid w:val="001A5A3C"/>
    <w:rsid w:val="001A5A52"/>
    <w:rsid w:val="001A5A80"/>
    <w:rsid w:val="001A5C2C"/>
    <w:rsid w:val="001A5CD3"/>
    <w:rsid w:val="001A5DA9"/>
    <w:rsid w:val="001A5DD5"/>
    <w:rsid w:val="001A5E02"/>
    <w:rsid w:val="001A5EBE"/>
    <w:rsid w:val="001A5FE5"/>
    <w:rsid w:val="001A6031"/>
    <w:rsid w:val="001A6032"/>
    <w:rsid w:val="001A609B"/>
    <w:rsid w:val="001A60D5"/>
    <w:rsid w:val="001A614D"/>
    <w:rsid w:val="001A6222"/>
    <w:rsid w:val="001A6278"/>
    <w:rsid w:val="001A6298"/>
    <w:rsid w:val="001A62B0"/>
    <w:rsid w:val="001A643E"/>
    <w:rsid w:val="001A64B7"/>
    <w:rsid w:val="001A6834"/>
    <w:rsid w:val="001A6836"/>
    <w:rsid w:val="001A6AAD"/>
    <w:rsid w:val="001A6ABD"/>
    <w:rsid w:val="001A6AE0"/>
    <w:rsid w:val="001A6AF6"/>
    <w:rsid w:val="001A6B7D"/>
    <w:rsid w:val="001A6B97"/>
    <w:rsid w:val="001A6C4E"/>
    <w:rsid w:val="001A6CB9"/>
    <w:rsid w:val="001A6E83"/>
    <w:rsid w:val="001A7078"/>
    <w:rsid w:val="001A713A"/>
    <w:rsid w:val="001A76B7"/>
    <w:rsid w:val="001A778F"/>
    <w:rsid w:val="001A7999"/>
    <w:rsid w:val="001A79AA"/>
    <w:rsid w:val="001A79DB"/>
    <w:rsid w:val="001A7DBE"/>
    <w:rsid w:val="001A7E45"/>
    <w:rsid w:val="001A7EA1"/>
    <w:rsid w:val="001A7F0A"/>
    <w:rsid w:val="001A7FE3"/>
    <w:rsid w:val="001AB439"/>
    <w:rsid w:val="001B014C"/>
    <w:rsid w:val="001B0313"/>
    <w:rsid w:val="001B0321"/>
    <w:rsid w:val="001B0333"/>
    <w:rsid w:val="001B037F"/>
    <w:rsid w:val="001B04EB"/>
    <w:rsid w:val="001B04F3"/>
    <w:rsid w:val="001B05E9"/>
    <w:rsid w:val="001B07B6"/>
    <w:rsid w:val="001B09E7"/>
    <w:rsid w:val="001B09F6"/>
    <w:rsid w:val="001B0C9F"/>
    <w:rsid w:val="001B0CAB"/>
    <w:rsid w:val="001B0D12"/>
    <w:rsid w:val="001B0E83"/>
    <w:rsid w:val="001B0ED9"/>
    <w:rsid w:val="001B0F01"/>
    <w:rsid w:val="001B0F5B"/>
    <w:rsid w:val="001B105A"/>
    <w:rsid w:val="001B1203"/>
    <w:rsid w:val="001B1205"/>
    <w:rsid w:val="001B120A"/>
    <w:rsid w:val="001B1236"/>
    <w:rsid w:val="001B139F"/>
    <w:rsid w:val="001B13D8"/>
    <w:rsid w:val="001B14BB"/>
    <w:rsid w:val="001B1559"/>
    <w:rsid w:val="001B1848"/>
    <w:rsid w:val="001B194F"/>
    <w:rsid w:val="001B1A8E"/>
    <w:rsid w:val="001B1B13"/>
    <w:rsid w:val="001B1D72"/>
    <w:rsid w:val="001B1E48"/>
    <w:rsid w:val="001B1EC4"/>
    <w:rsid w:val="001B1F55"/>
    <w:rsid w:val="001B1F71"/>
    <w:rsid w:val="001B1FF9"/>
    <w:rsid w:val="001B2044"/>
    <w:rsid w:val="001B21E2"/>
    <w:rsid w:val="001B257E"/>
    <w:rsid w:val="001B2847"/>
    <w:rsid w:val="001B285F"/>
    <w:rsid w:val="001B287B"/>
    <w:rsid w:val="001B2918"/>
    <w:rsid w:val="001B2CCA"/>
    <w:rsid w:val="001B3086"/>
    <w:rsid w:val="001B3118"/>
    <w:rsid w:val="001B3150"/>
    <w:rsid w:val="001B3243"/>
    <w:rsid w:val="001B3290"/>
    <w:rsid w:val="001B33AD"/>
    <w:rsid w:val="001B3445"/>
    <w:rsid w:val="001B34C0"/>
    <w:rsid w:val="001B3798"/>
    <w:rsid w:val="001B38FB"/>
    <w:rsid w:val="001B3925"/>
    <w:rsid w:val="001B3AA2"/>
    <w:rsid w:val="001B3BA8"/>
    <w:rsid w:val="001B3C7B"/>
    <w:rsid w:val="001B3CB8"/>
    <w:rsid w:val="001B3D1E"/>
    <w:rsid w:val="001B3DA5"/>
    <w:rsid w:val="001B3E5C"/>
    <w:rsid w:val="001B400C"/>
    <w:rsid w:val="001B41C6"/>
    <w:rsid w:val="001B463E"/>
    <w:rsid w:val="001B4681"/>
    <w:rsid w:val="001B478F"/>
    <w:rsid w:val="001B4796"/>
    <w:rsid w:val="001B493D"/>
    <w:rsid w:val="001B4BA2"/>
    <w:rsid w:val="001B4BE5"/>
    <w:rsid w:val="001B4CD5"/>
    <w:rsid w:val="001B4E6C"/>
    <w:rsid w:val="001B4F8C"/>
    <w:rsid w:val="001B518F"/>
    <w:rsid w:val="001B51A9"/>
    <w:rsid w:val="001B53C4"/>
    <w:rsid w:val="001B542F"/>
    <w:rsid w:val="001B55A4"/>
    <w:rsid w:val="001B562B"/>
    <w:rsid w:val="001B5653"/>
    <w:rsid w:val="001B57D8"/>
    <w:rsid w:val="001B59A5"/>
    <w:rsid w:val="001B5B1C"/>
    <w:rsid w:val="001B5B89"/>
    <w:rsid w:val="001B5E3C"/>
    <w:rsid w:val="001B5E65"/>
    <w:rsid w:val="001B5EC6"/>
    <w:rsid w:val="001B5FAB"/>
    <w:rsid w:val="001B5FE5"/>
    <w:rsid w:val="001B60B9"/>
    <w:rsid w:val="001B60CD"/>
    <w:rsid w:val="001B616D"/>
    <w:rsid w:val="001B6183"/>
    <w:rsid w:val="001B620F"/>
    <w:rsid w:val="001B645D"/>
    <w:rsid w:val="001B648B"/>
    <w:rsid w:val="001B64CC"/>
    <w:rsid w:val="001B652F"/>
    <w:rsid w:val="001B65A4"/>
    <w:rsid w:val="001B65BA"/>
    <w:rsid w:val="001B661D"/>
    <w:rsid w:val="001B6680"/>
    <w:rsid w:val="001B66A9"/>
    <w:rsid w:val="001B66CF"/>
    <w:rsid w:val="001B6847"/>
    <w:rsid w:val="001B6B1E"/>
    <w:rsid w:val="001B6B4E"/>
    <w:rsid w:val="001B6C28"/>
    <w:rsid w:val="001B6CFB"/>
    <w:rsid w:val="001B6D99"/>
    <w:rsid w:val="001B6F8E"/>
    <w:rsid w:val="001B70FE"/>
    <w:rsid w:val="001B73F3"/>
    <w:rsid w:val="001B74BB"/>
    <w:rsid w:val="001B75C4"/>
    <w:rsid w:val="001B79A5"/>
    <w:rsid w:val="001B7A14"/>
    <w:rsid w:val="001B7B89"/>
    <w:rsid w:val="001B7BA7"/>
    <w:rsid w:val="001B7BC7"/>
    <w:rsid w:val="001B7BF1"/>
    <w:rsid w:val="001B7CA9"/>
    <w:rsid w:val="001B7D69"/>
    <w:rsid w:val="001B7DCD"/>
    <w:rsid w:val="001B7EBF"/>
    <w:rsid w:val="001BDD17"/>
    <w:rsid w:val="001C005A"/>
    <w:rsid w:val="001C006E"/>
    <w:rsid w:val="001C0095"/>
    <w:rsid w:val="001C0199"/>
    <w:rsid w:val="001C01F1"/>
    <w:rsid w:val="001C028D"/>
    <w:rsid w:val="001C02C4"/>
    <w:rsid w:val="001C0617"/>
    <w:rsid w:val="001C0630"/>
    <w:rsid w:val="001C065F"/>
    <w:rsid w:val="001C067B"/>
    <w:rsid w:val="001C06A5"/>
    <w:rsid w:val="001C06B8"/>
    <w:rsid w:val="001C0797"/>
    <w:rsid w:val="001C0886"/>
    <w:rsid w:val="001C089B"/>
    <w:rsid w:val="001C08D6"/>
    <w:rsid w:val="001C0955"/>
    <w:rsid w:val="001C09B4"/>
    <w:rsid w:val="001C09E5"/>
    <w:rsid w:val="001C0B01"/>
    <w:rsid w:val="001C0B19"/>
    <w:rsid w:val="001C0B83"/>
    <w:rsid w:val="001C0C01"/>
    <w:rsid w:val="001C0C10"/>
    <w:rsid w:val="001C0EB6"/>
    <w:rsid w:val="001C0ED9"/>
    <w:rsid w:val="001C0FDA"/>
    <w:rsid w:val="001C1024"/>
    <w:rsid w:val="001C105B"/>
    <w:rsid w:val="001C1090"/>
    <w:rsid w:val="001C10A5"/>
    <w:rsid w:val="001C10FA"/>
    <w:rsid w:val="001C112A"/>
    <w:rsid w:val="001C1591"/>
    <w:rsid w:val="001C18C3"/>
    <w:rsid w:val="001C192C"/>
    <w:rsid w:val="001C1A37"/>
    <w:rsid w:val="001C1A61"/>
    <w:rsid w:val="001C1A8E"/>
    <w:rsid w:val="001C1B6F"/>
    <w:rsid w:val="001C1BDF"/>
    <w:rsid w:val="001C1C03"/>
    <w:rsid w:val="001C1C60"/>
    <w:rsid w:val="001C1C80"/>
    <w:rsid w:val="001C1E16"/>
    <w:rsid w:val="001C1ECE"/>
    <w:rsid w:val="001C1F4C"/>
    <w:rsid w:val="001C1FBF"/>
    <w:rsid w:val="001C20CC"/>
    <w:rsid w:val="001C2124"/>
    <w:rsid w:val="001C21DD"/>
    <w:rsid w:val="001C229D"/>
    <w:rsid w:val="001C22BB"/>
    <w:rsid w:val="001C2352"/>
    <w:rsid w:val="001C245F"/>
    <w:rsid w:val="001C25C1"/>
    <w:rsid w:val="001C2702"/>
    <w:rsid w:val="001C27C1"/>
    <w:rsid w:val="001C27D9"/>
    <w:rsid w:val="001C294C"/>
    <w:rsid w:val="001C2AA6"/>
    <w:rsid w:val="001C2AF2"/>
    <w:rsid w:val="001C2CFE"/>
    <w:rsid w:val="001C2F22"/>
    <w:rsid w:val="001C2F56"/>
    <w:rsid w:val="001C316E"/>
    <w:rsid w:val="001C3184"/>
    <w:rsid w:val="001C320B"/>
    <w:rsid w:val="001C3397"/>
    <w:rsid w:val="001C340F"/>
    <w:rsid w:val="001C352A"/>
    <w:rsid w:val="001C36A4"/>
    <w:rsid w:val="001C37E7"/>
    <w:rsid w:val="001C385B"/>
    <w:rsid w:val="001C389D"/>
    <w:rsid w:val="001C3A8A"/>
    <w:rsid w:val="001C3ABA"/>
    <w:rsid w:val="001C3BC3"/>
    <w:rsid w:val="001C3BF7"/>
    <w:rsid w:val="001C3DE4"/>
    <w:rsid w:val="001C3E41"/>
    <w:rsid w:val="001C3EBA"/>
    <w:rsid w:val="001C3F17"/>
    <w:rsid w:val="001C3F80"/>
    <w:rsid w:val="001C4079"/>
    <w:rsid w:val="001C40B0"/>
    <w:rsid w:val="001C417B"/>
    <w:rsid w:val="001C4203"/>
    <w:rsid w:val="001C423F"/>
    <w:rsid w:val="001C4251"/>
    <w:rsid w:val="001C43A4"/>
    <w:rsid w:val="001C46B4"/>
    <w:rsid w:val="001C4D54"/>
    <w:rsid w:val="001C4EA0"/>
    <w:rsid w:val="001C4FA3"/>
    <w:rsid w:val="001C502F"/>
    <w:rsid w:val="001C503A"/>
    <w:rsid w:val="001C52BF"/>
    <w:rsid w:val="001C52E1"/>
    <w:rsid w:val="001C52F4"/>
    <w:rsid w:val="001C52FD"/>
    <w:rsid w:val="001C5421"/>
    <w:rsid w:val="001C5566"/>
    <w:rsid w:val="001C55FF"/>
    <w:rsid w:val="001C56F3"/>
    <w:rsid w:val="001C5C9C"/>
    <w:rsid w:val="001C5D55"/>
    <w:rsid w:val="001C5DBC"/>
    <w:rsid w:val="001C5EAA"/>
    <w:rsid w:val="001C5F8F"/>
    <w:rsid w:val="001C62EA"/>
    <w:rsid w:val="001C6361"/>
    <w:rsid w:val="001C6449"/>
    <w:rsid w:val="001C6540"/>
    <w:rsid w:val="001C65A0"/>
    <w:rsid w:val="001C65B1"/>
    <w:rsid w:val="001C677F"/>
    <w:rsid w:val="001C6A30"/>
    <w:rsid w:val="001C6A83"/>
    <w:rsid w:val="001C6B25"/>
    <w:rsid w:val="001C6D6B"/>
    <w:rsid w:val="001C6E70"/>
    <w:rsid w:val="001C6EF8"/>
    <w:rsid w:val="001C706D"/>
    <w:rsid w:val="001C7149"/>
    <w:rsid w:val="001C7224"/>
    <w:rsid w:val="001C7226"/>
    <w:rsid w:val="001C7227"/>
    <w:rsid w:val="001C729D"/>
    <w:rsid w:val="001C72DF"/>
    <w:rsid w:val="001C7429"/>
    <w:rsid w:val="001C745C"/>
    <w:rsid w:val="001C7500"/>
    <w:rsid w:val="001C7516"/>
    <w:rsid w:val="001C7545"/>
    <w:rsid w:val="001C7AA7"/>
    <w:rsid w:val="001C7C0A"/>
    <w:rsid w:val="001C7C5C"/>
    <w:rsid w:val="001C7CEB"/>
    <w:rsid w:val="001C7D05"/>
    <w:rsid w:val="001C7E97"/>
    <w:rsid w:val="001C7EC4"/>
    <w:rsid w:val="001D0164"/>
    <w:rsid w:val="001D038D"/>
    <w:rsid w:val="001D03B8"/>
    <w:rsid w:val="001D0417"/>
    <w:rsid w:val="001D0424"/>
    <w:rsid w:val="001D0464"/>
    <w:rsid w:val="001D0531"/>
    <w:rsid w:val="001D05C6"/>
    <w:rsid w:val="001D0765"/>
    <w:rsid w:val="001D076A"/>
    <w:rsid w:val="001D082E"/>
    <w:rsid w:val="001D0A72"/>
    <w:rsid w:val="001D0AF2"/>
    <w:rsid w:val="001D0B27"/>
    <w:rsid w:val="001D0B8B"/>
    <w:rsid w:val="001D0C13"/>
    <w:rsid w:val="001D0D88"/>
    <w:rsid w:val="001D0E28"/>
    <w:rsid w:val="001D0F0A"/>
    <w:rsid w:val="001D0FD0"/>
    <w:rsid w:val="001D103E"/>
    <w:rsid w:val="001D107A"/>
    <w:rsid w:val="001D10A6"/>
    <w:rsid w:val="001D10D9"/>
    <w:rsid w:val="001D10DA"/>
    <w:rsid w:val="001D1130"/>
    <w:rsid w:val="001D1229"/>
    <w:rsid w:val="001D13E9"/>
    <w:rsid w:val="001D1448"/>
    <w:rsid w:val="001D14F0"/>
    <w:rsid w:val="001D16E9"/>
    <w:rsid w:val="001D179B"/>
    <w:rsid w:val="001D1812"/>
    <w:rsid w:val="001D1AF1"/>
    <w:rsid w:val="001D1C40"/>
    <w:rsid w:val="001D1C54"/>
    <w:rsid w:val="001D1CCA"/>
    <w:rsid w:val="001D1D84"/>
    <w:rsid w:val="001D1E64"/>
    <w:rsid w:val="001D1E9F"/>
    <w:rsid w:val="001D1FC6"/>
    <w:rsid w:val="001D1FCC"/>
    <w:rsid w:val="001D20E4"/>
    <w:rsid w:val="001D2176"/>
    <w:rsid w:val="001D2246"/>
    <w:rsid w:val="001D250A"/>
    <w:rsid w:val="001D255A"/>
    <w:rsid w:val="001D26DB"/>
    <w:rsid w:val="001D26FF"/>
    <w:rsid w:val="001D2709"/>
    <w:rsid w:val="001D28FE"/>
    <w:rsid w:val="001D2A3C"/>
    <w:rsid w:val="001D2B2B"/>
    <w:rsid w:val="001D2B77"/>
    <w:rsid w:val="001D2C07"/>
    <w:rsid w:val="001D2D48"/>
    <w:rsid w:val="001D2F6A"/>
    <w:rsid w:val="001D2FF2"/>
    <w:rsid w:val="001D3089"/>
    <w:rsid w:val="001D320E"/>
    <w:rsid w:val="001D33C4"/>
    <w:rsid w:val="001D34DE"/>
    <w:rsid w:val="001D369F"/>
    <w:rsid w:val="001D3960"/>
    <w:rsid w:val="001D398E"/>
    <w:rsid w:val="001D3998"/>
    <w:rsid w:val="001D3B55"/>
    <w:rsid w:val="001D3B81"/>
    <w:rsid w:val="001D3C1E"/>
    <w:rsid w:val="001D3C5F"/>
    <w:rsid w:val="001D3D42"/>
    <w:rsid w:val="001D408C"/>
    <w:rsid w:val="001D4315"/>
    <w:rsid w:val="001D4326"/>
    <w:rsid w:val="001D4594"/>
    <w:rsid w:val="001D467F"/>
    <w:rsid w:val="001D4725"/>
    <w:rsid w:val="001D4951"/>
    <w:rsid w:val="001D4955"/>
    <w:rsid w:val="001D4969"/>
    <w:rsid w:val="001D4ABD"/>
    <w:rsid w:val="001D4B39"/>
    <w:rsid w:val="001D4C21"/>
    <w:rsid w:val="001D4D96"/>
    <w:rsid w:val="001D4DDE"/>
    <w:rsid w:val="001D4E72"/>
    <w:rsid w:val="001D4F75"/>
    <w:rsid w:val="001D50AB"/>
    <w:rsid w:val="001D5162"/>
    <w:rsid w:val="001D5231"/>
    <w:rsid w:val="001D5358"/>
    <w:rsid w:val="001D5398"/>
    <w:rsid w:val="001D5443"/>
    <w:rsid w:val="001D54F9"/>
    <w:rsid w:val="001D553E"/>
    <w:rsid w:val="001D55CE"/>
    <w:rsid w:val="001D5645"/>
    <w:rsid w:val="001D565D"/>
    <w:rsid w:val="001D58A4"/>
    <w:rsid w:val="001D5906"/>
    <w:rsid w:val="001D598E"/>
    <w:rsid w:val="001D5A41"/>
    <w:rsid w:val="001D5BCC"/>
    <w:rsid w:val="001D5D29"/>
    <w:rsid w:val="001D5ED2"/>
    <w:rsid w:val="001D5F17"/>
    <w:rsid w:val="001D6157"/>
    <w:rsid w:val="001D6163"/>
    <w:rsid w:val="001D61A5"/>
    <w:rsid w:val="001D61F5"/>
    <w:rsid w:val="001D62E9"/>
    <w:rsid w:val="001D6372"/>
    <w:rsid w:val="001D6495"/>
    <w:rsid w:val="001D6581"/>
    <w:rsid w:val="001D671E"/>
    <w:rsid w:val="001D677E"/>
    <w:rsid w:val="001D69BB"/>
    <w:rsid w:val="001D6A34"/>
    <w:rsid w:val="001D6A82"/>
    <w:rsid w:val="001D6AF5"/>
    <w:rsid w:val="001D6BD5"/>
    <w:rsid w:val="001D6DE5"/>
    <w:rsid w:val="001D6FD3"/>
    <w:rsid w:val="001D7044"/>
    <w:rsid w:val="001D70AC"/>
    <w:rsid w:val="001D70E8"/>
    <w:rsid w:val="001D73A9"/>
    <w:rsid w:val="001D74B7"/>
    <w:rsid w:val="001D750B"/>
    <w:rsid w:val="001D771D"/>
    <w:rsid w:val="001D7729"/>
    <w:rsid w:val="001D78DF"/>
    <w:rsid w:val="001D78F3"/>
    <w:rsid w:val="001D79AB"/>
    <w:rsid w:val="001D7A01"/>
    <w:rsid w:val="001D7BC6"/>
    <w:rsid w:val="001D7C28"/>
    <w:rsid w:val="001D7C87"/>
    <w:rsid w:val="001D7E75"/>
    <w:rsid w:val="001D7F6A"/>
    <w:rsid w:val="001D7FB7"/>
    <w:rsid w:val="001D7FEC"/>
    <w:rsid w:val="001E0073"/>
    <w:rsid w:val="001E00DD"/>
    <w:rsid w:val="001E01E5"/>
    <w:rsid w:val="001E020A"/>
    <w:rsid w:val="001E0242"/>
    <w:rsid w:val="001E0254"/>
    <w:rsid w:val="001E039C"/>
    <w:rsid w:val="001E041D"/>
    <w:rsid w:val="001E0583"/>
    <w:rsid w:val="001E0600"/>
    <w:rsid w:val="001E061A"/>
    <w:rsid w:val="001E06AA"/>
    <w:rsid w:val="001E086B"/>
    <w:rsid w:val="001E0886"/>
    <w:rsid w:val="001E09D8"/>
    <w:rsid w:val="001E09F3"/>
    <w:rsid w:val="001E0AC8"/>
    <w:rsid w:val="001E0C11"/>
    <w:rsid w:val="001E10AE"/>
    <w:rsid w:val="001E10D8"/>
    <w:rsid w:val="001E1155"/>
    <w:rsid w:val="001E139A"/>
    <w:rsid w:val="001E142E"/>
    <w:rsid w:val="001E14F1"/>
    <w:rsid w:val="001E17B7"/>
    <w:rsid w:val="001E1820"/>
    <w:rsid w:val="001E1822"/>
    <w:rsid w:val="001E18C5"/>
    <w:rsid w:val="001E1A2C"/>
    <w:rsid w:val="001E1C77"/>
    <w:rsid w:val="001E1CD8"/>
    <w:rsid w:val="001E1DD1"/>
    <w:rsid w:val="001E1E1C"/>
    <w:rsid w:val="001E1F05"/>
    <w:rsid w:val="001E1F56"/>
    <w:rsid w:val="001E1F9C"/>
    <w:rsid w:val="001E2256"/>
    <w:rsid w:val="001E2306"/>
    <w:rsid w:val="001E2425"/>
    <w:rsid w:val="001E251C"/>
    <w:rsid w:val="001E2860"/>
    <w:rsid w:val="001E2982"/>
    <w:rsid w:val="001E2A39"/>
    <w:rsid w:val="001E2A3D"/>
    <w:rsid w:val="001E2A3F"/>
    <w:rsid w:val="001E2AB5"/>
    <w:rsid w:val="001E2B52"/>
    <w:rsid w:val="001E2CD0"/>
    <w:rsid w:val="001E2F55"/>
    <w:rsid w:val="001E30E2"/>
    <w:rsid w:val="001E313F"/>
    <w:rsid w:val="001E3182"/>
    <w:rsid w:val="001E31D4"/>
    <w:rsid w:val="001E3205"/>
    <w:rsid w:val="001E327D"/>
    <w:rsid w:val="001E34DC"/>
    <w:rsid w:val="001E35C3"/>
    <w:rsid w:val="001E3765"/>
    <w:rsid w:val="001E3907"/>
    <w:rsid w:val="001E3B80"/>
    <w:rsid w:val="001E3E16"/>
    <w:rsid w:val="001E3EE6"/>
    <w:rsid w:val="001E3F6D"/>
    <w:rsid w:val="001E3FB6"/>
    <w:rsid w:val="001E4088"/>
    <w:rsid w:val="001E4170"/>
    <w:rsid w:val="001E4280"/>
    <w:rsid w:val="001E441E"/>
    <w:rsid w:val="001E45F0"/>
    <w:rsid w:val="001E4960"/>
    <w:rsid w:val="001E4986"/>
    <w:rsid w:val="001E4C3C"/>
    <w:rsid w:val="001E4E0B"/>
    <w:rsid w:val="001E4F38"/>
    <w:rsid w:val="001E5047"/>
    <w:rsid w:val="001E5059"/>
    <w:rsid w:val="001E5253"/>
    <w:rsid w:val="001E5287"/>
    <w:rsid w:val="001E52F8"/>
    <w:rsid w:val="001E5392"/>
    <w:rsid w:val="001E544C"/>
    <w:rsid w:val="001E54DB"/>
    <w:rsid w:val="001E559C"/>
    <w:rsid w:val="001E55D7"/>
    <w:rsid w:val="001E5873"/>
    <w:rsid w:val="001E5880"/>
    <w:rsid w:val="001E58CA"/>
    <w:rsid w:val="001E5A80"/>
    <w:rsid w:val="001E5B7E"/>
    <w:rsid w:val="001E5BE1"/>
    <w:rsid w:val="001E5C15"/>
    <w:rsid w:val="001E5F4B"/>
    <w:rsid w:val="001E5F7F"/>
    <w:rsid w:val="001E606A"/>
    <w:rsid w:val="001E615A"/>
    <w:rsid w:val="001E6172"/>
    <w:rsid w:val="001E62DA"/>
    <w:rsid w:val="001E652B"/>
    <w:rsid w:val="001E6649"/>
    <w:rsid w:val="001E6951"/>
    <w:rsid w:val="001E6983"/>
    <w:rsid w:val="001E6C41"/>
    <w:rsid w:val="001E6CE0"/>
    <w:rsid w:val="001E6E17"/>
    <w:rsid w:val="001E6E74"/>
    <w:rsid w:val="001E6F63"/>
    <w:rsid w:val="001E6F90"/>
    <w:rsid w:val="001E717C"/>
    <w:rsid w:val="001E72BF"/>
    <w:rsid w:val="001E73F5"/>
    <w:rsid w:val="001E743F"/>
    <w:rsid w:val="001E762C"/>
    <w:rsid w:val="001E7635"/>
    <w:rsid w:val="001E76ED"/>
    <w:rsid w:val="001E7731"/>
    <w:rsid w:val="001E7783"/>
    <w:rsid w:val="001E787B"/>
    <w:rsid w:val="001E78AA"/>
    <w:rsid w:val="001E7A0C"/>
    <w:rsid w:val="001E7AB0"/>
    <w:rsid w:val="001E7ADB"/>
    <w:rsid w:val="001E7C1C"/>
    <w:rsid w:val="001E7C76"/>
    <w:rsid w:val="001E7D5A"/>
    <w:rsid w:val="001E7DB4"/>
    <w:rsid w:val="001E7F0D"/>
    <w:rsid w:val="001E7F30"/>
    <w:rsid w:val="001E7F50"/>
    <w:rsid w:val="001F0025"/>
    <w:rsid w:val="001F0323"/>
    <w:rsid w:val="001F0693"/>
    <w:rsid w:val="001F0804"/>
    <w:rsid w:val="001F0821"/>
    <w:rsid w:val="001F092A"/>
    <w:rsid w:val="001F095D"/>
    <w:rsid w:val="001F0A90"/>
    <w:rsid w:val="001F0A95"/>
    <w:rsid w:val="001F0AE9"/>
    <w:rsid w:val="001F0B3B"/>
    <w:rsid w:val="001F0B4B"/>
    <w:rsid w:val="001F0C13"/>
    <w:rsid w:val="001F0CB6"/>
    <w:rsid w:val="001F0CCE"/>
    <w:rsid w:val="001F0D4C"/>
    <w:rsid w:val="001F0DB9"/>
    <w:rsid w:val="001F0DCF"/>
    <w:rsid w:val="001F0DDD"/>
    <w:rsid w:val="001F0E4D"/>
    <w:rsid w:val="001F0EE7"/>
    <w:rsid w:val="001F0FBE"/>
    <w:rsid w:val="001F112F"/>
    <w:rsid w:val="001F12FA"/>
    <w:rsid w:val="001F139F"/>
    <w:rsid w:val="001F13D3"/>
    <w:rsid w:val="001F1421"/>
    <w:rsid w:val="001F1434"/>
    <w:rsid w:val="001F145A"/>
    <w:rsid w:val="001F1461"/>
    <w:rsid w:val="001F14C5"/>
    <w:rsid w:val="001F1699"/>
    <w:rsid w:val="001F16A7"/>
    <w:rsid w:val="001F16C3"/>
    <w:rsid w:val="001F1761"/>
    <w:rsid w:val="001F1945"/>
    <w:rsid w:val="001F19FE"/>
    <w:rsid w:val="001F1A3B"/>
    <w:rsid w:val="001F1B2C"/>
    <w:rsid w:val="001F1C4C"/>
    <w:rsid w:val="001F1C79"/>
    <w:rsid w:val="001F1C98"/>
    <w:rsid w:val="001F1D3F"/>
    <w:rsid w:val="001F1E52"/>
    <w:rsid w:val="001F1EDF"/>
    <w:rsid w:val="001F21E7"/>
    <w:rsid w:val="001F2284"/>
    <w:rsid w:val="001F230F"/>
    <w:rsid w:val="001F2555"/>
    <w:rsid w:val="001F2672"/>
    <w:rsid w:val="001F2702"/>
    <w:rsid w:val="001F2911"/>
    <w:rsid w:val="001F29AC"/>
    <w:rsid w:val="001F2A4D"/>
    <w:rsid w:val="001F2A8C"/>
    <w:rsid w:val="001F2C20"/>
    <w:rsid w:val="001F2C8E"/>
    <w:rsid w:val="001F2DF5"/>
    <w:rsid w:val="001F2E11"/>
    <w:rsid w:val="001F2E21"/>
    <w:rsid w:val="001F2E30"/>
    <w:rsid w:val="001F2EC9"/>
    <w:rsid w:val="001F3031"/>
    <w:rsid w:val="001F30AE"/>
    <w:rsid w:val="001F30F8"/>
    <w:rsid w:val="001F3212"/>
    <w:rsid w:val="001F34D5"/>
    <w:rsid w:val="001F3512"/>
    <w:rsid w:val="001F391D"/>
    <w:rsid w:val="001F3989"/>
    <w:rsid w:val="001F399C"/>
    <w:rsid w:val="001F3B39"/>
    <w:rsid w:val="001F3C18"/>
    <w:rsid w:val="001F3D09"/>
    <w:rsid w:val="001F3D93"/>
    <w:rsid w:val="001F3F37"/>
    <w:rsid w:val="001F409D"/>
    <w:rsid w:val="001F4227"/>
    <w:rsid w:val="001F4258"/>
    <w:rsid w:val="001F426B"/>
    <w:rsid w:val="001F42EE"/>
    <w:rsid w:val="001F43C4"/>
    <w:rsid w:val="001F44E8"/>
    <w:rsid w:val="001F455F"/>
    <w:rsid w:val="001F4610"/>
    <w:rsid w:val="001F4698"/>
    <w:rsid w:val="001F4715"/>
    <w:rsid w:val="001F47EB"/>
    <w:rsid w:val="001F4971"/>
    <w:rsid w:val="001F497C"/>
    <w:rsid w:val="001F49C5"/>
    <w:rsid w:val="001F49D3"/>
    <w:rsid w:val="001F4BBA"/>
    <w:rsid w:val="001F4C73"/>
    <w:rsid w:val="001F4CC6"/>
    <w:rsid w:val="001F4EE8"/>
    <w:rsid w:val="001F4F8A"/>
    <w:rsid w:val="001F50D0"/>
    <w:rsid w:val="001F5131"/>
    <w:rsid w:val="001F5291"/>
    <w:rsid w:val="001F5390"/>
    <w:rsid w:val="001F5736"/>
    <w:rsid w:val="001F57FE"/>
    <w:rsid w:val="001F587D"/>
    <w:rsid w:val="001F58A9"/>
    <w:rsid w:val="001F5A61"/>
    <w:rsid w:val="001F5BBF"/>
    <w:rsid w:val="001F5C39"/>
    <w:rsid w:val="001F5C8A"/>
    <w:rsid w:val="001F5D18"/>
    <w:rsid w:val="001F5EA2"/>
    <w:rsid w:val="001F5F39"/>
    <w:rsid w:val="001F5F66"/>
    <w:rsid w:val="001F61B0"/>
    <w:rsid w:val="001F64A7"/>
    <w:rsid w:val="001F654F"/>
    <w:rsid w:val="001F65A7"/>
    <w:rsid w:val="001F6820"/>
    <w:rsid w:val="001F6946"/>
    <w:rsid w:val="001F69FD"/>
    <w:rsid w:val="001F6ADC"/>
    <w:rsid w:val="001F6B6F"/>
    <w:rsid w:val="001F6BED"/>
    <w:rsid w:val="001F6C68"/>
    <w:rsid w:val="001F6DF8"/>
    <w:rsid w:val="001F6E7C"/>
    <w:rsid w:val="001F6EB2"/>
    <w:rsid w:val="001F6EBE"/>
    <w:rsid w:val="001F6F3D"/>
    <w:rsid w:val="001F6F67"/>
    <w:rsid w:val="001F6FA8"/>
    <w:rsid w:val="001F718C"/>
    <w:rsid w:val="001F7211"/>
    <w:rsid w:val="001F7326"/>
    <w:rsid w:val="001F732B"/>
    <w:rsid w:val="001F7485"/>
    <w:rsid w:val="001F74B4"/>
    <w:rsid w:val="001F74E4"/>
    <w:rsid w:val="001F760B"/>
    <w:rsid w:val="001F7622"/>
    <w:rsid w:val="001F7694"/>
    <w:rsid w:val="001F76B1"/>
    <w:rsid w:val="001F776C"/>
    <w:rsid w:val="001F7879"/>
    <w:rsid w:val="001F78C6"/>
    <w:rsid w:val="001F78E0"/>
    <w:rsid w:val="001F7A37"/>
    <w:rsid w:val="001F7A9E"/>
    <w:rsid w:val="001F7B10"/>
    <w:rsid w:val="001F7B41"/>
    <w:rsid w:val="001F7C8A"/>
    <w:rsid w:val="001F7DA6"/>
    <w:rsid w:val="001F7E2F"/>
    <w:rsid w:val="001F7E6C"/>
    <w:rsid w:val="001F7FE6"/>
    <w:rsid w:val="001FC38D"/>
    <w:rsid w:val="0020014E"/>
    <w:rsid w:val="0020021F"/>
    <w:rsid w:val="00200374"/>
    <w:rsid w:val="00200446"/>
    <w:rsid w:val="00200473"/>
    <w:rsid w:val="0020058D"/>
    <w:rsid w:val="00200851"/>
    <w:rsid w:val="00200A08"/>
    <w:rsid w:val="00200A4F"/>
    <w:rsid w:val="00200B88"/>
    <w:rsid w:val="00200CDF"/>
    <w:rsid w:val="00200CE2"/>
    <w:rsid w:val="00200D07"/>
    <w:rsid w:val="00200D1F"/>
    <w:rsid w:val="00200DF7"/>
    <w:rsid w:val="00200E16"/>
    <w:rsid w:val="00200E7B"/>
    <w:rsid w:val="0020108A"/>
    <w:rsid w:val="002011D0"/>
    <w:rsid w:val="002014D4"/>
    <w:rsid w:val="0020155F"/>
    <w:rsid w:val="0020170F"/>
    <w:rsid w:val="002017CC"/>
    <w:rsid w:val="00201856"/>
    <w:rsid w:val="00201A14"/>
    <w:rsid w:val="00201A1E"/>
    <w:rsid w:val="00201A36"/>
    <w:rsid w:val="00201B53"/>
    <w:rsid w:val="00201CB8"/>
    <w:rsid w:val="00201D90"/>
    <w:rsid w:val="00201E57"/>
    <w:rsid w:val="00202435"/>
    <w:rsid w:val="0020248D"/>
    <w:rsid w:val="0020257F"/>
    <w:rsid w:val="00202738"/>
    <w:rsid w:val="002028E5"/>
    <w:rsid w:val="002028EF"/>
    <w:rsid w:val="00202A91"/>
    <w:rsid w:val="00202B6A"/>
    <w:rsid w:val="00202C79"/>
    <w:rsid w:val="00202CC4"/>
    <w:rsid w:val="00202CFE"/>
    <w:rsid w:val="00202F76"/>
    <w:rsid w:val="00202FF4"/>
    <w:rsid w:val="002030C7"/>
    <w:rsid w:val="002031DC"/>
    <w:rsid w:val="0020324A"/>
    <w:rsid w:val="002032A8"/>
    <w:rsid w:val="002033C9"/>
    <w:rsid w:val="00203566"/>
    <w:rsid w:val="002036B8"/>
    <w:rsid w:val="0020372C"/>
    <w:rsid w:val="00203733"/>
    <w:rsid w:val="002037C6"/>
    <w:rsid w:val="002037E6"/>
    <w:rsid w:val="002038D0"/>
    <w:rsid w:val="0020391E"/>
    <w:rsid w:val="00203A30"/>
    <w:rsid w:val="00203BC1"/>
    <w:rsid w:val="00203CD7"/>
    <w:rsid w:val="00203D10"/>
    <w:rsid w:val="00203E09"/>
    <w:rsid w:val="00203F0C"/>
    <w:rsid w:val="00203FDA"/>
    <w:rsid w:val="002040F1"/>
    <w:rsid w:val="00204152"/>
    <w:rsid w:val="00204199"/>
    <w:rsid w:val="00204243"/>
    <w:rsid w:val="00204332"/>
    <w:rsid w:val="002044FD"/>
    <w:rsid w:val="002047C4"/>
    <w:rsid w:val="00204909"/>
    <w:rsid w:val="00204914"/>
    <w:rsid w:val="00204A9B"/>
    <w:rsid w:val="00204B3A"/>
    <w:rsid w:val="00204C5B"/>
    <w:rsid w:val="00204F9D"/>
    <w:rsid w:val="00205028"/>
    <w:rsid w:val="00205144"/>
    <w:rsid w:val="002051BD"/>
    <w:rsid w:val="00205322"/>
    <w:rsid w:val="002054E9"/>
    <w:rsid w:val="002055D9"/>
    <w:rsid w:val="002057F8"/>
    <w:rsid w:val="00205834"/>
    <w:rsid w:val="00205859"/>
    <w:rsid w:val="002059C0"/>
    <w:rsid w:val="002059ED"/>
    <w:rsid w:val="00205A37"/>
    <w:rsid w:val="00205AA0"/>
    <w:rsid w:val="00205B1C"/>
    <w:rsid w:val="00205B9F"/>
    <w:rsid w:val="00205DDB"/>
    <w:rsid w:val="00205EA0"/>
    <w:rsid w:val="00205F82"/>
    <w:rsid w:val="00205FFE"/>
    <w:rsid w:val="00206023"/>
    <w:rsid w:val="0020603B"/>
    <w:rsid w:val="00206104"/>
    <w:rsid w:val="0020613C"/>
    <w:rsid w:val="00206300"/>
    <w:rsid w:val="002064E1"/>
    <w:rsid w:val="0020657A"/>
    <w:rsid w:val="00206758"/>
    <w:rsid w:val="00206901"/>
    <w:rsid w:val="00206A5E"/>
    <w:rsid w:val="00206DB1"/>
    <w:rsid w:val="002072A1"/>
    <w:rsid w:val="002074A3"/>
    <w:rsid w:val="00207519"/>
    <w:rsid w:val="002076C7"/>
    <w:rsid w:val="00207744"/>
    <w:rsid w:val="002079DD"/>
    <w:rsid w:val="00207C1E"/>
    <w:rsid w:val="00207CA5"/>
    <w:rsid w:val="00207D7D"/>
    <w:rsid w:val="00207E30"/>
    <w:rsid w:val="00207F1E"/>
    <w:rsid w:val="00207F4F"/>
    <w:rsid w:val="002089EA"/>
    <w:rsid w:val="002101B5"/>
    <w:rsid w:val="0021037F"/>
    <w:rsid w:val="002104E9"/>
    <w:rsid w:val="00210513"/>
    <w:rsid w:val="00210571"/>
    <w:rsid w:val="002106AC"/>
    <w:rsid w:val="00210736"/>
    <w:rsid w:val="00210829"/>
    <w:rsid w:val="0021084D"/>
    <w:rsid w:val="002108EB"/>
    <w:rsid w:val="00210961"/>
    <w:rsid w:val="002109AB"/>
    <w:rsid w:val="002109D9"/>
    <w:rsid w:val="00210A8C"/>
    <w:rsid w:val="00210B9F"/>
    <w:rsid w:val="00210C10"/>
    <w:rsid w:val="00210C3A"/>
    <w:rsid w:val="00210C4E"/>
    <w:rsid w:val="00210C74"/>
    <w:rsid w:val="00210ED0"/>
    <w:rsid w:val="00211103"/>
    <w:rsid w:val="00211124"/>
    <w:rsid w:val="002111A5"/>
    <w:rsid w:val="002112BA"/>
    <w:rsid w:val="002112DD"/>
    <w:rsid w:val="00211349"/>
    <w:rsid w:val="0021150C"/>
    <w:rsid w:val="0021161B"/>
    <w:rsid w:val="00211695"/>
    <w:rsid w:val="0021193B"/>
    <w:rsid w:val="002119D2"/>
    <w:rsid w:val="00211A18"/>
    <w:rsid w:val="00211AA1"/>
    <w:rsid w:val="00211BA1"/>
    <w:rsid w:val="00211EDE"/>
    <w:rsid w:val="00212042"/>
    <w:rsid w:val="00212046"/>
    <w:rsid w:val="00212397"/>
    <w:rsid w:val="00212507"/>
    <w:rsid w:val="00212550"/>
    <w:rsid w:val="00212630"/>
    <w:rsid w:val="002126B5"/>
    <w:rsid w:val="00212872"/>
    <w:rsid w:val="002129F4"/>
    <w:rsid w:val="00212A4E"/>
    <w:rsid w:val="00212ABB"/>
    <w:rsid w:val="00212BCC"/>
    <w:rsid w:val="00212BE4"/>
    <w:rsid w:val="00212C1C"/>
    <w:rsid w:val="00212D6D"/>
    <w:rsid w:val="00212F3E"/>
    <w:rsid w:val="0021300F"/>
    <w:rsid w:val="0021305A"/>
    <w:rsid w:val="00213119"/>
    <w:rsid w:val="002133A7"/>
    <w:rsid w:val="002133F8"/>
    <w:rsid w:val="00213675"/>
    <w:rsid w:val="002136A5"/>
    <w:rsid w:val="002136EE"/>
    <w:rsid w:val="00213887"/>
    <w:rsid w:val="00213A28"/>
    <w:rsid w:val="00213A7F"/>
    <w:rsid w:val="00213AB7"/>
    <w:rsid w:val="00213B01"/>
    <w:rsid w:val="00213B3A"/>
    <w:rsid w:val="00213B66"/>
    <w:rsid w:val="00213C6F"/>
    <w:rsid w:val="00213CA9"/>
    <w:rsid w:val="00213E0F"/>
    <w:rsid w:val="00213EAE"/>
    <w:rsid w:val="00213F05"/>
    <w:rsid w:val="002143CE"/>
    <w:rsid w:val="002143E9"/>
    <w:rsid w:val="0021447C"/>
    <w:rsid w:val="0021454B"/>
    <w:rsid w:val="002146F3"/>
    <w:rsid w:val="0021470B"/>
    <w:rsid w:val="0021478B"/>
    <w:rsid w:val="00214815"/>
    <w:rsid w:val="00214869"/>
    <w:rsid w:val="002148A3"/>
    <w:rsid w:val="00214A29"/>
    <w:rsid w:val="00214A98"/>
    <w:rsid w:val="00214C1E"/>
    <w:rsid w:val="00214F57"/>
    <w:rsid w:val="0021512B"/>
    <w:rsid w:val="00215133"/>
    <w:rsid w:val="00215141"/>
    <w:rsid w:val="002152F4"/>
    <w:rsid w:val="002153DC"/>
    <w:rsid w:val="002155EB"/>
    <w:rsid w:val="00215784"/>
    <w:rsid w:val="00215A07"/>
    <w:rsid w:val="00215AE4"/>
    <w:rsid w:val="00215C01"/>
    <w:rsid w:val="00215C0A"/>
    <w:rsid w:val="00215D34"/>
    <w:rsid w:val="00215F02"/>
    <w:rsid w:val="00215F16"/>
    <w:rsid w:val="002160EB"/>
    <w:rsid w:val="002161C6"/>
    <w:rsid w:val="002163F2"/>
    <w:rsid w:val="002164BB"/>
    <w:rsid w:val="002164F7"/>
    <w:rsid w:val="00216988"/>
    <w:rsid w:val="00216A35"/>
    <w:rsid w:val="00216B70"/>
    <w:rsid w:val="00216C48"/>
    <w:rsid w:val="00216C4B"/>
    <w:rsid w:val="00216D0C"/>
    <w:rsid w:val="00216D14"/>
    <w:rsid w:val="00216E32"/>
    <w:rsid w:val="00216E35"/>
    <w:rsid w:val="00216EC6"/>
    <w:rsid w:val="002170AD"/>
    <w:rsid w:val="002171A6"/>
    <w:rsid w:val="00217293"/>
    <w:rsid w:val="002172A3"/>
    <w:rsid w:val="002174A4"/>
    <w:rsid w:val="0021753A"/>
    <w:rsid w:val="0021760F"/>
    <w:rsid w:val="00217634"/>
    <w:rsid w:val="00217670"/>
    <w:rsid w:val="00217690"/>
    <w:rsid w:val="00217A2C"/>
    <w:rsid w:val="00217AD4"/>
    <w:rsid w:val="00217AE8"/>
    <w:rsid w:val="00217BFD"/>
    <w:rsid w:val="00217EF0"/>
    <w:rsid w:val="00217EF2"/>
    <w:rsid w:val="00220077"/>
    <w:rsid w:val="00220173"/>
    <w:rsid w:val="00220372"/>
    <w:rsid w:val="00220434"/>
    <w:rsid w:val="0022043F"/>
    <w:rsid w:val="002205AB"/>
    <w:rsid w:val="002207AD"/>
    <w:rsid w:val="002207E0"/>
    <w:rsid w:val="0022080A"/>
    <w:rsid w:val="0022094F"/>
    <w:rsid w:val="00220973"/>
    <w:rsid w:val="002209C3"/>
    <w:rsid w:val="002209D4"/>
    <w:rsid w:val="00220A84"/>
    <w:rsid w:val="00220A91"/>
    <w:rsid w:val="00220CB6"/>
    <w:rsid w:val="00220CC6"/>
    <w:rsid w:val="00220F1C"/>
    <w:rsid w:val="00220FEF"/>
    <w:rsid w:val="00221063"/>
    <w:rsid w:val="00221171"/>
    <w:rsid w:val="00221315"/>
    <w:rsid w:val="002214FB"/>
    <w:rsid w:val="0022160C"/>
    <w:rsid w:val="00221635"/>
    <w:rsid w:val="002216B7"/>
    <w:rsid w:val="0022175E"/>
    <w:rsid w:val="0022176E"/>
    <w:rsid w:val="002217BF"/>
    <w:rsid w:val="002217D5"/>
    <w:rsid w:val="0022197F"/>
    <w:rsid w:val="002219AF"/>
    <w:rsid w:val="00221A33"/>
    <w:rsid w:val="00221B87"/>
    <w:rsid w:val="00221BAB"/>
    <w:rsid w:val="00221BD0"/>
    <w:rsid w:val="00221D31"/>
    <w:rsid w:val="00221D4E"/>
    <w:rsid w:val="00221FB1"/>
    <w:rsid w:val="0022202F"/>
    <w:rsid w:val="00222083"/>
    <w:rsid w:val="00222130"/>
    <w:rsid w:val="002221A8"/>
    <w:rsid w:val="002221AF"/>
    <w:rsid w:val="002221D7"/>
    <w:rsid w:val="0022227C"/>
    <w:rsid w:val="00222326"/>
    <w:rsid w:val="0022238D"/>
    <w:rsid w:val="002223B8"/>
    <w:rsid w:val="002224DC"/>
    <w:rsid w:val="002224F6"/>
    <w:rsid w:val="002224F9"/>
    <w:rsid w:val="00222540"/>
    <w:rsid w:val="00222691"/>
    <w:rsid w:val="00222882"/>
    <w:rsid w:val="0022290F"/>
    <w:rsid w:val="00222936"/>
    <w:rsid w:val="002229EA"/>
    <w:rsid w:val="00222AB3"/>
    <w:rsid w:val="00222AD3"/>
    <w:rsid w:val="00222B41"/>
    <w:rsid w:val="00222B5F"/>
    <w:rsid w:val="00222C28"/>
    <w:rsid w:val="00222CEA"/>
    <w:rsid w:val="00222EB5"/>
    <w:rsid w:val="00222FFF"/>
    <w:rsid w:val="00223051"/>
    <w:rsid w:val="00223162"/>
    <w:rsid w:val="00223165"/>
    <w:rsid w:val="00223519"/>
    <w:rsid w:val="00223866"/>
    <w:rsid w:val="00223886"/>
    <w:rsid w:val="002238EA"/>
    <w:rsid w:val="00223BFD"/>
    <w:rsid w:val="00223CCF"/>
    <w:rsid w:val="00223D65"/>
    <w:rsid w:val="00223E06"/>
    <w:rsid w:val="00223F4A"/>
    <w:rsid w:val="00223F57"/>
    <w:rsid w:val="00223F89"/>
    <w:rsid w:val="00223FAF"/>
    <w:rsid w:val="00224274"/>
    <w:rsid w:val="00224369"/>
    <w:rsid w:val="002243BD"/>
    <w:rsid w:val="00224453"/>
    <w:rsid w:val="00224645"/>
    <w:rsid w:val="0022471B"/>
    <w:rsid w:val="00224742"/>
    <w:rsid w:val="002247D7"/>
    <w:rsid w:val="002247EB"/>
    <w:rsid w:val="002248AA"/>
    <w:rsid w:val="002248F2"/>
    <w:rsid w:val="00224A35"/>
    <w:rsid w:val="00224C97"/>
    <w:rsid w:val="00224D34"/>
    <w:rsid w:val="00224F8F"/>
    <w:rsid w:val="0022503A"/>
    <w:rsid w:val="002250A2"/>
    <w:rsid w:val="002250C1"/>
    <w:rsid w:val="002254EE"/>
    <w:rsid w:val="0022552E"/>
    <w:rsid w:val="0022553C"/>
    <w:rsid w:val="0022553F"/>
    <w:rsid w:val="0022558C"/>
    <w:rsid w:val="0022558E"/>
    <w:rsid w:val="002257C3"/>
    <w:rsid w:val="00225852"/>
    <w:rsid w:val="00225A36"/>
    <w:rsid w:val="00225ACA"/>
    <w:rsid w:val="00225B62"/>
    <w:rsid w:val="00225B6A"/>
    <w:rsid w:val="00225B6C"/>
    <w:rsid w:val="00225BDF"/>
    <w:rsid w:val="00225D17"/>
    <w:rsid w:val="00225FB6"/>
    <w:rsid w:val="00225FE1"/>
    <w:rsid w:val="0022602D"/>
    <w:rsid w:val="002260EF"/>
    <w:rsid w:val="00226B1E"/>
    <w:rsid w:val="00226B85"/>
    <w:rsid w:val="00226C5F"/>
    <w:rsid w:val="00226CDC"/>
    <w:rsid w:val="00226E9F"/>
    <w:rsid w:val="00226F4C"/>
    <w:rsid w:val="00226F8A"/>
    <w:rsid w:val="00227045"/>
    <w:rsid w:val="0022714C"/>
    <w:rsid w:val="00227165"/>
    <w:rsid w:val="002271D7"/>
    <w:rsid w:val="002272A6"/>
    <w:rsid w:val="00227342"/>
    <w:rsid w:val="0022737B"/>
    <w:rsid w:val="00227500"/>
    <w:rsid w:val="002275EF"/>
    <w:rsid w:val="0022776B"/>
    <w:rsid w:val="0022789B"/>
    <w:rsid w:val="00227B28"/>
    <w:rsid w:val="00227B42"/>
    <w:rsid w:val="0023000B"/>
    <w:rsid w:val="002302D5"/>
    <w:rsid w:val="00230452"/>
    <w:rsid w:val="00230454"/>
    <w:rsid w:val="002307A9"/>
    <w:rsid w:val="00230BF5"/>
    <w:rsid w:val="00230D65"/>
    <w:rsid w:val="00230DF7"/>
    <w:rsid w:val="00230EE7"/>
    <w:rsid w:val="00230F16"/>
    <w:rsid w:val="00230F81"/>
    <w:rsid w:val="0023102D"/>
    <w:rsid w:val="002310AD"/>
    <w:rsid w:val="002310E3"/>
    <w:rsid w:val="00231206"/>
    <w:rsid w:val="0023127A"/>
    <w:rsid w:val="0023133B"/>
    <w:rsid w:val="00231349"/>
    <w:rsid w:val="002313C7"/>
    <w:rsid w:val="002314B6"/>
    <w:rsid w:val="00231638"/>
    <w:rsid w:val="00231646"/>
    <w:rsid w:val="00231953"/>
    <w:rsid w:val="0023195E"/>
    <w:rsid w:val="00231B12"/>
    <w:rsid w:val="00231B46"/>
    <w:rsid w:val="00231C9A"/>
    <w:rsid w:val="00231D95"/>
    <w:rsid w:val="00231DC3"/>
    <w:rsid w:val="00231E5D"/>
    <w:rsid w:val="00231EAC"/>
    <w:rsid w:val="00231EFA"/>
    <w:rsid w:val="00231F04"/>
    <w:rsid w:val="00231F93"/>
    <w:rsid w:val="0023200C"/>
    <w:rsid w:val="002320D1"/>
    <w:rsid w:val="002323B9"/>
    <w:rsid w:val="00232664"/>
    <w:rsid w:val="00232734"/>
    <w:rsid w:val="0023273C"/>
    <w:rsid w:val="002327A3"/>
    <w:rsid w:val="0023289C"/>
    <w:rsid w:val="00232943"/>
    <w:rsid w:val="00232AD7"/>
    <w:rsid w:val="00232B0B"/>
    <w:rsid w:val="00232B23"/>
    <w:rsid w:val="00232B34"/>
    <w:rsid w:val="00232D92"/>
    <w:rsid w:val="00232E66"/>
    <w:rsid w:val="00232E97"/>
    <w:rsid w:val="002330BA"/>
    <w:rsid w:val="0023319D"/>
    <w:rsid w:val="0023330D"/>
    <w:rsid w:val="002333B6"/>
    <w:rsid w:val="00233598"/>
    <w:rsid w:val="00233719"/>
    <w:rsid w:val="00233752"/>
    <w:rsid w:val="00233762"/>
    <w:rsid w:val="0023382D"/>
    <w:rsid w:val="0023396A"/>
    <w:rsid w:val="00233A6D"/>
    <w:rsid w:val="00233A8B"/>
    <w:rsid w:val="00233AC3"/>
    <w:rsid w:val="00233ADF"/>
    <w:rsid w:val="00233CB5"/>
    <w:rsid w:val="00233ED1"/>
    <w:rsid w:val="00233F31"/>
    <w:rsid w:val="00233F9E"/>
    <w:rsid w:val="002341F8"/>
    <w:rsid w:val="002342CA"/>
    <w:rsid w:val="00234483"/>
    <w:rsid w:val="002344C0"/>
    <w:rsid w:val="0023457A"/>
    <w:rsid w:val="002345B3"/>
    <w:rsid w:val="002347F8"/>
    <w:rsid w:val="0023483B"/>
    <w:rsid w:val="0023492D"/>
    <w:rsid w:val="00234958"/>
    <w:rsid w:val="00234974"/>
    <w:rsid w:val="00234A9E"/>
    <w:rsid w:val="00234C48"/>
    <w:rsid w:val="00234CB1"/>
    <w:rsid w:val="00234EA0"/>
    <w:rsid w:val="00234F7E"/>
    <w:rsid w:val="00235091"/>
    <w:rsid w:val="00235196"/>
    <w:rsid w:val="002352E7"/>
    <w:rsid w:val="002355DD"/>
    <w:rsid w:val="00235647"/>
    <w:rsid w:val="00235734"/>
    <w:rsid w:val="002358BC"/>
    <w:rsid w:val="00235985"/>
    <w:rsid w:val="002359E1"/>
    <w:rsid w:val="002359F2"/>
    <w:rsid w:val="00235A2F"/>
    <w:rsid w:val="00235A77"/>
    <w:rsid w:val="00235B3D"/>
    <w:rsid w:val="00235EEC"/>
    <w:rsid w:val="00235FE5"/>
    <w:rsid w:val="002360C7"/>
    <w:rsid w:val="0023615C"/>
    <w:rsid w:val="00236199"/>
    <w:rsid w:val="002363E1"/>
    <w:rsid w:val="00236700"/>
    <w:rsid w:val="00236767"/>
    <w:rsid w:val="002367DD"/>
    <w:rsid w:val="00236889"/>
    <w:rsid w:val="002369F4"/>
    <w:rsid w:val="00236A53"/>
    <w:rsid w:val="00236A60"/>
    <w:rsid w:val="00236CA6"/>
    <w:rsid w:val="00236E6C"/>
    <w:rsid w:val="0023703C"/>
    <w:rsid w:val="002370A1"/>
    <w:rsid w:val="002372BE"/>
    <w:rsid w:val="002372DF"/>
    <w:rsid w:val="002373A7"/>
    <w:rsid w:val="00237507"/>
    <w:rsid w:val="00237559"/>
    <w:rsid w:val="00237A8E"/>
    <w:rsid w:val="00237B3C"/>
    <w:rsid w:val="00237B5A"/>
    <w:rsid w:val="00237D03"/>
    <w:rsid w:val="00237D89"/>
    <w:rsid w:val="00237ED7"/>
    <w:rsid w:val="00237F33"/>
    <w:rsid w:val="00237F36"/>
    <w:rsid w:val="00237F70"/>
    <w:rsid w:val="00240210"/>
    <w:rsid w:val="002402E1"/>
    <w:rsid w:val="00240343"/>
    <w:rsid w:val="0024039D"/>
    <w:rsid w:val="002406BC"/>
    <w:rsid w:val="00240808"/>
    <w:rsid w:val="002409D0"/>
    <w:rsid w:val="00240BE3"/>
    <w:rsid w:val="00240C5A"/>
    <w:rsid w:val="00240D32"/>
    <w:rsid w:val="00240DDB"/>
    <w:rsid w:val="00241402"/>
    <w:rsid w:val="00241465"/>
    <w:rsid w:val="00241675"/>
    <w:rsid w:val="00241734"/>
    <w:rsid w:val="00241747"/>
    <w:rsid w:val="002418FF"/>
    <w:rsid w:val="00241984"/>
    <w:rsid w:val="002419CD"/>
    <w:rsid w:val="00241A19"/>
    <w:rsid w:val="00241ABF"/>
    <w:rsid w:val="00241CB2"/>
    <w:rsid w:val="00241D6D"/>
    <w:rsid w:val="00241DD7"/>
    <w:rsid w:val="00241DDB"/>
    <w:rsid w:val="00241EEC"/>
    <w:rsid w:val="00241F20"/>
    <w:rsid w:val="002420B8"/>
    <w:rsid w:val="0024217E"/>
    <w:rsid w:val="0024220B"/>
    <w:rsid w:val="00242442"/>
    <w:rsid w:val="00242447"/>
    <w:rsid w:val="002424AF"/>
    <w:rsid w:val="002424C1"/>
    <w:rsid w:val="00242557"/>
    <w:rsid w:val="0024277C"/>
    <w:rsid w:val="00242947"/>
    <w:rsid w:val="00242C43"/>
    <w:rsid w:val="00242CF3"/>
    <w:rsid w:val="00242D20"/>
    <w:rsid w:val="00242D7F"/>
    <w:rsid w:val="00242E39"/>
    <w:rsid w:val="00242E87"/>
    <w:rsid w:val="00243154"/>
    <w:rsid w:val="00243167"/>
    <w:rsid w:val="00243218"/>
    <w:rsid w:val="0024322C"/>
    <w:rsid w:val="0024337E"/>
    <w:rsid w:val="002433FD"/>
    <w:rsid w:val="0024343C"/>
    <w:rsid w:val="00243499"/>
    <w:rsid w:val="00243568"/>
    <w:rsid w:val="0024365C"/>
    <w:rsid w:val="00243736"/>
    <w:rsid w:val="00243806"/>
    <w:rsid w:val="00243971"/>
    <w:rsid w:val="00243AF2"/>
    <w:rsid w:val="00243CC3"/>
    <w:rsid w:val="00243D44"/>
    <w:rsid w:val="00243E0F"/>
    <w:rsid w:val="00243F8A"/>
    <w:rsid w:val="0024413B"/>
    <w:rsid w:val="00244298"/>
    <w:rsid w:val="002443AE"/>
    <w:rsid w:val="0024447E"/>
    <w:rsid w:val="00244495"/>
    <w:rsid w:val="0024450F"/>
    <w:rsid w:val="00244868"/>
    <w:rsid w:val="00244B8D"/>
    <w:rsid w:val="00244D43"/>
    <w:rsid w:val="00244F76"/>
    <w:rsid w:val="00244FA7"/>
    <w:rsid w:val="00244FCF"/>
    <w:rsid w:val="002450C6"/>
    <w:rsid w:val="00245141"/>
    <w:rsid w:val="00245255"/>
    <w:rsid w:val="0024527D"/>
    <w:rsid w:val="0024528A"/>
    <w:rsid w:val="00245446"/>
    <w:rsid w:val="002455D0"/>
    <w:rsid w:val="00245871"/>
    <w:rsid w:val="0024589D"/>
    <w:rsid w:val="00245953"/>
    <w:rsid w:val="0024597E"/>
    <w:rsid w:val="002459B0"/>
    <w:rsid w:val="002459B6"/>
    <w:rsid w:val="00245A94"/>
    <w:rsid w:val="00245AC1"/>
    <w:rsid w:val="00245BBB"/>
    <w:rsid w:val="00245FC5"/>
    <w:rsid w:val="00245FFC"/>
    <w:rsid w:val="00246024"/>
    <w:rsid w:val="00246091"/>
    <w:rsid w:val="00246098"/>
    <w:rsid w:val="002460A6"/>
    <w:rsid w:val="002460C2"/>
    <w:rsid w:val="002460C6"/>
    <w:rsid w:val="002461D0"/>
    <w:rsid w:val="0024638B"/>
    <w:rsid w:val="0024667E"/>
    <w:rsid w:val="0024695C"/>
    <w:rsid w:val="002469C8"/>
    <w:rsid w:val="00246B8F"/>
    <w:rsid w:val="00246CC7"/>
    <w:rsid w:val="00246DD9"/>
    <w:rsid w:val="00246E9D"/>
    <w:rsid w:val="0024709B"/>
    <w:rsid w:val="002470E3"/>
    <w:rsid w:val="002471A5"/>
    <w:rsid w:val="00247218"/>
    <w:rsid w:val="002472A1"/>
    <w:rsid w:val="002472BD"/>
    <w:rsid w:val="0024733F"/>
    <w:rsid w:val="0024752B"/>
    <w:rsid w:val="00247604"/>
    <w:rsid w:val="002477E1"/>
    <w:rsid w:val="00247845"/>
    <w:rsid w:val="002478C2"/>
    <w:rsid w:val="00247900"/>
    <w:rsid w:val="00247A4E"/>
    <w:rsid w:val="00247A9F"/>
    <w:rsid w:val="00247AE2"/>
    <w:rsid w:val="00247B9A"/>
    <w:rsid w:val="00247C1A"/>
    <w:rsid w:val="00247C97"/>
    <w:rsid w:val="00247CF0"/>
    <w:rsid w:val="00247E32"/>
    <w:rsid w:val="00247FEC"/>
    <w:rsid w:val="00250024"/>
    <w:rsid w:val="002502FB"/>
    <w:rsid w:val="002504C8"/>
    <w:rsid w:val="002504D7"/>
    <w:rsid w:val="00250755"/>
    <w:rsid w:val="002507E6"/>
    <w:rsid w:val="00250858"/>
    <w:rsid w:val="00250ACF"/>
    <w:rsid w:val="00250B37"/>
    <w:rsid w:val="00250BC5"/>
    <w:rsid w:val="00250CF8"/>
    <w:rsid w:val="00250E17"/>
    <w:rsid w:val="00250F6D"/>
    <w:rsid w:val="002510DF"/>
    <w:rsid w:val="00251152"/>
    <w:rsid w:val="002512C4"/>
    <w:rsid w:val="0025136C"/>
    <w:rsid w:val="0025157F"/>
    <w:rsid w:val="002516C2"/>
    <w:rsid w:val="002516FA"/>
    <w:rsid w:val="0025176D"/>
    <w:rsid w:val="00251C29"/>
    <w:rsid w:val="00251CAF"/>
    <w:rsid w:val="00251DB6"/>
    <w:rsid w:val="00251DF8"/>
    <w:rsid w:val="00251E9E"/>
    <w:rsid w:val="00251FF1"/>
    <w:rsid w:val="0025216E"/>
    <w:rsid w:val="002521EB"/>
    <w:rsid w:val="00252234"/>
    <w:rsid w:val="002525C2"/>
    <w:rsid w:val="002527C8"/>
    <w:rsid w:val="00252829"/>
    <w:rsid w:val="002528A0"/>
    <w:rsid w:val="00252906"/>
    <w:rsid w:val="002529B9"/>
    <w:rsid w:val="00252AAF"/>
    <w:rsid w:val="00252B89"/>
    <w:rsid w:val="00252CE1"/>
    <w:rsid w:val="00253120"/>
    <w:rsid w:val="002534F0"/>
    <w:rsid w:val="00253586"/>
    <w:rsid w:val="002536B6"/>
    <w:rsid w:val="0025371F"/>
    <w:rsid w:val="002538D4"/>
    <w:rsid w:val="00253A04"/>
    <w:rsid w:val="00253A5F"/>
    <w:rsid w:val="00253AA4"/>
    <w:rsid w:val="00253B2F"/>
    <w:rsid w:val="00253C8D"/>
    <w:rsid w:val="00253CFF"/>
    <w:rsid w:val="00253D13"/>
    <w:rsid w:val="00253DDB"/>
    <w:rsid w:val="00253F33"/>
    <w:rsid w:val="00253FF3"/>
    <w:rsid w:val="00254018"/>
    <w:rsid w:val="0025410B"/>
    <w:rsid w:val="00254249"/>
    <w:rsid w:val="002542F9"/>
    <w:rsid w:val="00254313"/>
    <w:rsid w:val="00254339"/>
    <w:rsid w:val="0025437F"/>
    <w:rsid w:val="002545E4"/>
    <w:rsid w:val="0025462E"/>
    <w:rsid w:val="00254795"/>
    <w:rsid w:val="00254805"/>
    <w:rsid w:val="00254872"/>
    <w:rsid w:val="00254A7F"/>
    <w:rsid w:val="00254ACD"/>
    <w:rsid w:val="00254FDA"/>
    <w:rsid w:val="002550B5"/>
    <w:rsid w:val="00255124"/>
    <w:rsid w:val="0025520A"/>
    <w:rsid w:val="00255233"/>
    <w:rsid w:val="002553B5"/>
    <w:rsid w:val="00255675"/>
    <w:rsid w:val="002556F5"/>
    <w:rsid w:val="00255738"/>
    <w:rsid w:val="00255797"/>
    <w:rsid w:val="0025581E"/>
    <w:rsid w:val="0025594D"/>
    <w:rsid w:val="00255969"/>
    <w:rsid w:val="00255A2C"/>
    <w:rsid w:val="00255C08"/>
    <w:rsid w:val="00255C2F"/>
    <w:rsid w:val="00255C93"/>
    <w:rsid w:val="00255F94"/>
    <w:rsid w:val="00256137"/>
    <w:rsid w:val="002564E1"/>
    <w:rsid w:val="002565AB"/>
    <w:rsid w:val="002565ED"/>
    <w:rsid w:val="00256610"/>
    <w:rsid w:val="00256625"/>
    <w:rsid w:val="00256657"/>
    <w:rsid w:val="0025671D"/>
    <w:rsid w:val="002567C8"/>
    <w:rsid w:val="002567F0"/>
    <w:rsid w:val="002568E6"/>
    <w:rsid w:val="00256B34"/>
    <w:rsid w:val="00256C61"/>
    <w:rsid w:val="00256D32"/>
    <w:rsid w:val="00256F25"/>
    <w:rsid w:val="00256F84"/>
    <w:rsid w:val="00256FBE"/>
    <w:rsid w:val="00257055"/>
    <w:rsid w:val="0025726C"/>
    <w:rsid w:val="002573CD"/>
    <w:rsid w:val="002573F4"/>
    <w:rsid w:val="0025740B"/>
    <w:rsid w:val="00257531"/>
    <w:rsid w:val="002575F6"/>
    <w:rsid w:val="002576D4"/>
    <w:rsid w:val="002577DC"/>
    <w:rsid w:val="002578C3"/>
    <w:rsid w:val="0025794D"/>
    <w:rsid w:val="00257961"/>
    <w:rsid w:val="00257AC9"/>
    <w:rsid w:val="00257B70"/>
    <w:rsid w:val="00257C2D"/>
    <w:rsid w:val="00257C64"/>
    <w:rsid w:val="00257CE9"/>
    <w:rsid w:val="00257DE4"/>
    <w:rsid w:val="002602B4"/>
    <w:rsid w:val="002602C3"/>
    <w:rsid w:val="002602F3"/>
    <w:rsid w:val="00260340"/>
    <w:rsid w:val="00260401"/>
    <w:rsid w:val="00260457"/>
    <w:rsid w:val="002604CA"/>
    <w:rsid w:val="00260502"/>
    <w:rsid w:val="002605BA"/>
    <w:rsid w:val="002605DB"/>
    <w:rsid w:val="0026067A"/>
    <w:rsid w:val="002606F1"/>
    <w:rsid w:val="002607DB"/>
    <w:rsid w:val="00260876"/>
    <w:rsid w:val="002609D4"/>
    <w:rsid w:val="00260AD4"/>
    <w:rsid w:val="00260B22"/>
    <w:rsid w:val="00260B32"/>
    <w:rsid w:val="00260E39"/>
    <w:rsid w:val="00260EB6"/>
    <w:rsid w:val="00261070"/>
    <w:rsid w:val="002611D2"/>
    <w:rsid w:val="0026120B"/>
    <w:rsid w:val="0026138B"/>
    <w:rsid w:val="002613D9"/>
    <w:rsid w:val="0026147A"/>
    <w:rsid w:val="002614E5"/>
    <w:rsid w:val="002615B8"/>
    <w:rsid w:val="0026193B"/>
    <w:rsid w:val="00261CCB"/>
    <w:rsid w:val="00261E42"/>
    <w:rsid w:val="002620CC"/>
    <w:rsid w:val="002620E1"/>
    <w:rsid w:val="002622AE"/>
    <w:rsid w:val="002625FE"/>
    <w:rsid w:val="0026264D"/>
    <w:rsid w:val="0026273D"/>
    <w:rsid w:val="00262764"/>
    <w:rsid w:val="00262767"/>
    <w:rsid w:val="00262816"/>
    <w:rsid w:val="00262820"/>
    <w:rsid w:val="00262A2D"/>
    <w:rsid w:val="00262A34"/>
    <w:rsid w:val="00262AB3"/>
    <w:rsid w:val="00262B4B"/>
    <w:rsid w:val="00262C50"/>
    <w:rsid w:val="00262C7E"/>
    <w:rsid w:val="00262E50"/>
    <w:rsid w:val="00262EAE"/>
    <w:rsid w:val="00262EB5"/>
    <w:rsid w:val="00262F55"/>
    <w:rsid w:val="00262FE4"/>
    <w:rsid w:val="00263135"/>
    <w:rsid w:val="00263240"/>
    <w:rsid w:val="00263334"/>
    <w:rsid w:val="002635E5"/>
    <w:rsid w:val="00263615"/>
    <w:rsid w:val="0026362C"/>
    <w:rsid w:val="00263654"/>
    <w:rsid w:val="002638F9"/>
    <w:rsid w:val="00263A7B"/>
    <w:rsid w:val="00263B1E"/>
    <w:rsid w:val="00263B32"/>
    <w:rsid w:val="00263B8F"/>
    <w:rsid w:val="00263BB9"/>
    <w:rsid w:val="00263F7A"/>
    <w:rsid w:val="002641B7"/>
    <w:rsid w:val="002642EA"/>
    <w:rsid w:val="00264397"/>
    <w:rsid w:val="00264430"/>
    <w:rsid w:val="00264464"/>
    <w:rsid w:val="0026464E"/>
    <w:rsid w:val="002646F1"/>
    <w:rsid w:val="00264760"/>
    <w:rsid w:val="0026479B"/>
    <w:rsid w:val="002647D4"/>
    <w:rsid w:val="00264855"/>
    <w:rsid w:val="0026485A"/>
    <w:rsid w:val="00264905"/>
    <w:rsid w:val="00264C4A"/>
    <w:rsid w:val="00264C9C"/>
    <w:rsid w:val="00264DCC"/>
    <w:rsid w:val="00264E35"/>
    <w:rsid w:val="00264E58"/>
    <w:rsid w:val="0026509F"/>
    <w:rsid w:val="0026531B"/>
    <w:rsid w:val="002654C2"/>
    <w:rsid w:val="00265525"/>
    <w:rsid w:val="00265562"/>
    <w:rsid w:val="002656D7"/>
    <w:rsid w:val="00265817"/>
    <w:rsid w:val="00265856"/>
    <w:rsid w:val="002659CC"/>
    <w:rsid w:val="00265B1A"/>
    <w:rsid w:val="00265B2C"/>
    <w:rsid w:val="00265D7F"/>
    <w:rsid w:val="00265E6D"/>
    <w:rsid w:val="00265ECD"/>
    <w:rsid w:val="00265FC7"/>
    <w:rsid w:val="00265FF8"/>
    <w:rsid w:val="00266087"/>
    <w:rsid w:val="00266156"/>
    <w:rsid w:val="002661FD"/>
    <w:rsid w:val="0026640E"/>
    <w:rsid w:val="0026651D"/>
    <w:rsid w:val="00266528"/>
    <w:rsid w:val="00266588"/>
    <w:rsid w:val="00266680"/>
    <w:rsid w:val="002666A0"/>
    <w:rsid w:val="0026678E"/>
    <w:rsid w:val="002667B1"/>
    <w:rsid w:val="00266B41"/>
    <w:rsid w:val="00266D9B"/>
    <w:rsid w:val="00266EF5"/>
    <w:rsid w:val="00266FD6"/>
    <w:rsid w:val="0026719F"/>
    <w:rsid w:val="0026726F"/>
    <w:rsid w:val="002673FA"/>
    <w:rsid w:val="00267560"/>
    <w:rsid w:val="002676E2"/>
    <w:rsid w:val="00267708"/>
    <w:rsid w:val="00267797"/>
    <w:rsid w:val="002677C7"/>
    <w:rsid w:val="002677DA"/>
    <w:rsid w:val="002677F8"/>
    <w:rsid w:val="00267813"/>
    <w:rsid w:val="00267869"/>
    <w:rsid w:val="002679FF"/>
    <w:rsid w:val="00267AAF"/>
    <w:rsid w:val="00267C70"/>
    <w:rsid w:val="00267DEC"/>
    <w:rsid w:val="00267E75"/>
    <w:rsid w:val="00267EA6"/>
    <w:rsid w:val="0027039F"/>
    <w:rsid w:val="002704BB"/>
    <w:rsid w:val="0027053D"/>
    <w:rsid w:val="00270563"/>
    <w:rsid w:val="00270743"/>
    <w:rsid w:val="00270830"/>
    <w:rsid w:val="00270A10"/>
    <w:rsid w:val="00270A93"/>
    <w:rsid w:val="00270B06"/>
    <w:rsid w:val="00270C2A"/>
    <w:rsid w:val="00270DC1"/>
    <w:rsid w:val="00270E28"/>
    <w:rsid w:val="00270EDB"/>
    <w:rsid w:val="00270F4B"/>
    <w:rsid w:val="00270FA9"/>
    <w:rsid w:val="00271204"/>
    <w:rsid w:val="00271287"/>
    <w:rsid w:val="0027130C"/>
    <w:rsid w:val="0027140B"/>
    <w:rsid w:val="002714FA"/>
    <w:rsid w:val="002716D8"/>
    <w:rsid w:val="002717BE"/>
    <w:rsid w:val="002718C3"/>
    <w:rsid w:val="00271A02"/>
    <w:rsid w:val="00271BFF"/>
    <w:rsid w:val="00271C2B"/>
    <w:rsid w:val="00271E75"/>
    <w:rsid w:val="00271F84"/>
    <w:rsid w:val="00272066"/>
    <w:rsid w:val="0027228F"/>
    <w:rsid w:val="00272375"/>
    <w:rsid w:val="002723B7"/>
    <w:rsid w:val="00272562"/>
    <w:rsid w:val="002725F7"/>
    <w:rsid w:val="002725FB"/>
    <w:rsid w:val="00272682"/>
    <w:rsid w:val="002727B1"/>
    <w:rsid w:val="00272A9F"/>
    <w:rsid w:val="00272C38"/>
    <w:rsid w:val="00272CA1"/>
    <w:rsid w:val="00272EA0"/>
    <w:rsid w:val="00272FE9"/>
    <w:rsid w:val="00273060"/>
    <w:rsid w:val="00273083"/>
    <w:rsid w:val="00273167"/>
    <w:rsid w:val="00273217"/>
    <w:rsid w:val="002732CD"/>
    <w:rsid w:val="002732CF"/>
    <w:rsid w:val="00273614"/>
    <w:rsid w:val="002736B9"/>
    <w:rsid w:val="0027371C"/>
    <w:rsid w:val="00273878"/>
    <w:rsid w:val="002738A2"/>
    <w:rsid w:val="002739B3"/>
    <w:rsid w:val="00273A59"/>
    <w:rsid w:val="00273ABC"/>
    <w:rsid w:val="00273B76"/>
    <w:rsid w:val="00273C9F"/>
    <w:rsid w:val="00273CFE"/>
    <w:rsid w:val="00273E35"/>
    <w:rsid w:val="00273EDF"/>
    <w:rsid w:val="00273EEC"/>
    <w:rsid w:val="00274072"/>
    <w:rsid w:val="00274121"/>
    <w:rsid w:val="0027429B"/>
    <w:rsid w:val="002742AD"/>
    <w:rsid w:val="002742FD"/>
    <w:rsid w:val="002744C9"/>
    <w:rsid w:val="0027460F"/>
    <w:rsid w:val="0027465A"/>
    <w:rsid w:val="00274B1D"/>
    <w:rsid w:val="00274B42"/>
    <w:rsid w:val="00274BFC"/>
    <w:rsid w:val="00274C90"/>
    <w:rsid w:val="00274C9F"/>
    <w:rsid w:val="00274CCD"/>
    <w:rsid w:val="00274CE9"/>
    <w:rsid w:val="00274D28"/>
    <w:rsid w:val="00274DEC"/>
    <w:rsid w:val="00274F24"/>
    <w:rsid w:val="0027503F"/>
    <w:rsid w:val="0027507E"/>
    <w:rsid w:val="002751DF"/>
    <w:rsid w:val="0027522B"/>
    <w:rsid w:val="00275387"/>
    <w:rsid w:val="002754D4"/>
    <w:rsid w:val="00275789"/>
    <w:rsid w:val="002757F2"/>
    <w:rsid w:val="00275DE9"/>
    <w:rsid w:val="00275E93"/>
    <w:rsid w:val="00275FF5"/>
    <w:rsid w:val="002760FA"/>
    <w:rsid w:val="00276161"/>
    <w:rsid w:val="00276184"/>
    <w:rsid w:val="00276199"/>
    <w:rsid w:val="00276227"/>
    <w:rsid w:val="0027627C"/>
    <w:rsid w:val="0027629C"/>
    <w:rsid w:val="002762D3"/>
    <w:rsid w:val="002763E6"/>
    <w:rsid w:val="002764B6"/>
    <w:rsid w:val="002764BC"/>
    <w:rsid w:val="002764C9"/>
    <w:rsid w:val="0027653F"/>
    <w:rsid w:val="002765EF"/>
    <w:rsid w:val="00276656"/>
    <w:rsid w:val="00276789"/>
    <w:rsid w:val="00276838"/>
    <w:rsid w:val="00276874"/>
    <w:rsid w:val="00276963"/>
    <w:rsid w:val="00276A73"/>
    <w:rsid w:val="00276B1E"/>
    <w:rsid w:val="00276C62"/>
    <w:rsid w:val="00276DCA"/>
    <w:rsid w:val="00276EA9"/>
    <w:rsid w:val="00276F2B"/>
    <w:rsid w:val="00277155"/>
    <w:rsid w:val="00277222"/>
    <w:rsid w:val="002773C0"/>
    <w:rsid w:val="00277459"/>
    <w:rsid w:val="00277652"/>
    <w:rsid w:val="00277702"/>
    <w:rsid w:val="00277852"/>
    <w:rsid w:val="00277B50"/>
    <w:rsid w:val="00277C78"/>
    <w:rsid w:val="00277EC6"/>
    <w:rsid w:val="002800A6"/>
    <w:rsid w:val="002802B7"/>
    <w:rsid w:val="00280328"/>
    <w:rsid w:val="00280360"/>
    <w:rsid w:val="002804F4"/>
    <w:rsid w:val="00280760"/>
    <w:rsid w:val="00280773"/>
    <w:rsid w:val="002808A6"/>
    <w:rsid w:val="00280AD9"/>
    <w:rsid w:val="00280C11"/>
    <w:rsid w:val="00280C32"/>
    <w:rsid w:val="00280CCB"/>
    <w:rsid w:val="00280D20"/>
    <w:rsid w:val="00280DF8"/>
    <w:rsid w:val="00280E8C"/>
    <w:rsid w:val="00281055"/>
    <w:rsid w:val="00281123"/>
    <w:rsid w:val="00281289"/>
    <w:rsid w:val="002812F6"/>
    <w:rsid w:val="002813C3"/>
    <w:rsid w:val="002813CA"/>
    <w:rsid w:val="0028140B"/>
    <w:rsid w:val="00281441"/>
    <w:rsid w:val="002814BC"/>
    <w:rsid w:val="0028164E"/>
    <w:rsid w:val="00281660"/>
    <w:rsid w:val="0028171E"/>
    <w:rsid w:val="002817C8"/>
    <w:rsid w:val="002817EB"/>
    <w:rsid w:val="0028186C"/>
    <w:rsid w:val="002819CE"/>
    <w:rsid w:val="00281A83"/>
    <w:rsid w:val="00281BF2"/>
    <w:rsid w:val="00281CBF"/>
    <w:rsid w:val="00281D39"/>
    <w:rsid w:val="00281DA2"/>
    <w:rsid w:val="00281DFE"/>
    <w:rsid w:val="00281E81"/>
    <w:rsid w:val="0028202A"/>
    <w:rsid w:val="002823C0"/>
    <w:rsid w:val="002823EC"/>
    <w:rsid w:val="002825F9"/>
    <w:rsid w:val="00282615"/>
    <w:rsid w:val="00282734"/>
    <w:rsid w:val="002827A7"/>
    <w:rsid w:val="00282A63"/>
    <w:rsid w:val="00282A75"/>
    <w:rsid w:val="00282A82"/>
    <w:rsid w:val="00282B93"/>
    <w:rsid w:val="00282BAA"/>
    <w:rsid w:val="00282C81"/>
    <w:rsid w:val="00282E8D"/>
    <w:rsid w:val="00282F68"/>
    <w:rsid w:val="0028307F"/>
    <w:rsid w:val="002830D2"/>
    <w:rsid w:val="002830DB"/>
    <w:rsid w:val="002836FA"/>
    <w:rsid w:val="00283703"/>
    <w:rsid w:val="00283977"/>
    <w:rsid w:val="00283AFE"/>
    <w:rsid w:val="00283EB1"/>
    <w:rsid w:val="00283F63"/>
    <w:rsid w:val="00283F9D"/>
    <w:rsid w:val="002841C1"/>
    <w:rsid w:val="0028436C"/>
    <w:rsid w:val="00284537"/>
    <w:rsid w:val="002846CD"/>
    <w:rsid w:val="0028471A"/>
    <w:rsid w:val="00284828"/>
    <w:rsid w:val="0028483A"/>
    <w:rsid w:val="00284874"/>
    <w:rsid w:val="00284A8D"/>
    <w:rsid w:val="00284AF7"/>
    <w:rsid w:val="00284B14"/>
    <w:rsid w:val="00284B9D"/>
    <w:rsid w:val="00284B9E"/>
    <w:rsid w:val="00284C81"/>
    <w:rsid w:val="00284EF6"/>
    <w:rsid w:val="00285117"/>
    <w:rsid w:val="00285995"/>
    <w:rsid w:val="00285D09"/>
    <w:rsid w:val="00285D4B"/>
    <w:rsid w:val="00286156"/>
    <w:rsid w:val="0028634E"/>
    <w:rsid w:val="00286482"/>
    <w:rsid w:val="002864EA"/>
    <w:rsid w:val="00286642"/>
    <w:rsid w:val="00286666"/>
    <w:rsid w:val="00286709"/>
    <w:rsid w:val="00286759"/>
    <w:rsid w:val="002867A2"/>
    <w:rsid w:val="00286A87"/>
    <w:rsid w:val="00286AF1"/>
    <w:rsid w:val="00286BE9"/>
    <w:rsid w:val="00286C44"/>
    <w:rsid w:val="00286C67"/>
    <w:rsid w:val="00286CAE"/>
    <w:rsid w:val="00286CED"/>
    <w:rsid w:val="00286D3B"/>
    <w:rsid w:val="00286E46"/>
    <w:rsid w:val="00286F12"/>
    <w:rsid w:val="0028703B"/>
    <w:rsid w:val="00287113"/>
    <w:rsid w:val="00287163"/>
    <w:rsid w:val="00287166"/>
    <w:rsid w:val="00287353"/>
    <w:rsid w:val="00287457"/>
    <w:rsid w:val="00287483"/>
    <w:rsid w:val="0028767D"/>
    <w:rsid w:val="00287725"/>
    <w:rsid w:val="002877B8"/>
    <w:rsid w:val="002878F3"/>
    <w:rsid w:val="00287A74"/>
    <w:rsid w:val="00287B7C"/>
    <w:rsid w:val="00287CBB"/>
    <w:rsid w:val="00287DD1"/>
    <w:rsid w:val="00287EC0"/>
    <w:rsid w:val="00290044"/>
    <w:rsid w:val="0029016B"/>
    <w:rsid w:val="002906D2"/>
    <w:rsid w:val="002906E9"/>
    <w:rsid w:val="002906F5"/>
    <w:rsid w:val="00290776"/>
    <w:rsid w:val="002907CF"/>
    <w:rsid w:val="00290873"/>
    <w:rsid w:val="002908CF"/>
    <w:rsid w:val="002909B4"/>
    <w:rsid w:val="002909D4"/>
    <w:rsid w:val="00290B5C"/>
    <w:rsid w:val="00290C61"/>
    <w:rsid w:val="00290C95"/>
    <w:rsid w:val="00290CED"/>
    <w:rsid w:val="00290D16"/>
    <w:rsid w:val="00290ECE"/>
    <w:rsid w:val="00290ED4"/>
    <w:rsid w:val="00290F14"/>
    <w:rsid w:val="0029117E"/>
    <w:rsid w:val="002912C0"/>
    <w:rsid w:val="00291393"/>
    <w:rsid w:val="002913EB"/>
    <w:rsid w:val="00291456"/>
    <w:rsid w:val="002914D6"/>
    <w:rsid w:val="0029151C"/>
    <w:rsid w:val="0029158A"/>
    <w:rsid w:val="0029158E"/>
    <w:rsid w:val="00291601"/>
    <w:rsid w:val="002916A4"/>
    <w:rsid w:val="002916A9"/>
    <w:rsid w:val="002916AE"/>
    <w:rsid w:val="00291790"/>
    <w:rsid w:val="00291862"/>
    <w:rsid w:val="0029187A"/>
    <w:rsid w:val="002918F4"/>
    <w:rsid w:val="0029198B"/>
    <w:rsid w:val="00291B29"/>
    <w:rsid w:val="00291BA7"/>
    <w:rsid w:val="00291BD6"/>
    <w:rsid w:val="00291C2F"/>
    <w:rsid w:val="00291E9B"/>
    <w:rsid w:val="00291F80"/>
    <w:rsid w:val="0029203D"/>
    <w:rsid w:val="002920A4"/>
    <w:rsid w:val="002921B7"/>
    <w:rsid w:val="002921E4"/>
    <w:rsid w:val="0029223A"/>
    <w:rsid w:val="0029230E"/>
    <w:rsid w:val="00292358"/>
    <w:rsid w:val="0029251D"/>
    <w:rsid w:val="002925B1"/>
    <w:rsid w:val="002925E9"/>
    <w:rsid w:val="00292AD9"/>
    <w:rsid w:val="00292AF5"/>
    <w:rsid w:val="00292CCA"/>
    <w:rsid w:val="00292D05"/>
    <w:rsid w:val="00292D48"/>
    <w:rsid w:val="00292E3E"/>
    <w:rsid w:val="00292EA0"/>
    <w:rsid w:val="00292F24"/>
    <w:rsid w:val="00292FAF"/>
    <w:rsid w:val="00292FE1"/>
    <w:rsid w:val="0029304A"/>
    <w:rsid w:val="002931F0"/>
    <w:rsid w:val="00293225"/>
    <w:rsid w:val="00293305"/>
    <w:rsid w:val="00293319"/>
    <w:rsid w:val="00293618"/>
    <w:rsid w:val="0029369B"/>
    <w:rsid w:val="002936A2"/>
    <w:rsid w:val="002936F5"/>
    <w:rsid w:val="00293735"/>
    <w:rsid w:val="002938BB"/>
    <w:rsid w:val="0029391D"/>
    <w:rsid w:val="002939F5"/>
    <w:rsid w:val="00293A3B"/>
    <w:rsid w:val="00293A45"/>
    <w:rsid w:val="00293AB9"/>
    <w:rsid w:val="00293BCE"/>
    <w:rsid w:val="00293C38"/>
    <w:rsid w:val="00293D26"/>
    <w:rsid w:val="00293D91"/>
    <w:rsid w:val="00293E50"/>
    <w:rsid w:val="00294069"/>
    <w:rsid w:val="00294207"/>
    <w:rsid w:val="00294239"/>
    <w:rsid w:val="00294302"/>
    <w:rsid w:val="0029434A"/>
    <w:rsid w:val="002943AB"/>
    <w:rsid w:val="002943DA"/>
    <w:rsid w:val="002943E8"/>
    <w:rsid w:val="0029442B"/>
    <w:rsid w:val="00294468"/>
    <w:rsid w:val="002944B0"/>
    <w:rsid w:val="00294509"/>
    <w:rsid w:val="0029459A"/>
    <w:rsid w:val="0029459B"/>
    <w:rsid w:val="00294771"/>
    <w:rsid w:val="00294831"/>
    <w:rsid w:val="0029484E"/>
    <w:rsid w:val="00294900"/>
    <w:rsid w:val="00294A39"/>
    <w:rsid w:val="00294A85"/>
    <w:rsid w:val="00294B1A"/>
    <w:rsid w:val="00294B61"/>
    <w:rsid w:val="00294BA5"/>
    <w:rsid w:val="00294BC3"/>
    <w:rsid w:val="00294D51"/>
    <w:rsid w:val="00294DC7"/>
    <w:rsid w:val="0029509A"/>
    <w:rsid w:val="00295180"/>
    <w:rsid w:val="002951BC"/>
    <w:rsid w:val="00295353"/>
    <w:rsid w:val="002953AC"/>
    <w:rsid w:val="002955F0"/>
    <w:rsid w:val="00295A2C"/>
    <w:rsid w:val="00295A6D"/>
    <w:rsid w:val="00295BC6"/>
    <w:rsid w:val="00295D13"/>
    <w:rsid w:val="00295D27"/>
    <w:rsid w:val="00295E33"/>
    <w:rsid w:val="00295E8F"/>
    <w:rsid w:val="00296038"/>
    <w:rsid w:val="00296268"/>
    <w:rsid w:val="002962E5"/>
    <w:rsid w:val="00296405"/>
    <w:rsid w:val="00296408"/>
    <w:rsid w:val="00296455"/>
    <w:rsid w:val="00296466"/>
    <w:rsid w:val="00296475"/>
    <w:rsid w:val="002964FA"/>
    <w:rsid w:val="00296537"/>
    <w:rsid w:val="00296597"/>
    <w:rsid w:val="002965EF"/>
    <w:rsid w:val="002966BA"/>
    <w:rsid w:val="00296723"/>
    <w:rsid w:val="0029699D"/>
    <w:rsid w:val="002969F8"/>
    <w:rsid w:val="00296A80"/>
    <w:rsid w:val="00296BF3"/>
    <w:rsid w:val="00296BF9"/>
    <w:rsid w:val="00296C5E"/>
    <w:rsid w:val="00296D20"/>
    <w:rsid w:val="00296D7A"/>
    <w:rsid w:val="00296E12"/>
    <w:rsid w:val="00296E7E"/>
    <w:rsid w:val="00296EEF"/>
    <w:rsid w:val="00296F15"/>
    <w:rsid w:val="00297093"/>
    <w:rsid w:val="002970AB"/>
    <w:rsid w:val="002970CC"/>
    <w:rsid w:val="0029715D"/>
    <w:rsid w:val="0029738E"/>
    <w:rsid w:val="002973A2"/>
    <w:rsid w:val="002973C8"/>
    <w:rsid w:val="002973F2"/>
    <w:rsid w:val="002974F2"/>
    <w:rsid w:val="002976ED"/>
    <w:rsid w:val="00297AD9"/>
    <w:rsid w:val="00297C95"/>
    <w:rsid w:val="00297E6A"/>
    <w:rsid w:val="00297E8E"/>
    <w:rsid w:val="002A0284"/>
    <w:rsid w:val="002A048A"/>
    <w:rsid w:val="002A04AB"/>
    <w:rsid w:val="002A04AC"/>
    <w:rsid w:val="002A0807"/>
    <w:rsid w:val="002A0959"/>
    <w:rsid w:val="002A0A05"/>
    <w:rsid w:val="002A0A10"/>
    <w:rsid w:val="002A0AD8"/>
    <w:rsid w:val="002A0B9A"/>
    <w:rsid w:val="002A0E43"/>
    <w:rsid w:val="002A0F86"/>
    <w:rsid w:val="002A15CE"/>
    <w:rsid w:val="002A15FE"/>
    <w:rsid w:val="002A17D8"/>
    <w:rsid w:val="002A17F4"/>
    <w:rsid w:val="002A182E"/>
    <w:rsid w:val="002A19EA"/>
    <w:rsid w:val="002A19FE"/>
    <w:rsid w:val="002A1A45"/>
    <w:rsid w:val="002A1A4B"/>
    <w:rsid w:val="002A1A86"/>
    <w:rsid w:val="002A1D80"/>
    <w:rsid w:val="002A1E0B"/>
    <w:rsid w:val="002A2026"/>
    <w:rsid w:val="002A21B6"/>
    <w:rsid w:val="002A21F9"/>
    <w:rsid w:val="002A22D8"/>
    <w:rsid w:val="002A2640"/>
    <w:rsid w:val="002A2704"/>
    <w:rsid w:val="002A2845"/>
    <w:rsid w:val="002A28FE"/>
    <w:rsid w:val="002A2A05"/>
    <w:rsid w:val="002A2A7F"/>
    <w:rsid w:val="002A2B16"/>
    <w:rsid w:val="002A2B2B"/>
    <w:rsid w:val="002A2B80"/>
    <w:rsid w:val="002A2BE6"/>
    <w:rsid w:val="002A2C73"/>
    <w:rsid w:val="002A2D51"/>
    <w:rsid w:val="002A2DF8"/>
    <w:rsid w:val="002A2F0E"/>
    <w:rsid w:val="002A2F87"/>
    <w:rsid w:val="002A2F89"/>
    <w:rsid w:val="002A2F98"/>
    <w:rsid w:val="002A306E"/>
    <w:rsid w:val="002A30E5"/>
    <w:rsid w:val="002A3116"/>
    <w:rsid w:val="002A3232"/>
    <w:rsid w:val="002A3294"/>
    <w:rsid w:val="002A32B4"/>
    <w:rsid w:val="002A32FD"/>
    <w:rsid w:val="002A33C6"/>
    <w:rsid w:val="002A3744"/>
    <w:rsid w:val="002A37C2"/>
    <w:rsid w:val="002A397A"/>
    <w:rsid w:val="002A3A1C"/>
    <w:rsid w:val="002A3AD9"/>
    <w:rsid w:val="002A3FAE"/>
    <w:rsid w:val="002A40E7"/>
    <w:rsid w:val="002A41CB"/>
    <w:rsid w:val="002A4384"/>
    <w:rsid w:val="002A44D5"/>
    <w:rsid w:val="002A451A"/>
    <w:rsid w:val="002A4558"/>
    <w:rsid w:val="002A488B"/>
    <w:rsid w:val="002A48DB"/>
    <w:rsid w:val="002A4913"/>
    <w:rsid w:val="002A4934"/>
    <w:rsid w:val="002A4A05"/>
    <w:rsid w:val="002A4B3D"/>
    <w:rsid w:val="002A4D3A"/>
    <w:rsid w:val="002A4DBF"/>
    <w:rsid w:val="002A4E33"/>
    <w:rsid w:val="002A4EAD"/>
    <w:rsid w:val="002A5030"/>
    <w:rsid w:val="002A5037"/>
    <w:rsid w:val="002A546D"/>
    <w:rsid w:val="002A552C"/>
    <w:rsid w:val="002A5533"/>
    <w:rsid w:val="002A565C"/>
    <w:rsid w:val="002A5781"/>
    <w:rsid w:val="002A584C"/>
    <w:rsid w:val="002A59A6"/>
    <w:rsid w:val="002A59C6"/>
    <w:rsid w:val="002A5AE1"/>
    <w:rsid w:val="002A5D9B"/>
    <w:rsid w:val="002A5DFB"/>
    <w:rsid w:val="002A607D"/>
    <w:rsid w:val="002A6086"/>
    <w:rsid w:val="002A6152"/>
    <w:rsid w:val="002A6412"/>
    <w:rsid w:val="002A644F"/>
    <w:rsid w:val="002A65F3"/>
    <w:rsid w:val="002A6600"/>
    <w:rsid w:val="002A6658"/>
    <w:rsid w:val="002A67B2"/>
    <w:rsid w:val="002A683F"/>
    <w:rsid w:val="002A68C6"/>
    <w:rsid w:val="002A69E6"/>
    <w:rsid w:val="002A6A00"/>
    <w:rsid w:val="002A6D90"/>
    <w:rsid w:val="002A6EDA"/>
    <w:rsid w:val="002A6FC0"/>
    <w:rsid w:val="002A7646"/>
    <w:rsid w:val="002A7728"/>
    <w:rsid w:val="002A77C4"/>
    <w:rsid w:val="002A7919"/>
    <w:rsid w:val="002A7953"/>
    <w:rsid w:val="002A79FA"/>
    <w:rsid w:val="002A7AC2"/>
    <w:rsid w:val="002A7F4D"/>
    <w:rsid w:val="002B005D"/>
    <w:rsid w:val="002B0075"/>
    <w:rsid w:val="002B00B0"/>
    <w:rsid w:val="002B0240"/>
    <w:rsid w:val="002B03D4"/>
    <w:rsid w:val="002B044E"/>
    <w:rsid w:val="002B0454"/>
    <w:rsid w:val="002B0562"/>
    <w:rsid w:val="002B05A4"/>
    <w:rsid w:val="002B062C"/>
    <w:rsid w:val="002B065F"/>
    <w:rsid w:val="002B0858"/>
    <w:rsid w:val="002B08A9"/>
    <w:rsid w:val="002B09D0"/>
    <w:rsid w:val="002B09D5"/>
    <w:rsid w:val="002B0BB6"/>
    <w:rsid w:val="002B0CF6"/>
    <w:rsid w:val="002B0DAD"/>
    <w:rsid w:val="002B0DBE"/>
    <w:rsid w:val="002B0E51"/>
    <w:rsid w:val="002B0F52"/>
    <w:rsid w:val="002B0FF8"/>
    <w:rsid w:val="002B1003"/>
    <w:rsid w:val="002B1039"/>
    <w:rsid w:val="002B12F5"/>
    <w:rsid w:val="002B1484"/>
    <w:rsid w:val="002B150F"/>
    <w:rsid w:val="002B1702"/>
    <w:rsid w:val="002B1930"/>
    <w:rsid w:val="002B193D"/>
    <w:rsid w:val="002B1973"/>
    <w:rsid w:val="002B19CB"/>
    <w:rsid w:val="002B1C48"/>
    <w:rsid w:val="002B1D09"/>
    <w:rsid w:val="002B1D5E"/>
    <w:rsid w:val="002B1DE9"/>
    <w:rsid w:val="002B1E38"/>
    <w:rsid w:val="002B1E67"/>
    <w:rsid w:val="002B1EB1"/>
    <w:rsid w:val="002B1EF7"/>
    <w:rsid w:val="002B1FA7"/>
    <w:rsid w:val="002B2068"/>
    <w:rsid w:val="002B22CB"/>
    <w:rsid w:val="002B232D"/>
    <w:rsid w:val="002B2393"/>
    <w:rsid w:val="002B23AA"/>
    <w:rsid w:val="002B288E"/>
    <w:rsid w:val="002B290C"/>
    <w:rsid w:val="002B29AF"/>
    <w:rsid w:val="002B29BA"/>
    <w:rsid w:val="002B2C1C"/>
    <w:rsid w:val="002B3065"/>
    <w:rsid w:val="002B30EC"/>
    <w:rsid w:val="002B32D2"/>
    <w:rsid w:val="002B35E7"/>
    <w:rsid w:val="002B360B"/>
    <w:rsid w:val="002B377B"/>
    <w:rsid w:val="002B37B4"/>
    <w:rsid w:val="002B37DB"/>
    <w:rsid w:val="002B381B"/>
    <w:rsid w:val="002B3910"/>
    <w:rsid w:val="002B39E3"/>
    <w:rsid w:val="002B3A6D"/>
    <w:rsid w:val="002B3AAC"/>
    <w:rsid w:val="002B3B0B"/>
    <w:rsid w:val="002B3C71"/>
    <w:rsid w:val="002B3F29"/>
    <w:rsid w:val="002B3FDA"/>
    <w:rsid w:val="002B41D9"/>
    <w:rsid w:val="002B41DE"/>
    <w:rsid w:val="002B4596"/>
    <w:rsid w:val="002B4607"/>
    <w:rsid w:val="002B4745"/>
    <w:rsid w:val="002B47CD"/>
    <w:rsid w:val="002B482A"/>
    <w:rsid w:val="002B48B2"/>
    <w:rsid w:val="002B496E"/>
    <w:rsid w:val="002B4A36"/>
    <w:rsid w:val="002B4CD7"/>
    <w:rsid w:val="002B4CF0"/>
    <w:rsid w:val="002B4FD6"/>
    <w:rsid w:val="002B5080"/>
    <w:rsid w:val="002B50DF"/>
    <w:rsid w:val="002B50FC"/>
    <w:rsid w:val="002B51AB"/>
    <w:rsid w:val="002B51E1"/>
    <w:rsid w:val="002B532E"/>
    <w:rsid w:val="002B53B4"/>
    <w:rsid w:val="002B53FF"/>
    <w:rsid w:val="002B5460"/>
    <w:rsid w:val="002B570A"/>
    <w:rsid w:val="002B5741"/>
    <w:rsid w:val="002B5A4F"/>
    <w:rsid w:val="002B5FFB"/>
    <w:rsid w:val="002B6077"/>
    <w:rsid w:val="002B60B1"/>
    <w:rsid w:val="002B60B8"/>
    <w:rsid w:val="002B60C6"/>
    <w:rsid w:val="002B620E"/>
    <w:rsid w:val="002B62BF"/>
    <w:rsid w:val="002B633F"/>
    <w:rsid w:val="002B639E"/>
    <w:rsid w:val="002B647F"/>
    <w:rsid w:val="002B65C0"/>
    <w:rsid w:val="002B6639"/>
    <w:rsid w:val="002B6651"/>
    <w:rsid w:val="002B6685"/>
    <w:rsid w:val="002B66C0"/>
    <w:rsid w:val="002B66F8"/>
    <w:rsid w:val="002B677C"/>
    <w:rsid w:val="002B67C9"/>
    <w:rsid w:val="002B6B74"/>
    <w:rsid w:val="002B6C83"/>
    <w:rsid w:val="002B6CD8"/>
    <w:rsid w:val="002B6D82"/>
    <w:rsid w:val="002B6D84"/>
    <w:rsid w:val="002B6ECC"/>
    <w:rsid w:val="002B6F11"/>
    <w:rsid w:val="002B7056"/>
    <w:rsid w:val="002B7105"/>
    <w:rsid w:val="002B73CF"/>
    <w:rsid w:val="002B7428"/>
    <w:rsid w:val="002B7463"/>
    <w:rsid w:val="002B74E6"/>
    <w:rsid w:val="002B750B"/>
    <w:rsid w:val="002B752C"/>
    <w:rsid w:val="002B76C0"/>
    <w:rsid w:val="002B786A"/>
    <w:rsid w:val="002B7B67"/>
    <w:rsid w:val="002B7C16"/>
    <w:rsid w:val="002B7CA2"/>
    <w:rsid w:val="002B7F7D"/>
    <w:rsid w:val="002B7F92"/>
    <w:rsid w:val="002B7FB9"/>
    <w:rsid w:val="002B7FF8"/>
    <w:rsid w:val="002C0018"/>
    <w:rsid w:val="002C0082"/>
    <w:rsid w:val="002C0105"/>
    <w:rsid w:val="002C01E9"/>
    <w:rsid w:val="002C025C"/>
    <w:rsid w:val="002C02BC"/>
    <w:rsid w:val="002C0383"/>
    <w:rsid w:val="002C045F"/>
    <w:rsid w:val="002C0650"/>
    <w:rsid w:val="002C082B"/>
    <w:rsid w:val="002C09AC"/>
    <w:rsid w:val="002C0A78"/>
    <w:rsid w:val="002C0ACE"/>
    <w:rsid w:val="002C0B35"/>
    <w:rsid w:val="002C0C28"/>
    <w:rsid w:val="002C0D4E"/>
    <w:rsid w:val="002C0EFD"/>
    <w:rsid w:val="002C0F68"/>
    <w:rsid w:val="002C0F71"/>
    <w:rsid w:val="002C0FA4"/>
    <w:rsid w:val="002C0FC7"/>
    <w:rsid w:val="002C103F"/>
    <w:rsid w:val="002C1211"/>
    <w:rsid w:val="002C1259"/>
    <w:rsid w:val="002C1409"/>
    <w:rsid w:val="002C1717"/>
    <w:rsid w:val="002C1753"/>
    <w:rsid w:val="002C178F"/>
    <w:rsid w:val="002C17B9"/>
    <w:rsid w:val="002C184C"/>
    <w:rsid w:val="002C1A85"/>
    <w:rsid w:val="002C1AA9"/>
    <w:rsid w:val="002C1BD3"/>
    <w:rsid w:val="002C1BDD"/>
    <w:rsid w:val="002C1C4F"/>
    <w:rsid w:val="002C1D23"/>
    <w:rsid w:val="002C1F15"/>
    <w:rsid w:val="002C2034"/>
    <w:rsid w:val="002C2059"/>
    <w:rsid w:val="002C221E"/>
    <w:rsid w:val="002C2237"/>
    <w:rsid w:val="002C225C"/>
    <w:rsid w:val="002C2282"/>
    <w:rsid w:val="002C23BC"/>
    <w:rsid w:val="002C23DD"/>
    <w:rsid w:val="002C251B"/>
    <w:rsid w:val="002C2538"/>
    <w:rsid w:val="002C2748"/>
    <w:rsid w:val="002C274D"/>
    <w:rsid w:val="002C27CD"/>
    <w:rsid w:val="002C281B"/>
    <w:rsid w:val="002C2834"/>
    <w:rsid w:val="002C291D"/>
    <w:rsid w:val="002C29CF"/>
    <w:rsid w:val="002C2B1E"/>
    <w:rsid w:val="002C2EC4"/>
    <w:rsid w:val="002C2EC6"/>
    <w:rsid w:val="002C2EE3"/>
    <w:rsid w:val="002C2EEA"/>
    <w:rsid w:val="002C2F1D"/>
    <w:rsid w:val="002C2F8A"/>
    <w:rsid w:val="002C30FA"/>
    <w:rsid w:val="002C31EB"/>
    <w:rsid w:val="002C3233"/>
    <w:rsid w:val="002C325F"/>
    <w:rsid w:val="002C334C"/>
    <w:rsid w:val="002C3428"/>
    <w:rsid w:val="002C3481"/>
    <w:rsid w:val="002C3886"/>
    <w:rsid w:val="002C3910"/>
    <w:rsid w:val="002C398B"/>
    <w:rsid w:val="002C3A02"/>
    <w:rsid w:val="002C3A9D"/>
    <w:rsid w:val="002C3AF6"/>
    <w:rsid w:val="002C3BAF"/>
    <w:rsid w:val="002C3CE0"/>
    <w:rsid w:val="002C3D1A"/>
    <w:rsid w:val="002C3D9C"/>
    <w:rsid w:val="002C3E2B"/>
    <w:rsid w:val="002C3E7A"/>
    <w:rsid w:val="002C3E8A"/>
    <w:rsid w:val="002C4012"/>
    <w:rsid w:val="002C4102"/>
    <w:rsid w:val="002C43AB"/>
    <w:rsid w:val="002C43C6"/>
    <w:rsid w:val="002C43E3"/>
    <w:rsid w:val="002C4406"/>
    <w:rsid w:val="002C4434"/>
    <w:rsid w:val="002C4442"/>
    <w:rsid w:val="002C468B"/>
    <w:rsid w:val="002C4711"/>
    <w:rsid w:val="002C476C"/>
    <w:rsid w:val="002C4784"/>
    <w:rsid w:val="002C47BA"/>
    <w:rsid w:val="002C4AF7"/>
    <w:rsid w:val="002C4BC7"/>
    <w:rsid w:val="002C4C25"/>
    <w:rsid w:val="002C4D1D"/>
    <w:rsid w:val="002C4D4E"/>
    <w:rsid w:val="002C4D86"/>
    <w:rsid w:val="002C4E29"/>
    <w:rsid w:val="002C4E76"/>
    <w:rsid w:val="002C4EAA"/>
    <w:rsid w:val="002C4F0E"/>
    <w:rsid w:val="002C4F9E"/>
    <w:rsid w:val="002C5033"/>
    <w:rsid w:val="002C5109"/>
    <w:rsid w:val="002C5279"/>
    <w:rsid w:val="002C53D7"/>
    <w:rsid w:val="002C553D"/>
    <w:rsid w:val="002C55CA"/>
    <w:rsid w:val="002C5640"/>
    <w:rsid w:val="002C576D"/>
    <w:rsid w:val="002C5A29"/>
    <w:rsid w:val="002C5A68"/>
    <w:rsid w:val="002C5C58"/>
    <w:rsid w:val="002C5EAB"/>
    <w:rsid w:val="002C5F56"/>
    <w:rsid w:val="002C5F63"/>
    <w:rsid w:val="002C5FC2"/>
    <w:rsid w:val="002C60A9"/>
    <w:rsid w:val="002C6327"/>
    <w:rsid w:val="002C6362"/>
    <w:rsid w:val="002C672B"/>
    <w:rsid w:val="002C6783"/>
    <w:rsid w:val="002C6990"/>
    <w:rsid w:val="002C6A15"/>
    <w:rsid w:val="002C6B43"/>
    <w:rsid w:val="002C6B69"/>
    <w:rsid w:val="002C6C39"/>
    <w:rsid w:val="002C6E11"/>
    <w:rsid w:val="002C6E76"/>
    <w:rsid w:val="002C6FBE"/>
    <w:rsid w:val="002C7090"/>
    <w:rsid w:val="002C716C"/>
    <w:rsid w:val="002C71BF"/>
    <w:rsid w:val="002C72A7"/>
    <w:rsid w:val="002C741B"/>
    <w:rsid w:val="002C742B"/>
    <w:rsid w:val="002C75C4"/>
    <w:rsid w:val="002C7690"/>
    <w:rsid w:val="002C775D"/>
    <w:rsid w:val="002C7859"/>
    <w:rsid w:val="002C799D"/>
    <w:rsid w:val="002C7B1A"/>
    <w:rsid w:val="002C7B44"/>
    <w:rsid w:val="002C7DBB"/>
    <w:rsid w:val="002C7EB3"/>
    <w:rsid w:val="002C7F4E"/>
    <w:rsid w:val="002CDA2C"/>
    <w:rsid w:val="002D0227"/>
    <w:rsid w:val="002D02F1"/>
    <w:rsid w:val="002D04CA"/>
    <w:rsid w:val="002D053D"/>
    <w:rsid w:val="002D0590"/>
    <w:rsid w:val="002D0626"/>
    <w:rsid w:val="002D06A9"/>
    <w:rsid w:val="002D0751"/>
    <w:rsid w:val="002D07BB"/>
    <w:rsid w:val="002D099A"/>
    <w:rsid w:val="002D0B31"/>
    <w:rsid w:val="002D0B7C"/>
    <w:rsid w:val="002D0F1B"/>
    <w:rsid w:val="002D0FCE"/>
    <w:rsid w:val="002D134C"/>
    <w:rsid w:val="002D13AB"/>
    <w:rsid w:val="002D193A"/>
    <w:rsid w:val="002D1B56"/>
    <w:rsid w:val="002D1BAB"/>
    <w:rsid w:val="002D1D88"/>
    <w:rsid w:val="002D1EBF"/>
    <w:rsid w:val="002D1F4F"/>
    <w:rsid w:val="002D1F61"/>
    <w:rsid w:val="002D1F87"/>
    <w:rsid w:val="002D2056"/>
    <w:rsid w:val="002D2134"/>
    <w:rsid w:val="002D21AF"/>
    <w:rsid w:val="002D21C2"/>
    <w:rsid w:val="002D21E7"/>
    <w:rsid w:val="002D25DD"/>
    <w:rsid w:val="002D2725"/>
    <w:rsid w:val="002D295E"/>
    <w:rsid w:val="002D29A4"/>
    <w:rsid w:val="002D2A24"/>
    <w:rsid w:val="002D2AA7"/>
    <w:rsid w:val="002D2B15"/>
    <w:rsid w:val="002D2B3F"/>
    <w:rsid w:val="002D2D73"/>
    <w:rsid w:val="002D2F6D"/>
    <w:rsid w:val="002D307B"/>
    <w:rsid w:val="002D30EE"/>
    <w:rsid w:val="002D31BB"/>
    <w:rsid w:val="002D3285"/>
    <w:rsid w:val="002D3348"/>
    <w:rsid w:val="002D33DF"/>
    <w:rsid w:val="002D3431"/>
    <w:rsid w:val="002D353E"/>
    <w:rsid w:val="002D3611"/>
    <w:rsid w:val="002D364A"/>
    <w:rsid w:val="002D3674"/>
    <w:rsid w:val="002D36D5"/>
    <w:rsid w:val="002D38E0"/>
    <w:rsid w:val="002D3BB7"/>
    <w:rsid w:val="002D3D13"/>
    <w:rsid w:val="002D3EDD"/>
    <w:rsid w:val="002D4121"/>
    <w:rsid w:val="002D45E7"/>
    <w:rsid w:val="002D4741"/>
    <w:rsid w:val="002D477E"/>
    <w:rsid w:val="002D47F9"/>
    <w:rsid w:val="002D4866"/>
    <w:rsid w:val="002D48F0"/>
    <w:rsid w:val="002D48F1"/>
    <w:rsid w:val="002D49AB"/>
    <w:rsid w:val="002D4AC1"/>
    <w:rsid w:val="002D4BA4"/>
    <w:rsid w:val="002D4C94"/>
    <w:rsid w:val="002D4D3D"/>
    <w:rsid w:val="002D4E73"/>
    <w:rsid w:val="002D4F06"/>
    <w:rsid w:val="002D5091"/>
    <w:rsid w:val="002D50C6"/>
    <w:rsid w:val="002D516F"/>
    <w:rsid w:val="002D51B6"/>
    <w:rsid w:val="002D52F1"/>
    <w:rsid w:val="002D562D"/>
    <w:rsid w:val="002D565A"/>
    <w:rsid w:val="002D575F"/>
    <w:rsid w:val="002D576A"/>
    <w:rsid w:val="002D5873"/>
    <w:rsid w:val="002D589F"/>
    <w:rsid w:val="002D58B0"/>
    <w:rsid w:val="002D593A"/>
    <w:rsid w:val="002D5A0F"/>
    <w:rsid w:val="002D5A2B"/>
    <w:rsid w:val="002D5AE6"/>
    <w:rsid w:val="002D5C17"/>
    <w:rsid w:val="002D5E52"/>
    <w:rsid w:val="002D5F2E"/>
    <w:rsid w:val="002D5F5D"/>
    <w:rsid w:val="002D5F88"/>
    <w:rsid w:val="002D6051"/>
    <w:rsid w:val="002D6139"/>
    <w:rsid w:val="002D6219"/>
    <w:rsid w:val="002D630B"/>
    <w:rsid w:val="002D658A"/>
    <w:rsid w:val="002D662D"/>
    <w:rsid w:val="002D6792"/>
    <w:rsid w:val="002D67E3"/>
    <w:rsid w:val="002D67F2"/>
    <w:rsid w:val="002D688F"/>
    <w:rsid w:val="002D697E"/>
    <w:rsid w:val="002D6A13"/>
    <w:rsid w:val="002D6A1E"/>
    <w:rsid w:val="002D6BCB"/>
    <w:rsid w:val="002D6BFB"/>
    <w:rsid w:val="002D6CDB"/>
    <w:rsid w:val="002D6E10"/>
    <w:rsid w:val="002D6F01"/>
    <w:rsid w:val="002D712A"/>
    <w:rsid w:val="002D721B"/>
    <w:rsid w:val="002D7333"/>
    <w:rsid w:val="002D736B"/>
    <w:rsid w:val="002D73D7"/>
    <w:rsid w:val="002D74CB"/>
    <w:rsid w:val="002D74EF"/>
    <w:rsid w:val="002D7602"/>
    <w:rsid w:val="002D765D"/>
    <w:rsid w:val="002D77AA"/>
    <w:rsid w:val="002D7A5D"/>
    <w:rsid w:val="002D7AE1"/>
    <w:rsid w:val="002D7B39"/>
    <w:rsid w:val="002D7BAA"/>
    <w:rsid w:val="002D7D12"/>
    <w:rsid w:val="002D7D6E"/>
    <w:rsid w:val="002D7DE3"/>
    <w:rsid w:val="002D7E00"/>
    <w:rsid w:val="002D7E41"/>
    <w:rsid w:val="002D7E68"/>
    <w:rsid w:val="002D7FD3"/>
    <w:rsid w:val="002E013A"/>
    <w:rsid w:val="002E01D0"/>
    <w:rsid w:val="002E028C"/>
    <w:rsid w:val="002E0306"/>
    <w:rsid w:val="002E046B"/>
    <w:rsid w:val="002E04FE"/>
    <w:rsid w:val="002E0660"/>
    <w:rsid w:val="002E07AA"/>
    <w:rsid w:val="002E084A"/>
    <w:rsid w:val="002E0986"/>
    <w:rsid w:val="002E0D90"/>
    <w:rsid w:val="002E0E15"/>
    <w:rsid w:val="002E0E53"/>
    <w:rsid w:val="002E0F86"/>
    <w:rsid w:val="002E100C"/>
    <w:rsid w:val="002E1119"/>
    <w:rsid w:val="002E11DC"/>
    <w:rsid w:val="002E1286"/>
    <w:rsid w:val="002E12B8"/>
    <w:rsid w:val="002E13BB"/>
    <w:rsid w:val="002E1471"/>
    <w:rsid w:val="002E1519"/>
    <w:rsid w:val="002E15C2"/>
    <w:rsid w:val="002E166E"/>
    <w:rsid w:val="002E17D9"/>
    <w:rsid w:val="002E186E"/>
    <w:rsid w:val="002E191B"/>
    <w:rsid w:val="002E1973"/>
    <w:rsid w:val="002E1A01"/>
    <w:rsid w:val="002E1A29"/>
    <w:rsid w:val="002E1C6D"/>
    <w:rsid w:val="002E1E14"/>
    <w:rsid w:val="002E1E70"/>
    <w:rsid w:val="002E1F32"/>
    <w:rsid w:val="002E1F96"/>
    <w:rsid w:val="002E1FDA"/>
    <w:rsid w:val="002E20DF"/>
    <w:rsid w:val="002E22E9"/>
    <w:rsid w:val="002E2345"/>
    <w:rsid w:val="002E2494"/>
    <w:rsid w:val="002E24FD"/>
    <w:rsid w:val="002E262D"/>
    <w:rsid w:val="002E2667"/>
    <w:rsid w:val="002E2842"/>
    <w:rsid w:val="002E29B0"/>
    <w:rsid w:val="002E2A5F"/>
    <w:rsid w:val="002E2DB9"/>
    <w:rsid w:val="002E2F56"/>
    <w:rsid w:val="002E3221"/>
    <w:rsid w:val="002E36BA"/>
    <w:rsid w:val="002E3786"/>
    <w:rsid w:val="002E393E"/>
    <w:rsid w:val="002E39D1"/>
    <w:rsid w:val="002E3BAB"/>
    <w:rsid w:val="002E3C37"/>
    <w:rsid w:val="002E3EBE"/>
    <w:rsid w:val="002E3F62"/>
    <w:rsid w:val="002E4018"/>
    <w:rsid w:val="002E4173"/>
    <w:rsid w:val="002E4376"/>
    <w:rsid w:val="002E47B8"/>
    <w:rsid w:val="002E48F1"/>
    <w:rsid w:val="002E49ED"/>
    <w:rsid w:val="002E4B5B"/>
    <w:rsid w:val="002E4CB0"/>
    <w:rsid w:val="002E4D06"/>
    <w:rsid w:val="002E4DC4"/>
    <w:rsid w:val="002E4E36"/>
    <w:rsid w:val="002E50EC"/>
    <w:rsid w:val="002E5340"/>
    <w:rsid w:val="002E566A"/>
    <w:rsid w:val="002E5838"/>
    <w:rsid w:val="002E5853"/>
    <w:rsid w:val="002E5904"/>
    <w:rsid w:val="002E5976"/>
    <w:rsid w:val="002E5A57"/>
    <w:rsid w:val="002E5A85"/>
    <w:rsid w:val="002E5C45"/>
    <w:rsid w:val="002E5C62"/>
    <w:rsid w:val="002E5E5E"/>
    <w:rsid w:val="002E5EF3"/>
    <w:rsid w:val="002E5EFB"/>
    <w:rsid w:val="002E5F5A"/>
    <w:rsid w:val="002E5F91"/>
    <w:rsid w:val="002E61D4"/>
    <w:rsid w:val="002E6297"/>
    <w:rsid w:val="002E62E3"/>
    <w:rsid w:val="002E62ED"/>
    <w:rsid w:val="002E6308"/>
    <w:rsid w:val="002E6322"/>
    <w:rsid w:val="002E6666"/>
    <w:rsid w:val="002E6748"/>
    <w:rsid w:val="002E6788"/>
    <w:rsid w:val="002E68F7"/>
    <w:rsid w:val="002E698B"/>
    <w:rsid w:val="002E69A1"/>
    <w:rsid w:val="002E6AFB"/>
    <w:rsid w:val="002E6B99"/>
    <w:rsid w:val="002E6C85"/>
    <w:rsid w:val="002E6E58"/>
    <w:rsid w:val="002E7221"/>
    <w:rsid w:val="002E725E"/>
    <w:rsid w:val="002E7272"/>
    <w:rsid w:val="002E74A8"/>
    <w:rsid w:val="002E74CE"/>
    <w:rsid w:val="002E78D6"/>
    <w:rsid w:val="002E7B25"/>
    <w:rsid w:val="002E7C0B"/>
    <w:rsid w:val="002E7C2B"/>
    <w:rsid w:val="002E7CE4"/>
    <w:rsid w:val="002E7DCD"/>
    <w:rsid w:val="002E7E47"/>
    <w:rsid w:val="002E7EF8"/>
    <w:rsid w:val="002F02C5"/>
    <w:rsid w:val="002F03F9"/>
    <w:rsid w:val="002F050D"/>
    <w:rsid w:val="002F0732"/>
    <w:rsid w:val="002F08B9"/>
    <w:rsid w:val="002F0998"/>
    <w:rsid w:val="002F09EF"/>
    <w:rsid w:val="002F0AB7"/>
    <w:rsid w:val="002F0F62"/>
    <w:rsid w:val="002F0F6F"/>
    <w:rsid w:val="002F0F77"/>
    <w:rsid w:val="002F1046"/>
    <w:rsid w:val="002F12A1"/>
    <w:rsid w:val="002F12BC"/>
    <w:rsid w:val="002F12C7"/>
    <w:rsid w:val="002F12F6"/>
    <w:rsid w:val="002F133C"/>
    <w:rsid w:val="002F1369"/>
    <w:rsid w:val="002F1581"/>
    <w:rsid w:val="002F168D"/>
    <w:rsid w:val="002F1715"/>
    <w:rsid w:val="002F189E"/>
    <w:rsid w:val="002F18B6"/>
    <w:rsid w:val="002F194D"/>
    <w:rsid w:val="002F1B9B"/>
    <w:rsid w:val="002F1BC3"/>
    <w:rsid w:val="002F1BD9"/>
    <w:rsid w:val="002F1C06"/>
    <w:rsid w:val="002F1CBD"/>
    <w:rsid w:val="002F1CF4"/>
    <w:rsid w:val="002F1D53"/>
    <w:rsid w:val="002F1D6C"/>
    <w:rsid w:val="002F1F0F"/>
    <w:rsid w:val="002F1F7A"/>
    <w:rsid w:val="002F1FBB"/>
    <w:rsid w:val="002F20AC"/>
    <w:rsid w:val="002F20B5"/>
    <w:rsid w:val="002F20D8"/>
    <w:rsid w:val="002F2160"/>
    <w:rsid w:val="002F219C"/>
    <w:rsid w:val="002F2229"/>
    <w:rsid w:val="002F224F"/>
    <w:rsid w:val="002F230F"/>
    <w:rsid w:val="002F2325"/>
    <w:rsid w:val="002F261F"/>
    <w:rsid w:val="002F2684"/>
    <w:rsid w:val="002F2695"/>
    <w:rsid w:val="002F2714"/>
    <w:rsid w:val="002F2848"/>
    <w:rsid w:val="002F2C31"/>
    <w:rsid w:val="002F2F9B"/>
    <w:rsid w:val="002F2FA5"/>
    <w:rsid w:val="002F3390"/>
    <w:rsid w:val="002F3417"/>
    <w:rsid w:val="002F3453"/>
    <w:rsid w:val="002F3468"/>
    <w:rsid w:val="002F349D"/>
    <w:rsid w:val="002F3538"/>
    <w:rsid w:val="002F36EC"/>
    <w:rsid w:val="002F3703"/>
    <w:rsid w:val="002F372D"/>
    <w:rsid w:val="002F3746"/>
    <w:rsid w:val="002F37C1"/>
    <w:rsid w:val="002F3893"/>
    <w:rsid w:val="002F3A9F"/>
    <w:rsid w:val="002F3CA0"/>
    <w:rsid w:val="002F3CF6"/>
    <w:rsid w:val="002F3D82"/>
    <w:rsid w:val="002F3E1F"/>
    <w:rsid w:val="002F3F41"/>
    <w:rsid w:val="002F3F91"/>
    <w:rsid w:val="002F410A"/>
    <w:rsid w:val="002F41A9"/>
    <w:rsid w:val="002F4263"/>
    <w:rsid w:val="002F4357"/>
    <w:rsid w:val="002F4387"/>
    <w:rsid w:val="002F458C"/>
    <w:rsid w:val="002F4651"/>
    <w:rsid w:val="002F4689"/>
    <w:rsid w:val="002F471F"/>
    <w:rsid w:val="002F48DC"/>
    <w:rsid w:val="002F499B"/>
    <w:rsid w:val="002F4A28"/>
    <w:rsid w:val="002F4A4E"/>
    <w:rsid w:val="002F4B4F"/>
    <w:rsid w:val="002F4BD5"/>
    <w:rsid w:val="002F4C7F"/>
    <w:rsid w:val="002F4D11"/>
    <w:rsid w:val="002F4D99"/>
    <w:rsid w:val="002F4F02"/>
    <w:rsid w:val="002F5151"/>
    <w:rsid w:val="002F5182"/>
    <w:rsid w:val="002F5497"/>
    <w:rsid w:val="002F561D"/>
    <w:rsid w:val="002F5665"/>
    <w:rsid w:val="002F578C"/>
    <w:rsid w:val="002F5977"/>
    <w:rsid w:val="002F5B18"/>
    <w:rsid w:val="002F5B24"/>
    <w:rsid w:val="002F5CB1"/>
    <w:rsid w:val="002F5E1E"/>
    <w:rsid w:val="002F5E68"/>
    <w:rsid w:val="002F5EFF"/>
    <w:rsid w:val="002F6118"/>
    <w:rsid w:val="002F6230"/>
    <w:rsid w:val="002F63D3"/>
    <w:rsid w:val="002F63DC"/>
    <w:rsid w:val="002F6475"/>
    <w:rsid w:val="002F64C5"/>
    <w:rsid w:val="002F65A9"/>
    <w:rsid w:val="002F65C6"/>
    <w:rsid w:val="002F66D2"/>
    <w:rsid w:val="002F67BB"/>
    <w:rsid w:val="002F683E"/>
    <w:rsid w:val="002F6871"/>
    <w:rsid w:val="002F6877"/>
    <w:rsid w:val="002F69BB"/>
    <w:rsid w:val="002F69BF"/>
    <w:rsid w:val="002F6ABD"/>
    <w:rsid w:val="002F6B86"/>
    <w:rsid w:val="002F6BB5"/>
    <w:rsid w:val="002F6C8E"/>
    <w:rsid w:val="002F6CAB"/>
    <w:rsid w:val="002F6CBF"/>
    <w:rsid w:val="002F6D90"/>
    <w:rsid w:val="002F6DFB"/>
    <w:rsid w:val="002F6E5A"/>
    <w:rsid w:val="002F6E5B"/>
    <w:rsid w:val="002F70FC"/>
    <w:rsid w:val="002F710D"/>
    <w:rsid w:val="002F716D"/>
    <w:rsid w:val="002F71BA"/>
    <w:rsid w:val="002F72D1"/>
    <w:rsid w:val="002F7358"/>
    <w:rsid w:val="002F7389"/>
    <w:rsid w:val="002F747B"/>
    <w:rsid w:val="002F74DB"/>
    <w:rsid w:val="002F7506"/>
    <w:rsid w:val="002F75C7"/>
    <w:rsid w:val="002F75FE"/>
    <w:rsid w:val="002F761F"/>
    <w:rsid w:val="002F779A"/>
    <w:rsid w:val="002F7B5B"/>
    <w:rsid w:val="002F7BFD"/>
    <w:rsid w:val="002F7C1A"/>
    <w:rsid w:val="002F7C57"/>
    <w:rsid w:val="002F7C7C"/>
    <w:rsid w:val="002F7D64"/>
    <w:rsid w:val="002F7EF4"/>
    <w:rsid w:val="003001D2"/>
    <w:rsid w:val="003003EB"/>
    <w:rsid w:val="00300426"/>
    <w:rsid w:val="0030046B"/>
    <w:rsid w:val="0030069B"/>
    <w:rsid w:val="00300796"/>
    <w:rsid w:val="003008CC"/>
    <w:rsid w:val="0030092D"/>
    <w:rsid w:val="00300B4E"/>
    <w:rsid w:val="00300B7E"/>
    <w:rsid w:val="00300C16"/>
    <w:rsid w:val="00300D3A"/>
    <w:rsid w:val="00300D76"/>
    <w:rsid w:val="00300DB1"/>
    <w:rsid w:val="00300DC4"/>
    <w:rsid w:val="00300E64"/>
    <w:rsid w:val="00300E8C"/>
    <w:rsid w:val="00301256"/>
    <w:rsid w:val="0030127E"/>
    <w:rsid w:val="00301327"/>
    <w:rsid w:val="00301460"/>
    <w:rsid w:val="003014C1"/>
    <w:rsid w:val="00301566"/>
    <w:rsid w:val="00301575"/>
    <w:rsid w:val="00301591"/>
    <w:rsid w:val="00301647"/>
    <w:rsid w:val="00301673"/>
    <w:rsid w:val="0030197E"/>
    <w:rsid w:val="00301A68"/>
    <w:rsid w:val="00301B80"/>
    <w:rsid w:val="00301C62"/>
    <w:rsid w:val="00301ED1"/>
    <w:rsid w:val="00301F05"/>
    <w:rsid w:val="00301FD8"/>
    <w:rsid w:val="00302050"/>
    <w:rsid w:val="0030215B"/>
    <w:rsid w:val="003022CB"/>
    <w:rsid w:val="003024B2"/>
    <w:rsid w:val="00302682"/>
    <w:rsid w:val="00302745"/>
    <w:rsid w:val="00302770"/>
    <w:rsid w:val="00302861"/>
    <w:rsid w:val="003029E0"/>
    <w:rsid w:val="00302C89"/>
    <w:rsid w:val="00302CA8"/>
    <w:rsid w:val="00302EC9"/>
    <w:rsid w:val="00302F26"/>
    <w:rsid w:val="00302F95"/>
    <w:rsid w:val="00302FD2"/>
    <w:rsid w:val="00303071"/>
    <w:rsid w:val="00303301"/>
    <w:rsid w:val="00303389"/>
    <w:rsid w:val="003033C8"/>
    <w:rsid w:val="003036EA"/>
    <w:rsid w:val="003037E9"/>
    <w:rsid w:val="0030387D"/>
    <w:rsid w:val="003039CC"/>
    <w:rsid w:val="00303A77"/>
    <w:rsid w:val="00303B28"/>
    <w:rsid w:val="00303B8A"/>
    <w:rsid w:val="00303D75"/>
    <w:rsid w:val="00303DAF"/>
    <w:rsid w:val="00303DBA"/>
    <w:rsid w:val="00303E0C"/>
    <w:rsid w:val="00303EDF"/>
    <w:rsid w:val="00303F89"/>
    <w:rsid w:val="00303FE4"/>
    <w:rsid w:val="00304104"/>
    <w:rsid w:val="00304111"/>
    <w:rsid w:val="003041BF"/>
    <w:rsid w:val="0030439F"/>
    <w:rsid w:val="003043EE"/>
    <w:rsid w:val="0030442F"/>
    <w:rsid w:val="0030461B"/>
    <w:rsid w:val="00304654"/>
    <w:rsid w:val="003046F6"/>
    <w:rsid w:val="003047A4"/>
    <w:rsid w:val="0030494E"/>
    <w:rsid w:val="003049DA"/>
    <w:rsid w:val="003049F6"/>
    <w:rsid w:val="00304ADA"/>
    <w:rsid w:val="00304CA9"/>
    <w:rsid w:val="00304D55"/>
    <w:rsid w:val="00304F39"/>
    <w:rsid w:val="00305099"/>
    <w:rsid w:val="0030512C"/>
    <w:rsid w:val="00305314"/>
    <w:rsid w:val="003054D4"/>
    <w:rsid w:val="003055C6"/>
    <w:rsid w:val="00305764"/>
    <w:rsid w:val="0030584C"/>
    <w:rsid w:val="0030598E"/>
    <w:rsid w:val="00305C00"/>
    <w:rsid w:val="00305C68"/>
    <w:rsid w:val="00305CC5"/>
    <w:rsid w:val="00306187"/>
    <w:rsid w:val="003062CB"/>
    <w:rsid w:val="003065F1"/>
    <w:rsid w:val="003065F2"/>
    <w:rsid w:val="003066ED"/>
    <w:rsid w:val="003067B0"/>
    <w:rsid w:val="003068B7"/>
    <w:rsid w:val="003069E2"/>
    <w:rsid w:val="00306ABA"/>
    <w:rsid w:val="00306CD0"/>
    <w:rsid w:val="00306CD6"/>
    <w:rsid w:val="00306DCB"/>
    <w:rsid w:val="00306FD0"/>
    <w:rsid w:val="00307019"/>
    <w:rsid w:val="0030716D"/>
    <w:rsid w:val="0030724A"/>
    <w:rsid w:val="003072BE"/>
    <w:rsid w:val="0030742A"/>
    <w:rsid w:val="00307443"/>
    <w:rsid w:val="00307506"/>
    <w:rsid w:val="003075A3"/>
    <w:rsid w:val="003075A7"/>
    <w:rsid w:val="003076CF"/>
    <w:rsid w:val="0030771A"/>
    <w:rsid w:val="003077D9"/>
    <w:rsid w:val="00307990"/>
    <w:rsid w:val="00307A0A"/>
    <w:rsid w:val="00307A91"/>
    <w:rsid w:val="00307AC0"/>
    <w:rsid w:val="00307AE7"/>
    <w:rsid w:val="00307BA9"/>
    <w:rsid w:val="00307C95"/>
    <w:rsid w:val="00307D5F"/>
    <w:rsid w:val="00307E9C"/>
    <w:rsid w:val="00307EF5"/>
    <w:rsid w:val="00307F8C"/>
    <w:rsid w:val="00310077"/>
    <w:rsid w:val="00310232"/>
    <w:rsid w:val="0031042F"/>
    <w:rsid w:val="00310569"/>
    <w:rsid w:val="00310768"/>
    <w:rsid w:val="0031078C"/>
    <w:rsid w:val="0031096D"/>
    <w:rsid w:val="003109B6"/>
    <w:rsid w:val="003109F1"/>
    <w:rsid w:val="00310A9E"/>
    <w:rsid w:val="00310ABB"/>
    <w:rsid w:val="00310AFC"/>
    <w:rsid w:val="00310D3C"/>
    <w:rsid w:val="00310F58"/>
    <w:rsid w:val="00311105"/>
    <w:rsid w:val="00311115"/>
    <w:rsid w:val="003112AA"/>
    <w:rsid w:val="00311491"/>
    <w:rsid w:val="003114C2"/>
    <w:rsid w:val="00311652"/>
    <w:rsid w:val="0031188A"/>
    <w:rsid w:val="00311897"/>
    <w:rsid w:val="003119E2"/>
    <w:rsid w:val="00311B05"/>
    <w:rsid w:val="00311BF1"/>
    <w:rsid w:val="00311D4F"/>
    <w:rsid w:val="00311E2F"/>
    <w:rsid w:val="00311EE7"/>
    <w:rsid w:val="00312180"/>
    <w:rsid w:val="00312205"/>
    <w:rsid w:val="0031227C"/>
    <w:rsid w:val="003122AF"/>
    <w:rsid w:val="003122C8"/>
    <w:rsid w:val="003122FA"/>
    <w:rsid w:val="0031242C"/>
    <w:rsid w:val="0031253C"/>
    <w:rsid w:val="0031256C"/>
    <w:rsid w:val="0031281B"/>
    <w:rsid w:val="0031284A"/>
    <w:rsid w:val="00312A4F"/>
    <w:rsid w:val="00312AEE"/>
    <w:rsid w:val="00312D42"/>
    <w:rsid w:val="00312DFB"/>
    <w:rsid w:val="00312F3D"/>
    <w:rsid w:val="00312FAA"/>
    <w:rsid w:val="00312FBB"/>
    <w:rsid w:val="00313011"/>
    <w:rsid w:val="003130E2"/>
    <w:rsid w:val="00313210"/>
    <w:rsid w:val="00313291"/>
    <w:rsid w:val="00313364"/>
    <w:rsid w:val="0031354A"/>
    <w:rsid w:val="003137A1"/>
    <w:rsid w:val="00313996"/>
    <w:rsid w:val="00313B04"/>
    <w:rsid w:val="00313B90"/>
    <w:rsid w:val="00313C27"/>
    <w:rsid w:val="00313CB9"/>
    <w:rsid w:val="00313E5C"/>
    <w:rsid w:val="00314089"/>
    <w:rsid w:val="003141A3"/>
    <w:rsid w:val="00314286"/>
    <w:rsid w:val="0031430A"/>
    <w:rsid w:val="00314329"/>
    <w:rsid w:val="00314360"/>
    <w:rsid w:val="00314610"/>
    <w:rsid w:val="0031464D"/>
    <w:rsid w:val="003146A0"/>
    <w:rsid w:val="003146DF"/>
    <w:rsid w:val="00314705"/>
    <w:rsid w:val="00314721"/>
    <w:rsid w:val="00314759"/>
    <w:rsid w:val="0031484B"/>
    <w:rsid w:val="003149FC"/>
    <w:rsid w:val="00314A0B"/>
    <w:rsid w:val="00314A7D"/>
    <w:rsid w:val="00314AF8"/>
    <w:rsid w:val="00314C12"/>
    <w:rsid w:val="00314DF8"/>
    <w:rsid w:val="00314F47"/>
    <w:rsid w:val="003150D8"/>
    <w:rsid w:val="00315121"/>
    <w:rsid w:val="0031523A"/>
    <w:rsid w:val="0031529B"/>
    <w:rsid w:val="00315338"/>
    <w:rsid w:val="00315353"/>
    <w:rsid w:val="00315790"/>
    <w:rsid w:val="00315933"/>
    <w:rsid w:val="0031598A"/>
    <w:rsid w:val="003159A2"/>
    <w:rsid w:val="00315A89"/>
    <w:rsid w:val="00315AF7"/>
    <w:rsid w:val="00315BB2"/>
    <w:rsid w:val="00315DB3"/>
    <w:rsid w:val="00315DC0"/>
    <w:rsid w:val="00315EB3"/>
    <w:rsid w:val="00315EFE"/>
    <w:rsid w:val="00316011"/>
    <w:rsid w:val="0031619B"/>
    <w:rsid w:val="0031621B"/>
    <w:rsid w:val="0031622A"/>
    <w:rsid w:val="003162CC"/>
    <w:rsid w:val="003162F8"/>
    <w:rsid w:val="00316462"/>
    <w:rsid w:val="00316498"/>
    <w:rsid w:val="00316A13"/>
    <w:rsid w:val="00316AE0"/>
    <w:rsid w:val="00316B8A"/>
    <w:rsid w:val="00316B8D"/>
    <w:rsid w:val="00316B97"/>
    <w:rsid w:val="00316BB5"/>
    <w:rsid w:val="00317128"/>
    <w:rsid w:val="00317184"/>
    <w:rsid w:val="0031734D"/>
    <w:rsid w:val="00317440"/>
    <w:rsid w:val="00317507"/>
    <w:rsid w:val="003175B6"/>
    <w:rsid w:val="00317691"/>
    <w:rsid w:val="003176F2"/>
    <w:rsid w:val="0031773A"/>
    <w:rsid w:val="00317949"/>
    <w:rsid w:val="003179B7"/>
    <w:rsid w:val="003179F2"/>
    <w:rsid w:val="00317A2A"/>
    <w:rsid w:val="00317B80"/>
    <w:rsid w:val="00317C0B"/>
    <w:rsid w:val="00317E6D"/>
    <w:rsid w:val="00317FAE"/>
    <w:rsid w:val="0032000D"/>
    <w:rsid w:val="0032001E"/>
    <w:rsid w:val="0032013F"/>
    <w:rsid w:val="003202B4"/>
    <w:rsid w:val="003202D1"/>
    <w:rsid w:val="0032030C"/>
    <w:rsid w:val="003203C3"/>
    <w:rsid w:val="003203E8"/>
    <w:rsid w:val="003205A7"/>
    <w:rsid w:val="003206D7"/>
    <w:rsid w:val="003206EA"/>
    <w:rsid w:val="0032077D"/>
    <w:rsid w:val="0032096D"/>
    <w:rsid w:val="00320AAC"/>
    <w:rsid w:val="00320B87"/>
    <w:rsid w:val="00320BAF"/>
    <w:rsid w:val="00320BB9"/>
    <w:rsid w:val="00320C8F"/>
    <w:rsid w:val="00320F80"/>
    <w:rsid w:val="00320FC8"/>
    <w:rsid w:val="00321043"/>
    <w:rsid w:val="00321099"/>
    <w:rsid w:val="00321183"/>
    <w:rsid w:val="0032118F"/>
    <w:rsid w:val="003211DD"/>
    <w:rsid w:val="00321225"/>
    <w:rsid w:val="0032122F"/>
    <w:rsid w:val="00321293"/>
    <w:rsid w:val="003212C0"/>
    <w:rsid w:val="00321366"/>
    <w:rsid w:val="003213CD"/>
    <w:rsid w:val="003213FD"/>
    <w:rsid w:val="0032140B"/>
    <w:rsid w:val="003215FA"/>
    <w:rsid w:val="0032168E"/>
    <w:rsid w:val="0032172E"/>
    <w:rsid w:val="00321A12"/>
    <w:rsid w:val="00321A65"/>
    <w:rsid w:val="00321B9E"/>
    <w:rsid w:val="00321BE0"/>
    <w:rsid w:val="00321C4A"/>
    <w:rsid w:val="00321CD8"/>
    <w:rsid w:val="00321D32"/>
    <w:rsid w:val="00321E1D"/>
    <w:rsid w:val="00321EB7"/>
    <w:rsid w:val="00321F04"/>
    <w:rsid w:val="00321F15"/>
    <w:rsid w:val="00321F7D"/>
    <w:rsid w:val="00322198"/>
    <w:rsid w:val="003222F5"/>
    <w:rsid w:val="00322439"/>
    <w:rsid w:val="003224CD"/>
    <w:rsid w:val="0032251A"/>
    <w:rsid w:val="0032265C"/>
    <w:rsid w:val="003227ED"/>
    <w:rsid w:val="00322871"/>
    <w:rsid w:val="003228BB"/>
    <w:rsid w:val="00322930"/>
    <w:rsid w:val="0032293C"/>
    <w:rsid w:val="00322A60"/>
    <w:rsid w:val="00322E69"/>
    <w:rsid w:val="00322F77"/>
    <w:rsid w:val="00323076"/>
    <w:rsid w:val="003230CD"/>
    <w:rsid w:val="00323180"/>
    <w:rsid w:val="00323231"/>
    <w:rsid w:val="003234DD"/>
    <w:rsid w:val="003235F5"/>
    <w:rsid w:val="0032362C"/>
    <w:rsid w:val="0032375B"/>
    <w:rsid w:val="0032399A"/>
    <w:rsid w:val="003239DD"/>
    <w:rsid w:val="00323A19"/>
    <w:rsid w:val="00323A32"/>
    <w:rsid w:val="00323ACF"/>
    <w:rsid w:val="00323CF4"/>
    <w:rsid w:val="00323D59"/>
    <w:rsid w:val="003240C2"/>
    <w:rsid w:val="003240E7"/>
    <w:rsid w:val="00324156"/>
    <w:rsid w:val="0032421C"/>
    <w:rsid w:val="00324261"/>
    <w:rsid w:val="003243AF"/>
    <w:rsid w:val="0032447D"/>
    <w:rsid w:val="00324594"/>
    <w:rsid w:val="00324597"/>
    <w:rsid w:val="003247BB"/>
    <w:rsid w:val="003249A4"/>
    <w:rsid w:val="003249D2"/>
    <w:rsid w:val="003249E4"/>
    <w:rsid w:val="00324AC0"/>
    <w:rsid w:val="00324B03"/>
    <w:rsid w:val="00324B60"/>
    <w:rsid w:val="00324BA6"/>
    <w:rsid w:val="00324C29"/>
    <w:rsid w:val="00324C90"/>
    <w:rsid w:val="00324D7D"/>
    <w:rsid w:val="00324F92"/>
    <w:rsid w:val="00324F9A"/>
    <w:rsid w:val="00325079"/>
    <w:rsid w:val="00325108"/>
    <w:rsid w:val="003251F0"/>
    <w:rsid w:val="00325213"/>
    <w:rsid w:val="003252A3"/>
    <w:rsid w:val="00325327"/>
    <w:rsid w:val="00325444"/>
    <w:rsid w:val="00325502"/>
    <w:rsid w:val="003255DD"/>
    <w:rsid w:val="00325668"/>
    <w:rsid w:val="0032567B"/>
    <w:rsid w:val="003256D1"/>
    <w:rsid w:val="003257D1"/>
    <w:rsid w:val="003259FA"/>
    <w:rsid w:val="00325ADF"/>
    <w:rsid w:val="00325BCE"/>
    <w:rsid w:val="00325C53"/>
    <w:rsid w:val="00325C5A"/>
    <w:rsid w:val="00325C76"/>
    <w:rsid w:val="00325D30"/>
    <w:rsid w:val="00325EEB"/>
    <w:rsid w:val="003261FF"/>
    <w:rsid w:val="00326247"/>
    <w:rsid w:val="00326492"/>
    <w:rsid w:val="003265B0"/>
    <w:rsid w:val="0032665E"/>
    <w:rsid w:val="00326832"/>
    <w:rsid w:val="003269EC"/>
    <w:rsid w:val="00326AD2"/>
    <w:rsid w:val="00326AD7"/>
    <w:rsid w:val="00326B02"/>
    <w:rsid w:val="00326CAF"/>
    <w:rsid w:val="00326CD3"/>
    <w:rsid w:val="00326DD8"/>
    <w:rsid w:val="00326F5E"/>
    <w:rsid w:val="00327000"/>
    <w:rsid w:val="00327119"/>
    <w:rsid w:val="003271F9"/>
    <w:rsid w:val="00327415"/>
    <w:rsid w:val="003274A1"/>
    <w:rsid w:val="0032750B"/>
    <w:rsid w:val="003276F1"/>
    <w:rsid w:val="003278AD"/>
    <w:rsid w:val="00327BB3"/>
    <w:rsid w:val="00327BCB"/>
    <w:rsid w:val="00327C63"/>
    <w:rsid w:val="00327C6C"/>
    <w:rsid w:val="00327D43"/>
    <w:rsid w:val="0032DA66"/>
    <w:rsid w:val="00330063"/>
    <w:rsid w:val="003303AE"/>
    <w:rsid w:val="003303DD"/>
    <w:rsid w:val="003304BF"/>
    <w:rsid w:val="00330694"/>
    <w:rsid w:val="003306D3"/>
    <w:rsid w:val="003306ED"/>
    <w:rsid w:val="003308F9"/>
    <w:rsid w:val="00330CD8"/>
    <w:rsid w:val="00330CD9"/>
    <w:rsid w:val="00330DBD"/>
    <w:rsid w:val="00330E5E"/>
    <w:rsid w:val="00330E7C"/>
    <w:rsid w:val="00330E8F"/>
    <w:rsid w:val="00330EF9"/>
    <w:rsid w:val="00330F30"/>
    <w:rsid w:val="0033104F"/>
    <w:rsid w:val="003311DF"/>
    <w:rsid w:val="003311FA"/>
    <w:rsid w:val="003312B5"/>
    <w:rsid w:val="003312D2"/>
    <w:rsid w:val="003312E8"/>
    <w:rsid w:val="0033130A"/>
    <w:rsid w:val="0033135F"/>
    <w:rsid w:val="003313D4"/>
    <w:rsid w:val="003314F4"/>
    <w:rsid w:val="003317AB"/>
    <w:rsid w:val="003319AE"/>
    <w:rsid w:val="00331A3E"/>
    <w:rsid w:val="00331C25"/>
    <w:rsid w:val="00331C32"/>
    <w:rsid w:val="00331EE7"/>
    <w:rsid w:val="00331F08"/>
    <w:rsid w:val="003321EC"/>
    <w:rsid w:val="003322F1"/>
    <w:rsid w:val="00332304"/>
    <w:rsid w:val="003323B7"/>
    <w:rsid w:val="00332402"/>
    <w:rsid w:val="00332411"/>
    <w:rsid w:val="00332552"/>
    <w:rsid w:val="0033257C"/>
    <w:rsid w:val="0033261F"/>
    <w:rsid w:val="00332700"/>
    <w:rsid w:val="0033283C"/>
    <w:rsid w:val="00332879"/>
    <w:rsid w:val="00332886"/>
    <w:rsid w:val="00332993"/>
    <w:rsid w:val="003329A7"/>
    <w:rsid w:val="00332A5B"/>
    <w:rsid w:val="00332AA9"/>
    <w:rsid w:val="00332AFC"/>
    <w:rsid w:val="00332B48"/>
    <w:rsid w:val="00332B87"/>
    <w:rsid w:val="00332C89"/>
    <w:rsid w:val="00332DC7"/>
    <w:rsid w:val="00332F44"/>
    <w:rsid w:val="00332F4D"/>
    <w:rsid w:val="003331F3"/>
    <w:rsid w:val="003334E7"/>
    <w:rsid w:val="00333721"/>
    <w:rsid w:val="003338C5"/>
    <w:rsid w:val="003338F2"/>
    <w:rsid w:val="00333905"/>
    <w:rsid w:val="003339A0"/>
    <w:rsid w:val="00333BDF"/>
    <w:rsid w:val="00333C29"/>
    <w:rsid w:val="00333FF3"/>
    <w:rsid w:val="00334067"/>
    <w:rsid w:val="003342E9"/>
    <w:rsid w:val="003342F3"/>
    <w:rsid w:val="0033461B"/>
    <w:rsid w:val="0033466A"/>
    <w:rsid w:val="0033473F"/>
    <w:rsid w:val="003347C2"/>
    <w:rsid w:val="00334889"/>
    <w:rsid w:val="003348CB"/>
    <w:rsid w:val="00334934"/>
    <w:rsid w:val="003349AD"/>
    <w:rsid w:val="003349E1"/>
    <w:rsid w:val="00334A2D"/>
    <w:rsid w:val="00334AAD"/>
    <w:rsid w:val="00334ABB"/>
    <w:rsid w:val="00334B5D"/>
    <w:rsid w:val="00334D06"/>
    <w:rsid w:val="00334D24"/>
    <w:rsid w:val="00334D4D"/>
    <w:rsid w:val="00334E3D"/>
    <w:rsid w:val="00334ED8"/>
    <w:rsid w:val="00335007"/>
    <w:rsid w:val="00335049"/>
    <w:rsid w:val="003351DE"/>
    <w:rsid w:val="00335225"/>
    <w:rsid w:val="003353A6"/>
    <w:rsid w:val="003353E5"/>
    <w:rsid w:val="003354A5"/>
    <w:rsid w:val="003354D4"/>
    <w:rsid w:val="0033587B"/>
    <w:rsid w:val="003358C3"/>
    <w:rsid w:val="00335AE4"/>
    <w:rsid w:val="00335B49"/>
    <w:rsid w:val="00335B51"/>
    <w:rsid w:val="00335CAE"/>
    <w:rsid w:val="00335D2F"/>
    <w:rsid w:val="00335ED9"/>
    <w:rsid w:val="00335FFC"/>
    <w:rsid w:val="00336205"/>
    <w:rsid w:val="00336372"/>
    <w:rsid w:val="0033637C"/>
    <w:rsid w:val="0033639E"/>
    <w:rsid w:val="003365BD"/>
    <w:rsid w:val="00336631"/>
    <w:rsid w:val="003366D9"/>
    <w:rsid w:val="00336728"/>
    <w:rsid w:val="003367BB"/>
    <w:rsid w:val="00336863"/>
    <w:rsid w:val="003368D2"/>
    <w:rsid w:val="00336BAC"/>
    <w:rsid w:val="00336D7B"/>
    <w:rsid w:val="00336E97"/>
    <w:rsid w:val="00336FDC"/>
    <w:rsid w:val="00337077"/>
    <w:rsid w:val="003370F4"/>
    <w:rsid w:val="00337211"/>
    <w:rsid w:val="0033742B"/>
    <w:rsid w:val="003374B1"/>
    <w:rsid w:val="003374CE"/>
    <w:rsid w:val="0033761A"/>
    <w:rsid w:val="003376F2"/>
    <w:rsid w:val="00337733"/>
    <w:rsid w:val="00337791"/>
    <w:rsid w:val="00337933"/>
    <w:rsid w:val="00337975"/>
    <w:rsid w:val="00337AF3"/>
    <w:rsid w:val="00337CBC"/>
    <w:rsid w:val="00337CE8"/>
    <w:rsid w:val="0034004E"/>
    <w:rsid w:val="00340076"/>
    <w:rsid w:val="00340084"/>
    <w:rsid w:val="0034021B"/>
    <w:rsid w:val="003402A2"/>
    <w:rsid w:val="003404C4"/>
    <w:rsid w:val="00340572"/>
    <w:rsid w:val="003405DC"/>
    <w:rsid w:val="00340620"/>
    <w:rsid w:val="0034069F"/>
    <w:rsid w:val="003406B8"/>
    <w:rsid w:val="003408AC"/>
    <w:rsid w:val="00340A4B"/>
    <w:rsid w:val="00340AC7"/>
    <w:rsid w:val="00340AD2"/>
    <w:rsid w:val="00340B2F"/>
    <w:rsid w:val="00340D04"/>
    <w:rsid w:val="00340EC3"/>
    <w:rsid w:val="00340FE8"/>
    <w:rsid w:val="003412C2"/>
    <w:rsid w:val="0034132E"/>
    <w:rsid w:val="003414FA"/>
    <w:rsid w:val="003415EF"/>
    <w:rsid w:val="003416E0"/>
    <w:rsid w:val="003416EC"/>
    <w:rsid w:val="00341741"/>
    <w:rsid w:val="00341960"/>
    <w:rsid w:val="00341A7A"/>
    <w:rsid w:val="00341CE2"/>
    <w:rsid w:val="00341D9D"/>
    <w:rsid w:val="00341FCB"/>
    <w:rsid w:val="00341FD3"/>
    <w:rsid w:val="003422A1"/>
    <w:rsid w:val="003422F6"/>
    <w:rsid w:val="003423BB"/>
    <w:rsid w:val="0034251D"/>
    <w:rsid w:val="00342562"/>
    <w:rsid w:val="003426AA"/>
    <w:rsid w:val="00342729"/>
    <w:rsid w:val="0034273D"/>
    <w:rsid w:val="00342771"/>
    <w:rsid w:val="003427E5"/>
    <w:rsid w:val="003427EF"/>
    <w:rsid w:val="00342A03"/>
    <w:rsid w:val="00342B30"/>
    <w:rsid w:val="00342C3C"/>
    <w:rsid w:val="00342D5B"/>
    <w:rsid w:val="00342F91"/>
    <w:rsid w:val="0034305F"/>
    <w:rsid w:val="003430D4"/>
    <w:rsid w:val="00343111"/>
    <w:rsid w:val="00343117"/>
    <w:rsid w:val="0034322B"/>
    <w:rsid w:val="00343308"/>
    <w:rsid w:val="00343329"/>
    <w:rsid w:val="003435C6"/>
    <w:rsid w:val="003435E5"/>
    <w:rsid w:val="00343705"/>
    <w:rsid w:val="00343861"/>
    <w:rsid w:val="00343A2D"/>
    <w:rsid w:val="00343A41"/>
    <w:rsid w:val="00343BC0"/>
    <w:rsid w:val="00343C75"/>
    <w:rsid w:val="00344049"/>
    <w:rsid w:val="0034413C"/>
    <w:rsid w:val="003441F2"/>
    <w:rsid w:val="003441F8"/>
    <w:rsid w:val="003443D7"/>
    <w:rsid w:val="0034440E"/>
    <w:rsid w:val="00344485"/>
    <w:rsid w:val="0034461C"/>
    <w:rsid w:val="0034475C"/>
    <w:rsid w:val="003447DA"/>
    <w:rsid w:val="0034485C"/>
    <w:rsid w:val="003448D6"/>
    <w:rsid w:val="00344B38"/>
    <w:rsid w:val="00344B4D"/>
    <w:rsid w:val="00344B97"/>
    <w:rsid w:val="00344BA8"/>
    <w:rsid w:val="00344E6E"/>
    <w:rsid w:val="00344F33"/>
    <w:rsid w:val="00344F5C"/>
    <w:rsid w:val="00344F6D"/>
    <w:rsid w:val="0034508C"/>
    <w:rsid w:val="003450BB"/>
    <w:rsid w:val="00345439"/>
    <w:rsid w:val="003455F7"/>
    <w:rsid w:val="00345783"/>
    <w:rsid w:val="00345821"/>
    <w:rsid w:val="003458FF"/>
    <w:rsid w:val="003459EA"/>
    <w:rsid w:val="00345C63"/>
    <w:rsid w:val="00345D6D"/>
    <w:rsid w:val="00345E44"/>
    <w:rsid w:val="00345E7A"/>
    <w:rsid w:val="00345EA2"/>
    <w:rsid w:val="0034629B"/>
    <w:rsid w:val="00346371"/>
    <w:rsid w:val="003464FA"/>
    <w:rsid w:val="00346501"/>
    <w:rsid w:val="0034652D"/>
    <w:rsid w:val="00346535"/>
    <w:rsid w:val="0034664C"/>
    <w:rsid w:val="0034696C"/>
    <w:rsid w:val="00346AE6"/>
    <w:rsid w:val="00346AEB"/>
    <w:rsid w:val="00346B4D"/>
    <w:rsid w:val="00346C91"/>
    <w:rsid w:val="00346D89"/>
    <w:rsid w:val="00346E8D"/>
    <w:rsid w:val="00346F45"/>
    <w:rsid w:val="00346F6A"/>
    <w:rsid w:val="00346F86"/>
    <w:rsid w:val="00347087"/>
    <w:rsid w:val="003470EE"/>
    <w:rsid w:val="00347208"/>
    <w:rsid w:val="00347262"/>
    <w:rsid w:val="0034728B"/>
    <w:rsid w:val="003472FB"/>
    <w:rsid w:val="0034736E"/>
    <w:rsid w:val="0034743F"/>
    <w:rsid w:val="0034750A"/>
    <w:rsid w:val="00347656"/>
    <w:rsid w:val="00347677"/>
    <w:rsid w:val="0034795D"/>
    <w:rsid w:val="00347B5C"/>
    <w:rsid w:val="00347C15"/>
    <w:rsid w:val="00347CCD"/>
    <w:rsid w:val="00347D17"/>
    <w:rsid w:val="00347D60"/>
    <w:rsid w:val="003500A6"/>
    <w:rsid w:val="003501C4"/>
    <w:rsid w:val="0035030E"/>
    <w:rsid w:val="0035035D"/>
    <w:rsid w:val="0035047D"/>
    <w:rsid w:val="003504B8"/>
    <w:rsid w:val="00350635"/>
    <w:rsid w:val="0035092C"/>
    <w:rsid w:val="00350974"/>
    <w:rsid w:val="00350986"/>
    <w:rsid w:val="003509E2"/>
    <w:rsid w:val="00350A04"/>
    <w:rsid w:val="00350A7D"/>
    <w:rsid w:val="00350AC6"/>
    <w:rsid w:val="00350B5A"/>
    <w:rsid w:val="00350BC3"/>
    <w:rsid w:val="00350C3E"/>
    <w:rsid w:val="00350C68"/>
    <w:rsid w:val="00350C6A"/>
    <w:rsid w:val="00350C7E"/>
    <w:rsid w:val="00350D7D"/>
    <w:rsid w:val="00350DE0"/>
    <w:rsid w:val="00350F43"/>
    <w:rsid w:val="00350F7A"/>
    <w:rsid w:val="00350FF6"/>
    <w:rsid w:val="003510B0"/>
    <w:rsid w:val="0035122F"/>
    <w:rsid w:val="00351259"/>
    <w:rsid w:val="00351611"/>
    <w:rsid w:val="003517AE"/>
    <w:rsid w:val="003518A5"/>
    <w:rsid w:val="003519B9"/>
    <w:rsid w:val="00351A4F"/>
    <w:rsid w:val="00351B41"/>
    <w:rsid w:val="00351BEC"/>
    <w:rsid w:val="00351CC4"/>
    <w:rsid w:val="00351CEB"/>
    <w:rsid w:val="00351DF4"/>
    <w:rsid w:val="00351F3E"/>
    <w:rsid w:val="00351F9C"/>
    <w:rsid w:val="00351FF8"/>
    <w:rsid w:val="003520E6"/>
    <w:rsid w:val="00352209"/>
    <w:rsid w:val="003523A5"/>
    <w:rsid w:val="0035240F"/>
    <w:rsid w:val="00352466"/>
    <w:rsid w:val="0035278B"/>
    <w:rsid w:val="003527A9"/>
    <w:rsid w:val="00352A3F"/>
    <w:rsid w:val="00352B44"/>
    <w:rsid w:val="00352BA6"/>
    <w:rsid w:val="00352BB8"/>
    <w:rsid w:val="00352CDF"/>
    <w:rsid w:val="00352E78"/>
    <w:rsid w:val="00352F0F"/>
    <w:rsid w:val="00352F64"/>
    <w:rsid w:val="003530C3"/>
    <w:rsid w:val="003531AD"/>
    <w:rsid w:val="003533B9"/>
    <w:rsid w:val="003533F1"/>
    <w:rsid w:val="003534EE"/>
    <w:rsid w:val="0035360A"/>
    <w:rsid w:val="00353700"/>
    <w:rsid w:val="00353758"/>
    <w:rsid w:val="003537BB"/>
    <w:rsid w:val="0035387A"/>
    <w:rsid w:val="003538EF"/>
    <w:rsid w:val="003539E7"/>
    <w:rsid w:val="00353A31"/>
    <w:rsid w:val="00353BCE"/>
    <w:rsid w:val="00353CF7"/>
    <w:rsid w:val="00353D32"/>
    <w:rsid w:val="00353DE1"/>
    <w:rsid w:val="00353E97"/>
    <w:rsid w:val="00353FC9"/>
    <w:rsid w:val="003540B1"/>
    <w:rsid w:val="00354276"/>
    <w:rsid w:val="003543A1"/>
    <w:rsid w:val="003543E6"/>
    <w:rsid w:val="00354402"/>
    <w:rsid w:val="00354476"/>
    <w:rsid w:val="0035447B"/>
    <w:rsid w:val="00354512"/>
    <w:rsid w:val="00354735"/>
    <w:rsid w:val="003547D9"/>
    <w:rsid w:val="0035482A"/>
    <w:rsid w:val="0035486C"/>
    <w:rsid w:val="003548EE"/>
    <w:rsid w:val="003549FC"/>
    <w:rsid w:val="00354A1B"/>
    <w:rsid w:val="00354CC6"/>
    <w:rsid w:val="00354EB2"/>
    <w:rsid w:val="00354ED8"/>
    <w:rsid w:val="00354F54"/>
    <w:rsid w:val="0035501B"/>
    <w:rsid w:val="003551E0"/>
    <w:rsid w:val="00355269"/>
    <w:rsid w:val="00355286"/>
    <w:rsid w:val="003552ED"/>
    <w:rsid w:val="0035544E"/>
    <w:rsid w:val="003554ED"/>
    <w:rsid w:val="00355656"/>
    <w:rsid w:val="00355668"/>
    <w:rsid w:val="00355755"/>
    <w:rsid w:val="0035590B"/>
    <w:rsid w:val="00355967"/>
    <w:rsid w:val="00355ADC"/>
    <w:rsid w:val="00355B4B"/>
    <w:rsid w:val="0035626D"/>
    <w:rsid w:val="0035652F"/>
    <w:rsid w:val="0035654A"/>
    <w:rsid w:val="003566A4"/>
    <w:rsid w:val="0035673A"/>
    <w:rsid w:val="00356869"/>
    <w:rsid w:val="00356968"/>
    <w:rsid w:val="00356B0E"/>
    <w:rsid w:val="00356B13"/>
    <w:rsid w:val="00356B4F"/>
    <w:rsid w:val="00356C81"/>
    <w:rsid w:val="00356D4A"/>
    <w:rsid w:val="00356EA6"/>
    <w:rsid w:val="00356EE4"/>
    <w:rsid w:val="00356FE1"/>
    <w:rsid w:val="00357184"/>
    <w:rsid w:val="0035718C"/>
    <w:rsid w:val="00357268"/>
    <w:rsid w:val="00357293"/>
    <w:rsid w:val="003573CA"/>
    <w:rsid w:val="003573E8"/>
    <w:rsid w:val="00357518"/>
    <w:rsid w:val="003575A1"/>
    <w:rsid w:val="003576F6"/>
    <w:rsid w:val="003577EB"/>
    <w:rsid w:val="003577F0"/>
    <w:rsid w:val="0035782F"/>
    <w:rsid w:val="00357974"/>
    <w:rsid w:val="00357A0E"/>
    <w:rsid w:val="00357AD3"/>
    <w:rsid w:val="00357C79"/>
    <w:rsid w:val="0036002F"/>
    <w:rsid w:val="003601B8"/>
    <w:rsid w:val="00360508"/>
    <w:rsid w:val="00360562"/>
    <w:rsid w:val="00360654"/>
    <w:rsid w:val="003607AE"/>
    <w:rsid w:val="003607C4"/>
    <w:rsid w:val="0036085F"/>
    <w:rsid w:val="003609A1"/>
    <w:rsid w:val="00360A08"/>
    <w:rsid w:val="00360ACF"/>
    <w:rsid w:val="00360B49"/>
    <w:rsid w:val="00360B99"/>
    <w:rsid w:val="00360D0E"/>
    <w:rsid w:val="00360D72"/>
    <w:rsid w:val="00360F8F"/>
    <w:rsid w:val="0036110C"/>
    <w:rsid w:val="00361157"/>
    <w:rsid w:val="003612EF"/>
    <w:rsid w:val="00361327"/>
    <w:rsid w:val="003613F1"/>
    <w:rsid w:val="0036155C"/>
    <w:rsid w:val="00361573"/>
    <w:rsid w:val="00361717"/>
    <w:rsid w:val="0036173B"/>
    <w:rsid w:val="0036190F"/>
    <w:rsid w:val="00361A8E"/>
    <w:rsid w:val="00361C08"/>
    <w:rsid w:val="00361C3E"/>
    <w:rsid w:val="00361C89"/>
    <w:rsid w:val="00361CCC"/>
    <w:rsid w:val="00361DD8"/>
    <w:rsid w:val="00361DDD"/>
    <w:rsid w:val="00361E2D"/>
    <w:rsid w:val="00361F4F"/>
    <w:rsid w:val="00362063"/>
    <w:rsid w:val="00362112"/>
    <w:rsid w:val="00362263"/>
    <w:rsid w:val="00362430"/>
    <w:rsid w:val="003625D3"/>
    <w:rsid w:val="0036263F"/>
    <w:rsid w:val="00362723"/>
    <w:rsid w:val="00362889"/>
    <w:rsid w:val="003628C8"/>
    <w:rsid w:val="00362926"/>
    <w:rsid w:val="0036294C"/>
    <w:rsid w:val="00362CC9"/>
    <w:rsid w:val="00362E05"/>
    <w:rsid w:val="00362EC0"/>
    <w:rsid w:val="00362F51"/>
    <w:rsid w:val="0036304A"/>
    <w:rsid w:val="003630A6"/>
    <w:rsid w:val="003630BF"/>
    <w:rsid w:val="00363113"/>
    <w:rsid w:val="00363254"/>
    <w:rsid w:val="003632BA"/>
    <w:rsid w:val="0036334F"/>
    <w:rsid w:val="00363395"/>
    <w:rsid w:val="003634AB"/>
    <w:rsid w:val="00363603"/>
    <w:rsid w:val="00363665"/>
    <w:rsid w:val="0036367C"/>
    <w:rsid w:val="00363825"/>
    <w:rsid w:val="00363AEE"/>
    <w:rsid w:val="00363B72"/>
    <w:rsid w:val="00363BD7"/>
    <w:rsid w:val="00363C29"/>
    <w:rsid w:val="00363C40"/>
    <w:rsid w:val="00363C4F"/>
    <w:rsid w:val="00363CAC"/>
    <w:rsid w:val="00364012"/>
    <w:rsid w:val="00364158"/>
    <w:rsid w:val="0036416E"/>
    <w:rsid w:val="003641FE"/>
    <w:rsid w:val="0036433F"/>
    <w:rsid w:val="003643C2"/>
    <w:rsid w:val="00364529"/>
    <w:rsid w:val="00364650"/>
    <w:rsid w:val="00364681"/>
    <w:rsid w:val="003646DE"/>
    <w:rsid w:val="0036496B"/>
    <w:rsid w:val="003649F4"/>
    <w:rsid w:val="00364A7B"/>
    <w:rsid w:val="00364B25"/>
    <w:rsid w:val="00364C42"/>
    <w:rsid w:val="00365180"/>
    <w:rsid w:val="003652F6"/>
    <w:rsid w:val="003653B9"/>
    <w:rsid w:val="00365407"/>
    <w:rsid w:val="0036556F"/>
    <w:rsid w:val="003656A2"/>
    <w:rsid w:val="003656C6"/>
    <w:rsid w:val="00365987"/>
    <w:rsid w:val="00365992"/>
    <w:rsid w:val="00365A7E"/>
    <w:rsid w:val="00365BD7"/>
    <w:rsid w:val="00365CC0"/>
    <w:rsid w:val="00365DDC"/>
    <w:rsid w:val="003661FF"/>
    <w:rsid w:val="0036621B"/>
    <w:rsid w:val="00366322"/>
    <w:rsid w:val="003663A5"/>
    <w:rsid w:val="00366418"/>
    <w:rsid w:val="0036642E"/>
    <w:rsid w:val="003664F9"/>
    <w:rsid w:val="003665BA"/>
    <w:rsid w:val="0036669D"/>
    <w:rsid w:val="0036670C"/>
    <w:rsid w:val="00366746"/>
    <w:rsid w:val="003668DC"/>
    <w:rsid w:val="00366B70"/>
    <w:rsid w:val="00366BDE"/>
    <w:rsid w:val="00366C1B"/>
    <w:rsid w:val="00366C68"/>
    <w:rsid w:val="00366D35"/>
    <w:rsid w:val="00366D8C"/>
    <w:rsid w:val="003670F9"/>
    <w:rsid w:val="00367185"/>
    <w:rsid w:val="003671F6"/>
    <w:rsid w:val="003675D6"/>
    <w:rsid w:val="003675F4"/>
    <w:rsid w:val="0036763B"/>
    <w:rsid w:val="003676DC"/>
    <w:rsid w:val="0036782A"/>
    <w:rsid w:val="00367843"/>
    <w:rsid w:val="003678B4"/>
    <w:rsid w:val="00367DD1"/>
    <w:rsid w:val="00367DE4"/>
    <w:rsid w:val="00367E28"/>
    <w:rsid w:val="00367E7E"/>
    <w:rsid w:val="00367EFF"/>
    <w:rsid w:val="00367F9D"/>
    <w:rsid w:val="00367FC2"/>
    <w:rsid w:val="003700C0"/>
    <w:rsid w:val="003701C9"/>
    <w:rsid w:val="0037025E"/>
    <w:rsid w:val="00370602"/>
    <w:rsid w:val="00370610"/>
    <w:rsid w:val="003706F9"/>
    <w:rsid w:val="003707C8"/>
    <w:rsid w:val="0037082A"/>
    <w:rsid w:val="00370842"/>
    <w:rsid w:val="003708B3"/>
    <w:rsid w:val="003708BE"/>
    <w:rsid w:val="00370ABD"/>
    <w:rsid w:val="00370B78"/>
    <w:rsid w:val="00370C2D"/>
    <w:rsid w:val="00370C64"/>
    <w:rsid w:val="00370CE8"/>
    <w:rsid w:val="00370F5B"/>
    <w:rsid w:val="00370F93"/>
    <w:rsid w:val="00370FCA"/>
    <w:rsid w:val="00370FEC"/>
    <w:rsid w:val="003710B0"/>
    <w:rsid w:val="00371149"/>
    <w:rsid w:val="003711C6"/>
    <w:rsid w:val="003713C4"/>
    <w:rsid w:val="003713CA"/>
    <w:rsid w:val="0037161C"/>
    <w:rsid w:val="0037196C"/>
    <w:rsid w:val="00371A2E"/>
    <w:rsid w:val="00371A76"/>
    <w:rsid w:val="00371E5E"/>
    <w:rsid w:val="00371EA2"/>
    <w:rsid w:val="00371FB5"/>
    <w:rsid w:val="0037201C"/>
    <w:rsid w:val="0037202F"/>
    <w:rsid w:val="00372030"/>
    <w:rsid w:val="003720D4"/>
    <w:rsid w:val="00372153"/>
    <w:rsid w:val="00372233"/>
    <w:rsid w:val="00372276"/>
    <w:rsid w:val="0037248D"/>
    <w:rsid w:val="00372502"/>
    <w:rsid w:val="003726D3"/>
    <w:rsid w:val="003729AA"/>
    <w:rsid w:val="00372D0B"/>
    <w:rsid w:val="00372E91"/>
    <w:rsid w:val="00372F08"/>
    <w:rsid w:val="00373033"/>
    <w:rsid w:val="00373190"/>
    <w:rsid w:val="003731AB"/>
    <w:rsid w:val="003732AA"/>
    <w:rsid w:val="003732E6"/>
    <w:rsid w:val="003732F6"/>
    <w:rsid w:val="0037346A"/>
    <w:rsid w:val="003734CF"/>
    <w:rsid w:val="003736E4"/>
    <w:rsid w:val="003737CF"/>
    <w:rsid w:val="0037389C"/>
    <w:rsid w:val="003738A6"/>
    <w:rsid w:val="003738B1"/>
    <w:rsid w:val="00373A7A"/>
    <w:rsid w:val="00373B7A"/>
    <w:rsid w:val="00373EE0"/>
    <w:rsid w:val="00373FE3"/>
    <w:rsid w:val="003744FD"/>
    <w:rsid w:val="0037453B"/>
    <w:rsid w:val="00374576"/>
    <w:rsid w:val="003747FC"/>
    <w:rsid w:val="00374846"/>
    <w:rsid w:val="00374C83"/>
    <w:rsid w:val="0037502C"/>
    <w:rsid w:val="00375102"/>
    <w:rsid w:val="0037518B"/>
    <w:rsid w:val="00375261"/>
    <w:rsid w:val="003752B7"/>
    <w:rsid w:val="00375561"/>
    <w:rsid w:val="003755F6"/>
    <w:rsid w:val="00375628"/>
    <w:rsid w:val="00375641"/>
    <w:rsid w:val="0037581C"/>
    <w:rsid w:val="0037599D"/>
    <w:rsid w:val="003759DD"/>
    <w:rsid w:val="00375A95"/>
    <w:rsid w:val="00375C13"/>
    <w:rsid w:val="00375D88"/>
    <w:rsid w:val="00375DFB"/>
    <w:rsid w:val="00375FD8"/>
    <w:rsid w:val="00375FFF"/>
    <w:rsid w:val="0037613A"/>
    <w:rsid w:val="00376155"/>
    <w:rsid w:val="00376192"/>
    <w:rsid w:val="0037626A"/>
    <w:rsid w:val="003763EC"/>
    <w:rsid w:val="00376646"/>
    <w:rsid w:val="00376673"/>
    <w:rsid w:val="0037667F"/>
    <w:rsid w:val="00376753"/>
    <w:rsid w:val="0037687C"/>
    <w:rsid w:val="00376974"/>
    <w:rsid w:val="00376B13"/>
    <w:rsid w:val="00376B32"/>
    <w:rsid w:val="00376D45"/>
    <w:rsid w:val="00376EA2"/>
    <w:rsid w:val="00376F6B"/>
    <w:rsid w:val="00376FCC"/>
    <w:rsid w:val="00377040"/>
    <w:rsid w:val="0037713F"/>
    <w:rsid w:val="00377155"/>
    <w:rsid w:val="003772CF"/>
    <w:rsid w:val="0037732C"/>
    <w:rsid w:val="00377686"/>
    <w:rsid w:val="003777EB"/>
    <w:rsid w:val="00377830"/>
    <w:rsid w:val="00377889"/>
    <w:rsid w:val="003778ED"/>
    <w:rsid w:val="00377912"/>
    <w:rsid w:val="00377A8B"/>
    <w:rsid w:val="00377AC8"/>
    <w:rsid w:val="00377B5F"/>
    <w:rsid w:val="00377B96"/>
    <w:rsid w:val="00377F1B"/>
    <w:rsid w:val="00377F33"/>
    <w:rsid w:val="003800F3"/>
    <w:rsid w:val="003802AB"/>
    <w:rsid w:val="00380328"/>
    <w:rsid w:val="00380501"/>
    <w:rsid w:val="003805B3"/>
    <w:rsid w:val="0038060B"/>
    <w:rsid w:val="00380785"/>
    <w:rsid w:val="00380858"/>
    <w:rsid w:val="00380A3D"/>
    <w:rsid w:val="00380AE5"/>
    <w:rsid w:val="00380B8B"/>
    <w:rsid w:val="00380BB4"/>
    <w:rsid w:val="00380D11"/>
    <w:rsid w:val="00380D7D"/>
    <w:rsid w:val="00380EB2"/>
    <w:rsid w:val="00380F74"/>
    <w:rsid w:val="00380F78"/>
    <w:rsid w:val="00381021"/>
    <w:rsid w:val="003810C1"/>
    <w:rsid w:val="003811AB"/>
    <w:rsid w:val="003811C3"/>
    <w:rsid w:val="00381238"/>
    <w:rsid w:val="00381296"/>
    <w:rsid w:val="00381400"/>
    <w:rsid w:val="003814E2"/>
    <w:rsid w:val="003815BD"/>
    <w:rsid w:val="00381616"/>
    <w:rsid w:val="00381646"/>
    <w:rsid w:val="003816A0"/>
    <w:rsid w:val="003816D0"/>
    <w:rsid w:val="0038182D"/>
    <w:rsid w:val="00381986"/>
    <w:rsid w:val="00381A05"/>
    <w:rsid w:val="00381A0F"/>
    <w:rsid w:val="00381AF1"/>
    <w:rsid w:val="00381B78"/>
    <w:rsid w:val="00381B80"/>
    <w:rsid w:val="00381B91"/>
    <w:rsid w:val="00381BEA"/>
    <w:rsid w:val="00381D2D"/>
    <w:rsid w:val="00381E22"/>
    <w:rsid w:val="00381F1F"/>
    <w:rsid w:val="0038217B"/>
    <w:rsid w:val="003823C9"/>
    <w:rsid w:val="00382727"/>
    <w:rsid w:val="003829A8"/>
    <w:rsid w:val="00382AE0"/>
    <w:rsid w:val="00382BC3"/>
    <w:rsid w:val="00382D4E"/>
    <w:rsid w:val="00382F3B"/>
    <w:rsid w:val="00382FC1"/>
    <w:rsid w:val="0038303A"/>
    <w:rsid w:val="0038320F"/>
    <w:rsid w:val="003832A5"/>
    <w:rsid w:val="0038334B"/>
    <w:rsid w:val="00383463"/>
    <w:rsid w:val="00383758"/>
    <w:rsid w:val="003837D4"/>
    <w:rsid w:val="003837F9"/>
    <w:rsid w:val="00383BC9"/>
    <w:rsid w:val="00383D1E"/>
    <w:rsid w:val="00383D50"/>
    <w:rsid w:val="00383D85"/>
    <w:rsid w:val="00383E20"/>
    <w:rsid w:val="00383E65"/>
    <w:rsid w:val="0038400F"/>
    <w:rsid w:val="003840D2"/>
    <w:rsid w:val="0038419F"/>
    <w:rsid w:val="00384346"/>
    <w:rsid w:val="0038444C"/>
    <w:rsid w:val="00384598"/>
    <w:rsid w:val="00384605"/>
    <w:rsid w:val="00384809"/>
    <w:rsid w:val="00384862"/>
    <w:rsid w:val="003849EE"/>
    <w:rsid w:val="00384BA9"/>
    <w:rsid w:val="00384E27"/>
    <w:rsid w:val="00385211"/>
    <w:rsid w:val="003852B8"/>
    <w:rsid w:val="0038537A"/>
    <w:rsid w:val="00385387"/>
    <w:rsid w:val="003853EB"/>
    <w:rsid w:val="00385415"/>
    <w:rsid w:val="00385478"/>
    <w:rsid w:val="003854C7"/>
    <w:rsid w:val="003858D5"/>
    <w:rsid w:val="00385A42"/>
    <w:rsid w:val="00385A43"/>
    <w:rsid w:val="00385A8E"/>
    <w:rsid w:val="00385AA2"/>
    <w:rsid w:val="00385B21"/>
    <w:rsid w:val="00385BEE"/>
    <w:rsid w:val="00385C73"/>
    <w:rsid w:val="00385DAB"/>
    <w:rsid w:val="00385E81"/>
    <w:rsid w:val="00386088"/>
    <w:rsid w:val="003863A8"/>
    <w:rsid w:val="0038641C"/>
    <w:rsid w:val="003864C1"/>
    <w:rsid w:val="003864F5"/>
    <w:rsid w:val="003864F8"/>
    <w:rsid w:val="003865A4"/>
    <w:rsid w:val="00386889"/>
    <w:rsid w:val="00386982"/>
    <w:rsid w:val="0038699E"/>
    <w:rsid w:val="003869B4"/>
    <w:rsid w:val="00386A85"/>
    <w:rsid w:val="00386AE9"/>
    <w:rsid w:val="00386CFD"/>
    <w:rsid w:val="00386DA9"/>
    <w:rsid w:val="00386E7C"/>
    <w:rsid w:val="00386F80"/>
    <w:rsid w:val="003870EA"/>
    <w:rsid w:val="00387130"/>
    <w:rsid w:val="003871CC"/>
    <w:rsid w:val="0038720B"/>
    <w:rsid w:val="00387461"/>
    <w:rsid w:val="0038746A"/>
    <w:rsid w:val="00387671"/>
    <w:rsid w:val="003876D9"/>
    <w:rsid w:val="003876DC"/>
    <w:rsid w:val="0038787A"/>
    <w:rsid w:val="003878BE"/>
    <w:rsid w:val="003879ED"/>
    <w:rsid w:val="00387A41"/>
    <w:rsid w:val="00387ACA"/>
    <w:rsid w:val="00387B96"/>
    <w:rsid w:val="00387BDD"/>
    <w:rsid w:val="00387C8F"/>
    <w:rsid w:val="00387D7C"/>
    <w:rsid w:val="00387DE0"/>
    <w:rsid w:val="00387E97"/>
    <w:rsid w:val="00387FAD"/>
    <w:rsid w:val="00390090"/>
    <w:rsid w:val="0039014C"/>
    <w:rsid w:val="003901F1"/>
    <w:rsid w:val="00390305"/>
    <w:rsid w:val="0039030B"/>
    <w:rsid w:val="003904DB"/>
    <w:rsid w:val="00390592"/>
    <w:rsid w:val="00390633"/>
    <w:rsid w:val="0039063E"/>
    <w:rsid w:val="00390859"/>
    <w:rsid w:val="003908D0"/>
    <w:rsid w:val="00390999"/>
    <w:rsid w:val="00390B6B"/>
    <w:rsid w:val="00390CAE"/>
    <w:rsid w:val="00390DAF"/>
    <w:rsid w:val="00390FA9"/>
    <w:rsid w:val="00390FE9"/>
    <w:rsid w:val="0039101A"/>
    <w:rsid w:val="003910A0"/>
    <w:rsid w:val="0039136D"/>
    <w:rsid w:val="003914A8"/>
    <w:rsid w:val="00391596"/>
    <w:rsid w:val="00391758"/>
    <w:rsid w:val="00391CD0"/>
    <w:rsid w:val="00391DD0"/>
    <w:rsid w:val="00391E15"/>
    <w:rsid w:val="00391FE8"/>
    <w:rsid w:val="003920D4"/>
    <w:rsid w:val="00392219"/>
    <w:rsid w:val="00392265"/>
    <w:rsid w:val="003922D9"/>
    <w:rsid w:val="003923F8"/>
    <w:rsid w:val="00392442"/>
    <w:rsid w:val="0039244B"/>
    <w:rsid w:val="00392612"/>
    <w:rsid w:val="0039266B"/>
    <w:rsid w:val="003927FB"/>
    <w:rsid w:val="00392870"/>
    <w:rsid w:val="003928E0"/>
    <w:rsid w:val="00392A44"/>
    <w:rsid w:val="00392B0B"/>
    <w:rsid w:val="00392D21"/>
    <w:rsid w:val="00392D37"/>
    <w:rsid w:val="00392D91"/>
    <w:rsid w:val="00392E19"/>
    <w:rsid w:val="00392E43"/>
    <w:rsid w:val="00392E4D"/>
    <w:rsid w:val="00393039"/>
    <w:rsid w:val="00393046"/>
    <w:rsid w:val="003930DD"/>
    <w:rsid w:val="003931E9"/>
    <w:rsid w:val="00393246"/>
    <w:rsid w:val="003933BA"/>
    <w:rsid w:val="003934C5"/>
    <w:rsid w:val="00393583"/>
    <w:rsid w:val="00393695"/>
    <w:rsid w:val="0039373B"/>
    <w:rsid w:val="00393C52"/>
    <w:rsid w:val="00393D07"/>
    <w:rsid w:val="00393F70"/>
    <w:rsid w:val="00394091"/>
    <w:rsid w:val="003940A0"/>
    <w:rsid w:val="003943C1"/>
    <w:rsid w:val="003944C1"/>
    <w:rsid w:val="0039456E"/>
    <w:rsid w:val="003945A9"/>
    <w:rsid w:val="003945BF"/>
    <w:rsid w:val="003945DC"/>
    <w:rsid w:val="003945DD"/>
    <w:rsid w:val="003946D2"/>
    <w:rsid w:val="00394711"/>
    <w:rsid w:val="0039472D"/>
    <w:rsid w:val="00394790"/>
    <w:rsid w:val="003947C3"/>
    <w:rsid w:val="0039483B"/>
    <w:rsid w:val="00394857"/>
    <w:rsid w:val="0039485B"/>
    <w:rsid w:val="00394A23"/>
    <w:rsid w:val="00394B30"/>
    <w:rsid w:val="00394B9D"/>
    <w:rsid w:val="00394BB5"/>
    <w:rsid w:val="00394CD3"/>
    <w:rsid w:val="00394CF5"/>
    <w:rsid w:val="00394D0D"/>
    <w:rsid w:val="00394D5B"/>
    <w:rsid w:val="00394D5C"/>
    <w:rsid w:val="0039500F"/>
    <w:rsid w:val="00395169"/>
    <w:rsid w:val="003952B4"/>
    <w:rsid w:val="003953D9"/>
    <w:rsid w:val="003954C5"/>
    <w:rsid w:val="003954F1"/>
    <w:rsid w:val="003956A2"/>
    <w:rsid w:val="00395744"/>
    <w:rsid w:val="00395C0F"/>
    <w:rsid w:val="00395CBC"/>
    <w:rsid w:val="00395E28"/>
    <w:rsid w:val="00395F54"/>
    <w:rsid w:val="0039605F"/>
    <w:rsid w:val="003961E5"/>
    <w:rsid w:val="003962C1"/>
    <w:rsid w:val="00396300"/>
    <w:rsid w:val="003964F0"/>
    <w:rsid w:val="0039668F"/>
    <w:rsid w:val="0039679A"/>
    <w:rsid w:val="003968C1"/>
    <w:rsid w:val="003969D2"/>
    <w:rsid w:val="00396A44"/>
    <w:rsid w:val="00396D76"/>
    <w:rsid w:val="00396F21"/>
    <w:rsid w:val="00396F8E"/>
    <w:rsid w:val="00396F99"/>
    <w:rsid w:val="00396F9C"/>
    <w:rsid w:val="00396FDC"/>
    <w:rsid w:val="0039702F"/>
    <w:rsid w:val="003971A7"/>
    <w:rsid w:val="003972C7"/>
    <w:rsid w:val="003974AA"/>
    <w:rsid w:val="003974C9"/>
    <w:rsid w:val="00397514"/>
    <w:rsid w:val="00397534"/>
    <w:rsid w:val="0039763C"/>
    <w:rsid w:val="0039783C"/>
    <w:rsid w:val="003978EA"/>
    <w:rsid w:val="003979F4"/>
    <w:rsid w:val="00397A88"/>
    <w:rsid w:val="00397BB8"/>
    <w:rsid w:val="00397C05"/>
    <w:rsid w:val="00397D26"/>
    <w:rsid w:val="00397DDD"/>
    <w:rsid w:val="00397F1C"/>
    <w:rsid w:val="00397F92"/>
    <w:rsid w:val="00397FB4"/>
    <w:rsid w:val="003A0010"/>
    <w:rsid w:val="003A017F"/>
    <w:rsid w:val="003A01CB"/>
    <w:rsid w:val="003A021D"/>
    <w:rsid w:val="003A0285"/>
    <w:rsid w:val="003A0402"/>
    <w:rsid w:val="003A0487"/>
    <w:rsid w:val="003A06FF"/>
    <w:rsid w:val="003A074A"/>
    <w:rsid w:val="003A0754"/>
    <w:rsid w:val="003A08AA"/>
    <w:rsid w:val="003A08D7"/>
    <w:rsid w:val="003A0901"/>
    <w:rsid w:val="003A0AE2"/>
    <w:rsid w:val="003A0BCA"/>
    <w:rsid w:val="003A0C92"/>
    <w:rsid w:val="003A0D0B"/>
    <w:rsid w:val="003A0DA6"/>
    <w:rsid w:val="003A0EA6"/>
    <w:rsid w:val="003A0EC5"/>
    <w:rsid w:val="003A0FEB"/>
    <w:rsid w:val="003A1153"/>
    <w:rsid w:val="003A11BB"/>
    <w:rsid w:val="003A138A"/>
    <w:rsid w:val="003A13A4"/>
    <w:rsid w:val="003A13C6"/>
    <w:rsid w:val="003A14D7"/>
    <w:rsid w:val="003A1577"/>
    <w:rsid w:val="003A15E7"/>
    <w:rsid w:val="003A15F8"/>
    <w:rsid w:val="003A1706"/>
    <w:rsid w:val="003A175E"/>
    <w:rsid w:val="003A17F9"/>
    <w:rsid w:val="003A183D"/>
    <w:rsid w:val="003A18C4"/>
    <w:rsid w:val="003A18F0"/>
    <w:rsid w:val="003A1973"/>
    <w:rsid w:val="003A1A0E"/>
    <w:rsid w:val="003A1B00"/>
    <w:rsid w:val="003A1B01"/>
    <w:rsid w:val="003A1E06"/>
    <w:rsid w:val="003A1F33"/>
    <w:rsid w:val="003A1F70"/>
    <w:rsid w:val="003A2085"/>
    <w:rsid w:val="003A20A7"/>
    <w:rsid w:val="003A211F"/>
    <w:rsid w:val="003A2587"/>
    <w:rsid w:val="003A2785"/>
    <w:rsid w:val="003A2786"/>
    <w:rsid w:val="003A283E"/>
    <w:rsid w:val="003A2857"/>
    <w:rsid w:val="003A2A59"/>
    <w:rsid w:val="003A2C71"/>
    <w:rsid w:val="003A2D4D"/>
    <w:rsid w:val="003A2D74"/>
    <w:rsid w:val="003A2D7E"/>
    <w:rsid w:val="003A2E89"/>
    <w:rsid w:val="003A2F18"/>
    <w:rsid w:val="003A3049"/>
    <w:rsid w:val="003A307C"/>
    <w:rsid w:val="003A310A"/>
    <w:rsid w:val="003A3554"/>
    <w:rsid w:val="003A366C"/>
    <w:rsid w:val="003A3686"/>
    <w:rsid w:val="003A3826"/>
    <w:rsid w:val="003A3A00"/>
    <w:rsid w:val="003A3B6E"/>
    <w:rsid w:val="003A3C39"/>
    <w:rsid w:val="003A3F21"/>
    <w:rsid w:val="003A40E4"/>
    <w:rsid w:val="003A4112"/>
    <w:rsid w:val="003A4156"/>
    <w:rsid w:val="003A41A1"/>
    <w:rsid w:val="003A41C4"/>
    <w:rsid w:val="003A455F"/>
    <w:rsid w:val="003A45A1"/>
    <w:rsid w:val="003A45E2"/>
    <w:rsid w:val="003A472A"/>
    <w:rsid w:val="003A4790"/>
    <w:rsid w:val="003A4990"/>
    <w:rsid w:val="003A4B19"/>
    <w:rsid w:val="003A4B1D"/>
    <w:rsid w:val="003A4F04"/>
    <w:rsid w:val="003A504B"/>
    <w:rsid w:val="003A506D"/>
    <w:rsid w:val="003A516F"/>
    <w:rsid w:val="003A5392"/>
    <w:rsid w:val="003A542B"/>
    <w:rsid w:val="003A5549"/>
    <w:rsid w:val="003A55CD"/>
    <w:rsid w:val="003A57E2"/>
    <w:rsid w:val="003A57ED"/>
    <w:rsid w:val="003A590D"/>
    <w:rsid w:val="003A594C"/>
    <w:rsid w:val="003A5A03"/>
    <w:rsid w:val="003A5A21"/>
    <w:rsid w:val="003A5C2B"/>
    <w:rsid w:val="003A5C75"/>
    <w:rsid w:val="003A5DD4"/>
    <w:rsid w:val="003A5EC3"/>
    <w:rsid w:val="003A5F0D"/>
    <w:rsid w:val="003A60D8"/>
    <w:rsid w:val="003A6495"/>
    <w:rsid w:val="003A65E7"/>
    <w:rsid w:val="003A6765"/>
    <w:rsid w:val="003A67FA"/>
    <w:rsid w:val="003A6956"/>
    <w:rsid w:val="003A69D5"/>
    <w:rsid w:val="003A6A2C"/>
    <w:rsid w:val="003A6CB4"/>
    <w:rsid w:val="003A6E6B"/>
    <w:rsid w:val="003A6E78"/>
    <w:rsid w:val="003A6FDA"/>
    <w:rsid w:val="003A716C"/>
    <w:rsid w:val="003A73C9"/>
    <w:rsid w:val="003A7422"/>
    <w:rsid w:val="003A7464"/>
    <w:rsid w:val="003A74B6"/>
    <w:rsid w:val="003A74F9"/>
    <w:rsid w:val="003A76D3"/>
    <w:rsid w:val="003A78D6"/>
    <w:rsid w:val="003A79BB"/>
    <w:rsid w:val="003A7A2B"/>
    <w:rsid w:val="003A7A93"/>
    <w:rsid w:val="003A7AA6"/>
    <w:rsid w:val="003A7C05"/>
    <w:rsid w:val="003A7D63"/>
    <w:rsid w:val="003A7EEA"/>
    <w:rsid w:val="003A7F4C"/>
    <w:rsid w:val="003B00D7"/>
    <w:rsid w:val="003B024E"/>
    <w:rsid w:val="003B029F"/>
    <w:rsid w:val="003B02D3"/>
    <w:rsid w:val="003B041E"/>
    <w:rsid w:val="003B046A"/>
    <w:rsid w:val="003B0544"/>
    <w:rsid w:val="003B05DD"/>
    <w:rsid w:val="003B064F"/>
    <w:rsid w:val="003B0722"/>
    <w:rsid w:val="003B075F"/>
    <w:rsid w:val="003B0761"/>
    <w:rsid w:val="003B0EB7"/>
    <w:rsid w:val="003B0EEC"/>
    <w:rsid w:val="003B0FF6"/>
    <w:rsid w:val="003B1274"/>
    <w:rsid w:val="003B12B9"/>
    <w:rsid w:val="003B14BB"/>
    <w:rsid w:val="003B14FF"/>
    <w:rsid w:val="003B15D4"/>
    <w:rsid w:val="003B16E1"/>
    <w:rsid w:val="003B1721"/>
    <w:rsid w:val="003B1774"/>
    <w:rsid w:val="003B18BB"/>
    <w:rsid w:val="003B1A37"/>
    <w:rsid w:val="003B1ED8"/>
    <w:rsid w:val="003B216D"/>
    <w:rsid w:val="003B22C6"/>
    <w:rsid w:val="003B2470"/>
    <w:rsid w:val="003B272B"/>
    <w:rsid w:val="003B2838"/>
    <w:rsid w:val="003B2894"/>
    <w:rsid w:val="003B2AC5"/>
    <w:rsid w:val="003B2AF9"/>
    <w:rsid w:val="003B2B7C"/>
    <w:rsid w:val="003B2B8B"/>
    <w:rsid w:val="003B2C3F"/>
    <w:rsid w:val="003B2C83"/>
    <w:rsid w:val="003B2CB0"/>
    <w:rsid w:val="003B2F6E"/>
    <w:rsid w:val="003B30AE"/>
    <w:rsid w:val="003B30B3"/>
    <w:rsid w:val="003B327F"/>
    <w:rsid w:val="003B3366"/>
    <w:rsid w:val="003B35E9"/>
    <w:rsid w:val="003B3A3A"/>
    <w:rsid w:val="003B3C82"/>
    <w:rsid w:val="003B3CE6"/>
    <w:rsid w:val="003B3D4D"/>
    <w:rsid w:val="003B3EB6"/>
    <w:rsid w:val="003B3EFB"/>
    <w:rsid w:val="003B3F6D"/>
    <w:rsid w:val="003B3FD6"/>
    <w:rsid w:val="003B4084"/>
    <w:rsid w:val="003B4261"/>
    <w:rsid w:val="003B43CB"/>
    <w:rsid w:val="003B4482"/>
    <w:rsid w:val="003B4565"/>
    <w:rsid w:val="003B45A8"/>
    <w:rsid w:val="003B4654"/>
    <w:rsid w:val="003B46B1"/>
    <w:rsid w:val="003B473B"/>
    <w:rsid w:val="003B4896"/>
    <w:rsid w:val="003B48F9"/>
    <w:rsid w:val="003B495F"/>
    <w:rsid w:val="003B499B"/>
    <w:rsid w:val="003B4A75"/>
    <w:rsid w:val="003B4AA5"/>
    <w:rsid w:val="003B4AAE"/>
    <w:rsid w:val="003B4ADF"/>
    <w:rsid w:val="003B4CED"/>
    <w:rsid w:val="003B4DF0"/>
    <w:rsid w:val="003B4F16"/>
    <w:rsid w:val="003B50E6"/>
    <w:rsid w:val="003B52E4"/>
    <w:rsid w:val="003B5409"/>
    <w:rsid w:val="003B5537"/>
    <w:rsid w:val="003B57FE"/>
    <w:rsid w:val="003B5987"/>
    <w:rsid w:val="003B598C"/>
    <w:rsid w:val="003B5A2C"/>
    <w:rsid w:val="003B5B99"/>
    <w:rsid w:val="003B5CA0"/>
    <w:rsid w:val="003B5EE8"/>
    <w:rsid w:val="003B5F37"/>
    <w:rsid w:val="003B6110"/>
    <w:rsid w:val="003B611C"/>
    <w:rsid w:val="003B6153"/>
    <w:rsid w:val="003B6349"/>
    <w:rsid w:val="003B640C"/>
    <w:rsid w:val="003B68DD"/>
    <w:rsid w:val="003B691A"/>
    <w:rsid w:val="003B6968"/>
    <w:rsid w:val="003B6993"/>
    <w:rsid w:val="003B69FA"/>
    <w:rsid w:val="003B6AC8"/>
    <w:rsid w:val="003B6B5A"/>
    <w:rsid w:val="003B6C73"/>
    <w:rsid w:val="003B6CA6"/>
    <w:rsid w:val="003B6E7E"/>
    <w:rsid w:val="003B6EB1"/>
    <w:rsid w:val="003B6F2D"/>
    <w:rsid w:val="003B6F6C"/>
    <w:rsid w:val="003B749F"/>
    <w:rsid w:val="003B7507"/>
    <w:rsid w:val="003B76C0"/>
    <w:rsid w:val="003B76ED"/>
    <w:rsid w:val="003B7814"/>
    <w:rsid w:val="003B78B9"/>
    <w:rsid w:val="003B7910"/>
    <w:rsid w:val="003B7A09"/>
    <w:rsid w:val="003B7B8D"/>
    <w:rsid w:val="003B7CC6"/>
    <w:rsid w:val="003B7D45"/>
    <w:rsid w:val="003B7DFC"/>
    <w:rsid w:val="003B7F58"/>
    <w:rsid w:val="003C0000"/>
    <w:rsid w:val="003C001C"/>
    <w:rsid w:val="003C00D5"/>
    <w:rsid w:val="003C016F"/>
    <w:rsid w:val="003C0444"/>
    <w:rsid w:val="003C049C"/>
    <w:rsid w:val="003C04C6"/>
    <w:rsid w:val="003C05CB"/>
    <w:rsid w:val="003C0637"/>
    <w:rsid w:val="003C06EF"/>
    <w:rsid w:val="003C0959"/>
    <w:rsid w:val="003C0BA2"/>
    <w:rsid w:val="003C0CE7"/>
    <w:rsid w:val="003C0DB2"/>
    <w:rsid w:val="003C0DD8"/>
    <w:rsid w:val="003C0ECD"/>
    <w:rsid w:val="003C0ED2"/>
    <w:rsid w:val="003C1275"/>
    <w:rsid w:val="003C188B"/>
    <w:rsid w:val="003C18B5"/>
    <w:rsid w:val="003C1A61"/>
    <w:rsid w:val="003C1B73"/>
    <w:rsid w:val="003C1BF1"/>
    <w:rsid w:val="003C1C6B"/>
    <w:rsid w:val="003C1D0A"/>
    <w:rsid w:val="003C1FA3"/>
    <w:rsid w:val="003C1FCC"/>
    <w:rsid w:val="003C2127"/>
    <w:rsid w:val="003C21D4"/>
    <w:rsid w:val="003C2224"/>
    <w:rsid w:val="003C2226"/>
    <w:rsid w:val="003C22E0"/>
    <w:rsid w:val="003C2314"/>
    <w:rsid w:val="003C248F"/>
    <w:rsid w:val="003C24AC"/>
    <w:rsid w:val="003C2782"/>
    <w:rsid w:val="003C278A"/>
    <w:rsid w:val="003C27D7"/>
    <w:rsid w:val="003C28E2"/>
    <w:rsid w:val="003C28E3"/>
    <w:rsid w:val="003C28F8"/>
    <w:rsid w:val="003C2B8E"/>
    <w:rsid w:val="003C2BE5"/>
    <w:rsid w:val="003C2E26"/>
    <w:rsid w:val="003C30E8"/>
    <w:rsid w:val="003C314C"/>
    <w:rsid w:val="003C3183"/>
    <w:rsid w:val="003C3200"/>
    <w:rsid w:val="003C33DE"/>
    <w:rsid w:val="003C352B"/>
    <w:rsid w:val="003C3589"/>
    <w:rsid w:val="003C35A0"/>
    <w:rsid w:val="003C35D0"/>
    <w:rsid w:val="003C364E"/>
    <w:rsid w:val="003C3669"/>
    <w:rsid w:val="003C37DB"/>
    <w:rsid w:val="003C37F0"/>
    <w:rsid w:val="003C3968"/>
    <w:rsid w:val="003C397A"/>
    <w:rsid w:val="003C39A9"/>
    <w:rsid w:val="003C3B90"/>
    <w:rsid w:val="003C3BD4"/>
    <w:rsid w:val="003C3C58"/>
    <w:rsid w:val="003C3C5F"/>
    <w:rsid w:val="003C3D01"/>
    <w:rsid w:val="003C3D16"/>
    <w:rsid w:val="003C3E4A"/>
    <w:rsid w:val="003C3F36"/>
    <w:rsid w:val="003C3FDF"/>
    <w:rsid w:val="003C4055"/>
    <w:rsid w:val="003C40EA"/>
    <w:rsid w:val="003C41CA"/>
    <w:rsid w:val="003C42EF"/>
    <w:rsid w:val="003C434B"/>
    <w:rsid w:val="003C437A"/>
    <w:rsid w:val="003C4384"/>
    <w:rsid w:val="003C44AE"/>
    <w:rsid w:val="003C45BF"/>
    <w:rsid w:val="003C4730"/>
    <w:rsid w:val="003C4A08"/>
    <w:rsid w:val="003C4C6E"/>
    <w:rsid w:val="003C4C9D"/>
    <w:rsid w:val="003C4CBD"/>
    <w:rsid w:val="003C4F69"/>
    <w:rsid w:val="003C4FFF"/>
    <w:rsid w:val="003C5054"/>
    <w:rsid w:val="003C509A"/>
    <w:rsid w:val="003C5109"/>
    <w:rsid w:val="003C51A0"/>
    <w:rsid w:val="003C51AA"/>
    <w:rsid w:val="003C51DE"/>
    <w:rsid w:val="003C5285"/>
    <w:rsid w:val="003C543A"/>
    <w:rsid w:val="003C5666"/>
    <w:rsid w:val="003C5670"/>
    <w:rsid w:val="003C5888"/>
    <w:rsid w:val="003C588B"/>
    <w:rsid w:val="003C58D1"/>
    <w:rsid w:val="003C5927"/>
    <w:rsid w:val="003C59BD"/>
    <w:rsid w:val="003C5CFD"/>
    <w:rsid w:val="003C5DE9"/>
    <w:rsid w:val="003C5E1D"/>
    <w:rsid w:val="003C5E3C"/>
    <w:rsid w:val="003C5EAD"/>
    <w:rsid w:val="003C614F"/>
    <w:rsid w:val="003C6336"/>
    <w:rsid w:val="003C63C4"/>
    <w:rsid w:val="003C6497"/>
    <w:rsid w:val="003C651A"/>
    <w:rsid w:val="003C668D"/>
    <w:rsid w:val="003C67EF"/>
    <w:rsid w:val="003C6896"/>
    <w:rsid w:val="003C69A4"/>
    <w:rsid w:val="003C6BB9"/>
    <w:rsid w:val="003C6C61"/>
    <w:rsid w:val="003C6CD3"/>
    <w:rsid w:val="003C6D2A"/>
    <w:rsid w:val="003C6DBD"/>
    <w:rsid w:val="003C7062"/>
    <w:rsid w:val="003C70B9"/>
    <w:rsid w:val="003C7101"/>
    <w:rsid w:val="003C710E"/>
    <w:rsid w:val="003C71F7"/>
    <w:rsid w:val="003C7237"/>
    <w:rsid w:val="003C723B"/>
    <w:rsid w:val="003C7256"/>
    <w:rsid w:val="003C7460"/>
    <w:rsid w:val="003C7463"/>
    <w:rsid w:val="003C7485"/>
    <w:rsid w:val="003C74E4"/>
    <w:rsid w:val="003C763A"/>
    <w:rsid w:val="003C785A"/>
    <w:rsid w:val="003C7905"/>
    <w:rsid w:val="003C7912"/>
    <w:rsid w:val="003C79BF"/>
    <w:rsid w:val="003C7D0B"/>
    <w:rsid w:val="003D0069"/>
    <w:rsid w:val="003D0113"/>
    <w:rsid w:val="003D0138"/>
    <w:rsid w:val="003D0147"/>
    <w:rsid w:val="003D0163"/>
    <w:rsid w:val="003D024F"/>
    <w:rsid w:val="003D02F9"/>
    <w:rsid w:val="003D0462"/>
    <w:rsid w:val="003D04BA"/>
    <w:rsid w:val="003D04CB"/>
    <w:rsid w:val="003D05B5"/>
    <w:rsid w:val="003D066E"/>
    <w:rsid w:val="003D06BB"/>
    <w:rsid w:val="003D06F2"/>
    <w:rsid w:val="003D086C"/>
    <w:rsid w:val="003D0B23"/>
    <w:rsid w:val="003D0C5B"/>
    <w:rsid w:val="003D0CB2"/>
    <w:rsid w:val="003D0D5B"/>
    <w:rsid w:val="003D0F1C"/>
    <w:rsid w:val="003D0F72"/>
    <w:rsid w:val="003D105B"/>
    <w:rsid w:val="003D10CD"/>
    <w:rsid w:val="003D13BA"/>
    <w:rsid w:val="003D13D9"/>
    <w:rsid w:val="003D174D"/>
    <w:rsid w:val="003D1812"/>
    <w:rsid w:val="003D18FA"/>
    <w:rsid w:val="003D19CD"/>
    <w:rsid w:val="003D1AAD"/>
    <w:rsid w:val="003D1B8C"/>
    <w:rsid w:val="003D1F2D"/>
    <w:rsid w:val="003D1F95"/>
    <w:rsid w:val="003D2104"/>
    <w:rsid w:val="003D217C"/>
    <w:rsid w:val="003D233C"/>
    <w:rsid w:val="003D2568"/>
    <w:rsid w:val="003D2728"/>
    <w:rsid w:val="003D282F"/>
    <w:rsid w:val="003D2940"/>
    <w:rsid w:val="003D29F6"/>
    <w:rsid w:val="003D2A3B"/>
    <w:rsid w:val="003D2ACA"/>
    <w:rsid w:val="003D2B9D"/>
    <w:rsid w:val="003D2DE7"/>
    <w:rsid w:val="003D2E2E"/>
    <w:rsid w:val="003D3051"/>
    <w:rsid w:val="003D3235"/>
    <w:rsid w:val="003D32C8"/>
    <w:rsid w:val="003D3459"/>
    <w:rsid w:val="003D347E"/>
    <w:rsid w:val="003D3680"/>
    <w:rsid w:val="003D369F"/>
    <w:rsid w:val="003D36D3"/>
    <w:rsid w:val="003D3711"/>
    <w:rsid w:val="003D382C"/>
    <w:rsid w:val="003D3859"/>
    <w:rsid w:val="003D387C"/>
    <w:rsid w:val="003D38B7"/>
    <w:rsid w:val="003D3AF9"/>
    <w:rsid w:val="003D3EA9"/>
    <w:rsid w:val="003D3F43"/>
    <w:rsid w:val="003D3FA7"/>
    <w:rsid w:val="003D4148"/>
    <w:rsid w:val="003D41F7"/>
    <w:rsid w:val="003D4214"/>
    <w:rsid w:val="003D437D"/>
    <w:rsid w:val="003D47D5"/>
    <w:rsid w:val="003D4838"/>
    <w:rsid w:val="003D4843"/>
    <w:rsid w:val="003D4931"/>
    <w:rsid w:val="003D4977"/>
    <w:rsid w:val="003D4B55"/>
    <w:rsid w:val="003D4EC8"/>
    <w:rsid w:val="003D5046"/>
    <w:rsid w:val="003D518A"/>
    <w:rsid w:val="003D5208"/>
    <w:rsid w:val="003D5310"/>
    <w:rsid w:val="003D53EC"/>
    <w:rsid w:val="003D5499"/>
    <w:rsid w:val="003D5549"/>
    <w:rsid w:val="003D5650"/>
    <w:rsid w:val="003D5717"/>
    <w:rsid w:val="003D5739"/>
    <w:rsid w:val="003D578F"/>
    <w:rsid w:val="003D57C6"/>
    <w:rsid w:val="003D583C"/>
    <w:rsid w:val="003D58BE"/>
    <w:rsid w:val="003D5998"/>
    <w:rsid w:val="003D5A97"/>
    <w:rsid w:val="003D5DAB"/>
    <w:rsid w:val="003D6220"/>
    <w:rsid w:val="003D6265"/>
    <w:rsid w:val="003D6324"/>
    <w:rsid w:val="003D6428"/>
    <w:rsid w:val="003D648A"/>
    <w:rsid w:val="003D6591"/>
    <w:rsid w:val="003D65C9"/>
    <w:rsid w:val="003D664D"/>
    <w:rsid w:val="003D682B"/>
    <w:rsid w:val="003D6BDE"/>
    <w:rsid w:val="003D6E0D"/>
    <w:rsid w:val="003D6F28"/>
    <w:rsid w:val="003D6FD9"/>
    <w:rsid w:val="003D7174"/>
    <w:rsid w:val="003D7203"/>
    <w:rsid w:val="003D727A"/>
    <w:rsid w:val="003D72BA"/>
    <w:rsid w:val="003D74FB"/>
    <w:rsid w:val="003D7707"/>
    <w:rsid w:val="003D79C2"/>
    <w:rsid w:val="003D79F0"/>
    <w:rsid w:val="003D7AC2"/>
    <w:rsid w:val="003D7D71"/>
    <w:rsid w:val="003D7DF0"/>
    <w:rsid w:val="003D7F1C"/>
    <w:rsid w:val="003E0134"/>
    <w:rsid w:val="003E026B"/>
    <w:rsid w:val="003E0382"/>
    <w:rsid w:val="003E0494"/>
    <w:rsid w:val="003E04A4"/>
    <w:rsid w:val="003E0505"/>
    <w:rsid w:val="003E059A"/>
    <w:rsid w:val="003E06C0"/>
    <w:rsid w:val="003E0805"/>
    <w:rsid w:val="003E0827"/>
    <w:rsid w:val="003E089C"/>
    <w:rsid w:val="003E0950"/>
    <w:rsid w:val="003E0B47"/>
    <w:rsid w:val="003E0E02"/>
    <w:rsid w:val="003E106D"/>
    <w:rsid w:val="003E1135"/>
    <w:rsid w:val="003E128A"/>
    <w:rsid w:val="003E12CB"/>
    <w:rsid w:val="003E12F4"/>
    <w:rsid w:val="003E16E0"/>
    <w:rsid w:val="003E1772"/>
    <w:rsid w:val="003E17B3"/>
    <w:rsid w:val="003E17CC"/>
    <w:rsid w:val="003E190C"/>
    <w:rsid w:val="003E1A05"/>
    <w:rsid w:val="003E1A90"/>
    <w:rsid w:val="003E1AE7"/>
    <w:rsid w:val="003E1B0D"/>
    <w:rsid w:val="003E1C2E"/>
    <w:rsid w:val="003E1D07"/>
    <w:rsid w:val="003E1D13"/>
    <w:rsid w:val="003E1D54"/>
    <w:rsid w:val="003E1FE3"/>
    <w:rsid w:val="003E2059"/>
    <w:rsid w:val="003E211E"/>
    <w:rsid w:val="003E25AB"/>
    <w:rsid w:val="003E2642"/>
    <w:rsid w:val="003E2698"/>
    <w:rsid w:val="003E26FF"/>
    <w:rsid w:val="003E2723"/>
    <w:rsid w:val="003E2895"/>
    <w:rsid w:val="003E29B0"/>
    <w:rsid w:val="003E2C0D"/>
    <w:rsid w:val="003E30AE"/>
    <w:rsid w:val="003E3222"/>
    <w:rsid w:val="003E32D5"/>
    <w:rsid w:val="003E3301"/>
    <w:rsid w:val="003E33D7"/>
    <w:rsid w:val="003E33E3"/>
    <w:rsid w:val="003E3891"/>
    <w:rsid w:val="003E38D2"/>
    <w:rsid w:val="003E3971"/>
    <w:rsid w:val="003E3A0F"/>
    <w:rsid w:val="003E3ACA"/>
    <w:rsid w:val="003E3AE5"/>
    <w:rsid w:val="003E3B7A"/>
    <w:rsid w:val="003E3F28"/>
    <w:rsid w:val="003E3FBE"/>
    <w:rsid w:val="003E3FF4"/>
    <w:rsid w:val="003E4021"/>
    <w:rsid w:val="003E404C"/>
    <w:rsid w:val="003E4064"/>
    <w:rsid w:val="003E4348"/>
    <w:rsid w:val="003E43E4"/>
    <w:rsid w:val="003E4627"/>
    <w:rsid w:val="003E47B4"/>
    <w:rsid w:val="003E47C1"/>
    <w:rsid w:val="003E498D"/>
    <w:rsid w:val="003E4A37"/>
    <w:rsid w:val="003E4F21"/>
    <w:rsid w:val="003E5004"/>
    <w:rsid w:val="003E5114"/>
    <w:rsid w:val="003E51F7"/>
    <w:rsid w:val="003E5257"/>
    <w:rsid w:val="003E52CD"/>
    <w:rsid w:val="003E539D"/>
    <w:rsid w:val="003E53A9"/>
    <w:rsid w:val="003E5443"/>
    <w:rsid w:val="003E54BD"/>
    <w:rsid w:val="003E560B"/>
    <w:rsid w:val="003E567F"/>
    <w:rsid w:val="003E587A"/>
    <w:rsid w:val="003E5891"/>
    <w:rsid w:val="003E5A52"/>
    <w:rsid w:val="003E5AAC"/>
    <w:rsid w:val="003E5D60"/>
    <w:rsid w:val="003E5D8F"/>
    <w:rsid w:val="003E5F1B"/>
    <w:rsid w:val="003E5FCA"/>
    <w:rsid w:val="003E61CB"/>
    <w:rsid w:val="003E61DD"/>
    <w:rsid w:val="003E6384"/>
    <w:rsid w:val="003E63A2"/>
    <w:rsid w:val="003E63C9"/>
    <w:rsid w:val="003E6465"/>
    <w:rsid w:val="003E6488"/>
    <w:rsid w:val="003E64A2"/>
    <w:rsid w:val="003E64FF"/>
    <w:rsid w:val="003E65C2"/>
    <w:rsid w:val="003E6740"/>
    <w:rsid w:val="003E67F9"/>
    <w:rsid w:val="003E685D"/>
    <w:rsid w:val="003E68E7"/>
    <w:rsid w:val="003E6A10"/>
    <w:rsid w:val="003E6B8C"/>
    <w:rsid w:val="003E6C79"/>
    <w:rsid w:val="003E6D05"/>
    <w:rsid w:val="003E6FB8"/>
    <w:rsid w:val="003E7197"/>
    <w:rsid w:val="003E7212"/>
    <w:rsid w:val="003E752F"/>
    <w:rsid w:val="003E761F"/>
    <w:rsid w:val="003E7935"/>
    <w:rsid w:val="003E796F"/>
    <w:rsid w:val="003E7998"/>
    <w:rsid w:val="003E79E4"/>
    <w:rsid w:val="003E7C0C"/>
    <w:rsid w:val="003E7CDA"/>
    <w:rsid w:val="003E7E5C"/>
    <w:rsid w:val="003E7EB4"/>
    <w:rsid w:val="003E7FE1"/>
    <w:rsid w:val="003F01D0"/>
    <w:rsid w:val="003F02D2"/>
    <w:rsid w:val="003F0338"/>
    <w:rsid w:val="003F0364"/>
    <w:rsid w:val="003F036F"/>
    <w:rsid w:val="003F061F"/>
    <w:rsid w:val="003F0717"/>
    <w:rsid w:val="003F0736"/>
    <w:rsid w:val="003F07BD"/>
    <w:rsid w:val="003F0889"/>
    <w:rsid w:val="003F09A1"/>
    <w:rsid w:val="003F0A2A"/>
    <w:rsid w:val="003F0B71"/>
    <w:rsid w:val="003F0ECD"/>
    <w:rsid w:val="003F0ED2"/>
    <w:rsid w:val="003F0F60"/>
    <w:rsid w:val="003F0F70"/>
    <w:rsid w:val="003F0FD1"/>
    <w:rsid w:val="003F0FE0"/>
    <w:rsid w:val="003F1059"/>
    <w:rsid w:val="003F1250"/>
    <w:rsid w:val="003F127F"/>
    <w:rsid w:val="003F1282"/>
    <w:rsid w:val="003F1351"/>
    <w:rsid w:val="003F1400"/>
    <w:rsid w:val="003F1409"/>
    <w:rsid w:val="003F16BA"/>
    <w:rsid w:val="003F16C3"/>
    <w:rsid w:val="003F17A5"/>
    <w:rsid w:val="003F1829"/>
    <w:rsid w:val="003F1945"/>
    <w:rsid w:val="003F1A77"/>
    <w:rsid w:val="003F1B59"/>
    <w:rsid w:val="003F1B70"/>
    <w:rsid w:val="003F1D20"/>
    <w:rsid w:val="003F1E2E"/>
    <w:rsid w:val="003F2119"/>
    <w:rsid w:val="003F2144"/>
    <w:rsid w:val="003F2392"/>
    <w:rsid w:val="003F23D9"/>
    <w:rsid w:val="003F2428"/>
    <w:rsid w:val="003F242F"/>
    <w:rsid w:val="003F2503"/>
    <w:rsid w:val="003F25AB"/>
    <w:rsid w:val="003F25F9"/>
    <w:rsid w:val="003F2A21"/>
    <w:rsid w:val="003F2A5F"/>
    <w:rsid w:val="003F2DC6"/>
    <w:rsid w:val="003F2EAA"/>
    <w:rsid w:val="003F2F41"/>
    <w:rsid w:val="003F304D"/>
    <w:rsid w:val="003F3064"/>
    <w:rsid w:val="003F3292"/>
    <w:rsid w:val="003F32CE"/>
    <w:rsid w:val="003F330E"/>
    <w:rsid w:val="003F33B9"/>
    <w:rsid w:val="003F38BC"/>
    <w:rsid w:val="003F39E2"/>
    <w:rsid w:val="003F3B04"/>
    <w:rsid w:val="003F3B22"/>
    <w:rsid w:val="003F3B99"/>
    <w:rsid w:val="003F3BDC"/>
    <w:rsid w:val="003F3C29"/>
    <w:rsid w:val="003F3DC0"/>
    <w:rsid w:val="003F4066"/>
    <w:rsid w:val="003F410D"/>
    <w:rsid w:val="003F4390"/>
    <w:rsid w:val="003F4401"/>
    <w:rsid w:val="003F4683"/>
    <w:rsid w:val="003F47B5"/>
    <w:rsid w:val="003F47D9"/>
    <w:rsid w:val="003F47F3"/>
    <w:rsid w:val="003F4AD7"/>
    <w:rsid w:val="003F4D32"/>
    <w:rsid w:val="003F4D3F"/>
    <w:rsid w:val="003F4D8B"/>
    <w:rsid w:val="003F4DC7"/>
    <w:rsid w:val="003F4DCC"/>
    <w:rsid w:val="003F4E11"/>
    <w:rsid w:val="003F50F2"/>
    <w:rsid w:val="003F51BE"/>
    <w:rsid w:val="003F520E"/>
    <w:rsid w:val="003F53B0"/>
    <w:rsid w:val="003F548D"/>
    <w:rsid w:val="003F575F"/>
    <w:rsid w:val="003F5B95"/>
    <w:rsid w:val="003F5C19"/>
    <w:rsid w:val="003F5C2E"/>
    <w:rsid w:val="003F5CDA"/>
    <w:rsid w:val="003F5D0E"/>
    <w:rsid w:val="003F5E57"/>
    <w:rsid w:val="003F5E5A"/>
    <w:rsid w:val="003F5EBB"/>
    <w:rsid w:val="003F5EC0"/>
    <w:rsid w:val="003F6099"/>
    <w:rsid w:val="003F60CB"/>
    <w:rsid w:val="003F61AF"/>
    <w:rsid w:val="003F626A"/>
    <w:rsid w:val="003F628F"/>
    <w:rsid w:val="003F6345"/>
    <w:rsid w:val="003F6666"/>
    <w:rsid w:val="003F67F6"/>
    <w:rsid w:val="003F68B5"/>
    <w:rsid w:val="003F69AC"/>
    <w:rsid w:val="003F6C01"/>
    <w:rsid w:val="003F6C45"/>
    <w:rsid w:val="003F6DEA"/>
    <w:rsid w:val="003F6EF2"/>
    <w:rsid w:val="003F7014"/>
    <w:rsid w:val="003F72B2"/>
    <w:rsid w:val="003F743D"/>
    <w:rsid w:val="003F746F"/>
    <w:rsid w:val="003F7694"/>
    <w:rsid w:val="003F76B4"/>
    <w:rsid w:val="003F7D92"/>
    <w:rsid w:val="0040012F"/>
    <w:rsid w:val="00400162"/>
    <w:rsid w:val="0040025F"/>
    <w:rsid w:val="0040029F"/>
    <w:rsid w:val="00400349"/>
    <w:rsid w:val="004004DE"/>
    <w:rsid w:val="00400781"/>
    <w:rsid w:val="004009E0"/>
    <w:rsid w:val="00400A24"/>
    <w:rsid w:val="00400B82"/>
    <w:rsid w:val="00400D38"/>
    <w:rsid w:val="00400DF8"/>
    <w:rsid w:val="00400F55"/>
    <w:rsid w:val="00400FE9"/>
    <w:rsid w:val="00401037"/>
    <w:rsid w:val="0040103A"/>
    <w:rsid w:val="004010BD"/>
    <w:rsid w:val="00401102"/>
    <w:rsid w:val="0040111E"/>
    <w:rsid w:val="00401122"/>
    <w:rsid w:val="00401158"/>
    <w:rsid w:val="004013E0"/>
    <w:rsid w:val="00401464"/>
    <w:rsid w:val="0040154A"/>
    <w:rsid w:val="00401957"/>
    <w:rsid w:val="00401C4B"/>
    <w:rsid w:val="00401C56"/>
    <w:rsid w:val="00401CDA"/>
    <w:rsid w:val="00401D74"/>
    <w:rsid w:val="00401D95"/>
    <w:rsid w:val="0040209F"/>
    <w:rsid w:val="004020D4"/>
    <w:rsid w:val="004022E7"/>
    <w:rsid w:val="004023D3"/>
    <w:rsid w:val="00402457"/>
    <w:rsid w:val="004024EA"/>
    <w:rsid w:val="0040275D"/>
    <w:rsid w:val="004028C0"/>
    <w:rsid w:val="00402916"/>
    <w:rsid w:val="0040294D"/>
    <w:rsid w:val="00402988"/>
    <w:rsid w:val="004029FF"/>
    <w:rsid w:val="00402AEA"/>
    <w:rsid w:val="00402B0C"/>
    <w:rsid w:val="00402B88"/>
    <w:rsid w:val="00402BC8"/>
    <w:rsid w:val="00402D59"/>
    <w:rsid w:val="00402D80"/>
    <w:rsid w:val="00402FBC"/>
    <w:rsid w:val="00403010"/>
    <w:rsid w:val="00403029"/>
    <w:rsid w:val="004030C6"/>
    <w:rsid w:val="00403277"/>
    <w:rsid w:val="004032D3"/>
    <w:rsid w:val="0040343D"/>
    <w:rsid w:val="004036E6"/>
    <w:rsid w:val="00403980"/>
    <w:rsid w:val="00403B1C"/>
    <w:rsid w:val="00403BEF"/>
    <w:rsid w:val="00403C60"/>
    <w:rsid w:val="00403C82"/>
    <w:rsid w:val="00403CAA"/>
    <w:rsid w:val="00403CC5"/>
    <w:rsid w:val="00403CDF"/>
    <w:rsid w:val="00403E29"/>
    <w:rsid w:val="00403EBB"/>
    <w:rsid w:val="00403EBE"/>
    <w:rsid w:val="00404114"/>
    <w:rsid w:val="0040411A"/>
    <w:rsid w:val="00404159"/>
    <w:rsid w:val="0040431A"/>
    <w:rsid w:val="00404356"/>
    <w:rsid w:val="0040453B"/>
    <w:rsid w:val="004046C3"/>
    <w:rsid w:val="00404723"/>
    <w:rsid w:val="004048E4"/>
    <w:rsid w:val="00404B52"/>
    <w:rsid w:val="00404B57"/>
    <w:rsid w:val="00404CD8"/>
    <w:rsid w:val="00404D68"/>
    <w:rsid w:val="00404D77"/>
    <w:rsid w:val="00404DEB"/>
    <w:rsid w:val="00404F5D"/>
    <w:rsid w:val="0040506B"/>
    <w:rsid w:val="0040518B"/>
    <w:rsid w:val="00405636"/>
    <w:rsid w:val="0040585D"/>
    <w:rsid w:val="0040593E"/>
    <w:rsid w:val="004059C4"/>
    <w:rsid w:val="00405A3C"/>
    <w:rsid w:val="00405A63"/>
    <w:rsid w:val="00405ADE"/>
    <w:rsid w:val="00405B50"/>
    <w:rsid w:val="00405C8B"/>
    <w:rsid w:val="00405CFC"/>
    <w:rsid w:val="00405D51"/>
    <w:rsid w:val="00405DEB"/>
    <w:rsid w:val="00405E25"/>
    <w:rsid w:val="00405EF2"/>
    <w:rsid w:val="00406082"/>
    <w:rsid w:val="00406087"/>
    <w:rsid w:val="004060D5"/>
    <w:rsid w:val="004061B1"/>
    <w:rsid w:val="004061D6"/>
    <w:rsid w:val="004062AF"/>
    <w:rsid w:val="00406486"/>
    <w:rsid w:val="00406642"/>
    <w:rsid w:val="004067A7"/>
    <w:rsid w:val="00406923"/>
    <w:rsid w:val="00406986"/>
    <w:rsid w:val="004069D5"/>
    <w:rsid w:val="00406A92"/>
    <w:rsid w:val="00406AB7"/>
    <w:rsid w:val="00406B63"/>
    <w:rsid w:val="00406C31"/>
    <w:rsid w:val="00406D2C"/>
    <w:rsid w:val="00406F78"/>
    <w:rsid w:val="00406F9A"/>
    <w:rsid w:val="004071B3"/>
    <w:rsid w:val="00407390"/>
    <w:rsid w:val="004073CB"/>
    <w:rsid w:val="0040750D"/>
    <w:rsid w:val="00407713"/>
    <w:rsid w:val="004077A1"/>
    <w:rsid w:val="00407ADC"/>
    <w:rsid w:val="00407B4E"/>
    <w:rsid w:val="00407B6F"/>
    <w:rsid w:val="00407BBB"/>
    <w:rsid w:val="00407C33"/>
    <w:rsid w:val="00407C49"/>
    <w:rsid w:val="00407C4E"/>
    <w:rsid w:val="00407DC2"/>
    <w:rsid w:val="00407E82"/>
    <w:rsid w:val="00407E84"/>
    <w:rsid w:val="00407F28"/>
    <w:rsid w:val="00407F68"/>
    <w:rsid w:val="0041010B"/>
    <w:rsid w:val="00410215"/>
    <w:rsid w:val="00410266"/>
    <w:rsid w:val="00410393"/>
    <w:rsid w:val="004104BF"/>
    <w:rsid w:val="00410510"/>
    <w:rsid w:val="00410819"/>
    <w:rsid w:val="00410927"/>
    <w:rsid w:val="00410B1D"/>
    <w:rsid w:val="00410C59"/>
    <w:rsid w:val="00410C5D"/>
    <w:rsid w:val="00410D4B"/>
    <w:rsid w:val="00410FC2"/>
    <w:rsid w:val="004110F6"/>
    <w:rsid w:val="00411411"/>
    <w:rsid w:val="004114E9"/>
    <w:rsid w:val="00411657"/>
    <w:rsid w:val="004117C8"/>
    <w:rsid w:val="004118A6"/>
    <w:rsid w:val="00411980"/>
    <w:rsid w:val="004119B5"/>
    <w:rsid w:val="00411AA5"/>
    <w:rsid w:val="00411AF0"/>
    <w:rsid w:val="00411EC9"/>
    <w:rsid w:val="0041207C"/>
    <w:rsid w:val="004120AB"/>
    <w:rsid w:val="0041226B"/>
    <w:rsid w:val="004122B2"/>
    <w:rsid w:val="004123D1"/>
    <w:rsid w:val="0041265E"/>
    <w:rsid w:val="00412712"/>
    <w:rsid w:val="004127F2"/>
    <w:rsid w:val="004128AA"/>
    <w:rsid w:val="00412942"/>
    <w:rsid w:val="004129B6"/>
    <w:rsid w:val="004129DE"/>
    <w:rsid w:val="00412B50"/>
    <w:rsid w:val="00412B88"/>
    <w:rsid w:val="00412BB8"/>
    <w:rsid w:val="00412ED6"/>
    <w:rsid w:val="00412F67"/>
    <w:rsid w:val="00413626"/>
    <w:rsid w:val="004137B9"/>
    <w:rsid w:val="004139C9"/>
    <w:rsid w:val="00413A00"/>
    <w:rsid w:val="00413A22"/>
    <w:rsid w:val="00413B15"/>
    <w:rsid w:val="00413B92"/>
    <w:rsid w:val="00413CA2"/>
    <w:rsid w:val="00413CCF"/>
    <w:rsid w:val="00413D93"/>
    <w:rsid w:val="00414458"/>
    <w:rsid w:val="004145E2"/>
    <w:rsid w:val="00414631"/>
    <w:rsid w:val="00414693"/>
    <w:rsid w:val="004146AE"/>
    <w:rsid w:val="004147D7"/>
    <w:rsid w:val="0041498C"/>
    <w:rsid w:val="00414CA1"/>
    <w:rsid w:val="00414D8E"/>
    <w:rsid w:val="00414D94"/>
    <w:rsid w:val="00414E00"/>
    <w:rsid w:val="00414E4D"/>
    <w:rsid w:val="00414E85"/>
    <w:rsid w:val="00414EF5"/>
    <w:rsid w:val="00415082"/>
    <w:rsid w:val="00415381"/>
    <w:rsid w:val="004153B1"/>
    <w:rsid w:val="00415415"/>
    <w:rsid w:val="00415434"/>
    <w:rsid w:val="00415452"/>
    <w:rsid w:val="00415662"/>
    <w:rsid w:val="00415741"/>
    <w:rsid w:val="0041593B"/>
    <w:rsid w:val="004159A2"/>
    <w:rsid w:val="00415B1A"/>
    <w:rsid w:val="00415B7F"/>
    <w:rsid w:val="00415BBC"/>
    <w:rsid w:val="00415E9F"/>
    <w:rsid w:val="00415EAC"/>
    <w:rsid w:val="00415EB0"/>
    <w:rsid w:val="00415F25"/>
    <w:rsid w:val="00415F74"/>
    <w:rsid w:val="00416169"/>
    <w:rsid w:val="00416179"/>
    <w:rsid w:val="00416582"/>
    <w:rsid w:val="0041673E"/>
    <w:rsid w:val="00416784"/>
    <w:rsid w:val="00416B4B"/>
    <w:rsid w:val="00416B5D"/>
    <w:rsid w:val="00416BD6"/>
    <w:rsid w:val="00416C29"/>
    <w:rsid w:val="00416C4F"/>
    <w:rsid w:val="00416C77"/>
    <w:rsid w:val="00416D47"/>
    <w:rsid w:val="00416D6F"/>
    <w:rsid w:val="00416DBE"/>
    <w:rsid w:val="00416E11"/>
    <w:rsid w:val="00416F26"/>
    <w:rsid w:val="004170C4"/>
    <w:rsid w:val="00417158"/>
    <w:rsid w:val="0041715F"/>
    <w:rsid w:val="00417176"/>
    <w:rsid w:val="004171F3"/>
    <w:rsid w:val="00417224"/>
    <w:rsid w:val="00417361"/>
    <w:rsid w:val="00417532"/>
    <w:rsid w:val="0041760D"/>
    <w:rsid w:val="00417613"/>
    <w:rsid w:val="00417731"/>
    <w:rsid w:val="00417B0D"/>
    <w:rsid w:val="00417C62"/>
    <w:rsid w:val="00417CAF"/>
    <w:rsid w:val="00417CD7"/>
    <w:rsid w:val="00417D8D"/>
    <w:rsid w:val="00417DC4"/>
    <w:rsid w:val="00417DD7"/>
    <w:rsid w:val="0041E3A8"/>
    <w:rsid w:val="0042005E"/>
    <w:rsid w:val="0042020F"/>
    <w:rsid w:val="0042028C"/>
    <w:rsid w:val="0042054E"/>
    <w:rsid w:val="00420679"/>
    <w:rsid w:val="004207D1"/>
    <w:rsid w:val="004208A2"/>
    <w:rsid w:val="0042092A"/>
    <w:rsid w:val="00420AB4"/>
    <w:rsid w:val="00420DB9"/>
    <w:rsid w:val="00420EDF"/>
    <w:rsid w:val="00420EE4"/>
    <w:rsid w:val="00420FA8"/>
    <w:rsid w:val="004212C0"/>
    <w:rsid w:val="004212F2"/>
    <w:rsid w:val="0042146B"/>
    <w:rsid w:val="0042148E"/>
    <w:rsid w:val="00421549"/>
    <w:rsid w:val="00421556"/>
    <w:rsid w:val="0042156F"/>
    <w:rsid w:val="00421580"/>
    <w:rsid w:val="004215B5"/>
    <w:rsid w:val="0042161F"/>
    <w:rsid w:val="004216D3"/>
    <w:rsid w:val="00421827"/>
    <w:rsid w:val="004218FA"/>
    <w:rsid w:val="00421A36"/>
    <w:rsid w:val="00421B36"/>
    <w:rsid w:val="00421BCF"/>
    <w:rsid w:val="00421CE0"/>
    <w:rsid w:val="00421DE0"/>
    <w:rsid w:val="00421E08"/>
    <w:rsid w:val="00421F44"/>
    <w:rsid w:val="004220A4"/>
    <w:rsid w:val="00422285"/>
    <w:rsid w:val="004222F3"/>
    <w:rsid w:val="0042243C"/>
    <w:rsid w:val="004224CB"/>
    <w:rsid w:val="004224D3"/>
    <w:rsid w:val="00422525"/>
    <w:rsid w:val="004225FE"/>
    <w:rsid w:val="004226AB"/>
    <w:rsid w:val="00422750"/>
    <w:rsid w:val="004227EE"/>
    <w:rsid w:val="00422862"/>
    <w:rsid w:val="0042297F"/>
    <w:rsid w:val="004229AC"/>
    <w:rsid w:val="00422A39"/>
    <w:rsid w:val="00422B35"/>
    <w:rsid w:val="00422BF9"/>
    <w:rsid w:val="004230BC"/>
    <w:rsid w:val="0042312E"/>
    <w:rsid w:val="004231A5"/>
    <w:rsid w:val="00423376"/>
    <w:rsid w:val="004233E1"/>
    <w:rsid w:val="004233EB"/>
    <w:rsid w:val="00423457"/>
    <w:rsid w:val="004234B2"/>
    <w:rsid w:val="00423608"/>
    <w:rsid w:val="004236CE"/>
    <w:rsid w:val="00423937"/>
    <w:rsid w:val="00423983"/>
    <w:rsid w:val="00423AC9"/>
    <w:rsid w:val="00423B3F"/>
    <w:rsid w:val="00423B57"/>
    <w:rsid w:val="00423D7D"/>
    <w:rsid w:val="00423EB6"/>
    <w:rsid w:val="0042406C"/>
    <w:rsid w:val="00424092"/>
    <w:rsid w:val="0042429D"/>
    <w:rsid w:val="004243DF"/>
    <w:rsid w:val="00424656"/>
    <w:rsid w:val="004246AB"/>
    <w:rsid w:val="004246AF"/>
    <w:rsid w:val="0042473B"/>
    <w:rsid w:val="0042474A"/>
    <w:rsid w:val="004249D0"/>
    <w:rsid w:val="00424B47"/>
    <w:rsid w:val="00424B55"/>
    <w:rsid w:val="00424B73"/>
    <w:rsid w:val="00424B9E"/>
    <w:rsid w:val="00424C9D"/>
    <w:rsid w:val="00424CCE"/>
    <w:rsid w:val="00424E19"/>
    <w:rsid w:val="0042501E"/>
    <w:rsid w:val="0042515C"/>
    <w:rsid w:val="00425358"/>
    <w:rsid w:val="0042536B"/>
    <w:rsid w:val="00425403"/>
    <w:rsid w:val="00425581"/>
    <w:rsid w:val="00425847"/>
    <w:rsid w:val="00425A01"/>
    <w:rsid w:val="00425A15"/>
    <w:rsid w:val="00425B97"/>
    <w:rsid w:val="00425BDE"/>
    <w:rsid w:val="00425FB6"/>
    <w:rsid w:val="004260D8"/>
    <w:rsid w:val="004260EA"/>
    <w:rsid w:val="0042614C"/>
    <w:rsid w:val="00426434"/>
    <w:rsid w:val="0042656B"/>
    <w:rsid w:val="00426578"/>
    <w:rsid w:val="00426707"/>
    <w:rsid w:val="004269AE"/>
    <w:rsid w:val="00426BFC"/>
    <w:rsid w:val="00426D71"/>
    <w:rsid w:val="0042714D"/>
    <w:rsid w:val="00427151"/>
    <w:rsid w:val="004271AD"/>
    <w:rsid w:val="004272E7"/>
    <w:rsid w:val="00427383"/>
    <w:rsid w:val="00427604"/>
    <w:rsid w:val="004276DA"/>
    <w:rsid w:val="00427AB6"/>
    <w:rsid w:val="00427BF6"/>
    <w:rsid w:val="00427D09"/>
    <w:rsid w:val="00427D59"/>
    <w:rsid w:val="00427E16"/>
    <w:rsid w:val="00427EF4"/>
    <w:rsid w:val="00427F6E"/>
    <w:rsid w:val="00427F83"/>
    <w:rsid w:val="00427FF9"/>
    <w:rsid w:val="00430045"/>
    <w:rsid w:val="004300CD"/>
    <w:rsid w:val="00430122"/>
    <w:rsid w:val="00430152"/>
    <w:rsid w:val="00430363"/>
    <w:rsid w:val="00430432"/>
    <w:rsid w:val="00430446"/>
    <w:rsid w:val="004304D6"/>
    <w:rsid w:val="0043076F"/>
    <w:rsid w:val="004307DF"/>
    <w:rsid w:val="004308BD"/>
    <w:rsid w:val="00430BBD"/>
    <w:rsid w:val="00430C26"/>
    <w:rsid w:val="00430C71"/>
    <w:rsid w:val="00430CD7"/>
    <w:rsid w:val="00430D08"/>
    <w:rsid w:val="00430D5B"/>
    <w:rsid w:val="00430F89"/>
    <w:rsid w:val="00431009"/>
    <w:rsid w:val="00431168"/>
    <w:rsid w:val="00431177"/>
    <w:rsid w:val="0043125E"/>
    <w:rsid w:val="00431274"/>
    <w:rsid w:val="004313F4"/>
    <w:rsid w:val="0043146F"/>
    <w:rsid w:val="00431547"/>
    <w:rsid w:val="0043157C"/>
    <w:rsid w:val="00431616"/>
    <w:rsid w:val="004316E2"/>
    <w:rsid w:val="004317A9"/>
    <w:rsid w:val="004319E3"/>
    <w:rsid w:val="00431A9D"/>
    <w:rsid w:val="00431C33"/>
    <w:rsid w:val="00431C5B"/>
    <w:rsid w:val="00431D8F"/>
    <w:rsid w:val="00431EFA"/>
    <w:rsid w:val="00431F7E"/>
    <w:rsid w:val="00432077"/>
    <w:rsid w:val="00432082"/>
    <w:rsid w:val="00432343"/>
    <w:rsid w:val="0043250B"/>
    <w:rsid w:val="00432547"/>
    <w:rsid w:val="00432593"/>
    <w:rsid w:val="004326B3"/>
    <w:rsid w:val="00432727"/>
    <w:rsid w:val="00432760"/>
    <w:rsid w:val="004327EC"/>
    <w:rsid w:val="0043290E"/>
    <w:rsid w:val="00432A17"/>
    <w:rsid w:val="00432B73"/>
    <w:rsid w:val="00432B88"/>
    <w:rsid w:val="00432C2F"/>
    <w:rsid w:val="00433092"/>
    <w:rsid w:val="004330B1"/>
    <w:rsid w:val="004331CA"/>
    <w:rsid w:val="00433245"/>
    <w:rsid w:val="00433248"/>
    <w:rsid w:val="00433369"/>
    <w:rsid w:val="004333EF"/>
    <w:rsid w:val="00433409"/>
    <w:rsid w:val="00433544"/>
    <w:rsid w:val="004335FF"/>
    <w:rsid w:val="004338F2"/>
    <w:rsid w:val="004339E4"/>
    <w:rsid w:val="00433A44"/>
    <w:rsid w:val="00433B1A"/>
    <w:rsid w:val="00433BA4"/>
    <w:rsid w:val="00433C63"/>
    <w:rsid w:val="00433E13"/>
    <w:rsid w:val="00433EFE"/>
    <w:rsid w:val="00433F86"/>
    <w:rsid w:val="00433FBF"/>
    <w:rsid w:val="00433FCD"/>
    <w:rsid w:val="00434072"/>
    <w:rsid w:val="00434078"/>
    <w:rsid w:val="004340A5"/>
    <w:rsid w:val="00434155"/>
    <w:rsid w:val="0043418D"/>
    <w:rsid w:val="00434231"/>
    <w:rsid w:val="00434282"/>
    <w:rsid w:val="00434305"/>
    <w:rsid w:val="004343AE"/>
    <w:rsid w:val="004343CA"/>
    <w:rsid w:val="004343E5"/>
    <w:rsid w:val="00434407"/>
    <w:rsid w:val="0043455E"/>
    <w:rsid w:val="0043460A"/>
    <w:rsid w:val="0043463D"/>
    <w:rsid w:val="004347EA"/>
    <w:rsid w:val="0043480B"/>
    <w:rsid w:val="004348CE"/>
    <w:rsid w:val="00434921"/>
    <w:rsid w:val="004349BE"/>
    <w:rsid w:val="004349F9"/>
    <w:rsid w:val="00434AC8"/>
    <w:rsid w:val="00434B33"/>
    <w:rsid w:val="00434BD8"/>
    <w:rsid w:val="00434E17"/>
    <w:rsid w:val="00434F10"/>
    <w:rsid w:val="00434F6F"/>
    <w:rsid w:val="00434F79"/>
    <w:rsid w:val="004351A6"/>
    <w:rsid w:val="00435529"/>
    <w:rsid w:val="004356EB"/>
    <w:rsid w:val="00435AA8"/>
    <w:rsid w:val="00435C7C"/>
    <w:rsid w:val="00435F72"/>
    <w:rsid w:val="00435FEE"/>
    <w:rsid w:val="0043605E"/>
    <w:rsid w:val="0043608E"/>
    <w:rsid w:val="004360E0"/>
    <w:rsid w:val="004363B8"/>
    <w:rsid w:val="004363F3"/>
    <w:rsid w:val="00436427"/>
    <w:rsid w:val="0043657E"/>
    <w:rsid w:val="00436601"/>
    <w:rsid w:val="004366F4"/>
    <w:rsid w:val="00436750"/>
    <w:rsid w:val="004367D6"/>
    <w:rsid w:val="004367E9"/>
    <w:rsid w:val="0043680A"/>
    <w:rsid w:val="0043685D"/>
    <w:rsid w:val="004368BA"/>
    <w:rsid w:val="004369AA"/>
    <w:rsid w:val="004369DE"/>
    <w:rsid w:val="00436A6E"/>
    <w:rsid w:val="00436C3C"/>
    <w:rsid w:val="00436D4F"/>
    <w:rsid w:val="00436E1A"/>
    <w:rsid w:val="00436E65"/>
    <w:rsid w:val="00436EB4"/>
    <w:rsid w:val="00436EC9"/>
    <w:rsid w:val="00437199"/>
    <w:rsid w:val="004371C9"/>
    <w:rsid w:val="0043737E"/>
    <w:rsid w:val="004373A3"/>
    <w:rsid w:val="004373A4"/>
    <w:rsid w:val="004373D3"/>
    <w:rsid w:val="00437438"/>
    <w:rsid w:val="004374B4"/>
    <w:rsid w:val="0043756C"/>
    <w:rsid w:val="0043772D"/>
    <w:rsid w:val="00437797"/>
    <w:rsid w:val="004377DF"/>
    <w:rsid w:val="004377ED"/>
    <w:rsid w:val="00437A23"/>
    <w:rsid w:val="00437A92"/>
    <w:rsid w:val="00437AFD"/>
    <w:rsid w:val="00437CB8"/>
    <w:rsid w:val="00437DC0"/>
    <w:rsid w:val="004400CD"/>
    <w:rsid w:val="00440139"/>
    <w:rsid w:val="0044016F"/>
    <w:rsid w:val="00440276"/>
    <w:rsid w:val="00440297"/>
    <w:rsid w:val="00440318"/>
    <w:rsid w:val="0044048A"/>
    <w:rsid w:val="0044054A"/>
    <w:rsid w:val="00440595"/>
    <w:rsid w:val="004405A5"/>
    <w:rsid w:val="00440751"/>
    <w:rsid w:val="00440801"/>
    <w:rsid w:val="0044086A"/>
    <w:rsid w:val="00440909"/>
    <w:rsid w:val="00440A71"/>
    <w:rsid w:val="00440A9C"/>
    <w:rsid w:val="00440AC5"/>
    <w:rsid w:val="00440BE4"/>
    <w:rsid w:val="00440FF0"/>
    <w:rsid w:val="00440FF7"/>
    <w:rsid w:val="00441063"/>
    <w:rsid w:val="004410DC"/>
    <w:rsid w:val="004413DB"/>
    <w:rsid w:val="00441418"/>
    <w:rsid w:val="004414DD"/>
    <w:rsid w:val="00441547"/>
    <w:rsid w:val="004415A6"/>
    <w:rsid w:val="004415FF"/>
    <w:rsid w:val="00441624"/>
    <w:rsid w:val="00441B71"/>
    <w:rsid w:val="00441BE0"/>
    <w:rsid w:val="00441BF1"/>
    <w:rsid w:val="00441BF6"/>
    <w:rsid w:val="00441C1A"/>
    <w:rsid w:val="00441C7D"/>
    <w:rsid w:val="00441E09"/>
    <w:rsid w:val="00441FED"/>
    <w:rsid w:val="0044227D"/>
    <w:rsid w:val="004424D6"/>
    <w:rsid w:val="004425BB"/>
    <w:rsid w:val="00442898"/>
    <w:rsid w:val="004428E0"/>
    <w:rsid w:val="00442981"/>
    <w:rsid w:val="00442A9D"/>
    <w:rsid w:val="00442C16"/>
    <w:rsid w:val="00442C26"/>
    <w:rsid w:val="00442C41"/>
    <w:rsid w:val="00442C9F"/>
    <w:rsid w:val="00442D75"/>
    <w:rsid w:val="00442D80"/>
    <w:rsid w:val="00442E8A"/>
    <w:rsid w:val="00443075"/>
    <w:rsid w:val="00443219"/>
    <w:rsid w:val="00443490"/>
    <w:rsid w:val="004434D7"/>
    <w:rsid w:val="004435BE"/>
    <w:rsid w:val="00443660"/>
    <w:rsid w:val="004436B2"/>
    <w:rsid w:val="004437C4"/>
    <w:rsid w:val="0044380E"/>
    <w:rsid w:val="00443836"/>
    <w:rsid w:val="00443B74"/>
    <w:rsid w:val="00443B84"/>
    <w:rsid w:val="00443C73"/>
    <w:rsid w:val="00443CAA"/>
    <w:rsid w:val="00443D02"/>
    <w:rsid w:val="00443D1A"/>
    <w:rsid w:val="00443DB9"/>
    <w:rsid w:val="00443DFD"/>
    <w:rsid w:val="00443E22"/>
    <w:rsid w:val="00443F23"/>
    <w:rsid w:val="004440CB"/>
    <w:rsid w:val="00444129"/>
    <w:rsid w:val="00444226"/>
    <w:rsid w:val="004442FE"/>
    <w:rsid w:val="00444319"/>
    <w:rsid w:val="00444544"/>
    <w:rsid w:val="00444555"/>
    <w:rsid w:val="00444596"/>
    <w:rsid w:val="004445B8"/>
    <w:rsid w:val="0044469A"/>
    <w:rsid w:val="00444712"/>
    <w:rsid w:val="00444781"/>
    <w:rsid w:val="004447F2"/>
    <w:rsid w:val="00444844"/>
    <w:rsid w:val="004449A1"/>
    <w:rsid w:val="00444AA7"/>
    <w:rsid w:val="00444D28"/>
    <w:rsid w:val="00444EE3"/>
    <w:rsid w:val="00444F53"/>
    <w:rsid w:val="00444F87"/>
    <w:rsid w:val="00445081"/>
    <w:rsid w:val="004450C9"/>
    <w:rsid w:val="00445240"/>
    <w:rsid w:val="004452DC"/>
    <w:rsid w:val="00445307"/>
    <w:rsid w:val="00445322"/>
    <w:rsid w:val="004453CD"/>
    <w:rsid w:val="00445843"/>
    <w:rsid w:val="00445945"/>
    <w:rsid w:val="004459FC"/>
    <w:rsid w:val="00445A27"/>
    <w:rsid w:val="00445ADB"/>
    <w:rsid w:val="00445C47"/>
    <w:rsid w:val="00445D22"/>
    <w:rsid w:val="00446150"/>
    <w:rsid w:val="00446301"/>
    <w:rsid w:val="004464FC"/>
    <w:rsid w:val="00446547"/>
    <w:rsid w:val="0044671D"/>
    <w:rsid w:val="00446827"/>
    <w:rsid w:val="004468B5"/>
    <w:rsid w:val="00446914"/>
    <w:rsid w:val="00446A92"/>
    <w:rsid w:val="00446B21"/>
    <w:rsid w:val="00446B81"/>
    <w:rsid w:val="00446C08"/>
    <w:rsid w:val="00446C36"/>
    <w:rsid w:val="00446CFA"/>
    <w:rsid w:val="00446E18"/>
    <w:rsid w:val="00446FC9"/>
    <w:rsid w:val="004472D0"/>
    <w:rsid w:val="0044735C"/>
    <w:rsid w:val="0044743C"/>
    <w:rsid w:val="0044760D"/>
    <w:rsid w:val="004476D7"/>
    <w:rsid w:val="00447756"/>
    <w:rsid w:val="004477A1"/>
    <w:rsid w:val="00447997"/>
    <w:rsid w:val="004479AE"/>
    <w:rsid w:val="004479B2"/>
    <w:rsid w:val="00447A8F"/>
    <w:rsid w:val="00447DBD"/>
    <w:rsid w:val="00447DEB"/>
    <w:rsid w:val="00447DF5"/>
    <w:rsid w:val="00447E22"/>
    <w:rsid w:val="00447EF9"/>
    <w:rsid w:val="004500C3"/>
    <w:rsid w:val="004502B4"/>
    <w:rsid w:val="004502E7"/>
    <w:rsid w:val="00450378"/>
    <w:rsid w:val="004503AE"/>
    <w:rsid w:val="004504AF"/>
    <w:rsid w:val="0045055D"/>
    <w:rsid w:val="00450584"/>
    <w:rsid w:val="004507F0"/>
    <w:rsid w:val="004509EE"/>
    <w:rsid w:val="004509F0"/>
    <w:rsid w:val="00450B8F"/>
    <w:rsid w:val="00450CA6"/>
    <w:rsid w:val="00450D66"/>
    <w:rsid w:val="00450D6E"/>
    <w:rsid w:val="00450EC8"/>
    <w:rsid w:val="00450EFC"/>
    <w:rsid w:val="00450F3E"/>
    <w:rsid w:val="00450F58"/>
    <w:rsid w:val="00450FEE"/>
    <w:rsid w:val="00450FF7"/>
    <w:rsid w:val="00451162"/>
    <w:rsid w:val="004511A6"/>
    <w:rsid w:val="0045121C"/>
    <w:rsid w:val="0045137B"/>
    <w:rsid w:val="00451536"/>
    <w:rsid w:val="0045165A"/>
    <w:rsid w:val="004516A6"/>
    <w:rsid w:val="00451793"/>
    <w:rsid w:val="00451801"/>
    <w:rsid w:val="00451806"/>
    <w:rsid w:val="00451916"/>
    <w:rsid w:val="0045199C"/>
    <w:rsid w:val="004519C1"/>
    <w:rsid w:val="00451AF4"/>
    <w:rsid w:val="00451CD6"/>
    <w:rsid w:val="004520E9"/>
    <w:rsid w:val="004520EB"/>
    <w:rsid w:val="00452245"/>
    <w:rsid w:val="004522BF"/>
    <w:rsid w:val="00452318"/>
    <w:rsid w:val="0045232B"/>
    <w:rsid w:val="00452444"/>
    <w:rsid w:val="00452529"/>
    <w:rsid w:val="00452592"/>
    <w:rsid w:val="0045259B"/>
    <w:rsid w:val="004526A6"/>
    <w:rsid w:val="004526F6"/>
    <w:rsid w:val="0045276E"/>
    <w:rsid w:val="00452823"/>
    <w:rsid w:val="0045297F"/>
    <w:rsid w:val="00452A9F"/>
    <w:rsid w:val="00452B00"/>
    <w:rsid w:val="00452B1A"/>
    <w:rsid w:val="00452B86"/>
    <w:rsid w:val="00452C02"/>
    <w:rsid w:val="00452CA9"/>
    <w:rsid w:val="00452E5A"/>
    <w:rsid w:val="00452F24"/>
    <w:rsid w:val="004530BE"/>
    <w:rsid w:val="0045313C"/>
    <w:rsid w:val="00453142"/>
    <w:rsid w:val="004532A4"/>
    <w:rsid w:val="00453403"/>
    <w:rsid w:val="004534BF"/>
    <w:rsid w:val="0045367F"/>
    <w:rsid w:val="00453769"/>
    <w:rsid w:val="00453A3B"/>
    <w:rsid w:val="00453BAD"/>
    <w:rsid w:val="00453D58"/>
    <w:rsid w:val="00453E41"/>
    <w:rsid w:val="00453EF7"/>
    <w:rsid w:val="00453F81"/>
    <w:rsid w:val="0045410E"/>
    <w:rsid w:val="00454237"/>
    <w:rsid w:val="004542D2"/>
    <w:rsid w:val="0045431E"/>
    <w:rsid w:val="00454766"/>
    <w:rsid w:val="0045499C"/>
    <w:rsid w:val="00454AB6"/>
    <w:rsid w:val="00454ABC"/>
    <w:rsid w:val="00454AFC"/>
    <w:rsid w:val="00454D6F"/>
    <w:rsid w:val="00454E02"/>
    <w:rsid w:val="00454E4E"/>
    <w:rsid w:val="00454F71"/>
    <w:rsid w:val="00454FC8"/>
    <w:rsid w:val="00455025"/>
    <w:rsid w:val="0045503D"/>
    <w:rsid w:val="00455077"/>
    <w:rsid w:val="00455082"/>
    <w:rsid w:val="0045544B"/>
    <w:rsid w:val="0045545E"/>
    <w:rsid w:val="004555EB"/>
    <w:rsid w:val="004557FE"/>
    <w:rsid w:val="004558F5"/>
    <w:rsid w:val="00455ADE"/>
    <w:rsid w:val="00455D57"/>
    <w:rsid w:val="00455D7C"/>
    <w:rsid w:val="00455E0C"/>
    <w:rsid w:val="00456161"/>
    <w:rsid w:val="004562D7"/>
    <w:rsid w:val="00456332"/>
    <w:rsid w:val="004564C5"/>
    <w:rsid w:val="0045659A"/>
    <w:rsid w:val="00456697"/>
    <w:rsid w:val="004567A5"/>
    <w:rsid w:val="00456815"/>
    <w:rsid w:val="004568EC"/>
    <w:rsid w:val="00456931"/>
    <w:rsid w:val="00456BD5"/>
    <w:rsid w:val="00456C9E"/>
    <w:rsid w:val="00456CBF"/>
    <w:rsid w:val="00456CC9"/>
    <w:rsid w:val="00456D88"/>
    <w:rsid w:val="00456D91"/>
    <w:rsid w:val="00456EB3"/>
    <w:rsid w:val="00456F09"/>
    <w:rsid w:val="00456F99"/>
    <w:rsid w:val="004571C8"/>
    <w:rsid w:val="00457216"/>
    <w:rsid w:val="004573A3"/>
    <w:rsid w:val="004574E6"/>
    <w:rsid w:val="00457561"/>
    <w:rsid w:val="004575FF"/>
    <w:rsid w:val="00457640"/>
    <w:rsid w:val="00457673"/>
    <w:rsid w:val="0045786D"/>
    <w:rsid w:val="0045790D"/>
    <w:rsid w:val="00457CC9"/>
    <w:rsid w:val="00457CD5"/>
    <w:rsid w:val="00457CF4"/>
    <w:rsid w:val="00457D0C"/>
    <w:rsid w:val="00457D17"/>
    <w:rsid w:val="00457D44"/>
    <w:rsid w:val="00457E61"/>
    <w:rsid w:val="00457ED2"/>
    <w:rsid w:val="0046006F"/>
    <w:rsid w:val="00460123"/>
    <w:rsid w:val="00460213"/>
    <w:rsid w:val="00460255"/>
    <w:rsid w:val="004606E8"/>
    <w:rsid w:val="004608D6"/>
    <w:rsid w:val="00460C0F"/>
    <w:rsid w:val="00460C2E"/>
    <w:rsid w:val="00460E8C"/>
    <w:rsid w:val="00460ED3"/>
    <w:rsid w:val="004610E9"/>
    <w:rsid w:val="00461111"/>
    <w:rsid w:val="004611CC"/>
    <w:rsid w:val="004612E2"/>
    <w:rsid w:val="004613C5"/>
    <w:rsid w:val="004614E9"/>
    <w:rsid w:val="004614FF"/>
    <w:rsid w:val="00461600"/>
    <w:rsid w:val="00461614"/>
    <w:rsid w:val="004616E9"/>
    <w:rsid w:val="00461919"/>
    <w:rsid w:val="00461926"/>
    <w:rsid w:val="004619C1"/>
    <w:rsid w:val="004619C2"/>
    <w:rsid w:val="00461A49"/>
    <w:rsid w:val="00461A9C"/>
    <w:rsid w:val="00461B70"/>
    <w:rsid w:val="00461CB8"/>
    <w:rsid w:val="00461CCA"/>
    <w:rsid w:val="00461D88"/>
    <w:rsid w:val="00461ED9"/>
    <w:rsid w:val="0046219B"/>
    <w:rsid w:val="00462256"/>
    <w:rsid w:val="00462294"/>
    <w:rsid w:val="00462329"/>
    <w:rsid w:val="0046234C"/>
    <w:rsid w:val="0046235A"/>
    <w:rsid w:val="00462384"/>
    <w:rsid w:val="004623E5"/>
    <w:rsid w:val="00462407"/>
    <w:rsid w:val="0046251C"/>
    <w:rsid w:val="00462547"/>
    <w:rsid w:val="004626AF"/>
    <w:rsid w:val="00462980"/>
    <w:rsid w:val="00462993"/>
    <w:rsid w:val="004629D2"/>
    <w:rsid w:val="00462B37"/>
    <w:rsid w:val="00462BE0"/>
    <w:rsid w:val="00462C89"/>
    <w:rsid w:val="00462DCA"/>
    <w:rsid w:val="00462DD4"/>
    <w:rsid w:val="00462E3F"/>
    <w:rsid w:val="00462F8C"/>
    <w:rsid w:val="00463116"/>
    <w:rsid w:val="00463240"/>
    <w:rsid w:val="0046335A"/>
    <w:rsid w:val="0046338F"/>
    <w:rsid w:val="004633A8"/>
    <w:rsid w:val="0046348A"/>
    <w:rsid w:val="00463557"/>
    <w:rsid w:val="004635FC"/>
    <w:rsid w:val="00463619"/>
    <w:rsid w:val="00463667"/>
    <w:rsid w:val="00463875"/>
    <w:rsid w:val="004638A1"/>
    <w:rsid w:val="004638BC"/>
    <w:rsid w:val="0046393D"/>
    <w:rsid w:val="00463AED"/>
    <w:rsid w:val="00463BD3"/>
    <w:rsid w:val="00463BFE"/>
    <w:rsid w:val="00463C01"/>
    <w:rsid w:val="00463C4B"/>
    <w:rsid w:val="00463D69"/>
    <w:rsid w:val="00463E1B"/>
    <w:rsid w:val="00463F76"/>
    <w:rsid w:val="00463FF9"/>
    <w:rsid w:val="00464105"/>
    <w:rsid w:val="00464140"/>
    <w:rsid w:val="004643F0"/>
    <w:rsid w:val="0046459B"/>
    <w:rsid w:val="0046462D"/>
    <w:rsid w:val="00464679"/>
    <w:rsid w:val="00464702"/>
    <w:rsid w:val="0046488C"/>
    <w:rsid w:val="00464A6D"/>
    <w:rsid w:val="00464A74"/>
    <w:rsid w:val="00464A9B"/>
    <w:rsid w:val="00464D88"/>
    <w:rsid w:val="00464DBE"/>
    <w:rsid w:val="00464E58"/>
    <w:rsid w:val="00464E7A"/>
    <w:rsid w:val="00464ED5"/>
    <w:rsid w:val="00464FE2"/>
    <w:rsid w:val="0046502F"/>
    <w:rsid w:val="0046521E"/>
    <w:rsid w:val="00465473"/>
    <w:rsid w:val="00465656"/>
    <w:rsid w:val="004659A1"/>
    <w:rsid w:val="004659E0"/>
    <w:rsid w:val="00465B58"/>
    <w:rsid w:val="00465BF6"/>
    <w:rsid w:val="00465C3E"/>
    <w:rsid w:val="00465CB9"/>
    <w:rsid w:val="00465D1A"/>
    <w:rsid w:val="0046608A"/>
    <w:rsid w:val="004660DB"/>
    <w:rsid w:val="00466125"/>
    <w:rsid w:val="00466192"/>
    <w:rsid w:val="00466262"/>
    <w:rsid w:val="0046634F"/>
    <w:rsid w:val="00466474"/>
    <w:rsid w:val="004666D6"/>
    <w:rsid w:val="004667A1"/>
    <w:rsid w:val="00466BE5"/>
    <w:rsid w:val="00466C17"/>
    <w:rsid w:val="00466DB6"/>
    <w:rsid w:val="00466DD0"/>
    <w:rsid w:val="00466FDC"/>
    <w:rsid w:val="0046723B"/>
    <w:rsid w:val="0046723E"/>
    <w:rsid w:val="00467499"/>
    <w:rsid w:val="00467522"/>
    <w:rsid w:val="0046756C"/>
    <w:rsid w:val="004675A3"/>
    <w:rsid w:val="004678FA"/>
    <w:rsid w:val="0046792C"/>
    <w:rsid w:val="00467AFB"/>
    <w:rsid w:val="00467B2F"/>
    <w:rsid w:val="00467B35"/>
    <w:rsid w:val="00467B4C"/>
    <w:rsid w:val="00467BE4"/>
    <w:rsid w:val="00467E46"/>
    <w:rsid w:val="0047003F"/>
    <w:rsid w:val="0047009A"/>
    <w:rsid w:val="0047023D"/>
    <w:rsid w:val="004702A5"/>
    <w:rsid w:val="004703DE"/>
    <w:rsid w:val="00470405"/>
    <w:rsid w:val="00470494"/>
    <w:rsid w:val="004704C4"/>
    <w:rsid w:val="00470540"/>
    <w:rsid w:val="004706DD"/>
    <w:rsid w:val="004708A8"/>
    <w:rsid w:val="004709B6"/>
    <w:rsid w:val="00470A02"/>
    <w:rsid w:val="00470ABC"/>
    <w:rsid w:val="00470AD8"/>
    <w:rsid w:val="00470CAB"/>
    <w:rsid w:val="00470F68"/>
    <w:rsid w:val="00470FCD"/>
    <w:rsid w:val="004710AE"/>
    <w:rsid w:val="0047122B"/>
    <w:rsid w:val="004713D3"/>
    <w:rsid w:val="0047148C"/>
    <w:rsid w:val="00471496"/>
    <w:rsid w:val="00471515"/>
    <w:rsid w:val="0047152D"/>
    <w:rsid w:val="00471626"/>
    <w:rsid w:val="004716E2"/>
    <w:rsid w:val="0047187C"/>
    <w:rsid w:val="0047191D"/>
    <w:rsid w:val="00471A30"/>
    <w:rsid w:val="00471A68"/>
    <w:rsid w:val="00471AE2"/>
    <w:rsid w:val="00471C1E"/>
    <w:rsid w:val="00471C3C"/>
    <w:rsid w:val="00471DB5"/>
    <w:rsid w:val="00471E07"/>
    <w:rsid w:val="00471E63"/>
    <w:rsid w:val="00471F66"/>
    <w:rsid w:val="00472161"/>
    <w:rsid w:val="0047217B"/>
    <w:rsid w:val="00472224"/>
    <w:rsid w:val="004723E6"/>
    <w:rsid w:val="0047244A"/>
    <w:rsid w:val="004725C4"/>
    <w:rsid w:val="004727D3"/>
    <w:rsid w:val="00472888"/>
    <w:rsid w:val="004728B9"/>
    <w:rsid w:val="00472912"/>
    <w:rsid w:val="00472921"/>
    <w:rsid w:val="004729E8"/>
    <w:rsid w:val="004729FF"/>
    <w:rsid w:val="00472D61"/>
    <w:rsid w:val="00472E0C"/>
    <w:rsid w:val="00472E89"/>
    <w:rsid w:val="00472E9E"/>
    <w:rsid w:val="0047302E"/>
    <w:rsid w:val="00473388"/>
    <w:rsid w:val="004733EE"/>
    <w:rsid w:val="004736D9"/>
    <w:rsid w:val="004736E6"/>
    <w:rsid w:val="00473773"/>
    <w:rsid w:val="0047381F"/>
    <w:rsid w:val="00473D2C"/>
    <w:rsid w:val="00473F18"/>
    <w:rsid w:val="00474026"/>
    <w:rsid w:val="004740A0"/>
    <w:rsid w:val="004740F2"/>
    <w:rsid w:val="00474178"/>
    <w:rsid w:val="00474181"/>
    <w:rsid w:val="004741A8"/>
    <w:rsid w:val="00474482"/>
    <w:rsid w:val="004744D0"/>
    <w:rsid w:val="004747BF"/>
    <w:rsid w:val="00474825"/>
    <w:rsid w:val="00474989"/>
    <w:rsid w:val="004749B6"/>
    <w:rsid w:val="00474B77"/>
    <w:rsid w:val="00474D3C"/>
    <w:rsid w:val="00474E7E"/>
    <w:rsid w:val="00474EF6"/>
    <w:rsid w:val="00474F72"/>
    <w:rsid w:val="00474F77"/>
    <w:rsid w:val="00475163"/>
    <w:rsid w:val="004751A4"/>
    <w:rsid w:val="00475223"/>
    <w:rsid w:val="0047528F"/>
    <w:rsid w:val="00475308"/>
    <w:rsid w:val="00475492"/>
    <w:rsid w:val="004754BB"/>
    <w:rsid w:val="00475709"/>
    <w:rsid w:val="0047583F"/>
    <w:rsid w:val="00475896"/>
    <w:rsid w:val="00475A60"/>
    <w:rsid w:val="00475B4C"/>
    <w:rsid w:val="00475BF0"/>
    <w:rsid w:val="00475D3B"/>
    <w:rsid w:val="00475FFD"/>
    <w:rsid w:val="0047607B"/>
    <w:rsid w:val="004760A9"/>
    <w:rsid w:val="00476138"/>
    <w:rsid w:val="00476144"/>
    <w:rsid w:val="004761AB"/>
    <w:rsid w:val="004761DE"/>
    <w:rsid w:val="00476204"/>
    <w:rsid w:val="004763AC"/>
    <w:rsid w:val="004763C3"/>
    <w:rsid w:val="0047673C"/>
    <w:rsid w:val="00476922"/>
    <w:rsid w:val="0047696F"/>
    <w:rsid w:val="00476A67"/>
    <w:rsid w:val="00476ABC"/>
    <w:rsid w:val="00476CB8"/>
    <w:rsid w:val="00476E11"/>
    <w:rsid w:val="00476F25"/>
    <w:rsid w:val="00476F47"/>
    <w:rsid w:val="0047714F"/>
    <w:rsid w:val="00477182"/>
    <w:rsid w:val="004771CB"/>
    <w:rsid w:val="0047728A"/>
    <w:rsid w:val="004772AD"/>
    <w:rsid w:val="004776C5"/>
    <w:rsid w:val="0047775B"/>
    <w:rsid w:val="00477974"/>
    <w:rsid w:val="00477C32"/>
    <w:rsid w:val="00477CFA"/>
    <w:rsid w:val="00477D98"/>
    <w:rsid w:val="00477FFB"/>
    <w:rsid w:val="0047D7C0"/>
    <w:rsid w:val="00480047"/>
    <w:rsid w:val="004800DE"/>
    <w:rsid w:val="00480225"/>
    <w:rsid w:val="004802B8"/>
    <w:rsid w:val="004802EC"/>
    <w:rsid w:val="004803F9"/>
    <w:rsid w:val="004804FD"/>
    <w:rsid w:val="00480585"/>
    <w:rsid w:val="00480601"/>
    <w:rsid w:val="00480738"/>
    <w:rsid w:val="00480783"/>
    <w:rsid w:val="004809AC"/>
    <w:rsid w:val="004809E2"/>
    <w:rsid w:val="00480A12"/>
    <w:rsid w:val="00480A47"/>
    <w:rsid w:val="00480F4A"/>
    <w:rsid w:val="004810ED"/>
    <w:rsid w:val="00481112"/>
    <w:rsid w:val="004811D2"/>
    <w:rsid w:val="00481275"/>
    <w:rsid w:val="004817E9"/>
    <w:rsid w:val="0048183F"/>
    <w:rsid w:val="00481AE2"/>
    <w:rsid w:val="00481D1B"/>
    <w:rsid w:val="00481DFA"/>
    <w:rsid w:val="00481E6D"/>
    <w:rsid w:val="00481F6F"/>
    <w:rsid w:val="004820B2"/>
    <w:rsid w:val="0048229A"/>
    <w:rsid w:val="004822D7"/>
    <w:rsid w:val="0048234E"/>
    <w:rsid w:val="0048249F"/>
    <w:rsid w:val="00482536"/>
    <w:rsid w:val="00482632"/>
    <w:rsid w:val="004826DC"/>
    <w:rsid w:val="0048272C"/>
    <w:rsid w:val="0048272F"/>
    <w:rsid w:val="0048283B"/>
    <w:rsid w:val="00482992"/>
    <w:rsid w:val="004829CC"/>
    <w:rsid w:val="004829DF"/>
    <w:rsid w:val="004829E3"/>
    <w:rsid w:val="00482AE3"/>
    <w:rsid w:val="00482B9B"/>
    <w:rsid w:val="00482C62"/>
    <w:rsid w:val="00482CBD"/>
    <w:rsid w:val="00482CCB"/>
    <w:rsid w:val="00482D10"/>
    <w:rsid w:val="00482EB0"/>
    <w:rsid w:val="00482F1D"/>
    <w:rsid w:val="00482F40"/>
    <w:rsid w:val="00482F85"/>
    <w:rsid w:val="004830ED"/>
    <w:rsid w:val="0048312A"/>
    <w:rsid w:val="004831B3"/>
    <w:rsid w:val="00483250"/>
    <w:rsid w:val="0048342A"/>
    <w:rsid w:val="004834D0"/>
    <w:rsid w:val="00483537"/>
    <w:rsid w:val="004835F5"/>
    <w:rsid w:val="0048365F"/>
    <w:rsid w:val="004836D2"/>
    <w:rsid w:val="004837AA"/>
    <w:rsid w:val="00483817"/>
    <w:rsid w:val="004838E9"/>
    <w:rsid w:val="00483BC3"/>
    <w:rsid w:val="00483FA6"/>
    <w:rsid w:val="0048404E"/>
    <w:rsid w:val="004841DF"/>
    <w:rsid w:val="0048424F"/>
    <w:rsid w:val="0048465F"/>
    <w:rsid w:val="004847E5"/>
    <w:rsid w:val="004848D7"/>
    <w:rsid w:val="00484925"/>
    <w:rsid w:val="0048494A"/>
    <w:rsid w:val="00484B92"/>
    <w:rsid w:val="00484BC3"/>
    <w:rsid w:val="00484D52"/>
    <w:rsid w:val="00484DEB"/>
    <w:rsid w:val="00484F6C"/>
    <w:rsid w:val="00484FAB"/>
    <w:rsid w:val="00485006"/>
    <w:rsid w:val="004851EB"/>
    <w:rsid w:val="00485263"/>
    <w:rsid w:val="0048548B"/>
    <w:rsid w:val="00485619"/>
    <w:rsid w:val="004856B1"/>
    <w:rsid w:val="00485976"/>
    <w:rsid w:val="00485A94"/>
    <w:rsid w:val="00485C20"/>
    <w:rsid w:val="00485CB5"/>
    <w:rsid w:val="00485E30"/>
    <w:rsid w:val="00485EEB"/>
    <w:rsid w:val="00485F4E"/>
    <w:rsid w:val="00486017"/>
    <w:rsid w:val="00486317"/>
    <w:rsid w:val="00486449"/>
    <w:rsid w:val="004864FA"/>
    <w:rsid w:val="004866AE"/>
    <w:rsid w:val="0048674A"/>
    <w:rsid w:val="00486853"/>
    <w:rsid w:val="004868B6"/>
    <w:rsid w:val="004868B7"/>
    <w:rsid w:val="00486B77"/>
    <w:rsid w:val="00486C24"/>
    <w:rsid w:val="00486E01"/>
    <w:rsid w:val="00486F5F"/>
    <w:rsid w:val="0048714A"/>
    <w:rsid w:val="0048718C"/>
    <w:rsid w:val="0048727A"/>
    <w:rsid w:val="004872EC"/>
    <w:rsid w:val="00487418"/>
    <w:rsid w:val="00487454"/>
    <w:rsid w:val="00487487"/>
    <w:rsid w:val="004874E7"/>
    <w:rsid w:val="00487655"/>
    <w:rsid w:val="004877CF"/>
    <w:rsid w:val="0048781E"/>
    <w:rsid w:val="00487AB4"/>
    <w:rsid w:val="00487E5D"/>
    <w:rsid w:val="00487E66"/>
    <w:rsid w:val="00490079"/>
    <w:rsid w:val="00490262"/>
    <w:rsid w:val="0049035C"/>
    <w:rsid w:val="0049038E"/>
    <w:rsid w:val="0049041B"/>
    <w:rsid w:val="0049045E"/>
    <w:rsid w:val="00490463"/>
    <w:rsid w:val="00490466"/>
    <w:rsid w:val="00490517"/>
    <w:rsid w:val="0049096E"/>
    <w:rsid w:val="004909CF"/>
    <w:rsid w:val="00490B7F"/>
    <w:rsid w:val="00490DE8"/>
    <w:rsid w:val="00490FE7"/>
    <w:rsid w:val="004910FB"/>
    <w:rsid w:val="0049115D"/>
    <w:rsid w:val="00491224"/>
    <w:rsid w:val="00491270"/>
    <w:rsid w:val="0049145B"/>
    <w:rsid w:val="004915E6"/>
    <w:rsid w:val="004916C6"/>
    <w:rsid w:val="004916F7"/>
    <w:rsid w:val="004918E4"/>
    <w:rsid w:val="00491944"/>
    <w:rsid w:val="004919A9"/>
    <w:rsid w:val="00491A54"/>
    <w:rsid w:val="00491AA8"/>
    <w:rsid w:val="00491CC5"/>
    <w:rsid w:val="00491CF3"/>
    <w:rsid w:val="00491DDC"/>
    <w:rsid w:val="00491E4E"/>
    <w:rsid w:val="00491E91"/>
    <w:rsid w:val="00491EE5"/>
    <w:rsid w:val="004920F1"/>
    <w:rsid w:val="00492717"/>
    <w:rsid w:val="0049280A"/>
    <w:rsid w:val="00492879"/>
    <w:rsid w:val="004928CF"/>
    <w:rsid w:val="004928D4"/>
    <w:rsid w:val="004929C6"/>
    <w:rsid w:val="00492A13"/>
    <w:rsid w:val="00492BFD"/>
    <w:rsid w:val="00492E1B"/>
    <w:rsid w:val="00492FE1"/>
    <w:rsid w:val="004930FF"/>
    <w:rsid w:val="00493140"/>
    <w:rsid w:val="00493232"/>
    <w:rsid w:val="004934C0"/>
    <w:rsid w:val="004934D3"/>
    <w:rsid w:val="004936BC"/>
    <w:rsid w:val="0049386F"/>
    <w:rsid w:val="004938AF"/>
    <w:rsid w:val="004938E9"/>
    <w:rsid w:val="00493988"/>
    <w:rsid w:val="00493A72"/>
    <w:rsid w:val="00493AAC"/>
    <w:rsid w:val="00493AF2"/>
    <w:rsid w:val="00493E26"/>
    <w:rsid w:val="00493E5C"/>
    <w:rsid w:val="00493F5D"/>
    <w:rsid w:val="00494008"/>
    <w:rsid w:val="00494033"/>
    <w:rsid w:val="00494077"/>
    <w:rsid w:val="0049412E"/>
    <w:rsid w:val="004941CD"/>
    <w:rsid w:val="00494206"/>
    <w:rsid w:val="00494452"/>
    <w:rsid w:val="00494614"/>
    <w:rsid w:val="00494759"/>
    <w:rsid w:val="004949D2"/>
    <w:rsid w:val="00494A88"/>
    <w:rsid w:val="00494ADC"/>
    <w:rsid w:val="00494B1B"/>
    <w:rsid w:val="00494BE8"/>
    <w:rsid w:val="00494C43"/>
    <w:rsid w:val="00494C89"/>
    <w:rsid w:val="00494D62"/>
    <w:rsid w:val="00494D6C"/>
    <w:rsid w:val="00494EA2"/>
    <w:rsid w:val="00494EB3"/>
    <w:rsid w:val="00494F7C"/>
    <w:rsid w:val="0049536E"/>
    <w:rsid w:val="004955C2"/>
    <w:rsid w:val="004956AF"/>
    <w:rsid w:val="00495758"/>
    <w:rsid w:val="00495841"/>
    <w:rsid w:val="004959BB"/>
    <w:rsid w:val="004959DC"/>
    <w:rsid w:val="00495B8B"/>
    <w:rsid w:val="00495F46"/>
    <w:rsid w:val="00496031"/>
    <w:rsid w:val="004960D2"/>
    <w:rsid w:val="0049610F"/>
    <w:rsid w:val="00496326"/>
    <w:rsid w:val="0049639D"/>
    <w:rsid w:val="00496474"/>
    <w:rsid w:val="004964C4"/>
    <w:rsid w:val="00496558"/>
    <w:rsid w:val="00496600"/>
    <w:rsid w:val="0049668B"/>
    <w:rsid w:val="00496754"/>
    <w:rsid w:val="0049676E"/>
    <w:rsid w:val="0049697C"/>
    <w:rsid w:val="004969AD"/>
    <w:rsid w:val="004969E5"/>
    <w:rsid w:val="00496AD7"/>
    <w:rsid w:val="00496C21"/>
    <w:rsid w:val="00496C6E"/>
    <w:rsid w:val="00496D11"/>
    <w:rsid w:val="00496D31"/>
    <w:rsid w:val="00496E4F"/>
    <w:rsid w:val="00496EE9"/>
    <w:rsid w:val="00496FBC"/>
    <w:rsid w:val="004970C3"/>
    <w:rsid w:val="00497101"/>
    <w:rsid w:val="004971E1"/>
    <w:rsid w:val="00497326"/>
    <w:rsid w:val="0049747F"/>
    <w:rsid w:val="004974D3"/>
    <w:rsid w:val="00497505"/>
    <w:rsid w:val="0049758D"/>
    <w:rsid w:val="004975B9"/>
    <w:rsid w:val="004976A9"/>
    <w:rsid w:val="004976E4"/>
    <w:rsid w:val="0049774E"/>
    <w:rsid w:val="00497808"/>
    <w:rsid w:val="0049796C"/>
    <w:rsid w:val="00497998"/>
    <w:rsid w:val="004979C5"/>
    <w:rsid w:val="00497A64"/>
    <w:rsid w:val="00497AE1"/>
    <w:rsid w:val="00497CDE"/>
    <w:rsid w:val="00497DC1"/>
    <w:rsid w:val="00497F41"/>
    <w:rsid w:val="004A04A2"/>
    <w:rsid w:val="004A04FB"/>
    <w:rsid w:val="004A0614"/>
    <w:rsid w:val="004A061C"/>
    <w:rsid w:val="004A06E0"/>
    <w:rsid w:val="004A08BE"/>
    <w:rsid w:val="004A0912"/>
    <w:rsid w:val="004A0A46"/>
    <w:rsid w:val="004A0BB4"/>
    <w:rsid w:val="004A0C4C"/>
    <w:rsid w:val="004A0D92"/>
    <w:rsid w:val="004A0DA0"/>
    <w:rsid w:val="004A0F21"/>
    <w:rsid w:val="004A0F34"/>
    <w:rsid w:val="004A104A"/>
    <w:rsid w:val="004A107A"/>
    <w:rsid w:val="004A118E"/>
    <w:rsid w:val="004A11CB"/>
    <w:rsid w:val="004A11E8"/>
    <w:rsid w:val="004A1225"/>
    <w:rsid w:val="004A133B"/>
    <w:rsid w:val="004A13F1"/>
    <w:rsid w:val="004A1542"/>
    <w:rsid w:val="004A15D5"/>
    <w:rsid w:val="004A160D"/>
    <w:rsid w:val="004A1636"/>
    <w:rsid w:val="004A1658"/>
    <w:rsid w:val="004A1699"/>
    <w:rsid w:val="004A16E0"/>
    <w:rsid w:val="004A17B0"/>
    <w:rsid w:val="004A19C3"/>
    <w:rsid w:val="004A1B8C"/>
    <w:rsid w:val="004A1C66"/>
    <w:rsid w:val="004A1DDC"/>
    <w:rsid w:val="004A1F0D"/>
    <w:rsid w:val="004A20C6"/>
    <w:rsid w:val="004A21AD"/>
    <w:rsid w:val="004A21C0"/>
    <w:rsid w:val="004A2379"/>
    <w:rsid w:val="004A24B1"/>
    <w:rsid w:val="004A27D6"/>
    <w:rsid w:val="004A27FB"/>
    <w:rsid w:val="004A285C"/>
    <w:rsid w:val="004A2A31"/>
    <w:rsid w:val="004A2C54"/>
    <w:rsid w:val="004A2CCC"/>
    <w:rsid w:val="004A2CFB"/>
    <w:rsid w:val="004A2E6E"/>
    <w:rsid w:val="004A30C1"/>
    <w:rsid w:val="004A30CD"/>
    <w:rsid w:val="004A3245"/>
    <w:rsid w:val="004A33D5"/>
    <w:rsid w:val="004A35D4"/>
    <w:rsid w:val="004A3621"/>
    <w:rsid w:val="004A3662"/>
    <w:rsid w:val="004A3760"/>
    <w:rsid w:val="004A3769"/>
    <w:rsid w:val="004A3860"/>
    <w:rsid w:val="004A3877"/>
    <w:rsid w:val="004A3990"/>
    <w:rsid w:val="004A39A0"/>
    <w:rsid w:val="004A3B56"/>
    <w:rsid w:val="004A3BCA"/>
    <w:rsid w:val="004A3EF6"/>
    <w:rsid w:val="004A3F1C"/>
    <w:rsid w:val="004A3F5E"/>
    <w:rsid w:val="004A443C"/>
    <w:rsid w:val="004A4455"/>
    <w:rsid w:val="004A4525"/>
    <w:rsid w:val="004A47F4"/>
    <w:rsid w:val="004A4BA6"/>
    <w:rsid w:val="004A4CC6"/>
    <w:rsid w:val="004A4CF7"/>
    <w:rsid w:val="004A4E93"/>
    <w:rsid w:val="004A4EE0"/>
    <w:rsid w:val="004A4F1E"/>
    <w:rsid w:val="004A4FBC"/>
    <w:rsid w:val="004A514E"/>
    <w:rsid w:val="004A5201"/>
    <w:rsid w:val="004A523F"/>
    <w:rsid w:val="004A531C"/>
    <w:rsid w:val="004A540F"/>
    <w:rsid w:val="004A5438"/>
    <w:rsid w:val="004A549E"/>
    <w:rsid w:val="004A557F"/>
    <w:rsid w:val="004A55B1"/>
    <w:rsid w:val="004A5646"/>
    <w:rsid w:val="004A572B"/>
    <w:rsid w:val="004A580A"/>
    <w:rsid w:val="004A5923"/>
    <w:rsid w:val="004A5A6D"/>
    <w:rsid w:val="004A5C2B"/>
    <w:rsid w:val="004A5CE2"/>
    <w:rsid w:val="004A5E49"/>
    <w:rsid w:val="004A5E77"/>
    <w:rsid w:val="004A5F77"/>
    <w:rsid w:val="004A613B"/>
    <w:rsid w:val="004A61E5"/>
    <w:rsid w:val="004A624A"/>
    <w:rsid w:val="004A62D0"/>
    <w:rsid w:val="004A6304"/>
    <w:rsid w:val="004A6644"/>
    <w:rsid w:val="004A66D3"/>
    <w:rsid w:val="004A6744"/>
    <w:rsid w:val="004A6789"/>
    <w:rsid w:val="004A67B7"/>
    <w:rsid w:val="004A6815"/>
    <w:rsid w:val="004A6910"/>
    <w:rsid w:val="004A6AE4"/>
    <w:rsid w:val="004A6AF4"/>
    <w:rsid w:val="004A6C02"/>
    <w:rsid w:val="004A6D6E"/>
    <w:rsid w:val="004A6DB6"/>
    <w:rsid w:val="004A6E4D"/>
    <w:rsid w:val="004A6E84"/>
    <w:rsid w:val="004A6EAF"/>
    <w:rsid w:val="004A7047"/>
    <w:rsid w:val="004A717B"/>
    <w:rsid w:val="004A73CC"/>
    <w:rsid w:val="004A742A"/>
    <w:rsid w:val="004A745B"/>
    <w:rsid w:val="004A74D0"/>
    <w:rsid w:val="004A75DB"/>
    <w:rsid w:val="004A7604"/>
    <w:rsid w:val="004A7893"/>
    <w:rsid w:val="004A78D3"/>
    <w:rsid w:val="004A7922"/>
    <w:rsid w:val="004A7A4A"/>
    <w:rsid w:val="004A7BB2"/>
    <w:rsid w:val="004A7BF0"/>
    <w:rsid w:val="004A7C39"/>
    <w:rsid w:val="004A7C59"/>
    <w:rsid w:val="004A7D9A"/>
    <w:rsid w:val="004A7DF9"/>
    <w:rsid w:val="004A7EDE"/>
    <w:rsid w:val="004A7F64"/>
    <w:rsid w:val="004A7F89"/>
    <w:rsid w:val="004AD14F"/>
    <w:rsid w:val="004AE5B6"/>
    <w:rsid w:val="004AED6A"/>
    <w:rsid w:val="004B005C"/>
    <w:rsid w:val="004B00E8"/>
    <w:rsid w:val="004B0112"/>
    <w:rsid w:val="004B028A"/>
    <w:rsid w:val="004B0337"/>
    <w:rsid w:val="004B0743"/>
    <w:rsid w:val="004B0881"/>
    <w:rsid w:val="004B08DF"/>
    <w:rsid w:val="004B093C"/>
    <w:rsid w:val="004B093E"/>
    <w:rsid w:val="004B0BA0"/>
    <w:rsid w:val="004B0BD3"/>
    <w:rsid w:val="004B0DE7"/>
    <w:rsid w:val="004B0F5D"/>
    <w:rsid w:val="004B0F65"/>
    <w:rsid w:val="004B109B"/>
    <w:rsid w:val="004B10F8"/>
    <w:rsid w:val="004B1104"/>
    <w:rsid w:val="004B1130"/>
    <w:rsid w:val="004B1151"/>
    <w:rsid w:val="004B1268"/>
    <w:rsid w:val="004B12E8"/>
    <w:rsid w:val="004B1483"/>
    <w:rsid w:val="004B157E"/>
    <w:rsid w:val="004B1584"/>
    <w:rsid w:val="004B17BF"/>
    <w:rsid w:val="004B17E7"/>
    <w:rsid w:val="004B180C"/>
    <w:rsid w:val="004B189B"/>
    <w:rsid w:val="004B1A83"/>
    <w:rsid w:val="004B1C09"/>
    <w:rsid w:val="004B1C30"/>
    <w:rsid w:val="004B1C39"/>
    <w:rsid w:val="004B1CB2"/>
    <w:rsid w:val="004B20D7"/>
    <w:rsid w:val="004B2184"/>
    <w:rsid w:val="004B22EE"/>
    <w:rsid w:val="004B2328"/>
    <w:rsid w:val="004B2448"/>
    <w:rsid w:val="004B24E5"/>
    <w:rsid w:val="004B255D"/>
    <w:rsid w:val="004B25CE"/>
    <w:rsid w:val="004B2825"/>
    <w:rsid w:val="004B28C4"/>
    <w:rsid w:val="004B28CF"/>
    <w:rsid w:val="004B28FA"/>
    <w:rsid w:val="004B29B2"/>
    <w:rsid w:val="004B29BB"/>
    <w:rsid w:val="004B2A3E"/>
    <w:rsid w:val="004B2ACB"/>
    <w:rsid w:val="004B2C0A"/>
    <w:rsid w:val="004B2C57"/>
    <w:rsid w:val="004B2DAE"/>
    <w:rsid w:val="004B2E0F"/>
    <w:rsid w:val="004B2E5D"/>
    <w:rsid w:val="004B2EBD"/>
    <w:rsid w:val="004B2EC1"/>
    <w:rsid w:val="004B2F64"/>
    <w:rsid w:val="004B3097"/>
    <w:rsid w:val="004B3186"/>
    <w:rsid w:val="004B360D"/>
    <w:rsid w:val="004B3650"/>
    <w:rsid w:val="004B3704"/>
    <w:rsid w:val="004B37B4"/>
    <w:rsid w:val="004B381F"/>
    <w:rsid w:val="004B3844"/>
    <w:rsid w:val="004B3ACD"/>
    <w:rsid w:val="004B3AF0"/>
    <w:rsid w:val="004B3B91"/>
    <w:rsid w:val="004B3D45"/>
    <w:rsid w:val="004B3D90"/>
    <w:rsid w:val="004B3EF3"/>
    <w:rsid w:val="004B4084"/>
    <w:rsid w:val="004B41B9"/>
    <w:rsid w:val="004B42DB"/>
    <w:rsid w:val="004B4453"/>
    <w:rsid w:val="004B461E"/>
    <w:rsid w:val="004B4724"/>
    <w:rsid w:val="004B489F"/>
    <w:rsid w:val="004B4975"/>
    <w:rsid w:val="004B4998"/>
    <w:rsid w:val="004B4A7E"/>
    <w:rsid w:val="004B4B35"/>
    <w:rsid w:val="004B4DAB"/>
    <w:rsid w:val="004B4DF2"/>
    <w:rsid w:val="004B4E36"/>
    <w:rsid w:val="004B4ED8"/>
    <w:rsid w:val="004B4F3C"/>
    <w:rsid w:val="004B509E"/>
    <w:rsid w:val="004B50DF"/>
    <w:rsid w:val="004B5262"/>
    <w:rsid w:val="004B53B9"/>
    <w:rsid w:val="004B5432"/>
    <w:rsid w:val="004B55D4"/>
    <w:rsid w:val="004B567D"/>
    <w:rsid w:val="004B578E"/>
    <w:rsid w:val="004B58BA"/>
    <w:rsid w:val="004B5949"/>
    <w:rsid w:val="004B5968"/>
    <w:rsid w:val="004B59E2"/>
    <w:rsid w:val="004B5A14"/>
    <w:rsid w:val="004B5A20"/>
    <w:rsid w:val="004B5C78"/>
    <w:rsid w:val="004B5D24"/>
    <w:rsid w:val="004B5EF2"/>
    <w:rsid w:val="004B6024"/>
    <w:rsid w:val="004B60C7"/>
    <w:rsid w:val="004B6344"/>
    <w:rsid w:val="004B6403"/>
    <w:rsid w:val="004B642E"/>
    <w:rsid w:val="004B64F5"/>
    <w:rsid w:val="004B65EF"/>
    <w:rsid w:val="004B664F"/>
    <w:rsid w:val="004B6676"/>
    <w:rsid w:val="004B667E"/>
    <w:rsid w:val="004B66AA"/>
    <w:rsid w:val="004B670D"/>
    <w:rsid w:val="004B6745"/>
    <w:rsid w:val="004B693A"/>
    <w:rsid w:val="004B6A48"/>
    <w:rsid w:val="004B6AFB"/>
    <w:rsid w:val="004B6B48"/>
    <w:rsid w:val="004B6BAD"/>
    <w:rsid w:val="004B6DCD"/>
    <w:rsid w:val="004B6E1B"/>
    <w:rsid w:val="004B6F09"/>
    <w:rsid w:val="004B7061"/>
    <w:rsid w:val="004B7102"/>
    <w:rsid w:val="004B719D"/>
    <w:rsid w:val="004B71E0"/>
    <w:rsid w:val="004B72B1"/>
    <w:rsid w:val="004B72D5"/>
    <w:rsid w:val="004B736A"/>
    <w:rsid w:val="004B76FE"/>
    <w:rsid w:val="004B7779"/>
    <w:rsid w:val="004B783F"/>
    <w:rsid w:val="004B7AED"/>
    <w:rsid w:val="004B7B74"/>
    <w:rsid w:val="004B7BDB"/>
    <w:rsid w:val="004B7C1B"/>
    <w:rsid w:val="004B7CB1"/>
    <w:rsid w:val="004C0215"/>
    <w:rsid w:val="004C0218"/>
    <w:rsid w:val="004C027C"/>
    <w:rsid w:val="004C02F5"/>
    <w:rsid w:val="004C086C"/>
    <w:rsid w:val="004C0AD3"/>
    <w:rsid w:val="004C0AE8"/>
    <w:rsid w:val="004C0B6B"/>
    <w:rsid w:val="004C0CF2"/>
    <w:rsid w:val="004C0CFB"/>
    <w:rsid w:val="004C0D69"/>
    <w:rsid w:val="004C0D7B"/>
    <w:rsid w:val="004C0FEC"/>
    <w:rsid w:val="004C108E"/>
    <w:rsid w:val="004C1094"/>
    <w:rsid w:val="004C1132"/>
    <w:rsid w:val="004C14C0"/>
    <w:rsid w:val="004C14FF"/>
    <w:rsid w:val="004C1530"/>
    <w:rsid w:val="004C197C"/>
    <w:rsid w:val="004C1A5C"/>
    <w:rsid w:val="004C1AA8"/>
    <w:rsid w:val="004C1D12"/>
    <w:rsid w:val="004C2192"/>
    <w:rsid w:val="004C223F"/>
    <w:rsid w:val="004C225F"/>
    <w:rsid w:val="004C22FE"/>
    <w:rsid w:val="004C230D"/>
    <w:rsid w:val="004C243F"/>
    <w:rsid w:val="004C260B"/>
    <w:rsid w:val="004C27BE"/>
    <w:rsid w:val="004C27C7"/>
    <w:rsid w:val="004C2864"/>
    <w:rsid w:val="004C28BD"/>
    <w:rsid w:val="004C2912"/>
    <w:rsid w:val="004C294C"/>
    <w:rsid w:val="004C2AFC"/>
    <w:rsid w:val="004C2B0A"/>
    <w:rsid w:val="004C2D22"/>
    <w:rsid w:val="004C2D9F"/>
    <w:rsid w:val="004C2E55"/>
    <w:rsid w:val="004C30CB"/>
    <w:rsid w:val="004C312E"/>
    <w:rsid w:val="004C3156"/>
    <w:rsid w:val="004C344F"/>
    <w:rsid w:val="004C3523"/>
    <w:rsid w:val="004C38B2"/>
    <w:rsid w:val="004C3911"/>
    <w:rsid w:val="004C3B2C"/>
    <w:rsid w:val="004C3BE1"/>
    <w:rsid w:val="004C3C37"/>
    <w:rsid w:val="004C3D41"/>
    <w:rsid w:val="004C3DE8"/>
    <w:rsid w:val="004C3F27"/>
    <w:rsid w:val="004C4041"/>
    <w:rsid w:val="004C418E"/>
    <w:rsid w:val="004C42BE"/>
    <w:rsid w:val="004C42C7"/>
    <w:rsid w:val="004C4358"/>
    <w:rsid w:val="004C440E"/>
    <w:rsid w:val="004C44D4"/>
    <w:rsid w:val="004C44F0"/>
    <w:rsid w:val="004C461E"/>
    <w:rsid w:val="004C47AE"/>
    <w:rsid w:val="004C4AF0"/>
    <w:rsid w:val="004C4C9D"/>
    <w:rsid w:val="004C4D09"/>
    <w:rsid w:val="004C4D40"/>
    <w:rsid w:val="004C4EBF"/>
    <w:rsid w:val="004C4F01"/>
    <w:rsid w:val="004C514D"/>
    <w:rsid w:val="004C51BD"/>
    <w:rsid w:val="004C52D8"/>
    <w:rsid w:val="004C534C"/>
    <w:rsid w:val="004C554F"/>
    <w:rsid w:val="004C56E1"/>
    <w:rsid w:val="004C56EF"/>
    <w:rsid w:val="004C5800"/>
    <w:rsid w:val="004C5A6B"/>
    <w:rsid w:val="004C5AA0"/>
    <w:rsid w:val="004C5B6D"/>
    <w:rsid w:val="004C5B86"/>
    <w:rsid w:val="004C5BB1"/>
    <w:rsid w:val="004C5BFE"/>
    <w:rsid w:val="004C5C79"/>
    <w:rsid w:val="004C5C8D"/>
    <w:rsid w:val="004C5C9A"/>
    <w:rsid w:val="004C5D16"/>
    <w:rsid w:val="004C5D7C"/>
    <w:rsid w:val="004C5E95"/>
    <w:rsid w:val="004C601D"/>
    <w:rsid w:val="004C6055"/>
    <w:rsid w:val="004C61B7"/>
    <w:rsid w:val="004C61CE"/>
    <w:rsid w:val="004C61EA"/>
    <w:rsid w:val="004C6281"/>
    <w:rsid w:val="004C6337"/>
    <w:rsid w:val="004C63A0"/>
    <w:rsid w:val="004C63EA"/>
    <w:rsid w:val="004C6606"/>
    <w:rsid w:val="004C66EB"/>
    <w:rsid w:val="004C66FB"/>
    <w:rsid w:val="004C6900"/>
    <w:rsid w:val="004C6A2A"/>
    <w:rsid w:val="004C6C3B"/>
    <w:rsid w:val="004C6D60"/>
    <w:rsid w:val="004C6E0D"/>
    <w:rsid w:val="004C6E78"/>
    <w:rsid w:val="004C6EEE"/>
    <w:rsid w:val="004C7000"/>
    <w:rsid w:val="004C709E"/>
    <w:rsid w:val="004C70B2"/>
    <w:rsid w:val="004C70FA"/>
    <w:rsid w:val="004C7187"/>
    <w:rsid w:val="004C71AE"/>
    <w:rsid w:val="004C71F5"/>
    <w:rsid w:val="004C72BC"/>
    <w:rsid w:val="004C73B5"/>
    <w:rsid w:val="004C74D0"/>
    <w:rsid w:val="004C75C1"/>
    <w:rsid w:val="004C7671"/>
    <w:rsid w:val="004C76B1"/>
    <w:rsid w:val="004C779B"/>
    <w:rsid w:val="004C780E"/>
    <w:rsid w:val="004C782B"/>
    <w:rsid w:val="004C785B"/>
    <w:rsid w:val="004C7953"/>
    <w:rsid w:val="004C79EE"/>
    <w:rsid w:val="004C7A58"/>
    <w:rsid w:val="004C7BD2"/>
    <w:rsid w:val="004C7C24"/>
    <w:rsid w:val="004C7D85"/>
    <w:rsid w:val="004C7EB2"/>
    <w:rsid w:val="004C7FAA"/>
    <w:rsid w:val="004D000C"/>
    <w:rsid w:val="004D041A"/>
    <w:rsid w:val="004D0441"/>
    <w:rsid w:val="004D04BF"/>
    <w:rsid w:val="004D0530"/>
    <w:rsid w:val="004D05BE"/>
    <w:rsid w:val="004D05F7"/>
    <w:rsid w:val="004D0634"/>
    <w:rsid w:val="004D0778"/>
    <w:rsid w:val="004D07D2"/>
    <w:rsid w:val="004D08A8"/>
    <w:rsid w:val="004D09F9"/>
    <w:rsid w:val="004D0A7E"/>
    <w:rsid w:val="004D0A80"/>
    <w:rsid w:val="004D0D00"/>
    <w:rsid w:val="004D0D0B"/>
    <w:rsid w:val="004D0D6F"/>
    <w:rsid w:val="004D10C9"/>
    <w:rsid w:val="004D1107"/>
    <w:rsid w:val="004D11FA"/>
    <w:rsid w:val="004D13CC"/>
    <w:rsid w:val="004D1420"/>
    <w:rsid w:val="004D1421"/>
    <w:rsid w:val="004D14DD"/>
    <w:rsid w:val="004D1505"/>
    <w:rsid w:val="004D174C"/>
    <w:rsid w:val="004D17E6"/>
    <w:rsid w:val="004D1913"/>
    <w:rsid w:val="004D19C3"/>
    <w:rsid w:val="004D19F0"/>
    <w:rsid w:val="004D1A87"/>
    <w:rsid w:val="004D1BF5"/>
    <w:rsid w:val="004D1BFC"/>
    <w:rsid w:val="004D1E88"/>
    <w:rsid w:val="004D1F6F"/>
    <w:rsid w:val="004D206B"/>
    <w:rsid w:val="004D216D"/>
    <w:rsid w:val="004D2212"/>
    <w:rsid w:val="004D22EC"/>
    <w:rsid w:val="004D2602"/>
    <w:rsid w:val="004D26EB"/>
    <w:rsid w:val="004D2767"/>
    <w:rsid w:val="004D27D1"/>
    <w:rsid w:val="004D28D8"/>
    <w:rsid w:val="004D2959"/>
    <w:rsid w:val="004D2B9F"/>
    <w:rsid w:val="004D2C4D"/>
    <w:rsid w:val="004D2F82"/>
    <w:rsid w:val="004D3287"/>
    <w:rsid w:val="004D3536"/>
    <w:rsid w:val="004D3756"/>
    <w:rsid w:val="004D37C8"/>
    <w:rsid w:val="004D37D8"/>
    <w:rsid w:val="004D3931"/>
    <w:rsid w:val="004D394B"/>
    <w:rsid w:val="004D3B26"/>
    <w:rsid w:val="004D3BC8"/>
    <w:rsid w:val="004D3BED"/>
    <w:rsid w:val="004D3D21"/>
    <w:rsid w:val="004D3D80"/>
    <w:rsid w:val="004D3EA0"/>
    <w:rsid w:val="004D3F50"/>
    <w:rsid w:val="004D3F52"/>
    <w:rsid w:val="004D41EE"/>
    <w:rsid w:val="004D423A"/>
    <w:rsid w:val="004D4255"/>
    <w:rsid w:val="004D43D5"/>
    <w:rsid w:val="004D43E2"/>
    <w:rsid w:val="004D4562"/>
    <w:rsid w:val="004D4689"/>
    <w:rsid w:val="004D46C4"/>
    <w:rsid w:val="004D46E2"/>
    <w:rsid w:val="004D46E4"/>
    <w:rsid w:val="004D4791"/>
    <w:rsid w:val="004D47D9"/>
    <w:rsid w:val="004D4832"/>
    <w:rsid w:val="004D4924"/>
    <w:rsid w:val="004D4AAF"/>
    <w:rsid w:val="004D4CBE"/>
    <w:rsid w:val="004D4DBB"/>
    <w:rsid w:val="004D4F6B"/>
    <w:rsid w:val="004D505F"/>
    <w:rsid w:val="004D50FA"/>
    <w:rsid w:val="004D5166"/>
    <w:rsid w:val="004D525D"/>
    <w:rsid w:val="004D5328"/>
    <w:rsid w:val="004D5360"/>
    <w:rsid w:val="004D5427"/>
    <w:rsid w:val="004D5613"/>
    <w:rsid w:val="004D565F"/>
    <w:rsid w:val="004D5718"/>
    <w:rsid w:val="004D576E"/>
    <w:rsid w:val="004D577B"/>
    <w:rsid w:val="004D57BE"/>
    <w:rsid w:val="004D5920"/>
    <w:rsid w:val="004D595A"/>
    <w:rsid w:val="004D59EE"/>
    <w:rsid w:val="004D5AFF"/>
    <w:rsid w:val="004D5BC5"/>
    <w:rsid w:val="004D5C5A"/>
    <w:rsid w:val="004D5D48"/>
    <w:rsid w:val="004D5EEA"/>
    <w:rsid w:val="004D5F0F"/>
    <w:rsid w:val="004D5F38"/>
    <w:rsid w:val="004D5FE2"/>
    <w:rsid w:val="004D6079"/>
    <w:rsid w:val="004D6131"/>
    <w:rsid w:val="004D649F"/>
    <w:rsid w:val="004D65E7"/>
    <w:rsid w:val="004D67BB"/>
    <w:rsid w:val="004D697F"/>
    <w:rsid w:val="004D69C7"/>
    <w:rsid w:val="004D6C01"/>
    <w:rsid w:val="004D6C5A"/>
    <w:rsid w:val="004D6C5D"/>
    <w:rsid w:val="004D6C78"/>
    <w:rsid w:val="004D6D1C"/>
    <w:rsid w:val="004D6D45"/>
    <w:rsid w:val="004D6DBF"/>
    <w:rsid w:val="004D6E39"/>
    <w:rsid w:val="004D6E46"/>
    <w:rsid w:val="004D7127"/>
    <w:rsid w:val="004D71FD"/>
    <w:rsid w:val="004D7609"/>
    <w:rsid w:val="004D771F"/>
    <w:rsid w:val="004D7721"/>
    <w:rsid w:val="004D779E"/>
    <w:rsid w:val="004D7ABB"/>
    <w:rsid w:val="004D7ADE"/>
    <w:rsid w:val="004D7B45"/>
    <w:rsid w:val="004D7B4A"/>
    <w:rsid w:val="004D7B54"/>
    <w:rsid w:val="004D7C62"/>
    <w:rsid w:val="004D7CAA"/>
    <w:rsid w:val="004D7CB9"/>
    <w:rsid w:val="004D7E8A"/>
    <w:rsid w:val="004D7EF8"/>
    <w:rsid w:val="004D7F44"/>
    <w:rsid w:val="004D7F5E"/>
    <w:rsid w:val="004D7F62"/>
    <w:rsid w:val="004E0214"/>
    <w:rsid w:val="004E048C"/>
    <w:rsid w:val="004E05B2"/>
    <w:rsid w:val="004E076A"/>
    <w:rsid w:val="004E07DD"/>
    <w:rsid w:val="004E0806"/>
    <w:rsid w:val="004E0867"/>
    <w:rsid w:val="004E0868"/>
    <w:rsid w:val="004E0994"/>
    <w:rsid w:val="004E0B9B"/>
    <w:rsid w:val="004E0E48"/>
    <w:rsid w:val="004E0F1E"/>
    <w:rsid w:val="004E0F2F"/>
    <w:rsid w:val="004E0F56"/>
    <w:rsid w:val="004E0FBF"/>
    <w:rsid w:val="004E1060"/>
    <w:rsid w:val="004E10CB"/>
    <w:rsid w:val="004E10E9"/>
    <w:rsid w:val="004E1149"/>
    <w:rsid w:val="004E1167"/>
    <w:rsid w:val="004E121D"/>
    <w:rsid w:val="004E14AB"/>
    <w:rsid w:val="004E14B3"/>
    <w:rsid w:val="004E1667"/>
    <w:rsid w:val="004E1762"/>
    <w:rsid w:val="004E17CA"/>
    <w:rsid w:val="004E17E6"/>
    <w:rsid w:val="004E1987"/>
    <w:rsid w:val="004E1A3C"/>
    <w:rsid w:val="004E1A93"/>
    <w:rsid w:val="004E1CF9"/>
    <w:rsid w:val="004E1E72"/>
    <w:rsid w:val="004E1F51"/>
    <w:rsid w:val="004E208F"/>
    <w:rsid w:val="004E2167"/>
    <w:rsid w:val="004E2344"/>
    <w:rsid w:val="004E2401"/>
    <w:rsid w:val="004E24A6"/>
    <w:rsid w:val="004E251A"/>
    <w:rsid w:val="004E271E"/>
    <w:rsid w:val="004E2735"/>
    <w:rsid w:val="004E2915"/>
    <w:rsid w:val="004E2965"/>
    <w:rsid w:val="004E29CE"/>
    <w:rsid w:val="004E2AAA"/>
    <w:rsid w:val="004E2D66"/>
    <w:rsid w:val="004E2FD9"/>
    <w:rsid w:val="004E304D"/>
    <w:rsid w:val="004E32A8"/>
    <w:rsid w:val="004E32E9"/>
    <w:rsid w:val="004E3402"/>
    <w:rsid w:val="004E3430"/>
    <w:rsid w:val="004E3434"/>
    <w:rsid w:val="004E34C3"/>
    <w:rsid w:val="004E35FF"/>
    <w:rsid w:val="004E37D7"/>
    <w:rsid w:val="004E3831"/>
    <w:rsid w:val="004E3862"/>
    <w:rsid w:val="004E3884"/>
    <w:rsid w:val="004E3BD8"/>
    <w:rsid w:val="004E3C80"/>
    <w:rsid w:val="004E3F9D"/>
    <w:rsid w:val="004E4360"/>
    <w:rsid w:val="004E43B5"/>
    <w:rsid w:val="004E45B3"/>
    <w:rsid w:val="004E467C"/>
    <w:rsid w:val="004E46B7"/>
    <w:rsid w:val="004E4767"/>
    <w:rsid w:val="004E4836"/>
    <w:rsid w:val="004E4903"/>
    <w:rsid w:val="004E4A6F"/>
    <w:rsid w:val="004E4B14"/>
    <w:rsid w:val="004E4C41"/>
    <w:rsid w:val="004E502D"/>
    <w:rsid w:val="004E5052"/>
    <w:rsid w:val="004E5108"/>
    <w:rsid w:val="004E5157"/>
    <w:rsid w:val="004E51B4"/>
    <w:rsid w:val="004E51BD"/>
    <w:rsid w:val="004E530E"/>
    <w:rsid w:val="004E534A"/>
    <w:rsid w:val="004E53DE"/>
    <w:rsid w:val="004E5451"/>
    <w:rsid w:val="004E5576"/>
    <w:rsid w:val="004E55C2"/>
    <w:rsid w:val="004E564E"/>
    <w:rsid w:val="004E571A"/>
    <w:rsid w:val="004E5828"/>
    <w:rsid w:val="004E58E6"/>
    <w:rsid w:val="004E59D3"/>
    <w:rsid w:val="004E5B08"/>
    <w:rsid w:val="004E5B3A"/>
    <w:rsid w:val="004E5B4E"/>
    <w:rsid w:val="004E5B7C"/>
    <w:rsid w:val="004E5DE3"/>
    <w:rsid w:val="004E5EC7"/>
    <w:rsid w:val="004E5ECA"/>
    <w:rsid w:val="004E5ED6"/>
    <w:rsid w:val="004E6026"/>
    <w:rsid w:val="004E6177"/>
    <w:rsid w:val="004E65F1"/>
    <w:rsid w:val="004E6605"/>
    <w:rsid w:val="004E671F"/>
    <w:rsid w:val="004E6867"/>
    <w:rsid w:val="004E68FC"/>
    <w:rsid w:val="004E698F"/>
    <w:rsid w:val="004E69D1"/>
    <w:rsid w:val="004E6AB3"/>
    <w:rsid w:val="004E6BD8"/>
    <w:rsid w:val="004E6D9F"/>
    <w:rsid w:val="004E6F17"/>
    <w:rsid w:val="004E6F5A"/>
    <w:rsid w:val="004E702A"/>
    <w:rsid w:val="004E717D"/>
    <w:rsid w:val="004E725F"/>
    <w:rsid w:val="004E73D6"/>
    <w:rsid w:val="004E7454"/>
    <w:rsid w:val="004E74E3"/>
    <w:rsid w:val="004E7545"/>
    <w:rsid w:val="004E7628"/>
    <w:rsid w:val="004E769F"/>
    <w:rsid w:val="004E780E"/>
    <w:rsid w:val="004E79AB"/>
    <w:rsid w:val="004E7A86"/>
    <w:rsid w:val="004E7BDC"/>
    <w:rsid w:val="004E7C0C"/>
    <w:rsid w:val="004E7C16"/>
    <w:rsid w:val="004E7EF1"/>
    <w:rsid w:val="004E7F79"/>
    <w:rsid w:val="004E7FBA"/>
    <w:rsid w:val="004F0010"/>
    <w:rsid w:val="004F0065"/>
    <w:rsid w:val="004F0293"/>
    <w:rsid w:val="004F043C"/>
    <w:rsid w:val="004F05F5"/>
    <w:rsid w:val="004F07B8"/>
    <w:rsid w:val="004F09B2"/>
    <w:rsid w:val="004F10C9"/>
    <w:rsid w:val="004F1101"/>
    <w:rsid w:val="004F131A"/>
    <w:rsid w:val="004F1348"/>
    <w:rsid w:val="004F1520"/>
    <w:rsid w:val="004F1586"/>
    <w:rsid w:val="004F17E9"/>
    <w:rsid w:val="004F1868"/>
    <w:rsid w:val="004F19F8"/>
    <w:rsid w:val="004F1C34"/>
    <w:rsid w:val="004F1D3D"/>
    <w:rsid w:val="004F20E0"/>
    <w:rsid w:val="004F214C"/>
    <w:rsid w:val="004F217D"/>
    <w:rsid w:val="004F21B1"/>
    <w:rsid w:val="004F21B5"/>
    <w:rsid w:val="004F2209"/>
    <w:rsid w:val="004F2464"/>
    <w:rsid w:val="004F2618"/>
    <w:rsid w:val="004F28D8"/>
    <w:rsid w:val="004F290C"/>
    <w:rsid w:val="004F2954"/>
    <w:rsid w:val="004F29CF"/>
    <w:rsid w:val="004F2A7D"/>
    <w:rsid w:val="004F2B8B"/>
    <w:rsid w:val="004F2CD4"/>
    <w:rsid w:val="004F2F16"/>
    <w:rsid w:val="004F2F20"/>
    <w:rsid w:val="004F306A"/>
    <w:rsid w:val="004F3102"/>
    <w:rsid w:val="004F3134"/>
    <w:rsid w:val="004F31CE"/>
    <w:rsid w:val="004F3285"/>
    <w:rsid w:val="004F34B6"/>
    <w:rsid w:val="004F34EB"/>
    <w:rsid w:val="004F3509"/>
    <w:rsid w:val="004F3511"/>
    <w:rsid w:val="004F3944"/>
    <w:rsid w:val="004F3A6C"/>
    <w:rsid w:val="004F3ABD"/>
    <w:rsid w:val="004F3C78"/>
    <w:rsid w:val="004F3DF3"/>
    <w:rsid w:val="004F3E19"/>
    <w:rsid w:val="004F405E"/>
    <w:rsid w:val="004F415E"/>
    <w:rsid w:val="004F4160"/>
    <w:rsid w:val="004F42DD"/>
    <w:rsid w:val="004F42F9"/>
    <w:rsid w:val="004F4342"/>
    <w:rsid w:val="004F43D5"/>
    <w:rsid w:val="004F469D"/>
    <w:rsid w:val="004F4717"/>
    <w:rsid w:val="004F48A4"/>
    <w:rsid w:val="004F49B9"/>
    <w:rsid w:val="004F4E8B"/>
    <w:rsid w:val="004F4ECF"/>
    <w:rsid w:val="004F5251"/>
    <w:rsid w:val="004F53AA"/>
    <w:rsid w:val="004F54C5"/>
    <w:rsid w:val="004F55B1"/>
    <w:rsid w:val="004F57AA"/>
    <w:rsid w:val="004F57FA"/>
    <w:rsid w:val="004F5B8C"/>
    <w:rsid w:val="004F5B9D"/>
    <w:rsid w:val="004F5C88"/>
    <w:rsid w:val="004F5CDF"/>
    <w:rsid w:val="004F5D58"/>
    <w:rsid w:val="004F5DC3"/>
    <w:rsid w:val="004F5FC8"/>
    <w:rsid w:val="004F6228"/>
    <w:rsid w:val="004F6484"/>
    <w:rsid w:val="004F64BC"/>
    <w:rsid w:val="004F64BF"/>
    <w:rsid w:val="004F669C"/>
    <w:rsid w:val="004F66BF"/>
    <w:rsid w:val="004F6AE8"/>
    <w:rsid w:val="004F6AF9"/>
    <w:rsid w:val="004F6B1B"/>
    <w:rsid w:val="004F6BAD"/>
    <w:rsid w:val="004F7087"/>
    <w:rsid w:val="004F70C9"/>
    <w:rsid w:val="004F72AA"/>
    <w:rsid w:val="004F74EE"/>
    <w:rsid w:val="004F75B8"/>
    <w:rsid w:val="004F7614"/>
    <w:rsid w:val="004F76DA"/>
    <w:rsid w:val="004F7A7C"/>
    <w:rsid w:val="004F7B04"/>
    <w:rsid w:val="004F7BAF"/>
    <w:rsid w:val="004F7E42"/>
    <w:rsid w:val="004F7E9E"/>
    <w:rsid w:val="00500016"/>
    <w:rsid w:val="005002ED"/>
    <w:rsid w:val="0050048C"/>
    <w:rsid w:val="005005A3"/>
    <w:rsid w:val="0050063A"/>
    <w:rsid w:val="00500648"/>
    <w:rsid w:val="005007CA"/>
    <w:rsid w:val="0050080E"/>
    <w:rsid w:val="005009D9"/>
    <w:rsid w:val="00500BE4"/>
    <w:rsid w:val="00500C2F"/>
    <w:rsid w:val="00500C8A"/>
    <w:rsid w:val="00500CBF"/>
    <w:rsid w:val="00500CDA"/>
    <w:rsid w:val="00500DD8"/>
    <w:rsid w:val="00500EF5"/>
    <w:rsid w:val="00501037"/>
    <w:rsid w:val="00501183"/>
    <w:rsid w:val="005011A4"/>
    <w:rsid w:val="005011BC"/>
    <w:rsid w:val="005011E8"/>
    <w:rsid w:val="00501288"/>
    <w:rsid w:val="005012CD"/>
    <w:rsid w:val="00501367"/>
    <w:rsid w:val="0050148E"/>
    <w:rsid w:val="00501581"/>
    <w:rsid w:val="0050187F"/>
    <w:rsid w:val="0050190D"/>
    <w:rsid w:val="00501965"/>
    <w:rsid w:val="005019C0"/>
    <w:rsid w:val="00501A33"/>
    <w:rsid w:val="00501A55"/>
    <w:rsid w:val="00501C64"/>
    <w:rsid w:val="00501D7B"/>
    <w:rsid w:val="00501F26"/>
    <w:rsid w:val="00502592"/>
    <w:rsid w:val="00502615"/>
    <w:rsid w:val="005026D6"/>
    <w:rsid w:val="0050275D"/>
    <w:rsid w:val="00502782"/>
    <w:rsid w:val="00502C2B"/>
    <w:rsid w:val="00502EE0"/>
    <w:rsid w:val="00502F90"/>
    <w:rsid w:val="00503047"/>
    <w:rsid w:val="0050328F"/>
    <w:rsid w:val="00503384"/>
    <w:rsid w:val="005033A1"/>
    <w:rsid w:val="0050365E"/>
    <w:rsid w:val="005037C2"/>
    <w:rsid w:val="005037E1"/>
    <w:rsid w:val="00503C31"/>
    <w:rsid w:val="00503C83"/>
    <w:rsid w:val="00503D5E"/>
    <w:rsid w:val="00503E5E"/>
    <w:rsid w:val="00503F27"/>
    <w:rsid w:val="005043C0"/>
    <w:rsid w:val="005044ED"/>
    <w:rsid w:val="0050462F"/>
    <w:rsid w:val="005046D5"/>
    <w:rsid w:val="00504700"/>
    <w:rsid w:val="00504751"/>
    <w:rsid w:val="005049B3"/>
    <w:rsid w:val="00504BE2"/>
    <w:rsid w:val="00504D18"/>
    <w:rsid w:val="00504F01"/>
    <w:rsid w:val="005051D2"/>
    <w:rsid w:val="0050527D"/>
    <w:rsid w:val="005052D0"/>
    <w:rsid w:val="00505397"/>
    <w:rsid w:val="0050540E"/>
    <w:rsid w:val="00505465"/>
    <w:rsid w:val="00505493"/>
    <w:rsid w:val="0050552B"/>
    <w:rsid w:val="005055A6"/>
    <w:rsid w:val="00505675"/>
    <w:rsid w:val="005059F4"/>
    <w:rsid w:val="00505A0C"/>
    <w:rsid w:val="00505B78"/>
    <w:rsid w:val="00505C5B"/>
    <w:rsid w:val="00505CB1"/>
    <w:rsid w:val="00505CEF"/>
    <w:rsid w:val="00505D54"/>
    <w:rsid w:val="00505DF4"/>
    <w:rsid w:val="00505EA8"/>
    <w:rsid w:val="00505F6F"/>
    <w:rsid w:val="00505FF8"/>
    <w:rsid w:val="0050602B"/>
    <w:rsid w:val="0050607B"/>
    <w:rsid w:val="005060CB"/>
    <w:rsid w:val="005060E8"/>
    <w:rsid w:val="00506162"/>
    <w:rsid w:val="0050618E"/>
    <w:rsid w:val="00506447"/>
    <w:rsid w:val="00506579"/>
    <w:rsid w:val="005069B9"/>
    <w:rsid w:val="005069DA"/>
    <w:rsid w:val="005069FA"/>
    <w:rsid w:val="00506CBF"/>
    <w:rsid w:val="00506CF5"/>
    <w:rsid w:val="00506D61"/>
    <w:rsid w:val="00506F40"/>
    <w:rsid w:val="00507063"/>
    <w:rsid w:val="00507197"/>
    <w:rsid w:val="00507242"/>
    <w:rsid w:val="005072E5"/>
    <w:rsid w:val="00507358"/>
    <w:rsid w:val="0050754A"/>
    <w:rsid w:val="0050754F"/>
    <w:rsid w:val="005076B9"/>
    <w:rsid w:val="005076E9"/>
    <w:rsid w:val="005077D9"/>
    <w:rsid w:val="005078BF"/>
    <w:rsid w:val="00507979"/>
    <w:rsid w:val="005079A4"/>
    <w:rsid w:val="00507A19"/>
    <w:rsid w:val="00507AA6"/>
    <w:rsid w:val="00507AA9"/>
    <w:rsid w:val="00507D97"/>
    <w:rsid w:val="00507E82"/>
    <w:rsid w:val="0050FC7F"/>
    <w:rsid w:val="0051008A"/>
    <w:rsid w:val="005100D9"/>
    <w:rsid w:val="0051025C"/>
    <w:rsid w:val="005102D5"/>
    <w:rsid w:val="00510520"/>
    <w:rsid w:val="0051053D"/>
    <w:rsid w:val="0051055C"/>
    <w:rsid w:val="00510567"/>
    <w:rsid w:val="00510743"/>
    <w:rsid w:val="005107ED"/>
    <w:rsid w:val="005109CF"/>
    <w:rsid w:val="005109F3"/>
    <w:rsid w:val="00510C7E"/>
    <w:rsid w:val="00510CCD"/>
    <w:rsid w:val="0051117B"/>
    <w:rsid w:val="0051124F"/>
    <w:rsid w:val="00511365"/>
    <w:rsid w:val="00511424"/>
    <w:rsid w:val="005114FC"/>
    <w:rsid w:val="005115FA"/>
    <w:rsid w:val="00511996"/>
    <w:rsid w:val="00511C3A"/>
    <w:rsid w:val="00511C3F"/>
    <w:rsid w:val="00511C54"/>
    <w:rsid w:val="00511C63"/>
    <w:rsid w:val="00511D23"/>
    <w:rsid w:val="00511FCA"/>
    <w:rsid w:val="00512022"/>
    <w:rsid w:val="005120AE"/>
    <w:rsid w:val="005122C3"/>
    <w:rsid w:val="00512699"/>
    <w:rsid w:val="00512811"/>
    <w:rsid w:val="00512822"/>
    <w:rsid w:val="00512909"/>
    <w:rsid w:val="005129EC"/>
    <w:rsid w:val="00512B98"/>
    <w:rsid w:val="00512BFB"/>
    <w:rsid w:val="00512C12"/>
    <w:rsid w:val="00512D0F"/>
    <w:rsid w:val="00512DAD"/>
    <w:rsid w:val="00512FA0"/>
    <w:rsid w:val="00512FBA"/>
    <w:rsid w:val="005130E0"/>
    <w:rsid w:val="005131FD"/>
    <w:rsid w:val="0051325D"/>
    <w:rsid w:val="0051334B"/>
    <w:rsid w:val="00513454"/>
    <w:rsid w:val="00513646"/>
    <w:rsid w:val="005136EC"/>
    <w:rsid w:val="0051383A"/>
    <w:rsid w:val="005138C0"/>
    <w:rsid w:val="005138F7"/>
    <w:rsid w:val="0051390D"/>
    <w:rsid w:val="005139C3"/>
    <w:rsid w:val="005139FD"/>
    <w:rsid w:val="00513A25"/>
    <w:rsid w:val="00513BC7"/>
    <w:rsid w:val="00513BE2"/>
    <w:rsid w:val="00513BF1"/>
    <w:rsid w:val="00513CE0"/>
    <w:rsid w:val="00513D41"/>
    <w:rsid w:val="00513E25"/>
    <w:rsid w:val="00513E97"/>
    <w:rsid w:val="00513EB3"/>
    <w:rsid w:val="00513F12"/>
    <w:rsid w:val="00513FB3"/>
    <w:rsid w:val="005140C3"/>
    <w:rsid w:val="00514212"/>
    <w:rsid w:val="0051428B"/>
    <w:rsid w:val="00514319"/>
    <w:rsid w:val="0051447A"/>
    <w:rsid w:val="0051462D"/>
    <w:rsid w:val="00514686"/>
    <w:rsid w:val="005147FC"/>
    <w:rsid w:val="0051492D"/>
    <w:rsid w:val="00514997"/>
    <w:rsid w:val="005149B2"/>
    <w:rsid w:val="00514A6F"/>
    <w:rsid w:val="00514AC7"/>
    <w:rsid w:val="00514AE2"/>
    <w:rsid w:val="00514BC1"/>
    <w:rsid w:val="00514BD3"/>
    <w:rsid w:val="00514EAC"/>
    <w:rsid w:val="00514F75"/>
    <w:rsid w:val="00515006"/>
    <w:rsid w:val="005150E2"/>
    <w:rsid w:val="00515123"/>
    <w:rsid w:val="005151F9"/>
    <w:rsid w:val="00515238"/>
    <w:rsid w:val="005152FD"/>
    <w:rsid w:val="005153A6"/>
    <w:rsid w:val="00515431"/>
    <w:rsid w:val="005154A9"/>
    <w:rsid w:val="005155D1"/>
    <w:rsid w:val="005156C7"/>
    <w:rsid w:val="005156DA"/>
    <w:rsid w:val="00515712"/>
    <w:rsid w:val="00515C01"/>
    <w:rsid w:val="00515C87"/>
    <w:rsid w:val="00515E31"/>
    <w:rsid w:val="00515EBD"/>
    <w:rsid w:val="00515F1C"/>
    <w:rsid w:val="00516047"/>
    <w:rsid w:val="0051606C"/>
    <w:rsid w:val="0051624D"/>
    <w:rsid w:val="00516271"/>
    <w:rsid w:val="0051628A"/>
    <w:rsid w:val="00516304"/>
    <w:rsid w:val="00516344"/>
    <w:rsid w:val="0051634C"/>
    <w:rsid w:val="005163CF"/>
    <w:rsid w:val="00516435"/>
    <w:rsid w:val="00516532"/>
    <w:rsid w:val="005166C9"/>
    <w:rsid w:val="005167B4"/>
    <w:rsid w:val="005168D6"/>
    <w:rsid w:val="00516961"/>
    <w:rsid w:val="00516967"/>
    <w:rsid w:val="00516A9B"/>
    <w:rsid w:val="00516C1F"/>
    <w:rsid w:val="00516D77"/>
    <w:rsid w:val="00516E9F"/>
    <w:rsid w:val="00516EF1"/>
    <w:rsid w:val="005170F8"/>
    <w:rsid w:val="0051712E"/>
    <w:rsid w:val="005171DB"/>
    <w:rsid w:val="0051721F"/>
    <w:rsid w:val="005172AF"/>
    <w:rsid w:val="0051732D"/>
    <w:rsid w:val="005174F7"/>
    <w:rsid w:val="00517554"/>
    <w:rsid w:val="0051756C"/>
    <w:rsid w:val="005176BA"/>
    <w:rsid w:val="00517888"/>
    <w:rsid w:val="00517AC8"/>
    <w:rsid w:val="00517B86"/>
    <w:rsid w:val="00517BD0"/>
    <w:rsid w:val="00517C30"/>
    <w:rsid w:val="00517C6E"/>
    <w:rsid w:val="00517C8C"/>
    <w:rsid w:val="00517E61"/>
    <w:rsid w:val="00517ECF"/>
    <w:rsid w:val="00517ED1"/>
    <w:rsid w:val="00517F27"/>
    <w:rsid w:val="0052016A"/>
    <w:rsid w:val="005201E8"/>
    <w:rsid w:val="00520336"/>
    <w:rsid w:val="00520413"/>
    <w:rsid w:val="00520451"/>
    <w:rsid w:val="00520506"/>
    <w:rsid w:val="005205BA"/>
    <w:rsid w:val="00520687"/>
    <w:rsid w:val="005206FB"/>
    <w:rsid w:val="005207FF"/>
    <w:rsid w:val="00520C13"/>
    <w:rsid w:val="00520FD4"/>
    <w:rsid w:val="00521386"/>
    <w:rsid w:val="00521543"/>
    <w:rsid w:val="005217F1"/>
    <w:rsid w:val="00521866"/>
    <w:rsid w:val="00521890"/>
    <w:rsid w:val="00521A24"/>
    <w:rsid w:val="00521B75"/>
    <w:rsid w:val="00521D21"/>
    <w:rsid w:val="00521DD2"/>
    <w:rsid w:val="00522297"/>
    <w:rsid w:val="00522528"/>
    <w:rsid w:val="005225CA"/>
    <w:rsid w:val="005226DF"/>
    <w:rsid w:val="00522732"/>
    <w:rsid w:val="0052274B"/>
    <w:rsid w:val="0052294F"/>
    <w:rsid w:val="00522A00"/>
    <w:rsid w:val="00522B7F"/>
    <w:rsid w:val="00522BBA"/>
    <w:rsid w:val="00522CA1"/>
    <w:rsid w:val="00522F6A"/>
    <w:rsid w:val="00522FF3"/>
    <w:rsid w:val="0052328B"/>
    <w:rsid w:val="005232AC"/>
    <w:rsid w:val="0052330A"/>
    <w:rsid w:val="005233D1"/>
    <w:rsid w:val="00523426"/>
    <w:rsid w:val="00523473"/>
    <w:rsid w:val="00523530"/>
    <w:rsid w:val="00523622"/>
    <w:rsid w:val="0052362C"/>
    <w:rsid w:val="00523707"/>
    <w:rsid w:val="005239F3"/>
    <w:rsid w:val="00523E19"/>
    <w:rsid w:val="00523E38"/>
    <w:rsid w:val="00523F7C"/>
    <w:rsid w:val="00524056"/>
    <w:rsid w:val="005242C9"/>
    <w:rsid w:val="00524376"/>
    <w:rsid w:val="005243DD"/>
    <w:rsid w:val="0052455D"/>
    <w:rsid w:val="0052466B"/>
    <w:rsid w:val="005246E6"/>
    <w:rsid w:val="0052478D"/>
    <w:rsid w:val="00524845"/>
    <w:rsid w:val="00524851"/>
    <w:rsid w:val="005248CE"/>
    <w:rsid w:val="0052494B"/>
    <w:rsid w:val="00524B85"/>
    <w:rsid w:val="00524C2B"/>
    <w:rsid w:val="00525036"/>
    <w:rsid w:val="00525182"/>
    <w:rsid w:val="005252DD"/>
    <w:rsid w:val="00525384"/>
    <w:rsid w:val="005254A1"/>
    <w:rsid w:val="00525511"/>
    <w:rsid w:val="005257C7"/>
    <w:rsid w:val="00525A22"/>
    <w:rsid w:val="00525A76"/>
    <w:rsid w:val="00525AC1"/>
    <w:rsid w:val="00525D13"/>
    <w:rsid w:val="00525D54"/>
    <w:rsid w:val="00525E0D"/>
    <w:rsid w:val="00525EAB"/>
    <w:rsid w:val="00526058"/>
    <w:rsid w:val="005261C8"/>
    <w:rsid w:val="00526202"/>
    <w:rsid w:val="005266B2"/>
    <w:rsid w:val="005266C7"/>
    <w:rsid w:val="005267F2"/>
    <w:rsid w:val="00526B43"/>
    <w:rsid w:val="00526DC0"/>
    <w:rsid w:val="00526F04"/>
    <w:rsid w:val="00527106"/>
    <w:rsid w:val="0052718B"/>
    <w:rsid w:val="005271FD"/>
    <w:rsid w:val="005272BB"/>
    <w:rsid w:val="005272F1"/>
    <w:rsid w:val="00527305"/>
    <w:rsid w:val="00527314"/>
    <w:rsid w:val="00527401"/>
    <w:rsid w:val="0052740B"/>
    <w:rsid w:val="00527415"/>
    <w:rsid w:val="00527419"/>
    <w:rsid w:val="005274D7"/>
    <w:rsid w:val="00527544"/>
    <w:rsid w:val="005276DA"/>
    <w:rsid w:val="005278EE"/>
    <w:rsid w:val="005278FD"/>
    <w:rsid w:val="005279C1"/>
    <w:rsid w:val="00527AA2"/>
    <w:rsid w:val="00527AE8"/>
    <w:rsid w:val="00527BC1"/>
    <w:rsid w:val="00527D00"/>
    <w:rsid w:val="00527D03"/>
    <w:rsid w:val="00527DB9"/>
    <w:rsid w:val="00527E48"/>
    <w:rsid w:val="005302EA"/>
    <w:rsid w:val="005303C1"/>
    <w:rsid w:val="0053051F"/>
    <w:rsid w:val="0053072F"/>
    <w:rsid w:val="0053086A"/>
    <w:rsid w:val="00530954"/>
    <w:rsid w:val="00530A23"/>
    <w:rsid w:val="00530A73"/>
    <w:rsid w:val="00530D29"/>
    <w:rsid w:val="00530E2A"/>
    <w:rsid w:val="00530EAF"/>
    <w:rsid w:val="0053119B"/>
    <w:rsid w:val="005312E4"/>
    <w:rsid w:val="0053137F"/>
    <w:rsid w:val="0053148C"/>
    <w:rsid w:val="005314AB"/>
    <w:rsid w:val="005314FB"/>
    <w:rsid w:val="00531589"/>
    <w:rsid w:val="0053159C"/>
    <w:rsid w:val="00531608"/>
    <w:rsid w:val="00531683"/>
    <w:rsid w:val="00531692"/>
    <w:rsid w:val="00531743"/>
    <w:rsid w:val="00531C66"/>
    <w:rsid w:val="00531CDB"/>
    <w:rsid w:val="00531D94"/>
    <w:rsid w:val="00531E06"/>
    <w:rsid w:val="00531F9A"/>
    <w:rsid w:val="00532089"/>
    <w:rsid w:val="00532132"/>
    <w:rsid w:val="00532134"/>
    <w:rsid w:val="005325CF"/>
    <w:rsid w:val="0053289D"/>
    <w:rsid w:val="00532903"/>
    <w:rsid w:val="0053296F"/>
    <w:rsid w:val="005329A4"/>
    <w:rsid w:val="00532C96"/>
    <w:rsid w:val="00532E33"/>
    <w:rsid w:val="00532E64"/>
    <w:rsid w:val="00532E6C"/>
    <w:rsid w:val="005330A0"/>
    <w:rsid w:val="005330FA"/>
    <w:rsid w:val="00533150"/>
    <w:rsid w:val="00533191"/>
    <w:rsid w:val="005333C7"/>
    <w:rsid w:val="0053357C"/>
    <w:rsid w:val="00533584"/>
    <w:rsid w:val="005335DB"/>
    <w:rsid w:val="00533654"/>
    <w:rsid w:val="00533749"/>
    <w:rsid w:val="005337AB"/>
    <w:rsid w:val="005338BC"/>
    <w:rsid w:val="005339BF"/>
    <w:rsid w:val="005339E9"/>
    <w:rsid w:val="00533A52"/>
    <w:rsid w:val="00533B15"/>
    <w:rsid w:val="00533E74"/>
    <w:rsid w:val="00533EF8"/>
    <w:rsid w:val="00534191"/>
    <w:rsid w:val="005341E4"/>
    <w:rsid w:val="005343A3"/>
    <w:rsid w:val="0053442F"/>
    <w:rsid w:val="005344BB"/>
    <w:rsid w:val="00534596"/>
    <w:rsid w:val="00534637"/>
    <w:rsid w:val="005347AB"/>
    <w:rsid w:val="005347B8"/>
    <w:rsid w:val="0053484F"/>
    <w:rsid w:val="00534B88"/>
    <w:rsid w:val="00534C1F"/>
    <w:rsid w:val="00534DC0"/>
    <w:rsid w:val="00534E57"/>
    <w:rsid w:val="00534E92"/>
    <w:rsid w:val="00534F65"/>
    <w:rsid w:val="00535027"/>
    <w:rsid w:val="005350A2"/>
    <w:rsid w:val="005351D9"/>
    <w:rsid w:val="0053524A"/>
    <w:rsid w:val="00535289"/>
    <w:rsid w:val="005356C3"/>
    <w:rsid w:val="00535719"/>
    <w:rsid w:val="00535754"/>
    <w:rsid w:val="005357A5"/>
    <w:rsid w:val="005357C4"/>
    <w:rsid w:val="005358E8"/>
    <w:rsid w:val="0053592C"/>
    <w:rsid w:val="005359BE"/>
    <w:rsid w:val="00535B51"/>
    <w:rsid w:val="00535C6F"/>
    <w:rsid w:val="00535D72"/>
    <w:rsid w:val="00535DA5"/>
    <w:rsid w:val="00535E29"/>
    <w:rsid w:val="00535E42"/>
    <w:rsid w:val="0053607A"/>
    <w:rsid w:val="005360BD"/>
    <w:rsid w:val="005360F0"/>
    <w:rsid w:val="0053620D"/>
    <w:rsid w:val="00536411"/>
    <w:rsid w:val="005365A6"/>
    <w:rsid w:val="00536625"/>
    <w:rsid w:val="00536747"/>
    <w:rsid w:val="00536791"/>
    <w:rsid w:val="005369DE"/>
    <w:rsid w:val="00536A1A"/>
    <w:rsid w:val="00536AB2"/>
    <w:rsid w:val="00536BC2"/>
    <w:rsid w:val="00536BF2"/>
    <w:rsid w:val="00536C43"/>
    <w:rsid w:val="00536E25"/>
    <w:rsid w:val="00536E27"/>
    <w:rsid w:val="00536E68"/>
    <w:rsid w:val="00536EC8"/>
    <w:rsid w:val="00536EF9"/>
    <w:rsid w:val="00536F11"/>
    <w:rsid w:val="00537126"/>
    <w:rsid w:val="00537231"/>
    <w:rsid w:val="0053725B"/>
    <w:rsid w:val="005373A0"/>
    <w:rsid w:val="0053745C"/>
    <w:rsid w:val="00537468"/>
    <w:rsid w:val="0053774C"/>
    <w:rsid w:val="00537765"/>
    <w:rsid w:val="005378B5"/>
    <w:rsid w:val="00537A2C"/>
    <w:rsid w:val="00537C1A"/>
    <w:rsid w:val="00537C55"/>
    <w:rsid w:val="00537D59"/>
    <w:rsid w:val="00537F89"/>
    <w:rsid w:val="0054008C"/>
    <w:rsid w:val="0054009A"/>
    <w:rsid w:val="00540121"/>
    <w:rsid w:val="0054017F"/>
    <w:rsid w:val="005401E5"/>
    <w:rsid w:val="00540210"/>
    <w:rsid w:val="005402A4"/>
    <w:rsid w:val="00540366"/>
    <w:rsid w:val="00540424"/>
    <w:rsid w:val="00540554"/>
    <w:rsid w:val="0054059C"/>
    <w:rsid w:val="00540643"/>
    <w:rsid w:val="00540677"/>
    <w:rsid w:val="00540790"/>
    <w:rsid w:val="00540A52"/>
    <w:rsid w:val="00540AB2"/>
    <w:rsid w:val="00540DC7"/>
    <w:rsid w:val="00540E55"/>
    <w:rsid w:val="00540F91"/>
    <w:rsid w:val="00540FFC"/>
    <w:rsid w:val="005411C6"/>
    <w:rsid w:val="005412EB"/>
    <w:rsid w:val="005413C8"/>
    <w:rsid w:val="00541577"/>
    <w:rsid w:val="005416B9"/>
    <w:rsid w:val="005416DA"/>
    <w:rsid w:val="005416E2"/>
    <w:rsid w:val="005416F6"/>
    <w:rsid w:val="0054189D"/>
    <w:rsid w:val="00541A5D"/>
    <w:rsid w:val="00541A84"/>
    <w:rsid w:val="00541AEF"/>
    <w:rsid w:val="00541B2C"/>
    <w:rsid w:val="00541C45"/>
    <w:rsid w:val="00541C80"/>
    <w:rsid w:val="00541DD5"/>
    <w:rsid w:val="00541FA6"/>
    <w:rsid w:val="00541FD5"/>
    <w:rsid w:val="00542078"/>
    <w:rsid w:val="00542267"/>
    <w:rsid w:val="005422E6"/>
    <w:rsid w:val="0054233C"/>
    <w:rsid w:val="0054233E"/>
    <w:rsid w:val="00542507"/>
    <w:rsid w:val="00542550"/>
    <w:rsid w:val="005425DB"/>
    <w:rsid w:val="005426B3"/>
    <w:rsid w:val="00542803"/>
    <w:rsid w:val="00542A62"/>
    <w:rsid w:val="00542AA8"/>
    <w:rsid w:val="00542AE6"/>
    <w:rsid w:val="00542B29"/>
    <w:rsid w:val="00542C05"/>
    <w:rsid w:val="00542CD1"/>
    <w:rsid w:val="00542CDE"/>
    <w:rsid w:val="00542DC1"/>
    <w:rsid w:val="00542E05"/>
    <w:rsid w:val="00542E2A"/>
    <w:rsid w:val="00542E59"/>
    <w:rsid w:val="00542EF7"/>
    <w:rsid w:val="00542F23"/>
    <w:rsid w:val="00542F69"/>
    <w:rsid w:val="00543085"/>
    <w:rsid w:val="005430E7"/>
    <w:rsid w:val="00543386"/>
    <w:rsid w:val="005433D2"/>
    <w:rsid w:val="0054343D"/>
    <w:rsid w:val="0054361F"/>
    <w:rsid w:val="0054377B"/>
    <w:rsid w:val="00543837"/>
    <w:rsid w:val="00543B6B"/>
    <w:rsid w:val="00543B83"/>
    <w:rsid w:val="00543C75"/>
    <w:rsid w:val="00543D16"/>
    <w:rsid w:val="00543D37"/>
    <w:rsid w:val="00543E6F"/>
    <w:rsid w:val="00543FB1"/>
    <w:rsid w:val="00544100"/>
    <w:rsid w:val="00544285"/>
    <w:rsid w:val="0054435D"/>
    <w:rsid w:val="005443D8"/>
    <w:rsid w:val="00544451"/>
    <w:rsid w:val="0054453F"/>
    <w:rsid w:val="005445D0"/>
    <w:rsid w:val="005445F9"/>
    <w:rsid w:val="0054465A"/>
    <w:rsid w:val="00544759"/>
    <w:rsid w:val="005447A0"/>
    <w:rsid w:val="005448A7"/>
    <w:rsid w:val="00544905"/>
    <w:rsid w:val="00544969"/>
    <w:rsid w:val="005449C5"/>
    <w:rsid w:val="00544A69"/>
    <w:rsid w:val="00544CE2"/>
    <w:rsid w:val="00544E09"/>
    <w:rsid w:val="00544E48"/>
    <w:rsid w:val="00544EFE"/>
    <w:rsid w:val="00544F3F"/>
    <w:rsid w:val="00544FBC"/>
    <w:rsid w:val="0054505E"/>
    <w:rsid w:val="005450BE"/>
    <w:rsid w:val="005450CE"/>
    <w:rsid w:val="005451B5"/>
    <w:rsid w:val="005451EE"/>
    <w:rsid w:val="0054527F"/>
    <w:rsid w:val="005452EB"/>
    <w:rsid w:val="00545303"/>
    <w:rsid w:val="00545319"/>
    <w:rsid w:val="00545346"/>
    <w:rsid w:val="00545616"/>
    <w:rsid w:val="00545635"/>
    <w:rsid w:val="00545644"/>
    <w:rsid w:val="0054568C"/>
    <w:rsid w:val="005456E1"/>
    <w:rsid w:val="005458A9"/>
    <w:rsid w:val="00545926"/>
    <w:rsid w:val="00545CDC"/>
    <w:rsid w:val="00545D62"/>
    <w:rsid w:val="00545F6B"/>
    <w:rsid w:val="0054623B"/>
    <w:rsid w:val="00546337"/>
    <w:rsid w:val="00546383"/>
    <w:rsid w:val="005464DF"/>
    <w:rsid w:val="005467DA"/>
    <w:rsid w:val="00546865"/>
    <w:rsid w:val="00546877"/>
    <w:rsid w:val="005468F7"/>
    <w:rsid w:val="0054691F"/>
    <w:rsid w:val="00546956"/>
    <w:rsid w:val="00546968"/>
    <w:rsid w:val="00546A08"/>
    <w:rsid w:val="00546A9B"/>
    <w:rsid w:val="00546ADC"/>
    <w:rsid w:val="00546D43"/>
    <w:rsid w:val="00546DED"/>
    <w:rsid w:val="00546E0A"/>
    <w:rsid w:val="00546FBD"/>
    <w:rsid w:val="00547014"/>
    <w:rsid w:val="005470BC"/>
    <w:rsid w:val="0054762A"/>
    <w:rsid w:val="00547726"/>
    <w:rsid w:val="005477B3"/>
    <w:rsid w:val="0054787E"/>
    <w:rsid w:val="00547884"/>
    <w:rsid w:val="005478FE"/>
    <w:rsid w:val="0054792D"/>
    <w:rsid w:val="005479F8"/>
    <w:rsid w:val="00547BC1"/>
    <w:rsid w:val="00547C09"/>
    <w:rsid w:val="00547C55"/>
    <w:rsid w:val="00547C8D"/>
    <w:rsid w:val="00547DE3"/>
    <w:rsid w:val="00547F4D"/>
    <w:rsid w:val="00547F8F"/>
    <w:rsid w:val="00547FEC"/>
    <w:rsid w:val="0055009F"/>
    <w:rsid w:val="005501CC"/>
    <w:rsid w:val="00550254"/>
    <w:rsid w:val="0055043E"/>
    <w:rsid w:val="00550527"/>
    <w:rsid w:val="005506D1"/>
    <w:rsid w:val="00550707"/>
    <w:rsid w:val="00550722"/>
    <w:rsid w:val="0055078B"/>
    <w:rsid w:val="005507A8"/>
    <w:rsid w:val="00550854"/>
    <w:rsid w:val="00550900"/>
    <w:rsid w:val="00550A53"/>
    <w:rsid w:val="00550B48"/>
    <w:rsid w:val="00550C11"/>
    <w:rsid w:val="00550C14"/>
    <w:rsid w:val="00550CCD"/>
    <w:rsid w:val="00550DBC"/>
    <w:rsid w:val="00550E00"/>
    <w:rsid w:val="00551132"/>
    <w:rsid w:val="0055127C"/>
    <w:rsid w:val="0055134D"/>
    <w:rsid w:val="00551353"/>
    <w:rsid w:val="00551395"/>
    <w:rsid w:val="005514C9"/>
    <w:rsid w:val="005514FF"/>
    <w:rsid w:val="005516E9"/>
    <w:rsid w:val="00551771"/>
    <w:rsid w:val="00551830"/>
    <w:rsid w:val="00551AC5"/>
    <w:rsid w:val="00551C28"/>
    <w:rsid w:val="00551E35"/>
    <w:rsid w:val="00551E5F"/>
    <w:rsid w:val="00551EBE"/>
    <w:rsid w:val="00551FA5"/>
    <w:rsid w:val="0055209B"/>
    <w:rsid w:val="0055218E"/>
    <w:rsid w:val="0055221E"/>
    <w:rsid w:val="00552281"/>
    <w:rsid w:val="005523ED"/>
    <w:rsid w:val="00552412"/>
    <w:rsid w:val="00552491"/>
    <w:rsid w:val="0055256C"/>
    <w:rsid w:val="005526C5"/>
    <w:rsid w:val="005527A2"/>
    <w:rsid w:val="00552821"/>
    <w:rsid w:val="0055287C"/>
    <w:rsid w:val="00552C22"/>
    <w:rsid w:val="00552C83"/>
    <w:rsid w:val="00552F4F"/>
    <w:rsid w:val="00553045"/>
    <w:rsid w:val="005532BC"/>
    <w:rsid w:val="00553346"/>
    <w:rsid w:val="00553474"/>
    <w:rsid w:val="0055351F"/>
    <w:rsid w:val="005535F1"/>
    <w:rsid w:val="00553674"/>
    <w:rsid w:val="0055370C"/>
    <w:rsid w:val="00553863"/>
    <w:rsid w:val="0055387B"/>
    <w:rsid w:val="0055398E"/>
    <w:rsid w:val="00553C55"/>
    <w:rsid w:val="00553C60"/>
    <w:rsid w:val="00553D15"/>
    <w:rsid w:val="00553DC2"/>
    <w:rsid w:val="00553DEA"/>
    <w:rsid w:val="00553E3F"/>
    <w:rsid w:val="00553EB5"/>
    <w:rsid w:val="00553EE2"/>
    <w:rsid w:val="005540C2"/>
    <w:rsid w:val="005540E9"/>
    <w:rsid w:val="0055433E"/>
    <w:rsid w:val="005543E3"/>
    <w:rsid w:val="00554462"/>
    <w:rsid w:val="0055454B"/>
    <w:rsid w:val="0055455F"/>
    <w:rsid w:val="0055464A"/>
    <w:rsid w:val="0055480B"/>
    <w:rsid w:val="00554889"/>
    <w:rsid w:val="005548BB"/>
    <w:rsid w:val="00554DAA"/>
    <w:rsid w:val="00554E3E"/>
    <w:rsid w:val="00554F57"/>
    <w:rsid w:val="00554F7B"/>
    <w:rsid w:val="00554FDF"/>
    <w:rsid w:val="005550F7"/>
    <w:rsid w:val="0055527F"/>
    <w:rsid w:val="0055533D"/>
    <w:rsid w:val="005553E4"/>
    <w:rsid w:val="0055545B"/>
    <w:rsid w:val="0055556F"/>
    <w:rsid w:val="00555612"/>
    <w:rsid w:val="00555685"/>
    <w:rsid w:val="005556D5"/>
    <w:rsid w:val="005557DA"/>
    <w:rsid w:val="005558CE"/>
    <w:rsid w:val="00555964"/>
    <w:rsid w:val="005559F6"/>
    <w:rsid w:val="00555A7D"/>
    <w:rsid w:val="00555A82"/>
    <w:rsid w:val="00555B9F"/>
    <w:rsid w:val="00555C7D"/>
    <w:rsid w:val="00555DA5"/>
    <w:rsid w:val="00555E0B"/>
    <w:rsid w:val="00555E81"/>
    <w:rsid w:val="00555E95"/>
    <w:rsid w:val="00555FDE"/>
    <w:rsid w:val="00556046"/>
    <w:rsid w:val="0055607D"/>
    <w:rsid w:val="00556235"/>
    <w:rsid w:val="005564E2"/>
    <w:rsid w:val="005564EB"/>
    <w:rsid w:val="00556567"/>
    <w:rsid w:val="00556590"/>
    <w:rsid w:val="005567BE"/>
    <w:rsid w:val="005567CF"/>
    <w:rsid w:val="00556964"/>
    <w:rsid w:val="00556B28"/>
    <w:rsid w:val="00556B8A"/>
    <w:rsid w:val="00556D1A"/>
    <w:rsid w:val="00556E75"/>
    <w:rsid w:val="00556EB1"/>
    <w:rsid w:val="00556EFF"/>
    <w:rsid w:val="00556F32"/>
    <w:rsid w:val="00556FEB"/>
    <w:rsid w:val="0055714F"/>
    <w:rsid w:val="00557189"/>
    <w:rsid w:val="00557258"/>
    <w:rsid w:val="005572D7"/>
    <w:rsid w:val="00557375"/>
    <w:rsid w:val="0055743D"/>
    <w:rsid w:val="0055782D"/>
    <w:rsid w:val="0055799E"/>
    <w:rsid w:val="00557A4F"/>
    <w:rsid w:val="00557A72"/>
    <w:rsid w:val="00557B5E"/>
    <w:rsid w:val="00557BBE"/>
    <w:rsid w:val="00557BF3"/>
    <w:rsid w:val="00557E95"/>
    <w:rsid w:val="00557F3A"/>
    <w:rsid w:val="00557FD8"/>
    <w:rsid w:val="00557FF1"/>
    <w:rsid w:val="005600FC"/>
    <w:rsid w:val="005602B7"/>
    <w:rsid w:val="00560347"/>
    <w:rsid w:val="0056062A"/>
    <w:rsid w:val="0056063C"/>
    <w:rsid w:val="005607CA"/>
    <w:rsid w:val="0056085A"/>
    <w:rsid w:val="0056092C"/>
    <w:rsid w:val="005609D2"/>
    <w:rsid w:val="00560B47"/>
    <w:rsid w:val="00560B63"/>
    <w:rsid w:val="00560B88"/>
    <w:rsid w:val="00560DAC"/>
    <w:rsid w:val="00560E23"/>
    <w:rsid w:val="00560E45"/>
    <w:rsid w:val="00560F82"/>
    <w:rsid w:val="0056122B"/>
    <w:rsid w:val="00561393"/>
    <w:rsid w:val="00561466"/>
    <w:rsid w:val="0056168C"/>
    <w:rsid w:val="005618E4"/>
    <w:rsid w:val="00561A4C"/>
    <w:rsid w:val="00561CC9"/>
    <w:rsid w:val="00561DD7"/>
    <w:rsid w:val="00561DF1"/>
    <w:rsid w:val="00561E01"/>
    <w:rsid w:val="00561E8B"/>
    <w:rsid w:val="00561EC7"/>
    <w:rsid w:val="00561FB6"/>
    <w:rsid w:val="005620AC"/>
    <w:rsid w:val="00562203"/>
    <w:rsid w:val="00562230"/>
    <w:rsid w:val="00562346"/>
    <w:rsid w:val="005623B5"/>
    <w:rsid w:val="00562437"/>
    <w:rsid w:val="00562459"/>
    <w:rsid w:val="005625D3"/>
    <w:rsid w:val="00562847"/>
    <w:rsid w:val="00562888"/>
    <w:rsid w:val="00562956"/>
    <w:rsid w:val="00562AF9"/>
    <w:rsid w:val="00562C4C"/>
    <w:rsid w:val="00562D22"/>
    <w:rsid w:val="00562F52"/>
    <w:rsid w:val="00562FA1"/>
    <w:rsid w:val="00562FDB"/>
    <w:rsid w:val="00563077"/>
    <w:rsid w:val="005631AD"/>
    <w:rsid w:val="00563698"/>
    <w:rsid w:val="0056385F"/>
    <w:rsid w:val="005638F8"/>
    <w:rsid w:val="00563978"/>
    <w:rsid w:val="00563A6D"/>
    <w:rsid w:val="00563A89"/>
    <w:rsid w:val="00563B15"/>
    <w:rsid w:val="00563B41"/>
    <w:rsid w:val="00563B4C"/>
    <w:rsid w:val="00563B5F"/>
    <w:rsid w:val="00563BD4"/>
    <w:rsid w:val="00563C05"/>
    <w:rsid w:val="00563C2F"/>
    <w:rsid w:val="00563C44"/>
    <w:rsid w:val="00563CD6"/>
    <w:rsid w:val="00563D00"/>
    <w:rsid w:val="00563D1C"/>
    <w:rsid w:val="00563D38"/>
    <w:rsid w:val="00563DDB"/>
    <w:rsid w:val="00563E29"/>
    <w:rsid w:val="00563EBE"/>
    <w:rsid w:val="00563F6D"/>
    <w:rsid w:val="005641A1"/>
    <w:rsid w:val="0056434E"/>
    <w:rsid w:val="0056440F"/>
    <w:rsid w:val="0056447A"/>
    <w:rsid w:val="0056455E"/>
    <w:rsid w:val="00564648"/>
    <w:rsid w:val="0056465E"/>
    <w:rsid w:val="005646E9"/>
    <w:rsid w:val="00564746"/>
    <w:rsid w:val="005648A6"/>
    <w:rsid w:val="005648D7"/>
    <w:rsid w:val="0056494E"/>
    <w:rsid w:val="00564973"/>
    <w:rsid w:val="00564A22"/>
    <w:rsid w:val="00564A81"/>
    <w:rsid w:val="00564C4D"/>
    <w:rsid w:val="00564D71"/>
    <w:rsid w:val="00564D86"/>
    <w:rsid w:val="00565042"/>
    <w:rsid w:val="00565060"/>
    <w:rsid w:val="00565076"/>
    <w:rsid w:val="005650B4"/>
    <w:rsid w:val="00565175"/>
    <w:rsid w:val="00565180"/>
    <w:rsid w:val="00565280"/>
    <w:rsid w:val="005652E1"/>
    <w:rsid w:val="005653D1"/>
    <w:rsid w:val="00565499"/>
    <w:rsid w:val="00565597"/>
    <w:rsid w:val="00565618"/>
    <w:rsid w:val="00565792"/>
    <w:rsid w:val="005657D3"/>
    <w:rsid w:val="005657D9"/>
    <w:rsid w:val="00565826"/>
    <w:rsid w:val="00565A74"/>
    <w:rsid w:val="00565B7C"/>
    <w:rsid w:val="00565BB8"/>
    <w:rsid w:val="00565BD1"/>
    <w:rsid w:val="00565D0B"/>
    <w:rsid w:val="00565DA2"/>
    <w:rsid w:val="0056601A"/>
    <w:rsid w:val="00566022"/>
    <w:rsid w:val="005660D4"/>
    <w:rsid w:val="005661C6"/>
    <w:rsid w:val="00566325"/>
    <w:rsid w:val="005665CF"/>
    <w:rsid w:val="00566610"/>
    <w:rsid w:val="00566618"/>
    <w:rsid w:val="0056668A"/>
    <w:rsid w:val="00566836"/>
    <w:rsid w:val="00566A19"/>
    <w:rsid w:val="00566AFA"/>
    <w:rsid w:val="00566B95"/>
    <w:rsid w:val="00566D03"/>
    <w:rsid w:val="00566D5D"/>
    <w:rsid w:val="00566DE3"/>
    <w:rsid w:val="005670D1"/>
    <w:rsid w:val="005670FB"/>
    <w:rsid w:val="00567147"/>
    <w:rsid w:val="005672BC"/>
    <w:rsid w:val="00567341"/>
    <w:rsid w:val="00567392"/>
    <w:rsid w:val="0056768F"/>
    <w:rsid w:val="0056769B"/>
    <w:rsid w:val="00567B6B"/>
    <w:rsid w:val="00567E3B"/>
    <w:rsid w:val="00567E88"/>
    <w:rsid w:val="00567ECA"/>
    <w:rsid w:val="00567EFF"/>
    <w:rsid w:val="00567F5A"/>
    <w:rsid w:val="00567F74"/>
    <w:rsid w:val="005700F2"/>
    <w:rsid w:val="005701FF"/>
    <w:rsid w:val="00570297"/>
    <w:rsid w:val="00570462"/>
    <w:rsid w:val="005705AB"/>
    <w:rsid w:val="005706C4"/>
    <w:rsid w:val="005706CD"/>
    <w:rsid w:val="005708E7"/>
    <w:rsid w:val="00570A25"/>
    <w:rsid w:val="00570AF0"/>
    <w:rsid w:val="00570B4D"/>
    <w:rsid w:val="00570CFC"/>
    <w:rsid w:val="00570DA8"/>
    <w:rsid w:val="00570E2A"/>
    <w:rsid w:val="005710E5"/>
    <w:rsid w:val="005711A6"/>
    <w:rsid w:val="0057124D"/>
    <w:rsid w:val="0057136A"/>
    <w:rsid w:val="00571378"/>
    <w:rsid w:val="005714F9"/>
    <w:rsid w:val="005715BD"/>
    <w:rsid w:val="0057187C"/>
    <w:rsid w:val="005718A6"/>
    <w:rsid w:val="00571AC1"/>
    <w:rsid w:val="00571CB0"/>
    <w:rsid w:val="00571CB9"/>
    <w:rsid w:val="00571DAF"/>
    <w:rsid w:val="00571F18"/>
    <w:rsid w:val="00571F80"/>
    <w:rsid w:val="00572085"/>
    <w:rsid w:val="005720B1"/>
    <w:rsid w:val="0057229B"/>
    <w:rsid w:val="00572443"/>
    <w:rsid w:val="00572480"/>
    <w:rsid w:val="005724C2"/>
    <w:rsid w:val="005727F8"/>
    <w:rsid w:val="00572882"/>
    <w:rsid w:val="00572A0E"/>
    <w:rsid w:val="00572C20"/>
    <w:rsid w:val="00572C68"/>
    <w:rsid w:val="00572DAF"/>
    <w:rsid w:val="00572E69"/>
    <w:rsid w:val="00572E85"/>
    <w:rsid w:val="00572F00"/>
    <w:rsid w:val="00572F97"/>
    <w:rsid w:val="00572FC8"/>
    <w:rsid w:val="0057314F"/>
    <w:rsid w:val="00573172"/>
    <w:rsid w:val="005731BA"/>
    <w:rsid w:val="0057326F"/>
    <w:rsid w:val="00573362"/>
    <w:rsid w:val="005734AC"/>
    <w:rsid w:val="00573605"/>
    <w:rsid w:val="00573636"/>
    <w:rsid w:val="005737F6"/>
    <w:rsid w:val="005739CF"/>
    <w:rsid w:val="00573AAE"/>
    <w:rsid w:val="00573E8D"/>
    <w:rsid w:val="00574046"/>
    <w:rsid w:val="00574398"/>
    <w:rsid w:val="005743DF"/>
    <w:rsid w:val="00574437"/>
    <w:rsid w:val="0057446D"/>
    <w:rsid w:val="00574789"/>
    <w:rsid w:val="00574953"/>
    <w:rsid w:val="005749BE"/>
    <w:rsid w:val="00574AA6"/>
    <w:rsid w:val="00574ADA"/>
    <w:rsid w:val="00574BAF"/>
    <w:rsid w:val="00574BB3"/>
    <w:rsid w:val="00574C87"/>
    <w:rsid w:val="00575101"/>
    <w:rsid w:val="00575115"/>
    <w:rsid w:val="0057516E"/>
    <w:rsid w:val="0057553F"/>
    <w:rsid w:val="005757B4"/>
    <w:rsid w:val="0057586D"/>
    <w:rsid w:val="005759CC"/>
    <w:rsid w:val="00575A90"/>
    <w:rsid w:val="00575B1E"/>
    <w:rsid w:val="00575B81"/>
    <w:rsid w:val="00575C20"/>
    <w:rsid w:val="00575E9B"/>
    <w:rsid w:val="00575EFE"/>
    <w:rsid w:val="00576076"/>
    <w:rsid w:val="005760C7"/>
    <w:rsid w:val="0057627D"/>
    <w:rsid w:val="005764F8"/>
    <w:rsid w:val="005765E9"/>
    <w:rsid w:val="00576742"/>
    <w:rsid w:val="00576788"/>
    <w:rsid w:val="005767E0"/>
    <w:rsid w:val="005768B1"/>
    <w:rsid w:val="0057691F"/>
    <w:rsid w:val="005769B5"/>
    <w:rsid w:val="005769EB"/>
    <w:rsid w:val="00576C29"/>
    <w:rsid w:val="00576C8D"/>
    <w:rsid w:val="00576CE4"/>
    <w:rsid w:val="00576D52"/>
    <w:rsid w:val="00576D5D"/>
    <w:rsid w:val="00576D8F"/>
    <w:rsid w:val="00576E47"/>
    <w:rsid w:val="00576EAB"/>
    <w:rsid w:val="00576F3E"/>
    <w:rsid w:val="005770F3"/>
    <w:rsid w:val="005772F9"/>
    <w:rsid w:val="005774E3"/>
    <w:rsid w:val="00577541"/>
    <w:rsid w:val="005777FB"/>
    <w:rsid w:val="00577874"/>
    <w:rsid w:val="005778CF"/>
    <w:rsid w:val="00577A10"/>
    <w:rsid w:val="00577AA0"/>
    <w:rsid w:val="00577CB9"/>
    <w:rsid w:val="00577D53"/>
    <w:rsid w:val="005801B7"/>
    <w:rsid w:val="00580259"/>
    <w:rsid w:val="00580293"/>
    <w:rsid w:val="0058042D"/>
    <w:rsid w:val="005805CF"/>
    <w:rsid w:val="0058093A"/>
    <w:rsid w:val="00580963"/>
    <w:rsid w:val="005809F9"/>
    <w:rsid w:val="00580A71"/>
    <w:rsid w:val="00580A7E"/>
    <w:rsid w:val="00580C6F"/>
    <w:rsid w:val="00580C7B"/>
    <w:rsid w:val="00580C83"/>
    <w:rsid w:val="00580CB5"/>
    <w:rsid w:val="00580D03"/>
    <w:rsid w:val="00580D28"/>
    <w:rsid w:val="00580DDA"/>
    <w:rsid w:val="00581023"/>
    <w:rsid w:val="00581091"/>
    <w:rsid w:val="0058119D"/>
    <w:rsid w:val="00581286"/>
    <w:rsid w:val="005813C0"/>
    <w:rsid w:val="00581401"/>
    <w:rsid w:val="00581410"/>
    <w:rsid w:val="00581447"/>
    <w:rsid w:val="005814AA"/>
    <w:rsid w:val="0058171A"/>
    <w:rsid w:val="0058180A"/>
    <w:rsid w:val="005819A8"/>
    <w:rsid w:val="00581A19"/>
    <w:rsid w:val="00581B2D"/>
    <w:rsid w:val="00581BAC"/>
    <w:rsid w:val="00581BBC"/>
    <w:rsid w:val="00581C10"/>
    <w:rsid w:val="00581DC9"/>
    <w:rsid w:val="00581EDD"/>
    <w:rsid w:val="00581F50"/>
    <w:rsid w:val="0058201F"/>
    <w:rsid w:val="00582132"/>
    <w:rsid w:val="00582431"/>
    <w:rsid w:val="00582592"/>
    <w:rsid w:val="0058259D"/>
    <w:rsid w:val="00582671"/>
    <w:rsid w:val="0058274D"/>
    <w:rsid w:val="005827A1"/>
    <w:rsid w:val="00582A81"/>
    <w:rsid w:val="00582B34"/>
    <w:rsid w:val="00582B35"/>
    <w:rsid w:val="00582B97"/>
    <w:rsid w:val="00582C91"/>
    <w:rsid w:val="00582D43"/>
    <w:rsid w:val="00582D60"/>
    <w:rsid w:val="00582EC3"/>
    <w:rsid w:val="00582F3A"/>
    <w:rsid w:val="00582F60"/>
    <w:rsid w:val="00583093"/>
    <w:rsid w:val="005832E2"/>
    <w:rsid w:val="005836D2"/>
    <w:rsid w:val="00583763"/>
    <w:rsid w:val="0058384D"/>
    <w:rsid w:val="0058393C"/>
    <w:rsid w:val="0058394D"/>
    <w:rsid w:val="00583A6B"/>
    <w:rsid w:val="00583C1F"/>
    <w:rsid w:val="00583DCA"/>
    <w:rsid w:val="00583DDC"/>
    <w:rsid w:val="00583FE3"/>
    <w:rsid w:val="0058404D"/>
    <w:rsid w:val="00584057"/>
    <w:rsid w:val="005841AD"/>
    <w:rsid w:val="005844A6"/>
    <w:rsid w:val="00584775"/>
    <w:rsid w:val="005849C7"/>
    <w:rsid w:val="005849EA"/>
    <w:rsid w:val="00584BB2"/>
    <w:rsid w:val="00584F58"/>
    <w:rsid w:val="005850FE"/>
    <w:rsid w:val="00585185"/>
    <w:rsid w:val="00585193"/>
    <w:rsid w:val="005853D3"/>
    <w:rsid w:val="005854E2"/>
    <w:rsid w:val="00585526"/>
    <w:rsid w:val="005855CF"/>
    <w:rsid w:val="00585725"/>
    <w:rsid w:val="005857D9"/>
    <w:rsid w:val="00585896"/>
    <w:rsid w:val="005860BB"/>
    <w:rsid w:val="0058615F"/>
    <w:rsid w:val="0058627E"/>
    <w:rsid w:val="005862B2"/>
    <w:rsid w:val="005863C6"/>
    <w:rsid w:val="0058645C"/>
    <w:rsid w:val="0058654A"/>
    <w:rsid w:val="0058656B"/>
    <w:rsid w:val="005865A1"/>
    <w:rsid w:val="005867C0"/>
    <w:rsid w:val="005868CF"/>
    <w:rsid w:val="00586912"/>
    <w:rsid w:val="005869F8"/>
    <w:rsid w:val="00586BB0"/>
    <w:rsid w:val="00586C78"/>
    <w:rsid w:val="00586D56"/>
    <w:rsid w:val="00587082"/>
    <w:rsid w:val="005870BA"/>
    <w:rsid w:val="005871D6"/>
    <w:rsid w:val="00587287"/>
    <w:rsid w:val="00587465"/>
    <w:rsid w:val="005874FB"/>
    <w:rsid w:val="0058767F"/>
    <w:rsid w:val="005876EA"/>
    <w:rsid w:val="00587718"/>
    <w:rsid w:val="0058772F"/>
    <w:rsid w:val="005877C7"/>
    <w:rsid w:val="005879F9"/>
    <w:rsid w:val="00587A80"/>
    <w:rsid w:val="00587ADE"/>
    <w:rsid w:val="00587B09"/>
    <w:rsid w:val="00587B6A"/>
    <w:rsid w:val="00587BAA"/>
    <w:rsid w:val="00587C54"/>
    <w:rsid w:val="00587D61"/>
    <w:rsid w:val="00587E20"/>
    <w:rsid w:val="00587E22"/>
    <w:rsid w:val="00587E5B"/>
    <w:rsid w:val="00587E73"/>
    <w:rsid w:val="00587ED7"/>
    <w:rsid w:val="00590134"/>
    <w:rsid w:val="00590388"/>
    <w:rsid w:val="00590483"/>
    <w:rsid w:val="0059052E"/>
    <w:rsid w:val="005905FA"/>
    <w:rsid w:val="00590600"/>
    <w:rsid w:val="00590645"/>
    <w:rsid w:val="005906E3"/>
    <w:rsid w:val="00590892"/>
    <w:rsid w:val="00590A47"/>
    <w:rsid w:val="00590B39"/>
    <w:rsid w:val="00590C8C"/>
    <w:rsid w:val="00590DD0"/>
    <w:rsid w:val="00590E66"/>
    <w:rsid w:val="00590ECF"/>
    <w:rsid w:val="00590F2E"/>
    <w:rsid w:val="00590FBB"/>
    <w:rsid w:val="0059102B"/>
    <w:rsid w:val="00591090"/>
    <w:rsid w:val="005910A8"/>
    <w:rsid w:val="00591497"/>
    <w:rsid w:val="005914EA"/>
    <w:rsid w:val="005914EE"/>
    <w:rsid w:val="00591668"/>
    <w:rsid w:val="00591830"/>
    <w:rsid w:val="0059184A"/>
    <w:rsid w:val="005918EC"/>
    <w:rsid w:val="00591B5B"/>
    <w:rsid w:val="00591D0C"/>
    <w:rsid w:val="00591E22"/>
    <w:rsid w:val="00591EFF"/>
    <w:rsid w:val="00591F89"/>
    <w:rsid w:val="00592009"/>
    <w:rsid w:val="00592071"/>
    <w:rsid w:val="00592147"/>
    <w:rsid w:val="005921B3"/>
    <w:rsid w:val="00592234"/>
    <w:rsid w:val="005923CD"/>
    <w:rsid w:val="005926DA"/>
    <w:rsid w:val="0059275A"/>
    <w:rsid w:val="00592816"/>
    <w:rsid w:val="005928C5"/>
    <w:rsid w:val="00592960"/>
    <w:rsid w:val="005929DA"/>
    <w:rsid w:val="00592C1E"/>
    <w:rsid w:val="00592D01"/>
    <w:rsid w:val="00592D0E"/>
    <w:rsid w:val="00592E12"/>
    <w:rsid w:val="00592EF5"/>
    <w:rsid w:val="00593085"/>
    <w:rsid w:val="005930AE"/>
    <w:rsid w:val="0059319B"/>
    <w:rsid w:val="005931D8"/>
    <w:rsid w:val="0059323A"/>
    <w:rsid w:val="0059325C"/>
    <w:rsid w:val="00593547"/>
    <w:rsid w:val="005936B4"/>
    <w:rsid w:val="0059376F"/>
    <w:rsid w:val="00593818"/>
    <w:rsid w:val="00593858"/>
    <w:rsid w:val="00593A28"/>
    <w:rsid w:val="00593AA4"/>
    <w:rsid w:val="00593B1B"/>
    <w:rsid w:val="00593B23"/>
    <w:rsid w:val="00593BFE"/>
    <w:rsid w:val="00593E3D"/>
    <w:rsid w:val="00593EE9"/>
    <w:rsid w:val="00593F5D"/>
    <w:rsid w:val="0059423B"/>
    <w:rsid w:val="00594284"/>
    <w:rsid w:val="00594288"/>
    <w:rsid w:val="00594418"/>
    <w:rsid w:val="0059456C"/>
    <w:rsid w:val="005945A3"/>
    <w:rsid w:val="005945A7"/>
    <w:rsid w:val="0059476A"/>
    <w:rsid w:val="005948C9"/>
    <w:rsid w:val="005949CF"/>
    <w:rsid w:val="00594A0D"/>
    <w:rsid w:val="00594BBB"/>
    <w:rsid w:val="00594C8D"/>
    <w:rsid w:val="00594D5C"/>
    <w:rsid w:val="00594DED"/>
    <w:rsid w:val="00594EFA"/>
    <w:rsid w:val="005950E7"/>
    <w:rsid w:val="0059523C"/>
    <w:rsid w:val="005954FF"/>
    <w:rsid w:val="00595523"/>
    <w:rsid w:val="00595527"/>
    <w:rsid w:val="00595532"/>
    <w:rsid w:val="0059554B"/>
    <w:rsid w:val="0059559E"/>
    <w:rsid w:val="005956FF"/>
    <w:rsid w:val="00595760"/>
    <w:rsid w:val="0059578B"/>
    <w:rsid w:val="00595925"/>
    <w:rsid w:val="00595A24"/>
    <w:rsid w:val="00595A2A"/>
    <w:rsid w:val="00595AF7"/>
    <w:rsid w:val="00595B02"/>
    <w:rsid w:val="00595B3B"/>
    <w:rsid w:val="00595B4D"/>
    <w:rsid w:val="00595B98"/>
    <w:rsid w:val="00595F23"/>
    <w:rsid w:val="00595F41"/>
    <w:rsid w:val="00595F84"/>
    <w:rsid w:val="005960A2"/>
    <w:rsid w:val="0059624A"/>
    <w:rsid w:val="00596607"/>
    <w:rsid w:val="0059677D"/>
    <w:rsid w:val="005967BB"/>
    <w:rsid w:val="00596B6E"/>
    <w:rsid w:val="00596C53"/>
    <w:rsid w:val="00596C9A"/>
    <w:rsid w:val="00596CA3"/>
    <w:rsid w:val="00596CC2"/>
    <w:rsid w:val="00596E17"/>
    <w:rsid w:val="00596E65"/>
    <w:rsid w:val="00596F92"/>
    <w:rsid w:val="00596FA6"/>
    <w:rsid w:val="0059703F"/>
    <w:rsid w:val="00597111"/>
    <w:rsid w:val="00597114"/>
    <w:rsid w:val="0059711A"/>
    <w:rsid w:val="0059718C"/>
    <w:rsid w:val="005971A4"/>
    <w:rsid w:val="005971E3"/>
    <w:rsid w:val="00597249"/>
    <w:rsid w:val="005972B2"/>
    <w:rsid w:val="005972C0"/>
    <w:rsid w:val="005973A5"/>
    <w:rsid w:val="005973C4"/>
    <w:rsid w:val="00597438"/>
    <w:rsid w:val="005974BD"/>
    <w:rsid w:val="0059760A"/>
    <w:rsid w:val="00597649"/>
    <w:rsid w:val="005976F9"/>
    <w:rsid w:val="005978F9"/>
    <w:rsid w:val="005979C3"/>
    <w:rsid w:val="00597B02"/>
    <w:rsid w:val="00597EF0"/>
    <w:rsid w:val="00597FC0"/>
    <w:rsid w:val="005A00A0"/>
    <w:rsid w:val="005A00C3"/>
    <w:rsid w:val="005A00D4"/>
    <w:rsid w:val="005A010D"/>
    <w:rsid w:val="005A0260"/>
    <w:rsid w:val="005A0320"/>
    <w:rsid w:val="005A0325"/>
    <w:rsid w:val="005A0590"/>
    <w:rsid w:val="005A0838"/>
    <w:rsid w:val="005A0870"/>
    <w:rsid w:val="005A0904"/>
    <w:rsid w:val="005A0B06"/>
    <w:rsid w:val="005A0B12"/>
    <w:rsid w:val="005A0D8C"/>
    <w:rsid w:val="005A0E17"/>
    <w:rsid w:val="005A0E94"/>
    <w:rsid w:val="005A0EA4"/>
    <w:rsid w:val="005A1005"/>
    <w:rsid w:val="005A1057"/>
    <w:rsid w:val="005A10EC"/>
    <w:rsid w:val="005A1108"/>
    <w:rsid w:val="005A1178"/>
    <w:rsid w:val="005A1210"/>
    <w:rsid w:val="005A1214"/>
    <w:rsid w:val="005A147D"/>
    <w:rsid w:val="005A1723"/>
    <w:rsid w:val="005A1765"/>
    <w:rsid w:val="005A18B0"/>
    <w:rsid w:val="005A18CD"/>
    <w:rsid w:val="005A18F0"/>
    <w:rsid w:val="005A1A07"/>
    <w:rsid w:val="005A1A6A"/>
    <w:rsid w:val="005A1A70"/>
    <w:rsid w:val="005A1A80"/>
    <w:rsid w:val="005A1AB5"/>
    <w:rsid w:val="005A1AE3"/>
    <w:rsid w:val="005A1B2F"/>
    <w:rsid w:val="005A1CD2"/>
    <w:rsid w:val="005A1E3A"/>
    <w:rsid w:val="005A1F39"/>
    <w:rsid w:val="005A1FFE"/>
    <w:rsid w:val="005A249D"/>
    <w:rsid w:val="005A24D4"/>
    <w:rsid w:val="005A252D"/>
    <w:rsid w:val="005A26EA"/>
    <w:rsid w:val="005A27E6"/>
    <w:rsid w:val="005A282E"/>
    <w:rsid w:val="005A2833"/>
    <w:rsid w:val="005A283A"/>
    <w:rsid w:val="005A2A13"/>
    <w:rsid w:val="005A2A54"/>
    <w:rsid w:val="005A2AB0"/>
    <w:rsid w:val="005A2BAA"/>
    <w:rsid w:val="005A2BCC"/>
    <w:rsid w:val="005A2CFE"/>
    <w:rsid w:val="005A2D02"/>
    <w:rsid w:val="005A2D04"/>
    <w:rsid w:val="005A3049"/>
    <w:rsid w:val="005A30FA"/>
    <w:rsid w:val="005A314E"/>
    <w:rsid w:val="005A334B"/>
    <w:rsid w:val="005A34B3"/>
    <w:rsid w:val="005A34F1"/>
    <w:rsid w:val="005A35AB"/>
    <w:rsid w:val="005A35C8"/>
    <w:rsid w:val="005A375D"/>
    <w:rsid w:val="005A394B"/>
    <w:rsid w:val="005A39A2"/>
    <w:rsid w:val="005A39BA"/>
    <w:rsid w:val="005A39E0"/>
    <w:rsid w:val="005A3A76"/>
    <w:rsid w:val="005A3D49"/>
    <w:rsid w:val="005A4147"/>
    <w:rsid w:val="005A430B"/>
    <w:rsid w:val="005A4448"/>
    <w:rsid w:val="005A4630"/>
    <w:rsid w:val="005A46FF"/>
    <w:rsid w:val="005A4714"/>
    <w:rsid w:val="005A47EE"/>
    <w:rsid w:val="005A47FE"/>
    <w:rsid w:val="005A4847"/>
    <w:rsid w:val="005A4870"/>
    <w:rsid w:val="005A48AA"/>
    <w:rsid w:val="005A4939"/>
    <w:rsid w:val="005A49E5"/>
    <w:rsid w:val="005A4A51"/>
    <w:rsid w:val="005A4C33"/>
    <w:rsid w:val="005A4C78"/>
    <w:rsid w:val="005A4C8B"/>
    <w:rsid w:val="005A4CE4"/>
    <w:rsid w:val="005A4CF4"/>
    <w:rsid w:val="005A4D0F"/>
    <w:rsid w:val="005A4FD4"/>
    <w:rsid w:val="005A51B1"/>
    <w:rsid w:val="005A529A"/>
    <w:rsid w:val="005A53DA"/>
    <w:rsid w:val="005A5477"/>
    <w:rsid w:val="005A54B8"/>
    <w:rsid w:val="005A5520"/>
    <w:rsid w:val="005A5568"/>
    <w:rsid w:val="005A55E6"/>
    <w:rsid w:val="005A560A"/>
    <w:rsid w:val="005A5630"/>
    <w:rsid w:val="005A56EA"/>
    <w:rsid w:val="005A5768"/>
    <w:rsid w:val="005A5784"/>
    <w:rsid w:val="005A57A9"/>
    <w:rsid w:val="005A58E5"/>
    <w:rsid w:val="005A59F7"/>
    <w:rsid w:val="005A5A56"/>
    <w:rsid w:val="005A5BC4"/>
    <w:rsid w:val="005A5D42"/>
    <w:rsid w:val="005A5D76"/>
    <w:rsid w:val="005A5F6F"/>
    <w:rsid w:val="005A601D"/>
    <w:rsid w:val="005A6070"/>
    <w:rsid w:val="005A610B"/>
    <w:rsid w:val="005A6144"/>
    <w:rsid w:val="005A6310"/>
    <w:rsid w:val="005A64FE"/>
    <w:rsid w:val="005A655F"/>
    <w:rsid w:val="005A656A"/>
    <w:rsid w:val="005A680A"/>
    <w:rsid w:val="005A68EB"/>
    <w:rsid w:val="005A6901"/>
    <w:rsid w:val="005A6988"/>
    <w:rsid w:val="005A6A5F"/>
    <w:rsid w:val="005A6B79"/>
    <w:rsid w:val="005A6C5B"/>
    <w:rsid w:val="005A6F04"/>
    <w:rsid w:val="005A6F67"/>
    <w:rsid w:val="005A6FFF"/>
    <w:rsid w:val="005A70F8"/>
    <w:rsid w:val="005A7132"/>
    <w:rsid w:val="005A71AA"/>
    <w:rsid w:val="005A7210"/>
    <w:rsid w:val="005A7218"/>
    <w:rsid w:val="005A7289"/>
    <w:rsid w:val="005A73BE"/>
    <w:rsid w:val="005A784F"/>
    <w:rsid w:val="005A78E1"/>
    <w:rsid w:val="005A7B88"/>
    <w:rsid w:val="005A7C7B"/>
    <w:rsid w:val="005A7F0A"/>
    <w:rsid w:val="005A7F47"/>
    <w:rsid w:val="005A7FC2"/>
    <w:rsid w:val="005B033E"/>
    <w:rsid w:val="005B03D4"/>
    <w:rsid w:val="005B0434"/>
    <w:rsid w:val="005B0489"/>
    <w:rsid w:val="005B04C8"/>
    <w:rsid w:val="005B05BF"/>
    <w:rsid w:val="005B06B6"/>
    <w:rsid w:val="005B0994"/>
    <w:rsid w:val="005B0B88"/>
    <w:rsid w:val="005B0B9B"/>
    <w:rsid w:val="005B0CF6"/>
    <w:rsid w:val="005B0DE7"/>
    <w:rsid w:val="005B0E25"/>
    <w:rsid w:val="005B0F0E"/>
    <w:rsid w:val="005B0FB7"/>
    <w:rsid w:val="005B0FC1"/>
    <w:rsid w:val="005B1016"/>
    <w:rsid w:val="005B1032"/>
    <w:rsid w:val="005B1058"/>
    <w:rsid w:val="005B1136"/>
    <w:rsid w:val="005B115E"/>
    <w:rsid w:val="005B1270"/>
    <w:rsid w:val="005B12F4"/>
    <w:rsid w:val="005B1456"/>
    <w:rsid w:val="005B1822"/>
    <w:rsid w:val="005B1862"/>
    <w:rsid w:val="005B1879"/>
    <w:rsid w:val="005B18EC"/>
    <w:rsid w:val="005B1A94"/>
    <w:rsid w:val="005B2009"/>
    <w:rsid w:val="005B2023"/>
    <w:rsid w:val="005B205C"/>
    <w:rsid w:val="005B2268"/>
    <w:rsid w:val="005B240C"/>
    <w:rsid w:val="005B26E2"/>
    <w:rsid w:val="005B2707"/>
    <w:rsid w:val="005B29BA"/>
    <w:rsid w:val="005B2AF4"/>
    <w:rsid w:val="005B2BFA"/>
    <w:rsid w:val="005B2CDC"/>
    <w:rsid w:val="005B2D15"/>
    <w:rsid w:val="005B2E95"/>
    <w:rsid w:val="005B2FCC"/>
    <w:rsid w:val="005B300E"/>
    <w:rsid w:val="005B3448"/>
    <w:rsid w:val="005B371F"/>
    <w:rsid w:val="005B37DB"/>
    <w:rsid w:val="005B381D"/>
    <w:rsid w:val="005B3879"/>
    <w:rsid w:val="005B39B6"/>
    <w:rsid w:val="005B3E32"/>
    <w:rsid w:val="005B3E72"/>
    <w:rsid w:val="005B3F70"/>
    <w:rsid w:val="005B3FBB"/>
    <w:rsid w:val="005B4088"/>
    <w:rsid w:val="005B40D9"/>
    <w:rsid w:val="005B40E8"/>
    <w:rsid w:val="005B410B"/>
    <w:rsid w:val="005B421F"/>
    <w:rsid w:val="005B442E"/>
    <w:rsid w:val="005B4723"/>
    <w:rsid w:val="005B477F"/>
    <w:rsid w:val="005B47E4"/>
    <w:rsid w:val="005B47F6"/>
    <w:rsid w:val="005B481C"/>
    <w:rsid w:val="005B492B"/>
    <w:rsid w:val="005B493F"/>
    <w:rsid w:val="005B49B0"/>
    <w:rsid w:val="005B4A4C"/>
    <w:rsid w:val="005B4CF4"/>
    <w:rsid w:val="005B4E0B"/>
    <w:rsid w:val="005B4E57"/>
    <w:rsid w:val="005B4F8F"/>
    <w:rsid w:val="005B4FA1"/>
    <w:rsid w:val="005B51F1"/>
    <w:rsid w:val="005B52C0"/>
    <w:rsid w:val="005B5386"/>
    <w:rsid w:val="005B53A5"/>
    <w:rsid w:val="005B54F2"/>
    <w:rsid w:val="005B57BE"/>
    <w:rsid w:val="005B5E4B"/>
    <w:rsid w:val="005B5E4F"/>
    <w:rsid w:val="005B5FF4"/>
    <w:rsid w:val="005B61A3"/>
    <w:rsid w:val="005B61BE"/>
    <w:rsid w:val="005B62C1"/>
    <w:rsid w:val="005B653C"/>
    <w:rsid w:val="005B6812"/>
    <w:rsid w:val="005B69AD"/>
    <w:rsid w:val="005B6A54"/>
    <w:rsid w:val="005B6A8D"/>
    <w:rsid w:val="005B6ACB"/>
    <w:rsid w:val="005B6C27"/>
    <w:rsid w:val="005B6C59"/>
    <w:rsid w:val="005B6FFA"/>
    <w:rsid w:val="005B70E7"/>
    <w:rsid w:val="005B7129"/>
    <w:rsid w:val="005B72E4"/>
    <w:rsid w:val="005B7314"/>
    <w:rsid w:val="005B73AE"/>
    <w:rsid w:val="005B74CF"/>
    <w:rsid w:val="005B750F"/>
    <w:rsid w:val="005B7883"/>
    <w:rsid w:val="005B791B"/>
    <w:rsid w:val="005B7972"/>
    <w:rsid w:val="005B7B68"/>
    <w:rsid w:val="005B7C72"/>
    <w:rsid w:val="005B7D4B"/>
    <w:rsid w:val="005B7DC7"/>
    <w:rsid w:val="005B7DE2"/>
    <w:rsid w:val="005B7E18"/>
    <w:rsid w:val="005B7F92"/>
    <w:rsid w:val="005C0007"/>
    <w:rsid w:val="005C00C6"/>
    <w:rsid w:val="005C0573"/>
    <w:rsid w:val="005C063D"/>
    <w:rsid w:val="005C0825"/>
    <w:rsid w:val="005C0987"/>
    <w:rsid w:val="005C09CE"/>
    <w:rsid w:val="005C0A81"/>
    <w:rsid w:val="005C0B28"/>
    <w:rsid w:val="005C0BFC"/>
    <w:rsid w:val="005C0E0E"/>
    <w:rsid w:val="005C0FB9"/>
    <w:rsid w:val="005C10ED"/>
    <w:rsid w:val="005C1466"/>
    <w:rsid w:val="005C1553"/>
    <w:rsid w:val="005C15E8"/>
    <w:rsid w:val="005C1854"/>
    <w:rsid w:val="005C1867"/>
    <w:rsid w:val="005C1882"/>
    <w:rsid w:val="005C18BD"/>
    <w:rsid w:val="005C1946"/>
    <w:rsid w:val="005C19F4"/>
    <w:rsid w:val="005C1A6A"/>
    <w:rsid w:val="005C1DB9"/>
    <w:rsid w:val="005C1DC4"/>
    <w:rsid w:val="005C201E"/>
    <w:rsid w:val="005C20C4"/>
    <w:rsid w:val="005C229F"/>
    <w:rsid w:val="005C2346"/>
    <w:rsid w:val="005C25CD"/>
    <w:rsid w:val="005C261D"/>
    <w:rsid w:val="005C2AEB"/>
    <w:rsid w:val="005C2B7B"/>
    <w:rsid w:val="005C2BB2"/>
    <w:rsid w:val="005C2DD4"/>
    <w:rsid w:val="005C2E27"/>
    <w:rsid w:val="005C2E93"/>
    <w:rsid w:val="005C2FC2"/>
    <w:rsid w:val="005C2FDE"/>
    <w:rsid w:val="005C3030"/>
    <w:rsid w:val="005C321B"/>
    <w:rsid w:val="005C324C"/>
    <w:rsid w:val="005C3345"/>
    <w:rsid w:val="005C3444"/>
    <w:rsid w:val="005C3479"/>
    <w:rsid w:val="005C3494"/>
    <w:rsid w:val="005C35BE"/>
    <w:rsid w:val="005C35D7"/>
    <w:rsid w:val="005C3701"/>
    <w:rsid w:val="005C37C1"/>
    <w:rsid w:val="005C3B30"/>
    <w:rsid w:val="005C3BEF"/>
    <w:rsid w:val="005C3C55"/>
    <w:rsid w:val="005C3DB3"/>
    <w:rsid w:val="005C3DCD"/>
    <w:rsid w:val="005C3E6F"/>
    <w:rsid w:val="005C3E96"/>
    <w:rsid w:val="005C3F1F"/>
    <w:rsid w:val="005C4036"/>
    <w:rsid w:val="005C40EF"/>
    <w:rsid w:val="005C4160"/>
    <w:rsid w:val="005C42CA"/>
    <w:rsid w:val="005C44F5"/>
    <w:rsid w:val="005C4563"/>
    <w:rsid w:val="005C4728"/>
    <w:rsid w:val="005C4731"/>
    <w:rsid w:val="005C4846"/>
    <w:rsid w:val="005C4854"/>
    <w:rsid w:val="005C4A53"/>
    <w:rsid w:val="005C4CA3"/>
    <w:rsid w:val="005C4E62"/>
    <w:rsid w:val="005C4F3C"/>
    <w:rsid w:val="005C4FA7"/>
    <w:rsid w:val="005C5099"/>
    <w:rsid w:val="005C5247"/>
    <w:rsid w:val="005C52F9"/>
    <w:rsid w:val="005C5425"/>
    <w:rsid w:val="005C5489"/>
    <w:rsid w:val="005C55BE"/>
    <w:rsid w:val="005C5645"/>
    <w:rsid w:val="005C5706"/>
    <w:rsid w:val="005C571F"/>
    <w:rsid w:val="005C57BC"/>
    <w:rsid w:val="005C581A"/>
    <w:rsid w:val="005C5A47"/>
    <w:rsid w:val="005C5BDB"/>
    <w:rsid w:val="005C5BDF"/>
    <w:rsid w:val="005C5D14"/>
    <w:rsid w:val="005C5FDB"/>
    <w:rsid w:val="005C6040"/>
    <w:rsid w:val="005C628C"/>
    <w:rsid w:val="005C63EC"/>
    <w:rsid w:val="005C676F"/>
    <w:rsid w:val="005C68F4"/>
    <w:rsid w:val="005C692C"/>
    <w:rsid w:val="005C692D"/>
    <w:rsid w:val="005C693C"/>
    <w:rsid w:val="005C6A70"/>
    <w:rsid w:val="005C6AD5"/>
    <w:rsid w:val="005C6B99"/>
    <w:rsid w:val="005C6BA4"/>
    <w:rsid w:val="005C6C59"/>
    <w:rsid w:val="005C6D97"/>
    <w:rsid w:val="005C6DEC"/>
    <w:rsid w:val="005C6EC2"/>
    <w:rsid w:val="005C6F2A"/>
    <w:rsid w:val="005C6FB2"/>
    <w:rsid w:val="005C7018"/>
    <w:rsid w:val="005C746E"/>
    <w:rsid w:val="005C748A"/>
    <w:rsid w:val="005C74A1"/>
    <w:rsid w:val="005C7710"/>
    <w:rsid w:val="005C7992"/>
    <w:rsid w:val="005C7B4A"/>
    <w:rsid w:val="005C7B92"/>
    <w:rsid w:val="005C7FC4"/>
    <w:rsid w:val="005D0131"/>
    <w:rsid w:val="005D01AB"/>
    <w:rsid w:val="005D01E6"/>
    <w:rsid w:val="005D0257"/>
    <w:rsid w:val="005D03EB"/>
    <w:rsid w:val="005D04E4"/>
    <w:rsid w:val="005D0827"/>
    <w:rsid w:val="005D0829"/>
    <w:rsid w:val="005D0960"/>
    <w:rsid w:val="005D09B8"/>
    <w:rsid w:val="005D0BF7"/>
    <w:rsid w:val="005D0CD7"/>
    <w:rsid w:val="005D0D8F"/>
    <w:rsid w:val="005D0D9E"/>
    <w:rsid w:val="005D0E3B"/>
    <w:rsid w:val="005D0E94"/>
    <w:rsid w:val="005D0F5C"/>
    <w:rsid w:val="005D1037"/>
    <w:rsid w:val="005D10A4"/>
    <w:rsid w:val="005D10C8"/>
    <w:rsid w:val="005D11CA"/>
    <w:rsid w:val="005D121B"/>
    <w:rsid w:val="005D1232"/>
    <w:rsid w:val="005D1272"/>
    <w:rsid w:val="005D1436"/>
    <w:rsid w:val="005D145B"/>
    <w:rsid w:val="005D171B"/>
    <w:rsid w:val="005D1751"/>
    <w:rsid w:val="005D18D1"/>
    <w:rsid w:val="005D195B"/>
    <w:rsid w:val="005D19A1"/>
    <w:rsid w:val="005D1AA0"/>
    <w:rsid w:val="005D1B13"/>
    <w:rsid w:val="005D2012"/>
    <w:rsid w:val="005D20A3"/>
    <w:rsid w:val="005D21F5"/>
    <w:rsid w:val="005D2353"/>
    <w:rsid w:val="005D2572"/>
    <w:rsid w:val="005D261E"/>
    <w:rsid w:val="005D2699"/>
    <w:rsid w:val="005D26E4"/>
    <w:rsid w:val="005D26EA"/>
    <w:rsid w:val="005D291A"/>
    <w:rsid w:val="005D2A00"/>
    <w:rsid w:val="005D2A5B"/>
    <w:rsid w:val="005D2A83"/>
    <w:rsid w:val="005D2EB0"/>
    <w:rsid w:val="005D2F26"/>
    <w:rsid w:val="005D2F82"/>
    <w:rsid w:val="005D303D"/>
    <w:rsid w:val="005D30A4"/>
    <w:rsid w:val="005D31B2"/>
    <w:rsid w:val="005D337F"/>
    <w:rsid w:val="005D339B"/>
    <w:rsid w:val="005D33F6"/>
    <w:rsid w:val="005D3421"/>
    <w:rsid w:val="005D3423"/>
    <w:rsid w:val="005D353B"/>
    <w:rsid w:val="005D363B"/>
    <w:rsid w:val="005D371B"/>
    <w:rsid w:val="005D3807"/>
    <w:rsid w:val="005D3A68"/>
    <w:rsid w:val="005D3AA4"/>
    <w:rsid w:val="005D3BBF"/>
    <w:rsid w:val="005D3BC1"/>
    <w:rsid w:val="005D3D71"/>
    <w:rsid w:val="005D3DED"/>
    <w:rsid w:val="005D3DFA"/>
    <w:rsid w:val="005D3E82"/>
    <w:rsid w:val="005D3FA6"/>
    <w:rsid w:val="005D4004"/>
    <w:rsid w:val="005D403E"/>
    <w:rsid w:val="005D40DC"/>
    <w:rsid w:val="005D40FF"/>
    <w:rsid w:val="005D42B9"/>
    <w:rsid w:val="005D431E"/>
    <w:rsid w:val="005D443B"/>
    <w:rsid w:val="005D444B"/>
    <w:rsid w:val="005D444C"/>
    <w:rsid w:val="005D44A2"/>
    <w:rsid w:val="005D44B3"/>
    <w:rsid w:val="005D44BC"/>
    <w:rsid w:val="005D45F9"/>
    <w:rsid w:val="005D49E1"/>
    <w:rsid w:val="005D4A24"/>
    <w:rsid w:val="005D4AB8"/>
    <w:rsid w:val="005D4D1D"/>
    <w:rsid w:val="005D4D2E"/>
    <w:rsid w:val="005D4E84"/>
    <w:rsid w:val="005D4EE1"/>
    <w:rsid w:val="005D4F52"/>
    <w:rsid w:val="005D4FA8"/>
    <w:rsid w:val="005D4FBB"/>
    <w:rsid w:val="005D5046"/>
    <w:rsid w:val="005D510E"/>
    <w:rsid w:val="005D5494"/>
    <w:rsid w:val="005D5496"/>
    <w:rsid w:val="005D54D4"/>
    <w:rsid w:val="005D5516"/>
    <w:rsid w:val="005D5559"/>
    <w:rsid w:val="005D55C4"/>
    <w:rsid w:val="005D566E"/>
    <w:rsid w:val="005D56B9"/>
    <w:rsid w:val="005D598B"/>
    <w:rsid w:val="005D5B8B"/>
    <w:rsid w:val="005D5F28"/>
    <w:rsid w:val="005D618F"/>
    <w:rsid w:val="005D61EE"/>
    <w:rsid w:val="005D622B"/>
    <w:rsid w:val="005D626E"/>
    <w:rsid w:val="005D65B4"/>
    <w:rsid w:val="005D6715"/>
    <w:rsid w:val="005D6745"/>
    <w:rsid w:val="005D6991"/>
    <w:rsid w:val="005D6A63"/>
    <w:rsid w:val="005D6B03"/>
    <w:rsid w:val="005D6BD9"/>
    <w:rsid w:val="005D6C9F"/>
    <w:rsid w:val="005D6DCD"/>
    <w:rsid w:val="005D6E0B"/>
    <w:rsid w:val="005D6E5B"/>
    <w:rsid w:val="005D6EE9"/>
    <w:rsid w:val="005D70C5"/>
    <w:rsid w:val="005D7282"/>
    <w:rsid w:val="005D732A"/>
    <w:rsid w:val="005D75E5"/>
    <w:rsid w:val="005D75F8"/>
    <w:rsid w:val="005D7675"/>
    <w:rsid w:val="005D76E1"/>
    <w:rsid w:val="005D7702"/>
    <w:rsid w:val="005D7771"/>
    <w:rsid w:val="005D78CD"/>
    <w:rsid w:val="005D78E8"/>
    <w:rsid w:val="005D7950"/>
    <w:rsid w:val="005D798D"/>
    <w:rsid w:val="005D79A0"/>
    <w:rsid w:val="005D7AC1"/>
    <w:rsid w:val="005D7AF8"/>
    <w:rsid w:val="005D7CCD"/>
    <w:rsid w:val="005D7D78"/>
    <w:rsid w:val="005D7DCF"/>
    <w:rsid w:val="005D7DF5"/>
    <w:rsid w:val="005D7E23"/>
    <w:rsid w:val="005E0192"/>
    <w:rsid w:val="005E02AC"/>
    <w:rsid w:val="005E03A6"/>
    <w:rsid w:val="005E0437"/>
    <w:rsid w:val="005E0444"/>
    <w:rsid w:val="005E0630"/>
    <w:rsid w:val="005E06DA"/>
    <w:rsid w:val="005E075D"/>
    <w:rsid w:val="005E0968"/>
    <w:rsid w:val="005E0A0A"/>
    <w:rsid w:val="005E0A2D"/>
    <w:rsid w:val="005E0ADA"/>
    <w:rsid w:val="005E0ADE"/>
    <w:rsid w:val="005E0BC8"/>
    <w:rsid w:val="005E0DFF"/>
    <w:rsid w:val="005E0F3C"/>
    <w:rsid w:val="005E0FCB"/>
    <w:rsid w:val="005E1209"/>
    <w:rsid w:val="005E126A"/>
    <w:rsid w:val="005E1281"/>
    <w:rsid w:val="005E12F8"/>
    <w:rsid w:val="005E1533"/>
    <w:rsid w:val="005E154F"/>
    <w:rsid w:val="005E1D7D"/>
    <w:rsid w:val="005E1F53"/>
    <w:rsid w:val="005E21C4"/>
    <w:rsid w:val="005E21ED"/>
    <w:rsid w:val="005E24E0"/>
    <w:rsid w:val="005E25AB"/>
    <w:rsid w:val="005E284B"/>
    <w:rsid w:val="005E2980"/>
    <w:rsid w:val="005E29A5"/>
    <w:rsid w:val="005E2B48"/>
    <w:rsid w:val="005E2BB8"/>
    <w:rsid w:val="005E2C78"/>
    <w:rsid w:val="005E2E32"/>
    <w:rsid w:val="005E2E8A"/>
    <w:rsid w:val="005E2E8F"/>
    <w:rsid w:val="005E2EE6"/>
    <w:rsid w:val="005E322F"/>
    <w:rsid w:val="005E3440"/>
    <w:rsid w:val="005E353B"/>
    <w:rsid w:val="005E355D"/>
    <w:rsid w:val="005E3723"/>
    <w:rsid w:val="005E3730"/>
    <w:rsid w:val="005E3876"/>
    <w:rsid w:val="005E3A1E"/>
    <w:rsid w:val="005E3A40"/>
    <w:rsid w:val="005E3AB9"/>
    <w:rsid w:val="005E3ACE"/>
    <w:rsid w:val="005E3B07"/>
    <w:rsid w:val="005E3B0F"/>
    <w:rsid w:val="005E3B54"/>
    <w:rsid w:val="005E3C6C"/>
    <w:rsid w:val="005E3D9C"/>
    <w:rsid w:val="005E3E8F"/>
    <w:rsid w:val="005E41D7"/>
    <w:rsid w:val="005E42B0"/>
    <w:rsid w:val="005E43B4"/>
    <w:rsid w:val="005E446D"/>
    <w:rsid w:val="005E4482"/>
    <w:rsid w:val="005E4582"/>
    <w:rsid w:val="005E460B"/>
    <w:rsid w:val="005E4693"/>
    <w:rsid w:val="005E48AF"/>
    <w:rsid w:val="005E4981"/>
    <w:rsid w:val="005E49EA"/>
    <w:rsid w:val="005E4CDC"/>
    <w:rsid w:val="005E4D2F"/>
    <w:rsid w:val="005E4D43"/>
    <w:rsid w:val="005E4D7C"/>
    <w:rsid w:val="005E4E8D"/>
    <w:rsid w:val="005E4F71"/>
    <w:rsid w:val="005E50CD"/>
    <w:rsid w:val="005E51F4"/>
    <w:rsid w:val="005E525C"/>
    <w:rsid w:val="005E536B"/>
    <w:rsid w:val="005E54A7"/>
    <w:rsid w:val="005E5546"/>
    <w:rsid w:val="005E5573"/>
    <w:rsid w:val="005E5631"/>
    <w:rsid w:val="005E565B"/>
    <w:rsid w:val="005E568E"/>
    <w:rsid w:val="005E5B55"/>
    <w:rsid w:val="005E5BEA"/>
    <w:rsid w:val="005E5E1D"/>
    <w:rsid w:val="005E6009"/>
    <w:rsid w:val="005E6022"/>
    <w:rsid w:val="005E6285"/>
    <w:rsid w:val="005E6465"/>
    <w:rsid w:val="005E657B"/>
    <w:rsid w:val="005E6673"/>
    <w:rsid w:val="005E668D"/>
    <w:rsid w:val="005E674C"/>
    <w:rsid w:val="005E67C3"/>
    <w:rsid w:val="005E6922"/>
    <w:rsid w:val="005E6975"/>
    <w:rsid w:val="005E6C61"/>
    <w:rsid w:val="005E6D48"/>
    <w:rsid w:val="005E6FC8"/>
    <w:rsid w:val="005E70BC"/>
    <w:rsid w:val="005E711B"/>
    <w:rsid w:val="005E7144"/>
    <w:rsid w:val="005E72E8"/>
    <w:rsid w:val="005E7389"/>
    <w:rsid w:val="005E73BE"/>
    <w:rsid w:val="005E73C0"/>
    <w:rsid w:val="005E73F6"/>
    <w:rsid w:val="005E74CA"/>
    <w:rsid w:val="005E7513"/>
    <w:rsid w:val="005E764C"/>
    <w:rsid w:val="005E76CB"/>
    <w:rsid w:val="005E772C"/>
    <w:rsid w:val="005E78F5"/>
    <w:rsid w:val="005E7A3A"/>
    <w:rsid w:val="005E7ABD"/>
    <w:rsid w:val="005E7B49"/>
    <w:rsid w:val="005E7BC2"/>
    <w:rsid w:val="005E7BE1"/>
    <w:rsid w:val="005E7D96"/>
    <w:rsid w:val="005E7F7F"/>
    <w:rsid w:val="005E7F9F"/>
    <w:rsid w:val="005F01F2"/>
    <w:rsid w:val="005F01F7"/>
    <w:rsid w:val="005F0258"/>
    <w:rsid w:val="005F039E"/>
    <w:rsid w:val="005F0418"/>
    <w:rsid w:val="005F0480"/>
    <w:rsid w:val="005F04B9"/>
    <w:rsid w:val="005F04F1"/>
    <w:rsid w:val="005F05EE"/>
    <w:rsid w:val="005F063F"/>
    <w:rsid w:val="005F0741"/>
    <w:rsid w:val="005F0A34"/>
    <w:rsid w:val="005F0A88"/>
    <w:rsid w:val="005F0AA8"/>
    <w:rsid w:val="005F0B0F"/>
    <w:rsid w:val="005F0E44"/>
    <w:rsid w:val="005F0F4C"/>
    <w:rsid w:val="005F110D"/>
    <w:rsid w:val="005F1143"/>
    <w:rsid w:val="005F11DC"/>
    <w:rsid w:val="005F135A"/>
    <w:rsid w:val="005F1372"/>
    <w:rsid w:val="005F1430"/>
    <w:rsid w:val="005F17C1"/>
    <w:rsid w:val="005F195A"/>
    <w:rsid w:val="005F197B"/>
    <w:rsid w:val="005F1A7E"/>
    <w:rsid w:val="005F1C5A"/>
    <w:rsid w:val="005F1C67"/>
    <w:rsid w:val="005F1E27"/>
    <w:rsid w:val="005F208D"/>
    <w:rsid w:val="005F211D"/>
    <w:rsid w:val="005F2138"/>
    <w:rsid w:val="005F214C"/>
    <w:rsid w:val="005F228B"/>
    <w:rsid w:val="005F22B3"/>
    <w:rsid w:val="005F25D4"/>
    <w:rsid w:val="005F25F0"/>
    <w:rsid w:val="005F2744"/>
    <w:rsid w:val="005F28A8"/>
    <w:rsid w:val="005F290C"/>
    <w:rsid w:val="005F2B0F"/>
    <w:rsid w:val="005F2C24"/>
    <w:rsid w:val="005F2D55"/>
    <w:rsid w:val="005F2DE8"/>
    <w:rsid w:val="005F2E8B"/>
    <w:rsid w:val="005F2FB8"/>
    <w:rsid w:val="005F3083"/>
    <w:rsid w:val="005F3224"/>
    <w:rsid w:val="005F3561"/>
    <w:rsid w:val="005F368C"/>
    <w:rsid w:val="005F37C1"/>
    <w:rsid w:val="005F3860"/>
    <w:rsid w:val="005F3A58"/>
    <w:rsid w:val="005F3AF3"/>
    <w:rsid w:val="005F3B1D"/>
    <w:rsid w:val="005F3B38"/>
    <w:rsid w:val="005F3E4B"/>
    <w:rsid w:val="005F3FB6"/>
    <w:rsid w:val="005F3FF2"/>
    <w:rsid w:val="005F40D8"/>
    <w:rsid w:val="005F43CD"/>
    <w:rsid w:val="005F4512"/>
    <w:rsid w:val="005F4516"/>
    <w:rsid w:val="005F451C"/>
    <w:rsid w:val="005F46D7"/>
    <w:rsid w:val="005F48FA"/>
    <w:rsid w:val="005F4953"/>
    <w:rsid w:val="005F499D"/>
    <w:rsid w:val="005F4A2D"/>
    <w:rsid w:val="005F4A7E"/>
    <w:rsid w:val="005F4ABD"/>
    <w:rsid w:val="005F4ACD"/>
    <w:rsid w:val="005F4C21"/>
    <w:rsid w:val="005F4CBC"/>
    <w:rsid w:val="005F4CC8"/>
    <w:rsid w:val="005F4DB0"/>
    <w:rsid w:val="005F4E38"/>
    <w:rsid w:val="005F4F13"/>
    <w:rsid w:val="005F4F28"/>
    <w:rsid w:val="005F4F88"/>
    <w:rsid w:val="005F5138"/>
    <w:rsid w:val="005F5260"/>
    <w:rsid w:val="005F53AC"/>
    <w:rsid w:val="005F549B"/>
    <w:rsid w:val="005F54C8"/>
    <w:rsid w:val="005F554B"/>
    <w:rsid w:val="005F55C7"/>
    <w:rsid w:val="005F55F0"/>
    <w:rsid w:val="005F5739"/>
    <w:rsid w:val="005F5801"/>
    <w:rsid w:val="005F5803"/>
    <w:rsid w:val="005F59A9"/>
    <w:rsid w:val="005F5A1B"/>
    <w:rsid w:val="005F5D7C"/>
    <w:rsid w:val="005F6090"/>
    <w:rsid w:val="005F6284"/>
    <w:rsid w:val="005F63F5"/>
    <w:rsid w:val="005F64DC"/>
    <w:rsid w:val="005F69BC"/>
    <w:rsid w:val="005F6A9E"/>
    <w:rsid w:val="005F6D09"/>
    <w:rsid w:val="005F6D77"/>
    <w:rsid w:val="005F6ED2"/>
    <w:rsid w:val="005F7016"/>
    <w:rsid w:val="005F7047"/>
    <w:rsid w:val="005F70D9"/>
    <w:rsid w:val="005F7204"/>
    <w:rsid w:val="005F72F2"/>
    <w:rsid w:val="005F73D6"/>
    <w:rsid w:val="005F73E9"/>
    <w:rsid w:val="005F742F"/>
    <w:rsid w:val="005F7600"/>
    <w:rsid w:val="005F76F8"/>
    <w:rsid w:val="005F7735"/>
    <w:rsid w:val="005F7742"/>
    <w:rsid w:val="005F7787"/>
    <w:rsid w:val="005F7794"/>
    <w:rsid w:val="005F797B"/>
    <w:rsid w:val="005F79A2"/>
    <w:rsid w:val="005F7A55"/>
    <w:rsid w:val="005F7A9D"/>
    <w:rsid w:val="005F7ACC"/>
    <w:rsid w:val="005F7B40"/>
    <w:rsid w:val="005F7B94"/>
    <w:rsid w:val="005F7C2C"/>
    <w:rsid w:val="005F7C93"/>
    <w:rsid w:val="005F7C97"/>
    <w:rsid w:val="005F7DBA"/>
    <w:rsid w:val="005F7DE9"/>
    <w:rsid w:val="005F7EBC"/>
    <w:rsid w:val="005F7F64"/>
    <w:rsid w:val="0060002F"/>
    <w:rsid w:val="00600036"/>
    <w:rsid w:val="0060018E"/>
    <w:rsid w:val="006001D8"/>
    <w:rsid w:val="006003C9"/>
    <w:rsid w:val="0060042C"/>
    <w:rsid w:val="006004EA"/>
    <w:rsid w:val="00600591"/>
    <w:rsid w:val="006006A5"/>
    <w:rsid w:val="006006DE"/>
    <w:rsid w:val="006007F1"/>
    <w:rsid w:val="0060092B"/>
    <w:rsid w:val="0060092C"/>
    <w:rsid w:val="00600A1F"/>
    <w:rsid w:val="00600C06"/>
    <w:rsid w:val="00600CA1"/>
    <w:rsid w:val="00600D12"/>
    <w:rsid w:val="00600F12"/>
    <w:rsid w:val="0060111D"/>
    <w:rsid w:val="0060123C"/>
    <w:rsid w:val="00601248"/>
    <w:rsid w:val="0060130D"/>
    <w:rsid w:val="006014A7"/>
    <w:rsid w:val="00601585"/>
    <w:rsid w:val="0060163F"/>
    <w:rsid w:val="0060164B"/>
    <w:rsid w:val="0060166C"/>
    <w:rsid w:val="0060184D"/>
    <w:rsid w:val="0060191B"/>
    <w:rsid w:val="0060192E"/>
    <w:rsid w:val="00601A35"/>
    <w:rsid w:val="00601A74"/>
    <w:rsid w:val="00601AA8"/>
    <w:rsid w:val="00601BBC"/>
    <w:rsid w:val="00601C6F"/>
    <w:rsid w:val="00601CBD"/>
    <w:rsid w:val="00601CCC"/>
    <w:rsid w:val="00601CEE"/>
    <w:rsid w:val="00601DDE"/>
    <w:rsid w:val="00601F39"/>
    <w:rsid w:val="0060213F"/>
    <w:rsid w:val="00602169"/>
    <w:rsid w:val="006021B6"/>
    <w:rsid w:val="006021EE"/>
    <w:rsid w:val="006022BB"/>
    <w:rsid w:val="006023CB"/>
    <w:rsid w:val="0060248C"/>
    <w:rsid w:val="0060253E"/>
    <w:rsid w:val="0060256B"/>
    <w:rsid w:val="006026BB"/>
    <w:rsid w:val="006028FF"/>
    <w:rsid w:val="00602BD8"/>
    <w:rsid w:val="00602C05"/>
    <w:rsid w:val="00602C08"/>
    <w:rsid w:val="0060307A"/>
    <w:rsid w:val="006030B7"/>
    <w:rsid w:val="006030D8"/>
    <w:rsid w:val="0060328A"/>
    <w:rsid w:val="006033E2"/>
    <w:rsid w:val="0060362B"/>
    <w:rsid w:val="00603901"/>
    <w:rsid w:val="00603926"/>
    <w:rsid w:val="00603987"/>
    <w:rsid w:val="00603B0A"/>
    <w:rsid w:val="00603B65"/>
    <w:rsid w:val="00603C66"/>
    <w:rsid w:val="00603D31"/>
    <w:rsid w:val="00603D45"/>
    <w:rsid w:val="00603FA7"/>
    <w:rsid w:val="006040F3"/>
    <w:rsid w:val="006041BD"/>
    <w:rsid w:val="00604319"/>
    <w:rsid w:val="0060435C"/>
    <w:rsid w:val="00604361"/>
    <w:rsid w:val="00604389"/>
    <w:rsid w:val="00604425"/>
    <w:rsid w:val="00604675"/>
    <w:rsid w:val="006046FC"/>
    <w:rsid w:val="006047FB"/>
    <w:rsid w:val="006048A1"/>
    <w:rsid w:val="00604929"/>
    <w:rsid w:val="006049F1"/>
    <w:rsid w:val="00604BA9"/>
    <w:rsid w:val="00604DCE"/>
    <w:rsid w:val="00604E84"/>
    <w:rsid w:val="00604EF6"/>
    <w:rsid w:val="006052C6"/>
    <w:rsid w:val="0060531E"/>
    <w:rsid w:val="00605413"/>
    <w:rsid w:val="006054FC"/>
    <w:rsid w:val="006055D8"/>
    <w:rsid w:val="006055E0"/>
    <w:rsid w:val="006056F5"/>
    <w:rsid w:val="0060579A"/>
    <w:rsid w:val="006059BE"/>
    <w:rsid w:val="00605BC6"/>
    <w:rsid w:val="00605BD1"/>
    <w:rsid w:val="00605C0E"/>
    <w:rsid w:val="00605C7D"/>
    <w:rsid w:val="00605CDC"/>
    <w:rsid w:val="00605D67"/>
    <w:rsid w:val="00605F37"/>
    <w:rsid w:val="00605FAD"/>
    <w:rsid w:val="006065F4"/>
    <w:rsid w:val="00606680"/>
    <w:rsid w:val="00606747"/>
    <w:rsid w:val="006067B0"/>
    <w:rsid w:val="006068AF"/>
    <w:rsid w:val="006068E5"/>
    <w:rsid w:val="00606A00"/>
    <w:rsid w:val="00606A0E"/>
    <w:rsid w:val="00606C8D"/>
    <w:rsid w:val="00606CDF"/>
    <w:rsid w:val="00606E41"/>
    <w:rsid w:val="00606ED7"/>
    <w:rsid w:val="00607193"/>
    <w:rsid w:val="006072DE"/>
    <w:rsid w:val="006073CF"/>
    <w:rsid w:val="006074EA"/>
    <w:rsid w:val="006075B0"/>
    <w:rsid w:val="0060764D"/>
    <w:rsid w:val="00607682"/>
    <w:rsid w:val="006076B6"/>
    <w:rsid w:val="0060776F"/>
    <w:rsid w:val="006078C0"/>
    <w:rsid w:val="00607A18"/>
    <w:rsid w:val="00607BD5"/>
    <w:rsid w:val="00607C72"/>
    <w:rsid w:val="00607D05"/>
    <w:rsid w:val="00607EBF"/>
    <w:rsid w:val="00607EFD"/>
    <w:rsid w:val="00610113"/>
    <w:rsid w:val="0061011C"/>
    <w:rsid w:val="0061025D"/>
    <w:rsid w:val="00610521"/>
    <w:rsid w:val="006105AB"/>
    <w:rsid w:val="006105FF"/>
    <w:rsid w:val="00610785"/>
    <w:rsid w:val="00610794"/>
    <w:rsid w:val="00610852"/>
    <w:rsid w:val="00610ADE"/>
    <w:rsid w:val="00610C88"/>
    <w:rsid w:val="00610E92"/>
    <w:rsid w:val="00610EBB"/>
    <w:rsid w:val="00610ECA"/>
    <w:rsid w:val="00610F38"/>
    <w:rsid w:val="00611074"/>
    <w:rsid w:val="006112D4"/>
    <w:rsid w:val="00611372"/>
    <w:rsid w:val="0061160B"/>
    <w:rsid w:val="00611687"/>
    <w:rsid w:val="0061171A"/>
    <w:rsid w:val="0061175A"/>
    <w:rsid w:val="00611A1A"/>
    <w:rsid w:val="00611A49"/>
    <w:rsid w:val="00611B1C"/>
    <w:rsid w:val="00611C1B"/>
    <w:rsid w:val="00611C87"/>
    <w:rsid w:val="00611CFF"/>
    <w:rsid w:val="00611D2A"/>
    <w:rsid w:val="00611DEF"/>
    <w:rsid w:val="00611E04"/>
    <w:rsid w:val="00611E67"/>
    <w:rsid w:val="00611EB5"/>
    <w:rsid w:val="00611FEC"/>
    <w:rsid w:val="00612110"/>
    <w:rsid w:val="00612173"/>
    <w:rsid w:val="006122B5"/>
    <w:rsid w:val="006124A3"/>
    <w:rsid w:val="00612580"/>
    <w:rsid w:val="006125A4"/>
    <w:rsid w:val="0061279C"/>
    <w:rsid w:val="006127AF"/>
    <w:rsid w:val="0061283F"/>
    <w:rsid w:val="00612A39"/>
    <w:rsid w:val="00612B74"/>
    <w:rsid w:val="00612BD2"/>
    <w:rsid w:val="00612C78"/>
    <w:rsid w:val="00612CD1"/>
    <w:rsid w:val="00612CF1"/>
    <w:rsid w:val="00612E7F"/>
    <w:rsid w:val="00612F25"/>
    <w:rsid w:val="00612F42"/>
    <w:rsid w:val="00612F9A"/>
    <w:rsid w:val="00612FB2"/>
    <w:rsid w:val="00613058"/>
    <w:rsid w:val="00613224"/>
    <w:rsid w:val="00613485"/>
    <w:rsid w:val="00613504"/>
    <w:rsid w:val="00613575"/>
    <w:rsid w:val="006136C1"/>
    <w:rsid w:val="00613724"/>
    <w:rsid w:val="0061378E"/>
    <w:rsid w:val="0061378F"/>
    <w:rsid w:val="006139F1"/>
    <w:rsid w:val="00613B16"/>
    <w:rsid w:val="00613CD4"/>
    <w:rsid w:val="00613D90"/>
    <w:rsid w:val="00613E08"/>
    <w:rsid w:val="00613E0F"/>
    <w:rsid w:val="00613F15"/>
    <w:rsid w:val="006141A6"/>
    <w:rsid w:val="00614201"/>
    <w:rsid w:val="00614314"/>
    <w:rsid w:val="00614364"/>
    <w:rsid w:val="0061442D"/>
    <w:rsid w:val="0061450C"/>
    <w:rsid w:val="0061457E"/>
    <w:rsid w:val="00614B22"/>
    <w:rsid w:val="00614BDE"/>
    <w:rsid w:val="00614C2A"/>
    <w:rsid w:val="00614C36"/>
    <w:rsid w:val="00614C93"/>
    <w:rsid w:val="00614D05"/>
    <w:rsid w:val="00614DB5"/>
    <w:rsid w:val="00614E5A"/>
    <w:rsid w:val="00614F5C"/>
    <w:rsid w:val="0061534E"/>
    <w:rsid w:val="00615353"/>
    <w:rsid w:val="0061552F"/>
    <w:rsid w:val="006155BA"/>
    <w:rsid w:val="00615673"/>
    <w:rsid w:val="0061587C"/>
    <w:rsid w:val="00615937"/>
    <w:rsid w:val="00615985"/>
    <w:rsid w:val="00615A2C"/>
    <w:rsid w:val="00615A5C"/>
    <w:rsid w:val="00615A67"/>
    <w:rsid w:val="00615AEA"/>
    <w:rsid w:val="00615B84"/>
    <w:rsid w:val="00615BB3"/>
    <w:rsid w:val="00615CA4"/>
    <w:rsid w:val="00615D17"/>
    <w:rsid w:val="00615DA1"/>
    <w:rsid w:val="00615E67"/>
    <w:rsid w:val="00615EC6"/>
    <w:rsid w:val="0061618D"/>
    <w:rsid w:val="00616229"/>
    <w:rsid w:val="00616347"/>
    <w:rsid w:val="0061634F"/>
    <w:rsid w:val="00616440"/>
    <w:rsid w:val="00616442"/>
    <w:rsid w:val="00616679"/>
    <w:rsid w:val="006166FF"/>
    <w:rsid w:val="0061688C"/>
    <w:rsid w:val="00616A46"/>
    <w:rsid w:val="00616B50"/>
    <w:rsid w:val="00616BCE"/>
    <w:rsid w:val="00616E0B"/>
    <w:rsid w:val="00616FCC"/>
    <w:rsid w:val="00617026"/>
    <w:rsid w:val="00617200"/>
    <w:rsid w:val="0061754F"/>
    <w:rsid w:val="00617645"/>
    <w:rsid w:val="006176B7"/>
    <w:rsid w:val="006176D8"/>
    <w:rsid w:val="0061771A"/>
    <w:rsid w:val="006178A7"/>
    <w:rsid w:val="006178B8"/>
    <w:rsid w:val="006179B0"/>
    <w:rsid w:val="006179B8"/>
    <w:rsid w:val="00617B1B"/>
    <w:rsid w:val="00617C3D"/>
    <w:rsid w:val="00617DA6"/>
    <w:rsid w:val="00617DDF"/>
    <w:rsid w:val="00617DF6"/>
    <w:rsid w:val="00617E5A"/>
    <w:rsid w:val="00617F6B"/>
    <w:rsid w:val="00617FEF"/>
    <w:rsid w:val="006200CE"/>
    <w:rsid w:val="00620121"/>
    <w:rsid w:val="0062019D"/>
    <w:rsid w:val="0062025C"/>
    <w:rsid w:val="006203BC"/>
    <w:rsid w:val="006204E8"/>
    <w:rsid w:val="00620556"/>
    <w:rsid w:val="0062057D"/>
    <w:rsid w:val="006205DD"/>
    <w:rsid w:val="006205DE"/>
    <w:rsid w:val="00620665"/>
    <w:rsid w:val="006206E2"/>
    <w:rsid w:val="006207BF"/>
    <w:rsid w:val="00620802"/>
    <w:rsid w:val="006208CA"/>
    <w:rsid w:val="0062090C"/>
    <w:rsid w:val="00620965"/>
    <w:rsid w:val="006209D0"/>
    <w:rsid w:val="006209DD"/>
    <w:rsid w:val="00620A88"/>
    <w:rsid w:val="00620C91"/>
    <w:rsid w:val="00620D6C"/>
    <w:rsid w:val="00620F3F"/>
    <w:rsid w:val="00620FC4"/>
    <w:rsid w:val="0062107A"/>
    <w:rsid w:val="00621132"/>
    <w:rsid w:val="00621197"/>
    <w:rsid w:val="00621274"/>
    <w:rsid w:val="006216E9"/>
    <w:rsid w:val="006217F0"/>
    <w:rsid w:val="0062181F"/>
    <w:rsid w:val="00621847"/>
    <w:rsid w:val="00621923"/>
    <w:rsid w:val="00621930"/>
    <w:rsid w:val="00621CEE"/>
    <w:rsid w:val="00621D37"/>
    <w:rsid w:val="00621D52"/>
    <w:rsid w:val="00621E29"/>
    <w:rsid w:val="00621E42"/>
    <w:rsid w:val="00621E54"/>
    <w:rsid w:val="00621E7D"/>
    <w:rsid w:val="00621F91"/>
    <w:rsid w:val="006221C8"/>
    <w:rsid w:val="00622327"/>
    <w:rsid w:val="0062238E"/>
    <w:rsid w:val="006223DE"/>
    <w:rsid w:val="00622425"/>
    <w:rsid w:val="006224FE"/>
    <w:rsid w:val="00622547"/>
    <w:rsid w:val="00622963"/>
    <w:rsid w:val="00622ACF"/>
    <w:rsid w:val="00622C9C"/>
    <w:rsid w:val="00622F0B"/>
    <w:rsid w:val="00622FF5"/>
    <w:rsid w:val="00623113"/>
    <w:rsid w:val="00623374"/>
    <w:rsid w:val="00623819"/>
    <w:rsid w:val="00623835"/>
    <w:rsid w:val="006238D5"/>
    <w:rsid w:val="00623A5A"/>
    <w:rsid w:val="00623A81"/>
    <w:rsid w:val="00623B0B"/>
    <w:rsid w:val="00623B98"/>
    <w:rsid w:val="00623C5B"/>
    <w:rsid w:val="00623D75"/>
    <w:rsid w:val="00623E3B"/>
    <w:rsid w:val="00624057"/>
    <w:rsid w:val="006241AD"/>
    <w:rsid w:val="006242D5"/>
    <w:rsid w:val="006243C7"/>
    <w:rsid w:val="006245A2"/>
    <w:rsid w:val="006245B2"/>
    <w:rsid w:val="00624653"/>
    <w:rsid w:val="0062468D"/>
    <w:rsid w:val="006248E8"/>
    <w:rsid w:val="00624CAB"/>
    <w:rsid w:val="00624EC2"/>
    <w:rsid w:val="00624EF7"/>
    <w:rsid w:val="006250DB"/>
    <w:rsid w:val="0062516A"/>
    <w:rsid w:val="006251BF"/>
    <w:rsid w:val="0062529A"/>
    <w:rsid w:val="006254AD"/>
    <w:rsid w:val="006259F2"/>
    <w:rsid w:val="00625C00"/>
    <w:rsid w:val="00625C23"/>
    <w:rsid w:val="00625C7B"/>
    <w:rsid w:val="00625F5F"/>
    <w:rsid w:val="006260C2"/>
    <w:rsid w:val="006260FE"/>
    <w:rsid w:val="00626411"/>
    <w:rsid w:val="00626501"/>
    <w:rsid w:val="006265E3"/>
    <w:rsid w:val="00626720"/>
    <w:rsid w:val="00626875"/>
    <w:rsid w:val="00626AC7"/>
    <w:rsid w:val="00626BBA"/>
    <w:rsid w:val="00626BD5"/>
    <w:rsid w:val="00626C8F"/>
    <w:rsid w:val="00626DEA"/>
    <w:rsid w:val="00626F4A"/>
    <w:rsid w:val="00626FD8"/>
    <w:rsid w:val="00626FDF"/>
    <w:rsid w:val="00627061"/>
    <w:rsid w:val="00627193"/>
    <w:rsid w:val="00627503"/>
    <w:rsid w:val="00627A37"/>
    <w:rsid w:val="00627A9F"/>
    <w:rsid w:val="00627CA6"/>
    <w:rsid w:val="00627D7F"/>
    <w:rsid w:val="00630082"/>
    <w:rsid w:val="00630115"/>
    <w:rsid w:val="00630258"/>
    <w:rsid w:val="0063029A"/>
    <w:rsid w:val="006303B3"/>
    <w:rsid w:val="006306B7"/>
    <w:rsid w:val="006306BB"/>
    <w:rsid w:val="00630909"/>
    <w:rsid w:val="00630934"/>
    <w:rsid w:val="006309D3"/>
    <w:rsid w:val="00630A23"/>
    <w:rsid w:val="00630AA8"/>
    <w:rsid w:val="00630BE7"/>
    <w:rsid w:val="00630BFC"/>
    <w:rsid w:val="00630D71"/>
    <w:rsid w:val="00630DC1"/>
    <w:rsid w:val="00630E03"/>
    <w:rsid w:val="0063101B"/>
    <w:rsid w:val="0063106E"/>
    <w:rsid w:val="006317D3"/>
    <w:rsid w:val="00631976"/>
    <w:rsid w:val="00631B96"/>
    <w:rsid w:val="00631C42"/>
    <w:rsid w:val="00631DD7"/>
    <w:rsid w:val="006320AD"/>
    <w:rsid w:val="00632173"/>
    <w:rsid w:val="006321D1"/>
    <w:rsid w:val="00632352"/>
    <w:rsid w:val="006323EA"/>
    <w:rsid w:val="0063245F"/>
    <w:rsid w:val="006324B8"/>
    <w:rsid w:val="006324CD"/>
    <w:rsid w:val="006324D1"/>
    <w:rsid w:val="006324E4"/>
    <w:rsid w:val="006325B4"/>
    <w:rsid w:val="00632627"/>
    <w:rsid w:val="006327B1"/>
    <w:rsid w:val="006327C3"/>
    <w:rsid w:val="006327DD"/>
    <w:rsid w:val="006327EE"/>
    <w:rsid w:val="0063282F"/>
    <w:rsid w:val="00632841"/>
    <w:rsid w:val="00632861"/>
    <w:rsid w:val="00632B53"/>
    <w:rsid w:val="00632C45"/>
    <w:rsid w:val="00632EE3"/>
    <w:rsid w:val="00632F75"/>
    <w:rsid w:val="00633032"/>
    <w:rsid w:val="00633309"/>
    <w:rsid w:val="00633336"/>
    <w:rsid w:val="0063335B"/>
    <w:rsid w:val="00633550"/>
    <w:rsid w:val="0063355D"/>
    <w:rsid w:val="00633757"/>
    <w:rsid w:val="006337A0"/>
    <w:rsid w:val="006339ED"/>
    <w:rsid w:val="00633A9C"/>
    <w:rsid w:val="00633AC8"/>
    <w:rsid w:val="00633B23"/>
    <w:rsid w:val="00633B71"/>
    <w:rsid w:val="00633BB1"/>
    <w:rsid w:val="00633CCE"/>
    <w:rsid w:val="00633DD5"/>
    <w:rsid w:val="00633E94"/>
    <w:rsid w:val="00633EFA"/>
    <w:rsid w:val="00633F1F"/>
    <w:rsid w:val="00633F5F"/>
    <w:rsid w:val="00633FCA"/>
    <w:rsid w:val="006340F7"/>
    <w:rsid w:val="00634231"/>
    <w:rsid w:val="00634294"/>
    <w:rsid w:val="00634366"/>
    <w:rsid w:val="006345FC"/>
    <w:rsid w:val="00634623"/>
    <w:rsid w:val="00634677"/>
    <w:rsid w:val="006346C3"/>
    <w:rsid w:val="006347FE"/>
    <w:rsid w:val="0063487C"/>
    <w:rsid w:val="006348FE"/>
    <w:rsid w:val="0063493A"/>
    <w:rsid w:val="00634974"/>
    <w:rsid w:val="00634B5C"/>
    <w:rsid w:val="00634B6D"/>
    <w:rsid w:val="00634D50"/>
    <w:rsid w:val="00634F10"/>
    <w:rsid w:val="00634F95"/>
    <w:rsid w:val="00635047"/>
    <w:rsid w:val="0063505F"/>
    <w:rsid w:val="006350D4"/>
    <w:rsid w:val="00635114"/>
    <w:rsid w:val="0063514F"/>
    <w:rsid w:val="006351B9"/>
    <w:rsid w:val="0063535A"/>
    <w:rsid w:val="00635366"/>
    <w:rsid w:val="006355DA"/>
    <w:rsid w:val="00635660"/>
    <w:rsid w:val="006357A2"/>
    <w:rsid w:val="0063582D"/>
    <w:rsid w:val="00635881"/>
    <w:rsid w:val="00635886"/>
    <w:rsid w:val="00635A35"/>
    <w:rsid w:val="00635BEC"/>
    <w:rsid w:val="00635CC5"/>
    <w:rsid w:val="00635DEE"/>
    <w:rsid w:val="00635EFE"/>
    <w:rsid w:val="0063611F"/>
    <w:rsid w:val="00636206"/>
    <w:rsid w:val="00636256"/>
    <w:rsid w:val="00636295"/>
    <w:rsid w:val="006362E1"/>
    <w:rsid w:val="00636495"/>
    <w:rsid w:val="006364D2"/>
    <w:rsid w:val="006365BD"/>
    <w:rsid w:val="006367CE"/>
    <w:rsid w:val="00636841"/>
    <w:rsid w:val="00636856"/>
    <w:rsid w:val="006368B5"/>
    <w:rsid w:val="006369AA"/>
    <w:rsid w:val="006369DA"/>
    <w:rsid w:val="00636A6E"/>
    <w:rsid w:val="00636C21"/>
    <w:rsid w:val="00636C73"/>
    <w:rsid w:val="00636DD4"/>
    <w:rsid w:val="00636DF4"/>
    <w:rsid w:val="00636EF1"/>
    <w:rsid w:val="00636FE5"/>
    <w:rsid w:val="00637052"/>
    <w:rsid w:val="006370FC"/>
    <w:rsid w:val="006373C4"/>
    <w:rsid w:val="006375BA"/>
    <w:rsid w:val="006375EE"/>
    <w:rsid w:val="006376F5"/>
    <w:rsid w:val="00637731"/>
    <w:rsid w:val="006378E1"/>
    <w:rsid w:val="00637A22"/>
    <w:rsid w:val="00637B93"/>
    <w:rsid w:val="00637BA3"/>
    <w:rsid w:val="00637BF4"/>
    <w:rsid w:val="00637D53"/>
    <w:rsid w:val="00637D85"/>
    <w:rsid w:val="0063A452"/>
    <w:rsid w:val="00640175"/>
    <w:rsid w:val="00640196"/>
    <w:rsid w:val="00640311"/>
    <w:rsid w:val="00640393"/>
    <w:rsid w:val="0064049E"/>
    <w:rsid w:val="0064068F"/>
    <w:rsid w:val="006407A4"/>
    <w:rsid w:val="00640915"/>
    <w:rsid w:val="00640A9F"/>
    <w:rsid w:val="00640B1D"/>
    <w:rsid w:val="00640C58"/>
    <w:rsid w:val="00640DE2"/>
    <w:rsid w:val="00640E90"/>
    <w:rsid w:val="006410A2"/>
    <w:rsid w:val="00641176"/>
    <w:rsid w:val="006411E8"/>
    <w:rsid w:val="00641309"/>
    <w:rsid w:val="0064134C"/>
    <w:rsid w:val="0064137B"/>
    <w:rsid w:val="006413C5"/>
    <w:rsid w:val="006413F0"/>
    <w:rsid w:val="0064157C"/>
    <w:rsid w:val="0064167C"/>
    <w:rsid w:val="00641684"/>
    <w:rsid w:val="006416D1"/>
    <w:rsid w:val="006416DE"/>
    <w:rsid w:val="006417E7"/>
    <w:rsid w:val="006418EF"/>
    <w:rsid w:val="00641A47"/>
    <w:rsid w:val="00641B91"/>
    <w:rsid w:val="00641BEE"/>
    <w:rsid w:val="00641DED"/>
    <w:rsid w:val="00641DF6"/>
    <w:rsid w:val="00641E70"/>
    <w:rsid w:val="00641F4C"/>
    <w:rsid w:val="00641FFA"/>
    <w:rsid w:val="0064208C"/>
    <w:rsid w:val="00642361"/>
    <w:rsid w:val="006423A8"/>
    <w:rsid w:val="0064240A"/>
    <w:rsid w:val="0064263D"/>
    <w:rsid w:val="006427A1"/>
    <w:rsid w:val="006429D8"/>
    <w:rsid w:val="00642A26"/>
    <w:rsid w:val="00642A72"/>
    <w:rsid w:val="00642C32"/>
    <w:rsid w:val="00642C5F"/>
    <w:rsid w:val="00642D14"/>
    <w:rsid w:val="00642D3D"/>
    <w:rsid w:val="00642DC3"/>
    <w:rsid w:val="00642ED9"/>
    <w:rsid w:val="00642F58"/>
    <w:rsid w:val="00642F67"/>
    <w:rsid w:val="006431B4"/>
    <w:rsid w:val="0064324B"/>
    <w:rsid w:val="00643321"/>
    <w:rsid w:val="0064336B"/>
    <w:rsid w:val="006433F0"/>
    <w:rsid w:val="006435D5"/>
    <w:rsid w:val="006438BE"/>
    <w:rsid w:val="006438CF"/>
    <w:rsid w:val="00643A47"/>
    <w:rsid w:val="00643A8C"/>
    <w:rsid w:val="00643BE4"/>
    <w:rsid w:val="00643CA0"/>
    <w:rsid w:val="00643CBC"/>
    <w:rsid w:val="00643DC0"/>
    <w:rsid w:val="00643E64"/>
    <w:rsid w:val="00643F72"/>
    <w:rsid w:val="00643F7A"/>
    <w:rsid w:val="00644017"/>
    <w:rsid w:val="00644054"/>
    <w:rsid w:val="0064416A"/>
    <w:rsid w:val="006441F8"/>
    <w:rsid w:val="0064439F"/>
    <w:rsid w:val="006443EF"/>
    <w:rsid w:val="00644516"/>
    <w:rsid w:val="006445EE"/>
    <w:rsid w:val="00644771"/>
    <w:rsid w:val="006447E2"/>
    <w:rsid w:val="0064486A"/>
    <w:rsid w:val="00644975"/>
    <w:rsid w:val="006449DE"/>
    <w:rsid w:val="00644A52"/>
    <w:rsid w:val="00644BF4"/>
    <w:rsid w:val="00644C87"/>
    <w:rsid w:val="00644D38"/>
    <w:rsid w:val="00644D5C"/>
    <w:rsid w:val="00645006"/>
    <w:rsid w:val="00645095"/>
    <w:rsid w:val="006451B3"/>
    <w:rsid w:val="00645344"/>
    <w:rsid w:val="006454AA"/>
    <w:rsid w:val="0064568B"/>
    <w:rsid w:val="00645691"/>
    <w:rsid w:val="0064585C"/>
    <w:rsid w:val="0064598E"/>
    <w:rsid w:val="0064599D"/>
    <w:rsid w:val="00645A4F"/>
    <w:rsid w:val="00645C4E"/>
    <w:rsid w:val="00645C8D"/>
    <w:rsid w:val="00645CF2"/>
    <w:rsid w:val="00645D1D"/>
    <w:rsid w:val="00645D6C"/>
    <w:rsid w:val="00645D9C"/>
    <w:rsid w:val="00645DB2"/>
    <w:rsid w:val="00645FD3"/>
    <w:rsid w:val="0064606C"/>
    <w:rsid w:val="00646236"/>
    <w:rsid w:val="006462C5"/>
    <w:rsid w:val="006462CE"/>
    <w:rsid w:val="006463FD"/>
    <w:rsid w:val="006464F4"/>
    <w:rsid w:val="0064679B"/>
    <w:rsid w:val="006467FB"/>
    <w:rsid w:val="006469C3"/>
    <w:rsid w:val="00646A6C"/>
    <w:rsid w:val="00646AAF"/>
    <w:rsid w:val="00646B17"/>
    <w:rsid w:val="00646BB1"/>
    <w:rsid w:val="00646D66"/>
    <w:rsid w:val="00646ED4"/>
    <w:rsid w:val="00646EEB"/>
    <w:rsid w:val="006471FD"/>
    <w:rsid w:val="00647247"/>
    <w:rsid w:val="00647386"/>
    <w:rsid w:val="00647480"/>
    <w:rsid w:val="00647564"/>
    <w:rsid w:val="00647592"/>
    <w:rsid w:val="006475A1"/>
    <w:rsid w:val="0064763F"/>
    <w:rsid w:val="0064767C"/>
    <w:rsid w:val="006476BA"/>
    <w:rsid w:val="0064794C"/>
    <w:rsid w:val="0064796E"/>
    <w:rsid w:val="00647A71"/>
    <w:rsid w:val="00647AF7"/>
    <w:rsid w:val="00647D6B"/>
    <w:rsid w:val="00647E25"/>
    <w:rsid w:val="00647FDE"/>
    <w:rsid w:val="0065010A"/>
    <w:rsid w:val="006501A4"/>
    <w:rsid w:val="006501E6"/>
    <w:rsid w:val="006503BE"/>
    <w:rsid w:val="0065049F"/>
    <w:rsid w:val="006504D6"/>
    <w:rsid w:val="00650504"/>
    <w:rsid w:val="006506EE"/>
    <w:rsid w:val="0065085B"/>
    <w:rsid w:val="00650946"/>
    <w:rsid w:val="00650C3E"/>
    <w:rsid w:val="00650CCB"/>
    <w:rsid w:val="00650CE5"/>
    <w:rsid w:val="00650E0C"/>
    <w:rsid w:val="00650E58"/>
    <w:rsid w:val="00650E85"/>
    <w:rsid w:val="0065109F"/>
    <w:rsid w:val="00651151"/>
    <w:rsid w:val="006511C3"/>
    <w:rsid w:val="006511CD"/>
    <w:rsid w:val="00651233"/>
    <w:rsid w:val="0065156C"/>
    <w:rsid w:val="006516FE"/>
    <w:rsid w:val="00651780"/>
    <w:rsid w:val="006519A8"/>
    <w:rsid w:val="00651A46"/>
    <w:rsid w:val="00651D3A"/>
    <w:rsid w:val="00651DCC"/>
    <w:rsid w:val="00651E8C"/>
    <w:rsid w:val="00651FA5"/>
    <w:rsid w:val="00652018"/>
    <w:rsid w:val="00652103"/>
    <w:rsid w:val="0065216E"/>
    <w:rsid w:val="0065259F"/>
    <w:rsid w:val="0065285F"/>
    <w:rsid w:val="00652A8D"/>
    <w:rsid w:val="00652A94"/>
    <w:rsid w:val="00652CB7"/>
    <w:rsid w:val="00652D50"/>
    <w:rsid w:val="00652DCF"/>
    <w:rsid w:val="00652DF4"/>
    <w:rsid w:val="00652E59"/>
    <w:rsid w:val="00652FEB"/>
    <w:rsid w:val="0065308D"/>
    <w:rsid w:val="00653140"/>
    <w:rsid w:val="00653294"/>
    <w:rsid w:val="006532E5"/>
    <w:rsid w:val="006533CC"/>
    <w:rsid w:val="006535AF"/>
    <w:rsid w:val="006536ED"/>
    <w:rsid w:val="0065379F"/>
    <w:rsid w:val="00653DBA"/>
    <w:rsid w:val="00653E65"/>
    <w:rsid w:val="00653EE8"/>
    <w:rsid w:val="00653FB6"/>
    <w:rsid w:val="00653FF8"/>
    <w:rsid w:val="00653FFB"/>
    <w:rsid w:val="0065400F"/>
    <w:rsid w:val="00654071"/>
    <w:rsid w:val="00654241"/>
    <w:rsid w:val="006542A5"/>
    <w:rsid w:val="0065430D"/>
    <w:rsid w:val="00654315"/>
    <w:rsid w:val="006544EC"/>
    <w:rsid w:val="006547B4"/>
    <w:rsid w:val="00654B4D"/>
    <w:rsid w:val="00654BC8"/>
    <w:rsid w:val="00654DA0"/>
    <w:rsid w:val="00654DB0"/>
    <w:rsid w:val="00654F36"/>
    <w:rsid w:val="00654FEB"/>
    <w:rsid w:val="00655208"/>
    <w:rsid w:val="0065520D"/>
    <w:rsid w:val="00655246"/>
    <w:rsid w:val="006552DB"/>
    <w:rsid w:val="0065535E"/>
    <w:rsid w:val="0065544E"/>
    <w:rsid w:val="00655539"/>
    <w:rsid w:val="006555A8"/>
    <w:rsid w:val="006555C4"/>
    <w:rsid w:val="006555DA"/>
    <w:rsid w:val="006555FE"/>
    <w:rsid w:val="00655602"/>
    <w:rsid w:val="0065568A"/>
    <w:rsid w:val="00655886"/>
    <w:rsid w:val="00655907"/>
    <w:rsid w:val="00655A54"/>
    <w:rsid w:val="00655C09"/>
    <w:rsid w:val="00655CC4"/>
    <w:rsid w:val="00655CEC"/>
    <w:rsid w:val="00655ED0"/>
    <w:rsid w:val="00655EF8"/>
    <w:rsid w:val="00655FF2"/>
    <w:rsid w:val="00656193"/>
    <w:rsid w:val="006561B5"/>
    <w:rsid w:val="00656238"/>
    <w:rsid w:val="00656537"/>
    <w:rsid w:val="00656583"/>
    <w:rsid w:val="0065660C"/>
    <w:rsid w:val="006567C3"/>
    <w:rsid w:val="0065696C"/>
    <w:rsid w:val="00656A27"/>
    <w:rsid w:val="00656B4F"/>
    <w:rsid w:val="00656B85"/>
    <w:rsid w:val="00656BE4"/>
    <w:rsid w:val="00656C7B"/>
    <w:rsid w:val="00656D1D"/>
    <w:rsid w:val="00656D7B"/>
    <w:rsid w:val="00657148"/>
    <w:rsid w:val="006573CA"/>
    <w:rsid w:val="0065757E"/>
    <w:rsid w:val="006576E1"/>
    <w:rsid w:val="0065776D"/>
    <w:rsid w:val="006578E6"/>
    <w:rsid w:val="006579A2"/>
    <w:rsid w:val="006579C2"/>
    <w:rsid w:val="00657A9F"/>
    <w:rsid w:val="00657AB4"/>
    <w:rsid w:val="00657B3C"/>
    <w:rsid w:val="00657C98"/>
    <w:rsid w:val="00657DB3"/>
    <w:rsid w:val="00657E31"/>
    <w:rsid w:val="00657E33"/>
    <w:rsid w:val="00657F8F"/>
    <w:rsid w:val="0066008C"/>
    <w:rsid w:val="00660174"/>
    <w:rsid w:val="006601F4"/>
    <w:rsid w:val="00660202"/>
    <w:rsid w:val="00660217"/>
    <w:rsid w:val="006602DF"/>
    <w:rsid w:val="006603E4"/>
    <w:rsid w:val="00660534"/>
    <w:rsid w:val="006606B1"/>
    <w:rsid w:val="00660832"/>
    <w:rsid w:val="00660B75"/>
    <w:rsid w:val="00660D3A"/>
    <w:rsid w:val="00660D45"/>
    <w:rsid w:val="00660D7B"/>
    <w:rsid w:val="00660F91"/>
    <w:rsid w:val="0066103D"/>
    <w:rsid w:val="00661049"/>
    <w:rsid w:val="006610A8"/>
    <w:rsid w:val="00661234"/>
    <w:rsid w:val="006615D9"/>
    <w:rsid w:val="006616AF"/>
    <w:rsid w:val="006617E2"/>
    <w:rsid w:val="0066182B"/>
    <w:rsid w:val="00661836"/>
    <w:rsid w:val="0066198D"/>
    <w:rsid w:val="00661B77"/>
    <w:rsid w:val="00661E0A"/>
    <w:rsid w:val="00661F79"/>
    <w:rsid w:val="00661F92"/>
    <w:rsid w:val="0066204A"/>
    <w:rsid w:val="00662222"/>
    <w:rsid w:val="0066247C"/>
    <w:rsid w:val="0066249C"/>
    <w:rsid w:val="00662530"/>
    <w:rsid w:val="006625C6"/>
    <w:rsid w:val="00662775"/>
    <w:rsid w:val="00662816"/>
    <w:rsid w:val="006628E7"/>
    <w:rsid w:val="00662A1D"/>
    <w:rsid w:val="00662A9B"/>
    <w:rsid w:val="00662B46"/>
    <w:rsid w:val="00662C69"/>
    <w:rsid w:val="00662D5B"/>
    <w:rsid w:val="00662D8E"/>
    <w:rsid w:val="00662E3B"/>
    <w:rsid w:val="00662EF6"/>
    <w:rsid w:val="00662F30"/>
    <w:rsid w:val="0066300D"/>
    <w:rsid w:val="00663013"/>
    <w:rsid w:val="006630D9"/>
    <w:rsid w:val="006630FA"/>
    <w:rsid w:val="00663118"/>
    <w:rsid w:val="0066323A"/>
    <w:rsid w:val="006633AF"/>
    <w:rsid w:val="006633DC"/>
    <w:rsid w:val="0066357D"/>
    <w:rsid w:val="006637A4"/>
    <w:rsid w:val="006637D6"/>
    <w:rsid w:val="0066382C"/>
    <w:rsid w:val="0066384E"/>
    <w:rsid w:val="00663A49"/>
    <w:rsid w:val="00663B85"/>
    <w:rsid w:val="00663B9B"/>
    <w:rsid w:val="00663BA2"/>
    <w:rsid w:val="00663F06"/>
    <w:rsid w:val="00664243"/>
    <w:rsid w:val="0066434E"/>
    <w:rsid w:val="006643D2"/>
    <w:rsid w:val="00664538"/>
    <w:rsid w:val="006645D5"/>
    <w:rsid w:val="00664648"/>
    <w:rsid w:val="006647CB"/>
    <w:rsid w:val="006647F3"/>
    <w:rsid w:val="00664972"/>
    <w:rsid w:val="006649FB"/>
    <w:rsid w:val="00664F76"/>
    <w:rsid w:val="00664FF7"/>
    <w:rsid w:val="00665149"/>
    <w:rsid w:val="006652AE"/>
    <w:rsid w:val="0066557D"/>
    <w:rsid w:val="006656BD"/>
    <w:rsid w:val="0066584D"/>
    <w:rsid w:val="00665AC1"/>
    <w:rsid w:val="00665DFB"/>
    <w:rsid w:val="00665E28"/>
    <w:rsid w:val="00665E32"/>
    <w:rsid w:val="00665E39"/>
    <w:rsid w:val="00665E66"/>
    <w:rsid w:val="00665EE4"/>
    <w:rsid w:val="0066604E"/>
    <w:rsid w:val="00666105"/>
    <w:rsid w:val="006661D9"/>
    <w:rsid w:val="006661DE"/>
    <w:rsid w:val="0066624E"/>
    <w:rsid w:val="0066638D"/>
    <w:rsid w:val="0066641E"/>
    <w:rsid w:val="0066663A"/>
    <w:rsid w:val="00666684"/>
    <w:rsid w:val="00666724"/>
    <w:rsid w:val="0066672B"/>
    <w:rsid w:val="006668A4"/>
    <w:rsid w:val="00666D02"/>
    <w:rsid w:val="00666D28"/>
    <w:rsid w:val="00666D82"/>
    <w:rsid w:val="00666D96"/>
    <w:rsid w:val="00666DD1"/>
    <w:rsid w:val="00666E58"/>
    <w:rsid w:val="00666E6C"/>
    <w:rsid w:val="0066728D"/>
    <w:rsid w:val="00667603"/>
    <w:rsid w:val="0066765D"/>
    <w:rsid w:val="006676E7"/>
    <w:rsid w:val="006677DC"/>
    <w:rsid w:val="00667821"/>
    <w:rsid w:val="00667860"/>
    <w:rsid w:val="00667A0F"/>
    <w:rsid w:val="00667B7A"/>
    <w:rsid w:val="00667D1E"/>
    <w:rsid w:val="00667E1B"/>
    <w:rsid w:val="00667F5F"/>
    <w:rsid w:val="00670288"/>
    <w:rsid w:val="00670393"/>
    <w:rsid w:val="00670501"/>
    <w:rsid w:val="00670561"/>
    <w:rsid w:val="00670885"/>
    <w:rsid w:val="00670895"/>
    <w:rsid w:val="006708A2"/>
    <w:rsid w:val="00670902"/>
    <w:rsid w:val="00670ACF"/>
    <w:rsid w:val="00670AD2"/>
    <w:rsid w:val="00670E72"/>
    <w:rsid w:val="00671212"/>
    <w:rsid w:val="0067123A"/>
    <w:rsid w:val="006712C2"/>
    <w:rsid w:val="006714D8"/>
    <w:rsid w:val="006716A1"/>
    <w:rsid w:val="00671808"/>
    <w:rsid w:val="00671B0E"/>
    <w:rsid w:val="00671BFF"/>
    <w:rsid w:val="00671C0A"/>
    <w:rsid w:val="00671E4A"/>
    <w:rsid w:val="00671ED8"/>
    <w:rsid w:val="00671F66"/>
    <w:rsid w:val="00671FAD"/>
    <w:rsid w:val="006720F5"/>
    <w:rsid w:val="00672117"/>
    <w:rsid w:val="0067212B"/>
    <w:rsid w:val="00672138"/>
    <w:rsid w:val="0067223A"/>
    <w:rsid w:val="006723A8"/>
    <w:rsid w:val="00672660"/>
    <w:rsid w:val="006729BD"/>
    <w:rsid w:val="006729C5"/>
    <w:rsid w:val="00672AAA"/>
    <w:rsid w:val="00672B43"/>
    <w:rsid w:val="00672BE2"/>
    <w:rsid w:val="00672BE4"/>
    <w:rsid w:val="00672C65"/>
    <w:rsid w:val="00672CF3"/>
    <w:rsid w:val="00672CFB"/>
    <w:rsid w:val="00672FF3"/>
    <w:rsid w:val="006730A2"/>
    <w:rsid w:val="00673130"/>
    <w:rsid w:val="0067319D"/>
    <w:rsid w:val="00673206"/>
    <w:rsid w:val="00673224"/>
    <w:rsid w:val="00673227"/>
    <w:rsid w:val="006732A3"/>
    <w:rsid w:val="00673366"/>
    <w:rsid w:val="006733A0"/>
    <w:rsid w:val="006733F9"/>
    <w:rsid w:val="00673454"/>
    <w:rsid w:val="00673496"/>
    <w:rsid w:val="0067359F"/>
    <w:rsid w:val="00673881"/>
    <w:rsid w:val="006738C2"/>
    <w:rsid w:val="006738F3"/>
    <w:rsid w:val="0067395C"/>
    <w:rsid w:val="00673AF3"/>
    <w:rsid w:val="00673CC2"/>
    <w:rsid w:val="00673CC6"/>
    <w:rsid w:val="00673CE1"/>
    <w:rsid w:val="00673D36"/>
    <w:rsid w:val="00673DF2"/>
    <w:rsid w:val="00673F4D"/>
    <w:rsid w:val="006740E3"/>
    <w:rsid w:val="00674194"/>
    <w:rsid w:val="006741CF"/>
    <w:rsid w:val="00674273"/>
    <w:rsid w:val="00674437"/>
    <w:rsid w:val="00674445"/>
    <w:rsid w:val="006745A5"/>
    <w:rsid w:val="00674626"/>
    <w:rsid w:val="006746B4"/>
    <w:rsid w:val="006747C2"/>
    <w:rsid w:val="006747E0"/>
    <w:rsid w:val="00674943"/>
    <w:rsid w:val="0067496B"/>
    <w:rsid w:val="00674973"/>
    <w:rsid w:val="00674DE7"/>
    <w:rsid w:val="00674E2D"/>
    <w:rsid w:val="00674E66"/>
    <w:rsid w:val="00674EFD"/>
    <w:rsid w:val="0067511D"/>
    <w:rsid w:val="0067529A"/>
    <w:rsid w:val="006752AB"/>
    <w:rsid w:val="006753E3"/>
    <w:rsid w:val="00675406"/>
    <w:rsid w:val="0067549A"/>
    <w:rsid w:val="00675672"/>
    <w:rsid w:val="0067567D"/>
    <w:rsid w:val="00675794"/>
    <w:rsid w:val="0067587C"/>
    <w:rsid w:val="006758B5"/>
    <w:rsid w:val="006759D4"/>
    <w:rsid w:val="00675A36"/>
    <w:rsid w:val="00675A58"/>
    <w:rsid w:val="00675B14"/>
    <w:rsid w:val="00675B8E"/>
    <w:rsid w:val="00675BA6"/>
    <w:rsid w:val="00675BBC"/>
    <w:rsid w:val="00675E9B"/>
    <w:rsid w:val="00676026"/>
    <w:rsid w:val="006760DE"/>
    <w:rsid w:val="00676166"/>
    <w:rsid w:val="006763CF"/>
    <w:rsid w:val="006764E1"/>
    <w:rsid w:val="0067653A"/>
    <w:rsid w:val="00676549"/>
    <w:rsid w:val="0067671E"/>
    <w:rsid w:val="006767B2"/>
    <w:rsid w:val="006767C5"/>
    <w:rsid w:val="006767D3"/>
    <w:rsid w:val="00676853"/>
    <w:rsid w:val="006768E3"/>
    <w:rsid w:val="0067693B"/>
    <w:rsid w:val="00676966"/>
    <w:rsid w:val="0067697C"/>
    <w:rsid w:val="006769D9"/>
    <w:rsid w:val="006769E6"/>
    <w:rsid w:val="00676B9D"/>
    <w:rsid w:val="00676F08"/>
    <w:rsid w:val="00677110"/>
    <w:rsid w:val="0067734F"/>
    <w:rsid w:val="00677387"/>
    <w:rsid w:val="00677427"/>
    <w:rsid w:val="00677595"/>
    <w:rsid w:val="006775A6"/>
    <w:rsid w:val="006775BC"/>
    <w:rsid w:val="006776BB"/>
    <w:rsid w:val="0067776B"/>
    <w:rsid w:val="006778F2"/>
    <w:rsid w:val="00677954"/>
    <w:rsid w:val="00677C18"/>
    <w:rsid w:val="00677D05"/>
    <w:rsid w:val="00677D70"/>
    <w:rsid w:val="00677F1B"/>
    <w:rsid w:val="00680362"/>
    <w:rsid w:val="00680370"/>
    <w:rsid w:val="006803BD"/>
    <w:rsid w:val="006803F9"/>
    <w:rsid w:val="006804DD"/>
    <w:rsid w:val="0068060C"/>
    <w:rsid w:val="006806C4"/>
    <w:rsid w:val="0068074E"/>
    <w:rsid w:val="00680751"/>
    <w:rsid w:val="006808AA"/>
    <w:rsid w:val="006808AB"/>
    <w:rsid w:val="00680902"/>
    <w:rsid w:val="00680A84"/>
    <w:rsid w:val="00680B2F"/>
    <w:rsid w:val="00680B3D"/>
    <w:rsid w:val="00680D78"/>
    <w:rsid w:val="00680D98"/>
    <w:rsid w:val="00680F64"/>
    <w:rsid w:val="00680FD3"/>
    <w:rsid w:val="00681118"/>
    <w:rsid w:val="006811CB"/>
    <w:rsid w:val="00681267"/>
    <w:rsid w:val="00681417"/>
    <w:rsid w:val="006814A2"/>
    <w:rsid w:val="00681596"/>
    <w:rsid w:val="0068168D"/>
    <w:rsid w:val="006816EE"/>
    <w:rsid w:val="00681752"/>
    <w:rsid w:val="00681B98"/>
    <w:rsid w:val="00681C0A"/>
    <w:rsid w:val="00681CC0"/>
    <w:rsid w:val="00681D72"/>
    <w:rsid w:val="00681DBB"/>
    <w:rsid w:val="00681FE3"/>
    <w:rsid w:val="00682026"/>
    <w:rsid w:val="0068205F"/>
    <w:rsid w:val="0068208C"/>
    <w:rsid w:val="006822BA"/>
    <w:rsid w:val="006823A9"/>
    <w:rsid w:val="006823CC"/>
    <w:rsid w:val="006824CD"/>
    <w:rsid w:val="0068288F"/>
    <w:rsid w:val="006828D0"/>
    <w:rsid w:val="0068295D"/>
    <w:rsid w:val="00682978"/>
    <w:rsid w:val="00682BA6"/>
    <w:rsid w:val="00682D06"/>
    <w:rsid w:val="00682D7F"/>
    <w:rsid w:val="00682DF1"/>
    <w:rsid w:val="00682F5F"/>
    <w:rsid w:val="0068302E"/>
    <w:rsid w:val="006831D6"/>
    <w:rsid w:val="0068331E"/>
    <w:rsid w:val="0068342F"/>
    <w:rsid w:val="00683473"/>
    <w:rsid w:val="00683738"/>
    <w:rsid w:val="00683A18"/>
    <w:rsid w:val="00683B1A"/>
    <w:rsid w:val="00683C0D"/>
    <w:rsid w:val="00683DC4"/>
    <w:rsid w:val="00683F3A"/>
    <w:rsid w:val="006841D5"/>
    <w:rsid w:val="006841F6"/>
    <w:rsid w:val="00684212"/>
    <w:rsid w:val="006842F7"/>
    <w:rsid w:val="00684476"/>
    <w:rsid w:val="0068461D"/>
    <w:rsid w:val="006846BD"/>
    <w:rsid w:val="006847A3"/>
    <w:rsid w:val="006847F9"/>
    <w:rsid w:val="006849AC"/>
    <w:rsid w:val="00684A90"/>
    <w:rsid w:val="00684BBA"/>
    <w:rsid w:val="00684D9D"/>
    <w:rsid w:val="00684E2C"/>
    <w:rsid w:val="00684E36"/>
    <w:rsid w:val="006852C5"/>
    <w:rsid w:val="006852FA"/>
    <w:rsid w:val="006853AF"/>
    <w:rsid w:val="00685504"/>
    <w:rsid w:val="006855BC"/>
    <w:rsid w:val="00685668"/>
    <w:rsid w:val="00685827"/>
    <w:rsid w:val="0068595C"/>
    <w:rsid w:val="006859E6"/>
    <w:rsid w:val="00685A88"/>
    <w:rsid w:val="00685A9D"/>
    <w:rsid w:val="00685CC2"/>
    <w:rsid w:val="00685CE3"/>
    <w:rsid w:val="00685F84"/>
    <w:rsid w:val="00685FD4"/>
    <w:rsid w:val="006860D5"/>
    <w:rsid w:val="0068621C"/>
    <w:rsid w:val="00686304"/>
    <w:rsid w:val="0068643F"/>
    <w:rsid w:val="00686539"/>
    <w:rsid w:val="006865BC"/>
    <w:rsid w:val="00686855"/>
    <w:rsid w:val="0068686C"/>
    <w:rsid w:val="006869C2"/>
    <w:rsid w:val="006869DF"/>
    <w:rsid w:val="00686B20"/>
    <w:rsid w:val="00686C5C"/>
    <w:rsid w:val="00686E39"/>
    <w:rsid w:val="00686FB7"/>
    <w:rsid w:val="00687189"/>
    <w:rsid w:val="006875BC"/>
    <w:rsid w:val="006875C2"/>
    <w:rsid w:val="006877C0"/>
    <w:rsid w:val="006878E4"/>
    <w:rsid w:val="00687956"/>
    <w:rsid w:val="00687973"/>
    <w:rsid w:val="00687BB1"/>
    <w:rsid w:val="00687BC4"/>
    <w:rsid w:val="00687BF9"/>
    <w:rsid w:val="00687CDA"/>
    <w:rsid w:val="00687DF3"/>
    <w:rsid w:val="00687E2A"/>
    <w:rsid w:val="00687E54"/>
    <w:rsid w:val="00687EAB"/>
    <w:rsid w:val="00687FB4"/>
    <w:rsid w:val="00690074"/>
    <w:rsid w:val="006901CF"/>
    <w:rsid w:val="0069025F"/>
    <w:rsid w:val="006902D8"/>
    <w:rsid w:val="0069031C"/>
    <w:rsid w:val="006903AE"/>
    <w:rsid w:val="006904B7"/>
    <w:rsid w:val="00690660"/>
    <w:rsid w:val="0069078A"/>
    <w:rsid w:val="00690810"/>
    <w:rsid w:val="0069096B"/>
    <w:rsid w:val="00690B5E"/>
    <w:rsid w:val="00690BB7"/>
    <w:rsid w:val="00690C0F"/>
    <w:rsid w:val="00690D6A"/>
    <w:rsid w:val="00690FBB"/>
    <w:rsid w:val="00691020"/>
    <w:rsid w:val="006910DD"/>
    <w:rsid w:val="006913A2"/>
    <w:rsid w:val="00691530"/>
    <w:rsid w:val="0069154A"/>
    <w:rsid w:val="0069160A"/>
    <w:rsid w:val="00691619"/>
    <w:rsid w:val="006919BE"/>
    <w:rsid w:val="006919CF"/>
    <w:rsid w:val="00691A8E"/>
    <w:rsid w:val="00691AE0"/>
    <w:rsid w:val="00691B18"/>
    <w:rsid w:val="00691C3C"/>
    <w:rsid w:val="00691D47"/>
    <w:rsid w:val="00691D97"/>
    <w:rsid w:val="00691E25"/>
    <w:rsid w:val="00691FE3"/>
    <w:rsid w:val="0069208C"/>
    <w:rsid w:val="006920FD"/>
    <w:rsid w:val="00692135"/>
    <w:rsid w:val="00692229"/>
    <w:rsid w:val="00692235"/>
    <w:rsid w:val="00692439"/>
    <w:rsid w:val="00692654"/>
    <w:rsid w:val="00692953"/>
    <w:rsid w:val="00692B0E"/>
    <w:rsid w:val="00692B51"/>
    <w:rsid w:val="00692C88"/>
    <w:rsid w:val="00692CD7"/>
    <w:rsid w:val="00692EF4"/>
    <w:rsid w:val="0069320D"/>
    <w:rsid w:val="006932B4"/>
    <w:rsid w:val="00693487"/>
    <w:rsid w:val="006935EC"/>
    <w:rsid w:val="00693615"/>
    <w:rsid w:val="00693679"/>
    <w:rsid w:val="00693976"/>
    <w:rsid w:val="00693B7A"/>
    <w:rsid w:val="00693C5F"/>
    <w:rsid w:val="00693D0F"/>
    <w:rsid w:val="006940D6"/>
    <w:rsid w:val="00694411"/>
    <w:rsid w:val="00694428"/>
    <w:rsid w:val="00694471"/>
    <w:rsid w:val="00694586"/>
    <w:rsid w:val="006945E6"/>
    <w:rsid w:val="006945F0"/>
    <w:rsid w:val="006946BB"/>
    <w:rsid w:val="00694743"/>
    <w:rsid w:val="00694848"/>
    <w:rsid w:val="00694959"/>
    <w:rsid w:val="006949C7"/>
    <w:rsid w:val="00694D0C"/>
    <w:rsid w:val="00694D1E"/>
    <w:rsid w:val="00694ECC"/>
    <w:rsid w:val="00694EDB"/>
    <w:rsid w:val="00694FB9"/>
    <w:rsid w:val="006951BD"/>
    <w:rsid w:val="006951FF"/>
    <w:rsid w:val="0069549B"/>
    <w:rsid w:val="006956C2"/>
    <w:rsid w:val="0069576C"/>
    <w:rsid w:val="00695AFE"/>
    <w:rsid w:val="00695D2C"/>
    <w:rsid w:val="00695EC6"/>
    <w:rsid w:val="00695F75"/>
    <w:rsid w:val="00695F7C"/>
    <w:rsid w:val="00695FB6"/>
    <w:rsid w:val="00696013"/>
    <w:rsid w:val="00696035"/>
    <w:rsid w:val="006961B7"/>
    <w:rsid w:val="006962C9"/>
    <w:rsid w:val="00696453"/>
    <w:rsid w:val="00696541"/>
    <w:rsid w:val="0069655E"/>
    <w:rsid w:val="00696670"/>
    <w:rsid w:val="006966B7"/>
    <w:rsid w:val="00696819"/>
    <w:rsid w:val="006968AC"/>
    <w:rsid w:val="006968D3"/>
    <w:rsid w:val="00696994"/>
    <w:rsid w:val="00696AB4"/>
    <w:rsid w:val="00696AC2"/>
    <w:rsid w:val="00696B58"/>
    <w:rsid w:val="00696C6E"/>
    <w:rsid w:val="00696E84"/>
    <w:rsid w:val="006971FA"/>
    <w:rsid w:val="00697260"/>
    <w:rsid w:val="00697373"/>
    <w:rsid w:val="006973C8"/>
    <w:rsid w:val="0069752D"/>
    <w:rsid w:val="00697715"/>
    <w:rsid w:val="006977E1"/>
    <w:rsid w:val="006978B9"/>
    <w:rsid w:val="0069790B"/>
    <w:rsid w:val="00697AFE"/>
    <w:rsid w:val="00697B19"/>
    <w:rsid w:val="00697BE1"/>
    <w:rsid w:val="00697BE6"/>
    <w:rsid w:val="00697C75"/>
    <w:rsid w:val="00697DA8"/>
    <w:rsid w:val="00697F14"/>
    <w:rsid w:val="00699E8F"/>
    <w:rsid w:val="006A0019"/>
    <w:rsid w:val="006A0046"/>
    <w:rsid w:val="006A0081"/>
    <w:rsid w:val="006A0208"/>
    <w:rsid w:val="006A0395"/>
    <w:rsid w:val="006A048F"/>
    <w:rsid w:val="006A04A7"/>
    <w:rsid w:val="006A04C6"/>
    <w:rsid w:val="006A04ED"/>
    <w:rsid w:val="006A051E"/>
    <w:rsid w:val="006A05AF"/>
    <w:rsid w:val="006A083B"/>
    <w:rsid w:val="006A0B01"/>
    <w:rsid w:val="006A0B66"/>
    <w:rsid w:val="006A0B76"/>
    <w:rsid w:val="006A0C14"/>
    <w:rsid w:val="006A0CAC"/>
    <w:rsid w:val="006A0E1B"/>
    <w:rsid w:val="006A0F73"/>
    <w:rsid w:val="006A1012"/>
    <w:rsid w:val="006A10A7"/>
    <w:rsid w:val="006A116A"/>
    <w:rsid w:val="006A12B9"/>
    <w:rsid w:val="006A12CD"/>
    <w:rsid w:val="006A1345"/>
    <w:rsid w:val="006A13DA"/>
    <w:rsid w:val="006A1594"/>
    <w:rsid w:val="006A1729"/>
    <w:rsid w:val="006A17F9"/>
    <w:rsid w:val="006A1804"/>
    <w:rsid w:val="006A1996"/>
    <w:rsid w:val="006A19C9"/>
    <w:rsid w:val="006A1A30"/>
    <w:rsid w:val="006A1B4E"/>
    <w:rsid w:val="006A1B50"/>
    <w:rsid w:val="006A1BB4"/>
    <w:rsid w:val="006A1BE3"/>
    <w:rsid w:val="006A1C41"/>
    <w:rsid w:val="006A1F6A"/>
    <w:rsid w:val="006A1FF8"/>
    <w:rsid w:val="006A2129"/>
    <w:rsid w:val="006A215A"/>
    <w:rsid w:val="006A23A0"/>
    <w:rsid w:val="006A23D9"/>
    <w:rsid w:val="006A2403"/>
    <w:rsid w:val="006A2410"/>
    <w:rsid w:val="006A2466"/>
    <w:rsid w:val="006A2672"/>
    <w:rsid w:val="006A27C9"/>
    <w:rsid w:val="006A27EC"/>
    <w:rsid w:val="006A298C"/>
    <w:rsid w:val="006A29EA"/>
    <w:rsid w:val="006A2A90"/>
    <w:rsid w:val="006A2B6C"/>
    <w:rsid w:val="006A2D25"/>
    <w:rsid w:val="006A2E56"/>
    <w:rsid w:val="006A2E7F"/>
    <w:rsid w:val="006A2EB9"/>
    <w:rsid w:val="006A2EE0"/>
    <w:rsid w:val="006A2F23"/>
    <w:rsid w:val="006A2F26"/>
    <w:rsid w:val="006A2F94"/>
    <w:rsid w:val="006A2FF4"/>
    <w:rsid w:val="006A304D"/>
    <w:rsid w:val="006A31C0"/>
    <w:rsid w:val="006A3270"/>
    <w:rsid w:val="006A3565"/>
    <w:rsid w:val="006A3582"/>
    <w:rsid w:val="006A362F"/>
    <w:rsid w:val="006A36F7"/>
    <w:rsid w:val="006A3738"/>
    <w:rsid w:val="006A3778"/>
    <w:rsid w:val="006A3823"/>
    <w:rsid w:val="006A396F"/>
    <w:rsid w:val="006A3A90"/>
    <w:rsid w:val="006A3BDA"/>
    <w:rsid w:val="006A3DC1"/>
    <w:rsid w:val="006A3E82"/>
    <w:rsid w:val="006A3F15"/>
    <w:rsid w:val="006A4297"/>
    <w:rsid w:val="006A42B3"/>
    <w:rsid w:val="006A44B9"/>
    <w:rsid w:val="006A44BC"/>
    <w:rsid w:val="006A44ED"/>
    <w:rsid w:val="006A44FE"/>
    <w:rsid w:val="006A4699"/>
    <w:rsid w:val="006A4868"/>
    <w:rsid w:val="006A4A34"/>
    <w:rsid w:val="006A4AFC"/>
    <w:rsid w:val="006A4D3E"/>
    <w:rsid w:val="006A4FBF"/>
    <w:rsid w:val="006A5068"/>
    <w:rsid w:val="006A5105"/>
    <w:rsid w:val="006A54AB"/>
    <w:rsid w:val="006A54B5"/>
    <w:rsid w:val="006A5501"/>
    <w:rsid w:val="006A55AA"/>
    <w:rsid w:val="006A5664"/>
    <w:rsid w:val="006A57BC"/>
    <w:rsid w:val="006A57C9"/>
    <w:rsid w:val="006A58E1"/>
    <w:rsid w:val="006A5955"/>
    <w:rsid w:val="006A59CC"/>
    <w:rsid w:val="006A5B2C"/>
    <w:rsid w:val="006A5C15"/>
    <w:rsid w:val="006A5C3C"/>
    <w:rsid w:val="006A5C66"/>
    <w:rsid w:val="006A5C93"/>
    <w:rsid w:val="006A5D44"/>
    <w:rsid w:val="006A5E1D"/>
    <w:rsid w:val="006A5E9F"/>
    <w:rsid w:val="006A5EC1"/>
    <w:rsid w:val="006A6061"/>
    <w:rsid w:val="006A6085"/>
    <w:rsid w:val="006A61B0"/>
    <w:rsid w:val="006A6218"/>
    <w:rsid w:val="006A622A"/>
    <w:rsid w:val="006A645A"/>
    <w:rsid w:val="006A64E3"/>
    <w:rsid w:val="006A66A2"/>
    <w:rsid w:val="006A66AA"/>
    <w:rsid w:val="006A69AA"/>
    <w:rsid w:val="006A6B18"/>
    <w:rsid w:val="006A6C15"/>
    <w:rsid w:val="006A6C4F"/>
    <w:rsid w:val="006A6CAC"/>
    <w:rsid w:val="006A6E35"/>
    <w:rsid w:val="006A6E49"/>
    <w:rsid w:val="006A6EC1"/>
    <w:rsid w:val="006A6EDC"/>
    <w:rsid w:val="006A6F08"/>
    <w:rsid w:val="006A6F87"/>
    <w:rsid w:val="006A721A"/>
    <w:rsid w:val="006A7250"/>
    <w:rsid w:val="006A738C"/>
    <w:rsid w:val="006A755A"/>
    <w:rsid w:val="006A75C2"/>
    <w:rsid w:val="006A7615"/>
    <w:rsid w:val="006A765A"/>
    <w:rsid w:val="006A7847"/>
    <w:rsid w:val="006A7C5D"/>
    <w:rsid w:val="006A7C8E"/>
    <w:rsid w:val="006A7DB2"/>
    <w:rsid w:val="006A7E4D"/>
    <w:rsid w:val="006A7E5A"/>
    <w:rsid w:val="006A7EA4"/>
    <w:rsid w:val="006A7F10"/>
    <w:rsid w:val="006A7F31"/>
    <w:rsid w:val="006AED5A"/>
    <w:rsid w:val="006B00AA"/>
    <w:rsid w:val="006B031C"/>
    <w:rsid w:val="006B0393"/>
    <w:rsid w:val="006B048E"/>
    <w:rsid w:val="006B06BB"/>
    <w:rsid w:val="006B072E"/>
    <w:rsid w:val="006B0795"/>
    <w:rsid w:val="006B0827"/>
    <w:rsid w:val="006B08FE"/>
    <w:rsid w:val="006B0AAB"/>
    <w:rsid w:val="006B0B53"/>
    <w:rsid w:val="006B0BA9"/>
    <w:rsid w:val="006B0D43"/>
    <w:rsid w:val="006B0EFF"/>
    <w:rsid w:val="006B103E"/>
    <w:rsid w:val="006B1057"/>
    <w:rsid w:val="006B10AF"/>
    <w:rsid w:val="006B125E"/>
    <w:rsid w:val="006B1324"/>
    <w:rsid w:val="006B137C"/>
    <w:rsid w:val="006B13AF"/>
    <w:rsid w:val="006B13B4"/>
    <w:rsid w:val="006B13F3"/>
    <w:rsid w:val="006B159D"/>
    <w:rsid w:val="006B166C"/>
    <w:rsid w:val="006B17B4"/>
    <w:rsid w:val="006B185C"/>
    <w:rsid w:val="006B1BB9"/>
    <w:rsid w:val="006B1CBE"/>
    <w:rsid w:val="006B1CD3"/>
    <w:rsid w:val="006B1D2C"/>
    <w:rsid w:val="006B1D4E"/>
    <w:rsid w:val="006B1D5F"/>
    <w:rsid w:val="006B1D7D"/>
    <w:rsid w:val="006B1E33"/>
    <w:rsid w:val="006B1EDD"/>
    <w:rsid w:val="006B222D"/>
    <w:rsid w:val="006B2287"/>
    <w:rsid w:val="006B24EF"/>
    <w:rsid w:val="006B2555"/>
    <w:rsid w:val="006B2685"/>
    <w:rsid w:val="006B2697"/>
    <w:rsid w:val="006B2698"/>
    <w:rsid w:val="006B2707"/>
    <w:rsid w:val="006B272D"/>
    <w:rsid w:val="006B2743"/>
    <w:rsid w:val="006B27CF"/>
    <w:rsid w:val="006B2901"/>
    <w:rsid w:val="006B2AFF"/>
    <w:rsid w:val="006B2B70"/>
    <w:rsid w:val="006B2BE5"/>
    <w:rsid w:val="006B2CD4"/>
    <w:rsid w:val="006B2D52"/>
    <w:rsid w:val="006B2EE6"/>
    <w:rsid w:val="006B2F2C"/>
    <w:rsid w:val="006B2FA3"/>
    <w:rsid w:val="006B3063"/>
    <w:rsid w:val="006B33BC"/>
    <w:rsid w:val="006B33EC"/>
    <w:rsid w:val="006B3724"/>
    <w:rsid w:val="006B38AB"/>
    <w:rsid w:val="006B3948"/>
    <w:rsid w:val="006B3995"/>
    <w:rsid w:val="006B3A2A"/>
    <w:rsid w:val="006B3A3A"/>
    <w:rsid w:val="006B3C47"/>
    <w:rsid w:val="006B3C68"/>
    <w:rsid w:val="006B3CC8"/>
    <w:rsid w:val="006B3FF4"/>
    <w:rsid w:val="006B4129"/>
    <w:rsid w:val="006B4199"/>
    <w:rsid w:val="006B419D"/>
    <w:rsid w:val="006B41B0"/>
    <w:rsid w:val="006B41F4"/>
    <w:rsid w:val="006B42C9"/>
    <w:rsid w:val="006B434E"/>
    <w:rsid w:val="006B456C"/>
    <w:rsid w:val="006B4598"/>
    <w:rsid w:val="006B45F2"/>
    <w:rsid w:val="006B474E"/>
    <w:rsid w:val="006B477D"/>
    <w:rsid w:val="006B478E"/>
    <w:rsid w:val="006B4862"/>
    <w:rsid w:val="006B4A4D"/>
    <w:rsid w:val="006B4B0E"/>
    <w:rsid w:val="006B4E6F"/>
    <w:rsid w:val="006B4F85"/>
    <w:rsid w:val="006B4FA6"/>
    <w:rsid w:val="006B5081"/>
    <w:rsid w:val="006B53B2"/>
    <w:rsid w:val="006B55E5"/>
    <w:rsid w:val="006B5683"/>
    <w:rsid w:val="006B5772"/>
    <w:rsid w:val="006B5848"/>
    <w:rsid w:val="006B5B2A"/>
    <w:rsid w:val="006B5B31"/>
    <w:rsid w:val="006B5B56"/>
    <w:rsid w:val="006B5C96"/>
    <w:rsid w:val="006B5CEA"/>
    <w:rsid w:val="006B5E03"/>
    <w:rsid w:val="006B5ED0"/>
    <w:rsid w:val="006B6161"/>
    <w:rsid w:val="006B6205"/>
    <w:rsid w:val="006B6346"/>
    <w:rsid w:val="006B635F"/>
    <w:rsid w:val="006B63F7"/>
    <w:rsid w:val="006B656C"/>
    <w:rsid w:val="006B67DE"/>
    <w:rsid w:val="006B69B5"/>
    <w:rsid w:val="006B6B29"/>
    <w:rsid w:val="006B6BAB"/>
    <w:rsid w:val="006B6D08"/>
    <w:rsid w:val="006B6E6A"/>
    <w:rsid w:val="006B701F"/>
    <w:rsid w:val="006B715C"/>
    <w:rsid w:val="006B71A0"/>
    <w:rsid w:val="006B71B4"/>
    <w:rsid w:val="006B7566"/>
    <w:rsid w:val="006B75EF"/>
    <w:rsid w:val="006B77B0"/>
    <w:rsid w:val="006B79E7"/>
    <w:rsid w:val="006B7A11"/>
    <w:rsid w:val="006B7A4F"/>
    <w:rsid w:val="006B7D5E"/>
    <w:rsid w:val="006B7E37"/>
    <w:rsid w:val="006B7E76"/>
    <w:rsid w:val="006C0039"/>
    <w:rsid w:val="006C02F5"/>
    <w:rsid w:val="006C0492"/>
    <w:rsid w:val="006C05E2"/>
    <w:rsid w:val="006C0620"/>
    <w:rsid w:val="006C0A32"/>
    <w:rsid w:val="006C0ACF"/>
    <w:rsid w:val="006C0AD7"/>
    <w:rsid w:val="006C0B30"/>
    <w:rsid w:val="006C0C65"/>
    <w:rsid w:val="006C0C7D"/>
    <w:rsid w:val="006C0CF6"/>
    <w:rsid w:val="006C0E58"/>
    <w:rsid w:val="006C0E87"/>
    <w:rsid w:val="006C0FDF"/>
    <w:rsid w:val="006C104B"/>
    <w:rsid w:val="006C109F"/>
    <w:rsid w:val="006C118C"/>
    <w:rsid w:val="006C11C8"/>
    <w:rsid w:val="006C132F"/>
    <w:rsid w:val="006C1368"/>
    <w:rsid w:val="006C14BC"/>
    <w:rsid w:val="006C14EA"/>
    <w:rsid w:val="006C152D"/>
    <w:rsid w:val="006C15F2"/>
    <w:rsid w:val="006C16D4"/>
    <w:rsid w:val="006C1872"/>
    <w:rsid w:val="006C1A3A"/>
    <w:rsid w:val="006C1CAA"/>
    <w:rsid w:val="006C1CEB"/>
    <w:rsid w:val="006C1E26"/>
    <w:rsid w:val="006C20F4"/>
    <w:rsid w:val="006C220C"/>
    <w:rsid w:val="006C22EB"/>
    <w:rsid w:val="006C22F7"/>
    <w:rsid w:val="006C230B"/>
    <w:rsid w:val="006C240A"/>
    <w:rsid w:val="006C2868"/>
    <w:rsid w:val="006C293C"/>
    <w:rsid w:val="006C294D"/>
    <w:rsid w:val="006C2B02"/>
    <w:rsid w:val="006C2B7F"/>
    <w:rsid w:val="006C2B8A"/>
    <w:rsid w:val="006C2C16"/>
    <w:rsid w:val="006C2C18"/>
    <w:rsid w:val="006C2C54"/>
    <w:rsid w:val="006C2EAB"/>
    <w:rsid w:val="006C2F9A"/>
    <w:rsid w:val="006C3026"/>
    <w:rsid w:val="006C30D6"/>
    <w:rsid w:val="006C3244"/>
    <w:rsid w:val="006C32E7"/>
    <w:rsid w:val="006C348D"/>
    <w:rsid w:val="006C3513"/>
    <w:rsid w:val="006C352E"/>
    <w:rsid w:val="006C3624"/>
    <w:rsid w:val="006C36A9"/>
    <w:rsid w:val="006C36F5"/>
    <w:rsid w:val="006C3805"/>
    <w:rsid w:val="006C386E"/>
    <w:rsid w:val="006C3933"/>
    <w:rsid w:val="006C3984"/>
    <w:rsid w:val="006C3B68"/>
    <w:rsid w:val="006C3C81"/>
    <w:rsid w:val="006C3F0D"/>
    <w:rsid w:val="006C3F70"/>
    <w:rsid w:val="006C404D"/>
    <w:rsid w:val="006C41F0"/>
    <w:rsid w:val="006C4231"/>
    <w:rsid w:val="006C4310"/>
    <w:rsid w:val="006C437B"/>
    <w:rsid w:val="006C438C"/>
    <w:rsid w:val="006C465B"/>
    <w:rsid w:val="006C472B"/>
    <w:rsid w:val="006C474D"/>
    <w:rsid w:val="006C476E"/>
    <w:rsid w:val="006C4839"/>
    <w:rsid w:val="006C4A5E"/>
    <w:rsid w:val="006C4BE4"/>
    <w:rsid w:val="006C4C38"/>
    <w:rsid w:val="006C4D95"/>
    <w:rsid w:val="006C4D9B"/>
    <w:rsid w:val="006C4E9C"/>
    <w:rsid w:val="006C4ED4"/>
    <w:rsid w:val="006C4F0D"/>
    <w:rsid w:val="006C512A"/>
    <w:rsid w:val="006C513A"/>
    <w:rsid w:val="006C53CF"/>
    <w:rsid w:val="006C53FA"/>
    <w:rsid w:val="006C552B"/>
    <w:rsid w:val="006C5681"/>
    <w:rsid w:val="006C5787"/>
    <w:rsid w:val="006C57BC"/>
    <w:rsid w:val="006C57D3"/>
    <w:rsid w:val="006C58D6"/>
    <w:rsid w:val="006C5AF8"/>
    <w:rsid w:val="006C5B85"/>
    <w:rsid w:val="006C5DF8"/>
    <w:rsid w:val="006C5E95"/>
    <w:rsid w:val="006C5EA7"/>
    <w:rsid w:val="006C5F45"/>
    <w:rsid w:val="006C5FFF"/>
    <w:rsid w:val="006C6079"/>
    <w:rsid w:val="006C60AD"/>
    <w:rsid w:val="006C62A7"/>
    <w:rsid w:val="006C6317"/>
    <w:rsid w:val="006C632D"/>
    <w:rsid w:val="006C64B3"/>
    <w:rsid w:val="006C65ED"/>
    <w:rsid w:val="006C6608"/>
    <w:rsid w:val="006C686D"/>
    <w:rsid w:val="006C6B9B"/>
    <w:rsid w:val="006C6BDB"/>
    <w:rsid w:val="006C6C60"/>
    <w:rsid w:val="006C6C9E"/>
    <w:rsid w:val="006C6E87"/>
    <w:rsid w:val="006C6EC2"/>
    <w:rsid w:val="006C70CE"/>
    <w:rsid w:val="006C714B"/>
    <w:rsid w:val="006C7162"/>
    <w:rsid w:val="006C7200"/>
    <w:rsid w:val="006C729B"/>
    <w:rsid w:val="006C7596"/>
    <w:rsid w:val="006C75D1"/>
    <w:rsid w:val="006C75FE"/>
    <w:rsid w:val="006C760E"/>
    <w:rsid w:val="006C762C"/>
    <w:rsid w:val="006C7632"/>
    <w:rsid w:val="006C7772"/>
    <w:rsid w:val="006C77CF"/>
    <w:rsid w:val="006C77EE"/>
    <w:rsid w:val="006C7977"/>
    <w:rsid w:val="006C7A4F"/>
    <w:rsid w:val="006C7A8B"/>
    <w:rsid w:val="006C7AFA"/>
    <w:rsid w:val="006C7C04"/>
    <w:rsid w:val="006C7C6E"/>
    <w:rsid w:val="006C7DD7"/>
    <w:rsid w:val="006C7F4F"/>
    <w:rsid w:val="006C7FA7"/>
    <w:rsid w:val="006D0098"/>
    <w:rsid w:val="006D00D1"/>
    <w:rsid w:val="006D01AE"/>
    <w:rsid w:val="006D02E7"/>
    <w:rsid w:val="006D035E"/>
    <w:rsid w:val="006D04E6"/>
    <w:rsid w:val="006D050B"/>
    <w:rsid w:val="006D0529"/>
    <w:rsid w:val="006D057E"/>
    <w:rsid w:val="006D05B4"/>
    <w:rsid w:val="006D07B5"/>
    <w:rsid w:val="006D085F"/>
    <w:rsid w:val="006D0876"/>
    <w:rsid w:val="006D0A86"/>
    <w:rsid w:val="006D0A8E"/>
    <w:rsid w:val="006D0ACF"/>
    <w:rsid w:val="006D0B17"/>
    <w:rsid w:val="006D0B40"/>
    <w:rsid w:val="006D0C7A"/>
    <w:rsid w:val="006D0CF5"/>
    <w:rsid w:val="006D12A1"/>
    <w:rsid w:val="006D14FA"/>
    <w:rsid w:val="006D15C5"/>
    <w:rsid w:val="006D15EF"/>
    <w:rsid w:val="006D16BB"/>
    <w:rsid w:val="006D18FE"/>
    <w:rsid w:val="006D1954"/>
    <w:rsid w:val="006D1A62"/>
    <w:rsid w:val="006D1B4F"/>
    <w:rsid w:val="006D1C36"/>
    <w:rsid w:val="006D1D14"/>
    <w:rsid w:val="006D1D19"/>
    <w:rsid w:val="006D1D23"/>
    <w:rsid w:val="006D21C8"/>
    <w:rsid w:val="006D22F0"/>
    <w:rsid w:val="006D234B"/>
    <w:rsid w:val="006D25EC"/>
    <w:rsid w:val="006D26CF"/>
    <w:rsid w:val="006D2842"/>
    <w:rsid w:val="006D285B"/>
    <w:rsid w:val="006D28C5"/>
    <w:rsid w:val="006D2A6F"/>
    <w:rsid w:val="006D2BA5"/>
    <w:rsid w:val="006D2C62"/>
    <w:rsid w:val="006D2D6C"/>
    <w:rsid w:val="006D2DC3"/>
    <w:rsid w:val="006D2E28"/>
    <w:rsid w:val="006D309C"/>
    <w:rsid w:val="006D3136"/>
    <w:rsid w:val="006D34CE"/>
    <w:rsid w:val="006D3556"/>
    <w:rsid w:val="006D3567"/>
    <w:rsid w:val="006D3589"/>
    <w:rsid w:val="006D35B7"/>
    <w:rsid w:val="006D377E"/>
    <w:rsid w:val="006D3785"/>
    <w:rsid w:val="006D37C2"/>
    <w:rsid w:val="006D3895"/>
    <w:rsid w:val="006D3925"/>
    <w:rsid w:val="006D3980"/>
    <w:rsid w:val="006D3991"/>
    <w:rsid w:val="006D39BD"/>
    <w:rsid w:val="006D3B56"/>
    <w:rsid w:val="006D3B5E"/>
    <w:rsid w:val="006D4040"/>
    <w:rsid w:val="006D4161"/>
    <w:rsid w:val="006D41D5"/>
    <w:rsid w:val="006D41FD"/>
    <w:rsid w:val="006D421B"/>
    <w:rsid w:val="006D4482"/>
    <w:rsid w:val="006D44A7"/>
    <w:rsid w:val="006D45E1"/>
    <w:rsid w:val="006D46F8"/>
    <w:rsid w:val="006D4A94"/>
    <w:rsid w:val="006D4CBD"/>
    <w:rsid w:val="006D4D9F"/>
    <w:rsid w:val="006D4E36"/>
    <w:rsid w:val="006D4E8F"/>
    <w:rsid w:val="006D4EC7"/>
    <w:rsid w:val="006D4F67"/>
    <w:rsid w:val="006D4FC8"/>
    <w:rsid w:val="006D504A"/>
    <w:rsid w:val="006D50D0"/>
    <w:rsid w:val="006D5302"/>
    <w:rsid w:val="006D5311"/>
    <w:rsid w:val="006D53F3"/>
    <w:rsid w:val="006D5432"/>
    <w:rsid w:val="006D549E"/>
    <w:rsid w:val="006D5546"/>
    <w:rsid w:val="006D5696"/>
    <w:rsid w:val="006D5717"/>
    <w:rsid w:val="006D5730"/>
    <w:rsid w:val="006D58F5"/>
    <w:rsid w:val="006D59C6"/>
    <w:rsid w:val="006D5A60"/>
    <w:rsid w:val="006D5C3F"/>
    <w:rsid w:val="006D5D6B"/>
    <w:rsid w:val="006D5D71"/>
    <w:rsid w:val="006D5EDF"/>
    <w:rsid w:val="006D5F1D"/>
    <w:rsid w:val="006D5F2F"/>
    <w:rsid w:val="006D5FAF"/>
    <w:rsid w:val="006D605E"/>
    <w:rsid w:val="006D6097"/>
    <w:rsid w:val="006D60F1"/>
    <w:rsid w:val="006D62E2"/>
    <w:rsid w:val="006D6359"/>
    <w:rsid w:val="006D655C"/>
    <w:rsid w:val="006D6A95"/>
    <w:rsid w:val="006D6AF9"/>
    <w:rsid w:val="006D6C1E"/>
    <w:rsid w:val="006D6F43"/>
    <w:rsid w:val="006D70E8"/>
    <w:rsid w:val="006D7119"/>
    <w:rsid w:val="006D7865"/>
    <w:rsid w:val="006D7A08"/>
    <w:rsid w:val="006D7D1A"/>
    <w:rsid w:val="006D7D27"/>
    <w:rsid w:val="006D7E46"/>
    <w:rsid w:val="006D7E71"/>
    <w:rsid w:val="006D7EB1"/>
    <w:rsid w:val="006D7FE5"/>
    <w:rsid w:val="006E0181"/>
    <w:rsid w:val="006E031F"/>
    <w:rsid w:val="006E03A8"/>
    <w:rsid w:val="006E050B"/>
    <w:rsid w:val="006E062C"/>
    <w:rsid w:val="006E073A"/>
    <w:rsid w:val="006E0748"/>
    <w:rsid w:val="006E0955"/>
    <w:rsid w:val="006E09FB"/>
    <w:rsid w:val="006E0A8E"/>
    <w:rsid w:val="006E0BC0"/>
    <w:rsid w:val="006E0EEA"/>
    <w:rsid w:val="006E0F67"/>
    <w:rsid w:val="006E0FE8"/>
    <w:rsid w:val="006E10D7"/>
    <w:rsid w:val="006E14F3"/>
    <w:rsid w:val="006E1986"/>
    <w:rsid w:val="006E1A4C"/>
    <w:rsid w:val="006E1A63"/>
    <w:rsid w:val="006E1B0A"/>
    <w:rsid w:val="006E1BF7"/>
    <w:rsid w:val="006E1CE5"/>
    <w:rsid w:val="006E1DA7"/>
    <w:rsid w:val="006E1E3A"/>
    <w:rsid w:val="006E2023"/>
    <w:rsid w:val="006E2073"/>
    <w:rsid w:val="006E20EE"/>
    <w:rsid w:val="006E20F7"/>
    <w:rsid w:val="006E23AF"/>
    <w:rsid w:val="006E2786"/>
    <w:rsid w:val="006E2805"/>
    <w:rsid w:val="006E2834"/>
    <w:rsid w:val="006E2868"/>
    <w:rsid w:val="006E289C"/>
    <w:rsid w:val="006E28ED"/>
    <w:rsid w:val="006E2913"/>
    <w:rsid w:val="006E29A3"/>
    <w:rsid w:val="006E2A3A"/>
    <w:rsid w:val="006E2CA8"/>
    <w:rsid w:val="006E2DDD"/>
    <w:rsid w:val="006E2E55"/>
    <w:rsid w:val="006E2FDB"/>
    <w:rsid w:val="006E2FE6"/>
    <w:rsid w:val="006E3000"/>
    <w:rsid w:val="006E30A3"/>
    <w:rsid w:val="006E3188"/>
    <w:rsid w:val="006E340E"/>
    <w:rsid w:val="006E3677"/>
    <w:rsid w:val="006E3D47"/>
    <w:rsid w:val="006E3D99"/>
    <w:rsid w:val="006E3FD1"/>
    <w:rsid w:val="006E4163"/>
    <w:rsid w:val="006E41FC"/>
    <w:rsid w:val="006E44A0"/>
    <w:rsid w:val="006E46D2"/>
    <w:rsid w:val="006E474E"/>
    <w:rsid w:val="006E486E"/>
    <w:rsid w:val="006E4A9C"/>
    <w:rsid w:val="006E4C2B"/>
    <w:rsid w:val="006E4CD9"/>
    <w:rsid w:val="006E4D80"/>
    <w:rsid w:val="006E4DE4"/>
    <w:rsid w:val="006E4EB3"/>
    <w:rsid w:val="006E5047"/>
    <w:rsid w:val="006E50E8"/>
    <w:rsid w:val="006E514C"/>
    <w:rsid w:val="006E5823"/>
    <w:rsid w:val="006E5841"/>
    <w:rsid w:val="006E58F7"/>
    <w:rsid w:val="006E5AC2"/>
    <w:rsid w:val="006E5B1E"/>
    <w:rsid w:val="006E5E5E"/>
    <w:rsid w:val="006E5FA2"/>
    <w:rsid w:val="006E6112"/>
    <w:rsid w:val="006E6184"/>
    <w:rsid w:val="006E61E1"/>
    <w:rsid w:val="006E629D"/>
    <w:rsid w:val="006E6440"/>
    <w:rsid w:val="006E64DF"/>
    <w:rsid w:val="006E65A8"/>
    <w:rsid w:val="006E674B"/>
    <w:rsid w:val="006E689D"/>
    <w:rsid w:val="006E6B81"/>
    <w:rsid w:val="006E6BCE"/>
    <w:rsid w:val="006E6E08"/>
    <w:rsid w:val="006E6E4B"/>
    <w:rsid w:val="006E6FF8"/>
    <w:rsid w:val="006E70B4"/>
    <w:rsid w:val="006E712D"/>
    <w:rsid w:val="006E71A2"/>
    <w:rsid w:val="006E7354"/>
    <w:rsid w:val="006E75E3"/>
    <w:rsid w:val="006E75FB"/>
    <w:rsid w:val="006E76FA"/>
    <w:rsid w:val="006E77E3"/>
    <w:rsid w:val="006E7835"/>
    <w:rsid w:val="006E78EA"/>
    <w:rsid w:val="006E7C88"/>
    <w:rsid w:val="006E7CCA"/>
    <w:rsid w:val="006EC51E"/>
    <w:rsid w:val="006EEE9A"/>
    <w:rsid w:val="006F01FB"/>
    <w:rsid w:val="006F020F"/>
    <w:rsid w:val="006F0218"/>
    <w:rsid w:val="006F02E5"/>
    <w:rsid w:val="006F0436"/>
    <w:rsid w:val="006F0505"/>
    <w:rsid w:val="006F0626"/>
    <w:rsid w:val="006F0644"/>
    <w:rsid w:val="006F0715"/>
    <w:rsid w:val="006F0792"/>
    <w:rsid w:val="006F07B3"/>
    <w:rsid w:val="006F08E4"/>
    <w:rsid w:val="006F092B"/>
    <w:rsid w:val="006F0A02"/>
    <w:rsid w:val="006F0AD2"/>
    <w:rsid w:val="006F0C73"/>
    <w:rsid w:val="006F0CBA"/>
    <w:rsid w:val="006F0FAE"/>
    <w:rsid w:val="006F105E"/>
    <w:rsid w:val="006F11C3"/>
    <w:rsid w:val="006F11CF"/>
    <w:rsid w:val="006F1268"/>
    <w:rsid w:val="006F147D"/>
    <w:rsid w:val="006F14B6"/>
    <w:rsid w:val="006F15CD"/>
    <w:rsid w:val="006F15EC"/>
    <w:rsid w:val="006F1765"/>
    <w:rsid w:val="006F1930"/>
    <w:rsid w:val="006F1A00"/>
    <w:rsid w:val="006F1B79"/>
    <w:rsid w:val="006F1CAA"/>
    <w:rsid w:val="006F1E8C"/>
    <w:rsid w:val="006F1F6D"/>
    <w:rsid w:val="006F220C"/>
    <w:rsid w:val="006F222C"/>
    <w:rsid w:val="006F235D"/>
    <w:rsid w:val="006F23B1"/>
    <w:rsid w:val="006F2477"/>
    <w:rsid w:val="006F2487"/>
    <w:rsid w:val="006F2725"/>
    <w:rsid w:val="006F2765"/>
    <w:rsid w:val="006F2795"/>
    <w:rsid w:val="006F27CB"/>
    <w:rsid w:val="006F27E2"/>
    <w:rsid w:val="006F289B"/>
    <w:rsid w:val="006F28BA"/>
    <w:rsid w:val="006F2AB1"/>
    <w:rsid w:val="006F2DC8"/>
    <w:rsid w:val="006F3110"/>
    <w:rsid w:val="006F31A3"/>
    <w:rsid w:val="006F32B9"/>
    <w:rsid w:val="006F32C3"/>
    <w:rsid w:val="006F335A"/>
    <w:rsid w:val="006F3646"/>
    <w:rsid w:val="006F3717"/>
    <w:rsid w:val="006F382A"/>
    <w:rsid w:val="006F389A"/>
    <w:rsid w:val="006F38BC"/>
    <w:rsid w:val="006F38DA"/>
    <w:rsid w:val="006F39AD"/>
    <w:rsid w:val="006F39DB"/>
    <w:rsid w:val="006F3D2E"/>
    <w:rsid w:val="006F3D3A"/>
    <w:rsid w:val="006F3D8D"/>
    <w:rsid w:val="006F3DE6"/>
    <w:rsid w:val="006F3E36"/>
    <w:rsid w:val="006F405D"/>
    <w:rsid w:val="006F4138"/>
    <w:rsid w:val="006F433A"/>
    <w:rsid w:val="006F443D"/>
    <w:rsid w:val="006F4466"/>
    <w:rsid w:val="006F446E"/>
    <w:rsid w:val="006F4580"/>
    <w:rsid w:val="006F4583"/>
    <w:rsid w:val="006F45AA"/>
    <w:rsid w:val="006F45E1"/>
    <w:rsid w:val="006F4604"/>
    <w:rsid w:val="006F46F9"/>
    <w:rsid w:val="006F490D"/>
    <w:rsid w:val="006F4C0F"/>
    <w:rsid w:val="006F4D22"/>
    <w:rsid w:val="006F4E1A"/>
    <w:rsid w:val="006F5060"/>
    <w:rsid w:val="006F5257"/>
    <w:rsid w:val="006F526B"/>
    <w:rsid w:val="006F5295"/>
    <w:rsid w:val="006F549C"/>
    <w:rsid w:val="006F5515"/>
    <w:rsid w:val="006F55B2"/>
    <w:rsid w:val="006F5629"/>
    <w:rsid w:val="006F5697"/>
    <w:rsid w:val="006F57C8"/>
    <w:rsid w:val="006F592B"/>
    <w:rsid w:val="006F59A9"/>
    <w:rsid w:val="006F59B8"/>
    <w:rsid w:val="006F5B26"/>
    <w:rsid w:val="006F5C7C"/>
    <w:rsid w:val="006F5EDA"/>
    <w:rsid w:val="006F60E4"/>
    <w:rsid w:val="006F6102"/>
    <w:rsid w:val="006F6225"/>
    <w:rsid w:val="006F638C"/>
    <w:rsid w:val="006F642E"/>
    <w:rsid w:val="006F644A"/>
    <w:rsid w:val="006F65CC"/>
    <w:rsid w:val="006F6640"/>
    <w:rsid w:val="006F678A"/>
    <w:rsid w:val="006F68BD"/>
    <w:rsid w:val="006F6A56"/>
    <w:rsid w:val="006F6B28"/>
    <w:rsid w:val="006F6C26"/>
    <w:rsid w:val="006F6CB7"/>
    <w:rsid w:val="006F6DBF"/>
    <w:rsid w:val="006F6F1C"/>
    <w:rsid w:val="006F6F43"/>
    <w:rsid w:val="006F6FA1"/>
    <w:rsid w:val="006F7023"/>
    <w:rsid w:val="006F7172"/>
    <w:rsid w:val="006F7196"/>
    <w:rsid w:val="006F7252"/>
    <w:rsid w:val="006F7493"/>
    <w:rsid w:val="006F75E6"/>
    <w:rsid w:val="006F7643"/>
    <w:rsid w:val="006F766F"/>
    <w:rsid w:val="006F76EF"/>
    <w:rsid w:val="006F76FA"/>
    <w:rsid w:val="006F777A"/>
    <w:rsid w:val="006F77FE"/>
    <w:rsid w:val="006F7886"/>
    <w:rsid w:val="006F7C18"/>
    <w:rsid w:val="006F7C85"/>
    <w:rsid w:val="006F7E4F"/>
    <w:rsid w:val="006F7EAD"/>
    <w:rsid w:val="006F7F5F"/>
    <w:rsid w:val="0070005F"/>
    <w:rsid w:val="0070010D"/>
    <w:rsid w:val="007001C9"/>
    <w:rsid w:val="00700319"/>
    <w:rsid w:val="00700348"/>
    <w:rsid w:val="007003B5"/>
    <w:rsid w:val="007003CD"/>
    <w:rsid w:val="007006A2"/>
    <w:rsid w:val="007008A8"/>
    <w:rsid w:val="007008EC"/>
    <w:rsid w:val="00700B33"/>
    <w:rsid w:val="00700BB4"/>
    <w:rsid w:val="00700EC6"/>
    <w:rsid w:val="00700FA7"/>
    <w:rsid w:val="00701175"/>
    <w:rsid w:val="007011A0"/>
    <w:rsid w:val="00701268"/>
    <w:rsid w:val="007013BE"/>
    <w:rsid w:val="00701448"/>
    <w:rsid w:val="007014ED"/>
    <w:rsid w:val="00701554"/>
    <w:rsid w:val="007015BD"/>
    <w:rsid w:val="007016F2"/>
    <w:rsid w:val="00701706"/>
    <w:rsid w:val="00701802"/>
    <w:rsid w:val="00701985"/>
    <w:rsid w:val="007019A5"/>
    <w:rsid w:val="00701BFE"/>
    <w:rsid w:val="00701C59"/>
    <w:rsid w:val="00701D03"/>
    <w:rsid w:val="00701DA8"/>
    <w:rsid w:val="00701F7D"/>
    <w:rsid w:val="00702083"/>
    <w:rsid w:val="007028C7"/>
    <w:rsid w:val="00702988"/>
    <w:rsid w:val="00702A18"/>
    <w:rsid w:val="00702AD6"/>
    <w:rsid w:val="00702C4F"/>
    <w:rsid w:val="00702CA2"/>
    <w:rsid w:val="00702D23"/>
    <w:rsid w:val="00702FE6"/>
    <w:rsid w:val="00703041"/>
    <w:rsid w:val="00703070"/>
    <w:rsid w:val="00703166"/>
    <w:rsid w:val="007032BD"/>
    <w:rsid w:val="00703399"/>
    <w:rsid w:val="00703651"/>
    <w:rsid w:val="007036C2"/>
    <w:rsid w:val="0070377F"/>
    <w:rsid w:val="00703A9F"/>
    <w:rsid w:val="00703AD6"/>
    <w:rsid w:val="00703CF1"/>
    <w:rsid w:val="00703D31"/>
    <w:rsid w:val="00703D4B"/>
    <w:rsid w:val="00703DAA"/>
    <w:rsid w:val="00703E5F"/>
    <w:rsid w:val="00703E8F"/>
    <w:rsid w:val="0070410C"/>
    <w:rsid w:val="00704140"/>
    <w:rsid w:val="00704225"/>
    <w:rsid w:val="00704271"/>
    <w:rsid w:val="00704280"/>
    <w:rsid w:val="0070431D"/>
    <w:rsid w:val="00704384"/>
    <w:rsid w:val="007043EA"/>
    <w:rsid w:val="00704477"/>
    <w:rsid w:val="0070454B"/>
    <w:rsid w:val="0070455C"/>
    <w:rsid w:val="007049B8"/>
    <w:rsid w:val="00704A5C"/>
    <w:rsid w:val="00704B9D"/>
    <w:rsid w:val="00704CEC"/>
    <w:rsid w:val="00704D15"/>
    <w:rsid w:val="00704D9B"/>
    <w:rsid w:val="00704E86"/>
    <w:rsid w:val="00704F7D"/>
    <w:rsid w:val="00704FF3"/>
    <w:rsid w:val="00705214"/>
    <w:rsid w:val="00705242"/>
    <w:rsid w:val="00705282"/>
    <w:rsid w:val="00705298"/>
    <w:rsid w:val="00705442"/>
    <w:rsid w:val="00705545"/>
    <w:rsid w:val="00705558"/>
    <w:rsid w:val="007055F0"/>
    <w:rsid w:val="00705646"/>
    <w:rsid w:val="0070569C"/>
    <w:rsid w:val="007056BA"/>
    <w:rsid w:val="00705766"/>
    <w:rsid w:val="007058B4"/>
    <w:rsid w:val="007058C4"/>
    <w:rsid w:val="007059E6"/>
    <w:rsid w:val="00705C7B"/>
    <w:rsid w:val="00705D3C"/>
    <w:rsid w:val="00705DFD"/>
    <w:rsid w:val="00705F46"/>
    <w:rsid w:val="00706111"/>
    <w:rsid w:val="00706165"/>
    <w:rsid w:val="00706178"/>
    <w:rsid w:val="00706189"/>
    <w:rsid w:val="007062A8"/>
    <w:rsid w:val="00706310"/>
    <w:rsid w:val="007064C7"/>
    <w:rsid w:val="0070653D"/>
    <w:rsid w:val="0070684D"/>
    <w:rsid w:val="007068AB"/>
    <w:rsid w:val="007069CB"/>
    <w:rsid w:val="007069D6"/>
    <w:rsid w:val="00706A84"/>
    <w:rsid w:val="00706A95"/>
    <w:rsid w:val="00706BC0"/>
    <w:rsid w:val="00706BF7"/>
    <w:rsid w:val="00706C8B"/>
    <w:rsid w:val="00706E1E"/>
    <w:rsid w:val="00706EED"/>
    <w:rsid w:val="007070D6"/>
    <w:rsid w:val="00707348"/>
    <w:rsid w:val="00707561"/>
    <w:rsid w:val="007075C4"/>
    <w:rsid w:val="00707665"/>
    <w:rsid w:val="0070769D"/>
    <w:rsid w:val="00707791"/>
    <w:rsid w:val="007078BF"/>
    <w:rsid w:val="00707B12"/>
    <w:rsid w:val="00707C4D"/>
    <w:rsid w:val="00707DA5"/>
    <w:rsid w:val="00707DB7"/>
    <w:rsid w:val="007100EE"/>
    <w:rsid w:val="00710308"/>
    <w:rsid w:val="0071048D"/>
    <w:rsid w:val="007104FD"/>
    <w:rsid w:val="0071069D"/>
    <w:rsid w:val="007106FA"/>
    <w:rsid w:val="00710790"/>
    <w:rsid w:val="0071080B"/>
    <w:rsid w:val="00710969"/>
    <w:rsid w:val="00710A96"/>
    <w:rsid w:val="00710AB1"/>
    <w:rsid w:val="00710BD6"/>
    <w:rsid w:val="00710BF2"/>
    <w:rsid w:val="00710C47"/>
    <w:rsid w:val="00710DE1"/>
    <w:rsid w:val="00710DEA"/>
    <w:rsid w:val="00710FDD"/>
    <w:rsid w:val="00710FF1"/>
    <w:rsid w:val="0071125C"/>
    <w:rsid w:val="00711265"/>
    <w:rsid w:val="00711333"/>
    <w:rsid w:val="0071135C"/>
    <w:rsid w:val="007113A6"/>
    <w:rsid w:val="00711490"/>
    <w:rsid w:val="007114F4"/>
    <w:rsid w:val="007118D0"/>
    <w:rsid w:val="00711C32"/>
    <w:rsid w:val="00711D4D"/>
    <w:rsid w:val="00711DEF"/>
    <w:rsid w:val="00711E20"/>
    <w:rsid w:val="00711E27"/>
    <w:rsid w:val="00711F51"/>
    <w:rsid w:val="007122B8"/>
    <w:rsid w:val="0071237D"/>
    <w:rsid w:val="00712454"/>
    <w:rsid w:val="007127E6"/>
    <w:rsid w:val="0071294A"/>
    <w:rsid w:val="007129D3"/>
    <w:rsid w:val="007129D4"/>
    <w:rsid w:val="00712A16"/>
    <w:rsid w:val="00712A47"/>
    <w:rsid w:val="00712BD5"/>
    <w:rsid w:val="00712CE0"/>
    <w:rsid w:val="00712D25"/>
    <w:rsid w:val="00712D3F"/>
    <w:rsid w:val="00712D5D"/>
    <w:rsid w:val="00712DBE"/>
    <w:rsid w:val="00712DE2"/>
    <w:rsid w:val="00712E8B"/>
    <w:rsid w:val="00712FA6"/>
    <w:rsid w:val="00713037"/>
    <w:rsid w:val="007131C3"/>
    <w:rsid w:val="007131C7"/>
    <w:rsid w:val="007132BC"/>
    <w:rsid w:val="00713479"/>
    <w:rsid w:val="00713570"/>
    <w:rsid w:val="007135C5"/>
    <w:rsid w:val="007136BD"/>
    <w:rsid w:val="00713745"/>
    <w:rsid w:val="00713766"/>
    <w:rsid w:val="007137AE"/>
    <w:rsid w:val="007137CA"/>
    <w:rsid w:val="00713896"/>
    <w:rsid w:val="00713909"/>
    <w:rsid w:val="00713A43"/>
    <w:rsid w:val="00713A6C"/>
    <w:rsid w:val="00713D4B"/>
    <w:rsid w:val="00713D69"/>
    <w:rsid w:val="00713D74"/>
    <w:rsid w:val="00713DEE"/>
    <w:rsid w:val="00713EB6"/>
    <w:rsid w:val="00714076"/>
    <w:rsid w:val="0071417D"/>
    <w:rsid w:val="00714181"/>
    <w:rsid w:val="007141D6"/>
    <w:rsid w:val="00714218"/>
    <w:rsid w:val="00714232"/>
    <w:rsid w:val="00714288"/>
    <w:rsid w:val="0071432A"/>
    <w:rsid w:val="007144AB"/>
    <w:rsid w:val="00714523"/>
    <w:rsid w:val="007146B2"/>
    <w:rsid w:val="007146DD"/>
    <w:rsid w:val="00714730"/>
    <w:rsid w:val="00714732"/>
    <w:rsid w:val="00714892"/>
    <w:rsid w:val="0071491A"/>
    <w:rsid w:val="00714BC3"/>
    <w:rsid w:val="00714C14"/>
    <w:rsid w:val="00714C7A"/>
    <w:rsid w:val="00714D9E"/>
    <w:rsid w:val="00714F3F"/>
    <w:rsid w:val="007153A4"/>
    <w:rsid w:val="00715523"/>
    <w:rsid w:val="0071569B"/>
    <w:rsid w:val="007157DB"/>
    <w:rsid w:val="00715B00"/>
    <w:rsid w:val="00715CC0"/>
    <w:rsid w:val="00715CE5"/>
    <w:rsid w:val="00715D9E"/>
    <w:rsid w:val="00715EAD"/>
    <w:rsid w:val="00715F32"/>
    <w:rsid w:val="00715F80"/>
    <w:rsid w:val="00716468"/>
    <w:rsid w:val="007164BA"/>
    <w:rsid w:val="0071652B"/>
    <w:rsid w:val="0071654D"/>
    <w:rsid w:val="00716593"/>
    <w:rsid w:val="00716726"/>
    <w:rsid w:val="00716748"/>
    <w:rsid w:val="007167B9"/>
    <w:rsid w:val="007167C0"/>
    <w:rsid w:val="007167CC"/>
    <w:rsid w:val="007167D8"/>
    <w:rsid w:val="007168FD"/>
    <w:rsid w:val="00716A66"/>
    <w:rsid w:val="00716A6C"/>
    <w:rsid w:val="00716A7F"/>
    <w:rsid w:val="00716F16"/>
    <w:rsid w:val="00717011"/>
    <w:rsid w:val="00717051"/>
    <w:rsid w:val="0071709D"/>
    <w:rsid w:val="00717138"/>
    <w:rsid w:val="00717244"/>
    <w:rsid w:val="007172DE"/>
    <w:rsid w:val="007172F3"/>
    <w:rsid w:val="00717450"/>
    <w:rsid w:val="00717566"/>
    <w:rsid w:val="007175ED"/>
    <w:rsid w:val="00717649"/>
    <w:rsid w:val="007177A6"/>
    <w:rsid w:val="00717802"/>
    <w:rsid w:val="0071783F"/>
    <w:rsid w:val="007178B9"/>
    <w:rsid w:val="00717900"/>
    <w:rsid w:val="00717A6E"/>
    <w:rsid w:val="00717D1B"/>
    <w:rsid w:val="00717DAD"/>
    <w:rsid w:val="00717F87"/>
    <w:rsid w:val="00718982"/>
    <w:rsid w:val="0072003B"/>
    <w:rsid w:val="00720084"/>
    <w:rsid w:val="007200E7"/>
    <w:rsid w:val="0072014C"/>
    <w:rsid w:val="0072022F"/>
    <w:rsid w:val="00720259"/>
    <w:rsid w:val="007202EE"/>
    <w:rsid w:val="00720444"/>
    <w:rsid w:val="0072048A"/>
    <w:rsid w:val="0072059E"/>
    <w:rsid w:val="007205E3"/>
    <w:rsid w:val="0072075C"/>
    <w:rsid w:val="007208D4"/>
    <w:rsid w:val="00720A31"/>
    <w:rsid w:val="00720B54"/>
    <w:rsid w:val="00720C22"/>
    <w:rsid w:val="00720DA5"/>
    <w:rsid w:val="00720E54"/>
    <w:rsid w:val="00720E8A"/>
    <w:rsid w:val="00720E9B"/>
    <w:rsid w:val="00720F51"/>
    <w:rsid w:val="00721082"/>
    <w:rsid w:val="00721234"/>
    <w:rsid w:val="007212C9"/>
    <w:rsid w:val="00721365"/>
    <w:rsid w:val="007214B3"/>
    <w:rsid w:val="0072157E"/>
    <w:rsid w:val="007215C3"/>
    <w:rsid w:val="0072164B"/>
    <w:rsid w:val="00721653"/>
    <w:rsid w:val="00721710"/>
    <w:rsid w:val="007217F7"/>
    <w:rsid w:val="0072180A"/>
    <w:rsid w:val="007218CE"/>
    <w:rsid w:val="007218F3"/>
    <w:rsid w:val="0072196E"/>
    <w:rsid w:val="007219BE"/>
    <w:rsid w:val="00721B03"/>
    <w:rsid w:val="00721BA6"/>
    <w:rsid w:val="00721BC8"/>
    <w:rsid w:val="00721CCB"/>
    <w:rsid w:val="00721CF0"/>
    <w:rsid w:val="00722207"/>
    <w:rsid w:val="00722452"/>
    <w:rsid w:val="00722506"/>
    <w:rsid w:val="0072259B"/>
    <w:rsid w:val="00722623"/>
    <w:rsid w:val="00722766"/>
    <w:rsid w:val="007229A7"/>
    <w:rsid w:val="007229E6"/>
    <w:rsid w:val="00722A81"/>
    <w:rsid w:val="00722A82"/>
    <w:rsid w:val="00722C3E"/>
    <w:rsid w:val="00722C60"/>
    <w:rsid w:val="00722DBB"/>
    <w:rsid w:val="00722E28"/>
    <w:rsid w:val="00722E41"/>
    <w:rsid w:val="00722F60"/>
    <w:rsid w:val="007230A1"/>
    <w:rsid w:val="00723110"/>
    <w:rsid w:val="0072316D"/>
    <w:rsid w:val="007232A1"/>
    <w:rsid w:val="007232CF"/>
    <w:rsid w:val="007233EF"/>
    <w:rsid w:val="0072341D"/>
    <w:rsid w:val="0072342C"/>
    <w:rsid w:val="00723473"/>
    <w:rsid w:val="007239C7"/>
    <w:rsid w:val="00723AC1"/>
    <w:rsid w:val="00723B3E"/>
    <w:rsid w:val="00723BF4"/>
    <w:rsid w:val="00723DC6"/>
    <w:rsid w:val="00723ECC"/>
    <w:rsid w:val="0072402B"/>
    <w:rsid w:val="0072438F"/>
    <w:rsid w:val="00724456"/>
    <w:rsid w:val="007245D3"/>
    <w:rsid w:val="007249AA"/>
    <w:rsid w:val="00724AD2"/>
    <w:rsid w:val="00724B74"/>
    <w:rsid w:val="00724BDE"/>
    <w:rsid w:val="00724CA0"/>
    <w:rsid w:val="00724E03"/>
    <w:rsid w:val="00724E6C"/>
    <w:rsid w:val="00724EB4"/>
    <w:rsid w:val="00724F28"/>
    <w:rsid w:val="00725048"/>
    <w:rsid w:val="00725218"/>
    <w:rsid w:val="00725378"/>
    <w:rsid w:val="007253CD"/>
    <w:rsid w:val="0072547D"/>
    <w:rsid w:val="007254BE"/>
    <w:rsid w:val="0072558E"/>
    <w:rsid w:val="00725607"/>
    <w:rsid w:val="0072568A"/>
    <w:rsid w:val="007256BA"/>
    <w:rsid w:val="007258D3"/>
    <w:rsid w:val="007258D8"/>
    <w:rsid w:val="0072597E"/>
    <w:rsid w:val="007259AD"/>
    <w:rsid w:val="00725AB1"/>
    <w:rsid w:val="00725B49"/>
    <w:rsid w:val="00725B83"/>
    <w:rsid w:val="00725CE8"/>
    <w:rsid w:val="00725E7C"/>
    <w:rsid w:val="00725FFC"/>
    <w:rsid w:val="00726111"/>
    <w:rsid w:val="0072614B"/>
    <w:rsid w:val="00726195"/>
    <w:rsid w:val="00726713"/>
    <w:rsid w:val="0072683E"/>
    <w:rsid w:val="007269F7"/>
    <w:rsid w:val="00726A27"/>
    <w:rsid w:val="00726CD5"/>
    <w:rsid w:val="00726D1F"/>
    <w:rsid w:val="00726DF7"/>
    <w:rsid w:val="00726E65"/>
    <w:rsid w:val="00726E96"/>
    <w:rsid w:val="00726F16"/>
    <w:rsid w:val="00726F2F"/>
    <w:rsid w:val="0072717E"/>
    <w:rsid w:val="0072721C"/>
    <w:rsid w:val="00727259"/>
    <w:rsid w:val="0072732C"/>
    <w:rsid w:val="00727478"/>
    <w:rsid w:val="00727715"/>
    <w:rsid w:val="00727792"/>
    <w:rsid w:val="007277B1"/>
    <w:rsid w:val="007277FF"/>
    <w:rsid w:val="0072790C"/>
    <w:rsid w:val="00727A22"/>
    <w:rsid w:val="00727B11"/>
    <w:rsid w:val="00727C6E"/>
    <w:rsid w:val="00727CB9"/>
    <w:rsid w:val="00727CE1"/>
    <w:rsid w:val="00727D19"/>
    <w:rsid w:val="00727D49"/>
    <w:rsid w:val="00727D7C"/>
    <w:rsid w:val="00727EFA"/>
    <w:rsid w:val="00730290"/>
    <w:rsid w:val="00730336"/>
    <w:rsid w:val="0073036E"/>
    <w:rsid w:val="00730392"/>
    <w:rsid w:val="0073067F"/>
    <w:rsid w:val="00730720"/>
    <w:rsid w:val="00730885"/>
    <w:rsid w:val="0073094E"/>
    <w:rsid w:val="00730A99"/>
    <w:rsid w:val="00730B38"/>
    <w:rsid w:val="00730B3D"/>
    <w:rsid w:val="00730B4C"/>
    <w:rsid w:val="00730CB5"/>
    <w:rsid w:val="00730CF7"/>
    <w:rsid w:val="00730DAC"/>
    <w:rsid w:val="00730DCB"/>
    <w:rsid w:val="00730E61"/>
    <w:rsid w:val="00730EAF"/>
    <w:rsid w:val="00730F7D"/>
    <w:rsid w:val="00730FBE"/>
    <w:rsid w:val="0073101E"/>
    <w:rsid w:val="00731127"/>
    <w:rsid w:val="007311EF"/>
    <w:rsid w:val="00731200"/>
    <w:rsid w:val="0073123B"/>
    <w:rsid w:val="0073124B"/>
    <w:rsid w:val="00731290"/>
    <w:rsid w:val="007312D9"/>
    <w:rsid w:val="007313BD"/>
    <w:rsid w:val="00731415"/>
    <w:rsid w:val="0073144E"/>
    <w:rsid w:val="00731509"/>
    <w:rsid w:val="007315CD"/>
    <w:rsid w:val="007316B1"/>
    <w:rsid w:val="007316B9"/>
    <w:rsid w:val="007316D2"/>
    <w:rsid w:val="007318D3"/>
    <w:rsid w:val="0073198A"/>
    <w:rsid w:val="0073198F"/>
    <w:rsid w:val="00731C0F"/>
    <w:rsid w:val="00731C70"/>
    <w:rsid w:val="00731E39"/>
    <w:rsid w:val="00731EED"/>
    <w:rsid w:val="0073253E"/>
    <w:rsid w:val="007326BE"/>
    <w:rsid w:val="00732720"/>
    <w:rsid w:val="0073288C"/>
    <w:rsid w:val="00732993"/>
    <w:rsid w:val="00732D4F"/>
    <w:rsid w:val="00732D6D"/>
    <w:rsid w:val="00732E17"/>
    <w:rsid w:val="00732F2E"/>
    <w:rsid w:val="00732F34"/>
    <w:rsid w:val="00732FC2"/>
    <w:rsid w:val="007334FA"/>
    <w:rsid w:val="00733523"/>
    <w:rsid w:val="00733733"/>
    <w:rsid w:val="007337C2"/>
    <w:rsid w:val="00733892"/>
    <w:rsid w:val="00733A0A"/>
    <w:rsid w:val="00733AE6"/>
    <w:rsid w:val="00733B2C"/>
    <w:rsid w:val="00733B49"/>
    <w:rsid w:val="00733C25"/>
    <w:rsid w:val="00733C75"/>
    <w:rsid w:val="00733CC8"/>
    <w:rsid w:val="00733D17"/>
    <w:rsid w:val="00733D5F"/>
    <w:rsid w:val="00733F96"/>
    <w:rsid w:val="00733FA9"/>
    <w:rsid w:val="0073401F"/>
    <w:rsid w:val="00734029"/>
    <w:rsid w:val="00734087"/>
    <w:rsid w:val="00734096"/>
    <w:rsid w:val="007340CC"/>
    <w:rsid w:val="0073422E"/>
    <w:rsid w:val="00734279"/>
    <w:rsid w:val="00734414"/>
    <w:rsid w:val="0073462A"/>
    <w:rsid w:val="00734690"/>
    <w:rsid w:val="0073471C"/>
    <w:rsid w:val="00734725"/>
    <w:rsid w:val="0073479A"/>
    <w:rsid w:val="007348FE"/>
    <w:rsid w:val="00734AD8"/>
    <w:rsid w:val="00734CAA"/>
    <w:rsid w:val="00734D0C"/>
    <w:rsid w:val="00734DAF"/>
    <w:rsid w:val="00734DDC"/>
    <w:rsid w:val="00734DF8"/>
    <w:rsid w:val="00734E75"/>
    <w:rsid w:val="00734F2C"/>
    <w:rsid w:val="00735175"/>
    <w:rsid w:val="0073524B"/>
    <w:rsid w:val="007353CF"/>
    <w:rsid w:val="007356D9"/>
    <w:rsid w:val="00735832"/>
    <w:rsid w:val="0073598A"/>
    <w:rsid w:val="00735B53"/>
    <w:rsid w:val="00735BAA"/>
    <w:rsid w:val="00735BF5"/>
    <w:rsid w:val="00735C2D"/>
    <w:rsid w:val="00735C90"/>
    <w:rsid w:val="00735EC8"/>
    <w:rsid w:val="00735F10"/>
    <w:rsid w:val="007361EE"/>
    <w:rsid w:val="00736541"/>
    <w:rsid w:val="007366BB"/>
    <w:rsid w:val="007369E5"/>
    <w:rsid w:val="00736A75"/>
    <w:rsid w:val="00736BBF"/>
    <w:rsid w:val="00736C1A"/>
    <w:rsid w:val="00736E04"/>
    <w:rsid w:val="00736EAA"/>
    <w:rsid w:val="00736EC0"/>
    <w:rsid w:val="00736FC2"/>
    <w:rsid w:val="007371BD"/>
    <w:rsid w:val="0073728F"/>
    <w:rsid w:val="00737362"/>
    <w:rsid w:val="007374EE"/>
    <w:rsid w:val="00737558"/>
    <w:rsid w:val="0073755D"/>
    <w:rsid w:val="00737588"/>
    <w:rsid w:val="007376D2"/>
    <w:rsid w:val="0073770F"/>
    <w:rsid w:val="0073775C"/>
    <w:rsid w:val="007377BD"/>
    <w:rsid w:val="00737932"/>
    <w:rsid w:val="0073794A"/>
    <w:rsid w:val="007379AB"/>
    <w:rsid w:val="00737CEF"/>
    <w:rsid w:val="00737D72"/>
    <w:rsid w:val="00737DA8"/>
    <w:rsid w:val="00737E32"/>
    <w:rsid w:val="00737E58"/>
    <w:rsid w:val="00737EB9"/>
    <w:rsid w:val="00737FDE"/>
    <w:rsid w:val="0073B999"/>
    <w:rsid w:val="007400EC"/>
    <w:rsid w:val="007403FE"/>
    <w:rsid w:val="00740559"/>
    <w:rsid w:val="007405AE"/>
    <w:rsid w:val="007406D7"/>
    <w:rsid w:val="00740752"/>
    <w:rsid w:val="0074077F"/>
    <w:rsid w:val="007407A2"/>
    <w:rsid w:val="007407FF"/>
    <w:rsid w:val="0074083C"/>
    <w:rsid w:val="00740938"/>
    <w:rsid w:val="00740988"/>
    <w:rsid w:val="00740A9A"/>
    <w:rsid w:val="00740ADE"/>
    <w:rsid w:val="00740B42"/>
    <w:rsid w:val="00740B55"/>
    <w:rsid w:val="00740B60"/>
    <w:rsid w:val="00740CED"/>
    <w:rsid w:val="00740E38"/>
    <w:rsid w:val="00740EC9"/>
    <w:rsid w:val="00740ECF"/>
    <w:rsid w:val="00740F0E"/>
    <w:rsid w:val="0074103A"/>
    <w:rsid w:val="00741087"/>
    <w:rsid w:val="007413B8"/>
    <w:rsid w:val="00741622"/>
    <w:rsid w:val="007417BD"/>
    <w:rsid w:val="007417E4"/>
    <w:rsid w:val="007418AF"/>
    <w:rsid w:val="00741A0C"/>
    <w:rsid w:val="00741D73"/>
    <w:rsid w:val="00741DC1"/>
    <w:rsid w:val="00741DDB"/>
    <w:rsid w:val="00741DF3"/>
    <w:rsid w:val="007420E1"/>
    <w:rsid w:val="007422F5"/>
    <w:rsid w:val="00742368"/>
    <w:rsid w:val="00742424"/>
    <w:rsid w:val="00742521"/>
    <w:rsid w:val="007425CE"/>
    <w:rsid w:val="007426BC"/>
    <w:rsid w:val="0074279C"/>
    <w:rsid w:val="007427A8"/>
    <w:rsid w:val="00742833"/>
    <w:rsid w:val="00742871"/>
    <w:rsid w:val="00742882"/>
    <w:rsid w:val="007429CE"/>
    <w:rsid w:val="00742A3A"/>
    <w:rsid w:val="00742CCE"/>
    <w:rsid w:val="00742D00"/>
    <w:rsid w:val="00742DA0"/>
    <w:rsid w:val="00742E82"/>
    <w:rsid w:val="00742F0D"/>
    <w:rsid w:val="00743096"/>
    <w:rsid w:val="007430F8"/>
    <w:rsid w:val="007431BF"/>
    <w:rsid w:val="007431FE"/>
    <w:rsid w:val="007435DF"/>
    <w:rsid w:val="00743705"/>
    <w:rsid w:val="00743805"/>
    <w:rsid w:val="00743833"/>
    <w:rsid w:val="0074394E"/>
    <w:rsid w:val="00743AA6"/>
    <w:rsid w:val="00743B0F"/>
    <w:rsid w:val="00743B41"/>
    <w:rsid w:val="00743D9B"/>
    <w:rsid w:val="00743DE3"/>
    <w:rsid w:val="00743EAB"/>
    <w:rsid w:val="00743F38"/>
    <w:rsid w:val="00743F3C"/>
    <w:rsid w:val="0074408D"/>
    <w:rsid w:val="007440CE"/>
    <w:rsid w:val="0074423C"/>
    <w:rsid w:val="007442E4"/>
    <w:rsid w:val="00744462"/>
    <w:rsid w:val="007444C3"/>
    <w:rsid w:val="0074465D"/>
    <w:rsid w:val="0074469B"/>
    <w:rsid w:val="0074490B"/>
    <w:rsid w:val="00744923"/>
    <w:rsid w:val="00744A18"/>
    <w:rsid w:val="00744B51"/>
    <w:rsid w:val="00744D3A"/>
    <w:rsid w:val="00744DAB"/>
    <w:rsid w:val="00744F8D"/>
    <w:rsid w:val="007450CD"/>
    <w:rsid w:val="007451B4"/>
    <w:rsid w:val="0074524F"/>
    <w:rsid w:val="0074527C"/>
    <w:rsid w:val="007452A3"/>
    <w:rsid w:val="0074530A"/>
    <w:rsid w:val="0074545D"/>
    <w:rsid w:val="0074546E"/>
    <w:rsid w:val="00745701"/>
    <w:rsid w:val="007457DF"/>
    <w:rsid w:val="00745A51"/>
    <w:rsid w:val="00745C26"/>
    <w:rsid w:val="00745C32"/>
    <w:rsid w:val="00745CE3"/>
    <w:rsid w:val="0074617C"/>
    <w:rsid w:val="00746246"/>
    <w:rsid w:val="007463B4"/>
    <w:rsid w:val="007463CD"/>
    <w:rsid w:val="0074641F"/>
    <w:rsid w:val="00746647"/>
    <w:rsid w:val="00746767"/>
    <w:rsid w:val="007467BC"/>
    <w:rsid w:val="007468A8"/>
    <w:rsid w:val="007469FC"/>
    <w:rsid w:val="007469FF"/>
    <w:rsid w:val="00746B2B"/>
    <w:rsid w:val="00746BB4"/>
    <w:rsid w:val="00746C02"/>
    <w:rsid w:val="00746C44"/>
    <w:rsid w:val="00746DA8"/>
    <w:rsid w:val="00746EA0"/>
    <w:rsid w:val="00746F4C"/>
    <w:rsid w:val="00747050"/>
    <w:rsid w:val="007472DB"/>
    <w:rsid w:val="007473DE"/>
    <w:rsid w:val="00747416"/>
    <w:rsid w:val="007474D3"/>
    <w:rsid w:val="007477D5"/>
    <w:rsid w:val="007477E4"/>
    <w:rsid w:val="00747879"/>
    <w:rsid w:val="00747904"/>
    <w:rsid w:val="007479CA"/>
    <w:rsid w:val="00747C7C"/>
    <w:rsid w:val="00747D3A"/>
    <w:rsid w:val="00747D61"/>
    <w:rsid w:val="00747DB7"/>
    <w:rsid w:val="007500BA"/>
    <w:rsid w:val="00750122"/>
    <w:rsid w:val="00750187"/>
    <w:rsid w:val="007502B5"/>
    <w:rsid w:val="007503A4"/>
    <w:rsid w:val="007504E7"/>
    <w:rsid w:val="00750527"/>
    <w:rsid w:val="0075062A"/>
    <w:rsid w:val="00750637"/>
    <w:rsid w:val="00750657"/>
    <w:rsid w:val="00750788"/>
    <w:rsid w:val="007508AD"/>
    <w:rsid w:val="00750B3C"/>
    <w:rsid w:val="00750B7E"/>
    <w:rsid w:val="00750BBB"/>
    <w:rsid w:val="00750BC5"/>
    <w:rsid w:val="00750CA9"/>
    <w:rsid w:val="00750D1D"/>
    <w:rsid w:val="00750DE6"/>
    <w:rsid w:val="00750E30"/>
    <w:rsid w:val="00750FD9"/>
    <w:rsid w:val="007510D3"/>
    <w:rsid w:val="00751156"/>
    <w:rsid w:val="00751519"/>
    <w:rsid w:val="00751633"/>
    <w:rsid w:val="0075187E"/>
    <w:rsid w:val="007518E3"/>
    <w:rsid w:val="007519E7"/>
    <w:rsid w:val="007519EC"/>
    <w:rsid w:val="00751A15"/>
    <w:rsid w:val="00751BAF"/>
    <w:rsid w:val="00751D8B"/>
    <w:rsid w:val="00751DB7"/>
    <w:rsid w:val="00752285"/>
    <w:rsid w:val="00752314"/>
    <w:rsid w:val="0075238F"/>
    <w:rsid w:val="00752463"/>
    <w:rsid w:val="00752490"/>
    <w:rsid w:val="00752521"/>
    <w:rsid w:val="007525F6"/>
    <w:rsid w:val="00752603"/>
    <w:rsid w:val="0075277D"/>
    <w:rsid w:val="00752796"/>
    <w:rsid w:val="00752A01"/>
    <w:rsid w:val="00752B66"/>
    <w:rsid w:val="00752BFB"/>
    <w:rsid w:val="00752CB4"/>
    <w:rsid w:val="00752DAD"/>
    <w:rsid w:val="00752DF6"/>
    <w:rsid w:val="00752EB7"/>
    <w:rsid w:val="00752F0E"/>
    <w:rsid w:val="00753103"/>
    <w:rsid w:val="00753126"/>
    <w:rsid w:val="0075325F"/>
    <w:rsid w:val="007532AA"/>
    <w:rsid w:val="007533F0"/>
    <w:rsid w:val="0075359B"/>
    <w:rsid w:val="007535F8"/>
    <w:rsid w:val="007536EA"/>
    <w:rsid w:val="0075370D"/>
    <w:rsid w:val="00753748"/>
    <w:rsid w:val="00753760"/>
    <w:rsid w:val="0075376E"/>
    <w:rsid w:val="00753797"/>
    <w:rsid w:val="007537F4"/>
    <w:rsid w:val="007539C8"/>
    <w:rsid w:val="00753A63"/>
    <w:rsid w:val="00753CA4"/>
    <w:rsid w:val="00753E45"/>
    <w:rsid w:val="00753F69"/>
    <w:rsid w:val="00753FA9"/>
    <w:rsid w:val="00753FF7"/>
    <w:rsid w:val="00754161"/>
    <w:rsid w:val="0075424E"/>
    <w:rsid w:val="007543EF"/>
    <w:rsid w:val="007544B0"/>
    <w:rsid w:val="0075478B"/>
    <w:rsid w:val="00754957"/>
    <w:rsid w:val="0075499A"/>
    <w:rsid w:val="00754C1B"/>
    <w:rsid w:val="00754D36"/>
    <w:rsid w:val="00754E23"/>
    <w:rsid w:val="00754E31"/>
    <w:rsid w:val="00754E66"/>
    <w:rsid w:val="00754E7B"/>
    <w:rsid w:val="00755027"/>
    <w:rsid w:val="007550BB"/>
    <w:rsid w:val="007550DF"/>
    <w:rsid w:val="00755139"/>
    <w:rsid w:val="007551C5"/>
    <w:rsid w:val="007551DE"/>
    <w:rsid w:val="007553AC"/>
    <w:rsid w:val="0075569F"/>
    <w:rsid w:val="0075575E"/>
    <w:rsid w:val="007557E8"/>
    <w:rsid w:val="00755A43"/>
    <w:rsid w:val="00755A76"/>
    <w:rsid w:val="00755A9A"/>
    <w:rsid w:val="00755B25"/>
    <w:rsid w:val="00755C32"/>
    <w:rsid w:val="00755DD0"/>
    <w:rsid w:val="0075605F"/>
    <w:rsid w:val="007561E9"/>
    <w:rsid w:val="00756377"/>
    <w:rsid w:val="00756389"/>
    <w:rsid w:val="007563D2"/>
    <w:rsid w:val="0075648E"/>
    <w:rsid w:val="0075654E"/>
    <w:rsid w:val="007565F1"/>
    <w:rsid w:val="00756728"/>
    <w:rsid w:val="0075695F"/>
    <w:rsid w:val="00756A84"/>
    <w:rsid w:val="00756AD2"/>
    <w:rsid w:val="00756BD8"/>
    <w:rsid w:val="00756CB5"/>
    <w:rsid w:val="00756D59"/>
    <w:rsid w:val="00756EE0"/>
    <w:rsid w:val="00756F1B"/>
    <w:rsid w:val="00756FC8"/>
    <w:rsid w:val="00756FDD"/>
    <w:rsid w:val="00757167"/>
    <w:rsid w:val="007571D5"/>
    <w:rsid w:val="00757241"/>
    <w:rsid w:val="0075738A"/>
    <w:rsid w:val="007573C5"/>
    <w:rsid w:val="007573F4"/>
    <w:rsid w:val="0075743C"/>
    <w:rsid w:val="007575A1"/>
    <w:rsid w:val="00757741"/>
    <w:rsid w:val="007577A9"/>
    <w:rsid w:val="007577F5"/>
    <w:rsid w:val="0075781E"/>
    <w:rsid w:val="00757926"/>
    <w:rsid w:val="00757AD7"/>
    <w:rsid w:val="00757DD2"/>
    <w:rsid w:val="00757DF9"/>
    <w:rsid w:val="00757E2A"/>
    <w:rsid w:val="00757E4A"/>
    <w:rsid w:val="00757E7E"/>
    <w:rsid w:val="00757ECA"/>
    <w:rsid w:val="00757F29"/>
    <w:rsid w:val="00757F47"/>
    <w:rsid w:val="00757F75"/>
    <w:rsid w:val="00757FE5"/>
    <w:rsid w:val="00760088"/>
    <w:rsid w:val="007600C8"/>
    <w:rsid w:val="0076010D"/>
    <w:rsid w:val="0076013D"/>
    <w:rsid w:val="00760397"/>
    <w:rsid w:val="00760487"/>
    <w:rsid w:val="00760493"/>
    <w:rsid w:val="0076063F"/>
    <w:rsid w:val="007607F7"/>
    <w:rsid w:val="00760875"/>
    <w:rsid w:val="00760A15"/>
    <w:rsid w:val="00760A2A"/>
    <w:rsid w:val="00760AB3"/>
    <w:rsid w:val="00760B1C"/>
    <w:rsid w:val="00760D06"/>
    <w:rsid w:val="00760E56"/>
    <w:rsid w:val="007611A2"/>
    <w:rsid w:val="0076157C"/>
    <w:rsid w:val="0076189E"/>
    <w:rsid w:val="00761970"/>
    <w:rsid w:val="00761ACE"/>
    <w:rsid w:val="00761BF6"/>
    <w:rsid w:val="00761DAF"/>
    <w:rsid w:val="00761DED"/>
    <w:rsid w:val="00761F25"/>
    <w:rsid w:val="00761F5A"/>
    <w:rsid w:val="0076208E"/>
    <w:rsid w:val="007620DF"/>
    <w:rsid w:val="007621BE"/>
    <w:rsid w:val="007622FF"/>
    <w:rsid w:val="0076232E"/>
    <w:rsid w:val="00762332"/>
    <w:rsid w:val="0076245C"/>
    <w:rsid w:val="0076250C"/>
    <w:rsid w:val="0076254C"/>
    <w:rsid w:val="0076262A"/>
    <w:rsid w:val="00762673"/>
    <w:rsid w:val="0076275C"/>
    <w:rsid w:val="007629DC"/>
    <w:rsid w:val="00762A6D"/>
    <w:rsid w:val="00762B38"/>
    <w:rsid w:val="00762B91"/>
    <w:rsid w:val="00762D42"/>
    <w:rsid w:val="00762DA7"/>
    <w:rsid w:val="00762DD6"/>
    <w:rsid w:val="00762E37"/>
    <w:rsid w:val="00762FCE"/>
    <w:rsid w:val="00762FF5"/>
    <w:rsid w:val="00763231"/>
    <w:rsid w:val="007632C2"/>
    <w:rsid w:val="007634DF"/>
    <w:rsid w:val="0076351D"/>
    <w:rsid w:val="00763582"/>
    <w:rsid w:val="007635F4"/>
    <w:rsid w:val="007636EB"/>
    <w:rsid w:val="00763760"/>
    <w:rsid w:val="00763770"/>
    <w:rsid w:val="00763A14"/>
    <w:rsid w:val="00763B25"/>
    <w:rsid w:val="00763BDA"/>
    <w:rsid w:val="00763D0B"/>
    <w:rsid w:val="00763DB7"/>
    <w:rsid w:val="00763E3C"/>
    <w:rsid w:val="00763E61"/>
    <w:rsid w:val="00763EA4"/>
    <w:rsid w:val="007640E2"/>
    <w:rsid w:val="00764200"/>
    <w:rsid w:val="007642C1"/>
    <w:rsid w:val="007643CA"/>
    <w:rsid w:val="00764643"/>
    <w:rsid w:val="007647F1"/>
    <w:rsid w:val="00764A66"/>
    <w:rsid w:val="00764ACD"/>
    <w:rsid w:val="00764B83"/>
    <w:rsid w:val="00764C1C"/>
    <w:rsid w:val="00764CC9"/>
    <w:rsid w:val="00764CCA"/>
    <w:rsid w:val="00764F74"/>
    <w:rsid w:val="00764FB2"/>
    <w:rsid w:val="00764FE4"/>
    <w:rsid w:val="007650EB"/>
    <w:rsid w:val="007652E3"/>
    <w:rsid w:val="0076547E"/>
    <w:rsid w:val="00765639"/>
    <w:rsid w:val="00765643"/>
    <w:rsid w:val="0076578E"/>
    <w:rsid w:val="00765843"/>
    <w:rsid w:val="00765A35"/>
    <w:rsid w:val="00765C29"/>
    <w:rsid w:val="00765D50"/>
    <w:rsid w:val="00766013"/>
    <w:rsid w:val="00766117"/>
    <w:rsid w:val="0076620E"/>
    <w:rsid w:val="00766215"/>
    <w:rsid w:val="007662C7"/>
    <w:rsid w:val="00766411"/>
    <w:rsid w:val="0076651B"/>
    <w:rsid w:val="007667E2"/>
    <w:rsid w:val="0076683A"/>
    <w:rsid w:val="007669E2"/>
    <w:rsid w:val="00766A59"/>
    <w:rsid w:val="00766A90"/>
    <w:rsid w:val="00766AE4"/>
    <w:rsid w:val="00766B5E"/>
    <w:rsid w:val="00766CFB"/>
    <w:rsid w:val="00766E33"/>
    <w:rsid w:val="00766E6E"/>
    <w:rsid w:val="007671A7"/>
    <w:rsid w:val="00767233"/>
    <w:rsid w:val="00767464"/>
    <w:rsid w:val="007674C8"/>
    <w:rsid w:val="00767503"/>
    <w:rsid w:val="007677E6"/>
    <w:rsid w:val="00767803"/>
    <w:rsid w:val="00767873"/>
    <w:rsid w:val="00767945"/>
    <w:rsid w:val="00767A60"/>
    <w:rsid w:val="00767FB3"/>
    <w:rsid w:val="0077008C"/>
    <w:rsid w:val="00770096"/>
    <w:rsid w:val="00770226"/>
    <w:rsid w:val="00770293"/>
    <w:rsid w:val="0077032A"/>
    <w:rsid w:val="007705C2"/>
    <w:rsid w:val="007706D4"/>
    <w:rsid w:val="00770797"/>
    <w:rsid w:val="0077096A"/>
    <w:rsid w:val="00770A36"/>
    <w:rsid w:val="00770A73"/>
    <w:rsid w:val="00770ACA"/>
    <w:rsid w:val="00770ADD"/>
    <w:rsid w:val="00770B19"/>
    <w:rsid w:val="00770BF3"/>
    <w:rsid w:val="00770D12"/>
    <w:rsid w:val="00770D77"/>
    <w:rsid w:val="00770E80"/>
    <w:rsid w:val="00770F55"/>
    <w:rsid w:val="007710C7"/>
    <w:rsid w:val="00771108"/>
    <w:rsid w:val="0077159A"/>
    <w:rsid w:val="00771706"/>
    <w:rsid w:val="0077172F"/>
    <w:rsid w:val="00771731"/>
    <w:rsid w:val="0077180C"/>
    <w:rsid w:val="00771882"/>
    <w:rsid w:val="00771A27"/>
    <w:rsid w:val="00771D24"/>
    <w:rsid w:val="00771E3E"/>
    <w:rsid w:val="00771E84"/>
    <w:rsid w:val="00771F80"/>
    <w:rsid w:val="0077238F"/>
    <w:rsid w:val="00772488"/>
    <w:rsid w:val="007724AD"/>
    <w:rsid w:val="007725D5"/>
    <w:rsid w:val="0077264D"/>
    <w:rsid w:val="007727A8"/>
    <w:rsid w:val="007727FB"/>
    <w:rsid w:val="00772800"/>
    <w:rsid w:val="0077286D"/>
    <w:rsid w:val="00772A63"/>
    <w:rsid w:val="00772B4A"/>
    <w:rsid w:val="00772C4E"/>
    <w:rsid w:val="00772E8A"/>
    <w:rsid w:val="00772FA3"/>
    <w:rsid w:val="00773185"/>
    <w:rsid w:val="0077325C"/>
    <w:rsid w:val="007732D3"/>
    <w:rsid w:val="007732F8"/>
    <w:rsid w:val="007733CE"/>
    <w:rsid w:val="007735F5"/>
    <w:rsid w:val="00773604"/>
    <w:rsid w:val="00773688"/>
    <w:rsid w:val="0077384D"/>
    <w:rsid w:val="0077392E"/>
    <w:rsid w:val="00773974"/>
    <w:rsid w:val="0077397E"/>
    <w:rsid w:val="00773B1E"/>
    <w:rsid w:val="00773B5B"/>
    <w:rsid w:val="00773D26"/>
    <w:rsid w:val="00773FFE"/>
    <w:rsid w:val="007740EA"/>
    <w:rsid w:val="00774202"/>
    <w:rsid w:val="00774357"/>
    <w:rsid w:val="00774413"/>
    <w:rsid w:val="0077449A"/>
    <w:rsid w:val="007744F4"/>
    <w:rsid w:val="00774528"/>
    <w:rsid w:val="00774618"/>
    <w:rsid w:val="00774640"/>
    <w:rsid w:val="00774674"/>
    <w:rsid w:val="0077467A"/>
    <w:rsid w:val="0077470A"/>
    <w:rsid w:val="0077476C"/>
    <w:rsid w:val="007749FB"/>
    <w:rsid w:val="00774E00"/>
    <w:rsid w:val="00774FED"/>
    <w:rsid w:val="00775069"/>
    <w:rsid w:val="00775124"/>
    <w:rsid w:val="0077516A"/>
    <w:rsid w:val="00775247"/>
    <w:rsid w:val="007752BE"/>
    <w:rsid w:val="007753C4"/>
    <w:rsid w:val="0077558B"/>
    <w:rsid w:val="007755FC"/>
    <w:rsid w:val="007756A4"/>
    <w:rsid w:val="007757FD"/>
    <w:rsid w:val="0077585C"/>
    <w:rsid w:val="00775892"/>
    <w:rsid w:val="00775A1D"/>
    <w:rsid w:val="00775AD6"/>
    <w:rsid w:val="00775B28"/>
    <w:rsid w:val="00775B7E"/>
    <w:rsid w:val="00775B94"/>
    <w:rsid w:val="00775C43"/>
    <w:rsid w:val="00775CB9"/>
    <w:rsid w:val="00775D28"/>
    <w:rsid w:val="00775DDF"/>
    <w:rsid w:val="00775DE0"/>
    <w:rsid w:val="00775E08"/>
    <w:rsid w:val="00775E39"/>
    <w:rsid w:val="00775F6F"/>
    <w:rsid w:val="007761C5"/>
    <w:rsid w:val="00776716"/>
    <w:rsid w:val="0077679F"/>
    <w:rsid w:val="007768A8"/>
    <w:rsid w:val="007768D7"/>
    <w:rsid w:val="007768FD"/>
    <w:rsid w:val="00776A90"/>
    <w:rsid w:val="00776B77"/>
    <w:rsid w:val="00776C3B"/>
    <w:rsid w:val="00776DAA"/>
    <w:rsid w:val="00776DC2"/>
    <w:rsid w:val="00776E35"/>
    <w:rsid w:val="00776F4A"/>
    <w:rsid w:val="0077727E"/>
    <w:rsid w:val="007772A0"/>
    <w:rsid w:val="007772E1"/>
    <w:rsid w:val="00777318"/>
    <w:rsid w:val="00777320"/>
    <w:rsid w:val="00777381"/>
    <w:rsid w:val="007773C1"/>
    <w:rsid w:val="007773D9"/>
    <w:rsid w:val="00777556"/>
    <w:rsid w:val="007776A3"/>
    <w:rsid w:val="00777A62"/>
    <w:rsid w:val="00777AD4"/>
    <w:rsid w:val="00777C07"/>
    <w:rsid w:val="00777C44"/>
    <w:rsid w:val="00777D0B"/>
    <w:rsid w:val="00777D93"/>
    <w:rsid w:val="00777E48"/>
    <w:rsid w:val="00777EDA"/>
    <w:rsid w:val="0077BAD7"/>
    <w:rsid w:val="007800CC"/>
    <w:rsid w:val="00780180"/>
    <w:rsid w:val="007801A9"/>
    <w:rsid w:val="007801C6"/>
    <w:rsid w:val="007801C8"/>
    <w:rsid w:val="007801DE"/>
    <w:rsid w:val="007802B7"/>
    <w:rsid w:val="00780302"/>
    <w:rsid w:val="00780329"/>
    <w:rsid w:val="0078049D"/>
    <w:rsid w:val="00780580"/>
    <w:rsid w:val="007807B7"/>
    <w:rsid w:val="00780AA9"/>
    <w:rsid w:val="00780AF0"/>
    <w:rsid w:val="00780CB2"/>
    <w:rsid w:val="00780D35"/>
    <w:rsid w:val="00780E15"/>
    <w:rsid w:val="00780E8D"/>
    <w:rsid w:val="00780ECB"/>
    <w:rsid w:val="00780ECD"/>
    <w:rsid w:val="00780F4D"/>
    <w:rsid w:val="007811D2"/>
    <w:rsid w:val="00781308"/>
    <w:rsid w:val="007813C7"/>
    <w:rsid w:val="00781478"/>
    <w:rsid w:val="00781487"/>
    <w:rsid w:val="00781653"/>
    <w:rsid w:val="0078185C"/>
    <w:rsid w:val="00781A0A"/>
    <w:rsid w:val="00781AF6"/>
    <w:rsid w:val="00781B1D"/>
    <w:rsid w:val="00781BA7"/>
    <w:rsid w:val="00781C2A"/>
    <w:rsid w:val="00781C3B"/>
    <w:rsid w:val="00781C6C"/>
    <w:rsid w:val="00781D11"/>
    <w:rsid w:val="00781DDA"/>
    <w:rsid w:val="00782006"/>
    <w:rsid w:val="007820BA"/>
    <w:rsid w:val="00782186"/>
    <w:rsid w:val="00782202"/>
    <w:rsid w:val="00782391"/>
    <w:rsid w:val="00782493"/>
    <w:rsid w:val="007824F7"/>
    <w:rsid w:val="00782547"/>
    <w:rsid w:val="00782691"/>
    <w:rsid w:val="007826C1"/>
    <w:rsid w:val="0078273C"/>
    <w:rsid w:val="00782816"/>
    <w:rsid w:val="00782871"/>
    <w:rsid w:val="00782950"/>
    <w:rsid w:val="007829A1"/>
    <w:rsid w:val="00782A2F"/>
    <w:rsid w:val="00782BA0"/>
    <w:rsid w:val="00782C51"/>
    <w:rsid w:val="00782CC8"/>
    <w:rsid w:val="00782E1F"/>
    <w:rsid w:val="00782ED9"/>
    <w:rsid w:val="00782F28"/>
    <w:rsid w:val="00782F2A"/>
    <w:rsid w:val="00783054"/>
    <w:rsid w:val="00783067"/>
    <w:rsid w:val="007830BD"/>
    <w:rsid w:val="007831BC"/>
    <w:rsid w:val="0078332A"/>
    <w:rsid w:val="0078341E"/>
    <w:rsid w:val="00783727"/>
    <w:rsid w:val="00783794"/>
    <w:rsid w:val="00783B27"/>
    <w:rsid w:val="00783B28"/>
    <w:rsid w:val="00783B72"/>
    <w:rsid w:val="00783BCF"/>
    <w:rsid w:val="00783C54"/>
    <w:rsid w:val="00783CAA"/>
    <w:rsid w:val="00783CB4"/>
    <w:rsid w:val="00783CC7"/>
    <w:rsid w:val="00783D60"/>
    <w:rsid w:val="00783DD3"/>
    <w:rsid w:val="00783DD5"/>
    <w:rsid w:val="00783F94"/>
    <w:rsid w:val="00784110"/>
    <w:rsid w:val="00784190"/>
    <w:rsid w:val="0078421F"/>
    <w:rsid w:val="00784403"/>
    <w:rsid w:val="0078457E"/>
    <w:rsid w:val="007845AE"/>
    <w:rsid w:val="0078461B"/>
    <w:rsid w:val="0078461C"/>
    <w:rsid w:val="00784621"/>
    <w:rsid w:val="007846D8"/>
    <w:rsid w:val="00784782"/>
    <w:rsid w:val="007848F4"/>
    <w:rsid w:val="00784A28"/>
    <w:rsid w:val="00784ADA"/>
    <w:rsid w:val="00784DCD"/>
    <w:rsid w:val="0078506D"/>
    <w:rsid w:val="007850D3"/>
    <w:rsid w:val="00785134"/>
    <w:rsid w:val="007852C0"/>
    <w:rsid w:val="0078538D"/>
    <w:rsid w:val="007853AA"/>
    <w:rsid w:val="00785443"/>
    <w:rsid w:val="0078558D"/>
    <w:rsid w:val="0078564B"/>
    <w:rsid w:val="00785750"/>
    <w:rsid w:val="00785761"/>
    <w:rsid w:val="00785844"/>
    <w:rsid w:val="00785A97"/>
    <w:rsid w:val="00785BAF"/>
    <w:rsid w:val="00785E46"/>
    <w:rsid w:val="00786088"/>
    <w:rsid w:val="007860DB"/>
    <w:rsid w:val="00786103"/>
    <w:rsid w:val="00786134"/>
    <w:rsid w:val="00786256"/>
    <w:rsid w:val="00786280"/>
    <w:rsid w:val="0078641A"/>
    <w:rsid w:val="00786430"/>
    <w:rsid w:val="00786553"/>
    <w:rsid w:val="00786590"/>
    <w:rsid w:val="007866BF"/>
    <w:rsid w:val="007868CA"/>
    <w:rsid w:val="00786946"/>
    <w:rsid w:val="00786A1B"/>
    <w:rsid w:val="00786B3B"/>
    <w:rsid w:val="00786BB3"/>
    <w:rsid w:val="00786C39"/>
    <w:rsid w:val="00786E29"/>
    <w:rsid w:val="00786E43"/>
    <w:rsid w:val="00786E5E"/>
    <w:rsid w:val="0078703E"/>
    <w:rsid w:val="0078718A"/>
    <w:rsid w:val="00787305"/>
    <w:rsid w:val="0078730D"/>
    <w:rsid w:val="00787477"/>
    <w:rsid w:val="007877F6"/>
    <w:rsid w:val="0078783A"/>
    <w:rsid w:val="00787934"/>
    <w:rsid w:val="00787BF9"/>
    <w:rsid w:val="00787C4C"/>
    <w:rsid w:val="00787DF7"/>
    <w:rsid w:val="00787E29"/>
    <w:rsid w:val="00787E48"/>
    <w:rsid w:val="007888B8"/>
    <w:rsid w:val="00790007"/>
    <w:rsid w:val="00790026"/>
    <w:rsid w:val="00790052"/>
    <w:rsid w:val="00790082"/>
    <w:rsid w:val="0079026B"/>
    <w:rsid w:val="00790430"/>
    <w:rsid w:val="00790535"/>
    <w:rsid w:val="00790565"/>
    <w:rsid w:val="0079058B"/>
    <w:rsid w:val="00790701"/>
    <w:rsid w:val="007907E0"/>
    <w:rsid w:val="00790815"/>
    <w:rsid w:val="007908C7"/>
    <w:rsid w:val="007909AE"/>
    <w:rsid w:val="00790A62"/>
    <w:rsid w:val="0079113A"/>
    <w:rsid w:val="007912AE"/>
    <w:rsid w:val="00791325"/>
    <w:rsid w:val="0079135A"/>
    <w:rsid w:val="00791477"/>
    <w:rsid w:val="007914E5"/>
    <w:rsid w:val="00791533"/>
    <w:rsid w:val="0079153D"/>
    <w:rsid w:val="007915D7"/>
    <w:rsid w:val="007915F5"/>
    <w:rsid w:val="007917F6"/>
    <w:rsid w:val="007919C1"/>
    <w:rsid w:val="00791B44"/>
    <w:rsid w:val="00791BBA"/>
    <w:rsid w:val="00791CB5"/>
    <w:rsid w:val="00791EF6"/>
    <w:rsid w:val="00792071"/>
    <w:rsid w:val="00792088"/>
    <w:rsid w:val="007920B7"/>
    <w:rsid w:val="00792238"/>
    <w:rsid w:val="00792441"/>
    <w:rsid w:val="0079250A"/>
    <w:rsid w:val="0079270F"/>
    <w:rsid w:val="00792715"/>
    <w:rsid w:val="007927BC"/>
    <w:rsid w:val="007929FE"/>
    <w:rsid w:val="00792A9E"/>
    <w:rsid w:val="00792C32"/>
    <w:rsid w:val="00792EB6"/>
    <w:rsid w:val="00792FFF"/>
    <w:rsid w:val="0079306E"/>
    <w:rsid w:val="007930E3"/>
    <w:rsid w:val="0079312E"/>
    <w:rsid w:val="007931F0"/>
    <w:rsid w:val="007932FE"/>
    <w:rsid w:val="0079351B"/>
    <w:rsid w:val="0079352D"/>
    <w:rsid w:val="0079360B"/>
    <w:rsid w:val="007936BE"/>
    <w:rsid w:val="00793B98"/>
    <w:rsid w:val="00793D86"/>
    <w:rsid w:val="00793EF1"/>
    <w:rsid w:val="007940BE"/>
    <w:rsid w:val="00794212"/>
    <w:rsid w:val="007943E2"/>
    <w:rsid w:val="00794478"/>
    <w:rsid w:val="007946A0"/>
    <w:rsid w:val="00794824"/>
    <w:rsid w:val="00794A47"/>
    <w:rsid w:val="00794AA4"/>
    <w:rsid w:val="00794B5E"/>
    <w:rsid w:val="00794CF3"/>
    <w:rsid w:val="00794DC1"/>
    <w:rsid w:val="00794DCC"/>
    <w:rsid w:val="00794DF1"/>
    <w:rsid w:val="00794E9C"/>
    <w:rsid w:val="00794F61"/>
    <w:rsid w:val="0079510D"/>
    <w:rsid w:val="00795177"/>
    <w:rsid w:val="007951F3"/>
    <w:rsid w:val="007953F7"/>
    <w:rsid w:val="00795702"/>
    <w:rsid w:val="0079585E"/>
    <w:rsid w:val="00795A3C"/>
    <w:rsid w:val="00795A8D"/>
    <w:rsid w:val="00795C44"/>
    <w:rsid w:val="00795C45"/>
    <w:rsid w:val="00795CF5"/>
    <w:rsid w:val="00795D3A"/>
    <w:rsid w:val="00795E85"/>
    <w:rsid w:val="00795FE4"/>
    <w:rsid w:val="00796089"/>
    <w:rsid w:val="0079611A"/>
    <w:rsid w:val="00796129"/>
    <w:rsid w:val="0079612E"/>
    <w:rsid w:val="007961AF"/>
    <w:rsid w:val="007961EA"/>
    <w:rsid w:val="00796273"/>
    <w:rsid w:val="007962BC"/>
    <w:rsid w:val="007963B4"/>
    <w:rsid w:val="0079652F"/>
    <w:rsid w:val="007966F8"/>
    <w:rsid w:val="00796813"/>
    <w:rsid w:val="0079682A"/>
    <w:rsid w:val="00796831"/>
    <w:rsid w:val="007968C7"/>
    <w:rsid w:val="00796929"/>
    <w:rsid w:val="00796A59"/>
    <w:rsid w:val="00796AA5"/>
    <w:rsid w:val="00796B63"/>
    <w:rsid w:val="00796C7D"/>
    <w:rsid w:val="00796CEF"/>
    <w:rsid w:val="00796D47"/>
    <w:rsid w:val="00796E55"/>
    <w:rsid w:val="00796F00"/>
    <w:rsid w:val="00797192"/>
    <w:rsid w:val="007971DB"/>
    <w:rsid w:val="0079724A"/>
    <w:rsid w:val="007972EE"/>
    <w:rsid w:val="00797458"/>
    <w:rsid w:val="0079748C"/>
    <w:rsid w:val="00797844"/>
    <w:rsid w:val="00797876"/>
    <w:rsid w:val="00797888"/>
    <w:rsid w:val="00797B1A"/>
    <w:rsid w:val="00797E1D"/>
    <w:rsid w:val="00797F0D"/>
    <w:rsid w:val="0079D132"/>
    <w:rsid w:val="007A0027"/>
    <w:rsid w:val="007A00FA"/>
    <w:rsid w:val="007A0159"/>
    <w:rsid w:val="007A0270"/>
    <w:rsid w:val="007A0558"/>
    <w:rsid w:val="007A0560"/>
    <w:rsid w:val="007A058A"/>
    <w:rsid w:val="007A06C4"/>
    <w:rsid w:val="007A06F9"/>
    <w:rsid w:val="007A0764"/>
    <w:rsid w:val="007A09A2"/>
    <w:rsid w:val="007A09CA"/>
    <w:rsid w:val="007A0AA9"/>
    <w:rsid w:val="007A0AB0"/>
    <w:rsid w:val="007A0B00"/>
    <w:rsid w:val="007A0C6D"/>
    <w:rsid w:val="007A0D94"/>
    <w:rsid w:val="007A0E0C"/>
    <w:rsid w:val="007A0F9B"/>
    <w:rsid w:val="007A1074"/>
    <w:rsid w:val="007A108C"/>
    <w:rsid w:val="007A11D1"/>
    <w:rsid w:val="007A1264"/>
    <w:rsid w:val="007A12AB"/>
    <w:rsid w:val="007A12D3"/>
    <w:rsid w:val="007A14EB"/>
    <w:rsid w:val="007A1566"/>
    <w:rsid w:val="007A166B"/>
    <w:rsid w:val="007A16DD"/>
    <w:rsid w:val="007A195D"/>
    <w:rsid w:val="007A1AA3"/>
    <w:rsid w:val="007A1AEA"/>
    <w:rsid w:val="007A1B4A"/>
    <w:rsid w:val="007A1B51"/>
    <w:rsid w:val="007A1BAA"/>
    <w:rsid w:val="007A1BCB"/>
    <w:rsid w:val="007A1C04"/>
    <w:rsid w:val="007A1C2A"/>
    <w:rsid w:val="007A1C64"/>
    <w:rsid w:val="007A1CA5"/>
    <w:rsid w:val="007A1CD2"/>
    <w:rsid w:val="007A1DB7"/>
    <w:rsid w:val="007A1FC5"/>
    <w:rsid w:val="007A2105"/>
    <w:rsid w:val="007A21A5"/>
    <w:rsid w:val="007A22E1"/>
    <w:rsid w:val="007A2404"/>
    <w:rsid w:val="007A247E"/>
    <w:rsid w:val="007A25A8"/>
    <w:rsid w:val="007A2908"/>
    <w:rsid w:val="007A29D0"/>
    <w:rsid w:val="007A2C55"/>
    <w:rsid w:val="007A2CD4"/>
    <w:rsid w:val="007A2EDE"/>
    <w:rsid w:val="007A322E"/>
    <w:rsid w:val="007A3251"/>
    <w:rsid w:val="007A34AE"/>
    <w:rsid w:val="007A36A9"/>
    <w:rsid w:val="007A3702"/>
    <w:rsid w:val="007A3703"/>
    <w:rsid w:val="007A3753"/>
    <w:rsid w:val="007A386D"/>
    <w:rsid w:val="007A3960"/>
    <w:rsid w:val="007A3A0F"/>
    <w:rsid w:val="007A3AB6"/>
    <w:rsid w:val="007A3B09"/>
    <w:rsid w:val="007A3D27"/>
    <w:rsid w:val="007A3E4A"/>
    <w:rsid w:val="007A3EB2"/>
    <w:rsid w:val="007A3F9B"/>
    <w:rsid w:val="007A3FEE"/>
    <w:rsid w:val="007A407E"/>
    <w:rsid w:val="007A43BC"/>
    <w:rsid w:val="007A4516"/>
    <w:rsid w:val="007A472D"/>
    <w:rsid w:val="007A4753"/>
    <w:rsid w:val="007A47B6"/>
    <w:rsid w:val="007A480A"/>
    <w:rsid w:val="007A4899"/>
    <w:rsid w:val="007A4934"/>
    <w:rsid w:val="007A49F5"/>
    <w:rsid w:val="007A4B58"/>
    <w:rsid w:val="007A4C83"/>
    <w:rsid w:val="007A4C8F"/>
    <w:rsid w:val="007A4FE8"/>
    <w:rsid w:val="007A5318"/>
    <w:rsid w:val="007A5395"/>
    <w:rsid w:val="007A53E2"/>
    <w:rsid w:val="007A5449"/>
    <w:rsid w:val="007A5476"/>
    <w:rsid w:val="007A54A0"/>
    <w:rsid w:val="007A55E3"/>
    <w:rsid w:val="007A567B"/>
    <w:rsid w:val="007A5928"/>
    <w:rsid w:val="007A5A4B"/>
    <w:rsid w:val="007A5A8E"/>
    <w:rsid w:val="007A5C23"/>
    <w:rsid w:val="007A5D2E"/>
    <w:rsid w:val="007A5EBD"/>
    <w:rsid w:val="007A5F79"/>
    <w:rsid w:val="007A5F9C"/>
    <w:rsid w:val="007A5FCC"/>
    <w:rsid w:val="007A5FF3"/>
    <w:rsid w:val="007A5FFF"/>
    <w:rsid w:val="007A602F"/>
    <w:rsid w:val="007A6180"/>
    <w:rsid w:val="007A620A"/>
    <w:rsid w:val="007A6228"/>
    <w:rsid w:val="007A6542"/>
    <w:rsid w:val="007A654B"/>
    <w:rsid w:val="007A6592"/>
    <w:rsid w:val="007A66D6"/>
    <w:rsid w:val="007A676F"/>
    <w:rsid w:val="007A69ED"/>
    <w:rsid w:val="007A6A95"/>
    <w:rsid w:val="007A6B5A"/>
    <w:rsid w:val="007A6BB7"/>
    <w:rsid w:val="007A6DA7"/>
    <w:rsid w:val="007A6DD7"/>
    <w:rsid w:val="007A6E46"/>
    <w:rsid w:val="007A6E6E"/>
    <w:rsid w:val="007A6FA3"/>
    <w:rsid w:val="007A72F5"/>
    <w:rsid w:val="007A7336"/>
    <w:rsid w:val="007A73FF"/>
    <w:rsid w:val="007A757C"/>
    <w:rsid w:val="007A76F9"/>
    <w:rsid w:val="007A77D9"/>
    <w:rsid w:val="007A7869"/>
    <w:rsid w:val="007A7AAA"/>
    <w:rsid w:val="007A7BB7"/>
    <w:rsid w:val="007A7C8C"/>
    <w:rsid w:val="007A7D93"/>
    <w:rsid w:val="007A7DCA"/>
    <w:rsid w:val="007A7F40"/>
    <w:rsid w:val="007ABAC1"/>
    <w:rsid w:val="007B0067"/>
    <w:rsid w:val="007B00ED"/>
    <w:rsid w:val="007B01F9"/>
    <w:rsid w:val="007B0408"/>
    <w:rsid w:val="007B06D0"/>
    <w:rsid w:val="007B0831"/>
    <w:rsid w:val="007B0856"/>
    <w:rsid w:val="007B08CB"/>
    <w:rsid w:val="007B0A43"/>
    <w:rsid w:val="007B0B56"/>
    <w:rsid w:val="007B0BD6"/>
    <w:rsid w:val="007B0C50"/>
    <w:rsid w:val="007B0EAD"/>
    <w:rsid w:val="007B1161"/>
    <w:rsid w:val="007B1238"/>
    <w:rsid w:val="007B1256"/>
    <w:rsid w:val="007B1292"/>
    <w:rsid w:val="007B130E"/>
    <w:rsid w:val="007B1346"/>
    <w:rsid w:val="007B13CC"/>
    <w:rsid w:val="007B14FF"/>
    <w:rsid w:val="007B17EA"/>
    <w:rsid w:val="007B18F5"/>
    <w:rsid w:val="007B1A15"/>
    <w:rsid w:val="007B1AAF"/>
    <w:rsid w:val="007B1B0F"/>
    <w:rsid w:val="007B1BC6"/>
    <w:rsid w:val="007B1C07"/>
    <w:rsid w:val="007B1D2E"/>
    <w:rsid w:val="007B1D97"/>
    <w:rsid w:val="007B1DF7"/>
    <w:rsid w:val="007B1FD0"/>
    <w:rsid w:val="007B1FE8"/>
    <w:rsid w:val="007B1FF8"/>
    <w:rsid w:val="007B2079"/>
    <w:rsid w:val="007B20E9"/>
    <w:rsid w:val="007B2149"/>
    <w:rsid w:val="007B21C1"/>
    <w:rsid w:val="007B21D9"/>
    <w:rsid w:val="007B21DC"/>
    <w:rsid w:val="007B2270"/>
    <w:rsid w:val="007B2420"/>
    <w:rsid w:val="007B261C"/>
    <w:rsid w:val="007B262E"/>
    <w:rsid w:val="007B286C"/>
    <w:rsid w:val="007B299C"/>
    <w:rsid w:val="007B2C12"/>
    <w:rsid w:val="007B2CBB"/>
    <w:rsid w:val="007B2CBF"/>
    <w:rsid w:val="007B2CDB"/>
    <w:rsid w:val="007B2D0F"/>
    <w:rsid w:val="007B2EBC"/>
    <w:rsid w:val="007B2F8C"/>
    <w:rsid w:val="007B3091"/>
    <w:rsid w:val="007B3100"/>
    <w:rsid w:val="007B312E"/>
    <w:rsid w:val="007B31D1"/>
    <w:rsid w:val="007B322A"/>
    <w:rsid w:val="007B3323"/>
    <w:rsid w:val="007B3367"/>
    <w:rsid w:val="007B339C"/>
    <w:rsid w:val="007B33CC"/>
    <w:rsid w:val="007B33DA"/>
    <w:rsid w:val="007B34C6"/>
    <w:rsid w:val="007B34EB"/>
    <w:rsid w:val="007B34FA"/>
    <w:rsid w:val="007B354B"/>
    <w:rsid w:val="007B365D"/>
    <w:rsid w:val="007B39CE"/>
    <w:rsid w:val="007B3A06"/>
    <w:rsid w:val="007B3A45"/>
    <w:rsid w:val="007B3A5A"/>
    <w:rsid w:val="007B3A93"/>
    <w:rsid w:val="007B3C70"/>
    <w:rsid w:val="007B3D73"/>
    <w:rsid w:val="007B3E7C"/>
    <w:rsid w:val="007B3F65"/>
    <w:rsid w:val="007B4033"/>
    <w:rsid w:val="007B408B"/>
    <w:rsid w:val="007B43FE"/>
    <w:rsid w:val="007B46F9"/>
    <w:rsid w:val="007B4726"/>
    <w:rsid w:val="007B47FA"/>
    <w:rsid w:val="007B484F"/>
    <w:rsid w:val="007B4B12"/>
    <w:rsid w:val="007B4B6C"/>
    <w:rsid w:val="007B4C25"/>
    <w:rsid w:val="007B4C47"/>
    <w:rsid w:val="007B4CE7"/>
    <w:rsid w:val="007B50A7"/>
    <w:rsid w:val="007B51FC"/>
    <w:rsid w:val="007B5242"/>
    <w:rsid w:val="007B53A3"/>
    <w:rsid w:val="007B53AB"/>
    <w:rsid w:val="007B54F2"/>
    <w:rsid w:val="007B56B7"/>
    <w:rsid w:val="007B582B"/>
    <w:rsid w:val="007B5850"/>
    <w:rsid w:val="007B5986"/>
    <w:rsid w:val="007B5996"/>
    <w:rsid w:val="007B5A41"/>
    <w:rsid w:val="007B5B0B"/>
    <w:rsid w:val="007B5B1E"/>
    <w:rsid w:val="007B5C15"/>
    <w:rsid w:val="007B6021"/>
    <w:rsid w:val="007B6287"/>
    <w:rsid w:val="007B6326"/>
    <w:rsid w:val="007B6373"/>
    <w:rsid w:val="007B63A0"/>
    <w:rsid w:val="007B63BA"/>
    <w:rsid w:val="007B652B"/>
    <w:rsid w:val="007B653A"/>
    <w:rsid w:val="007B6622"/>
    <w:rsid w:val="007B66CF"/>
    <w:rsid w:val="007B66F9"/>
    <w:rsid w:val="007B68C2"/>
    <w:rsid w:val="007B69F2"/>
    <w:rsid w:val="007B6A1A"/>
    <w:rsid w:val="007B6B84"/>
    <w:rsid w:val="007B6BC6"/>
    <w:rsid w:val="007B6C37"/>
    <w:rsid w:val="007B6CD1"/>
    <w:rsid w:val="007B6E9E"/>
    <w:rsid w:val="007B7046"/>
    <w:rsid w:val="007B711C"/>
    <w:rsid w:val="007B724A"/>
    <w:rsid w:val="007B7259"/>
    <w:rsid w:val="007B741E"/>
    <w:rsid w:val="007B7460"/>
    <w:rsid w:val="007B751D"/>
    <w:rsid w:val="007B7742"/>
    <w:rsid w:val="007B7761"/>
    <w:rsid w:val="007B783A"/>
    <w:rsid w:val="007B785A"/>
    <w:rsid w:val="007B7954"/>
    <w:rsid w:val="007B7B9E"/>
    <w:rsid w:val="007B7BE2"/>
    <w:rsid w:val="007B7C25"/>
    <w:rsid w:val="007B7CF7"/>
    <w:rsid w:val="007B7F61"/>
    <w:rsid w:val="007C0090"/>
    <w:rsid w:val="007C01E6"/>
    <w:rsid w:val="007C0218"/>
    <w:rsid w:val="007C0240"/>
    <w:rsid w:val="007C0263"/>
    <w:rsid w:val="007C0277"/>
    <w:rsid w:val="007C0328"/>
    <w:rsid w:val="007C0475"/>
    <w:rsid w:val="007C0658"/>
    <w:rsid w:val="007C0673"/>
    <w:rsid w:val="007C06EA"/>
    <w:rsid w:val="007C07A4"/>
    <w:rsid w:val="007C0B13"/>
    <w:rsid w:val="007C0B95"/>
    <w:rsid w:val="007C0BA9"/>
    <w:rsid w:val="007C0D1C"/>
    <w:rsid w:val="007C0D94"/>
    <w:rsid w:val="007C0E62"/>
    <w:rsid w:val="007C0EFD"/>
    <w:rsid w:val="007C11A2"/>
    <w:rsid w:val="007C14CE"/>
    <w:rsid w:val="007C1562"/>
    <w:rsid w:val="007C15FB"/>
    <w:rsid w:val="007C1A23"/>
    <w:rsid w:val="007C1A51"/>
    <w:rsid w:val="007C1A76"/>
    <w:rsid w:val="007C1B45"/>
    <w:rsid w:val="007C1CF7"/>
    <w:rsid w:val="007C1E7F"/>
    <w:rsid w:val="007C1F78"/>
    <w:rsid w:val="007C1F93"/>
    <w:rsid w:val="007C1FFB"/>
    <w:rsid w:val="007C23A4"/>
    <w:rsid w:val="007C24C0"/>
    <w:rsid w:val="007C24F2"/>
    <w:rsid w:val="007C2748"/>
    <w:rsid w:val="007C2752"/>
    <w:rsid w:val="007C27ED"/>
    <w:rsid w:val="007C2849"/>
    <w:rsid w:val="007C285F"/>
    <w:rsid w:val="007C2AD6"/>
    <w:rsid w:val="007C2B92"/>
    <w:rsid w:val="007C2BE0"/>
    <w:rsid w:val="007C2C48"/>
    <w:rsid w:val="007C2C61"/>
    <w:rsid w:val="007C2E44"/>
    <w:rsid w:val="007C2E8B"/>
    <w:rsid w:val="007C2ED5"/>
    <w:rsid w:val="007C2F11"/>
    <w:rsid w:val="007C2F6F"/>
    <w:rsid w:val="007C31CE"/>
    <w:rsid w:val="007C341F"/>
    <w:rsid w:val="007C34B0"/>
    <w:rsid w:val="007C3506"/>
    <w:rsid w:val="007C3637"/>
    <w:rsid w:val="007C3735"/>
    <w:rsid w:val="007C389E"/>
    <w:rsid w:val="007C389F"/>
    <w:rsid w:val="007C3914"/>
    <w:rsid w:val="007C3994"/>
    <w:rsid w:val="007C3A7E"/>
    <w:rsid w:val="007C3CA9"/>
    <w:rsid w:val="007C3CB5"/>
    <w:rsid w:val="007C3EE3"/>
    <w:rsid w:val="007C3F14"/>
    <w:rsid w:val="007C3F90"/>
    <w:rsid w:val="007C3FB6"/>
    <w:rsid w:val="007C4274"/>
    <w:rsid w:val="007C42D9"/>
    <w:rsid w:val="007C445E"/>
    <w:rsid w:val="007C4506"/>
    <w:rsid w:val="007C4682"/>
    <w:rsid w:val="007C4998"/>
    <w:rsid w:val="007C4D3C"/>
    <w:rsid w:val="007C4E1C"/>
    <w:rsid w:val="007C4E7A"/>
    <w:rsid w:val="007C4F0C"/>
    <w:rsid w:val="007C4F36"/>
    <w:rsid w:val="007C5032"/>
    <w:rsid w:val="007C5267"/>
    <w:rsid w:val="007C538D"/>
    <w:rsid w:val="007C53E1"/>
    <w:rsid w:val="007C5552"/>
    <w:rsid w:val="007C564A"/>
    <w:rsid w:val="007C568A"/>
    <w:rsid w:val="007C5716"/>
    <w:rsid w:val="007C5775"/>
    <w:rsid w:val="007C57DD"/>
    <w:rsid w:val="007C597C"/>
    <w:rsid w:val="007C597F"/>
    <w:rsid w:val="007C59BE"/>
    <w:rsid w:val="007C5AC2"/>
    <w:rsid w:val="007C5B00"/>
    <w:rsid w:val="007C5BD4"/>
    <w:rsid w:val="007C5CBC"/>
    <w:rsid w:val="007C5D51"/>
    <w:rsid w:val="007C5D72"/>
    <w:rsid w:val="007C5DA0"/>
    <w:rsid w:val="007C5DEB"/>
    <w:rsid w:val="007C5E47"/>
    <w:rsid w:val="007C5FB2"/>
    <w:rsid w:val="007C6005"/>
    <w:rsid w:val="007C6210"/>
    <w:rsid w:val="007C6221"/>
    <w:rsid w:val="007C6284"/>
    <w:rsid w:val="007C62DE"/>
    <w:rsid w:val="007C6465"/>
    <w:rsid w:val="007C66A5"/>
    <w:rsid w:val="007C6759"/>
    <w:rsid w:val="007C67CA"/>
    <w:rsid w:val="007C684B"/>
    <w:rsid w:val="007C68EA"/>
    <w:rsid w:val="007C6947"/>
    <w:rsid w:val="007C694A"/>
    <w:rsid w:val="007C6A79"/>
    <w:rsid w:val="007C6B5A"/>
    <w:rsid w:val="007C6C27"/>
    <w:rsid w:val="007C6C5F"/>
    <w:rsid w:val="007C6E7A"/>
    <w:rsid w:val="007C6EB5"/>
    <w:rsid w:val="007C7194"/>
    <w:rsid w:val="007C71EE"/>
    <w:rsid w:val="007C731F"/>
    <w:rsid w:val="007C7334"/>
    <w:rsid w:val="007C73E9"/>
    <w:rsid w:val="007C758B"/>
    <w:rsid w:val="007C75A5"/>
    <w:rsid w:val="007C7667"/>
    <w:rsid w:val="007C77CA"/>
    <w:rsid w:val="007C78EB"/>
    <w:rsid w:val="007C7B20"/>
    <w:rsid w:val="007C7C37"/>
    <w:rsid w:val="007C7D13"/>
    <w:rsid w:val="007C7D6D"/>
    <w:rsid w:val="007C7E00"/>
    <w:rsid w:val="007CCCB2"/>
    <w:rsid w:val="007D010D"/>
    <w:rsid w:val="007D0226"/>
    <w:rsid w:val="007D0382"/>
    <w:rsid w:val="007D03D5"/>
    <w:rsid w:val="007D04CB"/>
    <w:rsid w:val="007D0726"/>
    <w:rsid w:val="007D077C"/>
    <w:rsid w:val="007D07E0"/>
    <w:rsid w:val="007D0875"/>
    <w:rsid w:val="007D0968"/>
    <w:rsid w:val="007D0A24"/>
    <w:rsid w:val="007D0A48"/>
    <w:rsid w:val="007D0B9A"/>
    <w:rsid w:val="007D0DCC"/>
    <w:rsid w:val="007D109B"/>
    <w:rsid w:val="007D1144"/>
    <w:rsid w:val="007D1269"/>
    <w:rsid w:val="007D1298"/>
    <w:rsid w:val="007D1379"/>
    <w:rsid w:val="007D152F"/>
    <w:rsid w:val="007D155A"/>
    <w:rsid w:val="007D160A"/>
    <w:rsid w:val="007D1669"/>
    <w:rsid w:val="007D16D3"/>
    <w:rsid w:val="007D1786"/>
    <w:rsid w:val="007D1846"/>
    <w:rsid w:val="007D1871"/>
    <w:rsid w:val="007D1BED"/>
    <w:rsid w:val="007D1C14"/>
    <w:rsid w:val="007D1DFF"/>
    <w:rsid w:val="007D1F4D"/>
    <w:rsid w:val="007D2072"/>
    <w:rsid w:val="007D21E6"/>
    <w:rsid w:val="007D2287"/>
    <w:rsid w:val="007D251A"/>
    <w:rsid w:val="007D25B4"/>
    <w:rsid w:val="007D2633"/>
    <w:rsid w:val="007D28BD"/>
    <w:rsid w:val="007D2A6E"/>
    <w:rsid w:val="007D2ACD"/>
    <w:rsid w:val="007D2AD6"/>
    <w:rsid w:val="007D2AE7"/>
    <w:rsid w:val="007D2D02"/>
    <w:rsid w:val="007D2D21"/>
    <w:rsid w:val="007D2D2B"/>
    <w:rsid w:val="007D2FAF"/>
    <w:rsid w:val="007D3003"/>
    <w:rsid w:val="007D3257"/>
    <w:rsid w:val="007D3345"/>
    <w:rsid w:val="007D3427"/>
    <w:rsid w:val="007D35E9"/>
    <w:rsid w:val="007D3881"/>
    <w:rsid w:val="007D38D3"/>
    <w:rsid w:val="007D38F2"/>
    <w:rsid w:val="007D3975"/>
    <w:rsid w:val="007D39EB"/>
    <w:rsid w:val="007D3A19"/>
    <w:rsid w:val="007D3BA7"/>
    <w:rsid w:val="007D3BB9"/>
    <w:rsid w:val="007D3C4D"/>
    <w:rsid w:val="007D3D35"/>
    <w:rsid w:val="007D3DEF"/>
    <w:rsid w:val="007D3EF1"/>
    <w:rsid w:val="007D3FBE"/>
    <w:rsid w:val="007D41A7"/>
    <w:rsid w:val="007D41D2"/>
    <w:rsid w:val="007D41FF"/>
    <w:rsid w:val="007D424D"/>
    <w:rsid w:val="007D4255"/>
    <w:rsid w:val="007D429C"/>
    <w:rsid w:val="007D42CF"/>
    <w:rsid w:val="007D42E2"/>
    <w:rsid w:val="007D448D"/>
    <w:rsid w:val="007D46C2"/>
    <w:rsid w:val="007D491E"/>
    <w:rsid w:val="007D49D6"/>
    <w:rsid w:val="007D4A5F"/>
    <w:rsid w:val="007D4BA3"/>
    <w:rsid w:val="007D4D8E"/>
    <w:rsid w:val="007D4E9E"/>
    <w:rsid w:val="007D50E2"/>
    <w:rsid w:val="007D516C"/>
    <w:rsid w:val="007D51D0"/>
    <w:rsid w:val="007D51D6"/>
    <w:rsid w:val="007D521D"/>
    <w:rsid w:val="007D535C"/>
    <w:rsid w:val="007D53AD"/>
    <w:rsid w:val="007D53C7"/>
    <w:rsid w:val="007D548E"/>
    <w:rsid w:val="007D5496"/>
    <w:rsid w:val="007D55F7"/>
    <w:rsid w:val="007D56C6"/>
    <w:rsid w:val="007D56F0"/>
    <w:rsid w:val="007D57A2"/>
    <w:rsid w:val="007D5A85"/>
    <w:rsid w:val="007D5A96"/>
    <w:rsid w:val="007D5D81"/>
    <w:rsid w:val="007D61A8"/>
    <w:rsid w:val="007D61A9"/>
    <w:rsid w:val="007D61D5"/>
    <w:rsid w:val="007D61E9"/>
    <w:rsid w:val="007D63F1"/>
    <w:rsid w:val="007D6514"/>
    <w:rsid w:val="007D6865"/>
    <w:rsid w:val="007D68AF"/>
    <w:rsid w:val="007D68FD"/>
    <w:rsid w:val="007D690D"/>
    <w:rsid w:val="007D6928"/>
    <w:rsid w:val="007D6976"/>
    <w:rsid w:val="007D699D"/>
    <w:rsid w:val="007D69C5"/>
    <w:rsid w:val="007D6B49"/>
    <w:rsid w:val="007D6BA0"/>
    <w:rsid w:val="007D6C20"/>
    <w:rsid w:val="007D6C76"/>
    <w:rsid w:val="007D6CEF"/>
    <w:rsid w:val="007D6CFC"/>
    <w:rsid w:val="007D6F2C"/>
    <w:rsid w:val="007D7067"/>
    <w:rsid w:val="007D72BC"/>
    <w:rsid w:val="007D72EE"/>
    <w:rsid w:val="007D763A"/>
    <w:rsid w:val="007D7682"/>
    <w:rsid w:val="007D7737"/>
    <w:rsid w:val="007D7826"/>
    <w:rsid w:val="007D787F"/>
    <w:rsid w:val="007D78A1"/>
    <w:rsid w:val="007D7972"/>
    <w:rsid w:val="007D7B09"/>
    <w:rsid w:val="007D7CC3"/>
    <w:rsid w:val="007D7D7E"/>
    <w:rsid w:val="007D7E14"/>
    <w:rsid w:val="007D7FB9"/>
    <w:rsid w:val="007E00D5"/>
    <w:rsid w:val="007E010D"/>
    <w:rsid w:val="007E0186"/>
    <w:rsid w:val="007E023C"/>
    <w:rsid w:val="007E044B"/>
    <w:rsid w:val="007E04D3"/>
    <w:rsid w:val="007E04F4"/>
    <w:rsid w:val="007E04F8"/>
    <w:rsid w:val="007E053E"/>
    <w:rsid w:val="007E0627"/>
    <w:rsid w:val="007E0658"/>
    <w:rsid w:val="007E06E3"/>
    <w:rsid w:val="007E0729"/>
    <w:rsid w:val="007E086F"/>
    <w:rsid w:val="007E08A8"/>
    <w:rsid w:val="007E08BD"/>
    <w:rsid w:val="007E0926"/>
    <w:rsid w:val="007E0AC2"/>
    <w:rsid w:val="007E0B50"/>
    <w:rsid w:val="007E0BC2"/>
    <w:rsid w:val="007E0CCA"/>
    <w:rsid w:val="007E0D1F"/>
    <w:rsid w:val="007E0DF3"/>
    <w:rsid w:val="007E0F65"/>
    <w:rsid w:val="007E0FF2"/>
    <w:rsid w:val="007E11A7"/>
    <w:rsid w:val="007E15A5"/>
    <w:rsid w:val="007E15DA"/>
    <w:rsid w:val="007E16A5"/>
    <w:rsid w:val="007E16A9"/>
    <w:rsid w:val="007E16C0"/>
    <w:rsid w:val="007E17A1"/>
    <w:rsid w:val="007E183C"/>
    <w:rsid w:val="007E1888"/>
    <w:rsid w:val="007E1917"/>
    <w:rsid w:val="007E1A18"/>
    <w:rsid w:val="007E1A60"/>
    <w:rsid w:val="007E1ADF"/>
    <w:rsid w:val="007E1B43"/>
    <w:rsid w:val="007E1B7A"/>
    <w:rsid w:val="007E1BF5"/>
    <w:rsid w:val="007E1C34"/>
    <w:rsid w:val="007E1C90"/>
    <w:rsid w:val="007E1C95"/>
    <w:rsid w:val="007E1CD0"/>
    <w:rsid w:val="007E1DBD"/>
    <w:rsid w:val="007E1E08"/>
    <w:rsid w:val="007E1EAF"/>
    <w:rsid w:val="007E1EEB"/>
    <w:rsid w:val="007E1F06"/>
    <w:rsid w:val="007E2096"/>
    <w:rsid w:val="007E210C"/>
    <w:rsid w:val="007E2291"/>
    <w:rsid w:val="007E234F"/>
    <w:rsid w:val="007E24D8"/>
    <w:rsid w:val="007E2796"/>
    <w:rsid w:val="007E2867"/>
    <w:rsid w:val="007E2984"/>
    <w:rsid w:val="007E2A51"/>
    <w:rsid w:val="007E2BC4"/>
    <w:rsid w:val="007E2D3E"/>
    <w:rsid w:val="007E2DCB"/>
    <w:rsid w:val="007E2E72"/>
    <w:rsid w:val="007E2EE8"/>
    <w:rsid w:val="007E305F"/>
    <w:rsid w:val="007E31BD"/>
    <w:rsid w:val="007E32C7"/>
    <w:rsid w:val="007E33A0"/>
    <w:rsid w:val="007E368E"/>
    <w:rsid w:val="007E36A6"/>
    <w:rsid w:val="007E36CE"/>
    <w:rsid w:val="007E3775"/>
    <w:rsid w:val="007E38A3"/>
    <w:rsid w:val="007E3C09"/>
    <w:rsid w:val="007E3D73"/>
    <w:rsid w:val="007E3DC6"/>
    <w:rsid w:val="007E3E21"/>
    <w:rsid w:val="007E3E8F"/>
    <w:rsid w:val="007E3F5F"/>
    <w:rsid w:val="007E40C4"/>
    <w:rsid w:val="007E419F"/>
    <w:rsid w:val="007E4295"/>
    <w:rsid w:val="007E43D2"/>
    <w:rsid w:val="007E480E"/>
    <w:rsid w:val="007E4896"/>
    <w:rsid w:val="007E4936"/>
    <w:rsid w:val="007E49A9"/>
    <w:rsid w:val="007E49FB"/>
    <w:rsid w:val="007E4BC2"/>
    <w:rsid w:val="007E4DFA"/>
    <w:rsid w:val="007E50AA"/>
    <w:rsid w:val="007E5105"/>
    <w:rsid w:val="007E51FA"/>
    <w:rsid w:val="007E5363"/>
    <w:rsid w:val="007E53BB"/>
    <w:rsid w:val="007E5422"/>
    <w:rsid w:val="007E5432"/>
    <w:rsid w:val="007E57E7"/>
    <w:rsid w:val="007E57F3"/>
    <w:rsid w:val="007E58A1"/>
    <w:rsid w:val="007E58C5"/>
    <w:rsid w:val="007E58E1"/>
    <w:rsid w:val="007E595A"/>
    <w:rsid w:val="007E5970"/>
    <w:rsid w:val="007E59D1"/>
    <w:rsid w:val="007E5AA3"/>
    <w:rsid w:val="007E5BFB"/>
    <w:rsid w:val="007E5EDB"/>
    <w:rsid w:val="007E6206"/>
    <w:rsid w:val="007E6252"/>
    <w:rsid w:val="007E6335"/>
    <w:rsid w:val="007E6374"/>
    <w:rsid w:val="007E6473"/>
    <w:rsid w:val="007E6548"/>
    <w:rsid w:val="007E6610"/>
    <w:rsid w:val="007E6646"/>
    <w:rsid w:val="007E66F5"/>
    <w:rsid w:val="007E66FC"/>
    <w:rsid w:val="007E6776"/>
    <w:rsid w:val="007E67C8"/>
    <w:rsid w:val="007E685D"/>
    <w:rsid w:val="007E6915"/>
    <w:rsid w:val="007E6986"/>
    <w:rsid w:val="007E6AD4"/>
    <w:rsid w:val="007E6B2C"/>
    <w:rsid w:val="007E6B86"/>
    <w:rsid w:val="007E6B99"/>
    <w:rsid w:val="007E6C5D"/>
    <w:rsid w:val="007E7056"/>
    <w:rsid w:val="007E7180"/>
    <w:rsid w:val="007E757E"/>
    <w:rsid w:val="007E7599"/>
    <w:rsid w:val="007E759C"/>
    <w:rsid w:val="007E772D"/>
    <w:rsid w:val="007E786E"/>
    <w:rsid w:val="007E78B3"/>
    <w:rsid w:val="007E7946"/>
    <w:rsid w:val="007E7AE8"/>
    <w:rsid w:val="007E7B08"/>
    <w:rsid w:val="007E7CEF"/>
    <w:rsid w:val="007E7CF1"/>
    <w:rsid w:val="007E7D19"/>
    <w:rsid w:val="007E7D1C"/>
    <w:rsid w:val="007E7F13"/>
    <w:rsid w:val="007E7F68"/>
    <w:rsid w:val="007E7F69"/>
    <w:rsid w:val="007F022F"/>
    <w:rsid w:val="007F02E1"/>
    <w:rsid w:val="007F0454"/>
    <w:rsid w:val="007F0537"/>
    <w:rsid w:val="007F0774"/>
    <w:rsid w:val="007F0878"/>
    <w:rsid w:val="007F0958"/>
    <w:rsid w:val="007F0A10"/>
    <w:rsid w:val="007F0AA0"/>
    <w:rsid w:val="007F0B83"/>
    <w:rsid w:val="007F0C32"/>
    <w:rsid w:val="007F0C57"/>
    <w:rsid w:val="007F0F5E"/>
    <w:rsid w:val="007F0FBA"/>
    <w:rsid w:val="007F1210"/>
    <w:rsid w:val="007F1359"/>
    <w:rsid w:val="007F13D8"/>
    <w:rsid w:val="007F1499"/>
    <w:rsid w:val="007F14C6"/>
    <w:rsid w:val="007F14EE"/>
    <w:rsid w:val="007F15F6"/>
    <w:rsid w:val="007F15FE"/>
    <w:rsid w:val="007F16B4"/>
    <w:rsid w:val="007F17CB"/>
    <w:rsid w:val="007F1819"/>
    <w:rsid w:val="007F1920"/>
    <w:rsid w:val="007F1BA9"/>
    <w:rsid w:val="007F1D25"/>
    <w:rsid w:val="007F1EFD"/>
    <w:rsid w:val="007F1F47"/>
    <w:rsid w:val="007F202B"/>
    <w:rsid w:val="007F2092"/>
    <w:rsid w:val="007F23F2"/>
    <w:rsid w:val="007F24E3"/>
    <w:rsid w:val="007F263C"/>
    <w:rsid w:val="007F265E"/>
    <w:rsid w:val="007F2688"/>
    <w:rsid w:val="007F27C2"/>
    <w:rsid w:val="007F28EE"/>
    <w:rsid w:val="007F2941"/>
    <w:rsid w:val="007F2C7D"/>
    <w:rsid w:val="007F2D78"/>
    <w:rsid w:val="007F2D8F"/>
    <w:rsid w:val="007F2E79"/>
    <w:rsid w:val="007F2F22"/>
    <w:rsid w:val="007F3052"/>
    <w:rsid w:val="007F3164"/>
    <w:rsid w:val="007F31BF"/>
    <w:rsid w:val="007F3371"/>
    <w:rsid w:val="007F3670"/>
    <w:rsid w:val="007F36AF"/>
    <w:rsid w:val="007F36F6"/>
    <w:rsid w:val="007F37AA"/>
    <w:rsid w:val="007F38FB"/>
    <w:rsid w:val="007F3903"/>
    <w:rsid w:val="007F39E2"/>
    <w:rsid w:val="007F3AB5"/>
    <w:rsid w:val="007F3B38"/>
    <w:rsid w:val="007F3B54"/>
    <w:rsid w:val="007F3B68"/>
    <w:rsid w:val="007F3B89"/>
    <w:rsid w:val="007F3BA7"/>
    <w:rsid w:val="007F3BD0"/>
    <w:rsid w:val="007F3C07"/>
    <w:rsid w:val="007F3D16"/>
    <w:rsid w:val="007F3DC7"/>
    <w:rsid w:val="007F40EC"/>
    <w:rsid w:val="007F42AB"/>
    <w:rsid w:val="007F432B"/>
    <w:rsid w:val="007F442E"/>
    <w:rsid w:val="007F450A"/>
    <w:rsid w:val="007F4510"/>
    <w:rsid w:val="007F458C"/>
    <w:rsid w:val="007F4638"/>
    <w:rsid w:val="007F4661"/>
    <w:rsid w:val="007F466C"/>
    <w:rsid w:val="007F46C4"/>
    <w:rsid w:val="007F46D7"/>
    <w:rsid w:val="007F4787"/>
    <w:rsid w:val="007F4865"/>
    <w:rsid w:val="007F4999"/>
    <w:rsid w:val="007F49D2"/>
    <w:rsid w:val="007F4B78"/>
    <w:rsid w:val="007F4E32"/>
    <w:rsid w:val="007F4E61"/>
    <w:rsid w:val="007F4F4B"/>
    <w:rsid w:val="007F518B"/>
    <w:rsid w:val="007F5379"/>
    <w:rsid w:val="007F53B8"/>
    <w:rsid w:val="007F545D"/>
    <w:rsid w:val="007F54FF"/>
    <w:rsid w:val="007F5552"/>
    <w:rsid w:val="007F5657"/>
    <w:rsid w:val="007F574A"/>
    <w:rsid w:val="007F58BA"/>
    <w:rsid w:val="007F59F7"/>
    <w:rsid w:val="007F5DB4"/>
    <w:rsid w:val="007F5E9E"/>
    <w:rsid w:val="007F626E"/>
    <w:rsid w:val="007F64B3"/>
    <w:rsid w:val="007F662F"/>
    <w:rsid w:val="007F66CD"/>
    <w:rsid w:val="007F6759"/>
    <w:rsid w:val="007F68C2"/>
    <w:rsid w:val="007F691D"/>
    <w:rsid w:val="007F697D"/>
    <w:rsid w:val="007F6995"/>
    <w:rsid w:val="007F69B7"/>
    <w:rsid w:val="007F6A38"/>
    <w:rsid w:val="007F6C11"/>
    <w:rsid w:val="007F6C4F"/>
    <w:rsid w:val="007F71CC"/>
    <w:rsid w:val="007F7311"/>
    <w:rsid w:val="007F75B6"/>
    <w:rsid w:val="007F76E3"/>
    <w:rsid w:val="007F77C2"/>
    <w:rsid w:val="007F784F"/>
    <w:rsid w:val="007F7867"/>
    <w:rsid w:val="007F795E"/>
    <w:rsid w:val="007F79C9"/>
    <w:rsid w:val="007F79DE"/>
    <w:rsid w:val="007F7C8B"/>
    <w:rsid w:val="007F7CA3"/>
    <w:rsid w:val="007F7E97"/>
    <w:rsid w:val="007F8C47"/>
    <w:rsid w:val="007FBA49"/>
    <w:rsid w:val="00800038"/>
    <w:rsid w:val="00800079"/>
    <w:rsid w:val="008002A6"/>
    <w:rsid w:val="008002BF"/>
    <w:rsid w:val="008003C7"/>
    <w:rsid w:val="0080042A"/>
    <w:rsid w:val="008004F3"/>
    <w:rsid w:val="00800564"/>
    <w:rsid w:val="00800656"/>
    <w:rsid w:val="00800695"/>
    <w:rsid w:val="00800793"/>
    <w:rsid w:val="00800AB1"/>
    <w:rsid w:val="00800C8B"/>
    <w:rsid w:val="00800E0D"/>
    <w:rsid w:val="00800EFE"/>
    <w:rsid w:val="00801067"/>
    <w:rsid w:val="0080116F"/>
    <w:rsid w:val="00801540"/>
    <w:rsid w:val="0080157D"/>
    <w:rsid w:val="008018AD"/>
    <w:rsid w:val="008018CA"/>
    <w:rsid w:val="00801974"/>
    <w:rsid w:val="00801A9E"/>
    <w:rsid w:val="00801CE6"/>
    <w:rsid w:val="00801D89"/>
    <w:rsid w:val="00801FC6"/>
    <w:rsid w:val="00802093"/>
    <w:rsid w:val="00802199"/>
    <w:rsid w:val="00802294"/>
    <w:rsid w:val="0080233A"/>
    <w:rsid w:val="008025FA"/>
    <w:rsid w:val="00802741"/>
    <w:rsid w:val="008028AC"/>
    <w:rsid w:val="008028CA"/>
    <w:rsid w:val="008028D5"/>
    <w:rsid w:val="00802951"/>
    <w:rsid w:val="008029FD"/>
    <w:rsid w:val="00802B90"/>
    <w:rsid w:val="00802CE6"/>
    <w:rsid w:val="00802F46"/>
    <w:rsid w:val="00803099"/>
    <w:rsid w:val="008030CB"/>
    <w:rsid w:val="00803154"/>
    <w:rsid w:val="008031B8"/>
    <w:rsid w:val="0080322D"/>
    <w:rsid w:val="00803256"/>
    <w:rsid w:val="008033EF"/>
    <w:rsid w:val="0080389F"/>
    <w:rsid w:val="00803AFE"/>
    <w:rsid w:val="00803C7F"/>
    <w:rsid w:val="00803CD8"/>
    <w:rsid w:val="00803DD5"/>
    <w:rsid w:val="00803F91"/>
    <w:rsid w:val="0080446F"/>
    <w:rsid w:val="0080447C"/>
    <w:rsid w:val="00804559"/>
    <w:rsid w:val="00804817"/>
    <w:rsid w:val="0080489A"/>
    <w:rsid w:val="00804B2E"/>
    <w:rsid w:val="00804BCE"/>
    <w:rsid w:val="00804CF9"/>
    <w:rsid w:val="00804D79"/>
    <w:rsid w:val="00804DE9"/>
    <w:rsid w:val="00805368"/>
    <w:rsid w:val="00805553"/>
    <w:rsid w:val="0080585F"/>
    <w:rsid w:val="00805975"/>
    <w:rsid w:val="00805AD0"/>
    <w:rsid w:val="00805AEA"/>
    <w:rsid w:val="00805AEE"/>
    <w:rsid w:val="00805B0A"/>
    <w:rsid w:val="00805B39"/>
    <w:rsid w:val="00805D83"/>
    <w:rsid w:val="00805DD5"/>
    <w:rsid w:val="00805E4B"/>
    <w:rsid w:val="00805E77"/>
    <w:rsid w:val="00805F3D"/>
    <w:rsid w:val="0080608A"/>
    <w:rsid w:val="0080618D"/>
    <w:rsid w:val="0080622D"/>
    <w:rsid w:val="0080622F"/>
    <w:rsid w:val="00806297"/>
    <w:rsid w:val="008062A0"/>
    <w:rsid w:val="008062D8"/>
    <w:rsid w:val="008062DD"/>
    <w:rsid w:val="0080668B"/>
    <w:rsid w:val="0080676A"/>
    <w:rsid w:val="008068CE"/>
    <w:rsid w:val="008068D2"/>
    <w:rsid w:val="00806BA4"/>
    <w:rsid w:val="00806BBA"/>
    <w:rsid w:val="00806BCF"/>
    <w:rsid w:val="00806C6D"/>
    <w:rsid w:val="00806CD0"/>
    <w:rsid w:val="00806E6E"/>
    <w:rsid w:val="00806E77"/>
    <w:rsid w:val="00806E97"/>
    <w:rsid w:val="00807051"/>
    <w:rsid w:val="00807072"/>
    <w:rsid w:val="0080735D"/>
    <w:rsid w:val="008073FB"/>
    <w:rsid w:val="00807458"/>
    <w:rsid w:val="008074C2"/>
    <w:rsid w:val="0080764B"/>
    <w:rsid w:val="00807754"/>
    <w:rsid w:val="00807822"/>
    <w:rsid w:val="00807AAE"/>
    <w:rsid w:val="00807AC6"/>
    <w:rsid w:val="00807AFC"/>
    <w:rsid w:val="00807BD0"/>
    <w:rsid w:val="00807C30"/>
    <w:rsid w:val="00807D86"/>
    <w:rsid w:val="00807E21"/>
    <w:rsid w:val="00807E47"/>
    <w:rsid w:val="00807FAA"/>
    <w:rsid w:val="008100EB"/>
    <w:rsid w:val="0081020E"/>
    <w:rsid w:val="00810379"/>
    <w:rsid w:val="00810564"/>
    <w:rsid w:val="0081058D"/>
    <w:rsid w:val="008105B5"/>
    <w:rsid w:val="008105D9"/>
    <w:rsid w:val="008105E3"/>
    <w:rsid w:val="00810721"/>
    <w:rsid w:val="0081085F"/>
    <w:rsid w:val="00810979"/>
    <w:rsid w:val="00810A6C"/>
    <w:rsid w:val="00810B4E"/>
    <w:rsid w:val="00810B83"/>
    <w:rsid w:val="00810CC7"/>
    <w:rsid w:val="00810D29"/>
    <w:rsid w:val="00810D76"/>
    <w:rsid w:val="00810E9F"/>
    <w:rsid w:val="008110B1"/>
    <w:rsid w:val="0081110C"/>
    <w:rsid w:val="008111EB"/>
    <w:rsid w:val="008112F9"/>
    <w:rsid w:val="0081131B"/>
    <w:rsid w:val="0081139F"/>
    <w:rsid w:val="00811406"/>
    <w:rsid w:val="008115BC"/>
    <w:rsid w:val="00811612"/>
    <w:rsid w:val="00811705"/>
    <w:rsid w:val="00811AFA"/>
    <w:rsid w:val="00811B86"/>
    <w:rsid w:val="00811BAE"/>
    <w:rsid w:val="00811C3B"/>
    <w:rsid w:val="00811CF8"/>
    <w:rsid w:val="00811CFF"/>
    <w:rsid w:val="008120AD"/>
    <w:rsid w:val="008120C5"/>
    <w:rsid w:val="008121B9"/>
    <w:rsid w:val="0081220A"/>
    <w:rsid w:val="0081225A"/>
    <w:rsid w:val="008123B8"/>
    <w:rsid w:val="0081268E"/>
    <w:rsid w:val="00812745"/>
    <w:rsid w:val="0081277F"/>
    <w:rsid w:val="008127B9"/>
    <w:rsid w:val="00812954"/>
    <w:rsid w:val="00812A87"/>
    <w:rsid w:val="00812A96"/>
    <w:rsid w:val="00812B8A"/>
    <w:rsid w:val="00812CA4"/>
    <w:rsid w:val="00812CD1"/>
    <w:rsid w:val="00812CE2"/>
    <w:rsid w:val="00812EA0"/>
    <w:rsid w:val="00813129"/>
    <w:rsid w:val="00813223"/>
    <w:rsid w:val="008132FF"/>
    <w:rsid w:val="008133B1"/>
    <w:rsid w:val="00813546"/>
    <w:rsid w:val="00813736"/>
    <w:rsid w:val="00813747"/>
    <w:rsid w:val="00813813"/>
    <w:rsid w:val="00813A0B"/>
    <w:rsid w:val="00813BDF"/>
    <w:rsid w:val="00813CC3"/>
    <w:rsid w:val="00813E15"/>
    <w:rsid w:val="00813F09"/>
    <w:rsid w:val="00813FAE"/>
    <w:rsid w:val="008140C5"/>
    <w:rsid w:val="0081418C"/>
    <w:rsid w:val="008142AD"/>
    <w:rsid w:val="008143E5"/>
    <w:rsid w:val="00814494"/>
    <w:rsid w:val="0081450E"/>
    <w:rsid w:val="00814556"/>
    <w:rsid w:val="0081469B"/>
    <w:rsid w:val="008146EC"/>
    <w:rsid w:val="008148C2"/>
    <w:rsid w:val="008148D8"/>
    <w:rsid w:val="008149BF"/>
    <w:rsid w:val="00814B6D"/>
    <w:rsid w:val="00814CAB"/>
    <w:rsid w:val="00814DE8"/>
    <w:rsid w:val="00814E43"/>
    <w:rsid w:val="00814FC3"/>
    <w:rsid w:val="008150E4"/>
    <w:rsid w:val="008151C1"/>
    <w:rsid w:val="00815258"/>
    <w:rsid w:val="00815333"/>
    <w:rsid w:val="00815438"/>
    <w:rsid w:val="008154DE"/>
    <w:rsid w:val="008156DC"/>
    <w:rsid w:val="0081570C"/>
    <w:rsid w:val="0081574A"/>
    <w:rsid w:val="00815B6B"/>
    <w:rsid w:val="00815B73"/>
    <w:rsid w:val="00815BF9"/>
    <w:rsid w:val="00815C70"/>
    <w:rsid w:val="00815DAF"/>
    <w:rsid w:val="00815DD6"/>
    <w:rsid w:val="00815DF6"/>
    <w:rsid w:val="00815E9A"/>
    <w:rsid w:val="00815F09"/>
    <w:rsid w:val="00815FD1"/>
    <w:rsid w:val="008160AC"/>
    <w:rsid w:val="00816326"/>
    <w:rsid w:val="008163E3"/>
    <w:rsid w:val="00816475"/>
    <w:rsid w:val="008165CB"/>
    <w:rsid w:val="0081662C"/>
    <w:rsid w:val="00816642"/>
    <w:rsid w:val="00816672"/>
    <w:rsid w:val="008167C0"/>
    <w:rsid w:val="008167D2"/>
    <w:rsid w:val="008167D6"/>
    <w:rsid w:val="00816A29"/>
    <w:rsid w:val="00816D5A"/>
    <w:rsid w:val="00816ECB"/>
    <w:rsid w:val="00816FA9"/>
    <w:rsid w:val="0081703E"/>
    <w:rsid w:val="008170C8"/>
    <w:rsid w:val="008171BF"/>
    <w:rsid w:val="00817275"/>
    <w:rsid w:val="00817491"/>
    <w:rsid w:val="008174F1"/>
    <w:rsid w:val="00817549"/>
    <w:rsid w:val="008175AC"/>
    <w:rsid w:val="00817630"/>
    <w:rsid w:val="00817670"/>
    <w:rsid w:val="008178D5"/>
    <w:rsid w:val="00817AB7"/>
    <w:rsid w:val="00817DF7"/>
    <w:rsid w:val="00817E57"/>
    <w:rsid w:val="0081B9A7"/>
    <w:rsid w:val="0082002E"/>
    <w:rsid w:val="00820123"/>
    <w:rsid w:val="008201F4"/>
    <w:rsid w:val="008204B0"/>
    <w:rsid w:val="0082057D"/>
    <w:rsid w:val="00820588"/>
    <w:rsid w:val="008205B0"/>
    <w:rsid w:val="008205D0"/>
    <w:rsid w:val="008206D0"/>
    <w:rsid w:val="0082070C"/>
    <w:rsid w:val="008209A1"/>
    <w:rsid w:val="008209D2"/>
    <w:rsid w:val="00820A5A"/>
    <w:rsid w:val="00820B64"/>
    <w:rsid w:val="00820BAC"/>
    <w:rsid w:val="00820C53"/>
    <w:rsid w:val="00820CA1"/>
    <w:rsid w:val="00820E3D"/>
    <w:rsid w:val="00820EE5"/>
    <w:rsid w:val="00821090"/>
    <w:rsid w:val="00821190"/>
    <w:rsid w:val="008212EF"/>
    <w:rsid w:val="008214E1"/>
    <w:rsid w:val="00821958"/>
    <w:rsid w:val="00821959"/>
    <w:rsid w:val="00821ACC"/>
    <w:rsid w:val="00821ACE"/>
    <w:rsid w:val="00821AE2"/>
    <w:rsid w:val="00821B9E"/>
    <w:rsid w:val="00821DA8"/>
    <w:rsid w:val="00821E64"/>
    <w:rsid w:val="0082201E"/>
    <w:rsid w:val="008220DA"/>
    <w:rsid w:val="008221DD"/>
    <w:rsid w:val="00822617"/>
    <w:rsid w:val="008226C4"/>
    <w:rsid w:val="0082279E"/>
    <w:rsid w:val="00822865"/>
    <w:rsid w:val="0082299F"/>
    <w:rsid w:val="00822A10"/>
    <w:rsid w:val="00822A44"/>
    <w:rsid w:val="00822A78"/>
    <w:rsid w:val="00822AD1"/>
    <w:rsid w:val="00822DD3"/>
    <w:rsid w:val="00822E41"/>
    <w:rsid w:val="00822EC1"/>
    <w:rsid w:val="00822F1E"/>
    <w:rsid w:val="0082303D"/>
    <w:rsid w:val="00823286"/>
    <w:rsid w:val="00823344"/>
    <w:rsid w:val="008233B0"/>
    <w:rsid w:val="0082342A"/>
    <w:rsid w:val="008234BD"/>
    <w:rsid w:val="008234DF"/>
    <w:rsid w:val="00823603"/>
    <w:rsid w:val="008236DE"/>
    <w:rsid w:val="008238E7"/>
    <w:rsid w:val="008238FD"/>
    <w:rsid w:val="00823C4D"/>
    <w:rsid w:val="00823D6C"/>
    <w:rsid w:val="00823FDB"/>
    <w:rsid w:val="00824093"/>
    <w:rsid w:val="00824192"/>
    <w:rsid w:val="00824240"/>
    <w:rsid w:val="008244CF"/>
    <w:rsid w:val="008246C4"/>
    <w:rsid w:val="00824741"/>
    <w:rsid w:val="00824764"/>
    <w:rsid w:val="0082482D"/>
    <w:rsid w:val="00824876"/>
    <w:rsid w:val="00824895"/>
    <w:rsid w:val="00824985"/>
    <w:rsid w:val="00824C71"/>
    <w:rsid w:val="00824CB2"/>
    <w:rsid w:val="00824D43"/>
    <w:rsid w:val="00824D55"/>
    <w:rsid w:val="00824F0C"/>
    <w:rsid w:val="008250A7"/>
    <w:rsid w:val="00825194"/>
    <w:rsid w:val="008251A0"/>
    <w:rsid w:val="00825215"/>
    <w:rsid w:val="008252C1"/>
    <w:rsid w:val="008252FA"/>
    <w:rsid w:val="008253B0"/>
    <w:rsid w:val="00825875"/>
    <w:rsid w:val="008258CC"/>
    <w:rsid w:val="00825A78"/>
    <w:rsid w:val="00825AC8"/>
    <w:rsid w:val="00825EDE"/>
    <w:rsid w:val="00826153"/>
    <w:rsid w:val="0082650A"/>
    <w:rsid w:val="0082656A"/>
    <w:rsid w:val="00826664"/>
    <w:rsid w:val="008266FE"/>
    <w:rsid w:val="008267E7"/>
    <w:rsid w:val="00826992"/>
    <w:rsid w:val="00826A47"/>
    <w:rsid w:val="00826A62"/>
    <w:rsid w:val="00826A6B"/>
    <w:rsid w:val="00826BC7"/>
    <w:rsid w:val="00826BF2"/>
    <w:rsid w:val="00826C4E"/>
    <w:rsid w:val="00826D1D"/>
    <w:rsid w:val="00826D5C"/>
    <w:rsid w:val="00826DD5"/>
    <w:rsid w:val="00826E8E"/>
    <w:rsid w:val="00826FB5"/>
    <w:rsid w:val="0082710E"/>
    <w:rsid w:val="00827364"/>
    <w:rsid w:val="008274B6"/>
    <w:rsid w:val="00827515"/>
    <w:rsid w:val="00827584"/>
    <w:rsid w:val="0082780D"/>
    <w:rsid w:val="008278E7"/>
    <w:rsid w:val="008278EE"/>
    <w:rsid w:val="0082795B"/>
    <w:rsid w:val="00827976"/>
    <w:rsid w:val="00827994"/>
    <w:rsid w:val="008279FE"/>
    <w:rsid w:val="00827BE3"/>
    <w:rsid w:val="00827FA7"/>
    <w:rsid w:val="00827FE9"/>
    <w:rsid w:val="00830083"/>
    <w:rsid w:val="00830197"/>
    <w:rsid w:val="00830284"/>
    <w:rsid w:val="008302F1"/>
    <w:rsid w:val="008303B9"/>
    <w:rsid w:val="008303DC"/>
    <w:rsid w:val="00830492"/>
    <w:rsid w:val="008304AA"/>
    <w:rsid w:val="00830549"/>
    <w:rsid w:val="008305BE"/>
    <w:rsid w:val="008305C3"/>
    <w:rsid w:val="008305F3"/>
    <w:rsid w:val="00830680"/>
    <w:rsid w:val="00830689"/>
    <w:rsid w:val="008306FC"/>
    <w:rsid w:val="0083095F"/>
    <w:rsid w:val="008309E0"/>
    <w:rsid w:val="00830A02"/>
    <w:rsid w:val="00830A28"/>
    <w:rsid w:val="00830A3E"/>
    <w:rsid w:val="00830A4A"/>
    <w:rsid w:val="00830D12"/>
    <w:rsid w:val="00830D19"/>
    <w:rsid w:val="00830E97"/>
    <w:rsid w:val="00830EC3"/>
    <w:rsid w:val="00831046"/>
    <w:rsid w:val="00831199"/>
    <w:rsid w:val="008311D7"/>
    <w:rsid w:val="00831375"/>
    <w:rsid w:val="008314C7"/>
    <w:rsid w:val="0083157D"/>
    <w:rsid w:val="008315BA"/>
    <w:rsid w:val="00831634"/>
    <w:rsid w:val="00831664"/>
    <w:rsid w:val="00831753"/>
    <w:rsid w:val="00831822"/>
    <w:rsid w:val="00831853"/>
    <w:rsid w:val="008319B7"/>
    <w:rsid w:val="00831A26"/>
    <w:rsid w:val="00831B07"/>
    <w:rsid w:val="00831B29"/>
    <w:rsid w:val="00831E4C"/>
    <w:rsid w:val="0083207D"/>
    <w:rsid w:val="008320D9"/>
    <w:rsid w:val="00832152"/>
    <w:rsid w:val="00832278"/>
    <w:rsid w:val="008322A6"/>
    <w:rsid w:val="00832310"/>
    <w:rsid w:val="008323B7"/>
    <w:rsid w:val="008323E9"/>
    <w:rsid w:val="008326C3"/>
    <w:rsid w:val="00832913"/>
    <w:rsid w:val="00832A8C"/>
    <w:rsid w:val="00832B68"/>
    <w:rsid w:val="00832E63"/>
    <w:rsid w:val="00832EE2"/>
    <w:rsid w:val="00833038"/>
    <w:rsid w:val="00833370"/>
    <w:rsid w:val="008333C6"/>
    <w:rsid w:val="00833419"/>
    <w:rsid w:val="00833498"/>
    <w:rsid w:val="008334E5"/>
    <w:rsid w:val="00833532"/>
    <w:rsid w:val="008336C0"/>
    <w:rsid w:val="008336FF"/>
    <w:rsid w:val="00833905"/>
    <w:rsid w:val="00833B49"/>
    <w:rsid w:val="00833BCB"/>
    <w:rsid w:val="0083405D"/>
    <w:rsid w:val="008342D0"/>
    <w:rsid w:val="008344C2"/>
    <w:rsid w:val="00834531"/>
    <w:rsid w:val="00834694"/>
    <w:rsid w:val="00834704"/>
    <w:rsid w:val="00834979"/>
    <w:rsid w:val="00834A8F"/>
    <w:rsid w:val="00834AEA"/>
    <w:rsid w:val="00834BB9"/>
    <w:rsid w:val="00834C1E"/>
    <w:rsid w:val="00834CC6"/>
    <w:rsid w:val="00834D25"/>
    <w:rsid w:val="00834D30"/>
    <w:rsid w:val="00835007"/>
    <w:rsid w:val="0083514F"/>
    <w:rsid w:val="008351A0"/>
    <w:rsid w:val="0083543C"/>
    <w:rsid w:val="0083549B"/>
    <w:rsid w:val="0083553D"/>
    <w:rsid w:val="0083564E"/>
    <w:rsid w:val="008357D9"/>
    <w:rsid w:val="00835858"/>
    <w:rsid w:val="00835899"/>
    <w:rsid w:val="00835920"/>
    <w:rsid w:val="0083593E"/>
    <w:rsid w:val="00835A84"/>
    <w:rsid w:val="00835B32"/>
    <w:rsid w:val="00835C57"/>
    <w:rsid w:val="00835E1D"/>
    <w:rsid w:val="00835F3C"/>
    <w:rsid w:val="00836000"/>
    <w:rsid w:val="00836065"/>
    <w:rsid w:val="0083607D"/>
    <w:rsid w:val="008360BC"/>
    <w:rsid w:val="0083622C"/>
    <w:rsid w:val="00836238"/>
    <w:rsid w:val="008363D8"/>
    <w:rsid w:val="00836529"/>
    <w:rsid w:val="008365B1"/>
    <w:rsid w:val="0083687E"/>
    <w:rsid w:val="00836928"/>
    <w:rsid w:val="00836D6E"/>
    <w:rsid w:val="0083720B"/>
    <w:rsid w:val="00837235"/>
    <w:rsid w:val="00837390"/>
    <w:rsid w:val="00837429"/>
    <w:rsid w:val="008375DE"/>
    <w:rsid w:val="0083770D"/>
    <w:rsid w:val="00837716"/>
    <w:rsid w:val="00837726"/>
    <w:rsid w:val="008378BE"/>
    <w:rsid w:val="00837A44"/>
    <w:rsid w:val="00837B87"/>
    <w:rsid w:val="00837BF2"/>
    <w:rsid w:val="00837D0D"/>
    <w:rsid w:val="00837DD2"/>
    <w:rsid w:val="00837ED4"/>
    <w:rsid w:val="00837FB4"/>
    <w:rsid w:val="00837FFE"/>
    <w:rsid w:val="008401DA"/>
    <w:rsid w:val="00840253"/>
    <w:rsid w:val="00840364"/>
    <w:rsid w:val="008403DE"/>
    <w:rsid w:val="0084059C"/>
    <w:rsid w:val="0084061D"/>
    <w:rsid w:val="00840622"/>
    <w:rsid w:val="008408C4"/>
    <w:rsid w:val="0084092F"/>
    <w:rsid w:val="00840C17"/>
    <w:rsid w:val="00840CD0"/>
    <w:rsid w:val="00840DC7"/>
    <w:rsid w:val="00840EC1"/>
    <w:rsid w:val="00840EDD"/>
    <w:rsid w:val="00840F3C"/>
    <w:rsid w:val="00840F98"/>
    <w:rsid w:val="0084100E"/>
    <w:rsid w:val="008410EE"/>
    <w:rsid w:val="0084132A"/>
    <w:rsid w:val="00841411"/>
    <w:rsid w:val="0084152B"/>
    <w:rsid w:val="008415E3"/>
    <w:rsid w:val="0084161D"/>
    <w:rsid w:val="008416FB"/>
    <w:rsid w:val="00841715"/>
    <w:rsid w:val="00841726"/>
    <w:rsid w:val="008417AB"/>
    <w:rsid w:val="00841ABC"/>
    <w:rsid w:val="00841C3E"/>
    <w:rsid w:val="00841C40"/>
    <w:rsid w:val="00841C76"/>
    <w:rsid w:val="00841CDC"/>
    <w:rsid w:val="00841D73"/>
    <w:rsid w:val="00841DE9"/>
    <w:rsid w:val="00841E95"/>
    <w:rsid w:val="00841F9D"/>
    <w:rsid w:val="00841FF5"/>
    <w:rsid w:val="00842035"/>
    <w:rsid w:val="00842069"/>
    <w:rsid w:val="008421C9"/>
    <w:rsid w:val="0084225E"/>
    <w:rsid w:val="00842291"/>
    <w:rsid w:val="0084241F"/>
    <w:rsid w:val="00842460"/>
    <w:rsid w:val="0084276D"/>
    <w:rsid w:val="00842789"/>
    <w:rsid w:val="008427F5"/>
    <w:rsid w:val="00842874"/>
    <w:rsid w:val="00842908"/>
    <w:rsid w:val="00842A1E"/>
    <w:rsid w:val="00842A77"/>
    <w:rsid w:val="00842D59"/>
    <w:rsid w:val="00842FC4"/>
    <w:rsid w:val="00843084"/>
    <w:rsid w:val="008433B9"/>
    <w:rsid w:val="0084347A"/>
    <w:rsid w:val="008434E4"/>
    <w:rsid w:val="00843771"/>
    <w:rsid w:val="0084382A"/>
    <w:rsid w:val="008438C7"/>
    <w:rsid w:val="00843CAD"/>
    <w:rsid w:val="00843D9C"/>
    <w:rsid w:val="00843ED9"/>
    <w:rsid w:val="00843F7D"/>
    <w:rsid w:val="00843FD6"/>
    <w:rsid w:val="0084402A"/>
    <w:rsid w:val="00844126"/>
    <w:rsid w:val="0084416C"/>
    <w:rsid w:val="00844198"/>
    <w:rsid w:val="0084434B"/>
    <w:rsid w:val="0084451A"/>
    <w:rsid w:val="00844856"/>
    <w:rsid w:val="008448DC"/>
    <w:rsid w:val="008448DD"/>
    <w:rsid w:val="0084497E"/>
    <w:rsid w:val="00844D72"/>
    <w:rsid w:val="00844E4B"/>
    <w:rsid w:val="008452AD"/>
    <w:rsid w:val="00845561"/>
    <w:rsid w:val="008456B3"/>
    <w:rsid w:val="0084570D"/>
    <w:rsid w:val="00845A52"/>
    <w:rsid w:val="00845B38"/>
    <w:rsid w:val="00845BA0"/>
    <w:rsid w:val="00845D88"/>
    <w:rsid w:val="00845E34"/>
    <w:rsid w:val="00845E69"/>
    <w:rsid w:val="00845EFA"/>
    <w:rsid w:val="00845FE5"/>
    <w:rsid w:val="00846254"/>
    <w:rsid w:val="008462FB"/>
    <w:rsid w:val="0084639C"/>
    <w:rsid w:val="008463B2"/>
    <w:rsid w:val="008463E7"/>
    <w:rsid w:val="008464E0"/>
    <w:rsid w:val="008464E4"/>
    <w:rsid w:val="0084673A"/>
    <w:rsid w:val="0084689F"/>
    <w:rsid w:val="00846AB5"/>
    <w:rsid w:val="00846F87"/>
    <w:rsid w:val="00847078"/>
    <w:rsid w:val="0084709D"/>
    <w:rsid w:val="00847179"/>
    <w:rsid w:val="00847183"/>
    <w:rsid w:val="00847231"/>
    <w:rsid w:val="008473C1"/>
    <w:rsid w:val="008473F4"/>
    <w:rsid w:val="00847550"/>
    <w:rsid w:val="00847590"/>
    <w:rsid w:val="00847626"/>
    <w:rsid w:val="008477C8"/>
    <w:rsid w:val="00847921"/>
    <w:rsid w:val="00847A44"/>
    <w:rsid w:val="00847A6D"/>
    <w:rsid w:val="00847B67"/>
    <w:rsid w:val="00847BFF"/>
    <w:rsid w:val="00847DB8"/>
    <w:rsid w:val="00847E9B"/>
    <w:rsid w:val="00847EFD"/>
    <w:rsid w:val="00847F3D"/>
    <w:rsid w:val="00847F56"/>
    <w:rsid w:val="00847FDD"/>
    <w:rsid w:val="0084F033"/>
    <w:rsid w:val="0085000C"/>
    <w:rsid w:val="0085008D"/>
    <w:rsid w:val="0085025D"/>
    <w:rsid w:val="00850272"/>
    <w:rsid w:val="00850301"/>
    <w:rsid w:val="00850357"/>
    <w:rsid w:val="008506E2"/>
    <w:rsid w:val="00850703"/>
    <w:rsid w:val="008507AA"/>
    <w:rsid w:val="008507BF"/>
    <w:rsid w:val="008507D3"/>
    <w:rsid w:val="008509D7"/>
    <w:rsid w:val="00850BA3"/>
    <w:rsid w:val="00850DE9"/>
    <w:rsid w:val="00850F4E"/>
    <w:rsid w:val="00850F52"/>
    <w:rsid w:val="00850F93"/>
    <w:rsid w:val="00850FCF"/>
    <w:rsid w:val="00851129"/>
    <w:rsid w:val="00851180"/>
    <w:rsid w:val="008511AE"/>
    <w:rsid w:val="008511BC"/>
    <w:rsid w:val="00851300"/>
    <w:rsid w:val="00851466"/>
    <w:rsid w:val="008515D8"/>
    <w:rsid w:val="008515E2"/>
    <w:rsid w:val="00851627"/>
    <w:rsid w:val="00851680"/>
    <w:rsid w:val="0085170F"/>
    <w:rsid w:val="0085177F"/>
    <w:rsid w:val="008517C9"/>
    <w:rsid w:val="00851836"/>
    <w:rsid w:val="008518A1"/>
    <w:rsid w:val="0085194F"/>
    <w:rsid w:val="008519DD"/>
    <w:rsid w:val="00851B15"/>
    <w:rsid w:val="00851C6A"/>
    <w:rsid w:val="00851C91"/>
    <w:rsid w:val="00851CB2"/>
    <w:rsid w:val="00851EBD"/>
    <w:rsid w:val="00852061"/>
    <w:rsid w:val="00852118"/>
    <w:rsid w:val="0085223D"/>
    <w:rsid w:val="008522DB"/>
    <w:rsid w:val="008523E2"/>
    <w:rsid w:val="0085267D"/>
    <w:rsid w:val="0085267F"/>
    <w:rsid w:val="0085272A"/>
    <w:rsid w:val="00852739"/>
    <w:rsid w:val="00852758"/>
    <w:rsid w:val="008527BF"/>
    <w:rsid w:val="008528E3"/>
    <w:rsid w:val="00852938"/>
    <w:rsid w:val="00852DB9"/>
    <w:rsid w:val="00852EB8"/>
    <w:rsid w:val="00852F22"/>
    <w:rsid w:val="008530EC"/>
    <w:rsid w:val="0085323C"/>
    <w:rsid w:val="008532A9"/>
    <w:rsid w:val="0085331D"/>
    <w:rsid w:val="00853355"/>
    <w:rsid w:val="008535A9"/>
    <w:rsid w:val="00853B1A"/>
    <w:rsid w:val="00853C6E"/>
    <w:rsid w:val="00853D42"/>
    <w:rsid w:val="00853ED1"/>
    <w:rsid w:val="0085411A"/>
    <w:rsid w:val="0085414A"/>
    <w:rsid w:val="00854210"/>
    <w:rsid w:val="00854269"/>
    <w:rsid w:val="00854331"/>
    <w:rsid w:val="0085443E"/>
    <w:rsid w:val="008545D9"/>
    <w:rsid w:val="00854641"/>
    <w:rsid w:val="008549A8"/>
    <w:rsid w:val="008549EC"/>
    <w:rsid w:val="00854BA2"/>
    <w:rsid w:val="00854C6C"/>
    <w:rsid w:val="00854D43"/>
    <w:rsid w:val="00854EF5"/>
    <w:rsid w:val="00854F3B"/>
    <w:rsid w:val="0085506F"/>
    <w:rsid w:val="008550A0"/>
    <w:rsid w:val="008550C5"/>
    <w:rsid w:val="0085514F"/>
    <w:rsid w:val="00855263"/>
    <w:rsid w:val="008552F5"/>
    <w:rsid w:val="008554A0"/>
    <w:rsid w:val="00855617"/>
    <w:rsid w:val="0085563A"/>
    <w:rsid w:val="0085567D"/>
    <w:rsid w:val="00855AF6"/>
    <w:rsid w:val="00855B68"/>
    <w:rsid w:val="00855C4F"/>
    <w:rsid w:val="00855CBF"/>
    <w:rsid w:val="008560F4"/>
    <w:rsid w:val="0085616F"/>
    <w:rsid w:val="008561E1"/>
    <w:rsid w:val="0085628F"/>
    <w:rsid w:val="008564A0"/>
    <w:rsid w:val="008564C7"/>
    <w:rsid w:val="00856509"/>
    <w:rsid w:val="00856646"/>
    <w:rsid w:val="008566C0"/>
    <w:rsid w:val="008566FC"/>
    <w:rsid w:val="00856960"/>
    <w:rsid w:val="00856962"/>
    <w:rsid w:val="00856C71"/>
    <w:rsid w:val="00856D83"/>
    <w:rsid w:val="00857046"/>
    <w:rsid w:val="008570EA"/>
    <w:rsid w:val="008570F8"/>
    <w:rsid w:val="00857170"/>
    <w:rsid w:val="00857194"/>
    <w:rsid w:val="0085734B"/>
    <w:rsid w:val="00857454"/>
    <w:rsid w:val="00857703"/>
    <w:rsid w:val="00857AED"/>
    <w:rsid w:val="00857D74"/>
    <w:rsid w:val="00857E16"/>
    <w:rsid w:val="00857F9D"/>
    <w:rsid w:val="00860017"/>
    <w:rsid w:val="00860039"/>
    <w:rsid w:val="00860054"/>
    <w:rsid w:val="008600A8"/>
    <w:rsid w:val="008602BC"/>
    <w:rsid w:val="00860386"/>
    <w:rsid w:val="0086046A"/>
    <w:rsid w:val="00860478"/>
    <w:rsid w:val="0086051D"/>
    <w:rsid w:val="00860562"/>
    <w:rsid w:val="00860627"/>
    <w:rsid w:val="008608E8"/>
    <w:rsid w:val="008609EC"/>
    <w:rsid w:val="00860BCA"/>
    <w:rsid w:val="00860C4D"/>
    <w:rsid w:val="00860F80"/>
    <w:rsid w:val="0086102E"/>
    <w:rsid w:val="008612EF"/>
    <w:rsid w:val="0086159F"/>
    <w:rsid w:val="008615FE"/>
    <w:rsid w:val="00861697"/>
    <w:rsid w:val="008617AD"/>
    <w:rsid w:val="008619D2"/>
    <w:rsid w:val="00861A74"/>
    <w:rsid w:val="00861BA4"/>
    <w:rsid w:val="00861C2B"/>
    <w:rsid w:val="00861D23"/>
    <w:rsid w:val="00861DD6"/>
    <w:rsid w:val="00861F14"/>
    <w:rsid w:val="0086242B"/>
    <w:rsid w:val="0086253F"/>
    <w:rsid w:val="00862555"/>
    <w:rsid w:val="008626DD"/>
    <w:rsid w:val="00862AC1"/>
    <w:rsid w:val="00862BE1"/>
    <w:rsid w:val="00862D19"/>
    <w:rsid w:val="00862D7F"/>
    <w:rsid w:val="00862F67"/>
    <w:rsid w:val="00862F7F"/>
    <w:rsid w:val="008631DC"/>
    <w:rsid w:val="0086338E"/>
    <w:rsid w:val="00863582"/>
    <w:rsid w:val="0086359E"/>
    <w:rsid w:val="008635E5"/>
    <w:rsid w:val="008636BC"/>
    <w:rsid w:val="00863A45"/>
    <w:rsid w:val="00863A9E"/>
    <w:rsid w:val="00863ABC"/>
    <w:rsid w:val="00863AF9"/>
    <w:rsid w:val="00863BA3"/>
    <w:rsid w:val="00863DC2"/>
    <w:rsid w:val="00863E0B"/>
    <w:rsid w:val="00863E74"/>
    <w:rsid w:val="00863F5C"/>
    <w:rsid w:val="00863FE9"/>
    <w:rsid w:val="00864006"/>
    <w:rsid w:val="0086426E"/>
    <w:rsid w:val="008642E4"/>
    <w:rsid w:val="008645FA"/>
    <w:rsid w:val="00864821"/>
    <w:rsid w:val="008648A4"/>
    <w:rsid w:val="00864A0E"/>
    <w:rsid w:val="00864B03"/>
    <w:rsid w:val="00864C0F"/>
    <w:rsid w:val="00864DB7"/>
    <w:rsid w:val="00864E88"/>
    <w:rsid w:val="00864F54"/>
    <w:rsid w:val="00865063"/>
    <w:rsid w:val="008650CC"/>
    <w:rsid w:val="008650E9"/>
    <w:rsid w:val="00865119"/>
    <w:rsid w:val="0086516C"/>
    <w:rsid w:val="00865234"/>
    <w:rsid w:val="0086537B"/>
    <w:rsid w:val="00865381"/>
    <w:rsid w:val="00865441"/>
    <w:rsid w:val="00865462"/>
    <w:rsid w:val="00865487"/>
    <w:rsid w:val="0086550E"/>
    <w:rsid w:val="008655EB"/>
    <w:rsid w:val="008656E0"/>
    <w:rsid w:val="008656F6"/>
    <w:rsid w:val="00865A3D"/>
    <w:rsid w:val="00865CC7"/>
    <w:rsid w:val="00865DBD"/>
    <w:rsid w:val="00865E01"/>
    <w:rsid w:val="00865E87"/>
    <w:rsid w:val="0086606B"/>
    <w:rsid w:val="008660BB"/>
    <w:rsid w:val="0086610B"/>
    <w:rsid w:val="00866135"/>
    <w:rsid w:val="008661D0"/>
    <w:rsid w:val="00866357"/>
    <w:rsid w:val="008664A5"/>
    <w:rsid w:val="0086655B"/>
    <w:rsid w:val="0086680B"/>
    <w:rsid w:val="008669AC"/>
    <w:rsid w:val="008669C3"/>
    <w:rsid w:val="00866D6F"/>
    <w:rsid w:val="00866E97"/>
    <w:rsid w:val="0086722D"/>
    <w:rsid w:val="0086725A"/>
    <w:rsid w:val="00867430"/>
    <w:rsid w:val="00867449"/>
    <w:rsid w:val="008674AC"/>
    <w:rsid w:val="00867924"/>
    <w:rsid w:val="00867AEB"/>
    <w:rsid w:val="00867B09"/>
    <w:rsid w:val="00867B3D"/>
    <w:rsid w:val="00867BB2"/>
    <w:rsid w:val="00867C1B"/>
    <w:rsid w:val="00867CDD"/>
    <w:rsid w:val="00867DDF"/>
    <w:rsid w:val="00867F12"/>
    <w:rsid w:val="00868611"/>
    <w:rsid w:val="008701C6"/>
    <w:rsid w:val="00870275"/>
    <w:rsid w:val="008703FA"/>
    <w:rsid w:val="008704DA"/>
    <w:rsid w:val="00870550"/>
    <w:rsid w:val="00870611"/>
    <w:rsid w:val="0087096A"/>
    <w:rsid w:val="00870991"/>
    <w:rsid w:val="00870BB3"/>
    <w:rsid w:val="00870EE3"/>
    <w:rsid w:val="00870F14"/>
    <w:rsid w:val="008711C1"/>
    <w:rsid w:val="008711CD"/>
    <w:rsid w:val="00871324"/>
    <w:rsid w:val="00871469"/>
    <w:rsid w:val="00871473"/>
    <w:rsid w:val="0087166D"/>
    <w:rsid w:val="00871680"/>
    <w:rsid w:val="00871815"/>
    <w:rsid w:val="00871865"/>
    <w:rsid w:val="0087198C"/>
    <w:rsid w:val="00871A52"/>
    <w:rsid w:val="00871B7A"/>
    <w:rsid w:val="00871C0A"/>
    <w:rsid w:val="00872039"/>
    <w:rsid w:val="0087213F"/>
    <w:rsid w:val="00872151"/>
    <w:rsid w:val="008721E5"/>
    <w:rsid w:val="008722CD"/>
    <w:rsid w:val="008722FB"/>
    <w:rsid w:val="00872393"/>
    <w:rsid w:val="00872473"/>
    <w:rsid w:val="0087258A"/>
    <w:rsid w:val="00872921"/>
    <w:rsid w:val="008729DA"/>
    <w:rsid w:val="00872A8F"/>
    <w:rsid w:val="00872ADA"/>
    <w:rsid w:val="00872AE7"/>
    <w:rsid w:val="00872B91"/>
    <w:rsid w:val="00872C0B"/>
    <w:rsid w:val="00872D6E"/>
    <w:rsid w:val="00872DA3"/>
    <w:rsid w:val="00872DC9"/>
    <w:rsid w:val="00872E4B"/>
    <w:rsid w:val="00872EDD"/>
    <w:rsid w:val="00873037"/>
    <w:rsid w:val="00873139"/>
    <w:rsid w:val="008731FC"/>
    <w:rsid w:val="0087322A"/>
    <w:rsid w:val="0087323A"/>
    <w:rsid w:val="00873276"/>
    <w:rsid w:val="00873279"/>
    <w:rsid w:val="00873318"/>
    <w:rsid w:val="0087344F"/>
    <w:rsid w:val="00873474"/>
    <w:rsid w:val="008734D1"/>
    <w:rsid w:val="00873616"/>
    <w:rsid w:val="00873648"/>
    <w:rsid w:val="00873685"/>
    <w:rsid w:val="008736A2"/>
    <w:rsid w:val="00873708"/>
    <w:rsid w:val="0087370F"/>
    <w:rsid w:val="008738F6"/>
    <w:rsid w:val="008739C7"/>
    <w:rsid w:val="00873A6A"/>
    <w:rsid w:val="00873B15"/>
    <w:rsid w:val="00873E33"/>
    <w:rsid w:val="00873E85"/>
    <w:rsid w:val="00873FBA"/>
    <w:rsid w:val="00873FFF"/>
    <w:rsid w:val="00874021"/>
    <w:rsid w:val="00874087"/>
    <w:rsid w:val="008740B7"/>
    <w:rsid w:val="00874116"/>
    <w:rsid w:val="0087412C"/>
    <w:rsid w:val="00874237"/>
    <w:rsid w:val="0087425D"/>
    <w:rsid w:val="00874372"/>
    <w:rsid w:val="008743C5"/>
    <w:rsid w:val="00874430"/>
    <w:rsid w:val="00874483"/>
    <w:rsid w:val="008745AF"/>
    <w:rsid w:val="008746AA"/>
    <w:rsid w:val="008746FD"/>
    <w:rsid w:val="00874724"/>
    <w:rsid w:val="00874737"/>
    <w:rsid w:val="0087482F"/>
    <w:rsid w:val="00874AE7"/>
    <w:rsid w:val="00874BCD"/>
    <w:rsid w:val="00874CBC"/>
    <w:rsid w:val="00874E55"/>
    <w:rsid w:val="00874E6C"/>
    <w:rsid w:val="008752CF"/>
    <w:rsid w:val="0087533C"/>
    <w:rsid w:val="0087544B"/>
    <w:rsid w:val="00875594"/>
    <w:rsid w:val="008756CF"/>
    <w:rsid w:val="0087570A"/>
    <w:rsid w:val="0087572D"/>
    <w:rsid w:val="008757DB"/>
    <w:rsid w:val="00875848"/>
    <w:rsid w:val="008758C7"/>
    <w:rsid w:val="008758FF"/>
    <w:rsid w:val="00875A72"/>
    <w:rsid w:val="00875C69"/>
    <w:rsid w:val="00875CED"/>
    <w:rsid w:val="00875D2F"/>
    <w:rsid w:val="00875DDE"/>
    <w:rsid w:val="00875F46"/>
    <w:rsid w:val="008760E2"/>
    <w:rsid w:val="0087624B"/>
    <w:rsid w:val="008763BF"/>
    <w:rsid w:val="00876433"/>
    <w:rsid w:val="00876447"/>
    <w:rsid w:val="00876498"/>
    <w:rsid w:val="00876803"/>
    <w:rsid w:val="00876834"/>
    <w:rsid w:val="00876989"/>
    <w:rsid w:val="008769FB"/>
    <w:rsid w:val="00876A92"/>
    <w:rsid w:val="00876CB2"/>
    <w:rsid w:val="00876D36"/>
    <w:rsid w:val="00876E44"/>
    <w:rsid w:val="00876EC2"/>
    <w:rsid w:val="00876F23"/>
    <w:rsid w:val="00876FAB"/>
    <w:rsid w:val="0087704E"/>
    <w:rsid w:val="008770E0"/>
    <w:rsid w:val="00877231"/>
    <w:rsid w:val="0087723F"/>
    <w:rsid w:val="0087728A"/>
    <w:rsid w:val="008772A0"/>
    <w:rsid w:val="008772D5"/>
    <w:rsid w:val="008772E2"/>
    <w:rsid w:val="0087733C"/>
    <w:rsid w:val="008773AD"/>
    <w:rsid w:val="008773B9"/>
    <w:rsid w:val="008774C6"/>
    <w:rsid w:val="008778E2"/>
    <w:rsid w:val="00877A78"/>
    <w:rsid w:val="00877AAA"/>
    <w:rsid w:val="00877D6A"/>
    <w:rsid w:val="00877F07"/>
    <w:rsid w:val="0088000F"/>
    <w:rsid w:val="00880253"/>
    <w:rsid w:val="0088027F"/>
    <w:rsid w:val="00880375"/>
    <w:rsid w:val="0088043E"/>
    <w:rsid w:val="00880469"/>
    <w:rsid w:val="0088060D"/>
    <w:rsid w:val="00880A3F"/>
    <w:rsid w:val="00880A5A"/>
    <w:rsid w:val="00880CA4"/>
    <w:rsid w:val="00880CC4"/>
    <w:rsid w:val="00880CE0"/>
    <w:rsid w:val="00880F99"/>
    <w:rsid w:val="008811BF"/>
    <w:rsid w:val="00881298"/>
    <w:rsid w:val="0088129C"/>
    <w:rsid w:val="008812B9"/>
    <w:rsid w:val="00881418"/>
    <w:rsid w:val="00881490"/>
    <w:rsid w:val="008815C9"/>
    <w:rsid w:val="008815D4"/>
    <w:rsid w:val="00881662"/>
    <w:rsid w:val="00881701"/>
    <w:rsid w:val="0088177B"/>
    <w:rsid w:val="008817C7"/>
    <w:rsid w:val="0088183C"/>
    <w:rsid w:val="00881AAF"/>
    <w:rsid w:val="00881D5B"/>
    <w:rsid w:val="00881E98"/>
    <w:rsid w:val="00881EAE"/>
    <w:rsid w:val="00881F8E"/>
    <w:rsid w:val="00881FD7"/>
    <w:rsid w:val="00882042"/>
    <w:rsid w:val="008821BB"/>
    <w:rsid w:val="00882349"/>
    <w:rsid w:val="008824DD"/>
    <w:rsid w:val="00882579"/>
    <w:rsid w:val="008829A9"/>
    <w:rsid w:val="00882BE9"/>
    <w:rsid w:val="00882D81"/>
    <w:rsid w:val="00882DE0"/>
    <w:rsid w:val="00882E1F"/>
    <w:rsid w:val="00882EDA"/>
    <w:rsid w:val="00883011"/>
    <w:rsid w:val="00883197"/>
    <w:rsid w:val="008832B9"/>
    <w:rsid w:val="008833B0"/>
    <w:rsid w:val="008833C0"/>
    <w:rsid w:val="00883462"/>
    <w:rsid w:val="00883471"/>
    <w:rsid w:val="00883528"/>
    <w:rsid w:val="008838FB"/>
    <w:rsid w:val="00883C8A"/>
    <w:rsid w:val="00883D42"/>
    <w:rsid w:val="00883E87"/>
    <w:rsid w:val="00883F09"/>
    <w:rsid w:val="00883F4B"/>
    <w:rsid w:val="00883F81"/>
    <w:rsid w:val="00884038"/>
    <w:rsid w:val="0088413A"/>
    <w:rsid w:val="008841BE"/>
    <w:rsid w:val="0088434D"/>
    <w:rsid w:val="00884399"/>
    <w:rsid w:val="0088440D"/>
    <w:rsid w:val="00884414"/>
    <w:rsid w:val="00884542"/>
    <w:rsid w:val="0088458E"/>
    <w:rsid w:val="008846C1"/>
    <w:rsid w:val="00884724"/>
    <w:rsid w:val="0088483D"/>
    <w:rsid w:val="008849FD"/>
    <w:rsid w:val="00884A2E"/>
    <w:rsid w:val="00884BDD"/>
    <w:rsid w:val="00884C4F"/>
    <w:rsid w:val="00884DB9"/>
    <w:rsid w:val="00884E62"/>
    <w:rsid w:val="00885115"/>
    <w:rsid w:val="008852B1"/>
    <w:rsid w:val="0088531D"/>
    <w:rsid w:val="00885337"/>
    <w:rsid w:val="00885393"/>
    <w:rsid w:val="00885584"/>
    <w:rsid w:val="0088565D"/>
    <w:rsid w:val="00885CC9"/>
    <w:rsid w:val="00885FBA"/>
    <w:rsid w:val="00886018"/>
    <w:rsid w:val="0088608E"/>
    <w:rsid w:val="0088616A"/>
    <w:rsid w:val="008861B1"/>
    <w:rsid w:val="00886221"/>
    <w:rsid w:val="008863B4"/>
    <w:rsid w:val="0088652B"/>
    <w:rsid w:val="008865FE"/>
    <w:rsid w:val="0088661D"/>
    <w:rsid w:val="008866D0"/>
    <w:rsid w:val="0088683E"/>
    <w:rsid w:val="0088687C"/>
    <w:rsid w:val="00886884"/>
    <w:rsid w:val="0088689C"/>
    <w:rsid w:val="008868A3"/>
    <w:rsid w:val="008869D5"/>
    <w:rsid w:val="00886A8D"/>
    <w:rsid w:val="00886C91"/>
    <w:rsid w:val="00886D8C"/>
    <w:rsid w:val="00886E35"/>
    <w:rsid w:val="00886EC7"/>
    <w:rsid w:val="00886F31"/>
    <w:rsid w:val="0088711B"/>
    <w:rsid w:val="0088711E"/>
    <w:rsid w:val="00887163"/>
    <w:rsid w:val="0088721F"/>
    <w:rsid w:val="008872A2"/>
    <w:rsid w:val="00887545"/>
    <w:rsid w:val="00887651"/>
    <w:rsid w:val="0088786C"/>
    <w:rsid w:val="0088787B"/>
    <w:rsid w:val="00887888"/>
    <w:rsid w:val="0088791A"/>
    <w:rsid w:val="00887990"/>
    <w:rsid w:val="008879CE"/>
    <w:rsid w:val="00887AB0"/>
    <w:rsid w:val="00887AB8"/>
    <w:rsid w:val="00887B76"/>
    <w:rsid w:val="00887C0F"/>
    <w:rsid w:val="00887C7D"/>
    <w:rsid w:val="00887C91"/>
    <w:rsid w:val="00887F41"/>
    <w:rsid w:val="00890053"/>
    <w:rsid w:val="0089010B"/>
    <w:rsid w:val="008901EE"/>
    <w:rsid w:val="0089022D"/>
    <w:rsid w:val="008902A6"/>
    <w:rsid w:val="008902D9"/>
    <w:rsid w:val="00890356"/>
    <w:rsid w:val="008904DF"/>
    <w:rsid w:val="008905F7"/>
    <w:rsid w:val="00890646"/>
    <w:rsid w:val="0089065A"/>
    <w:rsid w:val="008906B1"/>
    <w:rsid w:val="00890795"/>
    <w:rsid w:val="0089083B"/>
    <w:rsid w:val="008909C7"/>
    <w:rsid w:val="00890B64"/>
    <w:rsid w:val="00890B71"/>
    <w:rsid w:val="00890B7B"/>
    <w:rsid w:val="00890BDF"/>
    <w:rsid w:val="00890C36"/>
    <w:rsid w:val="00890D84"/>
    <w:rsid w:val="00890E65"/>
    <w:rsid w:val="00890EB0"/>
    <w:rsid w:val="0089106D"/>
    <w:rsid w:val="00891089"/>
    <w:rsid w:val="0089123B"/>
    <w:rsid w:val="008913B7"/>
    <w:rsid w:val="008913FE"/>
    <w:rsid w:val="00891494"/>
    <w:rsid w:val="00891729"/>
    <w:rsid w:val="008917D3"/>
    <w:rsid w:val="008919BC"/>
    <w:rsid w:val="00891B87"/>
    <w:rsid w:val="00891C81"/>
    <w:rsid w:val="00891D6A"/>
    <w:rsid w:val="00892128"/>
    <w:rsid w:val="00892245"/>
    <w:rsid w:val="008922CA"/>
    <w:rsid w:val="0089233B"/>
    <w:rsid w:val="0089234C"/>
    <w:rsid w:val="00892381"/>
    <w:rsid w:val="008925B5"/>
    <w:rsid w:val="0089277A"/>
    <w:rsid w:val="00892784"/>
    <w:rsid w:val="00892895"/>
    <w:rsid w:val="008928DB"/>
    <w:rsid w:val="00892A11"/>
    <w:rsid w:val="00892AB6"/>
    <w:rsid w:val="00892BA2"/>
    <w:rsid w:val="00892C2D"/>
    <w:rsid w:val="00892C5E"/>
    <w:rsid w:val="00892CC7"/>
    <w:rsid w:val="00892D6F"/>
    <w:rsid w:val="00892DA8"/>
    <w:rsid w:val="00892ED3"/>
    <w:rsid w:val="00892F6A"/>
    <w:rsid w:val="00892F8B"/>
    <w:rsid w:val="00893133"/>
    <w:rsid w:val="0089333E"/>
    <w:rsid w:val="0089343A"/>
    <w:rsid w:val="008934F5"/>
    <w:rsid w:val="00893803"/>
    <w:rsid w:val="00893843"/>
    <w:rsid w:val="008939A4"/>
    <w:rsid w:val="00893D8F"/>
    <w:rsid w:val="00893F92"/>
    <w:rsid w:val="00893F93"/>
    <w:rsid w:val="00893FBC"/>
    <w:rsid w:val="0089420B"/>
    <w:rsid w:val="008942BE"/>
    <w:rsid w:val="00894311"/>
    <w:rsid w:val="008943B3"/>
    <w:rsid w:val="00894410"/>
    <w:rsid w:val="0089461F"/>
    <w:rsid w:val="008946FD"/>
    <w:rsid w:val="0089480F"/>
    <w:rsid w:val="008948EC"/>
    <w:rsid w:val="00894A91"/>
    <w:rsid w:val="00894B12"/>
    <w:rsid w:val="00894D4D"/>
    <w:rsid w:val="00894E65"/>
    <w:rsid w:val="00894F5B"/>
    <w:rsid w:val="0089508B"/>
    <w:rsid w:val="0089509F"/>
    <w:rsid w:val="0089516C"/>
    <w:rsid w:val="0089534B"/>
    <w:rsid w:val="00895360"/>
    <w:rsid w:val="008953CB"/>
    <w:rsid w:val="008953CC"/>
    <w:rsid w:val="00895452"/>
    <w:rsid w:val="008954CC"/>
    <w:rsid w:val="00895784"/>
    <w:rsid w:val="0089590A"/>
    <w:rsid w:val="00895953"/>
    <w:rsid w:val="00895B64"/>
    <w:rsid w:val="00895C72"/>
    <w:rsid w:val="00895CDD"/>
    <w:rsid w:val="00895E34"/>
    <w:rsid w:val="0089600C"/>
    <w:rsid w:val="008961C7"/>
    <w:rsid w:val="008961DC"/>
    <w:rsid w:val="0089626E"/>
    <w:rsid w:val="008962F2"/>
    <w:rsid w:val="008963B7"/>
    <w:rsid w:val="0089663C"/>
    <w:rsid w:val="008966A1"/>
    <w:rsid w:val="00896940"/>
    <w:rsid w:val="00896B88"/>
    <w:rsid w:val="00896D9A"/>
    <w:rsid w:val="00896E0B"/>
    <w:rsid w:val="00896EAF"/>
    <w:rsid w:val="00896F35"/>
    <w:rsid w:val="00896FE6"/>
    <w:rsid w:val="00896FF3"/>
    <w:rsid w:val="0089720F"/>
    <w:rsid w:val="00897263"/>
    <w:rsid w:val="008972C9"/>
    <w:rsid w:val="008973DB"/>
    <w:rsid w:val="0089750A"/>
    <w:rsid w:val="008977B5"/>
    <w:rsid w:val="0089780E"/>
    <w:rsid w:val="008978E4"/>
    <w:rsid w:val="008979AB"/>
    <w:rsid w:val="00897A26"/>
    <w:rsid w:val="00897BBC"/>
    <w:rsid w:val="00897E46"/>
    <w:rsid w:val="00897F52"/>
    <w:rsid w:val="0089B415"/>
    <w:rsid w:val="008A0260"/>
    <w:rsid w:val="008A026E"/>
    <w:rsid w:val="008A044E"/>
    <w:rsid w:val="008A04D3"/>
    <w:rsid w:val="008A04EC"/>
    <w:rsid w:val="008A05AF"/>
    <w:rsid w:val="008A0863"/>
    <w:rsid w:val="008A08A5"/>
    <w:rsid w:val="008A08B4"/>
    <w:rsid w:val="008A097E"/>
    <w:rsid w:val="008A09E9"/>
    <w:rsid w:val="008A0A5A"/>
    <w:rsid w:val="008A0AA6"/>
    <w:rsid w:val="008A0B27"/>
    <w:rsid w:val="008A0C04"/>
    <w:rsid w:val="008A0CA2"/>
    <w:rsid w:val="008A0CE0"/>
    <w:rsid w:val="008A0DA3"/>
    <w:rsid w:val="008A0FC2"/>
    <w:rsid w:val="008A1084"/>
    <w:rsid w:val="008A1151"/>
    <w:rsid w:val="008A1221"/>
    <w:rsid w:val="008A124D"/>
    <w:rsid w:val="008A1388"/>
    <w:rsid w:val="008A1454"/>
    <w:rsid w:val="008A1781"/>
    <w:rsid w:val="008A191B"/>
    <w:rsid w:val="008A19D7"/>
    <w:rsid w:val="008A19DF"/>
    <w:rsid w:val="008A1C57"/>
    <w:rsid w:val="008A1C7A"/>
    <w:rsid w:val="008A1CB2"/>
    <w:rsid w:val="008A1CBB"/>
    <w:rsid w:val="008A1EC5"/>
    <w:rsid w:val="008A1F57"/>
    <w:rsid w:val="008A22BF"/>
    <w:rsid w:val="008A2334"/>
    <w:rsid w:val="008A2344"/>
    <w:rsid w:val="008A23A4"/>
    <w:rsid w:val="008A24E9"/>
    <w:rsid w:val="008A257A"/>
    <w:rsid w:val="008A25E7"/>
    <w:rsid w:val="008A260F"/>
    <w:rsid w:val="008A263D"/>
    <w:rsid w:val="008A26F1"/>
    <w:rsid w:val="008A27D5"/>
    <w:rsid w:val="008A2911"/>
    <w:rsid w:val="008A2946"/>
    <w:rsid w:val="008A295B"/>
    <w:rsid w:val="008A2C87"/>
    <w:rsid w:val="008A2DD6"/>
    <w:rsid w:val="008A2EA0"/>
    <w:rsid w:val="008A2FD7"/>
    <w:rsid w:val="008A313A"/>
    <w:rsid w:val="008A31B2"/>
    <w:rsid w:val="008A329F"/>
    <w:rsid w:val="008A32CF"/>
    <w:rsid w:val="008A3374"/>
    <w:rsid w:val="008A3430"/>
    <w:rsid w:val="008A34E0"/>
    <w:rsid w:val="008A3771"/>
    <w:rsid w:val="008A37E7"/>
    <w:rsid w:val="008A394E"/>
    <w:rsid w:val="008A39CA"/>
    <w:rsid w:val="008A3B10"/>
    <w:rsid w:val="008A3B1B"/>
    <w:rsid w:val="008A3D5C"/>
    <w:rsid w:val="008A3E93"/>
    <w:rsid w:val="008A4016"/>
    <w:rsid w:val="008A40FE"/>
    <w:rsid w:val="008A4214"/>
    <w:rsid w:val="008A422E"/>
    <w:rsid w:val="008A45A2"/>
    <w:rsid w:val="008A45AD"/>
    <w:rsid w:val="008A4680"/>
    <w:rsid w:val="008A4717"/>
    <w:rsid w:val="008A4866"/>
    <w:rsid w:val="008A487C"/>
    <w:rsid w:val="008A48EF"/>
    <w:rsid w:val="008A4A75"/>
    <w:rsid w:val="008A4BBB"/>
    <w:rsid w:val="008A4BF6"/>
    <w:rsid w:val="008A4DF3"/>
    <w:rsid w:val="008A4FE1"/>
    <w:rsid w:val="008A50EA"/>
    <w:rsid w:val="008A52C3"/>
    <w:rsid w:val="008A5362"/>
    <w:rsid w:val="008A5398"/>
    <w:rsid w:val="008A53B2"/>
    <w:rsid w:val="008A54F0"/>
    <w:rsid w:val="008A5684"/>
    <w:rsid w:val="008A56B1"/>
    <w:rsid w:val="008A5806"/>
    <w:rsid w:val="008A59EF"/>
    <w:rsid w:val="008A5BB8"/>
    <w:rsid w:val="008A5C8D"/>
    <w:rsid w:val="008A605D"/>
    <w:rsid w:val="008A618C"/>
    <w:rsid w:val="008A621D"/>
    <w:rsid w:val="008A6261"/>
    <w:rsid w:val="008A63B7"/>
    <w:rsid w:val="008A6734"/>
    <w:rsid w:val="008A674C"/>
    <w:rsid w:val="008A69E1"/>
    <w:rsid w:val="008A6A16"/>
    <w:rsid w:val="008A6B44"/>
    <w:rsid w:val="008A6B76"/>
    <w:rsid w:val="008A6BCF"/>
    <w:rsid w:val="008A6CEB"/>
    <w:rsid w:val="008A6D7E"/>
    <w:rsid w:val="008A6E14"/>
    <w:rsid w:val="008A6E37"/>
    <w:rsid w:val="008A6ECA"/>
    <w:rsid w:val="008A708E"/>
    <w:rsid w:val="008A70BC"/>
    <w:rsid w:val="008A70D1"/>
    <w:rsid w:val="008A70F0"/>
    <w:rsid w:val="008A7432"/>
    <w:rsid w:val="008A7461"/>
    <w:rsid w:val="008A756D"/>
    <w:rsid w:val="008A758B"/>
    <w:rsid w:val="008A7697"/>
    <w:rsid w:val="008A77F2"/>
    <w:rsid w:val="008A781B"/>
    <w:rsid w:val="008A79E0"/>
    <w:rsid w:val="008A79F4"/>
    <w:rsid w:val="008A7A09"/>
    <w:rsid w:val="008A7AAA"/>
    <w:rsid w:val="008A7AFE"/>
    <w:rsid w:val="008A7C09"/>
    <w:rsid w:val="008A7FB0"/>
    <w:rsid w:val="008B00B3"/>
    <w:rsid w:val="008B00C6"/>
    <w:rsid w:val="008B017D"/>
    <w:rsid w:val="008B02F9"/>
    <w:rsid w:val="008B03E6"/>
    <w:rsid w:val="008B0604"/>
    <w:rsid w:val="008B0609"/>
    <w:rsid w:val="008B0645"/>
    <w:rsid w:val="008B072F"/>
    <w:rsid w:val="008B0869"/>
    <w:rsid w:val="008B089E"/>
    <w:rsid w:val="008B09D6"/>
    <w:rsid w:val="008B0B26"/>
    <w:rsid w:val="008B1019"/>
    <w:rsid w:val="008B10A2"/>
    <w:rsid w:val="008B1202"/>
    <w:rsid w:val="008B1225"/>
    <w:rsid w:val="008B141A"/>
    <w:rsid w:val="008B141C"/>
    <w:rsid w:val="008B1553"/>
    <w:rsid w:val="008B1634"/>
    <w:rsid w:val="008B1704"/>
    <w:rsid w:val="008B171B"/>
    <w:rsid w:val="008B176A"/>
    <w:rsid w:val="008B183A"/>
    <w:rsid w:val="008B19A1"/>
    <w:rsid w:val="008B1C48"/>
    <w:rsid w:val="008B1CBA"/>
    <w:rsid w:val="008B1D15"/>
    <w:rsid w:val="008B20DC"/>
    <w:rsid w:val="008B21EB"/>
    <w:rsid w:val="008B22F8"/>
    <w:rsid w:val="008B241D"/>
    <w:rsid w:val="008B24A3"/>
    <w:rsid w:val="008B24D6"/>
    <w:rsid w:val="008B2635"/>
    <w:rsid w:val="008B277A"/>
    <w:rsid w:val="008B2A43"/>
    <w:rsid w:val="008B2D5A"/>
    <w:rsid w:val="008B2DF2"/>
    <w:rsid w:val="008B2E4D"/>
    <w:rsid w:val="008B2ECF"/>
    <w:rsid w:val="008B2ED6"/>
    <w:rsid w:val="008B2FA6"/>
    <w:rsid w:val="008B31C2"/>
    <w:rsid w:val="008B3256"/>
    <w:rsid w:val="008B325C"/>
    <w:rsid w:val="008B327F"/>
    <w:rsid w:val="008B33A0"/>
    <w:rsid w:val="008B3736"/>
    <w:rsid w:val="008B3834"/>
    <w:rsid w:val="008B38A7"/>
    <w:rsid w:val="008B3A53"/>
    <w:rsid w:val="008B3A6E"/>
    <w:rsid w:val="008B3A93"/>
    <w:rsid w:val="008B3AE3"/>
    <w:rsid w:val="008B3AFE"/>
    <w:rsid w:val="008B3B50"/>
    <w:rsid w:val="008B3C02"/>
    <w:rsid w:val="008B3C96"/>
    <w:rsid w:val="008B3CEE"/>
    <w:rsid w:val="008B3DEC"/>
    <w:rsid w:val="008B3E42"/>
    <w:rsid w:val="008B3EFE"/>
    <w:rsid w:val="008B42AF"/>
    <w:rsid w:val="008B42CA"/>
    <w:rsid w:val="008B43C5"/>
    <w:rsid w:val="008B4463"/>
    <w:rsid w:val="008B45BB"/>
    <w:rsid w:val="008B4709"/>
    <w:rsid w:val="008B488B"/>
    <w:rsid w:val="008B48D7"/>
    <w:rsid w:val="008B49F0"/>
    <w:rsid w:val="008B4A67"/>
    <w:rsid w:val="008B4A8C"/>
    <w:rsid w:val="008B4B1A"/>
    <w:rsid w:val="008B4B2B"/>
    <w:rsid w:val="008B4C68"/>
    <w:rsid w:val="008B4E06"/>
    <w:rsid w:val="008B4E10"/>
    <w:rsid w:val="008B4F06"/>
    <w:rsid w:val="008B4F52"/>
    <w:rsid w:val="008B5031"/>
    <w:rsid w:val="008B5052"/>
    <w:rsid w:val="008B5144"/>
    <w:rsid w:val="008B51FE"/>
    <w:rsid w:val="008B5258"/>
    <w:rsid w:val="008B5267"/>
    <w:rsid w:val="008B5405"/>
    <w:rsid w:val="008B554E"/>
    <w:rsid w:val="008B561C"/>
    <w:rsid w:val="008B56FB"/>
    <w:rsid w:val="008B584F"/>
    <w:rsid w:val="008B5940"/>
    <w:rsid w:val="008B5991"/>
    <w:rsid w:val="008B59A6"/>
    <w:rsid w:val="008B5AC9"/>
    <w:rsid w:val="008B5BFB"/>
    <w:rsid w:val="008B5C30"/>
    <w:rsid w:val="008B5C86"/>
    <w:rsid w:val="008B5D56"/>
    <w:rsid w:val="008B5DE5"/>
    <w:rsid w:val="008B5FA3"/>
    <w:rsid w:val="008B613E"/>
    <w:rsid w:val="008B61BF"/>
    <w:rsid w:val="008B62E1"/>
    <w:rsid w:val="008B63B2"/>
    <w:rsid w:val="008B665D"/>
    <w:rsid w:val="008B668C"/>
    <w:rsid w:val="008B66DC"/>
    <w:rsid w:val="008B6832"/>
    <w:rsid w:val="008B6857"/>
    <w:rsid w:val="008B6A11"/>
    <w:rsid w:val="008B6A69"/>
    <w:rsid w:val="008B6AC3"/>
    <w:rsid w:val="008B6BE7"/>
    <w:rsid w:val="008B6D21"/>
    <w:rsid w:val="008B6DA6"/>
    <w:rsid w:val="008B7001"/>
    <w:rsid w:val="008B704E"/>
    <w:rsid w:val="008B71C4"/>
    <w:rsid w:val="008B71FD"/>
    <w:rsid w:val="008B72E2"/>
    <w:rsid w:val="008B743D"/>
    <w:rsid w:val="008B7457"/>
    <w:rsid w:val="008B768C"/>
    <w:rsid w:val="008B77BF"/>
    <w:rsid w:val="008B789F"/>
    <w:rsid w:val="008B79FF"/>
    <w:rsid w:val="008B7AE3"/>
    <w:rsid w:val="008B7D86"/>
    <w:rsid w:val="008B7F37"/>
    <w:rsid w:val="008C00E2"/>
    <w:rsid w:val="008C01F6"/>
    <w:rsid w:val="008C0283"/>
    <w:rsid w:val="008C05F6"/>
    <w:rsid w:val="008C0695"/>
    <w:rsid w:val="008C0717"/>
    <w:rsid w:val="008C07F7"/>
    <w:rsid w:val="008C092A"/>
    <w:rsid w:val="008C09FC"/>
    <w:rsid w:val="008C0AAD"/>
    <w:rsid w:val="008C0B04"/>
    <w:rsid w:val="008C0B25"/>
    <w:rsid w:val="008C0B46"/>
    <w:rsid w:val="008C0BFC"/>
    <w:rsid w:val="008C0CFE"/>
    <w:rsid w:val="008C0E41"/>
    <w:rsid w:val="008C0E4D"/>
    <w:rsid w:val="008C0FA3"/>
    <w:rsid w:val="008C0FFC"/>
    <w:rsid w:val="008C116B"/>
    <w:rsid w:val="008C121A"/>
    <w:rsid w:val="008C124D"/>
    <w:rsid w:val="008C1328"/>
    <w:rsid w:val="008C14E4"/>
    <w:rsid w:val="008C1857"/>
    <w:rsid w:val="008C19AE"/>
    <w:rsid w:val="008C1A73"/>
    <w:rsid w:val="008C1B3A"/>
    <w:rsid w:val="008C1D08"/>
    <w:rsid w:val="008C1D25"/>
    <w:rsid w:val="008C1D6D"/>
    <w:rsid w:val="008C1DF9"/>
    <w:rsid w:val="008C1F43"/>
    <w:rsid w:val="008C1FBB"/>
    <w:rsid w:val="008C1FCA"/>
    <w:rsid w:val="008C2035"/>
    <w:rsid w:val="008C216C"/>
    <w:rsid w:val="008C223B"/>
    <w:rsid w:val="008C227B"/>
    <w:rsid w:val="008C27B1"/>
    <w:rsid w:val="008C2906"/>
    <w:rsid w:val="008C2963"/>
    <w:rsid w:val="008C296A"/>
    <w:rsid w:val="008C29BD"/>
    <w:rsid w:val="008C29CF"/>
    <w:rsid w:val="008C2A26"/>
    <w:rsid w:val="008C2A49"/>
    <w:rsid w:val="008C2AA4"/>
    <w:rsid w:val="008C2AF1"/>
    <w:rsid w:val="008C2B88"/>
    <w:rsid w:val="008C2BF2"/>
    <w:rsid w:val="008C2D0F"/>
    <w:rsid w:val="008C2DE4"/>
    <w:rsid w:val="008C2F1E"/>
    <w:rsid w:val="008C2F2B"/>
    <w:rsid w:val="008C2FB7"/>
    <w:rsid w:val="008C3100"/>
    <w:rsid w:val="008C3118"/>
    <w:rsid w:val="008C3161"/>
    <w:rsid w:val="008C31C2"/>
    <w:rsid w:val="008C32AC"/>
    <w:rsid w:val="008C32C4"/>
    <w:rsid w:val="008C3524"/>
    <w:rsid w:val="008C354D"/>
    <w:rsid w:val="008C38C9"/>
    <w:rsid w:val="008C3988"/>
    <w:rsid w:val="008C3B0B"/>
    <w:rsid w:val="008C3B67"/>
    <w:rsid w:val="008C3BAB"/>
    <w:rsid w:val="008C3D90"/>
    <w:rsid w:val="008C3E0D"/>
    <w:rsid w:val="008C3F8B"/>
    <w:rsid w:val="008C3F93"/>
    <w:rsid w:val="008C3FA7"/>
    <w:rsid w:val="008C4150"/>
    <w:rsid w:val="008C41B4"/>
    <w:rsid w:val="008C42BB"/>
    <w:rsid w:val="008C460E"/>
    <w:rsid w:val="008C4680"/>
    <w:rsid w:val="008C4858"/>
    <w:rsid w:val="008C4876"/>
    <w:rsid w:val="008C4ADB"/>
    <w:rsid w:val="008C4B70"/>
    <w:rsid w:val="008C4C07"/>
    <w:rsid w:val="008C4CF8"/>
    <w:rsid w:val="008C4E17"/>
    <w:rsid w:val="008C4F43"/>
    <w:rsid w:val="008C50D6"/>
    <w:rsid w:val="008C50EE"/>
    <w:rsid w:val="008C5166"/>
    <w:rsid w:val="008C51E6"/>
    <w:rsid w:val="008C52FF"/>
    <w:rsid w:val="008C53E1"/>
    <w:rsid w:val="008C55BC"/>
    <w:rsid w:val="008C5610"/>
    <w:rsid w:val="008C5619"/>
    <w:rsid w:val="008C5697"/>
    <w:rsid w:val="008C56A8"/>
    <w:rsid w:val="008C5832"/>
    <w:rsid w:val="008C5B22"/>
    <w:rsid w:val="008C5BA6"/>
    <w:rsid w:val="008C5C36"/>
    <w:rsid w:val="008C5CFF"/>
    <w:rsid w:val="008C5E24"/>
    <w:rsid w:val="008C5E4F"/>
    <w:rsid w:val="008C5F4A"/>
    <w:rsid w:val="008C6183"/>
    <w:rsid w:val="008C61CB"/>
    <w:rsid w:val="008C6254"/>
    <w:rsid w:val="008C62A1"/>
    <w:rsid w:val="008C64E3"/>
    <w:rsid w:val="008C6624"/>
    <w:rsid w:val="008C6726"/>
    <w:rsid w:val="008C674A"/>
    <w:rsid w:val="008C6896"/>
    <w:rsid w:val="008C6AD6"/>
    <w:rsid w:val="008C6B43"/>
    <w:rsid w:val="008C6BCE"/>
    <w:rsid w:val="008C6C2C"/>
    <w:rsid w:val="008C6C9A"/>
    <w:rsid w:val="008C6D07"/>
    <w:rsid w:val="008C6DA5"/>
    <w:rsid w:val="008C6DC4"/>
    <w:rsid w:val="008C6E11"/>
    <w:rsid w:val="008C6EA4"/>
    <w:rsid w:val="008C6F4B"/>
    <w:rsid w:val="008C6FD4"/>
    <w:rsid w:val="008C7039"/>
    <w:rsid w:val="008C7060"/>
    <w:rsid w:val="008C725A"/>
    <w:rsid w:val="008C7315"/>
    <w:rsid w:val="008C7361"/>
    <w:rsid w:val="008C73F6"/>
    <w:rsid w:val="008C74D6"/>
    <w:rsid w:val="008C753E"/>
    <w:rsid w:val="008C761F"/>
    <w:rsid w:val="008C7751"/>
    <w:rsid w:val="008C7835"/>
    <w:rsid w:val="008C7881"/>
    <w:rsid w:val="008C7992"/>
    <w:rsid w:val="008C7A07"/>
    <w:rsid w:val="008C7AFA"/>
    <w:rsid w:val="008C7CDE"/>
    <w:rsid w:val="008C7E03"/>
    <w:rsid w:val="008C7E40"/>
    <w:rsid w:val="008C7E68"/>
    <w:rsid w:val="008C7F2D"/>
    <w:rsid w:val="008C7FA1"/>
    <w:rsid w:val="008D00C8"/>
    <w:rsid w:val="008D00CF"/>
    <w:rsid w:val="008D02BA"/>
    <w:rsid w:val="008D038F"/>
    <w:rsid w:val="008D04FF"/>
    <w:rsid w:val="008D0642"/>
    <w:rsid w:val="008D064C"/>
    <w:rsid w:val="008D0733"/>
    <w:rsid w:val="008D0903"/>
    <w:rsid w:val="008D09B2"/>
    <w:rsid w:val="008D0B50"/>
    <w:rsid w:val="008D0D9A"/>
    <w:rsid w:val="008D0E94"/>
    <w:rsid w:val="008D0F8F"/>
    <w:rsid w:val="008D0FAC"/>
    <w:rsid w:val="008D1315"/>
    <w:rsid w:val="008D1327"/>
    <w:rsid w:val="008D1355"/>
    <w:rsid w:val="008D135D"/>
    <w:rsid w:val="008D13BA"/>
    <w:rsid w:val="008D1632"/>
    <w:rsid w:val="008D1726"/>
    <w:rsid w:val="008D17E2"/>
    <w:rsid w:val="008D18D2"/>
    <w:rsid w:val="008D191E"/>
    <w:rsid w:val="008D19CD"/>
    <w:rsid w:val="008D1A95"/>
    <w:rsid w:val="008D1B24"/>
    <w:rsid w:val="008D1C1C"/>
    <w:rsid w:val="008D1C82"/>
    <w:rsid w:val="008D1DB7"/>
    <w:rsid w:val="008D1DFE"/>
    <w:rsid w:val="008D1E37"/>
    <w:rsid w:val="008D1E85"/>
    <w:rsid w:val="008D1F53"/>
    <w:rsid w:val="008D1F63"/>
    <w:rsid w:val="008D20B9"/>
    <w:rsid w:val="008D2479"/>
    <w:rsid w:val="008D24E3"/>
    <w:rsid w:val="008D255C"/>
    <w:rsid w:val="008D26B6"/>
    <w:rsid w:val="008D26FC"/>
    <w:rsid w:val="008D27FE"/>
    <w:rsid w:val="008D293F"/>
    <w:rsid w:val="008D2AD8"/>
    <w:rsid w:val="008D2C1A"/>
    <w:rsid w:val="008D2DB4"/>
    <w:rsid w:val="008D2E35"/>
    <w:rsid w:val="008D2ECB"/>
    <w:rsid w:val="008D2FF1"/>
    <w:rsid w:val="008D333F"/>
    <w:rsid w:val="008D3370"/>
    <w:rsid w:val="008D3449"/>
    <w:rsid w:val="008D35D3"/>
    <w:rsid w:val="008D36CE"/>
    <w:rsid w:val="008D374C"/>
    <w:rsid w:val="008D375E"/>
    <w:rsid w:val="008D3770"/>
    <w:rsid w:val="008D3AD1"/>
    <w:rsid w:val="008D3C28"/>
    <w:rsid w:val="008D3C8B"/>
    <w:rsid w:val="008D3CA3"/>
    <w:rsid w:val="008D3E9C"/>
    <w:rsid w:val="008D3EB4"/>
    <w:rsid w:val="008D4111"/>
    <w:rsid w:val="008D4228"/>
    <w:rsid w:val="008D4338"/>
    <w:rsid w:val="008D4408"/>
    <w:rsid w:val="008D4422"/>
    <w:rsid w:val="008D4569"/>
    <w:rsid w:val="008D45FA"/>
    <w:rsid w:val="008D4625"/>
    <w:rsid w:val="008D48B1"/>
    <w:rsid w:val="008D4941"/>
    <w:rsid w:val="008D497B"/>
    <w:rsid w:val="008D49EF"/>
    <w:rsid w:val="008D4BD4"/>
    <w:rsid w:val="008D4C2E"/>
    <w:rsid w:val="008D4E1B"/>
    <w:rsid w:val="008D5103"/>
    <w:rsid w:val="008D5107"/>
    <w:rsid w:val="008D525F"/>
    <w:rsid w:val="008D535D"/>
    <w:rsid w:val="008D56A5"/>
    <w:rsid w:val="008D5760"/>
    <w:rsid w:val="008D59B3"/>
    <w:rsid w:val="008D5AF3"/>
    <w:rsid w:val="008D5B3B"/>
    <w:rsid w:val="008D5D03"/>
    <w:rsid w:val="008D5DC0"/>
    <w:rsid w:val="008D5F59"/>
    <w:rsid w:val="008D616F"/>
    <w:rsid w:val="008D61C1"/>
    <w:rsid w:val="008D61F0"/>
    <w:rsid w:val="008D6291"/>
    <w:rsid w:val="008D648C"/>
    <w:rsid w:val="008D65D9"/>
    <w:rsid w:val="008D65EF"/>
    <w:rsid w:val="008D6855"/>
    <w:rsid w:val="008D68C7"/>
    <w:rsid w:val="008D6A9C"/>
    <w:rsid w:val="008D6BF7"/>
    <w:rsid w:val="008D6C38"/>
    <w:rsid w:val="008D6CE2"/>
    <w:rsid w:val="008D6EC9"/>
    <w:rsid w:val="008D6EEE"/>
    <w:rsid w:val="008D6F15"/>
    <w:rsid w:val="008D7017"/>
    <w:rsid w:val="008D7285"/>
    <w:rsid w:val="008D728D"/>
    <w:rsid w:val="008D73AD"/>
    <w:rsid w:val="008D74C7"/>
    <w:rsid w:val="008D7773"/>
    <w:rsid w:val="008D77E7"/>
    <w:rsid w:val="008D78B9"/>
    <w:rsid w:val="008D7900"/>
    <w:rsid w:val="008D7973"/>
    <w:rsid w:val="008D79C5"/>
    <w:rsid w:val="008D7B4D"/>
    <w:rsid w:val="008D7C2F"/>
    <w:rsid w:val="008D7DDA"/>
    <w:rsid w:val="008D7EE6"/>
    <w:rsid w:val="008E003C"/>
    <w:rsid w:val="008E00DC"/>
    <w:rsid w:val="008E011A"/>
    <w:rsid w:val="008E015B"/>
    <w:rsid w:val="008E0240"/>
    <w:rsid w:val="008E0504"/>
    <w:rsid w:val="008E05D4"/>
    <w:rsid w:val="008E0692"/>
    <w:rsid w:val="008E0969"/>
    <w:rsid w:val="008E09E9"/>
    <w:rsid w:val="008E0C1B"/>
    <w:rsid w:val="008E0CC7"/>
    <w:rsid w:val="008E0E98"/>
    <w:rsid w:val="008E0EA4"/>
    <w:rsid w:val="008E0FC5"/>
    <w:rsid w:val="008E11B1"/>
    <w:rsid w:val="008E120E"/>
    <w:rsid w:val="008E1274"/>
    <w:rsid w:val="008E148D"/>
    <w:rsid w:val="008E16F6"/>
    <w:rsid w:val="008E1A4C"/>
    <w:rsid w:val="008E1A5D"/>
    <w:rsid w:val="008E1B4C"/>
    <w:rsid w:val="008E1C11"/>
    <w:rsid w:val="008E1CA1"/>
    <w:rsid w:val="008E1D19"/>
    <w:rsid w:val="008E1E0B"/>
    <w:rsid w:val="008E2325"/>
    <w:rsid w:val="008E236C"/>
    <w:rsid w:val="008E249D"/>
    <w:rsid w:val="008E255A"/>
    <w:rsid w:val="008E25E3"/>
    <w:rsid w:val="008E2646"/>
    <w:rsid w:val="008E2913"/>
    <w:rsid w:val="008E29A0"/>
    <w:rsid w:val="008E2BA4"/>
    <w:rsid w:val="008E2BE3"/>
    <w:rsid w:val="008E2BF8"/>
    <w:rsid w:val="008E2D61"/>
    <w:rsid w:val="008E2DBB"/>
    <w:rsid w:val="008E2DBC"/>
    <w:rsid w:val="008E2DC9"/>
    <w:rsid w:val="008E2E19"/>
    <w:rsid w:val="008E2EC5"/>
    <w:rsid w:val="008E2F74"/>
    <w:rsid w:val="008E2FBF"/>
    <w:rsid w:val="008E2FF1"/>
    <w:rsid w:val="008E3248"/>
    <w:rsid w:val="008E329A"/>
    <w:rsid w:val="008E3631"/>
    <w:rsid w:val="008E3635"/>
    <w:rsid w:val="008E3677"/>
    <w:rsid w:val="008E37BA"/>
    <w:rsid w:val="008E3C33"/>
    <w:rsid w:val="008E3D30"/>
    <w:rsid w:val="008E3DF1"/>
    <w:rsid w:val="008E3E1E"/>
    <w:rsid w:val="008E41CA"/>
    <w:rsid w:val="008E434A"/>
    <w:rsid w:val="008E43AF"/>
    <w:rsid w:val="008E44FC"/>
    <w:rsid w:val="008E4688"/>
    <w:rsid w:val="008E46B5"/>
    <w:rsid w:val="008E470B"/>
    <w:rsid w:val="008E4740"/>
    <w:rsid w:val="008E4761"/>
    <w:rsid w:val="008E47B8"/>
    <w:rsid w:val="008E4981"/>
    <w:rsid w:val="008E49AB"/>
    <w:rsid w:val="008E4A86"/>
    <w:rsid w:val="008E4CB8"/>
    <w:rsid w:val="008E4CF7"/>
    <w:rsid w:val="008E4E17"/>
    <w:rsid w:val="008E4EF6"/>
    <w:rsid w:val="008E4F0F"/>
    <w:rsid w:val="008E4F22"/>
    <w:rsid w:val="008E5074"/>
    <w:rsid w:val="008E5085"/>
    <w:rsid w:val="008E528C"/>
    <w:rsid w:val="008E5542"/>
    <w:rsid w:val="008E57DF"/>
    <w:rsid w:val="008E58D8"/>
    <w:rsid w:val="008E5B2A"/>
    <w:rsid w:val="008E5B73"/>
    <w:rsid w:val="008E5BA3"/>
    <w:rsid w:val="008E5BA5"/>
    <w:rsid w:val="008E5BCC"/>
    <w:rsid w:val="008E5C07"/>
    <w:rsid w:val="008E5CFC"/>
    <w:rsid w:val="008E5DFD"/>
    <w:rsid w:val="008E5EA4"/>
    <w:rsid w:val="008E5FB3"/>
    <w:rsid w:val="008E61B0"/>
    <w:rsid w:val="008E62FA"/>
    <w:rsid w:val="008E6318"/>
    <w:rsid w:val="008E63E4"/>
    <w:rsid w:val="008E65D9"/>
    <w:rsid w:val="008E664E"/>
    <w:rsid w:val="008E66F2"/>
    <w:rsid w:val="008E672B"/>
    <w:rsid w:val="008E678F"/>
    <w:rsid w:val="008E67D2"/>
    <w:rsid w:val="008E6820"/>
    <w:rsid w:val="008E6874"/>
    <w:rsid w:val="008E69BD"/>
    <w:rsid w:val="008E6BBF"/>
    <w:rsid w:val="008E6BF4"/>
    <w:rsid w:val="008E6E83"/>
    <w:rsid w:val="008E7086"/>
    <w:rsid w:val="008E708D"/>
    <w:rsid w:val="008E70DB"/>
    <w:rsid w:val="008E7111"/>
    <w:rsid w:val="008E73BE"/>
    <w:rsid w:val="008E740F"/>
    <w:rsid w:val="008E7447"/>
    <w:rsid w:val="008E7471"/>
    <w:rsid w:val="008E75A2"/>
    <w:rsid w:val="008E78EA"/>
    <w:rsid w:val="008E791D"/>
    <w:rsid w:val="008E7A47"/>
    <w:rsid w:val="008E7B69"/>
    <w:rsid w:val="008E7C38"/>
    <w:rsid w:val="008E7DBD"/>
    <w:rsid w:val="008E7ED6"/>
    <w:rsid w:val="008E7F21"/>
    <w:rsid w:val="008E7F50"/>
    <w:rsid w:val="008F00EE"/>
    <w:rsid w:val="008F016B"/>
    <w:rsid w:val="008F01DE"/>
    <w:rsid w:val="008F01ED"/>
    <w:rsid w:val="008F0200"/>
    <w:rsid w:val="008F03F6"/>
    <w:rsid w:val="008F0400"/>
    <w:rsid w:val="008F0877"/>
    <w:rsid w:val="008F090D"/>
    <w:rsid w:val="008F096E"/>
    <w:rsid w:val="008F097B"/>
    <w:rsid w:val="008F0A11"/>
    <w:rsid w:val="008F0B38"/>
    <w:rsid w:val="008F0B52"/>
    <w:rsid w:val="008F0C6F"/>
    <w:rsid w:val="008F0C73"/>
    <w:rsid w:val="008F0CCE"/>
    <w:rsid w:val="008F0CFC"/>
    <w:rsid w:val="008F0D17"/>
    <w:rsid w:val="008F0DB5"/>
    <w:rsid w:val="008F0E8E"/>
    <w:rsid w:val="008F103A"/>
    <w:rsid w:val="008F10D9"/>
    <w:rsid w:val="008F111F"/>
    <w:rsid w:val="008F11F2"/>
    <w:rsid w:val="008F12B0"/>
    <w:rsid w:val="008F12C8"/>
    <w:rsid w:val="008F1349"/>
    <w:rsid w:val="008F13A3"/>
    <w:rsid w:val="008F15C9"/>
    <w:rsid w:val="008F18EF"/>
    <w:rsid w:val="008F1959"/>
    <w:rsid w:val="008F1A00"/>
    <w:rsid w:val="008F1C9B"/>
    <w:rsid w:val="008F1E03"/>
    <w:rsid w:val="008F1E44"/>
    <w:rsid w:val="008F1EA6"/>
    <w:rsid w:val="008F1F83"/>
    <w:rsid w:val="008F21F4"/>
    <w:rsid w:val="008F2274"/>
    <w:rsid w:val="008F22D1"/>
    <w:rsid w:val="008F2346"/>
    <w:rsid w:val="008F251F"/>
    <w:rsid w:val="008F2731"/>
    <w:rsid w:val="008F273D"/>
    <w:rsid w:val="008F2957"/>
    <w:rsid w:val="008F295C"/>
    <w:rsid w:val="008F2984"/>
    <w:rsid w:val="008F2AF1"/>
    <w:rsid w:val="008F2CB3"/>
    <w:rsid w:val="008F2CD8"/>
    <w:rsid w:val="008F2DE4"/>
    <w:rsid w:val="008F2EA4"/>
    <w:rsid w:val="008F2F33"/>
    <w:rsid w:val="008F31DD"/>
    <w:rsid w:val="008F320F"/>
    <w:rsid w:val="008F326D"/>
    <w:rsid w:val="008F3279"/>
    <w:rsid w:val="008F334E"/>
    <w:rsid w:val="008F33E1"/>
    <w:rsid w:val="008F34E3"/>
    <w:rsid w:val="008F351E"/>
    <w:rsid w:val="008F3695"/>
    <w:rsid w:val="008F3899"/>
    <w:rsid w:val="008F39C2"/>
    <w:rsid w:val="008F39DF"/>
    <w:rsid w:val="008F3DA8"/>
    <w:rsid w:val="008F3EB7"/>
    <w:rsid w:val="008F4018"/>
    <w:rsid w:val="008F4044"/>
    <w:rsid w:val="008F40E5"/>
    <w:rsid w:val="008F420D"/>
    <w:rsid w:val="008F42B0"/>
    <w:rsid w:val="008F4440"/>
    <w:rsid w:val="008F44B6"/>
    <w:rsid w:val="008F4575"/>
    <w:rsid w:val="008F45FA"/>
    <w:rsid w:val="008F46D7"/>
    <w:rsid w:val="008F47C1"/>
    <w:rsid w:val="008F4863"/>
    <w:rsid w:val="008F4911"/>
    <w:rsid w:val="008F49A8"/>
    <w:rsid w:val="008F4A1C"/>
    <w:rsid w:val="008F4A45"/>
    <w:rsid w:val="008F4A6C"/>
    <w:rsid w:val="008F4AA3"/>
    <w:rsid w:val="008F4BCA"/>
    <w:rsid w:val="008F4DEA"/>
    <w:rsid w:val="008F4F80"/>
    <w:rsid w:val="008F5004"/>
    <w:rsid w:val="008F5068"/>
    <w:rsid w:val="008F547B"/>
    <w:rsid w:val="008F5533"/>
    <w:rsid w:val="008F5556"/>
    <w:rsid w:val="008F5846"/>
    <w:rsid w:val="008F5899"/>
    <w:rsid w:val="008F58CC"/>
    <w:rsid w:val="008F5928"/>
    <w:rsid w:val="008F5A82"/>
    <w:rsid w:val="008F5AC9"/>
    <w:rsid w:val="008F5C58"/>
    <w:rsid w:val="008F5CB3"/>
    <w:rsid w:val="008F5D06"/>
    <w:rsid w:val="008F5E0C"/>
    <w:rsid w:val="008F5FFE"/>
    <w:rsid w:val="008F6001"/>
    <w:rsid w:val="008F6092"/>
    <w:rsid w:val="008F61AA"/>
    <w:rsid w:val="008F6227"/>
    <w:rsid w:val="008F6254"/>
    <w:rsid w:val="008F62F0"/>
    <w:rsid w:val="008F6534"/>
    <w:rsid w:val="008F661F"/>
    <w:rsid w:val="008F66CB"/>
    <w:rsid w:val="008F68FE"/>
    <w:rsid w:val="008F6932"/>
    <w:rsid w:val="008F69C0"/>
    <w:rsid w:val="008F6B04"/>
    <w:rsid w:val="008F6DCB"/>
    <w:rsid w:val="008F6FEC"/>
    <w:rsid w:val="008F70AB"/>
    <w:rsid w:val="008F7118"/>
    <w:rsid w:val="008F717A"/>
    <w:rsid w:val="008F71EA"/>
    <w:rsid w:val="008F72F3"/>
    <w:rsid w:val="008F73FA"/>
    <w:rsid w:val="008F749E"/>
    <w:rsid w:val="008F7B99"/>
    <w:rsid w:val="008F7D35"/>
    <w:rsid w:val="008F7DA1"/>
    <w:rsid w:val="008F7E6E"/>
    <w:rsid w:val="0090015D"/>
    <w:rsid w:val="009002AA"/>
    <w:rsid w:val="009005D7"/>
    <w:rsid w:val="00900709"/>
    <w:rsid w:val="00900741"/>
    <w:rsid w:val="00900875"/>
    <w:rsid w:val="009009F2"/>
    <w:rsid w:val="00900A71"/>
    <w:rsid w:val="00900B88"/>
    <w:rsid w:val="00900F4B"/>
    <w:rsid w:val="00900FC2"/>
    <w:rsid w:val="00901126"/>
    <w:rsid w:val="00901163"/>
    <w:rsid w:val="009011B6"/>
    <w:rsid w:val="009011E2"/>
    <w:rsid w:val="009011EB"/>
    <w:rsid w:val="0090121C"/>
    <w:rsid w:val="009015C6"/>
    <w:rsid w:val="00901619"/>
    <w:rsid w:val="009016DD"/>
    <w:rsid w:val="00901A20"/>
    <w:rsid w:val="00901AF1"/>
    <w:rsid w:val="00901B33"/>
    <w:rsid w:val="00901BAD"/>
    <w:rsid w:val="00901D97"/>
    <w:rsid w:val="00901EEA"/>
    <w:rsid w:val="00901F03"/>
    <w:rsid w:val="00902002"/>
    <w:rsid w:val="00902007"/>
    <w:rsid w:val="0090212B"/>
    <w:rsid w:val="00902142"/>
    <w:rsid w:val="009021DE"/>
    <w:rsid w:val="00902394"/>
    <w:rsid w:val="00902396"/>
    <w:rsid w:val="009023A9"/>
    <w:rsid w:val="0090254B"/>
    <w:rsid w:val="0090256F"/>
    <w:rsid w:val="009025A7"/>
    <w:rsid w:val="00902644"/>
    <w:rsid w:val="00902756"/>
    <w:rsid w:val="00902ADD"/>
    <w:rsid w:val="00902C18"/>
    <w:rsid w:val="00902DB6"/>
    <w:rsid w:val="00902E4D"/>
    <w:rsid w:val="00902E98"/>
    <w:rsid w:val="00902EC7"/>
    <w:rsid w:val="009030F0"/>
    <w:rsid w:val="00903138"/>
    <w:rsid w:val="009031C9"/>
    <w:rsid w:val="009033D2"/>
    <w:rsid w:val="00903433"/>
    <w:rsid w:val="0090364C"/>
    <w:rsid w:val="00903A36"/>
    <w:rsid w:val="00903A8F"/>
    <w:rsid w:val="00903B10"/>
    <w:rsid w:val="00903BF6"/>
    <w:rsid w:val="00903EFD"/>
    <w:rsid w:val="00903F00"/>
    <w:rsid w:val="00903F1C"/>
    <w:rsid w:val="00903F4C"/>
    <w:rsid w:val="00903F53"/>
    <w:rsid w:val="00903F55"/>
    <w:rsid w:val="00904008"/>
    <w:rsid w:val="0090414A"/>
    <w:rsid w:val="0090415C"/>
    <w:rsid w:val="0090422C"/>
    <w:rsid w:val="00904272"/>
    <w:rsid w:val="009044AF"/>
    <w:rsid w:val="00904556"/>
    <w:rsid w:val="0090465F"/>
    <w:rsid w:val="00904726"/>
    <w:rsid w:val="0090479F"/>
    <w:rsid w:val="00904875"/>
    <w:rsid w:val="00904959"/>
    <w:rsid w:val="0090495A"/>
    <w:rsid w:val="0090495F"/>
    <w:rsid w:val="00904A8C"/>
    <w:rsid w:val="00904C05"/>
    <w:rsid w:val="00904CE0"/>
    <w:rsid w:val="00904D8F"/>
    <w:rsid w:val="00904F9A"/>
    <w:rsid w:val="00905114"/>
    <w:rsid w:val="00905117"/>
    <w:rsid w:val="009051EC"/>
    <w:rsid w:val="00905214"/>
    <w:rsid w:val="00905372"/>
    <w:rsid w:val="009054C3"/>
    <w:rsid w:val="009054E5"/>
    <w:rsid w:val="00905856"/>
    <w:rsid w:val="00905888"/>
    <w:rsid w:val="009058DF"/>
    <w:rsid w:val="00905934"/>
    <w:rsid w:val="00905B67"/>
    <w:rsid w:val="00905FD7"/>
    <w:rsid w:val="00905FEA"/>
    <w:rsid w:val="0090606A"/>
    <w:rsid w:val="009060AA"/>
    <w:rsid w:val="009062BA"/>
    <w:rsid w:val="009062D3"/>
    <w:rsid w:val="00906325"/>
    <w:rsid w:val="00906484"/>
    <w:rsid w:val="0090656C"/>
    <w:rsid w:val="00906609"/>
    <w:rsid w:val="009066AB"/>
    <w:rsid w:val="009067BA"/>
    <w:rsid w:val="00906862"/>
    <w:rsid w:val="0090687E"/>
    <w:rsid w:val="009068B0"/>
    <w:rsid w:val="00906ACD"/>
    <w:rsid w:val="00906BC9"/>
    <w:rsid w:val="00906D45"/>
    <w:rsid w:val="00906FDD"/>
    <w:rsid w:val="009070B6"/>
    <w:rsid w:val="009072DA"/>
    <w:rsid w:val="00907319"/>
    <w:rsid w:val="00907426"/>
    <w:rsid w:val="00907938"/>
    <w:rsid w:val="00907B12"/>
    <w:rsid w:val="00907B6F"/>
    <w:rsid w:val="00907B85"/>
    <w:rsid w:val="00907BFB"/>
    <w:rsid w:val="00907C47"/>
    <w:rsid w:val="00907DDB"/>
    <w:rsid w:val="00907E9E"/>
    <w:rsid w:val="009101B1"/>
    <w:rsid w:val="00910268"/>
    <w:rsid w:val="00910300"/>
    <w:rsid w:val="00910358"/>
    <w:rsid w:val="009103A0"/>
    <w:rsid w:val="009107C5"/>
    <w:rsid w:val="00910873"/>
    <w:rsid w:val="00910954"/>
    <w:rsid w:val="00910A44"/>
    <w:rsid w:val="00910B6D"/>
    <w:rsid w:val="00910B93"/>
    <w:rsid w:val="00910BD9"/>
    <w:rsid w:val="00910F96"/>
    <w:rsid w:val="009110AA"/>
    <w:rsid w:val="0091125C"/>
    <w:rsid w:val="00911289"/>
    <w:rsid w:val="009112C7"/>
    <w:rsid w:val="00911323"/>
    <w:rsid w:val="00911433"/>
    <w:rsid w:val="00911467"/>
    <w:rsid w:val="00911691"/>
    <w:rsid w:val="0091171D"/>
    <w:rsid w:val="00911742"/>
    <w:rsid w:val="0091180D"/>
    <w:rsid w:val="00911834"/>
    <w:rsid w:val="00911867"/>
    <w:rsid w:val="009118A3"/>
    <w:rsid w:val="009118F9"/>
    <w:rsid w:val="0091191D"/>
    <w:rsid w:val="00911969"/>
    <w:rsid w:val="00911A1D"/>
    <w:rsid w:val="00911BEA"/>
    <w:rsid w:val="00911C9F"/>
    <w:rsid w:val="00911CEA"/>
    <w:rsid w:val="00911D44"/>
    <w:rsid w:val="00911F56"/>
    <w:rsid w:val="0091202A"/>
    <w:rsid w:val="009120B9"/>
    <w:rsid w:val="009120FB"/>
    <w:rsid w:val="00912350"/>
    <w:rsid w:val="00912365"/>
    <w:rsid w:val="00912423"/>
    <w:rsid w:val="009124FF"/>
    <w:rsid w:val="00912781"/>
    <w:rsid w:val="00912B7A"/>
    <w:rsid w:val="00912D13"/>
    <w:rsid w:val="00912D1A"/>
    <w:rsid w:val="00912D79"/>
    <w:rsid w:val="00912DE9"/>
    <w:rsid w:val="00912EF0"/>
    <w:rsid w:val="00912F1B"/>
    <w:rsid w:val="00912F3C"/>
    <w:rsid w:val="009130B2"/>
    <w:rsid w:val="0091333F"/>
    <w:rsid w:val="00913408"/>
    <w:rsid w:val="00913489"/>
    <w:rsid w:val="0091353D"/>
    <w:rsid w:val="009135D1"/>
    <w:rsid w:val="00913621"/>
    <w:rsid w:val="009136FF"/>
    <w:rsid w:val="00913795"/>
    <w:rsid w:val="00913825"/>
    <w:rsid w:val="00913B6F"/>
    <w:rsid w:val="00913C3F"/>
    <w:rsid w:val="00913F14"/>
    <w:rsid w:val="00913F93"/>
    <w:rsid w:val="009140B6"/>
    <w:rsid w:val="00914106"/>
    <w:rsid w:val="00914168"/>
    <w:rsid w:val="00914185"/>
    <w:rsid w:val="0091430B"/>
    <w:rsid w:val="0091438A"/>
    <w:rsid w:val="009143E5"/>
    <w:rsid w:val="0091451A"/>
    <w:rsid w:val="0091464E"/>
    <w:rsid w:val="00914988"/>
    <w:rsid w:val="00914A42"/>
    <w:rsid w:val="00914C95"/>
    <w:rsid w:val="00914DA7"/>
    <w:rsid w:val="00914FC9"/>
    <w:rsid w:val="009152C1"/>
    <w:rsid w:val="00915330"/>
    <w:rsid w:val="009153EB"/>
    <w:rsid w:val="00915409"/>
    <w:rsid w:val="00915596"/>
    <w:rsid w:val="00915621"/>
    <w:rsid w:val="00915701"/>
    <w:rsid w:val="0091576E"/>
    <w:rsid w:val="00915840"/>
    <w:rsid w:val="0091584A"/>
    <w:rsid w:val="00915983"/>
    <w:rsid w:val="00915AA7"/>
    <w:rsid w:val="00915BB4"/>
    <w:rsid w:val="00915C03"/>
    <w:rsid w:val="00915C06"/>
    <w:rsid w:val="00915C3F"/>
    <w:rsid w:val="00915E09"/>
    <w:rsid w:val="00915F47"/>
    <w:rsid w:val="00916203"/>
    <w:rsid w:val="009163A9"/>
    <w:rsid w:val="009163B0"/>
    <w:rsid w:val="009165E5"/>
    <w:rsid w:val="00916610"/>
    <w:rsid w:val="009167DA"/>
    <w:rsid w:val="0091694D"/>
    <w:rsid w:val="00916ADF"/>
    <w:rsid w:val="00916BA6"/>
    <w:rsid w:val="00916C12"/>
    <w:rsid w:val="00916C82"/>
    <w:rsid w:val="00916C97"/>
    <w:rsid w:val="00916D18"/>
    <w:rsid w:val="00916D7F"/>
    <w:rsid w:val="00916F32"/>
    <w:rsid w:val="009170E2"/>
    <w:rsid w:val="009171DD"/>
    <w:rsid w:val="009172D8"/>
    <w:rsid w:val="00917344"/>
    <w:rsid w:val="00917382"/>
    <w:rsid w:val="0091749C"/>
    <w:rsid w:val="009174EE"/>
    <w:rsid w:val="0091758D"/>
    <w:rsid w:val="009176E4"/>
    <w:rsid w:val="00917737"/>
    <w:rsid w:val="009178B5"/>
    <w:rsid w:val="009179F4"/>
    <w:rsid w:val="00917A56"/>
    <w:rsid w:val="00917B52"/>
    <w:rsid w:val="00917D49"/>
    <w:rsid w:val="00917DAC"/>
    <w:rsid w:val="00917E0D"/>
    <w:rsid w:val="00917F58"/>
    <w:rsid w:val="00917F64"/>
    <w:rsid w:val="00920332"/>
    <w:rsid w:val="0092034C"/>
    <w:rsid w:val="009204D5"/>
    <w:rsid w:val="00920539"/>
    <w:rsid w:val="0092058E"/>
    <w:rsid w:val="009205A6"/>
    <w:rsid w:val="009207FC"/>
    <w:rsid w:val="0092094F"/>
    <w:rsid w:val="00920A0C"/>
    <w:rsid w:val="00920A82"/>
    <w:rsid w:val="00920B76"/>
    <w:rsid w:val="00920B80"/>
    <w:rsid w:val="00920BDB"/>
    <w:rsid w:val="00920BDC"/>
    <w:rsid w:val="00920BFA"/>
    <w:rsid w:val="00920DF2"/>
    <w:rsid w:val="00920E5A"/>
    <w:rsid w:val="00920F47"/>
    <w:rsid w:val="00920FB6"/>
    <w:rsid w:val="00920FE2"/>
    <w:rsid w:val="009210DD"/>
    <w:rsid w:val="009211B3"/>
    <w:rsid w:val="009212CD"/>
    <w:rsid w:val="00921383"/>
    <w:rsid w:val="009214AE"/>
    <w:rsid w:val="00921554"/>
    <w:rsid w:val="0092158E"/>
    <w:rsid w:val="0092181C"/>
    <w:rsid w:val="00921A65"/>
    <w:rsid w:val="00921B34"/>
    <w:rsid w:val="00921D81"/>
    <w:rsid w:val="00921DF0"/>
    <w:rsid w:val="00921E2E"/>
    <w:rsid w:val="0092206F"/>
    <w:rsid w:val="009221F9"/>
    <w:rsid w:val="009223FC"/>
    <w:rsid w:val="0092259F"/>
    <w:rsid w:val="009225AF"/>
    <w:rsid w:val="0092286D"/>
    <w:rsid w:val="009229C2"/>
    <w:rsid w:val="009229EB"/>
    <w:rsid w:val="009229F0"/>
    <w:rsid w:val="00922A84"/>
    <w:rsid w:val="00922BA7"/>
    <w:rsid w:val="00922CA8"/>
    <w:rsid w:val="00922CB7"/>
    <w:rsid w:val="00922D50"/>
    <w:rsid w:val="00922E5F"/>
    <w:rsid w:val="0092313E"/>
    <w:rsid w:val="0092338D"/>
    <w:rsid w:val="00923534"/>
    <w:rsid w:val="009235B8"/>
    <w:rsid w:val="009235D6"/>
    <w:rsid w:val="0092361F"/>
    <w:rsid w:val="009237F5"/>
    <w:rsid w:val="009238D4"/>
    <w:rsid w:val="009239A2"/>
    <w:rsid w:val="00923A4B"/>
    <w:rsid w:val="00923A98"/>
    <w:rsid w:val="00923E3A"/>
    <w:rsid w:val="00923FC8"/>
    <w:rsid w:val="009241A6"/>
    <w:rsid w:val="009241A8"/>
    <w:rsid w:val="00924276"/>
    <w:rsid w:val="0092427E"/>
    <w:rsid w:val="009242AE"/>
    <w:rsid w:val="009242E6"/>
    <w:rsid w:val="0092436F"/>
    <w:rsid w:val="009243D1"/>
    <w:rsid w:val="009243EA"/>
    <w:rsid w:val="00924421"/>
    <w:rsid w:val="009244AD"/>
    <w:rsid w:val="009245C4"/>
    <w:rsid w:val="0092469B"/>
    <w:rsid w:val="0092470B"/>
    <w:rsid w:val="0092482D"/>
    <w:rsid w:val="00924844"/>
    <w:rsid w:val="00924AA9"/>
    <w:rsid w:val="00924B25"/>
    <w:rsid w:val="00924CC3"/>
    <w:rsid w:val="00924EDE"/>
    <w:rsid w:val="009250E9"/>
    <w:rsid w:val="00925159"/>
    <w:rsid w:val="009251B0"/>
    <w:rsid w:val="009254B0"/>
    <w:rsid w:val="0092550B"/>
    <w:rsid w:val="009255C7"/>
    <w:rsid w:val="00925667"/>
    <w:rsid w:val="009257D2"/>
    <w:rsid w:val="00925858"/>
    <w:rsid w:val="009258E4"/>
    <w:rsid w:val="0092593C"/>
    <w:rsid w:val="00925946"/>
    <w:rsid w:val="00925949"/>
    <w:rsid w:val="009259A5"/>
    <w:rsid w:val="00925BB8"/>
    <w:rsid w:val="00925BCC"/>
    <w:rsid w:val="00925DEB"/>
    <w:rsid w:val="00925F61"/>
    <w:rsid w:val="00926069"/>
    <w:rsid w:val="009260CA"/>
    <w:rsid w:val="009262D0"/>
    <w:rsid w:val="0092635A"/>
    <w:rsid w:val="009263CD"/>
    <w:rsid w:val="0092642F"/>
    <w:rsid w:val="00926909"/>
    <w:rsid w:val="0092691F"/>
    <w:rsid w:val="00926E02"/>
    <w:rsid w:val="00926E25"/>
    <w:rsid w:val="00926ED4"/>
    <w:rsid w:val="00927007"/>
    <w:rsid w:val="0092706D"/>
    <w:rsid w:val="00927090"/>
    <w:rsid w:val="009270FC"/>
    <w:rsid w:val="009271CD"/>
    <w:rsid w:val="009272A1"/>
    <w:rsid w:val="009272C6"/>
    <w:rsid w:val="0092757B"/>
    <w:rsid w:val="0092759C"/>
    <w:rsid w:val="009275D7"/>
    <w:rsid w:val="009276F5"/>
    <w:rsid w:val="0092799E"/>
    <w:rsid w:val="00927C27"/>
    <w:rsid w:val="00927D1C"/>
    <w:rsid w:val="00927D88"/>
    <w:rsid w:val="00927E22"/>
    <w:rsid w:val="00927E34"/>
    <w:rsid w:val="00930258"/>
    <w:rsid w:val="009302B7"/>
    <w:rsid w:val="009303C3"/>
    <w:rsid w:val="009304EA"/>
    <w:rsid w:val="00930527"/>
    <w:rsid w:val="00930528"/>
    <w:rsid w:val="009305D7"/>
    <w:rsid w:val="009305EF"/>
    <w:rsid w:val="0093066A"/>
    <w:rsid w:val="00930733"/>
    <w:rsid w:val="009307E1"/>
    <w:rsid w:val="0093099A"/>
    <w:rsid w:val="00930A04"/>
    <w:rsid w:val="00930B6A"/>
    <w:rsid w:val="00930BAE"/>
    <w:rsid w:val="00930BEE"/>
    <w:rsid w:val="00930E14"/>
    <w:rsid w:val="009311D8"/>
    <w:rsid w:val="00931340"/>
    <w:rsid w:val="0093146C"/>
    <w:rsid w:val="00931796"/>
    <w:rsid w:val="0093188A"/>
    <w:rsid w:val="009319BF"/>
    <w:rsid w:val="009319D6"/>
    <w:rsid w:val="00931A07"/>
    <w:rsid w:val="00931A81"/>
    <w:rsid w:val="00931CF7"/>
    <w:rsid w:val="00931DFA"/>
    <w:rsid w:val="00931DFD"/>
    <w:rsid w:val="00931FFD"/>
    <w:rsid w:val="00932034"/>
    <w:rsid w:val="009320C4"/>
    <w:rsid w:val="009320E4"/>
    <w:rsid w:val="00932368"/>
    <w:rsid w:val="00932378"/>
    <w:rsid w:val="0093237D"/>
    <w:rsid w:val="009323D8"/>
    <w:rsid w:val="00932406"/>
    <w:rsid w:val="00932490"/>
    <w:rsid w:val="00932492"/>
    <w:rsid w:val="00932573"/>
    <w:rsid w:val="009325A9"/>
    <w:rsid w:val="00932686"/>
    <w:rsid w:val="009326BD"/>
    <w:rsid w:val="0093274F"/>
    <w:rsid w:val="00932911"/>
    <w:rsid w:val="00932926"/>
    <w:rsid w:val="009329FC"/>
    <w:rsid w:val="00932BBB"/>
    <w:rsid w:val="00932C27"/>
    <w:rsid w:val="00932D09"/>
    <w:rsid w:val="009330B2"/>
    <w:rsid w:val="0093314F"/>
    <w:rsid w:val="009331B7"/>
    <w:rsid w:val="009331D9"/>
    <w:rsid w:val="00933231"/>
    <w:rsid w:val="009332C7"/>
    <w:rsid w:val="00933391"/>
    <w:rsid w:val="0093351A"/>
    <w:rsid w:val="0093360B"/>
    <w:rsid w:val="0093362B"/>
    <w:rsid w:val="00933744"/>
    <w:rsid w:val="00933810"/>
    <w:rsid w:val="00933826"/>
    <w:rsid w:val="009338B7"/>
    <w:rsid w:val="00933920"/>
    <w:rsid w:val="0093396E"/>
    <w:rsid w:val="00933A1C"/>
    <w:rsid w:val="00933B14"/>
    <w:rsid w:val="00933BDF"/>
    <w:rsid w:val="00933C64"/>
    <w:rsid w:val="00933CD5"/>
    <w:rsid w:val="00933D9B"/>
    <w:rsid w:val="00933E4F"/>
    <w:rsid w:val="00933F89"/>
    <w:rsid w:val="00934023"/>
    <w:rsid w:val="0093407B"/>
    <w:rsid w:val="0093419A"/>
    <w:rsid w:val="009341EB"/>
    <w:rsid w:val="00934265"/>
    <w:rsid w:val="0093428A"/>
    <w:rsid w:val="00934352"/>
    <w:rsid w:val="00934562"/>
    <w:rsid w:val="0093459C"/>
    <w:rsid w:val="009345D0"/>
    <w:rsid w:val="0093460B"/>
    <w:rsid w:val="00934D5D"/>
    <w:rsid w:val="00934EE7"/>
    <w:rsid w:val="00934FFC"/>
    <w:rsid w:val="0093501F"/>
    <w:rsid w:val="00935179"/>
    <w:rsid w:val="0093527D"/>
    <w:rsid w:val="00935304"/>
    <w:rsid w:val="00935360"/>
    <w:rsid w:val="0093554A"/>
    <w:rsid w:val="0093558B"/>
    <w:rsid w:val="009355AA"/>
    <w:rsid w:val="009357E6"/>
    <w:rsid w:val="00935A34"/>
    <w:rsid w:val="00935A6C"/>
    <w:rsid w:val="00935B76"/>
    <w:rsid w:val="00935F6B"/>
    <w:rsid w:val="009360C5"/>
    <w:rsid w:val="0093610F"/>
    <w:rsid w:val="00936188"/>
    <w:rsid w:val="00936207"/>
    <w:rsid w:val="009362C7"/>
    <w:rsid w:val="00936352"/>
    <w:rsid w:val="00936734"/>
    <w:rsid w:val="009367FC"/>
    <w:rsid w:val="0093696F"/>
    <w:rsid w:val="00936A7E"/>
    <w:rsid w:val="00936D4A"/>
    <w:rsid w:val="00936D9B"/>
    <w:rsid w:val="00937195"/>
    <w:rsid w:val="0093730C"/>
    <w:rsid w:val="00937727"/>
    <w:rsid w:val="00937892"/>
    <w:rsid w:val="009378C1"/>
    <w:rsid w:val="0093796A"/>
    <w:rsid w:val="00937AE6"/>
    <w:rsid w:val="00937B9E"/>
    <w:rsid w:val="00937BAF"/>
    <w:rsid w:val="00937C2B"/>
    <w:rsid w:val="00937CAC"/>
    <w:rsid w:val="00937D79"/>
    <w:rsid w:val="00937DB0"/>
    <w:rsid w:val="00937E33"/>
    <w:rsid w:val="00937ED9"/>
    <w:rsid w:val="0093DA02"/>
    <w:rsid w:val="00940203"/>
    <w:rsid w:val="0094021A"/>
    <w:rsid w:val="0094032A"/>
    <w:rsid w:val="009403CF"/>
    <w:rsid w:val="009404D8"/>
    <w:rsid w:val="009405CB"/>
    <w:rsid w:val="00940616"/>
    <w:rsid w:val="00940822"/>
    <w:rsid w:val="00940967"/>
    <w:rsid w:val="00940B7B"/>
    <w:rsid w:val="00940C04"/>
    <w:rsid w:val="00940CD5"/>
    <w:rsid w:val="00940DC1"/>
    <w:rsid w:val="00940DF3"/>
    <w:rsid w:val="00940DFA"/>
    <w:rsid w:val="00940ED5"/>
    <w:rsid w:val="00940F30"/>
    <w:rsid w:val="00940FF3"/>
    <w:rsid w:val="0094102F"/>
    <w:rsid w:val="00941369"/>
    <w:rsid w:val="009414E3"/>
    <w:rsid w:val="0094155C"/>
    <w:rsid w:val="00941622"/>
    <w:rsid w:val="0094163E"/>
    <w:rsid w:val="009416E8"/>
    <w:rsid w:val="00941788"/>
    <w:rsid w:val="0094179C"/>
    <w:rsid w:val="0094181A"/>
    <w:rsid w:val="00941877"/>
    <w:rsid w:val="0094189B"/>
    <w:rsid w:val="0094190E"/>
    <w:rsid w:val="00941B7C"/>
    <w:rsid w:val="00941C48"/>
    <w:rsid w:val="00941D03"/>
    <w:rsid w:val="00941DFC"/>
    <w:rsid w:val="0094202F"/>
    <w:rsid w:val="009421C0"/>
    <w:rsid w:val="009421D8"/>
    <w:rsid w:val="009424FB"/>
    <w:rsid w:val="00942527"/>
    <w:rsid w:val="0094264D"/>
    <w:rsid w:val="0094271D"/>
    <w:rsid w:val="00942994"/>
    <w:rsid w:val="00942996"/>
    <w:rsid w:val="009429C5"/>
    <w:rsid w:val="00942BD2"/>
    <w:rsid w:val="00942D13"/>
    <w:rsid w:val="00942F23"/>
    <w:rsid w:val="009436F1"/>
    <w:rsid w:val="009437C3"/>
    <w:rsid w:val="009438DD"/>
    <w:rsid w:val="00943923"/>
    <w:rsid w:val="00943980"/>
    <w:rsid w:val="00943A35"/>
    <w:rsid w:val="00943BF4"/>
    <w:rsid w:val="00943CF2"/>
    <w:rsid w:val="00943D0B"/>
    <w:rsid w:val="00943F25"/>
    <w:rsid w:val="009440AB"/>
    <w:rsid w:val="00944192"/>
    <w:rsid w:val="009444B8"/>
    <w:rsid w:val="00944773"/>
    <w:rsid w:val="009447E9"/>
    <w:rsid w:val="009448D1"/>
    <w:rsid w:val="009449F0"/>
    <w:rsid w:val="00944B25"/>
    <w:rsid w:val="00944B53"/>
    <w:rsid w:val="00944C51"/>
    <w:rsid w:val="0094509B"/>
    <w:rsid w:val="0094513F"/>
    <w:rsid w:val="00945179"/>
    <w:rsid w:val="0094530C"/>
    <w:rsid w:val="009453F2"/>
    <w:rsid w:val="009454A1"/>
    <w:rsid w:val="009454D4"/>
    <w:rsid w:val="00945674"/>
    <w:rsid w:val="0094576A"/>
    <w:rsid w:val="0094578A"/>
    <w:rsid w:val="00945B54"/>
    <w:rsid w:val="00945D65"/>
    <w:rsid w:val="00945E38"/>
    <w:rsid w:val="00945F98"/>
    <w:rsid w:val="0094609B"/>
    <w:rsid w:val="00946167"/>
    <w:rsid w:val="0094618E"/>
    <w:rsid w:val="009461C5"/>
    <w:rsid w:val="009462F2"/>
    <w:rsid w:val="00946432"/>
    <w:rsid w:val="009464B0"/>
    <w:rsid w:val="00946576"/>
    <w:rsid w:val="0094668C"/>
    <w:rsid w:val="0094681C"/>
    <w:rsid w:val="0094692C"/>
    <w:rsid w:val="00946959"/>
    <w:rsid w:val="00946975"/>
    <w:rsid w:val="00946AB1"/>
    <w:rsid w:val="00946DB8"/>
    <w:rsid w:val="00946EF3"/>
    <w:rsid w:val="00947087"/>
    <w:rsid w:val="0094713B"/>
    <w:rsid w:val="00947192"/>
    <w:rsid w:val="00947226"/>
    <w:rsid w:val="0094727A"/>
    <w:rsid w:val="0094735C"/>
    <w:rsid w:val="009473DE"/>
    <w:rsid w:val="009473E6"/>
    <w:rsid w:val="0094789A"/>
    <w:rsid w:val="0094797D"/>
    <w:rsid w:val="009479C2"/>
    <w:rsid w:val="00947A53"/>
    <w:rsid w:val="00947A7D"/>
    <w:rsid w:val="00947ACE"/>
    <w:rsid w:val="00947B29"/>
    <w:rsid w:val="00947DCB"/>
    <w:rsid w:val="00947EDD"/>
    <w:rsid w:val="009504C3"/>
    <w:rsid w:val="00950560"/>
    <w:rsid w:val="0095068C"/>
    <w:rsid w:val="009506D2"/>
    <w:rsid w:val="009506E1"/>
    <w:rsid w:val="00950746"/>
    <w:rsid w:val="009507A8"/>
    <w:rsid w:val="00950864"/>
    <w:rsid w:val="00950963"/>
    <w:rsid w:val="00950A8C"/>
    <w:rsid w:val="00950AC5"/>
    <w:rsid w:val="00950ADA"/>
    <w:rsid w:val="00950B2E"/>
    <w:rsid w:val="00950B68"/>
    <w:rsid w:val="00950BD2"/>
    <w:rsid w:val="00950C8E"/>
    <w:rsid w:val="00950C91"/>
    <w:rsid w:val="00950DB9"/>
    <w:rsid w:val="00950ED2"/>
    <w:rsid w:val="00951758"/>
    <w:rsid w:val="009517DA"/>
    <w:rsid w:val="00951824"/>
    <w:rsid w:val="00951A54"/>
    <w:rsid w:val="00951ACF"/>
    <w:rsid w:val="00951B81"/>
    <w:rsid w:val="00951BE2"/>
    <w:rsid w:val="00951C99"/>
    <w:rsid w:val="00951D15"/>
    <w:rsid w:val="00951D38"/>
    <w:rsid w:val="00951E2D"/>
    <w:rsid w:val="00951FC9"/>
    <w:rsid w:val="009520B6"/>
    <w:rsid w:val="009521A4"/>
    <w:rsid w:val="009523C2"/>
    <w:rsid w:val="00952489"/>
    <w:rsid w:val="00952561"/>
    <w:rsid w:val="00952725"/>
    <w:rsid w:val="00952979"/>
    <w:rsid w:val="009529F4"/>
    <w:rsid w:val="00952A48"/>
    <w:rsid w:val="00952A5A"/>
    <w:rsid w:val="00952AA5"/>
    <w:rsid w:val="00952AC9"/>
    <w:rsid w:val="00952C3C"/>
    <w:rsid w:val="00952CC8"/>
    <w:rsid w:val="00952DB0"/>
    <w:rsid w:val="00952EFA"/>
    <w:rsid w:val="00952F7A"/>
    <w:rsid w:val="0095303C"/>
    <w:rsid w:val="0095307A"/>
    <w:rsid w:val="009532B7"/>
    <w:rsid w:val="009533DF"/>
    <w:rsid w:val="00953A43"/>
    <w:rsid w:val="00953A71"/>
    <w:rsid w:val="00953B09"/>
    <w:rsid w:val="00953B7A"/>
    <w:rsid w:val="00953CC4"/>
    <w:rsid w:val="00953DC6"/>
    <w:rsid w:val="00953E09"/>
    <w:rsid w:val="00953FE3"/>
    <w:rsid w:val="00953FF7"/>
    <w:rsid w:val="0095407E"/>
    <w:rsid w:val="009541A1"/>
    <w:rsid w:val="009542A8"/>
    <w:rsid w:val="009543D3"/>
    <w:rsid w:val="009543E3"/>
    <w:rsid w:val="00954428"/>
    <w:rsid w:val="00954519"/>
    <w:rsid w:val="00954928"/>
    <w:rsid w:val="009549EC"/>
    <w:rsid w:val="00954A2A"/>
    <w:rsid w:val="00954AA1"/>
    <w:rsid w:val="00954B39"/>
    <w:rsid w:val="00954B3A"/>
    <w:rsid w:val="00954B4C"/>
    <w:rsid w:val="00954B5E"/>
    <w:rsid w:val="00954C6C"/>
    <w:rsid w:val="00954D75"/>
    <w:rsid w:val="00954E74"/>
    <w:rsid w:val="009550D2"/>
    <w:rsid w:val="00955119"/>
    <w:rsid w:val="00955169"/>
    <w:rsid w:val="00955276"/>
    <w:rsid w:val="00955290"/>
    <w:rsid w:val="009552D0"/>
    <w:rsid w:val="00955356"/>
    <w:rsid w:val="00955607"/>
    <w:rsid w:val="0095567A"/>
    <w:rsid w:val="0095574C"/>
    <w:rsid w:val="009557F0"/>
    <w:rsid w:val="00955825"/>
    <w:rsid w:val="0095598D"/>
    <w:rsid w:val="00955A22"/>
    <w:rsid w:val="00955AA2"/>
    <w:rsid w:val="00955AA8"/>
    <w:rsid w:val="00955B9C"/>
    <w:rsid w:val="00955D5E"/>
    <w:rsid w:val="00955DE7"/>
    <w:rsid w:val="00955DF5"/>
    <w:rsid w:val="00956064"/>
    <w:rsid w:val="00956070"/>
    <w:rsid w:val="009563DC"/>
    <w:rsid w:val="009568BB"/>
    <w:rsid w:val="0095693A"/>
    <w:rsid w:val="0095695B"/>
    <w:rsid w:val="00956A9B"/>
    <w:rsid w:val="00956B40"/>
    <w:rsid w:val="00956BE9"/>
    <w:rsid w:val="00956D79"/>
    <w:rsid w:val="00956E54"/>
    <w:rsid w:val="00956F3B"/>
    <w:rsid w:val="00956F98"/>
    <w:rsid w:val="00956FA5"/>
    <w:rsid w:val="00957016"/>
    <w:rsid w:val="009570D3"/>
    <w:rsid w:val="009570E9"/>
    <w:rsid w:val="0095718A"/>
    <w:rsid w:val="009571C3"/>
    <w:rsid w:val="009571D2"/>
    <w:rsid w:val="00957281"/>
    <w:rsid w:val="00957338"/>
    <w:rsid w:val="00957373"/>
    <w:rsid w:val="00957382"/>
    <w:rsid w:val="00957453"/>
    <w:rsid w:val="0095767F"/>
    <w:rsid w:val="009576FB"/>
    <w:rsid w:val="009577A8"/>
    <w:rsid w:val="009577FE"/>
    <w:rsid w:val="009579CE"/>
    <w:rsid w:val="009579E1"/>
    <w:rsid w:val="009579FA"/>
    <w:rsid w:val="00957BE9"/>
    <w:rsid w:val="00957DA9"/>
    <w:rsid w:val="00957E41"/>
    <w:rsid w:val="00957EA6"/>
    <w:rsid w:val="00957F49"/>
    <w:rsid w:val="00960099"/>
    <w:rsid w:val="009603FA"/>
    <w:rsid w:val="00960477"/>
    <w:rsid w:val="00960701"/>
    <w:rsid w:val="0096096A"/>
    <w:rsid w:val="00960B25"/>
    <w:rsid w:val="00960B67"/>
    <w:rsid w:val="00960C4C"/>
    <w:rsid w:val="00960CA2"/>
    <w:rsid w:val="00960CC6"/>
    <w:rsid w:val="00960D0B"/>
    <w:rsid w:val="00960FC0"/>
    <w:rsid w:val="00960FC2"/>
    <w:rsid w:val="00961260"/>
    <w:rsid w:val="00961314"/>
    <w:rsid w:val="009613A1"/>
    <w:rsid w:val="00961501"/>
    <w:rsid w:val="00961509"/>
    <w:rsid w:val="0096151E"/>
    <w:rsid w:val="009615D2"/>
    <w:rsid w:val="00961932"/>
    <w:rsid w:val="0096197A"/>
    <w:rsid w:val="00961AE3"/>
    <w:rsid w:val="00961B37"/>
    <w:rsid w:val="00961B76"/>
    <w:rsid w:val="00961C1D"/>
    <w:rsid w:val="00961C75"/>
    <w:rsid w:val="00961E1F"/>
    <w:rsid w:val="00961F9B"/>
    <w:rsid w:val="0096218F"/>
    <w:rsid w:val="009621BA"/>
    <w:rsid w:val="00962287"/>
    <w:rsid w:val="00962356"/>
    <w:rsid w:val="0096249C"/>
    <w:rsid w:val="009624CC"/>
    <w:rsid w:val="009624DF"/>
    <w:rsid w:val="00962615"/>
    <w:rsid w:val="00962684"/>
    <w:rsid w:val="009626C9"/>
    <w:rsid w:val="0096272B"/>
    <w:rsid w:val="00962742"/>
    <w:rsid w:val="009628CC"/>
    <w:rsid w:val="00962B7E"/>
    <w:rsid w:val="00962C5C"/>
    <w:rsid w:val="00962E8D"/>
    <w:rsid w:val="00963068"/>
    <w:rsid w:val="009630CE"/>
    <w:rsid w:val="00963320"/>
    <w:rsid w:val="00963505"/>
    <w:rsid w:val="0096371D"/>
    <w:rsid w:val="00963764"/>
    <w:rsid w:val="0096383E"/>
    <w:rsid w:val="00963842"/>
    <w:rsid w:val="00963903"/>
    <w:rsid w:val="0096399E"/>
    <w:rsid w:val="00963AB1"/>
    <w:rsid w:val="00963D1F"/>
    <w:rsid w:val="00963D4A"/>
    <w:rsid w:val="00963DF4"/>
    <w:rsid w:val="0096403E"/>
    <w:rsid w:val="00964080"/>
    <w:rsid w:val="009640BE"/>
    <w:rsid w:val="00964103"/>
    <w:rsid w:val="009641B7"/>
    <w:rsid w:val="00964223"/>
    <w:rsid w:val="009642A3"/>
    <w:rsid w:val="0096436A"/>
    <w:rsid w:val="00964378"/>
    <w:rsid w:val="009644CE"/>
    <w:rsid w:val="009645C2"/>
    <w:rsid w:val="009647D5"/>
    <w:rsid w:val="00964814"/>
    <w:rsid w:val="00964838"/>
    <w:rsid w:val="00964912"/>
    <w:rsid w:val="0096493C"/>
    <w:rsid w:val="00964AB3"/>
    <w:rsid w:val="00964AD2"/>
    <w:rsid w:val="00964D39"/>
    <w:rsid w:val="00964D59"/>
    <w:rsid w:val="00964D72"/>
    <w:rsid w:val="00964EEA"/>
    <w:rsid w:val="00964FEF"/>
    <w:rsid w:val="0096511A"/>
    <w:rsid w:val="0096512B"/>
    <w:rsid w:val="0096517A"/>
    <w:rsid w:val="009652B0"/>
    <w:rsid w:val="00965325"/>
    <w:rsid w:val="009653B8"/>
    <w:rsid w:val="009655A9"/>
    <w:rsid w:val="009655DC"/>
    <w:rsid w:val="0096565B"/>
    <w:rsid w:val="00965F29"/>
    <w:rsid w:val="00965F88"/>
    <w:rsid w:val="009660DC"/>
    <w:rsid w:val="009661F0"/>
    <w:rsid w:val="0096636B"/>
    <w:rsid w:val="009663FF"/>
    <w:rsid w:val="00966596"/>
    <w:rsid w:val="009665BD"/>
    <w:rsid w:val="00966610"/>
    <w:rsid w:val="00966A13"/>
    <w:rsid w:val="00966B80"/>
    <w:rsid w:val="00966C12"/>
    <w:rsid w:val="00966C2B"/>
    <w:rsid w:val="00966C97"/>
    <w:rsid w:val="00966CE4"/>
    <w:rsid w:val="00966F82"/>
    <w:rsid w:val="009670A3"/>
    <w:rsid w:val="00967123"/>
    <w:rsid w:val="00967259"/>
    <w:rsid w:val="0096729D"/>
    <w:rsid w:val="009674CC"/>
    <w:rsid w:val="009675C4"/>
    <w:rsid w:val="0096767B"/>
    <w:rsid w:val="00967849"/>
    <w:rsid w:val="009678C6"/>
    <w:rsid w:val="00967A33"/>
    <w:rsid w:val="00967BEB"/>
    <w:rsid w:val="00967CDC"/>
    <w:rsid w:val="00967D23"/>
    <w:rsid w:val="00967D6D"/>
    <w:rsid w:val="0097005E"/>
    <w:rsid w:val="00970162"/>
    <w:rsid w:val="00970230"/>
    <w:rsid w:val="009706A5"/>
    <w:rsid w:val="00970924"/>
    <w:rsid w:val="0097097C"/>
    <w:rsid w:val="00970B55"/>
    <w:rsid w:val="00970F35"/>
    <w:rsid w:val="00971050"/>
    <w:rsid w:val="00971145"/>
    <w:rsid w:val="00971276"/>
    <w:rsid w:val="0097134D"/>
    <w:rsid w:val="009714C7"/>
    <w:rsid w:val="009714D4"/>
    <w:rsid w:val="00971630"/>
    <w:rsid w:val="00971662"/>
    <w:rsid w:val="00971725"/>
    <w:rsid w:val="00971875"/>
    <w:rsid w:val="00971925"/>
    <w:rsid w:val="00971A64"/>
    <w:rsid w:val="00971A97"/>
    <w:rsid w:val="00971B19"/>
    <w:rsid w:val="00971CB5"/>
    <w:rsid w:val="00971ED6"/>
    <w:rsid w:val="0097216E"/>
    <w:rsid w:val="00972405"/>
    <w:rsid w:val="0097265E"/>
    <w:rsid w:val="00972747"/>
    <w:rsid w:val="009728CE"/>
    <w:rsid w:val="00972979"/>
    <w:rsid w:val="009729DF"/>
    <w:rsid w:val="009729FB"/>
    <w:rsid w:val="00972A56"/>
    <w:rsid w:val="00972AB1"/>
    <w:rsid w:val="00972C09"/>
    <w:rsid w:val="00972C80"/>
    <w:rsid w:val="00972D07"/>
    <w:rsid w:val="00972DA0"/>
    <w:rsid w:val="00972E32"/>
    <w:rsid w:val="00972E6F"/>
    <w:rsid w:val="00972E86"/>
    <w:rsid w:val="00972FAA"/>
    <w:rsid w:val="0097300D"/>
    <w:rsid w:val="00973121"/>
    <w:rsid w:val="0097316B"/>
    <w:rsid w:val="0097316E"/>
    <w:rsid w:val="009732A7"/>
    <w:rsid w:val="009732ED"/>
    <w:rsid w:val="009733AC"/>
    <w:rsid w:val="00973663"/>
    <w:rsid w:val="0097396A"/>
    <w:rsid w:val="00973C70"/>
    <w:rsid w:val="00973C83"/>
    <w:rsid w:val="00973CDB"/>
    <w:rsid w:val="00973D11"/>
    <w:rsid w:val="00973DE6"/>
    <w:rsid w:val="00973EF8"/>
    <w:rsid w:val="00973F57"/>
    <w:rsid w:val="00973F66"/>
    <w:rsid w:val="00973FD9"/>
    <w:rsid w:val="00973FE1"/>
    <w:rsid w:val="00974295"/>
    <w:rsid w:val="00974510"/>
    <w:rsid w:val="0097451C"/>
    <w:rsid w:val="00974684"/>
    <w:rsid w:val="009749CE"/>
    <w:rsid w:val="00974B58"/>
    <w:rsid w:val="0097508E"/>
    <w:rsid w:val="00975127"/>
    <w:rsid w:val="0097513E"/>
    <w:rsid w:val="00975277"/>
    <w:rsid w:val="0097544D"/>
    <w:rsid w:val="0097560F"/>
    <w:rsid w:val="009756F3"/>
    <w:rsid w:val="00975764"/>
    <w:rsid w:val="0097576F"/>
    <w:rsid w:val="00975778"/>
    <w:rsid w:val="00975BBB"/>
    <w:rsid w:val="00975BE5"/>
    <w:rsid w:val="00975C65"/>
    <w:rsid w:val="00975DDA"/>
    <w:rsid w:val="00975E8C"/>
    <w:rsid w:val="0097607E"/>
    <w:rsid w:val="0097609E"/>
    <w:rsid w:val="0097611F"/>
    <w:rsid w:val="009761A4"/>
    <w:rsid w:val="009761C1"/>
    <w:rsid w:val="009761FB"/>
    <w:rsid w:val="009763D2"/>
    <w:rsid w:val="009763F5"/>
    <w:rsid w:val="0097654E"/>
    <w:rsid w:val="0097655F"/>
    <w:rsid w:val="009766D3"/>
    <w:rsid w:val="00976716"/>
    <w:rsid w:val="009767FA"/>
    <w:rsid w:val="0097687F"/>
    <w:rsid w:val="00976AFA"/>
    <w:rsid w:val="00976C3F"/>
    <w:rsid w:val="00976D20"/>
    <w:rsid w:val="00976E20"/>
    <w:rsid w:val="00976F1C"/>
    <w:rsid w:val="00976F23"/>
    <w:rsid w:val="00976F39"/>
    <w:rsid w:val="00976F79"/>
    <w:rsid w:val="00977004"/>
    <w:rsid w:val="00977043"/>
    <w:rsid w:val="00977174"/>
    <w:rsid w:val="009771A9"/>
    <w:rsid w:val="0097728F"/>
    <w:rsid w:val="0097754F"/>
    <w:rsid w:val="0097785D"/>
    <w:rsid w:val="0097794F"/>
    <w:rsid w:val="0097796A"/>
    <w:rsid w:val="009779F8"/>
    <w:rsid w:val="00977A49"/>
    <w:rsid w:val="00977ADC"/>
    <w:rsid w:val="00977B25"/>
    <w:rsid w:val="00977B2B"/>
    <w:rsid w:val="00977B3D"/>
    <w:rsid w:val="00977BDB"/>
    <w:rsid w:val="00977C37"/>
    <w:rsid w:val="00977C9F"/>
    <w:rsid w:val="00977CD6"/>
    <w:rsid w:val="0098004E"/>
    <w:rsid w:val="0098019B"/>
    <w:rsid w:val="0098032A"/>
    <w:rsid w:val="00980383"/>
    <w:rsid w:val="009803C7"/>
    <w:rsid w:val="009803D3"/>
    <w:rsid w:val="0098053A"/>
    <w:rsid w:val="00980572"/>
    <w:rsid w:val="00980587"/>
    <w:rsid w:val="00980755"/>
    <w:rsid w:val="00980781"/>
    <w:rsid w:val="00980786"/>
    <w:rsid w:val="00980A62"/>
    <w:rsid w:val="00980AEA"/>
    <w:rsid w:val="00980B87"/>
    <w:rsid w:val="00980BE9"/>
    <w:rsid w:val="00980C61"/>
    <w:rsid w:val="00980CB6"/>
    <w:rsid w:val="00980DB7"/>
    <w:rsid w:val="00980E66"/>
    <w:rsid w:val="00980FD6"/>
    <w:rsid w:val="0098101E"/>
    <w:rsid w:val="0098104C"/>
    <w:rsid w:val="00981064"/>
    <w:rsid w:val="00981293"/>
    <w:rsid w:val="009812EB"/>
    <w:rsid w:val="0098139E"/>
    <w:rsid w:val="009814ED"/>
    <w:rsid w:val="0098157E"/>
    <w:rsid w:val="00981737"/>
    <w:rsid w:val="009818F2"/>
    <w:rsid w:val="00981951"/>
    <w:rsid w:val="00981A4F"/>
    <w:rsid w:val="00981D34"/>
    <w:rsid w:val="00981D57"/>
    <w:rsid w:val="00981E12"/>
    <w:rsid w:val="0098201B"/>
    <w:rsid w:val="0098201F"/>
    <w:rsid w:val="00982122"/>
    <w:rsid w:val="00982249"/>
    <w:rsid w:val="00982259"/>
    <w:rsid w:val="00982315"/>
    <w:rsid w:val="00982593"/>
    <w:rsid w:val="00982625"/>
    <w:rsid w:val="009826B2"/>
    <w:rsid w:val="0098290E"/>
    <w:rsid w:val="00982C6D"/>
    <w:rsid w:val="00982C74"/>
    <w:rsid w:val="00982E01"/>
    <w:rsid w:val="00982E59"/>
    <w:rsid w:val="009830C5"/>
    <w:rsid w:val="009834E1"/>
    <w:rsid w:val="0098378A"/>
    <w:rsid w:val="009837F5"/>
    <w:rsid w:val="0098385B"/>
    <w:rsid w:val="009838E4"/>
    <w:rsid w:val="0098391A"/>
    <w:rsid w:val="00983A6D"/>
    <w:rsid w:val="00983A8B"/>
    <w:rsid w:val="00983AA3"/>
    <w:rsid w:val="00983B7F"/>
    <w:rsid w:val="00983C9E"/>
    <w:rsid w:val="00983DE7"/>
    <w:rsid w:val="00983DFD"/>
    <w:rsid w:val="00983F3F"/>
    <w:rsid w:val="009840AE"/>
    <w:rsid w:val="009841FB"/>
    <w:rsid w:val="00984330"/>
    <w:rsid w:val="00984439"/>
    <w:rsid w:val="0098445A"/>
    <w:rsid w:val="00984560"/>
    <w:rsid w:val="009846A9"/>
    <w:rsid w:val="00984739"/>
    <w:rsid w:val="009847E9"/>
    <w:rsid w:val="009848BF"/>
    <w:rsid w:val="00984BCC"/>
    <w:rsid w:val="00984CD3"/>
    <w:rsid w:val="00984EA1"/>
    <w:rsid w:val="00984EF7"/>
    <w:rsid w:val="00984F14"/>
    <w:rsid w:val="009851E1"/>
    <w:rsid w:val="00985236"/>
    <w:rsid w:val="009852A6"/>
    <w:rsid w:val="009852B0"/>
    <w:rsid w:val="009852B3"/>
    <w:rsid w:val="009852EB"/>
    <w:rsid w:val="0098545D"/>
    <w:rsid w:val="0098545F"/>
    <w:rsid w:val="00985499"/>
    <w:rsid w:val="009854DC"/>
    <w:rsid w:val="009854E9"/>
    <w:rsid w:val="0098555B"/>
    <w:rsid w:val="0098559F"/>
    <w:rsid w:val="009855CB"/>
    <w:rsid w:val="00985690"/>
    <w:rsid w:val="009859B2"/>
    <w:rsid w:val="00985A30"/>
    <w:rsid w:val="00985B67"/>
    <w:rsid w:val="00985BE8"/>
    <w:rsid w:val="00985C3E"/>
    <w:rsid w:val="00985E75"/>
    <w:rsid w:val="00986001"/>
    <w:rsid w:val="009860E5"/>
    <w:rsid w:val="009861B1"/>
    <w:rsid w:val="0098620A"/>
    <w:rsid w:val="00986382"/>
    <w:rsid w:val="00986437"/>
    <w:rsid w:val="00986506"/>
    <w:rsid w:val="0098662E"/>
    <w:rsid w:val="00986668"/>
    <w:rsid w:val="009866C5"/>
    <w:rsid w:val="0098677B"/>
    <w:rsid w:val="00986791"/>
    <w:rsid w:val="009867E6"/>
    <w:rsid w:val="00986A0E"/>
    <w:rsid w:val="00986B57"/>
    <w:rsid w:val="00986BBB"/>
    <w:rsid w:val="00986C85"/>
    <w:rsid w:val="00986CEE"/>
    <w:rsid w:val="00986D60"/>
    <w:rsid w:val="00986E17"/>
    <w:rsid w:val="00986E94"/>
    <w:rsid w:val="009871B3"/>
    <w:rsid w:val="009871F3"/>
    <w:rsid w:val="00987275"/>
    <w:rsid w:val="009872A9"/>
    <w:rsid w:val="0098736F"/>
    <w:rsid w:val="00987437"/>
    <w:rsid w:val="00987460"/>
    <w:rsid w:val="00987572"/>
    <w:rsid w:val="00987575"/>
    <w:rsid w:val="00987580"/>
    <w:rsid w:val="00987726"/>
    <w:rsid w:val="009877DD"/>
    <w:rsid w:val="0098788B"/>
    <w:rsid w:val="00987A69"/>
    <w:rsid w:val="00987A89"/>
    <w:rsid w:val="00987C5F"/>
    <w:rsid w:val="00987C84"/>
    <w:rsid w:val="00987C9E"/>
    <w:rsid w:val="00987D7E"/>
    <w:rsid w:val="00987E0A"/>
    <w:rsid w:val="00987FEF"/>
    <w:rsid w:val="009900EC"/>
    <w:rsid w:val="00990156"/>
    <w:rsid w:val="00990374"/>
    <w:rsid w:val="0099045A"/>
    <w:rsid w:val="00990617"/>
    <w:rsid w:val="009906F6"/>
    <w:rsid w:val="00990730"/>
    <w:rsid w:val="00990945"/>
    <w:rsid w:val="009909AD"/>
    <w:rsid w:val="00990B26"/>
    <w:rsid w:val="00990D00"/>
    <w:rsid w:val="00990D42"/>
    <w:rsid w:val="00990E60"/>
    <w:rsid w:val="00990E61"/>
    <w:rsid w:val="00990F55"/>
    <w:rsid w:val="00991094"/>
    <w:rsid w:val="0099121F"/>
    <w:rsid w:val="00991313"/>
    <w:rsid w:val="009913BF"/>
    <w:rsid w:val="009913D1"/>
    <w:rsid w:val="00991442"/>
    <w:rsid w:val="00991514"/>
    <w:rsid w:val="00991632"/>
    <w:rsid w:val="00991667"/>
    <w:rsid w:val="0099177F"/>
    <w:rsid w:val="0099194D"/>
    <w:rsid w:val="00991C9E"/>
    <w:rsid w:val="00991CA6"/>
    <w:rsid w:val="00991E50"/>
    <w:rsid w:val="00991F4A"/>
    <w:rsid w:val="00991FF6"/>
    <w:rsid w:val="009920BC"/>
    <w:rsid w:val="009920D0"/>
    <w:rsid w:val="009922C4"/>
    <w:rsid w:val="00992420"/>
    <w:rsid w:val="00992464"/>
    <w:rsid w:val="0099256A"/>
    <w:rsid w:val="009925FD"/>
    <w:rsid w:val="009926A0"/>
    <w:rsid w:val="00992790"/>
    <w:rsid w:val="00992866"/>
    <w:rsid w:val="009928C0"/>
    <w:rsid w:val="00992970"/>
    <w:rsid w:val="00992A52"/>
    <w:rsid w:val="00992B3D"/>
    <w:rsid w:val="00992B96"/>
    <w:rsid w:val="00992D05"/>
    <w:rsid w:val="00992D8A"/>
    <w:rsid w:val="00992E2B"/>
    <w:rsid w:val="00992E40"/>
    <w:rsid w:val="00992E97"/>
    <w:rsid w:val="00993150"/>
    <w:rsid w:val="009933EA"/>
    <w:rsid w:val="009933F9"/>
    <w:rsid w:val="00993463"/>
    <w:rsid w:val="00993595"/>
    <w:rsid w:val="009935F3"/>
    <w:rsid w:val="00993614"/>
    <w:rsid w:val="0099368D"/>
    <w:rsid w:val="009936CD"/>
    <w:rsid w:val="0099371C"/>
    <w:rsid w:val="00993840"/>
    <w:rsid w:val="00993998"/>
    <w:rsid w:val="00993B6E"/>
    <w:rsid w:val="00993BA5"/>
    <w:rsid w:val="00993C79"/>
    <w:rsid w:val="00993CF2"/>
    <w:rsid w:val="00993ECE"/>
    <w:rsid w:val="00993EEF"/>
    <w:rsid w:val="00993F02"/>
    <w:rsid w:val="00993F06"/>
    <w:rsid w:val="00993F70"/>
    <w:rsid w:val="0099423F"/>
    <w:rsid w:val="00994284"/>
    <w:rsid w:val="00994289"/>
    <w:rsid w:val="00994331"/>
    <w:rsid w:val="00994388"/>
    <w:rsid w:val="009943C8"/>
    <w:rsid w:val="009943F3"/>
    <w:rsid w:val="009943FA"/>
    <w:rsid w:val="009944D5"/>
    <w:rsid w:val="009947AC"/>
    <w:rsid w:val="00994819"/>
    <w:rsid w:val="00994979"/>
    <w:rsid w:val="00994C35"/>
    <w:rsid w:val="00994D2D"/>
    <w:rsid w:val="00994D59"/>
    <w:rsid w:val="00994DA5"/>
    <w:rsid w:val="00994DDA"/>
    <w:rsid w:val="00994F8F"/>
    <w:rsid w:val="00994FA2"/>
    <w:rsid w:val="00995167"/>
    <w:rsid w:val="00995273"/>
    <w:rsid w:val="00995404"/>
    <w:rsid w:val="009954CB"/>
    <w:rsid w:val="00995557"/>
    <w:rsid w:val="009955E5"/>
    <w:rsid w:val="0099569B"/>
    <w:rsid w:val="00995769"/>
    <w:rsid w:val="0099596A"/>
    <w:rsid w:val="00995A5C"/>
    <w:rsid w:val="00995D81"/>
    <w:rsid w:val="00995DAB"/>
    <w:rsid w:val="00995DBF"/>
    <w:rsid w:val="00995E69"/>
    <w:rsid w:val="00995FF7"/>
    <w:rsid w:val="0099621C"/>
    <w:rsid w:val="009963A6"/>
    <w:rsid w:val="00996563"/>
    <w:rsid w:val="009966A5"/>
    <w:rsid w:val="00996856"/>
    <w:rsid w:val="00996A87"/>
    <w:rsid w:val="00996BAE"/>
    <w:rsid w:val="00996BDA"/>
    <w:rsid w:val="00996DB8"/>
    <w:rsid w:val="00996E44"/>
    <w:rsid w:val="00996EA9"/>
    <w:rsid w:val="00996FF3"/>
    <w:rsid w:val="00997213"/>
    <w:rsid w:val="00997387"/>
    <w:rsid w:val="009973FC"/>
    <w:rsid w:val="00997433"/>
    <w:rsid w:val="0099759A"/>
    <w:rsid w:val="009976AC"/>
    <w:rsid w:val="009976D3"/>
    <w:rsid w:val="009977F8"/>
    <w:rsid w:val="00997ABF"/>
    <w:rsid w:val="00997AF1"/>
    <w:rsid w:val="00997C27"/>
    <w:rsid w:val="00997C7E"/>
    <w:rsid w:val="00997D09"/>
    <w:rsid w:val="00997D28"/>
    <w:rsid w:val="00997E59"/>
    <w:rsid w:val="009A0032"/>
    <w:rsid w:val="009A01EA"/>
    <w:rsid w:val="009A0331"/>
    <w:rsid w:val="009A03B2"/>
    <w:rsid w:val="009A0460"/>
    <w:rsid w:val="009A069F"/>
    <w:rsid w:val="009A0721"/>
    <w:rsid w:val="009A083C"/>
    <w:rsid w:val="009A095B"/>
    <w:rsid w:val="009A09C8"/>
    <w:rsid w:val="009A0AA6"/>
    <w:rsid w:val="009A0BCB"/>
    <w:rsid w:val="009A0BE9"/>
    <w:rsid w:val="009A0CFB"/>
    <w:rsid w:val="009A0DDE"/>
    <w:rsid w:val="009A1120"/>
    <w:rsid w:val="009A114E"/>
    <w:rsid w:val="009A1445"/>
    <w:rsid w:val="009A1493"/>
    <w:rsid w:val="009A14B1"/>
    <w:rsid w:val="009A159B"/>
    <w:rsid w:val="009A16EC"/>
    <w:rsid w:val="009A1744"/>
    <w:rsid w:val="009A1746"/>
    <w:rsid w:val="009A190A"/>
    <w:rsid w:val="009A1970"/>
    <w:rsid w:val="009A1AB9"/>
    <w:rsid w:val="009A1B38"/>
    <w:rsid w:val="009A1B5C"/>
    <w:rsid w:val="009A1B61"/>
    <w:rsid w:val="009A1CFC"/>
    <w:rsid w:val="009A1D81"/>
    <w:rsid w:val="009A1E9B"/>
    <w:rsid w:val="009A1F51"/>
    <w:rsid w:val="009A1F95"/>
    <w:rsid w:val="009A2091"/>
    <w:rsid w:val="009A2140"/>
    <w:rsid w:val="009A221E"/>
    <w:rsid w:val="009A235A"/>
    <w:rsid w:val="009A25D2"/>
    <w:rsid w:val="009A28A8"/>
    <w:rsid w:val="009A28EB"/>
    <w:rsid w:val="009A2B11"/>
    <w:rsid w:val="009A2B15"/>
    <w:rsid w:val="009A2B41"/>
    <w:rsid w:val="009A2B5A"/>
    <w:rsid w:val="009A2C57"/>
    <w:rsid w:val="009A2CD3"/>
    <w:rsid w:val="009A2DE2"/>
    <w:rsid w:val="009A2EE1"/>
    <w:rsid w:val="009A2FBD"/>
    <w:rsid w:val="009A30BF"/>
    <w:rsid w:val="009A313B"/>
    <w:rsid w:val="009A317F"/>
    <w:rsid w:val="009A31CB"/>
    <w:rsid w:val="009A31ED"/>
    <w:rsid w:val="009A32BF"/>
    <w:rsid w:val="009A3485"/>
    <w:rsid w:val="009A3539"/>
    <w:rsid w:val="009A35F5"/>
    <w:rsid w:val="009A37D1"/>
    <w:rsid w:val="009A38AD"/>
    <w:rsid w:val="009A3918"/>
    <w:rsid w:val="009A3932"/>
    <w:rsid w:val="009A3AB9"/>
    <w:rsid w:val="009A3C10"/>
    <w:rsid w:val="009A3CC2"/>
    <w:rsid w:val="009A3CFE"/>
    <w:rsid w:val="009A3E61"/>
    <w:rsid w:val="009A4231"/>
    <w:rsid w:val="009A4249"/>
    <w:rsid w:val="009A42D6"/>
    <w:rsid w:val="009A44E9"/>
    <w:rsid w:val="009A4562"/>
    <w:rsid w:val="009A46AA"/>
    <w:rsid w:val="009A46DC"/>
    <w:rsid w:val="009A4727"/>
    <w:rsid w:val="009A4759"/>
    <w:rsid w:val="009A47BC"/>
    <w:rsid w:val="009A4963"/>
    <w:rsid w:val="009A49D7"/>
    <w:rsid w:val="009A49DD"/>
    <w:rsid w:val="009A4A19"/>
    <w:rsid w:val="009A4A76"/>
    <w:rsid w:val="009A4BCF"/>
    <w:rsid w:val="009A4C5A"/>
    <w:rsid w:val="009A4CA7"/>
    <w:rsid w:val="009A4D1E"/>
    <w:rsid w:val="009A4E36"/>
    <w:rsid w:val="009A4E6F"/>
    <w:rsid w:val="009A4E73"/>
    <w:rsid w:val="009A4FC1"/>
    <w:rsid w:val="009A5055"/>
    <w:rsid w:val="009A5061"/>
    <w:rsid w:val="009A506E"/>
    <w:rsid w:val="009A50EB"/>
    <w:rsid w:val="009A511B"/>
    <w:rsid w:val="009A5273"/>
    <w:rsid w:val="009A52D2"/>
    <w:rsid w:val="009A5749"/>
    <w:rsid w:val="009A57D1"/>
    <w:rsid w:val="009A5923"/>
    <w:rsid w:val="009A5981"/>
    <w:rsid w:val="009A5B0A"/>
    <w:rsid w:val="009A5C07"/>
    <w:rsid w:val="009A5C13"/>
    <w:rsid w:val="009A5C22"/>
    <w:rsid w:val="009A5FB6"/>
    <w:rsid w:val="009A60A4"/>
    <w:rsid w:val="009A6235"/>
    <w:rsid w:val="009A6263"/>
    <w:rsid w:val="009A6286"/>
    <w:rsid w:val="009A6317"/>
    <w:rsid w:val="009A6514"/>
    <w:rsid w:val="009A6A52"/>
    <w:rsid w:val="009A6B2B"/>
    <w:rsid w:val="009A6C1D"/>
    <w:rsid w:val="009A6C2B"/>
    <w:rsid w:val="009A6D66"/>
    <w:rsid w:val="009A6DB5"/>
    <w:rsid w:val="009A733A"/>
    <w:rsid w:val="009A7639"/>
    <w:rsid w:val="009A7705"/>
    <w:rsid w:val="009A781A"/>
    <w:rsid w:val="009A78BF"/>
    <w:rsid w:val="009A79A8"/>
    <w:rsid w:val="009A7C98"/>
    <w:rsid w:val="009A7D45"/>
    <w:rsid w:val="009A7E3A"/>
    <w:rsid w:val="009A7F54"/>
    <w:rsid w:val="009ABD25"/>
    <w:rsid w:val="009AF02D"/>
    <w:rsid w:val="009B00D7"/>
    <w:rsid w:val="009B024A"/>
    <w:rsid w:val="009B02F7"/>
    <w:rsid w:val="009B0348"/>
    <w:rsid w:val="009B0437"/>
    <w:rsid w:val="009B052A"/>
    <w:rsid w:val="009B053A"/>
    <w:rsid w:val="009B054C"/>
    <w:rsid w:val="009B05A2"/>
    <w:rsid w:val="009B06CB"/>
    <w:rsid w:val="009B08FE"/>
    <w:rsid w:val="009B099D"/>
    <w:rsid w:val="009B09CC"/>
    <w:rsid w:val="009B09D9"/>
    <w:rsid w:val="009B0C82"/>
    <w:rsid w:val="009B0CF7"/>
    <w:rsid w:val="009B0E90"/>
    <w:rsid w:val="009B0F92"/>
    <w:rsid w:val="009B0FB3"/>
    <w:rsid w:val="009B103A"/>
    <w:rsid w:val="009B1084"/>
    <w:rsid w:val="009B119E"/>
    <w:rsid w:val="009B1231"/>
    <w:rsid w:val="009B12C7"/>
    <w:rsid w:val="009B1317"/>
    <w:rsid w:val="009B1386"/>
    <w:rsid w:val="009B13B9"/>
    <w:rsid w:val="009B14D6"/>
    <w:rsid w:val="009B1525"/>
    <w:rsid w:val="009B1693"/>
    <w:rsid w:val="009B16CB"/>
    <w:rsid w:val="009B16EE"/>
    <w:rsid w:val="009B1780"/>
    <w:rsid w:val="009B188E"/>
    <w:rsid w:val="009B1931"/>
    <w:rsid w:val="009B1BED"/>
    <w:rsid w:val="009B1E15"/>
    <w:rsid w:val="009B1F0D"/>
    <w:rsid w:val="009B1FC5"/>
    <w:rsid w:val="009B2049"/>
    <w:rsid w:val="009B205E"/>
    <w:rsid w:val="009B22CE"/>
    <w:rsid w:val="009B23E3"/>
    <w:rsid w:val="009B25B6"/>
    <w:rsid w:val="009B26B6"/>
    <w:rsid w:val="009B2756"/>
    <w:rsid w:val="009B281B"/>
    <w:rsid w:val="009B2889"/>
    <w:rsid w:val="009B2C6C"/>
    <w:rsid w:val="009B2DE8"/>
    <w:rsid w:val="009B2DEB"/>
    <w:rsid w:val="009B2FFA"/>
    <w:rsid w:val="009B3025"/>
    <w:rsid w:val="009B30E1"/>
    <w:rsid w:val="009B3272"/>
    <w:rsid w:val="009B3279"/>
    <w:rsid w:val="009B3349"/>
    <w:rsid w:val="009B3369"/>
    <w:rsid w:val="009B3785"/>
    <w:rsid w:val="009B3805"/>
    <w:rsid w:val="009B3871"/>
    <w:rsid w:val="009B394A"/>
    <w:rsid w:val="009B39F8"/>
    <w:rsid w:val="009B3A00"/>
    <w:rsid w:val="009B410B"/>
    <w:rsid w:val="009B41D7"/>
    <w:rsid w:val="009B41F1"/>
    <w:rsid w:val="009B42A1"/>
    <w:rsid w:val="009B4321"/>
    <w:rsid w:val="009B44AE"/>
    <w:rsid w:val="009B45AA"/>
    <w:rsid w:val="009B498A"/>
    <w:rsid w:val="009B49CC"/>
    <w:rsid w:val="009B4B03"/>
    <w:rsid w:val="009B4C50"/>
    <w:rsid w:val="009B4DF6"/>
    <w:rsid w:val="009B4ECB"/>
    <w:rsid w:val="009B4F6B"/>
    <w:rsid w:val="009B4F83"/>
    <w:rsid w:val="009B5016"/>
    <w:rsid w:val="009B504F"/>
    <w:rsid w:val="009B5381"/>
    <w:rsid w:val="009B5421"/>
    <w:rsid w:val="009B543C"/>
    <w:rsid w:val="009B56B2"/>
    <w:rsid w:val="009B5708"/>
    <w:rsid w:val="009B5769"/>
    <w:rsid w:val="009B5869"/>
    <w:rsid w:val="009B58B1"/>
    <w:rsid w:val="009B5AC5"/>
    <w:rsid w:val="009B5CD7"/>
    <w:rsid w:val="009B5EBE"/>
    <w:rsid w:val="009B5FAB"/>
    <w:rsid w:val="009B60C3"/>
    <w:rsid w:val="009B6148"/>
    <w:rsid w:val="009B61A5"/>
    <w:rsid w:val="009B6242"/>
    <w:rsid w:val="009B62BC"/>
    <w:rsid w:val="009B631B"/>
    <w:rsid w:val="009B68FD"/>
    <w:rsid w:val="009B69F1"/>
    <w:rsid w:val="009B69F8"/>
    <w:rsid w:val="009B6B23"/>
    <w:rsid w:val="009B6B49"/>
    <w:rsid w:val="009B6B53"/>
    <w:rsid w:val="009B6BB9"/>
    <w:rsid w:val="009B6CD5"/>
    <w:rsid w:val="009B6D09"/>
    <w:rsid w:val="009B6D45"/>
    <w:rsid w:val="009B6DEF"/>
    <w:rsid w:val="009B6E0B"/>
    <w:rsid w:val="009B6ED4"/>
    <w:rsid w:val="009B6F09"/>
    <w:rsid w:val="009B7138"/>
    <w:rsid w:val="009B715A"/>
    <w:rsid w:val="009B73D4"/>
    <w:rsid w:val="009B7410"/>
    <w:rsid w:val="009B748F"/>
    <w:rsid w:val="009B74D4"/>
    <w:rsid w:val="009B74F6"/>
    <w:rsid w:val="009B751E"/>
    <w:rsid w:val="009B7522"/>
    <w:rsid w:val="009B777E"/>
    <w:rsid w:val="009B78FB"/>
    <w:rsid w:val="009B7941"/>
    <w:rsid w:val="009B7A66"/>
    <w:rsid w:val="009B7A83"/>
    <w:rsid w:val="009B7AED"/>
    <w:rsid w:val="009B7BB6"/>
    <w:rsid w:val="009B7C2D"/>
    <w:rsid w:val="009B7F53"/>
    <w:rsid w:val="009BAAD1"/>
    <w:rsid w:val="009C001D"/>
    <w:rsid w:val="009C0237"/>
    <w:rsid w:val="009C041A"/>
    <w:rsid w:val="009C0714"/>
    <w:rsid w:val="009C076E"/>
    <w:rsid w:val="009C0ABD"/>
    <w:rsid w:val="009C0CD1"/>
    <w:rsid w:val="009C0CE4"/>
    <w:rsid w:val="009C0F84"/>
    <w:rsid w:val="009C0FD8"/>
    <w:rsid w:val="009C10BD"/>
    <w:rsid w:val="009C10CE"/>
    <w:rsid w:val="009C119D"/>
    <w:rsid w:val="009C11BD"/>
    <w:rsid w:val="009C11F0"/>
    <w:rsid w:val="009C120F"/>
    <w:rsid w:val="009C128B"/>
    <w:rsid w:val="009C1346"/>
    <w:rsid w:val="009C1439"/>
    <w:rsid w:val="009C1482"/>
    <w:rsid w:val="009C175B"/>
    <w:rsid w:val="009C1877"/>
    <w:rsid w:val="009C1948"/>
    <w:rsid w:val="009C19E8"/>
    <w:rsid w:val="009C19EE"/>
    <w:rsid w:val="009C1AF5"/>
    <w:rsid w:val="009C1CF3"/>
    <w:rsid w:val="009C1D6A"/>
    <w:rsid w:val="009C1D6F"/>
    <w:rsid w:val="009C1DD7"/>
    <w:rsid w:val="009C1F8D"/>
    <w:rsid w:val="009C200A"/>
    <w:rsid w:val="009C215C"/>
    <w:rsid w:val="009C2194"/>
    <w:rsid w:val="009C2255"/>
    <w:rsid w:val="009C232E"/>
    <w:rsid w:val="009C23B1"/>
    <w:rsid w:val="009C23DB"/>
    <w:rsid w:val="009C27DF"/>
    <w:rsid w:val="009C2908"/>
    <w:rsid w:val="009C29CF"/>
    <w:rsid w:val="009C2AA8"/>
    <w:rsid w:val="009C2AD1"/>
    <w:rsid w:val="009C2ADF"/>
    <w:rsid w:val="009C2AE7"/>
    <w:rsid w:val="009C2B03"/>
    <w:rsid w:val="009C2B93"/>
    <w:rsid w:val="009C2D09"/>
    <w:rsid w:val="009C2D7D"/>
    <w:rsid w:val="009C2DF0"/>
    <w:rsid w:val="009C2FAD"/>
    <w:rsid w:val="009C2FC8"/>
    <w:rsid w:val="009C31A6"/>
    <w:rsid w:val="009C3283"/>
    <w:rsid w:val="009C32BC"/>
    <w:rsid w:val="009C334F"/>
    <w:rsid w:val="009C33B6"/>
    <w:rsid w:val="009C3688"/>
    <w:rsid w:val="009C38C4"/>
    <w:rsid w:val="009C38FF"/>
    <w:rsid w:val="009C3A35"/>
    <w:rsid w:val="009C3A5D"/>
    <w:rsid w:val="009C3B01"/>
    <w:rsid w:val="009C3D6A"/>
    <w:rsid w:val="009C3D71"/>
    <w:rsid w:val="009C3D93"/>
    <w:rsid w:val="009C3DAB"/>
    <w:rsid w:val="009C3E34"/>
    <w:rsid w:val="009C3E46"/>
    <w:rsid w:val="009C447F"/>
    <w:rsid w:val="009C456C"/>
    <w:rsid w:val="009C45A9"/>
    <w:rsid w:val="009C45AD"/>
    <w:rsid w:val="009C45DA"/>
    <w:rsid w:val="009C4602"/>
    <w:rsid w:val="009C489E"/>
    <w:rsid w:val="009C4A21"/>
    <w:rsid w:val="009C4A41"/>
    <w:rsid w:val="009C4BEC"/>
    <w:rsid w:val="009C4CA7"/>
    <w:rsid w:val="009C4E66"/>
    <w:rsid w:val="009C4EBB"/>
    <w:rsid w:val="009C4F7E"/>
    <w:rsid w:val="009C4FF6"/>
    <w:rsid w:val="009C5018"/>
    <w:rsid w:val="009C519F"/>
    <w:rsid w:val="009C52F1"/>
    <w:rsid w:val="009C539D"/>
    <w:rsid w:val="009C56A7"/>
    <w:rsid w:val="009C5735"/>
    <w:rsid w:val="009C576A"/>
    <w:rsid w:val="009C57C1"/>
    <w:rsid w:val="009C5989"/>
    <w:rsid w:val="009C5C13"/>
    <w:rsid w:val="009C5D94"/>
    <w:rsid w:val="009C5DFE"/>
    <w:rsid w:val="009C5E58"/>
    <w:rsid w:val="009C6055"/>
    <w:rsid w:val="009C61BB"/>
    <w:rsid w:val="009C62AC"/>
    <w:rsid w:val="009C62AE"/>
    <w:rsid w:val="009C6464"/>
    <w:rsid w:val="009C656C"/>
    <w:rsid w:val="009C658D"/>
    <w:rsid w:val="009C65B5"/>
    <w:rsid w:val="009C66A7"/>
    <w:rsid w:val="009C68CD"/>
    <w:rsid w:val="009C6914"/>
    <w:rsid w:val="009C69C5"/>
    <w:rsid w:val="009C6A2B"/>
    <w:rsid w:val="009C6CC0"/>
    <w:rsid w:val="009C6CC8"/>
    <w:rsid w:val="009C6CE4"/>
    <w:rsid w:val="009C6E78"/>
    <w:rsid w:val="009C715E"/>
    <w:rsid w:val="009C7243"/>
    <w:rsid w:val="009C72A4"/>
    <w:rsid w:val="009C7319"/>
    <w:rsid w:val="009C7441"/>
    <w:rsid w:val="009C756F"/>
    <w:rsid w:val="009C75C4"/>
    <w:rsid w:val="009C75E6"/>
    <w:rsid w:val="009C7606"/>
    <w:rsid w:val="009C7685"/>
    <w:rsid w:val="009C791C"/>
    <w:rsid w:val="009C7966"/>
    <w:rsid w:val="009C7985"/>
    <w:rsid w:val="009C7A1D"/>
    <w:rsid w:val="009C7A63"/>
    <w:rsid w:val="009C7A8F"/>
    <w:rsid w:val="009C7CA4"/>
    <w:rsid w:val="009C7DCD"/>
    <w:rsid w:val="009C7E20"/>
    <w:rsid w:val="009C7FAE"/>
    <w:rsid w:val="009D0018"/>
    <w:rsid w:val="009D006D"/>
    <w:rsid w:val="009D016F"/>
    <w:rsid w:val="009D01D9"/>
    <w:rsid w:val="009D01E9"/>
    <w:rsid w:val="009D025B"/>
    <w:rsid w:val="009D0408"/>
    <w:rsid w:val="009D0476"/>
    <w:rsid w:val="009D058D"/>
    <w:rsid w:val="009D06B6"/>
    <w:rsid w:val="009D0B50"/>
    <w:rsid w:val="009D0C86"/>
    <w:rsid w:val="009D0CD8"/>
    <w:rsid w:val="009D0D3D"/>
    <w:rsid w:val="009D0ECE"/>
    <w:rsid w:val="009D0EDA"/>
    <w:rsid w:val="009D0EE3"/>
    <w:rsid w:val="009D0F23"/>
    <w:rsid w:val="009D100E"/>
    <w:rsid w:val="009D11F8"/>
    <w:rsid w:val="009D128E"/>
    <w:rsid w:val="009D1299"/>
    <w:rsid w:val="009D135C"/>
    <w:rsid w:val="009D1372"/>
    <w:rsid w:val="009D1517"/>
    <w:rsid w:val="009D174D"/>
    <w:rsid w:val="009D181A"/>
    <w:rsid w:val="009D18B3"/>
    <w:rsid w:val="009D192B"/>
    <w:rsid w:val="009D1A7E"/>
    <w:rsid w:val="009D217B"/>
    <w:rsid w:val="009D2282"/>
    <w:rsid w:val="009D2435"/>
    <w:rsid w:val="009D2578"/>
    <w:rsid w:val="009D25B3"/>
    <w:rsid w:val="009D25EC"/>
    <w:rsid w:val="009D25F2"/>
    <w:rsid w:val="009D2684"/>
    <w:rsid w:val="009D28C7"/>
    <w:rsid w:val="009D2CE9"/>
    <w:rsid w:val="009D2D52"/>
    <w:rsid w:val="009D2FBF"/>
    <w:rsid w:val="009D31A7"/>
    <w:rsid w:val="009D31D0"/>
    <w:rsid w:val="009D3279"/>
    <w:rsid w:val="009D33D5"/>
    <w:rsid w:val="009D343E"/>
    <w:rsid w:val="009D34ED"/>
    <w:rsid w:val="009D36E5"/>
    <w:rsid w:val="009D381C"/>
    <w:rsid w:val="009D3ADE"/>
    <w:rsid w:val="009D3B60"/>
    <w:rsid w:val="009D3C3A"/>
    <w:rsid w:val="009D3C74"/>
    <w:rsid w:val="009D3D73"/>
    <w:rsid w:val="009D3D83"/>
    <w:rsid w:val="009D3DBF"/>
    <w:rsid w:val="009D4050"/>
    <w:rsid w:val="009D405A"/>
    <w:rsid w:val="009D4196"/>
    <w:rsid w:val="009D41F4"/>
    <w:rsid w:val="009D42BB"/>
    <w:rsid w:val="009D4323"/>
    <w:rsid w:val="009D43BF"/>
    <w:rsid w:val="009D463D"/>
    <w:rsid w:val="009D4741"/>
    <w:rsid w:val="009D47F0"/>
    <w:rsid w:val="009D47F9"/>
    <w:rsid w:val="009D47FA"/>
    <w:rsid w:val="009D4929"/>
    <w:rsid w:val="009D4AD5"/>
    <w:rsid w:val="009D4BF6"/>
    <w:rsid w:val="009D4C42"/>
    <w:rsid w:val="009D4C76"/>
    <w:rsid w:val="009D4CEB"/>
    <w:rsid w:val="009D4DFB"/>
    <w:rsid w:val="009D4E2F"/>
    <w:rsid w:val="009D4EEE"/>
    <w:rsid w:val="009D4F21"/>
    <w:rsid w:val="009D4FC7"/>
    <w:rsid w:val="009D5161"/>
    <w:rsid w:val="009D517F"/>
    <w:rsid w:val="009D5238"/>
    <w:rsid w:val="009D534D"/>
    <w:rsid w:val="009D535D"/>
    <w:rsid w:val="009D547A"/>
    <w:rsid w:val="009D5670"/>
    <w:rsid w:val="009D56BE"/>
    <w:rsid w:val="009D56C5"/>
    <w:rsid w:val="009D575F"/>
    <w:rsid w:val="009D5839"/>
    <w:rsid w:val="009D58F3"/>
    <w:rsid w:val="009D595C"/>
    <w:rsid w:val="009D596F"/>
    <w:rsid w:val="009D5A8C"/>
    <w:rsid w:val="009D5B2C"/>
    <w:rsid w:val="009D5B53"/>
    <w:rsid w:val="009D5B7E"/>
    <w:rsid w:val="009D5C74"/>
    <w:rsid w:val="009D5D03"/>
    <w:rsid w:val="009D5D3C"/>
    <w:rsid w:val="009D5D44"/>
    <w:rsid w:val="009D5D8C"/>
    <w:rsid w:val="009D5E00"/>
    <w:rsid w:val="009D5F8F"/>
    <w:rsid w:val="009D5FD1"/>
    <w:rsid w:val="009D6054"/>
    <w:rsid w:val="009D606F"/>
    <w:rsid w:val="009D613A"/>
    <w:rsid w:val="009D62E8"/>
    <w:rsid w:val="009D632D"/>
    <w:rsid w:val="009D63F0"/>
    <w:rsid w:val="009D64A4"/>
    <w:rsid w:val="009D680D"/>
    <w:rsid w:val="009D68FA"/>
    <w:rsid w:val="009D690F"/>
    <w:rsid w:val="009D69DC"/>
    <w:rsid w:val="009D6B58"/>
    <w:rsid w:val="009D6E42"/>
    <w:rsid w:val="009D6EAF"/>
    <w:rsid w:val="009D6F59"/>
    <w:rsid w:val="009D702B"/>
    <w:rsid w:val="009D7208"/>
    <w:rsid w:val="009D725B"/>
    <w:rsid w:val="009D7486"/>
    <w:rsid w:val="009D78B7"/>
    <w:rsid w:val="009D78CF"/>
    <w:rsid w:val="009D790D"/>
    <w:rsid w:val="009D79B4"/>
    <w:rsid w:val="009D79BE"/>
    <w:rsid w:val="009D79C2"/>
    <w:rsid w:val="009D7A93"/>
    <w:rsid w:val="009D7B4C"/>
    <w:rsid w:val="009D7B73"/>
    <w:rsid w:val="009D7C0F"/>
    <w:rsid w:val="009D7DAD"/>
    <w:rsid w:val="009D7E20"/>
    <w:rsid w:val="009D7E54"/>
    <w:rsid w:val="009D7EA8"/>
    <w:rsid w:val="009D7FF4"/>
    <w:rsid w:val="009E0158"/>
    <w:rsid w:val="009E0222"/>
    <w:rsid w:val="009E052B"/>
    <w:rsid w:val="009E055B"/>
    <w:rsid w:val="009E077F"/>
    <w:rsid w:val="009E07B6"/>
    <w:rsid w:val="009E07C7"/>
    <w:rsid w:val="009E0813"/>
    <w:rsid w:val="009E0995"/>
    <w:rsid w:val="009E0B46"/>
    <w:rsid w:val="009E1027"/>
    <w:rsid w:val="009E106F"/>
    <w:rsid w:val="009E1135"/>
    <w:rsid w:val="009E117A"/>
    <w:rsid w:val="009E11B7"/>
    <w:rsid w:val="009E12ED"/>
    <w:rsid w:val="009E1316"/>
    <w:rsid w:val="009E1474"/>
    <w:rsid w:val="009E14E5"/>
    <w:rsid w:val="009E15A0"/>
    <w:rsid w:val="009E1624"/>
    <w:rsid w:val="009E16F6"/>
    <w:rsid w:val="009E1847"/>
    <w:rsid w:val="009E18E5"/>
    <w:rsid w:val="009E1901"/>
    <w:rsid w:val="009E19D1"/>
    <w:rsid w:val="009E19E0"/>
    <w:rsid w:val="009E1BFD"/>
    <w:rsid w:val="009E1D8F"/>
    <w:rsid w:val="009E1EE5"/>
    <w:rsid w:val="009E1F95"/>
    <w:rsid w:val="009E20E7"/>
    <w:rsid w:val="009E20FE"/>
    <w:rsid w:val="009E22A9"/>
    <w:rsid w:val="009E2431"/>
    <w:rsid w:val="009E243E"/>
    <w:rsid w:val="009E2587"/>
    <w:rsid w:val="009E25FD"/>
    <w:rsid w:val="009E2801"/>
    <w:rsid w:val="009E2A0F"/>
    <w:rsid w:val="009E2A98"/>
    <w:rsid w:val="009E2BF0"/>
    <w:rsid w:val="009E2C21"/>
    <w:rsid w:val="009E2C6F"/>
    <w:rsid w:val="009E2CF7"/>
    <w:rsid w:val="009E2E51"/>
    <w:rsid w:val="009E2ED1"/>
    <w:rsid w:val="009E2EF1"/>
    <w:rsid w:val="009E2F32"/>
    <w:rsid w:val="009E2F87"/>
    <w:rsid w:val="009E3300"/>
    <w:rsid w:val="009E352A"/>
    <w:rsid w:val="009E36D4"/>
    <w:rsid w:val="009E37C0"/>
    <w:rsid w:val="009E38C8"/>
    <w:rsid w:val="009E39D9"/>
    <w:rsid w:val="009E3B9C"/>
    <w:rsid w:val="009E3DAF"/>
    <w:rsid w:val="009E401C"/>
    <w:rsid w:val="009E4078"/>
    <w:rsid w:val="009E435E"/>
    <w:rsid w:val="009E43DF"/>
    <w:rsid w:val="009E4425"/>
    <w:rsid w:val="009E4474"/>
    <w:rsid w:val="009E45BD"/>
    <w:rsid w:val="009E45EC"/>
    <w:rsid w:val="009E46F6"/>
    <w:rsid w:val="009E47FF"/>
    <w:rsid w:val="009E4957"/>
    <w:rsid w:val="009E4A35"/>
    <w:rsid w:val="009E4B76"/>
    <w:rsid w:val="009E4BAA"/>
    <w:rsid w:val="009E4CE8"/>
    <w:rsid w:val="009E5147"/>
    <w:rsid w:val="009E5177"/>
    <w:rsid w:val="009E523E"/>
    <w:rsid w:val="009E530A"/>
    <w:rsid w:val="009E5746"/>
    <w:rsid w:val="009E57D5"/>
    <w:rsid w:val="009E57E5"/>
    <w:rsid w:val="009E5809"/>
    <w:rsid w:val="009E5837"/>
    <w:rsid w:val="009E58CA"/>
    <w:rsid w:val="009E59DA"/>
    <w:rsid w:val="009E5D28"/>
    <w:rsid w:val="009E5E9F"/>
    <w:rsid w:val="009E5FD7"/>
    <w:rsid w:val="009E5FE2"/>
    <w:rsid w:val="009E61EA"/>
    <w:rsid w:val="009E6234"/>
    <w:rsid w:val="009E6238"/>
    <w:rsid w:val="009E6303"/>
    <w:rsid w:val="009E64A8"/>
    <w:rsid w:val="009E688E"/>
    <w:rsid w:val="009E68D8"/>
    <w:rsid w:val="009E6B0F"/>
    <w:rsid w:val="009E6B17"/>
    <w:rsid w:val="009E6BFE"/>
    <w:rsid w:val="009E6F06"/>
    <w:rsid w:val="009E7003"/>
    <w:rsid w:val="009E719B"/>
    <w:rsid w:val="009E72C1"/>
    <w:rsid w:val="009E736F"/>
    <w:rsid w:val="009E738D"/>
    <w:rsid w:val="009E73B2"/>
    <w:rsid w:val="009E73C0"/>
    <w:rsid w:val="009E7401"/>
    <w:rsid w:val="009E7459"/>
    <w:rsid w:val="009E74E5"/>
    <w:rsid w:val="009E760C"/>
    <w:rsid w:val="009E7616"/>
    <w:rsid w:val="009E7704"/>
    <w:rsid w:val="009E7792"/>
    <w:rsid w:val="009E7863"/>
    <w:rsid w:val="009E79E7"/>
    <w:rsid w:val="009E7A1A"/>
    <w:rsid w:val="009E7A1D"/>
    <w:rsid w:val="009E7ABF"/>
    <w:rsid w:val="009E7D33"/>
    <w:rsid w:val="009E7D58"/>
    <w:rsid w:val="009E7D74"/>
    <w:rsid w:val="009F00E7"/>
    <w:rsid w:val="009F00E9"/>
    <w:rsid w:val="009F012A"/>
    <w:rsid w:val="009F02C8"/>
    <w:rsid w:val="009F02F4"/>
    <w:rsid w:val="009F043F"/>
    <w:rsid w:val="009F0867"/>
    <w:rsid w:val="009F0A93"/>
    <w:rsid w:val="009F0AF4"/>
    <w:rsid w:val="009F0C5C"/>
    <w:rsid w:val="009F0CCA"/>
    <w:rsid w:val="009F0CDE"/>
    <w:rsid w:val="009F0F97"/>
    <w:rsid w:val="009F0FB3"/>
    <w:rsid w:val="009F0FD8"/>
    <w:rsid w:val="009F108B"/>
    <w:rsid w:val="009F10CE"/>
    <w:rsid w:val="009F10D9"/>
    <w:rsid w:val="009F11D3"/>
    <w:rsid w:val="009F1254"/>
    <w:rsid w:val="009F16D0"/>
    <w:rsid w:val="009F178F"/>
    <w:rsid w:val="009F1878"/>
    <w:rsid w:val="009F1A0C"/>
    <w:rsid w:val="009F1AD7"/>
    <w:rsid w:val="009F1C0D"/>
    <w:rsid w:val="009F1D3E"/>
    <w:rsid w:val="009F1D89"/>
    <w:rsid w:val="009F213E"/>
    <w:rsid w:val="009F2208"/>
    <w:rsid w:val="009F254F"/>
    <w:rsid w:val="009F2557"/>
    <w:rsid w:val="009F2579"/>
    <w:rsid w:val="009F287F"/>
    <w:rsid w:val="009F2938"/>
    <w:rsid w:val="009F2951"/>
    <w:rsid w:val="009F2BC3"/>
    <w:rsid w:val="009F2C32"/>
    <w:rsid w:val="009F2C44"/>
    <w:rsid w:val="009F2E2B"/>
    <w:rsid w:val="009F2EBD"/>
    <w:rsid w:val="009F2F27"/>
    <w:rsid w:val="009F31CA"/>
    <w:rsid w:val="009F32C3"/>
    <w:rsid w:val="009F341B"/>
    <w:rsid w:val="009F3525"/>
    <w:rsid w:val="009F357F"/>
    <w:rsid w:val="009F37F6"/>
    <w:rsid w:val="009F37FC"/>
    <w:rsid w:val="009F3B60"/>
    <w:rsid w:val="009F3E37"/>
    <w:rsid w:val="009F3EBD"/>
    <w:rsid w:val="009F4013"/>
    <w:rsid w:val="009F403E"/>
    <w:rsid w:val="009F4141"/>
    <w:rsid w:val="009F4373"/>
    <w:rsid w:val="009F43C2"/>
    <w:rsid w:val="009F445C"/>
    <w:rsid w:val="009F4552"/>
    <w:rsid w:val="009F46C0"/>
    <w:rsid w:val="009F4752"/>
    <w:rsid w:val="009F4930"/>
    <w:rsid w:val="009F4D1A"/>
    <w:rsid w:val="009F4D74"/>
    <w:rsid w:val="009F4D87"/>
    <w:rsid w:val="009F4E1B"/>
    <w:rsid w:val="009F4EB7"/>
    <w:rsid w:val="009F4ED7"/>
    <w:rsid w:val="009F4F76"/>
    <w:rsid w:val="009F506E"/>
    <w:rsid w:val="009F507B"/>
    <w:rsid w:val="009F508B"/>
    <w:rsid w:val="009F50DB"/>
    <w:rsid w:val="009F54B3"/>
    <w:rsid w:val="009F5628"/>
    <w:rsid w:val="009F5644"/>
    <w:rsid w:val="009F56CE"/>
    <w:rsid w:val="009F56F6"/>
    <w:rsid w:val="009F5731"/>
    <w:rsid w:val="009F578D"/>
    <w:rsid w:val="009F5966"/>
    <w:rsid w:val="009F5BEC"/>
    <w:rsid w:val="009F5D9B"/>
    <w:rsid w:val="009F5EF7"/>
    <w:rsid w:val="009F5F64"/>
    <w:rsid w:val="009F5FF8"/>
    <w:rsid w:val="009F616B"/>
    <w:rsid w:val="009F61F0"/>
    <w:rsid w:val="009F635A"/>
    <w:rsid w:val="009F638E"/>
    <w:rsid w:val="009F63C1"/>
    <w:rsid w:val="009F6412"/>
    <w:rsid w:val="009F64C6"/>
    <w:rsid w:val="009F64D2"/>
    <w:rsid w:val="009F6608"/>
    <w:rsid w:val="009F666B"/>
    <w:rsid w:val="009F66F0"/>
    <w:rsid w:val="009F67DB"/>
    <w:rsid w:val="009F697B"/>
    <w:rsid w:val="009F6A09"/>
    <w:rsid w:val="009F6AEE"/>
    <w:rsid w:val="009F6BCE"/>
    <w:rsid w:val="009F6BD6"/>
    <w:rsid w:val="009F6CF2"/>
    <w:rsid w:val="009F6D0B"/>
    <w:rsid w:val="009F6D1D"/>
    <w:rsid w:val="009F6D31"/>
    <w:rsid w:val="009F6D53"/>
    <w:rsid w:val="009F6D74"/>
    <w:rsid w:val="009F6FBC"/>
    <w:rsid w:val="009F7150"/>
    <w:rsid w:val="009F7239"/>
    <w:rsid w:val="009F7574"/>
    <w:rsid w:val="009F75B3"/>
    <w:rsid w:val="009F76D4"/>
    <w:rsid w:val="009F7819"/>
    <w:rsid w:val="009F7868"/>
    <w:rsid w:val="009F788E"/>
    <w:rsid w:val="009F7923"/>
    <w:rsid w:val="009F795E"/>
    <w:rsid w:val="009F7AFA"/>
    <w:rsid w:val="009F7BD3"/>
    <w:rsid w:val="009F7C20"/>
    <w:rsid w:val="009F7D6B"/>
    <w:rsid w:val="009F7DF2"/>
    <w:rsid w:val="009F7F4B"/>
    <w:rsid w:val="009F7FC6"/>
    <w:rsid w:val="009F7FD5"/>
    <w:rsid w:val="00A0000B"/>
    <w:rsid w:val="00A00107"/>
    <w:rsid w:val="00A001AC"/>
    <w:rsid w:val="00A003D1"/>
    <w:rsid w:val="00A003EE"/>
    <w:rsid w:val="00A0044E"/>
    <w:rsid w:val="00A00453"/>
    <w:rsid w:val="00A004A5"/>
    <w:rsid w:val="00A00508"/>
    <w:rsid w:val="00A0054B"/>
    <w:rsid w:val="00A006C1"/>
    <w:rsid w:val="00A0092F"/>
    <w:rsid w:val="00A00A66"/>
    <w:rsid w:val="00A00A8E"/>
    <w:rsid w:val="00A00BCF"/>
    <w:rsid w:val="00A00BD2"/>
    <w:rsid w:val="00A00DDA"/>
    <w:rsid w:val="00A00F4F"/>
    <w:rsid w:val="00A011A7"/>
    <w:rsid w:val="00A011D0"/>
    <w:rsid w:val="00A01424"/>
    <w:rsid w:val="00A014DD"/>
    <w:rsid w:val="00A01630"/>
    <w:rsid w:val="00A0186B"/>
    <w:rsid w:val="00A01A54"/>
    <w:rsid w:val="00A01B38"/>
    <w:rsid w:val="00A01C2C"/>
    <w:rsid w:val="00A01C36"/>
    <w:rsid w:val="00A01EB2"/>
    <w:rsid w:val="00A01F44"/>
    <w:rsid w:val="00A01FD5"/>
    <w:rsid w:val="00A0208B"/>
    <w:rsid w:val="00A02163"/>
    <w:rsid w:val="00A022C0"/>
    <w:rsid w:val="00A0251C"/>
    <w:rsid w:val="00A02596"/>
    <w:rsid w:val="00A02652"/>
    <w:rsid w:val="00A02707"/>
    <w:rsid w:val="00A0270C"/>
    <w:rsid w:val="00A028A7"/>
    <w:rsid w:val="00A02A2F"/>
    <w:rsid w:val="00A02AB5"/>
    <w:rsid w:val="00A02AF3"/>
    <w:rsid w:val="00A02C15"/>
    <w:rsid w:val="00A02D5B"/>
    <w:rsid w:val="00A02D98"/>
    <w:rsid w:val="00A02EBB"/>
    <w:rsid w:val="00A03063"/>
    <w:rsid w:val="00A03090"/>
    <w:rsid w:val="00A030E9"/>
    <w:rsid w:val="00A03265"/>
    <w:rsid w:val="00A0357C"/>
    <w:rsid w:val="00A03631"/>
    <w:rsid w:val="00A03677"/>
    <w:rsid w:val="00A03792"/>
    <w:rsid w:val="00A037A9"/>
    <w:rsid w:val="00A038E3"/>
    <w:rsid w:val="00A03976"/>
    <w:rsid w:val="00A039AE"/>
    <w:rsid w:val="00A039F8"/>
    <w:rsid w:val="00A03AE0"/>
    <w:rsid w:val="00A03B8E"/>
    <w:rsid w:val="00A03BB6"/>
    <w:rsid w:val="00A03C9A"/>
    <w:rsid w:val="00A03E33"/>
    <w:rsid w:val="00A03F24"/>
    <w:rsid w:val="00A04343"/>
    <w:rsid w:val="00A043F2"/>
    <w:rsid w:val="00A04615"/>
    <w:rsid w:val="00A0462C"/>
    <w:rsid w:val="00A04749"/>
    <w:rsid w:val="00A0484A"/>
    <w:rsid w:val="00A04890"/>
    <w:rsid w:val="00A048C3"/>
    <w:rsid w:val="00A04E30"/>
    <w:rsid w:val="00A04E5A"/>
    <w:rsid w:val="00A05444"/>
    <w:rsid w:val="00A054BC"/>
    <w:rsid w:val="00A055AD"/>
    <w:rsid w:val="00A055B8"/>
    <w:rsid w:val="00A056AB"/>
    <w:rsid w:val="00A056DC"/>
    <w:rsid w:val="00A0593C"/>
    <w:rsid w:val="00A05944"/>
    <w:rsid w:val="00A05BD0"/>
    <w:rsid w:val="00A05C1F"/>
    <w:rsid w:val="00A05D52"/>
    <w:rsid w:val="00A05E1D"/>
    <w:rsid w:val="00A05ECD"/>
    <w:rsid w:val="00A05EFE"/>
    <w:rsid w:val="00A05F50"/>
    <w:rsid w:val="00A06127"/>
    <w:rsid w:val="00A0612C"/>
    <w:rsid w:val="00A06456"/>
    <w:rsid w:val="00A064B4"/>
    <w:rsid w:val="00A06683"/>
    <w:rsid w:val="00A06751"/>
    <w:rsid w:val="00A06925"/>
    <w:rsid w:val="00A069C2"/>
    <w:rsid w:val="00A06A09"/>
    <w:rsid w:val="00A06A92"/>
    <w:rsid w:val="00A06BAC"/>
    <w:rsid w:val="00A06EED"/>
    <w:rsid w:val="00A06FB8"/>
    <w:rsid w:val="00A07186"/>
    <w:rsid w:val="00A07290"/>
    <w:rsid w:val="00A0743E"/>
    <w:rsid w:val="00A074FD"/>
    <w:rsid w:val="00A07550"/>
    <w:rsid w:val="00A0761D"/>
    <w:rsid w:val="00A07790"/>
    <w:rsid w:val="00A077B6"/>
    <w:rsid w:val="00A078F9"/>
    <w:rsid w:val="00A07A13"/>
    <w:rsid w:val="00A07A78"/>
    <w:rsid w:val="00A07AE3"/>
    <w:rsid w:val="00A07C0F"/>
    <w:rsid w:val="00A07CB5"/>
    <w:rsid w:val="00A07CD5"/>
    <w:rsid w:val="00A07D96"/>
    <w:rsid w:val="00A07E26"/>
    <w:rsid w:val="00A07E6E"/>
    <w:rsid w:val="00A07FFB"/>
    <w:rsid w:val="00A10062"/>
    <w:rsid w:val="00A10290"/>
    <w:rsid w:val="00A10376"/>
    <w:rsid w:val="00A104CB"/>
    <w:rsid w:val="00A1059B"/>
    <w:rsid w:val="00A105C4"/>
    <w:rsid w:val="00A10797"/>
    <w:rsid w:val="00A107CE"/>
    <w:rsid w:val="00A10885"/>
    <w:rsid w:val="00A10922"/>
    <w:rsid w:val="00A10A45"/>
    <w:rsid w:val="00A10B54"/>
    <w:rsid w:val="00A10C98"/>
    <w:rsid w:val="00A10CAD"/>
    <w:rsid w:val="00A10EE1"/>
    <w:rsid w:val="00A10F3F"/>
    <w:rsid w:val="00A11001"/>
    <w:rsid w:val="00A1107F"/>
    <w:rsid w:val="00A11218"/>
    <w:rsid w:val="00A1121D"/>
    <w:rsid w:val="00A11268"/>
    <w:rsid w:val="00A1129E"/>
    <w:rsid w:val="00A112CB"/>
    <w:rsid w:val="00A1137A"/>
    <w:rsid w:val="00A11537"/>
    <w:rsid w:val="00A11572"/>
    <w:rsid w:val="00A115F6"/>
    <w:rsid w:val="00A11803"/>
    <w:rsid w:val="00A118EA"/>
    <w:rsid w:val="00A118F2"/>
    <w:rsid w:val="00A11988"/>
    <w:rsid w:val="00A119F8"/>
    <w:rsid w:val="00A11A16"/>
    <w:rsid w:val="00A11A33"/>
    <w:rsid w:val="00A11B83"/>
    <w:rsid w:val="00A11BBB"/>
    <w:rsid w:val="00A11D9B"/>
    <w:rsid w:val="00A11F1C"/>
    <w:rsid w:val="00A11F9D"/>
    <w:rsid w:val="00A11FA8"/>
    <w:rsid w:val="00A1205E"/>
    <w:rsid w:val="00A12359"/>
    <w:rsid w:val="00A123AB"/>
    <w:rsid w:val="00A12454"/>
    <w:rsid w:val="00A12474"/>
    <w:rsid w:val="00A1247E"/>
    <w:rsid w:val="00A1251C"/>
    <w:rsid w:val="00A12617"/>
    <w:rsid w:val="00A12661"/>
    <w:rsid w:val="00A1268F"/>
    <w:rsid w:val="00A128BA"/>
    <w:rsid w:val="00A128D6"/>
    <w:rsid w:val="00A12980"/>
    <w:rsid w:val="00A12982"/>
    <w:rsid w:val="00A12B73"/>
    <w:rsid w:val="00A12C3B"/>
    <w:rsid w:val="00A12DF7"/>
    <w:rsid w:val="00A1312F"/>
    <w:rsid w:val="00A13231"/>
    <w:rsid w:val="00A13379"/>
    <w:rsid w:val="00A13495"/>
    <w:rsid w:val="00A13557"/>
    <w:rsid w:val="00A13595"/>
    <w:rsid w:val="00A137E6"/>
    <w:rsid w:val="00A1384E"/>
    <w:rsid w:val="00A139E8"/>
    <w:rsid w:val="00A13A71"/>
    <w:rsid w:val="00A13BB6"/>
    <w:rsid w:val="00A13BE5"/>
    <w:rsid w:val="00A13C5C"/>
    <w:rsid w:val="00A13C9F"/>
    <w:rsid w:val="00A13DCA"/>
    <w:rsid w:val="00A13E9C"/>
    <w:rsid w:val="00A13EE9"/>
    <w:rsid w:val="00A14236"/>
    <w:rsid w:val="00A1435F"/>
    <w:rsid w:val="00A143FD"/>
    <w:rsid w:val="00A14566"/>
    <w:rsid w:val="00A145F3"/>
    <w:rsid w:val="00A146FB"/>
    <w:rsid w:val="00A1488E"/>
    <w:rsid w:val="00A148E7"/>
    <w:rsid w:val="00A149FB"/>
    <w:rsid w:val="00A14A50"/>
    <w:rsid w:val="00A14A9B"/>
    <w:rsid w:val="00A14AC2"/>
    <w:rsid w:val="00A14B24"/>
    <w:rsid w:val="00A14B35"/>
    <w:rsid w:val="00A14C87"/>
    <w:rsid w:val="00A14D5C"/>
    <w:rsid w:val="00A14DC9"/>
    <w:rsid w:val="00A150BB"/>
    <w:rsid w:val="00A1514D"/>
    <w:rsid w:val="00A1516A"/>
    <w:rsid w:val="00A1523C"/>
    <w:rsid w:val="00A15490"/>
    <w:rsid w:val="00A15521"/>
    <w:rsid w:val="00A15529"/>
    <w:rsid w:val="00A1564B"/>
    <w:rsid w:val="00A15674"/>
    <w:rsid w:val="00A1578F"/>
    <w:rsid w:val="00A1585A"/>
    <w:rsid w:val="00A1586B"/>
    <w:rsid w:val="00A1589F"/>
    <w:rsid w:val="00A158C8"/>
    <w:rsid w:val="00A158EC"/>
    <w:rsid w:val="00A15916"/>
    <w:rsid w:val="00A15932"/>
    <w:rsid w:val="00A1593A"/>
    <w:rsid w:val="00A15B7C"/>
    <w:rsid w:val="00A15CF7"/>
    <w:rsid w:val="00A15F02"/>
    <w:rsid w:val="00A160FC"/>
    <w:rsid w:val="00A16104"/>
    <w:rsid w:val="00A161DD"/>
    <w:rsid w:val="00A162CF"/>
    <w:rsid w:val="00A16329"/>
    <w:rsid w:val="00A164E8"/>
    <w:rsid w:val="00A165B2"/>
    <w:rsid w:val="00A16643"/>
    <w:rsid w:val="00A16824"/>
    <w:rsid w:val="00A1687A"/>
    <w:rsid w:val="00A168EC"/>
    <w:rsid w:val="00A169AD"/>
    <w:rsid w:val="00A16A1E"/>
    <w:rsid w:val="00A16AE0"/>
    <w:rsid w:val="00A16CAA"/>
    <w:rsid w:val="00A16CE4"/>
    <w:rsid w:val="00A16DF4"/>
    <w:rsid w:val="00A16E6B"/>
    <w:rsid w:val="00A16F61"/>
    <w:rsid w:val="00A16FD9"/>
    <w:rsid w:val="00A1708B"/>
    <w:rsid w:val="00A17119"/>
    <w:rsid w:val="00A17184"/>
    <w:rsid w:val="00A17291"/>
    <w:rsid w:val="00A17394"/>
    <w:rsid w:val="00A17427"/>
    <w:rsid w:val="00A17457"/>
    <w:rsid w:val="00A17569"/>
    <w:rsid w:val="00A17606"/>
    <w:rsid w:val="00A1766B"/>
    <w:rsid w:val="00A1769B"/>
    <w:rsid w:val="00A17903"/>
    <w:rsid w:val="00A17B4E"/>
    <w:rsid w:val="00A17C60"/>
    <w:rsid w:val="00A17CF3"/>
    <w:rsid w:val="00A17E60"/>
    <w:rsid w:val="00A17EFE"/>
    <w:rsid w:val="00A17F11"/>
    <w:rsid w:val="00A19CDF"/>
    <w:rsid w:val="00A20282"/>
    <w:rsid w:val="00A202A5"/>
    <w:rsid w:val="00A202D9"/>
    <w:rsid w:val="00A20390"/>
    <w:rsid w:val="00A20710"/>
    <w:rsid w:val="00A20757"/>
    <w:rsid w:val="00A20779"/>
    <w:rsid w:val="00A2078B"/>
    <w:rsid w:val="00A207A1"/>
    <w:rsid w:val="00A20921"/>
    <w:rsid w:val="00A20937"/>
    <w:rsid w:val="00A20957"/>
    <w:rsid w:val="00A20A2B"/>
    <w:rsid w:val="00A20B22"/>
    <w:rsid w:val="00A20CD6"/>
    <w:rsid w:val="00A20D0B"/>
    <w:rsid w:val="00A20DC8"/>
    <w:rsid w:val="00A210EC"/>
    <w:rsid w:val="00A21247"/>
    <w:rsid w:val="00A212C7"/>
    <w:rsid w:val="00A2132E"/>
    <w:rsid w:val="00A2141D"/>
    <w:rsid w:val="00A2142E"/>
    <w:rsid w:val="00A214F8"/>
    <w:rsid w:val="00A21679"/>
    <w:rsid w:val="00A21A74"/>
    <w:rsid w:val="00A21C08"/>
    <w:rsid w:val="00A21C8B"/>
    <w:rsid w:val="00A21DCA"/>
    <w:rsid w:val="00A21E50"/>
    <w:rsid w:val="00A21E5B"/>
    <w:rsid w:val="00A21FC0"/>
    <w:rsid w:val="00A221CF"/>
    <w:rsid w:val="00A222CF"/>
    <w:rsid w:val="00A222D8"/>
    <w:rsid w:val="00A226E3"/>
    <w:rsid w:val="00A2291A"/>
    <w:rsid w:val="00A22A4B"/>
    <w:rsid w:val="00A22D45"/>
    <w:rsid w:val="00A22E29"/>
    <w:rsid w:val="00A22EBD"/>
    <w:rsid w:val="00A22EED"/>
    <w:rsid w:val="00A23091"/>
    <w:rsid w:val="00A230AE"/>
    <w:rsid w:val="00A231C4"/>
    <w:rsid w:val="00A233FB"/>
    <w:rsid w:val="00A23557"/>
    <w:rsid w:val="00A23578"/>
    <w:rsid w:val="00A23613"/>
    <w:rsid w:val="00A236A9"/>
    <w:rsid w:val="00A236E9"/>
    <w:rsid w:val="00A23820"/>
    <w:rsid w:val="00A23BAC"/>
    <w:rsid w:val="00A23BC0"/>
    <w:rsid w:val="00A23C6C"/>
    <w:rsid w:val="00A23D4F"/>
    <w:rsid w:val="00A23EC0"/>
    <w:rsid w:val="00A24042"/>
    <w:rsid w:val="00A24062"/>
    <w:rsid w:val="00A240A8"/>
    <w:rsid w:val="00A2413E"/>
    <w:rsid w:val="00A2425C"/>
    <w:rsid w:val="00A2444B"/>
    <w:rsid w:val="00A246F9"/>
    <w:rsid w:val="00A24817"/>
    <w:rsid w:val="00A24A59"/>
    <w:rsid w:val="00A24AD4"/>
    <w:rsid w:val="00A24BB4"/>
    <w:rsid w:val="00A24C3D"/>
    <w:rsid w:val="00A24D04"/>
    <w:rsid w:val="00A24D1B"/>
    <w:rsid w:val="00A24E76"/>
    <w:rsid w:val="00A24FD1"/>
    <w:rsid w:val="00A2515C"/>
    <w:rsid w:val="00A25335"/>
    <w:rsid w:val="00A25362"/>
    <w:rsid w:val="00A25442"/>
    <w:rsid w:val="00A25618"/>
    <w:rsid w:val="00A25858"/>
    <w:rsid w:val="00A25BFB"/>
    <w:rsid w:val="00A25C30"/>
    <w:rsid w:val="00A25C48"/>
    <w:rsid w:val="00A25E68"/>
    <w:rsid w:val="00A25E93"/>
    <w:rsid w:val="00A25F94"/>
    <w:rsid w:val="00A2604E"/>
    <w:rsid w:val="00A26353"/>
    <w:rsid w:val="00A2640D"/>
    <w:rsid w:val="00A2643B"/>
    <w:rsid w:val="00A2646F"/>
    <w:rsid w:val="00A264B2"/>
    <w:rsid w:val="00A264FF"/>
    <w:rsid w:val="00A267EB"/>
    <w:rsid w:val="00A2681C"/>
    <w:rsid w:val="00A268E8"/>
    <w:rsid w:val="00A268FD"/>
    <w:rsid w:val="00A2699A"/>
    <w:rsid w:val="00A269F7"/>
    <w:rsid w:val="00A26B5C"/>
    <w:rsid w:val="00A26C70"/>
    <w:rsid w:val="00A26CB8"/>
    <w:rsid w:val="00A26D2C"/>
    <w:rsid w:val="00A26D9C"/>
    <w:rsid w:val="00A26E90"/>
    <w:rsid w:val="00A26EBB"/>
    <w:rsid w:val="00A26F6F"/>
    <w:rsid w:val="00A27087"/>
    <w:rsid w:val="00A2716A"/>
    <w:rsid w:val="00A272C7"/>
    <w:rsid w:val="00A27321"/>
    <w:rsid w:val="00A27362"/>
    <w:rsid w:val="00A274D1"/>
    <w:rsid w:val="00A27570"/>
    <w:rsid w:val="00A27643"/>
    <w:rsid w:val="00A27715"/>
    <w:rsid w:val="00A27914"/>
    <w:rsid w:val="00A27B1B"/>
    <w:rsid w:val="00A27B83"/>
    <w:rsid w:val="00A27C52"/>
    <w:rsid w:val="00A27D52"/>
    <w:rsid w:val="00A27ED7"/>
    <w:rsid w:val="00A30067"/>
    <w:rsid w:val="00A30142"/>
    <w:rsid w:val="00A301BB"/>
    <w:rsid w:val="00A3021E"/>
    <w:rsid w:val="00A30234"/>
    <w:rsid w:val="00A302A3"/>
    <w:rsid w:val="00A304F2"/>
    <w:rsid w:val="00A305D7"/>
    <w:rsid w:val="00A305F5"/>
    <w:rsid w:val="00A306A5"/>
    <w:rsid w:val="00A3074D"/>
    <w:rsid w:val="00A3075B"/>
    <w:rsid w:val="00A30B12"/>
    <w:rsid w:val="00A30B30"/>
    <w:rsid w:val="00A30C25"/>
    <w:rsid w:val="00A30CAC"/>
    <w:rsid w:val="00A30D0A"/>
    <w:rsid w:val="00A310FF"/>
    <w:rsid w:val="00A31180"/>
    <w:rsid w:val="00A31328"/>
    <w:rsid w:val="00A3138B"/>
    <w:rsid w:val="00A31474"/>
    <w:rsid w:val="00A314F7"/>
    <w:rsid w:val="00A31640"/>
    <w:rsid w:val="00A31662"/>
    <w:rsid w:val="00A316D7"/>
    <w:rsid w:val="00A318DF"/>
    <w:rsid w:val="00A31C85"/>
    <w:rsid w:val="00A31CCB"/>
    <w:rsid w:val="00A31E71"/>
    <w:rsid w:val="00A31EC3"/>
    <w:rsid w:val="00A31F2B"/>
    <w:rsid w:val="00A31F4A"/>
    <w:rsid w:val="00A320C3"/>
    <w:rsid w:val="00A321CD"/>
    <w:rsid w:val="00A32234"/>
    <w:rsid w:val="00A32238"/>
    <w:rsid w:val="00A32380"/>
    <w:rsid w:val="00A3247C"/>
    <w:rsid w:val="00A324C3"/>
    <w:rsid w:val="00A32563"/>
    <w:rsid w:val="00A3259B"/>
    <w:rsid w:val="00A325C9"/>
    <w:rsid w:val="00A32742"/>
    <w:rsid w:val="00A32B51"/>
    <w:rsid w:val="00A32C27"/>
    <w:rsid w:val="00A32DB8"/>
    <w:rsid w:val="00A32DEA"/>
    <w:rsid w:val="00A32F95"/>
    <w:rsid w:val="00A3348E"/>
    <w:rsid w:val="00A33596"/>
    <w:rsid w:val="00A33642"/>
    <w:rsid w:val="00A3370D"/>
    <w:rsid w:val="00A3371C"/>
    <w:rsid w:val="00A33777"/>
    <w:rsid w:val="00A3392E"/>
    <w:rsid w:val="00A33A7D"/>
    <w:rsid w:val="00A33ADF"/>
    <w:rsid w:val="00A33B13"/>
    <w:rsid w:val="00A33EE5"/>
    <w:rsid w:val="00A34033"/>
    <w:rsid w:val="00A34089"/>
    <w:rsid w:val="00A341D5"/>
    <w:rsid w:val="00A3423E"/>
    <w:rsid w:val="00A34254"/>
    <w:rsid w:val="00A3427D"/>
    <w:rsid w:val="00A3449A"/>
    <w:rsid w:val="00A346CB"/>
    <w:rsid w:val="00A346F3"/>
    <w:rsid w:val="00A34788"/>
    <w:rsid w:val="00A347D8"/>
    <w:rsid w:val="00A34830"/>
    <w:rsid w:val="00A34B5C"/>
    <w:rsid w:val="00A34BFD"/>
    <w:rsid w:val="00A34C8E"/>
    <w:rsid w:val="00A35009"/>
    <w:rsid w:val="00A353D3"/>
    <w:rsid w:val="00A357C4"/>
    <w:rsid w:val="00A358C4"/>
    <w:rsid w:val="00A3590C"/>
    <w:rsid w:val="00A35A80"/>
    <w:rsid w:val="00A35AAE"/>
    <w:rsid w:val="00A35ABA"/>
    <w:rsid w:val="00A35BC1"/>
    <w:rsid w:val="00A35C73"/>
    <w:rsid w:val="00A35D12"/>
    <w:rsid w:val="00A35D95"/>
    <w:rsid w:val="00A35E6A"/>
    <w:rsid w:val="00A35EEB"/>
    <w:rsid w:val="00A35EF9"/>
    <w:rsid w:val="00A35F12"/>
    <w:rsid w:val="00A35F56"/>
    <w:rsid w:val="00A35FA8"/>
    <w:rsid w:val="00A35FFF"/>
    <w:rsid w:val="00A360C7"/>
    <w:rsid w:val="00A36202"/>
    <w:rsid w:val="00A36327"/>
    <w:rsid w:val="00A36400"/>
    <w:rsid w:val="00A36568"/>
    <w:rsid w:val="00A36619"/>
    <w:rsid w:val="00A36702"/>
    <w:rsid w:val="00A369D8"/>
    <w:rsid w:val="00A36A33"/>
    <w:rsid w:val="00A36AE5"/>
    <w:rsid w:val="00A36B01"/>
    <w:rsid w:val="00A36B28"/>
    <w:rsid w:val="00A36BEF"/>
    <w:rsid w:val="00A36C0F"/>
    <w:rsid w:val="00A36CB4"/>
    <w:rsid w:val="00A36CD9"/>
    <w:rsid w:val="00A36D47"/>
    <w:rsid w:val="00A36D7A"/>
    <w:rsid w:val="00A36D89"/>
    <w:rsid w:val="00A36EA6"/>
    <w:rsid w:val="00A36ED0"/>
    <w:rsid w:val="00A3709F"/>
    <w:rsid w:val="00A37170"/>
    <w:rsid w:val="00A373D8"/>
    <w:rsid w:val="00A37480"/>
    <w:rsid w:val="00A374F1"/>
    <w:rsid w:val="00A37513"/>
    <w:rsid w:val="00A377D4"/>
    <w:rsid w:val="00A37986"/>
    <w:rsid w:val="00A37A34"/>
    <w:rsid w:val="00A37D22"/>
    <w:rsid w:val="00A37D9C"/>
    <w:rsid w:val="00A37DD8"/>
    <w:rsid w:val="00A37F3F"/>
    <w:rsid w:val="00A39D46"/>
    <w:rsid w:val="00A400EE"/>
    <w:rsid w:val="00A4011F"/>
    <w:rsid w:val="00A401F1"/>
    <w:rsid w:val="00A40277"/>
    <w:rsid w:val="00A402D8"/>
    <w:rsid w:val="00A40387"/>
    <w:rsid w:val="00A4046B"/>
    <w:rsid w:val="00A404F9"/>
    <w:rsid w:val="00A405B9"/>
    <w:rsid w:val="00A40753"/>
    <w:rsid w:val="00A40899"/>
    <w:rsid w:val="00A40920"/>
    <w:rsid w:val="00A409AF"/>
    <w:rsid w:val="00A409D5"/>
    <w:rsid w:val="00A40BA5"/>
    <w:rsid w:val="00A40E2C"/>
    <w:rsid w:val="00A40F88"/>
    <w:rsid w:val="00A40F9B"/>
    <w:rsid w:val="00A41018"/>
    <w:rsid w:val="00A41128"/>
    <w:rsid w:val="00A412D2"/>
    <w:rsid w:val="00A414D6"/>
    <w:rsid w:val="00A4173F"/>
    <w:rsid w:val="00A417D8"/>
    <w:rsid w:val="00A41A9F"/>
    <w:rsid w:val="00A41B2A"/>
    <w:rsid w:val="00A41C96"/>
    <w:rsid w:val="00A41D1C"/>
    <w:rsid w:val="00A41DA6"/>
    <w:rsid w:val="00A41E33"/>
    <w:rsid w:val="00A41F54"/>
    <w:rsid w:val="00A4216D"/>
    <w:rsid w:val="00A421DA"/>
    <w:rsid w:val="00A4225B"/>
    <w:rsid w:val="00A422A3"/>
    <w:rsid w:val="00A423E5"/>
    <w:rsid w:val="00A42699"/>
    <w:rsid w:val="00A42719"/>
    <w:rsid w:val="00A42B6D"/>
    <w:rsid w:val="00A42CD7"/>
    <w:rsid w:val="00A42CFE"/>
    <w:rsid w:val="00A42D44"/>
    <w:rsid w:val="00A42E6C"/>
    <w:rsid w:val="00A42E92"/>
    <w:rsid w:val="00A42F10"/>
    <w:rsid w:val="00A4305B"/>
    <w:rsid w:val="00A43142"/>
    <w:rsid w:val="00A4324A"/>
    <w:rsid w:val="00A4328D"/>
    <w:rsid w:val="00A4334F"/>
    <w:rsid w:val="00A433DF"/>
    <w:rsid w:val="00A43425"/>
    <w:rsid w:val="00A43715"/>
    <w:rsid w:val="00A4382A"/>
    <w:rsid w:val="00A438C2"/>
    <w:rsid w:val="00A439F8"/>
    <w:rsid w:val="00A43A4B"/>
    <w:rsid w:val="00A43A6D"/>
    <w:rsid w:val="00A43AB7"/>
    <w:rsid w:val="00A43B56"/>
    <w:rsid w:val="00A43BC1"/>
    <w:rsid w:val="00A43E2D"/>
    <w:rsid w:val="00A43E73"/>
    <w:rsid w:val="00A43E77"/>
    <w:rsid w:val="00A43EA7"/>
    <w:rsid w:val="00A43EFC"/>
    <w:rsid w:val="00A43F25"/>
    <w:rsid w:val="00A43F2C"/>
    <w:rsid w:val="00A43F31"/>
    <w:rsid w:val="00A43F5C"/>
    <w:rsid w:val="00A440FA"/>
    <w:rsid w:val="00A44350"/>
    <w:rsid w:val="00A443B9"/>
    <w:rsid w:val="00A445C6"/>
    <w:rsid w:val="00A44644"/>
    <w:rsid w:val="00A44807"/>
    <w:rsid w:val="00A4488B"/>
    <w:rsid w:val="00A44AE1"/>
    <w:rsid w:val="00A44B0F"/>
    <w:rsid w:val="00A44B4D"/>
    <w:rsid w:val="00A45306"/>
    <w:rsid w:val="00A45311"/>
    <w:rsid w:val="00A453C9"/>
    <w:rsid w:val="00A45401"/>
    <w:rsid w:val="00A454C2"/>
    <w:rsid w:val="00A456A7"/>
    <w:rsid w:val="00A45970"/>
    <w:rsid w:val="00A459C3"/>
    <w:rsid w:val="00A45A38"/>
    <w:rsid w:val="00A45B26"/>
    <w:rsid w:val="00A45C01"/>
    <w:rsid w:val="00A45CD3"/>
    <w:rsid w:val="00A45D68"/>
    <w:rsid w:val="00A45DC3"/>
    <w:rsid w:val="00A45E37"/>
    <w:rsid w:val="00A45E74"/>
    <w:rsid w:val="00A45E8D"/>
    <w:rsid w:val="00A46035"/>
    <w:rsid w:val="00A4613B"/>
    <w:rsid w:val="00A461B4"/>
    <w:rsid w:val="00A46291"/>
    <w:rsid w:val="00A46397"/>
    <w:rsid w:val="00A46406"/>
    <w:rsid w:val="00A46767"/>
    <w:rsid w:val="00A469D9"/>
    <w:rsid w:val="00A46A7F"/>
    <w:rsid w:val="00A46A8F"/>
    <w:rsid w:val="00A46B98"/>
    <w:rsid w:val="00A46BDD"/>
    <w:rsid w:val="00A46C99"/>
    <w:rsid w:val="00A46E20"/>
    <w:rsid w:val="00A46E37"/>
    <w:rsid w:val="00A46E3B"/>
    <w:rsid w:val="00A46E45"/>
    <w:rsid w:val="00A46E52"/>
    <w:rsid w:val="00A46F5A"/>
    <w:rsid w:val="00A46FB6"/>
    <w:rsid w:val="00A470A7"/>
    <w:rsid w:val="00A47135"/>
    <w:rsid w:val="00A471F5"/>
    <w:rsid w:val="00A473F7"/>
    <w:rsid w:val="00A47431"/>
    <w:rsid w:val="00A47456"/>
    <w:rsid w:val="00A475CA"/>
    <w:rsid w:val="00A47659"/>
    <w:rsid w:val="00A4769A"/>
    <w:rsid w:val="00A476BE"/>
    <w:rsid w:val="00A47DC2"/>
    <w:rsid w:val="00A47F60"/>
    <w:rsid w:val="00A47F8B"/>
    <w:rsid w:val="00A4B28F"/>
    <w:rsid w:val="00A502D0"/>
    <w:rsid w:val="00A502FC"/>
    <w:rsid w:val="00A503FC"/>
    <w:rsid w:val="00A50710"/>
    <w:rsid w:val="00A50A50"/>
    <w:rsid w:val="00A50A51"/>
    <w:rsid w:val="00A50A9F"/>
    <w:rsid w:val="00A50BB4"/>
    <w:rsid w:val="00A50CBC"/>
    <w:rsid w:val="00A50CF8"/>
    <w:rsid w:val="00A50DA3"/>
    <w:rsid w:val="00A50DA5"/>
    <w:rsid w:val="00A50DE1"/>
    <w:rsid w:val="00A5102F"/>
    <w:rsid w:val="00A5113B"/>
    <w:rsid w:val="00A5119B"/>
    <w:rsid w:val="00A511AA"/>
    <w:rsid w:val="00A51477"/>
    <w:rsid w:val="00A5147A"/>
    <w:rsid w:val="00A51597"/>
    <w:rsid w:val="00A515F5"/>
    <w:rsid w:val="00A51623"/>
    <w:rsid w:val="00A5162B"/>
    <w:rsid w:val="00A51AF1"/>
    <w:rsid w:val="00A51B62"/>
    <w:rsid w:val="00A51CF8"/>
    <w:rsid w:val="00A51D77"/>
    <w:rsid w:val="00A51DA1"/>
    <w:rsid w:val="00A51EDC"/>
    <w:rsid w:val="00A521CA"/>
    <w:rsid w:val="00A52259"/>
    <w:rsid w:val="00A5228A"/>
    <w:rsid w:val="00A52411"/>
    <w:rsid w:val="00A524D8"/>
    <w:rsid w:val="00A525CB"/>
    <w:rsid w:val="00A52C5E"/>
    <w:rsid w:val="00A52D24"/>
    <w:rsid w:val="00A52DCF"/>
    <w:rsid w:val="00A52DE2"/>
    <w:rsid w:val="00A52F3E"/>
    <w:rsid w:val="00A53155"/>
    <w:rsid w:val="00A5316C"/>
    <w:rsid w:val="00A5323A"/>
    <w:rsid w:val="00A532B8"/>
    <w:rsid w:val="00A53355"/>
    <w:rsid w:val="00A533A1"/>
    <w:rsid w:val="00A5343A"/>
    <w:rsid w:val="00A534E2"/>
    <w:rsid w:val="00A5351A"/>
    <w:rsid w:val="00A537E5"/>
    <w:rsid w:val="00A53909"/>
    <w:rsid w:val="00A5395F"/>
    <w:rsid w:val="00A5396B"/>
    <w:rsid w:val="00A53C5A"/>
    <w:rsid w:val="00A53D7E"/>
    <w:rsid w:val="00A53E70"/>
    <w:rsid w:val="00A53E7A"/>
    <w:rsid w:val="00A53EE8"/>
    <w:rsid w:val="00A53F6F"/>
    <w:rsid w:val="00A5409C"/>
    <w:rsid w:val="00A5430A"/>
    <w:rsid w:val="00A5432F"/>
    <w:rsid w:val="00A54348"/>
    <w:rsid w:val="00A5455C"/>
    <w:rsid w:val="00A54676"/>
    <w:rsid w:val="00A546E2"/>
    <w:rsid w:val="00A54766"/>
    <w:rsid w:val="00A54AF6"/>
    <w:rsid w:val="00A54B51"/>
    <w:rsid w:val="00A54BCE"/>
    <w:rsid w:val="00A54CAF"/>
    <w:rsid w:val="00A54D3E"/>
    <w:rsid w:val="00A54E71"/>
    <w:rsid w:val="00A555A3"/>
    <w:rsid w:val="00A5565A"/>
    <w:rsid w:val="00A556A7"/>
    <w:rsid w:val="00A55767"/>
    <w:rsid w:val="00A55881"/>
    <w:rsid w:val="00A558E2"/>
    <w:rsid w:val="00A55A30"/>
    <w:rsid w:val="00A55AD8"/>
    <w:rsid w:val="00A55C0D"/>
    <w:rsid w:val="00A55D7E"/>
    <w:rsid w:val="00A55DEF"/>
    <w:rsid w:val="00A55E2A"/>
    <w:rsid w:val="00A55EDE"/>
    <w:rsid w:val="00A5611B"/>
    <w:rsid w:val="00A5612F"/>
    <w:rsid w:val="00A56571"/>
    <w:rsid w:val="00A566B6"/>
    <w:rsid w:val="00A5673E"/>
    <w:rsid w:val="00A5679A"/>
    <w:rsid w:val="00A568BF"/>
    <w:rsid w:val="00A56CA2"/>
    <w:rsid w:val="00A56FDF"/>
    <w:rsid w:val="00A5708F"/>
    <w:rsid w:val="00A571E9"/>
    <w:rsid w:val="00A57327"/>
    <w:rsid w:val="00A57372"/>
    <w:rsid w:val="00A574FA"/>
    <w:rsid w:val="00A576FB"/>
    <w:rsid w:val="00A577F0"/>
    <w:rsid w:val="00A578D5"/>
    <w:rsid w:val="00A5792E"/>
    <w:rsid w:val="00A579B1"/>
    <w:rsid w:val="00A57C7B"/>
    <w:rsid w:val="00A57CA1"/>
    <w:rsid w:val="00A57CB3"/>
    <w:rsid w:val="00A57CE3"/>
    <w:rsid w:val="00A57D88"/>
    <w:rsid w:val="00A57E27"/>
    <w:rsid w:val="00A57F1A"/>
    <w:rsid w:val="00A57FE0"/>
    <w:rsid w:val="00A6000B"/>
    <w:rsid w:val="00A60027"/>
    <w:rsid w:val="00A601FE"/>
    <w:rsid w:val="00A6023E"/>
    <w:rsid w:val="00A602C0"/>
    <w:rsid w:val="00A60343"/>
    <w:rsid w:val="00A6039B"/>
    <w:rsid w:val="00A6049C"/>
    <w:rsid w:val="00A60560"/>
    <w:rsid w:val="00A605CF"/>
    <w:rsid w:val="00A60626"/>
    <w:rsid w:val="00A60A56"/>
    <w:rsid w:val="00A60C04"/>
    <w:rsid w:val="00A60C1E"/>
    <w:rsid w:val="00A60C9D"/>
    <w:rsid w:val="00A60E12"/>
    <w:rsid w:val="00A6118D"/>
    <w:rsid w:val="00A61263"/>
    <w:rsid w:val="00A6139B"/>
    <w:rsid w:val="00A613F8"/>
    <w:rsid w:val="00A615CA"/>
    <w:rsid w:val="00A61784"/>
    <w:rsid w:val="00A618DC"/>
    <w:rsid w:val="00A61989"/>
    <w:rsid w:val="00A61F95"/>
    <w:rsid w:val="00A62058"/>
    <w:rsid w:val="00A620CA"/>
    <w:rsid w:val="00A62148"/>
    <w:rsid w:val="00A62226"/>
    <w:rsid w:val="00A62321"/>
    <w:rsid w:val="00A623BD"/>
    <w:rsid w:val="00A623D8"/>
    <w:rsid w:val="00A62471"/>
    <w:rsid w:val="00A62746"/>
    <w:rsid w:val="00A62A0E"/>
    <w:rsid w:val="00A62AB9"/>
    <w:rsid w:val="00A62B07"/>
    <w:rsid w:val="00A62B22"/>
    <w:rsid w:val="00A62C53"/>
    <w:rsid w:val="00A63006"/>
    <w:rsid w:val="00A63025"/>
    <w:rsid w:val="00A630A4"/>
    <w:rsid w:val="00A631BA"/>
    <w:rsid w:val="00A6323D"/>
    <w:rsid w:val="00A63260"/>
    <w:rsid w:val="00A63395"/>
    <w:rsid w:val="00A634F0"/>
    <w:rsid w:val="00A6360D"/>
    <w:rsid w:val="00A6360E"/>
    <w:rsid w:val="00A637C1"/>
    <w:rsid w:val="00A63ACA"/>
    <w:rsid w:val="00A63BF2"/>
    <w:rsid w:val="00A63C2F"/>
    <w:rsid w:val="00A63C40"/>
    <w:rsid w:val="00A63C81"/>
    <w:rsid w:val="00A63ECE"/>
    <w:rsid w:val="00A63F28"/>
    <w:rsid w:val="00A63F86"/>
    <w:rsid w:val="00A63FCF"/>
    <w:rsid w:val="00A63FD3"/>
    <w:rsid w:val="00A6409E"/>
    <w:rsid w:val="00A640A8"/>
    <w:rsid w:val="00A640AE"/>
    <w:rsid w:val="00A640EE"/>
    <w:rsid w:val="00A641AE"/>
    <w:rsid w:val="00A64369"/>
    <w:rsid w:val="00A643D1"/>
    <w:rsid w:val="00A64463"/>
    <w:rsid w:val="00A64586"/>
    <w:rsid w:val="00A64596"/>
    <w:rsid w:val="00A645B2"/>
    <w:rsid w:val="00A64945"/>
    <w:rsid w:val="00A649C0"/>
    <w:rsid w:val="00A64DA0"/>
    <w:rsid w:val="00A64DCA"/>
    <w:rsid w:val="00A64E35"/>
    <w:rsid w:val="00A64E8E"/>
    <w:rsid w:val="00A65057"/>
    <w:rsid w:val="00A650C8"/>
    <w:rsid w:val="00A65405"/>
    <w:rsid w:val="00A65474"/>
    <w:rsid w:val="00A654C8"/>
    <w:rsid w:val="00A65523"/>
    <w:rsid w:val="00A65883"/>
    <w:rsid w:val="00A65908"/>
    <w:rsid w:val="00A65981"/>
    <w:rsid w:val="00A659A4"/>
    <w:rsid w:val="00A65A06"/>
    <w:rsid w:val="00A65A37"/>
    <w:rsid w:val="00A65AD1"/>
    <w:rsid w:val="00A65B54"/>
    <w:rsid w:val="00A65B70"/>
    <w:rsid w:val="00A65DE3"/>
    <w:rsid w:val="00A65E45"/>
    <w:rsid w:val="00A661A9"/>
    <w:rsid w:val="00A661CF"/>
    <w:rsid w:val="00A6625D"/>
    <w:rsid w:val="00A662F7"/>
    <w:rsid w:val="00A663E9"/>
    <w:rsid w:val="00A6645C"/>
    <w:rsid w:val="00A66530"/>
    <w:rsid w:val="00A66581"/>
    <w:rsid w:val="00A666C9"/>
    <w:rsid w:val="00A6674E"/>
    <w:rsid w:val="00A66924"/>
    <w:rsid w:val="00A66997"/>
    <w:rsid w:val="00A66B2F"/>
    <w:rsid w:val="00A66BBE"/>
    <w:rsid w:val="00A66CE5"/>
    <w:rsid w:val="00A66EA6"/>
    <w:rsid w:val="00A67145"/>
    <w:rsid w:val="00A673CB"/>
    <w:rsid w:val="00A673E2"/>
    <w:rsid w:val="00A674D6"/>
    <w:rsid w:val="00A678C9"/>
    <w:rsid w:val="00A6793C"/>
    <w:rsid w:val="00A6794A"/>
    <w:rsid w:val="00A6794F"/>
    <w:rsid w:val="00A6797B"/>
    <w:rsid w:val="00A67A0E"/>
    <w:rsid w:val="00A67B4C"/>
    <w:rsid w:val="00A67BE9"/>
    <w:rsid w:val="00A67CFA"/>
    <w:rsid w:val="00A67D22"/>
    <w:rsid w:val="00A67D52"/>
    <w:rsid w:val="00A67EF9"/>
    <w:rsid w:val="00A6B0AA"/>
    <w:rsid w:val="00A70188"/>
    <w:rsid w:val="00A701A0"/>
    <w:rsid w:val="00A701FC"/>
    <w:rsid w:val="00A702F5"/>
    <w:rsid w:val="00A703F2"/>
    <w:rsid w:val="00A703F7"/>
    <w:rsid w:val="00A705A2"/>
    <w:rsid w:val="00A70743"/>
    <w:rsid w:val="00A7092F"/>
    <w:rsid w:val="00A70AC3"/>
    <w:rsid w:val="00A70B05"/>
    <w:rsid w:val="00A70B1A"/>
    <w:rsid w:val="00A70B2D"/>
    <w:rsid w:val="00A70B42"/>
    <w:rsid w:val="00A70B77"/>
    <w:rsid w:val="00A70C1B"/>
    <w:rsid w:val="00A70CBB"/>
    <w:rsid w:val="00A70E5D"/>
    <w:rsid w:val="00A70F5E"/>
    <w:rsid w:val="00A70FEA"/>
    <w:rsid w:val="00A71278"/>
    <w:rsid w:val="00A71330"/>
    <w:rsid w:val="00A71495"/>
    <w:rsid w:val="00A71519"/>
    <w:rsid w:val="00A716CA"/>
    <w:rsid w:val="00A7191F"/>
    <w:rsid w:val="00A71A8C"/>
    <w:rsid w:val="00A71C24"/>
    <w:rsid w:val="00A71DD9"/>
    <w:rsid w:val="00A71E5B"/>
    <w:rsid w:val="00A71E88"/>
    <w:rsid w:val="00A71F3A"/>
    <w:rsid w:val="00A71F4E"/>
    <w:rsid w:val="00A7205C"/>
    <w:rsid w:val="00A7215C"/>
    <w:rsid w:val="00A72498"/>
    <w:rsid w:val="00A724CF"/>
    <w:rsid w:val="00A72501"/>
    <w:rsid w:val="00A725F7"/>
    <w:rsid w:val="00A72633"/>
    <w:rsid w:val="00A7270D"/>
    <w:rsid w:val="00A7271B"/>
    <w:rsid w:val="00A72720"/>
    <w:rsid w:val="00A7273C"/>
    <w:rsid w:val="00A727B7"/>
    <w:rsid w:val="00A72A44"/>
    <w:rsid w:val="00A72C2D"/>
    <w:rsid w:val="00A72C3F"/>
    <w:rsid w:val="00A72CD4"/>
    <w:rsid w:val="00A72F4F"/>
    <w:rsid w:val="00A72FCA"/>
    <w:rsid w:val="00A73085"/>
    <w:rsid w:val="00A7323C"/>
    <w:rsid w:val="00A734CB"/>
    <w:rsid w:val="00A7351B"/>
    <w:rsid w:val="00A73639"/>
    <w:rsid w:val="00A736E6"/>
    <w:rsid w:val="00A736ED"/>
    <w:rsid w:val="00A73707"/>
    <w:rsid w:val="00A7386C"/>
    <w:rsid w:val="00A73ACD"/>
    <w:rsid w:val="00A73C33"/>
    <w:rsid w:val="00A73C5B"/>
    <w:rsid w:val="00A73CDB"/>
    <w:rsid w:val="00A73D3C"/>
    <w:rsid w:val="00A73D98"/>
    <w:rsid w:val="00A74009"/>
    <w:rsid w:val="00A7400B"/>
    <w:rsid w:val="00A74013"/>
    <w:rsid w:val="00A74042"/>
    <w:rsid w:val="00A740F3"/>
    <w:rsid w:val="00A743B9"/>
    <w:rsid w:val="00A7442E"/>
    <w:rsid w:val="00A74534"/>
    <w:rsid w:val="00A745A2"/>
    <w:rsid w:val="00A7467F"/>
    <w:rsid w:val="00A74698"/>
    <w:rsid w:val="00A74897"/>
    <w:rsid w:val="00A748AC"/>
    <w:rsid w:val="00A74BA3"/>
    <w:rsid w:val="00A74CDE"/>
    <w:rsid w:val="00A74CE9"/>
    <w:rsid w:val="00A74D05"/>
    <w:rsid w:val="00A74D8D"/>
    <w:rsid w:val="00A74DCB"/>
    <w:rsid w:val="00A7507E"/>
    <w:rsid w:val="00A7545A"/>
    <w:rsid w:val="00A7546B"/>
    <w:rsid w:val="00A75602"/>
    <w:rsid w:val="00A758BC"/>
    <w:rsid w:val="00A7598F"/>
    <w:rsid w:val="00A75AFF"/>
    <w:rsid w:val="00A75C54"/>
    <w:rsid w:val="00A75D3B"/>
    <w:rsid w:val="00A75E1B"/>
    <w:rsid w:val="00A75F3D"/>
    <w:rsid w:val="00A75F52"/>
    <w:rsid w:val="00A76017"/>
    <w:rsid w:val="00A76237"/>
    <w:rsid w:val="00A762DC"/>
    <w:rsid w:val="00A76503"/>
    <w:rsid w:val="00A766F0"/>
    <w:rsid w:val="00A76889"/>
    <w:rsid w:val="00A76903"/>
    <w:rsid w:val="00A7692A"/>
    <w:rsid w:val="00A76997"/>
    <w:rsid w:val="00A769AC"/>
    <w:rsid w:val="00A76B65"/>
    <w:rsid w:val="00A76B93"/>
    <w:rsid w:val="00A76BEF"/>
    <w:rsid w:val="00A76C5E"/>
    <w:rsid w:val="00A76C7B"/>
    <w:rsid w:val="00A76CA0"/>
    <w:rsid w:val="00A76CD4"/>
    <w:rsid w:val="00A76F62"/>
    <w:rsid w:val="00A77234"/>
    <w:rsid w:val="00A772CA"/>
    <w:rsid w:val="00A773C8"/>
    <w:rsid w:val="00A77507"/>
    <w:rsid w:val="00A7759B"/>
    <w:rsid w:val="00A775BC"/>
    <w:rsid w:val="00A77636"/>
    <w:rsid w:val="00A7769C"/>
    <w:rsid w:val="00A778D9"/>
    <w:rsid w:val="00A77929"/>
    <w:rsid w:val="00A77A9B"/>
    <w:rsid w:val="00A77B21"/>
    <w:rsid w:val="00A77B35"/>
    <w:rsid w:val="00A77BE8"/>
    <w:rsid w:val="00A77F0C"/>
    <w:rsid w:val="00A77F74"/>
    <w:rsid w:val="00A77FDA"/>
    <w:rsid w:val="00A800FA"/>
    <w:rsid w:val="00A8022A"/>
    <w:rsid w:val="00A80394"/>
    <w:rsid w:val="00A8039C"/>
    <w:rsid w:val="00A8042C"/>
    <w:rsid w:val="00A8046A"/>
    <w:rsid w:val="00A80491"/>
    <w:rsid w:val="00A804BB"/>
    <w:rsid w:val="00A804D2"/>
    <w:rsid w:val="00A80539"/>
    <w:rsid w:val="00A807F0"/>
    <w:rsid w:val="00A80992"/>
    <w:rsid w:val="00A80BCF"/>
    <w:rsid w:val="00A80C80"/>
    <w:rsid w:val="00A80DCA"/>
    <w:rsid w:val="00A80E75"/>
    <w:rsid w:val="00A80EE4"/>
    <w:rsid w:val="00A80F37"/>
    <w:rsid w:val="00A81009"/>
    <w:rsid w:val="00A811F8"/>
    <w:rsid w:val="00A8129E"/>
    <w:rsid w:val="00A81419"/>
    <w:rsid w:val="00A81470"/>
    <w:rsid w:val="00A814C0"/>
    <w:rsid w:val="00A816FC"/>
    <w:rsid w:val="00A8195A"/>
    <w:rsid w:val="00A819D3"/>
    <w:rsid w:val="00A81AB7"/>
    <w:rsid w:val="00A81B08"/>
    <w:rsid w:val="00A81C92"/>
    <w:rsid w:val="00A81D0E"/>
    <w:rsid w:val="00A820BA"/>
    <w:rsid w:val="00A821CF"/>
    <w:rsid w:val="00A82285"/>
    <w:rsid w:val="00A82296"/>
    <w:rsid w:val="00A8234A"/>
    <w:rsid w:val="00A82365"/>
    <w:rsid w:val="00A825C5"/>
    <w:rsid w:val="00A827CB"/>
    <w:rsid w:val="00A827CF"/>
    <w:rsid w:val="00A82915"/>
    <w:rsid w:val="00A82998"/>
    <w:rsid w:val="00A82DED"/>
    <w:rsid w:val="00A82E08"/>
    <w:rsid w:val="00A82E67"/>
    <w:rsid w:val="00A82F44"/>
    <w:rsid w:val="00A82FC9"/>
    <w:rsid w:val="00A83030"/>
    <w:rsid w:val="00A831DB"/>
    <w:rsid w:val="00A831F7"/>
    <w:rsid w:val="00A832E0"/>
    <w:rsid w:val="00A832EC"/>
    <w:rsid w:val="00A833F8"/>
    <w:rsid w:val="00A83417"/>
    <w:rsid w:val="00A83665"/>
    <w:rsid w:val="00A836FF"/>
    <w:rsid w:val="00A8385D"/>
    <w:rsid w:val="00A8386D"/>
    <w:rsid w:val="00A83A82"/>
    <w:rsid w:val="00A83B04"/>
    <w:rsid w:val="00A83BB1"/>
    <w:rsid w:val="00A83C0F"/>
    <w:rsid w:val="00A83D32"/>
    <w:rsid w:val="00A83D45"/>
    <w:rsid w:val="00A8408F"/>
    <w:rsid w:val="00A8425C"/>
    <w:rsid w:val="00A84268"/>
    <w:rsid w:val="00A842B1"/>
    <w:rsid w:val="00A8461D"/>
    <w:rsid w:val="00A84650"/>
    <w:rsid w:val="00A846B8"/>
    <w:rsid w:val="00A848CA"/>
    <w:rsid w:val="00A84D99"/>
    <w:rsid w:val="00A84DD9"/>
    <w:rsid w:val="00A84E5C"/>
    <w:rsid w:val="00A84F88"/>
    <w:rsid w:val="00A85236"/>
    <w:rsid w:val="00A85247"/>
    <w:rsid w:val="00A853EE"/>
    <w:rsid w:val="00A8554B"/>
    <w:rsid w:val="00A8570B"/>
    <w:rsid w:val="00A85774"/>
    <w:rsid w:val="00A85826"/>
    <w:rsid w:val="00A85851"/>
    <w:rsid w:val="00A85887"/>
    <w:rsid w:val="00A85912"/>
    <w:rsid w:val="00A85933"/>
    <w:rsid w:val="00A85A28"/>
    <w:rsid w:val="00A85F3B"/>
    <w:rsid w:val="00A8619C"/>
    <w:rsid w:val="00A8619D"/>
    <w:rsid w:val="00A86248"/>
    <w:rsid w:val="00A864CC"/>
    <w:rsid w:val="00A864FF"/>
    <w:rsid w:val="00A86538"/>
    <w:rsid w:val="00A8657A"/>
    <w:rsid w:val="00A86677"/>
    <w:rsid w:val="00A866C3"/>
    <w:rsid w:val="00A866F4"/>
    <w:rsid w:val="00A867A6"/>
    <w:rsid w:val="00A868E2"/>
    <w:rsid w:val="00A86946"/>
    <w:rsid w:val="00A86CD6"/>
    <w:rsid w:val="00A86D41"/>
    <w:rsid w:val="00A86EDF"/>
    <w:rsid w:val="00A87045"/>
    <w:rsid w:val="00A87066"/>
    <w:rsid w:val="00A870A4"/>
    <w:rsid w:val="00A87121"/>
    <w:rsid w:val="00A871FE"/>
    <w:rsid w:val="00A87251"/>
    <w:rsid w:val="00A872EC"/>
    <w:rsid w:val="00A874C0"/>
    <w:rsid w:val="00A87527"/>
    <w:rsid w:val="00A8752E"/>
    <w:rsid w:val="00A877C4"/>
    <w:rsid w:val="00A877FE"/>
    <w:rsid w:val="00A87BEE"/>
    <w:rsid w:val="00A87D1B"/>
    <w:rsid w:val="00A87DC3"/>
    <w:rsid w:val="00A87F1C"/>
    <w:rsid w:val="00A90002"/>
    <w:rsid w:val="00A90007"/>
    <w:rsid w:val="00A90088"/>
    <w:rsid w:val="00A900DA"/>
    <w:rsid w:val="00A90103"/>
    <w:rsid w:val="00A902DE"/>
    <w:rsid w:val="00A905B1"/>
    <w:rsid w:val="00A90617"/>
    <w:rsid w:val="00A90633"/>
    <w:rsid w:val="00A907BB"/>
    <w:rsid w:val="00A907C7"/>
    <w:rsid w:val="00A9080D"/>
    <w:rsid w:val="00A90B46"/>
    <w:rsid w:val="00A90BA5"/>
    <w:rsid w:val="00A90D3C"/>
    <w:rsid w:val="00A90D8C"/>
    <w:rsid w:val="00A90E6C"/>
    <w:rsid w:val="00A90E97"/>
    <w:rsid w:val="00A90F3C"/>
    <w:rsid w:val="00A90F88"/>
    <w:rsid w:val="00A90FC6"/>
    <w:rsid w:val="00A9101D"/>
    <w:rsid w:val="00A91119"/>
    <w:rsid w:val="00A91166"/>
    <w:rsid w:val="00A91248"/>
    <w:rsid w:val="00A91267"/>
    <w:rsid w:val="00A9131B"/>
    <w:rsid w:val="00A9134A"/>
    <w:rsid w:val="00A9137F"/>
    <w:rsid w:val="00A913F5"/>
    <w:rsid w:val="00A9143D"/>
    <w:rsid w:val="00A91511"/>
    <w:rsid w:val="00A91526"/>
    <w:rsid w:val="00A91680"/>
    <w:rsid w:val="00A918B3"/>
    <w:rsid w:val="00A91B2D"/>
    <w:rsid w:val="00A91B61"/>
    <w:rsid w:val="00A91B81"/>
    <w:rsid w:val="00A91C1B"/>
    <w:rsid w:val="00A91CF8"/>
    <w:rsid w:val="00A91D60"/>
    <w:rsid w:val="00A91DB6"/>
    <w:rsid w:val="00A91FFD"/>
    <w:rsid w:val="00A921C4"/>
    <w:rsid w:val="00A922AE"/>
    <w:rsid w:val="00A924FE"/>
    <w:rsid w:val="00A9265C"/>
    <w:rsid w:val="00A927F9"/>
    <w:rsid w:val="00A9287D"/>
    <w:rsid w:val="00A9293E"/>
    <w:rsid w:val="00A92972"/>
    <w:rsid w:val="00A929FF"/>
    <w:rsid w:val="00A92BF3"/>
    <w:rsid w:val="00A92CAC"/>
    <w:rsid w:val="00A92E45"/>
    <w:rsid w:val="00A92E4E"/>
    <w:rsid w:val="00A92E9B"/>
    <w:rsid w:val="00A93069"/>
    <w:rsid w:val="00A932BD"/>
    <w:rsid w:val="00A932CE"/>
    <w:rsid w:val="00A9330C"/>
    <w:rsid w:val="00A93521"/>
    <w:rsid w:val="00A93763"/>
    <w:rsid w:val="00A93852"/>
    <w:rsid w:val="00A93B0D"/>
    <w:rsid w:val="00A93BE5"/>
    <w:rsid w:val="00A93E03"/>
    <w:rsid w:val="00A93E73"/>
    <w:rsid w:val="00A93EC9"/>
    <w:rsid w:val="00A93F05"/>
    <w:rsid w:val="00A93FA3"/>
    <w:rsid w:val="00A94152"/>
    <w:rsid w:val="00A94247"/>
    <w:rsid w:val="00A94291"/>
    <w:rsid w:val="00A943C0"/>
    <w:rsid w:val="00A94507"/>
    <w:rsid w:val="00A94789"/>
    <w:rsid w:val="00A94808"/>
    <w:rsid w:val="00A948C7"/>
    <w:rsid w:val="00A94B34"/>
    <w:rsid w:val="00A94B51"/>
    <w:rsid w:val="00A94C6A"/>
    <w:rsid w:val="00A94CDC"/>
    <w:rsid w:val="00A94D06"/>
    <w:rsid w:val="00A94D9C"/>
    <w:rsid w:val="00A95006"/>
    <w:rsid w:val="00A950BA"/>
    <w:rsid w:val="00A9538D"/>
    <w:rsid w:val="00A953C8"/>
    <w:rsid w:val="00A95495"/>
    <w:rsid w:val="00A954AA"/>
    <w:rsid w:val="00A95584"/>
    <w:rsid w:val="00A956AD"/>
    <w:rsid w:val="00A956B5"/>
    <w:rsid w:val="00A95711"/>
    <w:rsid w:val="00A957C9"/>
    <w:rsid w:val="00A958AF"/>
    <w:rsid w:val="00A958D1"/>
    <w:rsid w:val="00A95A0B"/>
    <w:rsid w:val="00A95A2D"/>
    <w:rsid w:val="00A95A9E"/>
    <w:rsid w:val="00A95B55"/>
    <w:rsid w:val="00A95B63"/>
    <w:rsid w:val="00A95C27"/>
    <w:rsid w:val="00A95CFD"/>
    <w:rsid w:val="00A95DDD"/>
    <w:rsid w:val="00A95ECF"/>
    <w:rsid w:val="00A96002"/>
    <w:rsid w:val="00A962E4"/>
    <w:rsid w:val="00A962F2"/>
    <w:rsid w:val="00A96351"/>
    <w:rsid w:val="00A9640F"/>
    <w:rsid w:val="00A9643E"/>
    <w:rsid w:val="00A96532"/>
    <w:rsid w:val="00A96613"/>
    <w:rsid w:val="00A9662A"/>
    <w:rsid w:val="00A96645"/>
    <w:rsid w:val="00A9664D"/>
    <w:rsid w:val="00A9664F"/>
    <w:rsid w:val="00A966BD"/>
    <w:rsid w:val="00A9670A"/>
    <w:rsid w:val="00A96724"/>
    <w:rsid w:val="00A96758"/>
    <w:rsid w:val="00A9675C"/>
    <w:rsid w:val="00A96869"/>
    <w:rsid w:val="00A9699D"/>
    <w:rsid w:val="00A96AA3"/>
    <w:rsid w:val="00A96C8E"/>
    <w:rsid w:val="00A96DDA"/>
    <w:rsid w:val="00A96F97"/>
    <w:rsid w:val="00A97036"/>
    <w:rsid w:val="00A971EB"/>
    <w:rsid w:val="00A9728B"/>
    <w:rsid w:val="00A972F3"/>
    <w:rsid w:val="00A975D3"/>
    <w:rsid w:val="00A9769E"/>
    <w:rsid w:val="00A97846"/>
    <w:rsid w:val="00A97AAB"/>
    <w:rsid w:val="00A97B3C"/>
    <w:rsid w:val="00A97BD6"/>
    <w:rsid w:val="00A97C76"/>
    <w:rsid w:val="00A97D47"/>
    <w:rsid w:val="00A97E1E"/>
    <w:rsid w:val="00A97F35"/>
    <w:rsid w:val="00A98784"/>
    <w:rsid w:val="00AA0007"/>
    <w:rsid w:val="00AA007E"/>
    <w:rsid w:val="00AA0109"/>
    <w:rsid w:val="00AA0315"/>
    <w:rsid w:val="00AA0335"/>
    <w:rsid w:val="00AA04CE"/>
    <w:rsid w:val="00AA04FC"/>
    <w:rsid w:val="00AA0526"/>
    <w:rsid w:val="00AA05FF"/>
    <w:rsid w:val="00AA0601"/>
    <w:rsid w:val="00AA061F"/>
    <w:rsid w:val="00AA06F9"/>
    <w:rsid w:val="00AA0878"/>
    <w:rsid w:val="00AA0900"/>
    <w:rsid w:val="00AA0994"/>
    <w:rsid w:val="00AA0B43"/>
    <w:rsid w:val="00AA0D56"/>
    <w:rsid w:val="00AA0FB6"/>
    <w:rsid w:val="00AA0FF3"/>
    <w:rsid w:val="00AA1010"/>
    <w:rsid w:val="00AA1142"/>
    <w:rsid w:val="00AA154F"/>
    <w:rsid w:val="00AA168E"/>
    <w:rsid w:val="00AA17AA"/>
    <w:rsid w:val="00AA1973"/>
    <w:rsid w:val="00AA19B6"/>
    <w:rsid w:val="00AA1B0F"/>
    <w:rsid w:val="00AA1B78"/>
    <w:rsid w:val="00AA1BDA"/>
    <w:rsid w:val="00AA1F57"/>
    <w:rsid w:val="00AA1F76"/>
    <w:rsid w:val="00AA1FFE"/>
    <w:rsid w:val="00AA202C"/>
    <w:rsid w:val="00AA206D"/>
    <w:rsid w:val="00AA209E"/>
    <w:rsid w:val="00AA2108"/>
    <w:rsid w:val="00AA21F0"/>
    <w:rsid w:val="00AA21F2"/>
    <w:rsid w:val="00AA22B4"/>
    <w:rsid w:val="00AA2364"/>
    <w:rsid w:val="00AA23B7"/>
    <w:rsid w:val="00AA2444"/>
    <w:rsid w:val="00AA2852"/>
    <w:rsid w:val="00AA2871"/>
    <w:rsid w:val="00AA2B1E"/>
    <w:rsid w:val="00AA2D82"/>
    <w:rsid w:val="00AA2DE6"/>
    <w:rsid w:val="00AA2E7B"/>
    <w:rsid w:val="00AA2E8E"/>
    <w:rsid w:val="00AA2E9D"/>
    <w:rsid w:val="00AA2EAF"/>
    <w:rsid w:val="00AA3006"/>
    <w:rsid w:val="00AA30F7"/>
    <w:rsid w:val="00AA321F"/>
    <w:rsid w:val="00AA334B"/>
    <w:rsid w:val="00AA3498"/>
    <w:rsid w:val="00AA36E8"/>
    <w:rsid w:val="00AA374A"/>
    <w:rsid w:val="00AA374D"/>
    <w:rsid w:val="00AA382D"/>
    <w:rsid w:val="00AA3924"/>
    <w:rsid w:val="00AA3A16"/>
    <w:rsid w:val="00AA3B0F"/>
    <w:rsid w:val="00AA3B80"/>
    <w:rsid w:val="00AA3C31"/>
    <w:rsid w:val="00AA3F79"/>
    <w:rsid w:val="00AA3FC1"/>
    <w:rsid w:val="00AA4217"/>
    <w:rsid w:val="00AA46C5"/>
    <w:rsid w:val="00AA46E4"/>
    <w:rsid w:val="00AA47F1"/>
    <w:rsid w:val="00AA4B88"/>
    <w:rsid w:val="00AA4BC6"/>
    <w:rsid w:val="00AA4CF1"/>
    <w:rsid w:val="00AA4D3A"/>
    <w:rsid w:val="00AA4E61"/>
    <w:rsid w:val="00AA4EFF"/>
    <w:rsid w:val="00AA5190"/>
    <w:rsid w:val="00AA51CF"/>
    <w:rsid w:val="00AA5287"/>
    <w:rsid w:val="00AA5528"/>
    <w:rsid w:val="00AA5669"/>
    <w:rsid w:val="00AA5760"/>
    <w:rsid w:val="00AA5793"/>
    <w:rsid w:val="00AA57E3"/>
    <w:rsid w:val="00AA587C"/>
    <w:rsid w:val="00AA58E6"/>
    <w:rsid w:val="00AA5A42"/>
    <w:rsid w:val="00AA5A5F"/>
    <w:rsid w:val="00AA5A63"/>
    <w:rsid w:val="00AA5ABD"/>
    <w:rsid w:val="00AA5ABF"/>
    <w:rsid w:val="00AA5D80"/>
    <w:rsid w:val="00AA5DD6"/>
    <w:rsid w:val="00AA5EF8"/>
    <w:rsid w:val="00AA5F8A"/>
    <w:rsid w:val="00AA5FA2"/>
    <w:rsid w:val="00AA604F"/>
    <w:rsid w:val="00AA6081"/>
    <w:rsid w:val="00AA60E6"/>
    <w:rsid w:val="00AA62C4"/>
    <w:rsid w:val="00AA63B9"/>
    <w:rsid w:val="00AA646C"/>
    <w:rsid w:val="00AA64E9"/>
    <w:rsid w:val="00AA6615"/>
    <w:rsid w:val="00AA6682"/>
    <w:rsid w:val="00AA679C"/>
    <w:rsid w:val="00AA6813"/>
    <w:rsid w:val="00AA6877"/>
    <w:rsid w:val="00AA691D"/>
    <w:rsid w:val="00AA692E"/>
    <w:rsid w:val="00AA6AEF"/>
    <w:rsid w:val="00AA6C88"/>
    <w:rsid w:val="00AA6CB2"/>
    <w:rsid w:val="00AA6DA9"/>
    <w:rsid w:val="00AA6DC8"/>
    <w:rsid w:val="00AA6DE0"/>
    <w:rsid w:val="00AA6E25"/>
    <w:rsid w:val="00AA6ECB"/>
    <w:rsid w:val="00AA6F31"/>
    <w:rsid w:val="00AA70F0"/>
    <w:rsid w:val="00AA7147"/>
    <w:rsid w:val="00AA74D1"/>
    <w:rsid w:val="00AA74E3"/>
    <w:rsid w:val="00AA76CF"/>
    <w:rsid w:val="00AA7766"/>
    <w:rsid w:val="00AA790B"/>
    <w:rsid w:val="00AA7AD0"/>
    <w:rsid w:val="00AA7B85"/>
    <w:rsid w:val="00AA7C82"/>
    <w:rsid w:val="00AA7E81"/>
    <w:rsid w:val="00AA7E84"/>
    <w:rsid w:val="00AA7EC8"/>
    <w:rsid w:val="00AA7F17"/>
    <w:rsid w:val="00AB000E"/>
    <w:rsid w:val="00AB013B"/>
    <w:rsid w:val="00AB03FE"/>
    <w:rsid w:val="00AB0403"/>
    <w:rsid w:val="00AB041F"/>
    <w:rsid w:val="00AB048F"/>
    <w:rsid w:val="00AB04FC"/>
    <w:rsid w:val="00AB05BA"/>
    <w:rsid w:val="00AB061F"/>
    <w:rsid w:val="00AB0622"/>
    <w:rsid w:val="00AB0636"/>
    <w:rsid w:val="00AB063E"/>
    <w:rsid w:val="00AB07E2"/>
    <w:rsid w:val="00AB0825"/>
    <w:rsid w:val="00AB0898"/>
    <w:rsid w:val="00AB0926"/>
    <w:rsid w:val="00AB09EA"/>
    <w:rsid w:val="00AB0A6D"/>
    <w:rsid w:val="00AB0A82"/>
    <w:rsid w:val="00AB0A84"/>
    <w:rsid w:val="00AB0BF8"/>
    <w:rsid w:val="00AB0DB8"/>
    <w:rsid w:val="00AB119F"/>
    <w:rsid w:val="00AB1416"/>
    <w:rsid w:val="00AB149C"/>
    <w:rsid w:val="00AB156F"/>
    <w:rsid w:val="00AB166C"/>
    <w:rsid w:val="00AB16F3"/>
    <w:rsid w:val="00AB16F6"/>
    <w:rsid w:val="00AB17BD"/>
    <w:rsid w:val="00AB17F5"/>
    <w:rsid w:val="00AB187B"/>
    <w:rsid w:val="00AB1A14"/>
    <w:rsid w:val="00AB1D3D"/>
    <w:rsid w:val="00AB1E57"/>
    <w:rsid w:val="00AB1E58"/>
    <w:rsid w:val="00AB1F45"/>
    <w:rsid w:val="00AB20AF"/>
    <w:rsid w:val="00AB22F7"/>
    <w:rsid w:val="00AB2309"/>
    <w:rsid w:val="00AB2386"/>
    <w:rsid w:val="00AB2574"/>
    <w:rsid w:val="00AB28FE"/>
    <w:rsid w:val="00AB2993"/>
    <w:rsid w:val="00AB2A04"/>
    <w:rsid w:val="00AB2A15"/>
    <w:rsid w:val="00AB2AF4"/>
    <w:rsid w:val="00AB2B5F"/>
    <w:rsid w:val="00AB2BAC"/>
    <w:rsid w:val="00AB2C2D"/>
    <w:rsid w:val="00AB30E8"/>
    <w:rsid w:val="00AB3188"/>
    <w:rsid w:val="00AB31FB"/>
    <w:rsid w:val="00AB3276"/>
    <w:rsid w:val="00AB32BC"/>
    <w:rsid w:val="00AB34A6"/>
    <w:rsid w:val="00AB3513"/>
    <w:rsid w:val="00AB386D"/>
    <w:rsid w:val="00AB38E3"/>
    <w:rsid w:val="00AB3A91"/>
    <w:rsid w:val="00AB3E37"/>
    <w:rsid w:val="00AB3E41"/>
    <w:rsid w:val="00AB3F1B"/>
    <w:rsid w:val="00AB456D"/>
    <w:rsid w:val="00AB493C"/>
    <w:rsid w:val="00AB4B1B"/>
    <w:rsid w:val="00AB4BCD"/>
    <w:rsid w:val="00AB4C13"/>
    <w:rsid w:val="00AB4DC5"/>
    <w:rsid w:val="00AB4E9D"/>
    <w:rsid w:val="00AB4F70"/>
    <w:rsid w:val="00AB4FBC"/>
    <w:rsid w:val="00AB5058"/>
    <w:rsid w:val="00AB51ED"/>
    <w:rsid w:val="00AB5207"/>
    <w:rsid w:val="00AB53A5"/>
    <w:rsid w:val="00AB5665"/>
    <w:rsid w:val="00AB5719"/>
    <w:rsid w:val="00AB5795"/>
    <w:rsid w:val="00AB582C"/>
    <w:rsid w:val="00AB5A87"/>
    <w:rsid w:val="00AB5B21"/>
    <w:rsid w:val="00AB5B62"/>
    <w:rsid w:val="00AB5BA7"/>
    <w:rsid w:val="00AB5BAE"/>
    <w:rsid w:val="00AB5C23"/>
    <w:rsid w:val="00AB5C41"/>
    <w:rsid w:val="00AB5C7A"/>
    <w:rsid w:val="00AB5D4C"/>
    <w:rsid w:val="00AB5DD7"/>
    <w:rsid w:val="00AB5ECE"/>
    <w:rsid w:val="00AB61FB"/>
    <w:rsid w:val="00AB6292"/>
    <w:rsid w:val="00AB62B7"/>
    <w:rsid w:val="00AB643E"/>
    <w:rsid w:val="00AB69A9"/>
    <w:rsid w:val="00AB6AB0"/>
    <w:rsid w:val="00AB6B16"/>
    <w:rsid w:val="00AB6B4A"/>
    <w:rsid w:val="00AB6B9A"/>
    <w:rsid w:val="00AB6F3F"/>
    <w:rsid w:val="00AB6F58"/>
    <w:rsid w:val="00AB6F9B"/>
    <w:rsid w:val="00AB6FBE"/>
    <w:rsid w:val="00AB7047"/>
    <w:rsid w:val="00AB70C8"/>
    <w:rsid w:val="00AB70CD"/>
    <w:rsid w:val="00AB7109"/>
    <w:rsid w:val="00AB7132"/>
    <w:rsid w:val="00AB74A2"/>
    <w:rsid w:val="00AB74B5"/>
    <w:rsid w:val="00AB74DD"/>
    <w:rsid w:val="00AB752D"/>
    <w:rsid w:val="00AB76FB"/>
    <w:rsid w:val="00AB77D6"/>
    <w:rsid w:val="00AB7805"/>
    <w:rsid w:val="00AB7860"/>
    <w:rsid w:val="00AB78C0"/>
    <w:rsid w:val="00AB794B"/>
    <w:rsid w:val="00AB7A96"/>
    <w:rsid w:val="00AB7B54"/>
    <w:rsid w:val="00AB7D5D"/>
    <w:rsid w:val="00AB7DD0"/>
    <w:rsid w:val="00AB7E46"/>
    <w:rsid w:val="00AC0043"/>
    <w:rsid w:val="00AC0302"/>
    <w:rsid w:val="00AC03A4"/>
    <w:rsid w:val="00AC03C6"/>
    <w:rsid w:val="00AC046E"/>
    <w:rsid w:val="00AC04CC"/>
    <w:rsid w:val="00AC07D9"/>
    <w:rsid w:val="00AC083F"/>
    <w:rsid w:val="00AC0B01"/>
    <w:rsid w:val="00AC0CDC"/>
    <w:rsid w:val="00AC0CE3"/>
    <w:rsid w:val="00AC0D00"/>
    <w:rsid w:val="00AC0D80"/>
    <w:rsid w:val="00AC0DB6"/>
    <w:rsid w:val="00AC0E24"/>
    <w:rsid w:val="00AC0EB0"/>
    <w:rsid w:val="00AC0F00"/>
    <w:rsid w:val="00AC0FB6"/>
    <w:rsid w:val="00AC1004"/>
    <w:rsid w:val="00AC1188"/>
    <w:rsid w:val="00AC12A8"/>
    <w:rsid w:val="00AC12B8"/>
    <w:rsid w:val="00AC1404"/>
    <w:rsid w:val="00AC145F"/>
    <w:rsid w:val="00AC147A"/>
    <w:rsid w:val="00AC16E4"/>
    <w:rsid w:val="00AC17B2"/>
    <w:rsid w:val="00AC1810"/>
    <w:rsid w:val="00AC1960"/>
    <w:rsid w:val="00AC1B99"/>
    <w:rsid w:val="00AC1C0A"/>
    <w:rsid w:val="00AC1C2E"/>
    <w:rsid w:val="00AC1D35"/>
    <w:rsid w:val="00AC1D6F"/>
    <w:rsid w:val="00AC1E27"/>
    <w:rsid w:val="00AC1F13"/>
    <w:rsid w:val="00AC1FD0"/>
    <w:rsid w:val="00AC20A7"/>
    <w:rsid w:val="00AC20DB"/>
    <w:rsid w:val="00AC2444"/>
    <w:rsid w:val="00AC25B1"/>
    <w:rsid w:val="00AC2721"/>
    <w:rsid w:val="00AC2944"/>
    <w:rsid w:val="00AC2946"/>
    <w:rsid w:val="00AC294C"/>
    <w:rsid w:val="00AC295A"/>
    <w:rsid w:val="00AC2C0A"/>
    <w:rsid w:val="00AC2C9D"/>
    <w:rsid w:val="00AC2CA4"/>
    <w:rsid w:val="00AC2D04"/>
    <w:rsid w:val="00AC333C"/>
    <w:rsid w:val="00AC3425"/>
    <w:rsid w:val="00AC3463"/>
    <w:rsid w:val="00AC3587"/>
    <w:rsid w:val="00AC35B4"/>
    <w:rsid w:val="00AC3728"/>
    <w:rsid w:val="00AC37B7"/>
    <w:rsid w:val="00AC37C9"/>
    <w:rsid w:val="00AC37ED"/>
    <w:rsid w:val="00AC37FA"/>
    <w:rsid w:val="00AC3990"/>
    <w:rsid w:val="00AC3A1C"/>
    <w:rsid w:val="00AC3B27"/>
    <w:rsid w:val="00AC3B91"/>
    <w:rsid w:val="00AC3BCB"/>
    <w:rsid w:val="00AC3C4C"/>
    <w:rsid w:val="00AC3CF8"/>
    <w:rsid w:val="00AC3D19"/>
    <w:rsid w:val="00AC3E7E"/>
    <w:rsid w:val="00AC3EA5"/>
    <w:rsid w:val="00AC3F14"/>
    <w:rsid w:val="00AC4013"/>
    <w:rsid w:val="00AC4115"/>
    <w:rsid w:val="00AC43A2"/>
    <w:rsid w:val="00AC4410"/>
    <w:rsid w:val="00AC44B5"/>
    <w:rsid w:val="00AC44D4"/>
    <w:rsid w:val="00AC44EC"/>
    <w:rsid w:val="00AC483B"/>
    <w:rsid w:val="00AC48C7"/>
    <w:rsid w:val="00AC4A87"/>
    <w:rsid w:val="00AC4CEB"/>
    <w:rsid w:val="00AC4E21"/>
    <w:rsid w:val="00AC4E55"/>
    <w:rsid w:val="00AC4EBD"/>
    <w:rsid w:val="00AC4F1E"/>
    <w:rsid w:val="00AC503F"/>
    <w:rsid w:val="00AC5249"/>
    <w:rsid w:val="00AC5283"/>
    <w:rsid w:val="00AC5395"/>
    <w:rsid w:val="00AC541E"/>
    <w:rsid w:val="00AC56B1"/>
    <w:rsid w:val="00AC5793"/>
    <w:rsid w:val="00AC58A4"/>
    <w:rsid w:val="00AC5A3D"/>
    <w:rsid w:val="00AC5B30"/>
    <w:rsid w:val="00AC5CBD"/>
    <w:rsid w:val="00AC5E2B"/>
    <w:rsid w:val="00AC6055"/>
    <w:rsid w:val="00AC61C6"/>
    <w:rsid w:val="00AC62C7"/>
    <w:rsid w:val="00AC6425"/>
    <w:rsid w:val="00AC657A"/>
    <w:rsid w:val="00AC65B0"/>
    <w:rsid w:val="00AC65E7"/>
    <w:rsid w:val="00AC673D"/>
    <w:rsid w:val="00AC68CD"/>
    <w:rsid w:val="00AC690B"/>
    <w:rsid w:val="00AC69CA"/>
    <w:rsid w:val="00AC6A79"/>
    <w:rsid w:val="00AC6B2E"/>
    <w:rsid w:val="00AC6C86"/>
    <w:rsid w:val="00AC6DA9"/>
    <w:rsid w:val="00AC6EEA"/>
    <w:rsid w:val="00AC7030"/>
    <w:rsid w:val="00AC709F"/>
    <w:rsid w:val="00AC71E8"/>
    <w:rsid w:val="00AC721F"/>
    <w:rsid w:val="00AC7357"/>
    <w:rsid w:val="00AC748B"/>
    <w:rsid w:val="00AC74C1"/>
    <w:rsid w:val="00AC74E9"/>
    <w:rsid w:val="00AC779C"/>
    <w:rsid w:val="00AC7867"/>
    <w:rsid w:val="00AC798E"/>
    <w:rsid w:val="00AC79FF"/>
    <w:rsid w:val="00AC7B82"/>
    <w:rsid w:val="00AC7BF8"/>
    <w:rsid w:val="00AC7C20"/>
    <w:rsid w:val="00AC7C31"/>
    <w:rsid w:val="00AC7C79"/>
    <w:rsid w:val="00AC7CCF"/>
    <w:rsid w:val="00AC7D17"/>
    <w:rsid w:val="00AC7D5A"/>
    <w:rsid w:val="00AC7D71"/>
    <w:rsid w:val="00AC7DE8"/>
    <w:rsid w:val="00AC7E32"/>
    <w:rsid w:val="00AD00DC"/>
    <w:rsid w:val="00AD029A"/>
    <w:rsid w:val="00AD0414"/>
    <w:rsid w:val="00AD0436"/>
    <w:rsid w:val="00AD04FE"/>
    <w:rsid w:val="00AD0579"/>
    <w:rsid w:val="00AD0738"/>
    <w:rsid w:val="00AD09B9"/>
    <w:rsid w:val="00AD0B09"/>
    <w:rsid w:val="00AD0C3A"/>
    <w:rsid w:val="00AD0CB1"/>
    <w:rsid w:val="00AD0D95"/>
    <w:rsid w:val="00AD0E5C"/>
    <w:rsid w:val="00AD0EC8"/>
    <w:rsid w:val="00AD0F0A"/>
    <w:rsid w:val="00AD0F4A"/>
    <w:rsid w:val="00AD0FC1"/>
    <w:rsid w:val="00AD0FF2"/>
    <w:rsid w:val="00AD1081"/>
    <w:rsid w:val="00AD1099"/>
    <w:rsid w:val="00AD1131"/>
    <w:rsid w:val="00AD119A"/>
    <w:rsid w:val="00AD137E"/>
    <w:rsid w:val="00AD13D4"/>
    <w:rsid w:val="00AD17BF"/>
    <w:rsid w:val="00AD1A1C"/>
    <w:rsid w:val="00AD1A4E"/>
    <w:rsid w:val="00AD1B75"/>
    <w:rsid w:val="00AD1CB6"/>
    <w:rsid w:val="00AD1D5A"/>
    <w:rsid w:val="00AD1D65"/>
    <w:rsid w:val="00AD1EA8"/>
    <w:rsid w:val="00AD1F11"/>
    <w:rsid w:val="00AD231B"/>
    <w:rsid w:val="00AD2493"/>
    <w:rsid w:val="00AD24E5"/>
    <w:rsid w:val="00AD252F"/>
    <w:rsid w:val="00AD2681"/>
    <w:rsid w:val="00AD2683"/>
    <w:rsid w:val="00AD2710"/>
    <w:rsid w:val="00AD2723"/>
    <w:rsid w:val="00AD2731"/>
    <w:rsid w:val="00AD29DC"/>
    <w:rsid w:val="00AD29DD"/>
    <w:rsid w:val="00AD2C24"/>
    <w:rsid w:val="00AD2C7B"/>
    <w:rsid w:val="00AD2CE8"/>
    <w:rsid w:val="00AD2D97"/>
    <w:rsid w:val="00AD30E8"/>
    <w:rsid w:val="00AD3257"/>
    <w:rsid w:val="00AD3415"/>
    <w:rsid w:val="00AD34F2"/>
    <w:rsid w:val="00AD35E9"/>
    <w:rsid w:val="00AD35FA"/>
    <w:rsid w:val="00AD370B"/>
    <w:rsid w:val="00AD3898"/>
    <w:rsid w:val="00AD3C01"/>
    <w:rsid w:val="00AD3C02"/>
    <w:rsid w:val="00AD3D60"/>
    <w:rsid w:val="00AD3D88"/>
    <w:rsid w:val="00AD3D9D"/>
    <w:rsid w:val="00AD4386"/>
    <w:rsid w:val="00AD45A7"/>
    <w:rsid w:val="00AD460D"/>
    <w:rsid w:val="00AD4661"/>
    <w:rsid w:val="00AD4792"/>
    <w:rsid w:val="00AD483D"/>
    <w:rsid w:val="00AD4A05"/>
    <w:rsid w:val="00AD4A47"/>
    <w:rsid w:val="00AD4B4D"/>
    <w:rsid w:val="00AD4BDA"/>
    <w:rsid w:val="00AD4CC7"/>
    <w:rsid w:val="00AD4CF4"/>
    <w:rsid w:val="00AD525E"/>
    <w:rsid w:val="00AD5296"/>
    <w:rsid w:val="00AD55E4"/>
    <w:rsid w:val="00AD55F4"/>
    <w:rsid w:val="00AD55F8"/>
    <w:rsid w:val="00AD5669"/>
    <w:rsid w:val="00AD56A3"/>
    <w:rsid w:val="00AD5794"/>
    <w:rsid w:val="00AD57DC"/>
    <w:rsid w:val="00AD58A0"/>
    <w:rsid w:val="00AD59FA"/>
    <w:rsid w:val="00AD5A67"/>
    <w:rsid w:val="00AD6036"/>
    <w:rsid w:val="00AD6286"/>
    <w:rsid w:val="00AD672E"/>
    <w:rsid w:val="00AD6732"/>
    <w:rsid w:val="00AD6864"/>
    <w:rsid w:val="00AD68F7"/>
    <w:rsid w:val="00AD6945"/>
    <w:rsid w:val="00AD69B7"/>
    <w:rsid w:val="00AD6A4E"/>
    <w:rsid w:val="00AD6A9A"/>
    <w:rsid w:val="00AD6C51"/>
    <w:rsid w:val="00AD6DDF"/>
    <w:rsid w:val="00AD6F4C"/>
    <w:rsid w:val="00AD6FAE"/>
    <w:rsid w:val="00AD702A"/>
    <w:rsid w:val="00AD7086"/>
    <w:rsid w:val="00AD70C8"/>
    <w:rsid w:val="00AD710F"/>
    <w:rsid w:val="00AD7158"/>
    <w:rsid w:val="00AD716F"/>
    <w:rsid w:val="00AD7296"/>
    <w:rsid w:val="00AD733A"/>
    <w:rsid w:val="00AD7345"/>
    <w:rsid w:val="00AD74D6"/>
    <w:rsid w:val="00AD7502"/>
    <w:rsid w:val="00AD7680"/>
    <w:rsid w:val="00AD775D"/>
    <w:rsid w:val="00AD7767"/>
    <w:rsid w:val="00AD7796"/>
    <w:rsid w:val="00AD782E"/>
    <w:rsid w:val="00AD7953"/>
    <w:rsid w:val="00AD7A48"/>
    <w:rsid w:val="00AD7B07"/>
    <w:rsid w:val="00AD7B4E"/>
    <w:rsid w:val="00AD7BA1"/>
    <w:rsid w:val="00AD7C99"/>
    <w:rsid w:val="00AD7CE9"/>
    <w:rsid w:val="00AD7CED"/>
    <w:rsid w:val="00AD7E2E"/>
    <w:rsid w:val="00AE0076"/>
    <w:rsid w:val="00AE00DE"/>
    <w:rsid w:val="00AE03CF"/>
    <w:rsid w:val="00AE03FB"/>
    <w:rsid w:val="00AE0465"/>
    <w:rsid w:val="00AE04FE"/>
    <w:rsid w:val="00AE069F"/>
    <w:rsid w:val="00AE06D2"/>
    <w:rsid w:val="00AE0872"/>
    <w:rsid w:val="00AE087D"/>
    <w:rsid w:val="00AE090D"/>
    <w:rsid w:val="00AE0938"/>
    <w:rsid w:val="00AE0A6D"/>
    <w:rsid w:val="00AE0AF4"/>
    <w:rsid w:val="00AE0CAF"/>
    <w:rsid w:val="00AE0DDC"/>
    <w:rsid w:val="00AE0E00"/>
    <w:rsid w:val="00AE0E46"/>
    <w:rsid w:val="00AE0EF2"/>
    <w:rsid w:val="00AE0F81"/>
    <w:rsid w:val="00AE0FA9"/>
    <w:rsid w:val="00AE0FEA"/>
    <w:rsid w:val="00AE104A"/>
    <w:rsid w:val="00AE10BD"/>
    <w:rsid w:val="00AE1139"/>
    <w:rsid w:val="00AE115B"/>
    <w:rsid w:val="00AE1221"/>
    <w:rsid w:val="00AE124D"/>
    <w:rsid w:val="00AE12A6"/>
    <w:rsid w:val="00AE1448"/>
    <w:rsid w:val="00AE1470"/>
    <w:rsid w:val="00AE15FD"/>
    <w:rsid w:val="00AE1629"/>
    <w:rsid w:val="00AE162F"/>
    <w:rsid w:val="00AE1817"/>
    <w:rsid w:val="00AE1827"/>
    <w:rsid w:val="00AE189D"/>
    <w:rsid w:val="00AE198D"/>
    <w:rsid w:val="00AE19DE"/>
    <w:rsid w:val="00AE19E5"/>
    <w:rsid w:val="00AE1A6D"/>
    <w:rsid w:val="00AE1B54"/>
    <w:rsid w:val="00AE1CB2"/>
    <w:rsid w:val="00AE1D0D"/>
    <w:rsid w:val="00AE1DF4"/>
    <w:rsid w:val="00AE1E20"/>
    <w:rsid w:val="00AE1F88"/>
    <w:rsid w:val="00AE2082"/>
    <w:rsid w:val="00AE20F9"/>
    <w:rsid w:val="00AE217F"/>
    <w:rsid w:val="00AE23FD"/>
    <w:rsid w:val="00AE2476"/>
    <w:rsid w:val="00AE24FE"/>
    <w:rsid w:val="00AE25F0"/>
    <w:rsid w:val="00AE263E"/>
    <w:rsid w:val="00AE27C2"/>
    <w:rsid w:val="00AE287B"/>
    <w:rsid w:val="00AE28AA"/>
    <w:rsid w:val="00AE295A"/>
    <w:rsid w:val="00AE2961"/>
    <w:rsid w:val="00AE2B32"/>
    <w:rsid w:val="00AE2CCF"/>
    <w:rsid w:val="00AE2DE2"/>
    <w:rsid w:val="00AE2DEF"/>
    <w:rsid w:val="00AE2DF0"/>
    <w:rsid w:val="00AE2DF3"/>
    <w:rsid w:val="00AE2E01"/>
    <w:rsid w:val="00AE2F59"/>
    <w:rsid w:val="00AE30EB"/>
    <w:rsid w:val="00AE3171"/>
    <w:rsid w:val="00AE31DE"/>
    <w:rsid w:val="00AE32BE"/>
    <w:rsid w:val="00AE32F7"/>
    <w:rsid w:val="00AE3575"/>
    <w:rsid w:val="00AE37C2"/>
    <w:rsid w:val="00AE3888"/>
    <w:rsid w:val="00AE3AD5"/>
    <w:rsid w:val="00AE3B87"/>
    <w:rsid w:val="00AE3C47"/>
    <w:rsid w:val="00AE3E12"/>
    <w:rsid w:val="00AE3F3E"/>
    <w:rsid w:val="00AE40A1"/>
    <w:rsid w:val="00AE40DA"/>
    <w:rsid w:val="00AE4208"/>
    <w:rsid w:val="00AE4263"/>
    <w:rsid w:val="00AE445B"/>
    <w:rsid w:val="00AE4469"/>
    <w:rsid w:val="00AE4655"/>
    <w:rsid w:val="00AE4762"/>
    <w:rsid w:val="00AE47B8"/>
    <w:rsid w:val="00AE4B0D"/>
    <w:rsid w:val="00AE4B66"/>
    <w:rsid w:val="00AE4CAB"/>
    <w:rsid w:val="00AE4D11"/>
    <w:rsid w:val="00AE51EC"/>
    <w:rsid w:val="00AE529A"/>
    <w:rsid w:val="00AE565D"/>
    <w:rsid w:val="00AE5695"/>
    <w:rsid w:val="00AE56D5"/>
    <w:rsid w:val="00AE57E0"/>
    <w:rsid w:val="00AE5A62"/>
    <w:rsid w:val="00AE5BAB"/>
    <w:rsid w:val="00AE5CCC"/>
    <w:rsid w:val="00AE5D75"/>
    <w:rsid w:val="00AE5EA6"/>
    <w:rsid w:val="00AE5F4E"/>
    <w:rsid w:val="00AE5FE1"/>
    <w:rsid w:val="00AE6015"/>
    <w:rsid w:val="00AE601A"/>
    <w:rsid w:val="00AE60F7"/>
    <w:rsid w:val="00AE62B4"/>
    <w:rsid w:val="00AE62EF"/>
    <w:rsid w:val="00AE63CB"/>
    <w:rsid w:val="00AE6430"/>
    <w:rsid w:val="00AE6475"/>
    <w:rsid w:val="00AE6504"/>
    <w:rsid w:val="00AE6564"/>
    <w:rsid w:val="00AE6591"/>
    <w:rsid w:val="00AE65DB"/>
    <w:rsid w:val="00AE66F2"/>
    <w:rsid w:val="00AE671B"/>
    <w:rsid w:val="00AE6739"/>
    <w:rsid w:val="00AE675D"/>
    <w:rsid w:val="00AE6780"/>
    <w:rsid w:val="00AE67A8"/>
    <w:rsid w:val="00AE67FF"/>
    <w:rsid w:val="00AE6847"/>
    <w:rsid w:val="00AE68B1"/>
    <w:rsid w:val="00AE69BF"/>
    <w:rsid w:val="00AE6A92"/>
    <w:rsid w:val="00AE6B0F"/>
    <w:rsid w:val="00AE6B79"/>
    <w:rsid w:val="00AE6E7A"/>
    <w:rsid w:val="00AE7055"/>
    <w:rsid w:val="00AE7097"/>
    <w:rsid w:val="00AE71F3"/>
    <w:rsid w:val="00AE720F"/>
    <w:rsid w:val="00AE7274"/>
    <w:rsid w:val="00AE740B"/>
    <w:rsid w:val="00AE7458"/>
    <w:rsid w:val="00AE74BA"/>
    <w:rsid w:val="00AE74D9"/>
    <w:rsid w:val="00AE77F7"/>
    <w:rsid w:val="00AE78BA"/>
    <w:rsid w:val="00AE78E0"/>
    <w:rsid w:val="00AE7956"/>
    <w:rsid w:val="00AE7966"/>
    <w:rsid w:val="00AE797B"/>
    <w:rsid w:val="00AE7D29"/>
    <w:rsid w:val="00AE7D5C"/>
    <w:rsid w:val="00AE7D74"/>
    <w:rsid w:val="00AE7D81"/>
    <w:rsid w:val="00AE7E0A"/>
    <w:rsid w:val="00AE7EA9"/>
    <w:rsid w:val="00AE7F01"/>
    <w:rsid w:val="00AF001B"/>
    <w:rsid w:val="00AF0036"/>
    <w:rsid w:val="00AF0116"/>
    <w:rsid w:val="00AF020C"/>
    <w:rsid w:val="00AF03E6"/>
    <w:rsid w:val="00AF03F7"/>
    <w:rsid w:val="00AF04A2"/>
    <w:rsid w:val="00AF05B8"/>
    <w:rsid w:val="00AF05BD"/>
    <w:rsid w:val="00AF0648"/>
    <w:rsid w:val="00AF06B4"/>
    <w:rsid w:val="00AF0708"/>
    <w:rsid w:val="00AF070E"/>
    <w:rsid w:val="00AF080E"/>
    <w:rsid w:val="00AF088F"/>
    <w:rsid w:val="00AF09C9"/>
    <w:rsid w:val="00AF0A00"/>
    <w:rsid w:val="00AF0A02"/>
    <w:rsid w:val="00AF0A27"/>
    <w:rsid w:val="00AF0AC4"/>
    <w:rsid w:val="00AF0BC6"/>
    <w:rsid w:val="00AF0C17"/>
    <w:rsid w:val="00AF0C3A"/>
    <w:rsid w:val="00AF0D1F"/>
    <w:rsid w:val="00AF0F06"/>
    <w:rsid w:val="00AF0F16"/>
    <w:rsid w:val="00AF144A"/>
    <w:rsid w:val="00AF16A3"/>
    <w:rsid w:val="00AF16A8"/>
    <w:rsid w:val="00AF182B"/>
    <w:rsid w:val="00AF1875"/>
    <w:rsid w:val="00AF18D8"/>
    <w:rsid w:val="00AF1941"/>
    <w:rsid w:val="00AF1A5A"/>
    <w:rsid w:val="00AF1AAD"/>
    <w:rsid w:val="00AF1B7A"/>
    <w:rsid w:val="00AF1CA5"/>
    <w:rsid w:val="00AF1D24"/>
    <w:rsid w:val="00AF1F5C"/>
    <w:rsid w:val="00AF22AC"/>
    <w:rsid w:val="00AF22CB"/>
    <w:rsid w:val="00AF23FB"/>
    <w:rsid w:val="00AF2482"/>
    <w:rsid w:val="00AF29D4"/>
    <w:rsid w:val="00AF2AA7"/>
    <w:rsid w:val="00AF2AEC"/>
    <w:rsid w:val="00AF2B16"/>
    <w:rsid w:val="00AF2CB7"/>
    <w:rsid w:val="00AF2D12"/>
    <w:rsid w:val="00AF2D4C"/>
    <w:rsid w:val="00AF2DB1"/>
    <w:rsid w:val="00AF2E6C"/>
    <w:rsid w:val="00AF315D"/>
    <w:rsid w:val="00AF31B9"/>
    <w:rsid w:val="00AF31F7"/>
    <w:rsid w:val="00AF32A1"/>
    <w:rsid w:val="00AF33BE"/>
    <w:rsid w:val="00AF33CE"/>
    <w:rsid w:val="00AF35B6"/>
    <w:rsid w:val="00AF36BF"/>
    <w:rsid w:val="00AF376C"/>
    <w:rsid w:val="00AF3824"/>
    <w:rsid w:val="00AF38D3"/>
    <w:rsid w:val="00AF39B3"/>
    <w:rsid w:val="00AF3C60"/>
    <w:rsid w:val="00AF3D0C"/>
    <w:rsid w:val="00AF3D8D"/>
    <w:rsid w:val="00AF3E72"/>
    <w:rsid w:val="00AF425A"/>
    <w:rsid w:val="00AF4576"/>
    <w:rsid w:val="00AF49ED"/>
    <w:rsid w:val="00AF4A06"/>
    <w:rsid w:val="00AF4AE2"/>
    <w:rsid w:val="00AF4B17"/>
    <w:rsid w:val="00AF4B56"/>
    <w:rsid w:val="00AF4CA9"/>
    <w:rsid w:val="00AF4D83"/>
    <w:rsid w:val="00AF5032"/>
    <w:rsid w:val="00AF5094"/>
    <w:rsid w:val="00AF521C"/>
    <w:rsid w:val="00AF52F6"/>
    <w:rsid w:val="00AF53C2"/>
    <w:rsid w:val="00AF53D2"/>
    <w:rsid w:val="00AF5603"/>
    <w:rsid w:val="00AF5616"/>
    <w:rsid w:val="00AF565E"/>
    <w:rsid w:val="00AF5738"/>
    <w:rsid w:val="00AF5777"/>
    <w:rsid w:val="00AF58F3"/>
    <w:rsid w:val="00AF592E"/>
    <w:rsid w:val="00AF5977"/>
    <w:rsid w:val="00AF5A6A"/>
    <w:rsid w:val="00AF5C14"/>
    <w:rsid w:val="00AF5E62"/>
    <w:rsid w:val="00AF5F80"/>
    <w:rsid w:val="00AF60FD"/>
    <w:rsid w:val="00AF616B"/>
    <w:rsid w:val="00AF6529"/>
    <w:rsid w:val="00AF65CD"/>
    <w:rsid w:val="00AF65D0"/>
    <w:rsid w:val="00AF666B"/>
    <w:rsid w:val="00AF68EE"/>
    <w:rsid w:val="00AF6925"/>
    <w:rsid w:val="00AF6A13"/>
    <w:rsid w:val="00AF6CAB"/>
    <w:rsid w:val="00AF6CAD"/>
    <w:rsid w:val="00AF6D46"/>
    <w:rsid w:val="00AF6E4F"/>
    <w:rsid w:val="00AF703E"/>
    <w:rsid w:val="00AF7196"/>
    <w:rsid w:val="00AF7201"/>
    <w:rsid w:val="00AF7211"/>
    <w:rsid w:val="00AF74C8"/>
    <w:rsid w:val="00AF75A8"/>
    <w:rsid w:val="00AF76BE"/>
    <w:rsid w:val="00AF76D6"/>
    <w:rsid w:val="00AF7777"/>
    <w:rsid w:val="00AF779C"/>
    <w:rsid w:val="00AF78E4"/>
    <w:rsid w:val="00AF796A"/>
    <w:rsid w:val="00AF7A31"/>
    <w:rsid w:val="00AF7B81"/>
    <w:rsid w:val="00AF7C6B"/>
    <w:rsid w:val="00AF7C9A"/>
    <w:rsid w:val="00AF7D79"/>
    <w:rsid w:val="00AF7E58"/>
    <w:rsid w:val="00AF7EB1"/>
    <w:rsid w:val="00AFE357"/>
    <w:rsid w:val="00B001FB"/>
    <w:rsid w:val="00B00221"/>
    <w:rsid w:val="00B00262"/>
    <w:rsid w:val="00B004AA"/>
    <w:rsid w:val="00B004C0"/>
    <w:rsid w:val="00B005F3"/>
    <w:rsid w:val="00B00625"/>
    <w:rsid w:val="00B00627"/>
    <w:rsid w:val="00B00710"/>
    <w:rsid w:val="00B009A2"/>
    <w:rsid w:val="00B00C95"/>
    <w:rsid w:val="00B00D1F"/>
    <w:rsid w:val="00B00D24"/>
    <w:rsid w:val="00B00D93"/>
    <w:rsid w:val="00B00E62"/>
    <w:rsid w:val="00B00F5D"/>
    <w:rsid w:val="00B0111B"/>
    <w:rsid w:val="00B011BC"/>
    <w:rsid w:val="00B012D5"/>
    <w:rsid w:val="00B01413"/>
    <w:rsid w:val="00B01609"/>
    <w:rsid w:val="00B01859"/>
    <w:rsid w:val="00B01883"/>
    <w:rsid w:val="00B01AEC"/>
    <w:rsid w:val="00B01B65"/>
    <w:rsid w:val="00B01B70"/>
    <w:rsid w:val="00B01BC0"/>
    <w:rsid w:val="00B01C58"/>
    <w:rsid w:val="00B01D5E"/>
    <w:rsid w:val="00B01E38"/>
    <w:rsid w:val="00B02215"/>
    <w:rsid w:val="00B023FD"/>
    <w:rsid w:val="00B0242B"/>
    <w:rsid w:val="00B02597"/>
    <w:rsid w:val="00B025BB"/>
    <w:rsid w:val="00B025E2"/>
    <w:rsid w:val="00B02636"/>
    <w:rsid w:val="00B0266C"/>
    <w:rsid w:val="00B02AFE"/>
    <w:rsid w:val="00B02AFF"/>
    <w:rsid w:val="00B02C28"/>
    <w:rsid w:val="00B0316D"/>
    <w:rsid w:val="00B031CF"/>
    <w:rsid w:val="00B03272"/>
    <w:rsid w:val="00B033F1"/>
    <w:rsid w:val="00B0341A"/>
    <w:rsid w:val="00B035BD"/>
    <w:rsid w:val="00B036EB"/>
    <w:rsid w:val="00B0377F"/>
    <w:rsid w:val="00B03830"/>
    <w:rsid w:val="00B03869"/>
    <w:rsid w:val="00B0394C"/>
    <w:rsid w:val="00B03A7B"/>
    <w:rsid w:val="00B03AE6"/>
    <w:rsid w:val="00B03B9F"/>
    <w:rsid w:val="00B03BC6"/>
    <w:rsid w:val="00B03C9C"/>
    <w:rsid w:val="00B03DEC"/>
    <w:rsid w:val="00B03FC8"/>
    <w:rsid w:val="00B03FC9"/>
    <w:rsid w:val="00B0407D"/>
    <w:rsid w:val="00B040B0"/>
    <w:rsid w:val="00B043E9"/>
    <w:rsid w:val="00B04445"/>
    <w:rsid w:val="00B04792"/>
    <w:rsid w:val="00B04795"/>
    <w:rsid w:val="00B04891"/>
    <w:rsid w:val="00B048EC"/>
    <w:rsid w:val="00B04959"/>
    <w:rsid w:val="00B04988"/>
    <w:rsid w:val="00B049DD"/>
    <w:rsid w:val="00B04A15"/>
    <w:rsid w:val="00B04AEC"/>
    <w:rsid w:val="00B04B3C"/>
    <w:rsid w:val="00B04B4B"/>
    <w:rsid w:val="00B04B5B"/>
    <w:rsid w:val="00B04B8C"/>
    <w:rsid w:val="00B04BE9"/>
    <w:rsid w:val="00B04CC4"/>
    <w:rsid w:val="00B04CDB"/>
    <w:rsid w:val="00B04D91"/>
    <w:rsid w:val="00B04E3A"/>
    <w:rsid w:val="00B04E5D"/>
    <w:rsid w:val="00B04EA0"/>
    <w:rsid w:val="00B04EAF"/>
    <w:rsid w:val="00B0501E"/>
    <w:rsid w:val="00B05033"/>
    <w:rsid w:val="00B05409"/>
    <w:rsid w:val="00B0541E"/>
    <w:rsid w:val="00B05488"/>
    <w:rsid w:val="00B05489"/>
    <w:rsid w:val="00B0560C"/>
    <w:rsid w:val="00B05672"/>
    <w:rsid w:val="00B056A9"/>
    <w:rsid w:val="00B0570A"/>
    <w:rsid w:val="00B05768"/>
    <w:rsid w:val="00B057B6"/>
    <w:rsid w:val="00B05853"/>
    <w:rsid w:val="00B05882"/>
    <w:rsid w:val="00B05886"/>
    <w:rsid w:val="00B05921"/>
    <w:rsid w:val="00B05AC4"/>
    <w:rsid w:val="00B05BB0"/>
    <w:rsid w:val="00B05C5F"/>
    <w:rsid w:val="00B05CFE"/>
    <w:rsid w:val="00B05D71"/>
    <w:rsid w:val="00B05E02"/>
    <w:rsid w:val="00B05E8B"/>
    <w:rsid w:val="00B05F0C"/>
    <w:rsid w:val="00B05F3B"/>
    <w:rsid w:val="00B05F58"/>
    <w:rsid w:val="00B06080"/>
    <w:rsid w:val="00B06278"/>
    <w:rsid w:val="00B06320"/>
    <w:rsid w:val="00B06360"/>
    <w:rsid w:val="00B06400"/>
    <w:rsid w:val="00B0648A"/>
    <w:rsid w:val="00B06520"/>
    <w:rsid w:val="00B0659A"/>
    <w:rsid w:val="00B0678B"/>
    <w:rsid w:val="00B06841"/>
    <w:rsid w:val="00B06853"/>
    <w:rsid w:val="00B06954"/>
    <w:rsid w:val="00B06960"/>
    <w:rsid w:val="00B069E9"/>
    <w:rsid w:val="00B06A19"/>
    <w:rsid w:val="00B06B4C"/>
    <w:rsid w:val="00B06B78"/>
    <w:rsid w:val="00B06C43"/>
    <w:rsid w:val="00B06D76"/>
    <w:rsid w:val="00B06D8E"/>
    <w:rsid w:val="00B0710E"/>
    <w:rsid w:val="00B0716F"/>
    <w:rsid w:val="00B07179"/>
    <w:rsid w:val="00B0739F"/>
    <w:rsid w:val="00B0762F"/>
    <w:rsid w:val="00B079DC"/>
    <w:rsid w:val="00B07A6D"/>
    <w:rsid w:val="00B07AD1"/>
    <w:rsid w:val="00B07B3E"/>
    <w:rsid w:val="00B07B85"/>
    <w:rsid w:val="00B07BF7"/>
    <w:rsid w:val="00B07C55"/>
    <w:rsid w:val="00B07D02"/>
    <w:rsid w:val="00B07DDD"/>
    <w:rsid w:val="00B07EA0"/>
    <w:rsid w:val="00B07F76"/>
    <w:rsid w:val="00B10109"/>
    <w:rsid w:val="00B1029D"/>
    <w:rsid w:val="00B1039C"/>
    <w:rsid w:val="00B10492"/>
    <w:rsid w:val="00B106A1"/>
    <w:rsid w:val="00B1078F"/>
    <w:rsid w:val="00B10886"/>
    <w:rsid w:val="00B108B9"/>
    <w:rsid w:val="00B108CD"/>
    <w:rsid w:val="00B1093D"/>
    <w:rsid w:val="00B10A69"/>
    <w:rsid w:val="00B10B47"/>
    <w:rsid w:val="00B10BDC"/>
    <w:rsid w:val="00B10C6A"/>
    <w:rsid w:val="00B10D2D"/>
    <w:rsid w:val="00B10DBB"/>
    <w:rsid w:val="00B10ECB"/>
    <w:rsid w:val="00B10ED9"/>
    <w:rsid w:val="00B10F12"/>
    <w:rsid w:val="00B1101D"/>
    <w:rsid w:val="00B111AE"/>
    <w:rsid w:val="00B113DE"/>
    <w:rsid w:val="00B11417"/>
    <w:rsid w:val="00B11829"/>
    <w:rsid w:val="00B1184D"/>
    <w:rsid w:val="00B11885"/>
    <w:rsid w:val="00B118AD"/>
    <w:rsid w:val="00B118C8"/>
    <w:rsid w:val="00B119A6"/>
    <w:rsid w:val="00B11AE3"/>
    <w:rsid w:val="00B11B29"/>
    <w:rsid w:val="00B11B2A"/>
    <w:rsid w:val="00B11B6A"/>
    <w:rsid w:val="00B11B6B"/>
    <w:rsid w:val="00B11C2F"/>
    <w:rsid w:val="00B11E5E"/>
    <w:rsid w:val="00B11F41"/>
    <w:rsid w:val="00B11FCB"/>
    <w:rsid w:val="00B12014"/>
    <w:rsid w:val="00B121E4"/>
    <w:rsid w:val="00B12220"/>
    <w:rsid w:val="00B123BF"/>
    <w:rsid w:val="00B12509"/>
    <w:rsid w:val="00B1259F"/>
    <w:rsid w:val="00B127D1"/>
    <w:rsid w:val="00B12883"/>
    <w:rsid w:val="00B12A63"/>
    <w:rsid w:val="00B12AE6"/>
    <w:rsid w:val="00B12B56"/>
    <w:rsid w:val="00B12BC1"/>
    <w:rsid w:val="00B12BCC"/>
    <w:rsid w:val="00B12D54"/>
    <w:rsid w:val="00B131B2"/>
    <w:rsid w:val="00B1323B"/>
    <w:rsid w:val="00B13249"/>
    <w:rsid w:val="00B13258"/>
    <w:rsid w:val="00B1332F"/>
    <w:rsid w:val="00B133A2"/>
    <w:rsid w:val="00B1345B"/>
    <w:rsid w:val="00B13763"/>
    <w:rsid w:val="00B13918"/>
    <w:rsid w:val="00B13A08"/>
    <w:rsid w:val="00B13B03"/>
    <w:rsid w:val="00B13D04"/>
    <w:rsid w:val="00B13DD1"/>
    <w:rsid w:val="00B13DE6"/>
    <w:rsid w:val="00B13DFC"/>
    <w:rsid w:val="00B13E44"/>
    <w:rsid w:val="00B13E8E"/>
    <w:rsid w:val="00B13F72"/>
    <w:rsid w:val="00B1400D"/>
    <w:rsid w:val="00B14232"/>
    <w:rsid w:val="00B1426D"/>
    <w:rsid w:val="00B1438C"/>
    <w:rsid w:val="00B14403"/>
    <w:rsid w:val="00B144F5"/>
    <w:rsid w:val="00B14538"/>
    <w:rsid w:val="00B1474C"/>
    <w:rsid w:val="00B14793"/>
    <w:rsid w:val="00B14795"/>
    <w:rsid w:val="00B14A07"/>
    <w:rsid w:val="00B14AFC"/>
    <w:rsid w:val="00B14B7B"/>
    <w:rsid w:val="00B14D5A"/>
    <w:rsid w:val="00B14DFA"/>
    <w:rsid w:val="00B14F5D"/>
    <w:rsid w:val="00B15262"/>
    <w:rsid w:val="00B15689"/>
    <w:rsid w:val="00B1584B"/>
    <w:rsid w:val="00B1593C"/>
    <w:rsid w:val="00B159B3"/>
    <w:rsid w:val="00B15A61"/>
    <w:rsid w:val="00B15C3C"/>
    <w:rsid w:val="00B15C9C"/>
    <w:rsid w:val="00B15EB9"/>
    <w:rsid w:val="00B15F73"/>
    <w:rsid w:val="00B15FFF"/>
    <w:rsid w:val="00B16074"/>
    <w:rsid w:val="00B160A5"/>
    <w:rsid w:val="00B160FA"/>
    <w:rsid w:val="00B1628C"/>
    <w:rsid w:val="00B1633B"/>
    <w:rsid w:val="00B1638C"/>
    <w:rsid w:val="00B163EC"/>
    <w:rsid w:val="00B1640A"/>
    <w:rsid w:val="00B1644C"/>
    <w:rsid w:val="00B1647E"/>
    <w:rsid w:val="00B1663B"/>
    <w:rsid w:val="00B16A5D"/>
    <w:rsid w:val="00B16B74"/>
    <w:rsid w:val="00B16E0E"/>
    <w:rsid w:val="00B16F01"/>
    <w:rsid w:val="00B16F09"/>
    <w:rsid w:val="00B16FF5"/>
    <w:rsid w:val="00B17079"/>
    <w:rsid w:val="00B174F3"/>
    <w:rsid w:val="00B17583"/>
    <w:rsid w:val="00B175FC"/>
    <w:rsid w:val="00B1767A"/>
    <w:rsid w:val="00B176B4"/>
    <w:rsid w:val="00B17781"/>
    <w:rsid w:val="00B177B0"/>
    <w:rsid w:val="00B1789B"/>
    <w:rsid w:val="00B17D54"/>
    <w:rsid w:val="00B17D99"/>
    <w:rsid w:val="00B17EFA"/>
    <w:rsid w:val="00B17F23"/>
    <w:rsid w:val="00B17FA6"/>
    <w:rsid w:val="00B1FCE7"/>
    <w:rsid w:val="00B200B1"/>
    <w:rsid w:val="00B2023A"/>
    <w:rsid w:val="00B20671"/>
    <w:rsid w:val="00B206BA"/>
    <w:rsid w:val="00B208A3"/>
    <w:rsid w:val="00B208A7"/>
    <w:rsid w:val="00B2091A"/>
    <w:rsid w:val="00B20C01"/>
    <w:rsid w:val="00B20C46"/>
    <w:rsid w:val="00B20D54"/>
    <w:rsid w:val="00B20D7F"/>
    <w:rsid w:val="00B20EDC"/>
    <w:rsid w:val="00B20F8F"/>
    <w:rsid w:val="00B20FE3"/>
    <w:rsid w:val="00B21126"/>
    <w:rsid w:val="00B211F1"/>
    <w:rsid w:val="00B21339"/>
    <w:rsid w:val="00B214B2"/>
    <w:rsid w:val="00B2157E"/>
    <w:rsid w:val="00B216D2"/>
    <w:rsid w:val="00B217F2"/>
    <w:rsid w:val="00B21E20"/>
    <w:rsid w:val="00B21E55"/>
    <w:rsid w:val="00B21E6C"/>
    <w:rsid w:val="00B21FB6"/>
    <w:rsid w:val="00B22021"/>
    <w:rsid w:val="00B2208E"/>
    <w:rsid w:val="00B220F7"/>
    <w:rsid w:val="00B22340"/>
    <w:rsid w:val="00B22421"/>
    <w:rsid w:val="00B224EA"/>
    <w:rsid w:val="00B22588"/>
    <w:rsid w:val="00B22640"/>
    <w:rsid w:val="00B2294E"/>
    <w:rsid w:val="00B22973"/>
    <w:rsid w:val="00B22984"/>
    <w:rsid w:val="00B229A4"/>
    <w:rsid w:val="00B22A2B"/>
    <w:rsid w:val="00B22A64"/>
    <w:rsid w:val="00B22A95"/>
    <w:rsid w:val="00B22B4F"/>
    <w:rsid w:val="00B22CAA"/>
    <w:rsid w:val="00B22CEB"/>
    <w:rsid w:val="00B22D82"/>
    <w:rsid w:val="00B22DA1"/>
    <w:rsid w:val="00B22E63"/>
    <w:rsid w:val="00B22FAB"/>
    <w:rsid w:val="00B23016"/>
    <w:rsid w:val="00B2307B"/>
    <w:rsid w:val="00B2363B"/>
    <w:rsid w:val="00B237C4"/>
    <w:rsid w:val="00B23840"/>
    <w:rsid w:val="00B238CE"/>
    <w:rsid w:val="00B23AD4"/>
    <w:rsid w:val="00B23C74"/>
    <w:rsid w:val="00B23CFC"/>
    <w:rsid w:val="00B23D02"/>
    <w:rsid w:val="00B23E3F"/>
    <w:rsid w:val="00B23FA7"/>
    <w:rsid w:val="00B240AE"/>
    <w:rsid w:val="00B2416E"/>
    <w:rsid w:val="00B241A0"/>
    <w:rsid w:val="00B24251"/>
    <w:rsid w:val="00B24406"/>
    <w:rsid w:val="00B24470"/>
    <w:rsid w:val="00B24548"/>
    <w:rsid w:val="00B247AA"/>
    <w:rsid w:val="00B247B8"/>
    <w:rsid w:val="00B24873"/>
    <w:rsid w:val="00B248E6"/>
    <w:rsid w:val="00B24964"/>
    <w:rsid w:val="00B24A40"/>
    <w:rsid w:val="00B24AB0"/>
    <w:rsid w:val="00B24CD9"/>
    <w:rsid w:val="00B24D6C"/>
    <w:rsid w:val="00B24DD0"/>
    <w:rsid w:val="00B24E30"/>
    <w:rsid w:val="00B24E3D"/>
    <w:rsid w:val="00B24F0D"/>
    <w:rsid w:val="00B25014"/>
    <w:rsid w:val="00B251C2"/>
    <w:rsid w:val="00B2522F"/>
    <w:rsid w:val="00B2543B"/>
    <w:rsid w:val="00B254E7"/>
    <w:rsid w:val="00B25676"/>
    <w:rsid w:val="00B25705"/>
    <w:rsid w:val="00B257CD"/>
    <w:rsid w:val="00B257EE"/>
    <w:rsid w:val="00B25812"/>
    <w:rsid w:val="00B25834"/>
    <w:rsid w:val="00B258A5"/>
    <w:rsid w:val="00B25B88"/>
    <w:rsid w:val="00B26141"/>
    <w:rsid w:val="00B26274"/>
    <w:rsid w:val="00B26388"/>
    <w:rsid w:val="00B263A2"/>
    <w:rsid w:val="00B26438"/>
    <w:rsid w:val="00B2655D"/>
    <w:rsid w:val="00B26604"/>
    <w:rsid w:val="00B2683A"/>
    <w:rsid w:val="00B26966"/>
    <w:rsid w:val="00B269B1"/>
    <w:rsid w:val="00B26A17"/>
    <w:rsid w:val="00B26A34"/>
    <w:rsid w:val="00B26BFE"/>
    <w:rsid w:val="00B26D6F"/>
    <w:rsid w:val="00B26F4E"/>
    <w:rsid w:val="00B2727B"/>
    <w:rsid w:val="00B2729D"/>
    <w:rsid w:val="00B272FF"/>
    <w:rsid w:val="00B27391"/>
    <w:rsid w:val="00B27583"/>
    <w:rsid w:val="00B2760A"/>
    <w:rsid w:val="00B27723"/>
    <w:rsid w:val="00B277EA"/>
    <w:rsid w:val="00B2784A"/>
    <w:rsid w:val="00B27871"/>
    <w:rsid w:val="00B278D0"/>
    <w:rsid w:val="00B279B4"/>
    <w:rsid w:val="00B279E4"/>
    <w:rsid w:val="00B279FE"/>
    <w:rsid w:val="00B27A34"/>
    <w:rsid w:val="00B27A91"/>
    <w:rsid w:val="00B27B06"/>
    <w:rsid w:val="00B27D0F"/>
    <w:rsid w:val="00B27E00"/>
    <w:rsid w:val="00B27EC5"/>
    <w:rsid w:val="00B2CC38"/>
    <w:rsid w:val="00B30224"/>
    <w:rsid w:val="00B30242"/>
    <w:rsid w:val="00B3040F"/>
    <w:rsid w:val="00B3063C"/>
    <w:rsid w:val="00B3078D"/>
    <w:rsid w:val="00B3084B"/>
    <w:rsid w:val="00B308A6"/>
    <w:rsid w:val="00B30AE8"/>
    <w:rsid w:val="00B30C95"/>
    <w:rsid w:val="00B30D59"/>
    <w:rsid w:val="00B31117"/>
    <w:rsid w:val="00B31158"/>
    <w:rsid w:val="00B3115F"/>
    <w:rsid w:val="00B311DF"/>
    <w:rsid w:val="00B3120F"/>
    <w:rsid w:val="00B3130F"/>
    <w:rsid w:val="00B31408"/>
    <w:rsid w:val="00B31474"/>
    <w:rsid w:val="00B3156D"/>
    <w:rsid w:val="00B3170B"/>
    <w:rsid w:val="00B31737"/>
    <w:rsid w:val="00B31819"/>
    <w:rsid w:val="00B3181A"/>
    <w:rsid w:val="00B31839"/>
    <w:rsid w:val="00B31864"/>
    <w:rsid w:val="00B3197E"/>
    <w:rsid w:val="00B31BF5"/>
    <w:rsid w:val="00B31C53"/>
    <w:rsid w:val="00B31DC1"/>
    <w:rsid w:val="00B31F4A"/>
    <w:rsid w:val="00B31F6F"/>
    <w:rsid w:val="00B3201E"/>
    <w:rsid w:val="00B3206E"/>
    <w:rsid w:val="00B320A5"/>
    <w:rsid w:val="00B320AD"/>
    <w:rsid w:val="00B320D7"/>
    <w:rsid w:val="00B3224E"/>
    <w:rsid w:val="00B3235C"/>
    <w:rsid w:val="00B3239D"/>
    <w:rsid w:val="00B324DF"/>
    <w:rsid w:val="00B32635"/>
    <w:rsid w:val="00B32636"/>
    <w:rsid w:val="00B3266F"/>
    <w:rsid w:val="00B3282F"/>
    <w:rsid w:val="00B32965"/>
    <w:rsid w:val="00B32D53"/>
    <w:rsid w:val="00B32E0E"/>
    <w:rsid w:val="00B32E3C"/>
    <w:rsid w:val="00B32F7E"/>
    <w:rsid w:val="00B330A5"/>
    <w:rsid w:val="00B33142"/>
    <w:rsid w:val="00B3316F"/>
    <w:rsid w:val="00B33195"/>
    <w:rsid w:val="00B3324E"/>
    <w:rsid w:val="00B33382"/>
    <w:rsid w:val="00B33413"/>
    <w:rsid w:val="00B335A8"/>
    <w:rsid w:val="00B338EA"/>
    <w:rsid w:val="00B33A8A"/>
    <w:rsid w:val="00B33CB6"/>
    <w:rsid w:val="00B33D24"/>
    <w:rsid w:val="00B33DA2"/>
    <w:rsid w:val="00B33E61"/>
    <w:rsid w:val="00B33EA5"/>
    <w:rsid w:val="00B34045"/>
    <w:rsid w:val="00B340BD"/>
    <w:rsid w:val="00B34272"/>
    <w:rsid w:val="00B344DC"/>
    <w:rsid w:val="00B3452F"/>
    <w:rsid w:val="00B347BB"/>
    <w:rsid w:val="00B347FF"/>
    <w:rsid w:val="00B3486B"/>
    <w:rsid w:val="00B3492A"/>
    <w:rsid w:val="00B34992"/>
    <w:rsid w:val="00B34A0F"/>
    <w:rsid w:val="00B34A3A"/>
    <w:rsid w:val="00B34A66"/>
    <w:rsid w:val="00B34B05"/>
    <w:rsid w:val="00B34B2D"/>
    <w:rsid w:val="00B34B6A"/>
    <w:rsid w:val="00B34C13"/>
    <w:rsid w:val="00B34C65"/>
    <w:rsid w:val="00B34EC6"/>
    <w:rsid w:val="00B34F46"/>
    <w:rsid w:val="00B350FA"/>
    <w:rsid w:val="00B3536D"/>
    <w:rsid w:val="00B35A1E"/>
    <w:rsid w:val="00B35B9C"/>
    <w:rsid w:val="00B35C79"/>
    <w:rsid w:val="00B35CD1"/>
    <w:rsid w:val="00B35DCA"/>
    <w:rsid w:val="00B35DDE"/>
    <w:rsid w:val="00B35DFB"/>
    <w:rsid w:val="00B35EAA"/>
    <w:rsid w:val="00B35F66"/>
    <w:rsid w:val="00B35F7E"/>
    <w:rsid w:val="00B3606E"/>
    <w:rsid w:val="00B3612A"/>
    <w:rsid w:val="00B363D0"/>
    <w:rsid w:val="00B36444"/>
    <w:rsid w:val="00B366A2"/>
    <w:rsid w:val="00B3677C"/>
    <w:rsid w:val="00B368FC"/>
    <w:rsid w:val="00B36B1F"/>
    <w:rsid w:val="00B36BCA"/>
    <w:rsid w:val="00B36DDC"/>
    <w:rsid w:val="00B36DE0"/>
    <w:rsid w:val="00B36E2D"/>
    <w:rsid w:val="00B36F90"/>
    <w:rsid w:val="00B36FD3"/>
    <w:rsid w:val="00B37104"/>
    <w:rsid w:val="00B3713F"/>
    <w:rsid w:val="00B371D1"/>
    <w:rsid w:val="00B37505"/>
    <w:rsid w:val="00B37658"/>
    <w:rsid w:val="00B376B5"/>
    <w:rsid w:val="00B37B74"/>
    <w:rsid w:val="00B37C37"/>
    <w:rsid w:val="00B37C9C"/>
    <w:rsid w:val="00B37E18"/>
    <w:rsid w:val="00B400AC"/>
    <w:rsid w:val="00B40145"/>
    <w:rsid w:val="00B40211"/>
    <w:rsid w:val="00B40269"/>
    <w:rsid w:val="00B402BC"/>
    <w:rsid w:val="00B402FB"/>
    <w:rsid w:val="00B403AA"/>
    <w:rsid w:val="00B40425"/>
    <w:rsid w:val="00B40428"/>
    <w:rsid w:val="00B404D7"/>
    <w:rsid w:val="00B404D9"/>
    <w:rsid w:val="00B408E9"/>
    <w:rsid w:val="00B40C69"/>
    <w:rsid w:val="00B40C98"/>
    <w:rsid w:val="00B40CE3"/>
    <w:rsid w:val="00B40CFF"/>
    <w:rsid w:val="00B410E1"/>
    <w:rsid w:val="00B410FA"/>
    <w:rsid w:val="00B415CE"/>
    <w:rsid w:val="00B41655"/>
    <w:rsid w:val="00B4168B"/>
    <w:rsid w:val="00B417EC"/>
    <w:rsid w:val="00B418B2"/>
    <w:rsid w:val="00B418FA"/>
    <w:rsid w:val="00B4191D"/>
    <w:rsid w:val="00B41A8A"/>
    <w:rsid w:val="00B41ABE"/>
    <w:rsid w:val="00B41B5D"/>
    <w:rsid w:val="00B41B81"/>
    <w:rsid w:val="00B41E9B"/>
    <w:rsid w:val="00B42057"/>
    <w:rsid w:val="00B42169"/>
    <w:rsid w:val="00B421E6"/>
    <w:rsid w:val="00B42262"/>
    <w:rsid w:val="00B423C7"/>
    <w:rsid w:val="00B423D1"/>
    <w:rsid w:val="00B425A0"/>
    <w:rsid w:val="00B425BC"/>
    <w:rsid w:val="00B4260A"/>
    <w:rsid w:val="00B42679"/>
    <w:rsid w:val="00B4284D"/>
    <w:rsid w:val="00B428F7"/>
    <w:rsid w:val="00B42949"/>
    <w:rsid w:val="00B4296E"/>
    <w:rsid w:val="00B42A0C"/>
    <w:rsid w:val="00B42A24"/>
    <w:rsid w:val="00B42AA1"/>
    <w:rsid w:val="00B42B50"/>
    <w:rsid w:val="00B42BD6"/>
    <w:rsid w:val="00B42DC9"/>
    <w:rsid w:val="00B42E17"/>
    <w:rsid w:val="00B42E77"/>
    <w:rsid w:val="00B42F44"/>
    <w:rsid w:val="00B42F5C"/>
    <w:rsid w:val="00B4302F"/>
    <w:rsid w:val="00B431F7"/>
    <w:rsid w:val="00B432C5"/>
    <w:rsid w:val="00B432D3"/>
    <w:rsid w:val="00B43464"/>
    <w:rsid w:val="00B435A6"/>
    <w:rsid w:val="00B435C7"/>
    <w:rsid w:val="00B435FB"/>
    <w:rsid w:val="00B43803"/>
    <w:rsid w:val="00B4382C"/>
    <w:rsid w:val="00B43B22"/>
    <w:rsid w:val="00B43C9B"/>
    <w:rsid w:val="00B43D73"/>
    <w:rsid w:val="00B43E7B"/>
    <w:rsid w:val="00B43EA3"/>
    <w:rsid w:val="00B43EB6"/>
    <w:rsid w:val="00B44002"/>
    <w:rsid w:val="00B44009"/>
    <w:rsid w:val="00B440AF"/>
    <w:rsid w:val="00B440C5"/>
    <w:rsid w:val="00B442D1"/>
    <w:rsid w:val="00B44371"/>
    <w:rsid w:val="00B44470"/>
    <w:rsid w:val="00B4460F"/>
    <w:rsid w:val="00B4465A"/>
    <w:rsid w:val="00B4466E"/>
    <w:rsid w:val="00B44684"/>
    <w:rsid w:val="00B4483A"/>
    <w:rsid w:val="00B44B3D"/>
    <w:rsid w:val="00B44D71"/>
    <w:rsid w:val="00B44E4B"/>
    <w:rsid w:val="00B44E6E"/>
    <w:rsid w:val="00B44E8C"/>
    <w:rsid w:val="00B44EA8"/>
    <w:rsid w:val="00B451DE"/>
    <w:rsid w:val="00B4527B"/>
    <w:rsid w:val="00B4531B"/>
    <w:rsid w:val="00B45343"/>
    <w:rsid w:val="00B45352"/>
    <w:rsid w:val="00B4536F"/>
    <w:rsid w:val="00B45412"/>
    <w:rsid w:val="00B45605"/>
    <w:rsid w:val="00B45674"/>
    <w:rsid w:val="00B45703"/>
    <w:rsid w:val="00B4572A"/>
    <w:rsid w:val="00B45742"/>
    <w:rsid w:val="00B45856"/>
    <w:rsid w:val="00B4586F"/>
    <w:rsid w:val="00B45B74"/>
    <w:rsid w:val="00B45BDE"/>
    <w:rsid w:val="00B45D57"/>
    <w:rsid w:val="00B45D93"/>
    <w:rsid w:val="00B45F04"/>
    <w:rsid w:val="00B461BA"/>
    <w:rsid w:val="00B46298"/>
    <w:rsid w:val="00B46320"/>
    <w:rsid w:val="00B463DE"/>
    <w:rsid w:val="00B46458"/>
    <w:rsid w:val="00B46482"/>
    <w:rsid w:val="00B464BE"/>
    <w:rsid w:val="00B465BE"/>
    <w:rsid w:val="00B4679F"/>
    <w:rsid w:val="00B467F6"/>
    <w:rsid w:val="00B46886"/>
    <w:rsid w:val="00B4693A"/>
    <w:rsid w:val="00B4698D"/>
    <w:rsid w:val="00B46A4D"/>
    <w:rsid w:val="00B46BAA"/>
    <w:rsid w:val="00B46BD7"/>
    <w:rsid w:val="00B46DB4"/>
    <w:rsid w:val="00B46E05"/>
    <w:rsid w:val="00B46EE1"/>
    <w:rsid w:val="00B46FFF"/>
    <w:rsid w:val="00B47054"/>
    <w:rsid w:val="00B471F2"/>
    <w:rsid w:val="00B4723B"/>
    <w:rsid w:val="00B474D1"/>
    <w:rsid w:val="00B474E1"/>
    <w:rsid w:val="00B475F9"/>
    <w:rsid w:val="00B4762D"/>
    <w:rsid w:val="00B47781"/>
    <w:rsid w:val="00B4785A"/>
    <w:rsid w:val="00B4787C"/>
    <w:rsid w:val="00B47938"/>
    <w:rsid w:val="00B47A3B"/>
    <w:rsid w:val="00B47A6A"/>
    <w:rsid w:val="00B47ACB"/>
    <w:rsid w:val="00B47B66"/>
    <w:rsid w:val="00B47B6B"/>
    <w:rsid w:val="00B47BB1"/>
    <w:rsid w:val="00B47CD0"/>
    <w:rsid w:val="00B4D341"/>
    <w:rsid w:val="00B50259"/>
    <w:rsid w:val="00B5026B"/>
    <w:rsid w:val="00B5050D"/>
    <w:rsid w:val="00B50743"/>
    <w:rsid w:val="00B50756"/>
    <w:rsid w:val="00B5075E"/>
    <w:rsid w:val="00B5078F"/>
    <w:rsid w:val="00B507FE"/>
    <w:rsid w:val="00B50AF7"/>
    <w:rsid w:val="00B50B05"/>
    <w:rsid w:val="00B50C5E"/>
    <w:rsid w:val="00B50C6B"/>
    <w:rsid w:val="00B50CE5"/>
    <w:rsid w:val="00B50D4E"/>
    <w:rsid w:val="00B50F63"/>
    <w:rsid w:val="00B51000"/>
    <w:rsid w:val="00B5107C"/>
    <w:rsid w:val="00B511C9"/>
    <w:rsid w:val="00B511E2"/>
    <w:rsid w:val="00B51203"/>
    <w:rsid w:val="00B51386"/>
    <w:rsid w:val="00B51441"/>
    <w:rsid w:val="00B51447"/>
    <w:rsid w:val="00B514AE"/>
    <w:rsid w:val="00B51541"/>
    <w:rsid w:val="00B51544"/>
    <w:rsid w:val="00B5179E"/>
    <w:rsid w:val="00B51838"/>
    <w:rsid w:val="00B51A7E"/>
    <w:rsid w:val="00B51AFC"/>
    <w:rsid w:val="00B51D5A"/>
    <w:rsid w:val="00B51DA0"/>
    <w:rsid w:val="00B52084"/>
    <w:rsid w:val="00B520EB"/>
    <w:rsid w:val="00B523FD"/>
    <w:rsid w:val="00B52544"/>
    <w:rsid w:val="00B52612"/>
    <w:rsid w:val="00B5265D"/>
    <w:rsid w:val="00B52815"/>
    <w:rsid w:val="00B52875"/>
    <w:rsid w:val="00B52927"/>
    <w:rsid w:val="00B5296E"/>
    <w:rsid w:val="00B52C21"/>
    <w:rsid w:val="00B52CAB"/>
    <w:rsid w:val="00B52D49"/>
    <w:rsid w:val="00B52DD8"/>
    <w:rsid w:val="00B52F04"/>
    <w:rsid w:val="00B52F4E"/>
    <w:rsid w:val="00B53266"/>
    <w:rsid w:val="00B532CF"/>
    <w:rsid w:val="00B53319"/>
    <w:rsid w:val="00B53428"/>
    <w:rsid w:val="00B534B9"/>
    <w:rsid w:val="00B534F7"/>
    <w:rsid w:val="00B5369E"/>
    <w:rsid w:val="00B537F0"/>
    <w:rsid w:val="00B53934"/>
    <w:rsid w:val="00B53A77"/>
    <w:rsid w:val="00B53B0D"/>
    <w:rsid w:val="00B53B67"/>
    <w:rsid w:val="00B53BAB"/>
    <w:rsid w:val="00B53BC1"/>
    <w:rsid w:val="00B53D9E"/>
    <w:rsid w:val="00B53E51"/>
    <w:rsid w:val="00B53F61"/>
    <w:rsid w:val="00B53F7A"/>
    <w:rsid w:val="00B54054"/>
    <w:rsid w:val="00B540AE"/>
    <w:rsid w:val="00B54151"/>
    <w:rsid w:val="00B5420B"/>
    <w:rsid w:val="00B54329"/>
    <w:rsid w:val="00B54369"/>
    <w:rsid w:val="00B543C4"/>
    <w:rsid w:val="00B545F4"/>
    <w:rsid w:val="00B5470E"/>
    <w:rsid w:val="00B54723"/>
    <w:rsid w:val="00B54963"/>
    <w:rsid w:val="00B54B27"/>
    <w:rsid w:val="00B54C24"/>
    <w:rsid w:val="00B54E14"/>
    <w:rsid w:val="00B54E73"/>
    <w:rsid w:val="00B54E75"/>
    <w:rsid w:val="00B54E82"/>
    <w:rsid w:val="00B54EC0"/>
    <w:rsid w:val="00B54F71"/>
    <w:rsid w:val="00B550B3"/>
    <w:rsid w:val="00B55137"/>
    <w:rsid w:val="00B55152"/>
    <w:rsid w:val="00B55254"/>
    <w:rsid w:val="00B5549A"/>
    <w:rsid w:val="00B55505"/>
    <w:rsid w:val="00B5577E"/>
    <w:rsid w:val="00B55902"/>
    <w:rsid w:val="00B55D9F"/>
    <w:rsid w:val="00B55E8E"/>
    <w:rsid w:val="00B55F46"/>
    <w:rsid w:val="00B55FC9"/>
    <w:rsid w:val="00B560BC"/>
    <w:rsid w:val="00B560C9"/>
    <w:rsid w:val="00B5622C"/>
    <w:rsid w:val="00B5638E"/>
    <w:rsid w:val="00B5648C"/>
    <w:rsid w:val="00B5649C"/>
    <w:rsid w:val="00B5669A"/>
    <w:rsid w:val="00B56744"/>
    <w:rsid w:val="00B56787"/>
    <w:rsid w:val="00B5680E"/>
    <w:rsid w:val="00B569D3"/>
    <w:rsid w:val="00B56BCA"/>
    <w:rsid w:val="00B56DD5"/>
    <w:rsid w:val="00B56DF6"/>
    <w:rsid w:val="00B57172"/>
    <w:rsid w:val="00B57189"/>
    <w:rsid w:val="00B57211"/>
    <w:rsid w:val="00B57320"/>
    <w:rsid w:val="00B5758A"/>
    <w:rsid w:val="00B575CA"/>
    <w:rsid w:val="00B57628"/>
    <w:rsid w:val="00B5798C"/>
    <w:rsid w:val="00B57C69"/>
    <w:rsid w:val="00B57F52"/>
    <w:rsid w:val="00B57FF3"/>
    <w:rsid w:val="00B6005E"/>
    <w:rsid w:val="00B600F3"/>
    <w:rsid w:val="00B60161"/>
    <w:rsid w:val="00B602CF"/>
    <w:rsid w:val="00B602D1"/>
    <w:rsid w:val="00B602D8"/>
    <w:rsid w:val="00B60341"/>
    <w:rsid w:val="00B603D3"/>
    <w:rsid w:val="00B604FA"/>
    <w:rsid w:val="00B605FF"/>
    <w:rsid w:val="00B607B4"/>
    <w:rsid w:val="00B6080C"/>
    <w:rsid w:val="00B6083E"/>
    <w:rsid w:val="00B60876"/>
    <w:rsid w:val="00B609EB"/>
    <w:rsid w:val="00B60AF3"/>
    <w:rsid w:val="00B60D67"/>
    <w:rsid w:val="00B60F63"/>
    <w:rsid w:val="00B60F9B"/>
    <w:rsid w:val="00B6139C"/>
    <w:rsid w:val="00B614A1"/>
    <w:rsid w:val="00B615BF"/>
    <w:rsid w:val="00B615D4"/>
    <w:rsid w:val="00B6178F"/>
    <w:rsid w:val="00B617F1"/>
    <w:rsid w:val="00B61801"/>
    <w:rsid w:val="00B6184C"/>
    <w:rsid w:val="00B61935"/>
    <w:rsid w:val="00B61957"/>
    <w:rsid w:val="00B61A57"/>
    <w:rsid w:val="00B61A90"/>
    <w:rsid w:val="00B61CD0"/>
    <w:rsid w:val="00B61D95"/>
    <w:rsid w:val="00B61D9D"/>
    <w:rsid w:val="00B61DEB"/>
    <w:rsid w:val="00B61ECD"/>
    <w:rsid w:val="00B61FC9"/>
    <w:rsid w:val="00B62022"/>
    <w:rsid w:val="00B6216B"/>
    <w:rsid w:val="00B62348"/>
    <w:rsid w:val="00B6238C"/>
    <w:rsid w:val="00B623E8"/>
    <w:rsid w:val="00B6260E"/>
    <w:rsid w:val="00B62634"/>
    <w:rsid w:val="00B626B1"/>
    <w:rsid w:val="00B627AC"/>
    <w:rsid w:val="00B627B4"/>
    <w:rsid w:val="00B62875"/>
    <w:rsid w:val="00B62AA2"/>
    <w:rsid w:val="00B62AC7"/>
    <w:rsid w:val="00B62D56"/>
    <w:rsid w:val="00B62E23"/>
    <w:rsid w:val="00B62EF3"/>
    <w:rsid w:val="00B62FBD"/>
    <w:rsid w:val="00B62FC7"/>
    <w:rsid w:val="00B62FEF"/>
    <w:rsid w:val="00B63053"/>
    <w:rsid w:val="00B63079"/>
    <w:rsid w:val="00B6327D"/>
    <w:rsid w:val="00B6332A"/>
    <w:rsid w:val="00B6340C"/>
    <w:rsid w:val="00B63534"/>
    <w:rsid w:val="00B63596"/>
    <w:rsid w:val="00B6368B"/>
    <w:rsid w:val="00B63736"/>
    <w:rsid w:val="00B63745"/>
    <w:rsid w:val="00B6380D"/>
    <w:rsid w:val="00B63812"/>
    <w:rsid w:val="00B6381D"/>
    <w:rsid w:val="00B63865"/>
    <w:rsid w:val="00B63969"/>
    <w:rsid w:val="00B63BC9"/>
    <w:rsid w:val="00B63C90"/>
    <w:rsid w:val="00B63CF3"/>
    <w:rsid w:val="00B63DE8"/>
    <w:rsid w:val="00B63F3A"/>
    <w:rsid w:val="00B64097"/>
    <w:rsid w:val="00B640B4"/>
    <w:rsid w:val="00B64177"/>
    <w:rsid w:val="00B6422A"/>
    <w:rsid w:val="00B64356"/>
    <w:rsid w:val="00B643D9"/>
    <w:rsid w:val="00B643E5"/>
    <w:rsid w:val="00B64467"/>
    <w:rsid w:val="00B6449C"/>
    <w:rsid w:val="00B645F1"/>
    <w:rsid w:val="00B649A7"/>
    <w:rsid w:val="00B649FD"/>
    <w:rsid w:val="00B64AC0"/>
    <w:rsid w:val="00B64BB0"/>
    <w:rsid w:val="00B64BFA"/>
    <w:rsid w:val="00B64C69"/>
    <w:rsid w:val="00B64C94"/>
    <w:rsid w:val="00B64DFE"/>
    <w:rsid w:val="00B64E6F"/>
    <w:rsid w:val="00B64F55"/>
    <w:rsid w:val="00B65079"/>
    <w:rsid w:val="00B652FB"/>
    <w:rsid w:val="00B653C4"/>
    <w:rsid w:val="00B653FC"/>
    <w:rsid w:val="00B65454"/>
    <w:rsid w:val="00B6550A"/>
    <w:rsid w:val="00B65638"/>
    <w:rsid w:val="00B65835"/>
    <w:rsid w:val="00B658E3"/>
    <w:rsid w:val="00B65B01"/>
    <w:rsid w:val="00B65B47"/>
    <w:rsid w:val="00B65C32"/>
    <w:rsid w:val="00B65C81"/>
    <w:rsid w:val="00B65D54"/>
    <w:rsid w:val="00B65F13"/>
    <w:rsid w:val="00B6616D"/>
    <w:rsid w:val="00B663EA"/>
    <w:rsid w:val="00B66469"/>
    <w:rsid w:val="00B6681D"/>
    <w:rsid w:val="00B669B4"/>
    <w:rsid w:val="00B669DB"/>
    <w:rsid w:val="00B66A00"/>
    <w:rsid w:val="00B66B57"/>
    <w:rsid w:val="00B66CBB"/>
    <w:rsid w:val="00B66D6D"/>
    <w:rsid w:val="00B66FBC"/>
    <w:rsid w:val="00B67046"/>
    <w:rsid w:val="00B67072"/>
    <w:rsid w:val="00B670C1"/>
    <w:rsid w:val="00B670F5"/>
    <w:rsid w:val="00B6737A"/>
    <w:rsid w:val="00B6742F"/>
    <w:rsid w:val="00B675DF"/>
    <w:rsid w:val="00B676EF"/>
    <w:rsid w:val="00B67749"/>
    <w:rsid w:val="00B6781F"/>
    <w:rsid w:val="00B67BE5"/>
    <w:rsid w:val="00B67BFD"/>
    <w:rsid w:val="00B67C0A"/>
    <w:rsid w:val="00B67F54"/>
    <w:rsid w:val="00B7001F"/>
    <w:rsid w:val="00B70209"/>
    <w:rsid w:val="00B70215"/>
    <w:rsid w:val="00B702BB"/>
    <w:rsid w:val="00B702E0"/>
    <w:rsid w:val="00B7030C"/>
    <w:rsid w:val="00B70349"/>
    <w:rsid w:val="00B704E1"/>
    <w:rsid w:val="00B706FB"/>
    <w:rsid w:val="00B706FD"/>
    <w:rsid w:val="00B7071A"/>
    <w:rsid w:val="00B7078B"/>
    <w:rsid w:val="00B70914"/>
    <w:rsid w:val="00B70990"/>
    <w:rsid w:val="00B70999"/>
    <w:rsid w:val="00B70A6C"/>
    <w:rsid w:val="00B70B4E"/>
    <w:rsid w:val="00B70C07"/>
    <w:rsid w:val="00B70CF6"/>
    <w:rsid w:val="00B70D0A"/>
    <w:rsid w:val="00B70DF7"/>
    <w:rsid w:val="00B70EE7"/>
    <w:rsid w:val="00B70FB8"/>
    <w:rsid w:val="00B710E0"/>
    <w:rsid w:val="00B71114"/>
    <w:rsid w:val="00B71371"/>
    <w:rsid w:val="00B713AE"/>
    <w:rsid w:val="00B716B9"/>
    <w:rsid w:val="00B71747"/>
    <w:rsid w:val="00B717CD"/>
    <w:rsid w:val="00B71835"/>
    <w:rsid w:val="00B718C4"/>
    <w:rsid w:val="00B718E9"/>
    <w:rsid w:val="00B71992"/>
    <w:rsid w:val="00B71A8A"/>
    <w:rsid w:val="00B71AD6"/>
    <w:rsid w:val="00B71C24"/>
    <w:rsid w:val="00B71C6E"/>
    <w:rsid w:val="00B71D34"/>
    <w:rsid w:val="00B71D4C"/>
    <w:rsid w:val="00B71DE4"/>
    <w:rsid w:val="00B71F74"/>
    <w:rsid w:val="00B7210A"/>
    <w:rsid w:val="00B7210D"/>
    <w:rsid w:val="00B72156"/>
    <w:rsid w:val="00B72218"/>
    <w:rsid w:val="00B7229B"/>
    <w:rsid w:val="00B72428"/>
    <w:rsid w:val="00B7251B"/>
    <w:rsid w:val="00B72797"/>
    <w:rsid w:val="00B727B5"/>
    <w:rsid w:val="00B727E6"/>
    <w:rsid w:val="00B727EC"/>
    <w:rsid w:val="00B72988"/>
    <w:rsid w:val="00B72AA9"/>
    <w:rsid w:val="00B72B2E"/>
    <w:rsid w:val="00B72BE4"/>
    <w:rsid w:val="00B72CBE"/>
    <w:rsid w:val="00B72CD6"/>
    <w:rsid w:val="00B72DC7"/>
    <w:rsid w:val="00B72EA0"/>
    <w:rsid w:val="00B72F95"/>
    <w:rsid w:val="00B730B2"/>
    <w:rsid w:val="00B730EE"/>
    <w:rsid w:val="00B73115"/>
    <w:rsid w:val="00B7319B"/>
    <w:rsid w:val="00B7320F"/>
    <w:rsid w:val="00B732BF"/>
    <w:rsid w:val="00B732C4"/>
    <w:rsid w:val="00B73323"/>
    <w:rsid w:val="00B73455"/>
    <w:rsid w:val="00B734D7"/>
    <w:rsid w:val="00B734E8"/>
    <w:rsid w:val="00B73826"/>
    <w:rsid w:val="00B738F5"/>
    <w:rsid w:val="00B73984"/>
    <w:rsid w:val="00B73B6C"/>
    <w:rsid w:val="00B73C05"/>
    <w:rsid w:val="00B73C3C"/>
    <w:rsid w:val="00B73C66"/>
    <w:rsid w:val="00B73C7A"/>
    <w:rsid w:val="00B73C9F"/>
    <w:rsid w:val="00B73D2B"/>
    <w:rsid w:val="00B73E44"/>
    <w:rsid w:val="00B73F42"/>
    <w:rsid w:val="00B7408B"/>
    <w:rsid w:val="00B740C6"/>
    <w:rsid w:val="00B743C8"/>
    <w:rsid w:val="00B744FE"/>
    <w:rsid w:val="00B74584"/>
    <w:rsid w:val="00B74660"/>
    <w:rsid w:val="00B7470A"/>
    <w:rsid w:val="00B7477F"/>
    <w:rsid w:val="00B74A67"/>
    <w:rsid w:val="00B74A95"/>
    <w:rsid w:val="00B74B06"/>
    <w:rsid w:val="00B74B0F"/>
    <w:rsid w:val="00B74E41"/>
    <w:rsid w:val="00B74E77"/>
    <w:rsid w:val="00B74EB7"/>
    <w:rsid w:val="00B74FC3"/>
    <w:rsid w:val="00B74FF4"/>
    <w:rsid w:val="00B7503A"/>
    <w:rsid w:val="00B75055"/>
    <w:rsid w:val="00B752CD"/>
    <w:rsid w:val="00B75503"/>
    <w:rsid w:val="00B755EA"/>
    <w:rsid w:val="00B756D5"/>
    <w:rsid w:val="00B756E7"/>
    <w:rsid w:val="00B75707"/>
    <w:rsid w:val="00B7572D"/>
    <w:rsid w:val="00B75952"/>
    <w:rsid w:val="00B759E0"/>
    <w:rsid w:val="00B75C6F"/>
    <w:rsid w:val="00B75CA0"/>
    <w:rsid w:val="00B75DE0"/>
    <w:rsid w:val="00B75E81"/>
    <w:rsid w:val="00B75F50"/>
    <w:rsid w:val="00B75F9E"/>
    <w:rsid w:val="00B7602B"/>
    <w:rsid w:val="00B760EC"/>
    <w:rsid w:val="00B761E4"/>
    <w:rsid w:val="00B76207"/>
    <w:rsid w:val="00B7625A"/>
    <w:rsid w:val="00B7625F"/>
    <w:rsid w:val="00B7634C"/>
    <w:rsid w:val="00B76351"/>
    <w:rsid w:val="00B763EC"/>
    <w:rsid w:val="00B765C9"/>
    <w:rsid w:val="00B766C3"/>
    <w:rsid w:val="00B766C8"/>
    <w:rsid w:val="00B7672C"/>
    <w:rsid w:val="00B767D4"/>
    <w:rsid w:val="00B768EB"/>
    <w:rsid w:val="00B7690B"/>
    <w:rsid w:val="00B76ABB"/>
    <w:rsid w:val="00B76AF5"/>
    <w:rsid w:val="00B76D66"/>
    <w:rsid w:val="00B76D96"/>
    <w:rsid w:val="00B76EFB"/>
    <w:rsid w:val="00B76FFF"/>
    <w:rsid w:val="00B77185"/>
    <w:rsid w:val="00B77201"/>
    <w:rsid w:val="00B772CC"/>
    <w:rsid w:val="00B77343"/>
    <w:rsid w:val="00B773F7"/>
    <w:rsid w:val="00B7768E"/>
    <w:rsid w:val="00B77709"/>
    <w:rsid w:val="00B777FA"/>
    <w:rsid w:val="00B77827"/>
    <w:rsid w:val="00B77A3D"/>
    <w:rsid w:val="00B77CA0"/>
    <w:rsid w:val="00B77D3D"/>
    <w:rsid w:val="00B77E76"/>
    <w:rsid w:val="00B77F28"/>
    <w:rsid w:val="00B77FBC"/>
    <w:rsid w:val="00B77FBF"/>
    <w:rsid w:val="00B7DE26"/>
    <w:rsid w:val="00B80064"/>
    <w:rsid w:val="00B801B2"/>
    <w:rsid w:val="00B801D8"/>
    <w:rsid w:val="00B8027F"/>
    <w:rsid w:val="00B8037F"/>
    <w:rsid w:val="00B8050D"/>
    <w:rsid w:val="00B80540"/>
    <w:rsid w:val="00B805CC"/>
    <w:rsid w:val="00B807EC"/>
    <w:rsid w:val="00B80815"/>
    <w:rsid w:val="00B8087E"/>
    <w:rsid w:val="00B808A5"/>
    <w:rsid w:val="00B809F2"/>
    <w:rsid w:val="00B80A6E"/>
    <w:rsid w:val="00B80C0F"/>
    <w:rsid w:val="00B80C68"/>
    <w:rsid w:val="00B80CBD"/>
    <w:rsid w:val="00B80F1D"/>
    <w:rsid w:val="00B80FB8"/>
    <w:rsid w:val="00B81242"/>
    <w:rsid w:val="00B81261"/>
    <w:rsid w:val="00B81609"/>
    <w:rsid w:val="00B816C5"/>
    <w:rsid w:val="00B8177F"/>
    <w:rsid w:val="00B8189B"/>
    <w:rsid w:val="00B818E9"/>
    <w:rsid w:val="00B818FD"/>
    <w:rsid w:val="00B81925"/>
    <w:rsid w:val="00B81B60"/>
    <w:rsid w:val="00B81B71"/>
    <w:rsid w:val="00B81C2C"/>
    <w:rsid w:val="00B81D3C"/>
    <w:rsid w:val="00B81F79"/>
    <w:rsid w:val="00B821D5"/>
    <w:rsid w:val="00B82224"/>
    <w:rsid w:val="00B8223F"/>
    <w:rsid w:val="00B822FD"/>
    <w:rsid w:val="00B82325"/>
    <w:rsid w:val="00B823A0"/>
    <w:rsid w:val="00B823BD"/>
    <w:rsid w:val="00B823EB"/>
    <w:rsid w:val="00B82535"/>
    <w:rsid w:val="00B82585"/>
    <w:rsid w:val="00B8276C"/>
    <w:rsid w:val="00B827BD"/>
    <w:rsid w:val="00B82CBE"/>
    <w:rsid w:val="00B82D04"/>
    <w:rsid w:val="00B82D6E"/>
    <w:rsid w:val="00B82E65"/>
    <w:rsid w:val="00B82F32"/>
    <w:rsid w:val="00B82FB6"/>
    <w:rsid w:val="00B83098"/>
    <w:rsid w:val="00B8314C"/>
    <w:rsid w:val="00B83176"/>
    <w:rsid w:val="00B83189"/>
    <w:rsid w:val="00B83272"/>
    <w:rsid w:val="00B835A7"/>
    <w:rsid w:val="00B835CC"/>
    <w:rsid w:val="00B83873"/>
    <w:rsid w:val="00B83984"/>
    <w:rsid w:val="00B83A28"/>
    <w:rsid w:val="00B83BAB"/>
    <w:rsid w:val="00B83C66"/>
    <w:rsid w:val="00B83C9E"/>
    <w:rsid w:val="00B83E25"/>
    <w:rsid w:val="00B83E6B"/>
    <w:rsid w:val="00B83EAF"/>
    <w:rsid w:val="00B83EDB"/>
    <w:rsid w:val="00B83EDD"/>
    <w:rsid w:val="00B8408B"/>
    <w:rsid w:val="00B840D9"/>
    <w:rsid w:val="00B8431E"/>
    <w:rsid w:val="00B8444B"/>
    <w:rsid w:val="00B846C6"/>
    <w:rsid w:val="00B8470D"/>
    <w:rsid w:val="00B84797"/>
    <w:rsid w:val="00B84814"/>
    <w:rsid w:val="00B849A4"/>
    <w:rsid w:val="00B84A20"/>
    <w:rsid w:val="00B84A68"/>
    <w:rsid w:val="00B84A96"/>
    <w:rsid w:val="00B84BA9"/>
    <w:rsid w:val="00B84D73"/>
    <w:rsid w:val="00B84DA1"/>
    <w:rsid w:val="00B84DCC"/>
    <w:rsid w:val="00B84DED"/>
    <w:rsid w:val="00B84FC9"/>
    <w:rsid w:val="00B850ED"/>
    <w:rsid w:val="00B851A3"/>
    <w:rsid w:val="00B851BD"/>
    <w:rsid w:val="00B85209"/>
    <w:rsid w:val="00B8531F"/>
    <w:rsid w:val="00B853D8"/>
    <w:rsid w:val="00B8549C"/>
    <w:rsid w:val="00B85531"/>
    <w:rsid w:val="00B855B0"/>
    <w:rsid w:val="00B855C3"/>
    <w:rsid w:val="00B855EF"/>
    <w:rsid w:val="00B857A7"/>
    <w:rsid w:val="00B85917"/>
    <w:rsid w:val="00B8597C"/>
    <w:rsid w:val="00B85AB8"/>
    <w:rsid w:val="00B85BEC"/>
    <w:rsid w:val="00B85CA5"/>
    <w:rsid w:val="00B85D7D"/>
    <w:rsid w:val="00B85DD2"/>
    <w:rsid w:val="00B85EB4"/>
    <w:rsid w:val="00B85F2D"/>
    <w:rsid w:val="00B8621A"/>
    <w:rsid w:val="00B862B7"/>
    <w:rsid w:val="00B864B1"/>
    <w:rsid w:val="00B865AD"/>
    <w:rsid w:val="00B86630"/>
    <w:rsid w:val="00B867CA"/>
    <w:rsid w:val="00B86819"/>
    <w:rsid w:val="00B869C2"/>
    <w:rsid w:val="00B86ADD"/>
    <w:rsid w:val="00B86AEB"/>
    <w:rsid w:val="00B86B9A"/>
    <w:rsid w:val="00B86C5D"/>
    <w:rsid w:val="00B86E7C"/>
    <w:rsid w:val="00B86F6E"/>
    <w:rsid w:val="00B87132"/>
    <w:rsid w:val="00B871F3"/>
    <w:rsid w:val="00B8724C"/>
    <w:rsid w:val="00B87277"/>
    <w:rsid w:val="00B872C9"/>
    <w:rsid w:val="00B873A9"/>
    <w:rsid w:val="00B873AB"/>
    <w:rsid w:val="00B87413"/>
    <w:rsid w:val="00B8767E"/>
    <w:rsid w:val="00B877A2"/>
    <w:rsid w:val="00B87928"/>
    <w:rsid w:val="00B87A5B"/>
    <w:rsid w:val="00B87B7A"/>
    <w:rsid w:val="00B87CC0"/>
    <w:rsid w:val="00B87DEC"/>
    <w:rsid w:val="00B87E92"/>
    <w:rsid w:val="00B87E9E"/>
    <w:rsid w:val="00B90139"/>
    <w:rsid w:val="00B9018B"/>
    <w:rsid w:val="00B902BF"/>
    <w:rsid w:val="00B90393"/>
    <w:rsid w:val="00B903EF"/>
    <w:rsid w:val="00B90727"/>
    <w:rsid w:val="00B908CF"/>
    <w:rsid w:val="00B908E0"/>
    <w:rsid w:val="00B90A24"/>
    <w:rsid w:val="00B90EE6"/>
    <w:rsid w:val="00B90F0C"/>
    <w:rsid w:val="00B90F97"/>
    <w:rsid w:val="00B9104D"/>
    <w:rsid w:val="00B910B6"/>
    <w:rsid w:val="00B91327"/>
    <w:rsid w:val="00B91535"/>
    <w:rsid w:val="00B917DE"/>
    <w:rsid w:val="00B91875"/>
    <w:rsid w:val="00B9190C"/>
    <w:rsid w:val="00B91991"/>
    <w:rsid w:val="00B91A45"/>
    <w:rsid w:val="00B91A57"/>
    <w:rsid w:val="00B91A73"/>
    <w:rsid w:val="00B91BD7"/>
    <w:rsid w:val="00B91D52"/>
    <w:rsid w:val="00B92005"/>
    <w:rsid w:val="00B921D7"/>
    <w:rsid w:val="00B92338"/>
    <w:rsid w:val="00B92477"/>
    <w:rsid w:val="00B92562"/>
    <w:rsid w:val="00B925A9"/>
    <w:rsid w:val="00B92694"/>
    <w:rsid w:val="00B9272A"/>
    <w:rsid w:val="00B927B2"/>
    <w:rsid w:val="00B927D9"/>
    <w:rsid w:val="00B92813"/>
    <w:rsid w:val="00B929AE"/>
    <w:rsid w:val="00B92A95"/>
    <w:rsid w:val="00B92ADD"/>
    <w:rsid w:val="00B92BDF"/>
    <w:rsid w:val="00B92C7F"/>
    <w:rsid w:val="00B92DEA"/>
    <w:rsid w:val="00B92EBB"/>
    <w:rsid w:val="00B92FCB"/>
    <w:rsid w:val="00B9327C"/>
    <w:rsid w:val="00B932B5"/>
    <w:rsid w:val="00B9330C"/>
    <w:rsid w:val="00B93316"/>
    <w:rsid w:val="00B9351E"/>
    <w:rsid w:val="00B93673"/>
    <w:rsid w:val="00B936CA"/>
    <w:rsid w:val="00B93764"/>
    <w:rsid w:val="00B93813"/>
    <w:rsid w:val="00B93970"/>
    <w:rsid w:val="00B93A20"/>
    <w:rsid w:val="00B93A31"/>
    <w:rsid w:val="00B93A70"/>
    <w:rsid w:val="00B93B44"/>
    <w:rsid w:val="00B93CED"/>
    <w:rsid w:val="00B93DB2"/>
    <w:rsid w:val="00B93E65"/>
    <w:rsid w:val="00B9426A"/>
    <w:rsid w:val="00B94344"/>
    <w:rsid w:val="00B943B9"/>
    <w:rsid w:val="00B9443F"/>
    <w:rsid w:val="00B94501"/>
    <w:rsid w:val="00B94580"/>
    <w:rsid w:val="00B945CA"/>
    <w:rsid w:val="00B947AB"/>
    <w:rsid w:val="00B947FA"/>
    <w:rsid w:val="00B94920"/>
    <w:rsid w:val="00B94BA7"/>
    <w:rsid w:val="00B94BFF"/>
    <w:rsid w:val="00B94C6C"/>
    <w:rsid w:val="00B94D00"/>
    <w:rsid w:val="00B94D33"/>
    <w:rsid w:val="00B95126"/>
    <w:rsid w:val="00B9512E"/>
    <w:rsid w:val="00B952B0"/>
    <w:rsid w:val="00B953A2"/>
    <w:rsid w:val="00B954A7"/>
    <w:rsid w:val="00B95543"/>
    <w:rsid w:val="00B95625"/>
    <w:rsid w:val="00B956E8"/>
    <w:rsid w:val="00B956FA"/>
    <w:rsid w:val="00B95770"/>
    <w:rsid w:val="00B95821"/>
    <w:rsid w:val="00B958AB"/>
    <w:rsid w:val="00B95A82"/>
    <w:rsid w:val="00B95BDD"/>
    <w:rsid w:val="00B95DBD"/>
    <w:rsid w:val="00B95DE8"/>
    <w:rsid w:val="00B95F76"/>
    <w:rsid w:val="00B95FB4"/>
    <w:rsid w:val="00B96052"/>
    <w:rsid w:val="00B960AD"/>
    <w:rsid w:val="00B96214"/>
    <w:rsid w:val="00B9633D"/>
    <w:rsid w:val="00B9641D"/>
    <w:rsid w:val="00B9642D"/>
    <w:rsid w:val="00B96453"/>
    <w:rsid w:val="00B96466"/>
    <w:rsid w:val="00B9646C"/>
    <w:rsid w:val="00B964C5"/>
    <w:rsid w:val="00B9670F"/>
    <w:rsid w:val="00B96753"/>
    <w:rsid w:val="00B968A1"/>
    <w:rsid w:val="00B96982"/>
    <w:rsid w:val="00B969DA"/>
    <w:rsid w:val="00B969F4"/>
    <w:rsid w:val="00B96D7C"/>
    <w:rsid w:val="00B96F13"/>
    <w:rsid w:val="00B96F5E"/>
    <w:rsid w:val="00B97066"/>
    <w:rsid w:val="00B9707A"/>
    <w:rsid w:val="00B9713B"/>
    <w:rsid w:val="00B9717C"/>
    <w:rsid w:val="00B972D7"/>
    <w:rsid w:val="00B97375"/>
    <w:rsid w:val="00B973BB"/>
    <w:rsid w:val="00B976D4"/>
    <w:rsid w:val="00B977B8"/>
    <w:rsid w:val="00B9793D"/>
    <w:rsid w:val="00B97961"/>
    <w:rsid w:val="00B9798B"/>
    <w:rsid w:val="00B97AF6"/>
    <w:rsid w:val="00B97E29"/>
    <w:rsid w:val="00B97EB6"/>
    <w:rsid w:val="00B97FA9"/>
    <w:rsid w:val="00BA0028"/>
    <w:rsid w:val="00BA01A5"/>
    <w:rsid w:val="00BA03E8"/>
    <w:rsid w:val="00BA051A"/>
    <w:rsid w:val="00BA05C2"/>
    <w:rsid w:val="00BA05F7"/>
    <w:rsid w:val="00BA0657"/>
    <w:rsid w:val="00BA0690"/>
    <w:rsid w:val="00BA0860"/>
    <w:rsid w:val="00BA0B79"/>
    <w:rsid w:val="00BA0CEF"/>
    <w:rsid w:val="00BA0DD8"/>
    <w:rsid w:val="00BA0E30"/>
    <w:rsid w:val="00BA0F18"/>
    <w:rsid w:val="00BA0F7D"/>
    <w:rsid w:val="00BA1027"/>
    <w:rsid w:val="00BA1053"/>
    <w:rsid w:val="00BA1091"/>
    <w:rsid w:val="00BA126B"/>
    <w:rsid w:val="00BA14CE"/>
    <w:rsid w:val="00BA1551"/>
    <w:rsid w:val="00BA1558"/>
    <w:rsid w:val="00BA15A8"/>
    <w:rsid w:val="00BA1711"/>
    <w:rsid w:val="00BA1734"/>
    <w:rsid w:val="00BA1AB8"/>
    <w:rsid w:val="00BA1BDF"/>
    <w:rsid w:val="00BA1D2B"/>
    <w:rsid w:val="00BA1FFF"/>
    <w:rsid w:val="00BA22E2"/>
    <w:rsid w:val="00BA22FF"/>
    <w:rsid w:val="00BA2471"/>
    <w:rsid w:val="00BA248A"/>
    <w:rsid w:val="00BA252B"/>
    <w:rsid w:val="00BA275B"/>
    <w:rsid w:val="00BA275C"/>
    <w:rsid w:val="00BA2806"/>
    <w:rsid w:val="00BA2854"/>
    <w:rsid w:val="00BA285B"/>
    <w:rsid w:val="00BA28F4"/>
    <w:rsid w:val="00BA2981"/>
    <w:rsid w:val="00BA2B1B"/>
    <w:rsid w:val="00BA2B48"/>
    <w:rsid w:val="00BA2E50"/>
    <w:rsid w:val="00BA2FEC"/>
    <w:rsid w:val="00BA302D"/>
    <w:rsid w:val="00BA3040"/>
    <w:rsid w:val="00BA313A"/>
    <w:rsid w:val="00BA31E1"/>
    <w:rsid w:val="00BA3388"/>
    <w:rsid w:val="00BA36C1"/>
    <w:rsid w:val="00BA373E"/>
    <w:rsid w:val="00BA3819"/>
    <w:rsid w:val="00BA3B44"/>
    <w:rsid w:val="00BA3B79"/>
    <w:rsid w:val="00BA3C67"/>
    <w:rsid w:val="00BA3CE6"/>
    <w:rsid w:val="00BA3D9B"/>
    <w:rsid w:val="00BA3E4D"/>
    <w:rsid w:val="00BA4048"/>
    <w:rsid w:val="00BA41AD"/>
    <w:rsid w:val="00BA41E5"/>
    <w:rsid w:val="00BA44BD"/>
    <w:rsid w:val="00BA44F1"/>
    <w:rsid w:val="00BA4716"/>
    <w:rsid w:val="00BA4849"/>
    <w:rsid w:val="00BA487C"/>
    <w:rsid w:val="00BA497C"/>
    <w:rsid w:val="00BA4B6A"/>
    <w:rsid w:val="00BA4C88"/>
    <w:rsid w:val="00BA50DC"/>
    <w:rsid w:val="00BA5326"/>
    <w:rsid w:val="00BA53C5"/>
    <w:rsid w:val="00BA53DB"/>
    <w:rsid w:val="00BA54BF"/>
    <w:rsid w:val="00BA55E0"/>
    <w:rsid w:val="00BA563D"/>
    <w:rsid w:val="00BA5719"/>
    <w:rsid w:val="00BA58C2"/>
    <w:rsid w:val="00BA58CC"/>
    <w:rsid w:val="00BA596F"/>
    <w:rsid w:val="00BA5B78"/>
    <w:rsid w:val="00BA5C3D"/>
    <w:rsid w:val="00BA5D06"/>
    <w:rsid w:val="00BA5D3C"/>
    <w:rsid w:val="00BA5DE4"/>
    <w:rsid w:val="00BA5E7D"/>
    <w:rsid w:val="00BA62DC"/>
    <w:rsid w:val="00BA6301"/>
    <w:rsid w:val="00BA64F1"/>
    <w:rsid w:val="00BA67D5"/>
    <w:rsid w:val="00BA67EA"/>
    <w:rsid w:val="00BA6924"/>
    <w:rsid w:val="00BA6A12"/>
    <w:rsid w:val="00BA6A19"/>
    <w:rsid w:val="00BA6A1D"/>
    <w:rsid w:val="00BA6A96"/>
    <w:rsid w:val="00BA6B7E"/>
    <w:rsid w:val="00BA6BF9"/>
    <w:rsid w:val="00BA6C9D"/>
    <w:rsid w:val="00BA6DBA"/>
    <w:rsid w:val="00BA7071"/>
    <w:rsid w:val="00BA719A"/>
    <w:rsid w:val="00BA7322"/>
    <w:rsid w:val="00BA752E"/>
    <w:rsid w:val="00BA7531"/>
    <w:rsid w:val="00BA7644"/>
    <w:rsid w:val="00BA78DD"/>
    <w:rsid w:val="00BA79F9"/>
    <w:rsid w:val="00BA7A8B"/>
    <w:rsid w:val="00BA7AB5"/>
    <w:rsid w:val="00BA7BE5"/>
    <w:rsid w:val="00BA7D16"/>
    <w:rsid w:val="00BA7D9E"/>
    <w:rsid w:val="00BA7DB7"/>
    <w:rsid w:val="00BA7DD3"/>
    <w:rsid w:val="00BA7E30"/>
    <w:rsid w:val="00BA7E84"/>
    <w:rsid w:val="00BA7EFF"/>
    <w:rsid w:val="00BB00E8"/>
    <w:rsid w:val="00BB0125"/>
    <w:rsid w:val="00BB0229"/>
    <w:rsid w:val="00BB02A5"/>
    <w:rsid w:val="00BB02B8"/>
    <w:rsid w:val="00BB0321"/>
    <w:rsid w:val="00BB035A"/>
    <w:rsid w:val="00BB0419"/>
    <w:rsid w:val="00BB062D"/>
    <w:rsid w:val="00BB07F1"/>
    <w:rsid w:val="00BB0A69"/>
    <w:rsid w:val="00BB0AE9"/>
    <w:rsid w:val="00BB0B19"/>
    <w:rsid w:val="00BB0B2E"/>
    <w:rsid w:val="00BB0BA5"/>
    <w:rsid w:val="00BB0C82"/>
    <w:rsid w:val="00BB0D36"/>
    <w:rsid w:val="00BB0E17"/>
    <w:rsid w:val="00BB0F9B"/>
    <w:rsid w:val="00BB110D"/>
    <w:rsid w:val="00BB123E"/>
    <w:rsid w:val="00BB12EF"/>
    <w:rsid w:val="00BB13C5"/>
    <w:rsid w:val="00BB16CF"/>
    <w:rsid w:val="00BB18E8"/>
    <w:rsid w:val="00BB19AE"/>
    <w:rsid w:val="00BB1B76"/>
    <w:rsid w:val="00BB1C54"/>
    <w:rsid w:val="00BB1C59"/>
    <w:rsid w:val="00BB1D92"/>
    <w:rsid w:val="00BB1DDD"/>
    <w:rsid w:val="00BB1E5D"/>
    <w:rsid w:val="00BB231A"/>
    <w:rsid w:val="00BB238B"/>
    <w:rsid w:val="00BB2495"/>
    <w:rsid w:val="00BB26D6"/>
    <w:rsid w:val="00BB2717"/>
    <w:rsid w:val="00BB2773"/>
    <w:rsid w:val="00BB27F8"/>
    <w:rsid w:val="00BB2F6F"/>
    <w:rsid w:val="00BB2FAB"/>
    <w:rsid w:val="00BB2FC3"/>
    <w:rsid w:val="00BB2FC7"/>
    <w:rsid w:val="00BB2FFF"/>
    <w:rsid w:val="00BB30C2"/>
    <w:rsid w:val="00BB32E5"/>
    <w:rsid w:val="00BB3400"/>
    <w:rsid w:val="00BB37D7"/>
    <w:rsid w:val="00BB38FB"/>
    <w:rsid w:val="00BB3B37"/>
    <w:rsid w:val="00BB3C9B"/>
    <w:rsid w:val="00BB3D8F"/>
    <w:rsid w:val="00BB3DF7"/>
    <w:rsid w:val="00BB406B"/>
    <w:rsid w:val="00BB40D6"/>
    <w:rsid w:val="00BB4104"/>
    <w:rsid w:val="00BB426D"/>
    <w:rsid w:val="00BB42AD"/>
    <w:rsid w:val="00BB440C"/>
    <w:rsid w:val="00BB44B3"/>
    <w:rsid w:val="00BB44CB"/>
    <w:rsid w:val="00BB44CE"/>
    <w:rsid w:val="00BB44D3"/>
    <w:rsid w:val="00BB45F0"/>
    <w:rsid w:val="00BB4659"/>
    <w:rsid w:val="00BB4707"/>
    <w:rsid w:val="00BB4795"/>
    <w:rsid w:val="00BB4871"/>
    <w:rsid w:val="00BB4875"/>
    <w:rsid w:val="00BB4A61"/>
    <w:rsid w:val="00BB4AE7"/>
    <w:rsid w:val="00BB4BC9"/>
    <w:rsid w:val="00BB4BF5"/>
    <w:rsid w:val="00BB4D1E"/>
    <w:rsid w:val="00BB4D61"/>
    <w:rsid w:val="00BB4E44"/>
    <w:rsid w:val="00BB500A"/>
    <w:rsid w:val="00BB5010"/>
    <w:rsid w:val="00BB504A"/>
    <w:rsid w:val="00BB50DD"/>
    <w:rsid w:val="00BB52C8"/>
    <w:rsid w:val="00BB5A13"/>
    <w:rsid w:val="00BB5A6F"/>
    <w:rsid w:val="00BB5B26"/>
    <w:rsid w:val="00BB5C52"/>
    <w:rsid w:val="00BB5DA0"/>
    <w:rsid w:val="00BB5E38"/>
    <w:rsid w:val="00BB5FA3"/>
    <w:rsid w:val="00BB6022"/>
    <w:rsid w:val="00BB6142"/>
    <w:rsid w:val="00BB6371"/>
    <w:rsid w:val="00BB64F7"/>
    <w:rsid w:val="00BB65E2"/>
    <w:rsid w:val="00BB66AD"/>
    <w:rsid w:val="00BB673C"/>
    <w:rsid w:val="00BB67B6"/>
    <w:rsid w:val="00BB67D1"/>
    <w:rsid w:val="00BB683B"/>
    <w:rsid w:val="00BB699C"/>
    <w:rsid w:val="00BB69A5"/>
    <w:rsid w:val="00BB6BFE"/>
    <w:rsid w:val="00BB6DE0"/>
    <w:rsid w:val="00BB6F58"/>
    <w:rsid w:val="00BB6FD7"/>
    <w:rsid w:val="00BB6FF5"/>
    <w:rsid w:val="00BB7054"/>
    <w:rsid w:val="00BB7064"/>
    <w:rsid w:val="00BB71AE"/>
    <w:rsid w:val="00BB72CC"/>
    <w:rsid w:val="00BB7859"/>
    <w:rsid w:val="00BB7A68"/>
    <w:rsid w:val="00BB7B1C"/>
    <w:rsid w:val="00BB7B1D"/>
    <w:rsid w:val="00BB7B5E"/>
    <w:rsid w:val="00BB7D65"/>
    <w:rsid w:val="00BB7D99"/>
    <w:rsid w:val="00BB7FA4"/>
    <w:rsid w:val="00BB7FB8"/>
    <w:rsid w:val="00BC0199"/>
    <w:rsid w:val="00BC01D2"/>
    <w:rsid w:val="00BC02CC"/>
    <w:rsid w:val="00BC03A2"/>
    <w:rsid w:val="00BC043E"/>
    <w:rsid w:val="00BC04D0"/>
    <w:rsid w:val="00BC06D0"/>
    <w:rsid w:val="00BC06F3"/>
    <w:rsid w:val="00BC0847"/>
    <w:rsid w:val="00BC089E"/>
    <w:rsid w:val="00BC090C"/>
    <w:rsid w:val="00BC0970"/>
    <w:rsid w:val="00BC0A85"/>
    <w:rsid w:val="00BC0AE1"/>
    <w:rsid w:val="00BC0E70"/>
    <w:rsid w:val="00BC0F54"/>
    <w:rsid w:val="00BC10D8"/>
    <w:rsid w:val="00BC1388"/>
    <w:rsid w:val="00BC143C"/>
    <w:rsid w:val="00BC15ED"/>
    <w:rsid w:val="00BC15EF"/>
    <w:rsid w:val="00BC1677"/>
    <w:rsid w:val="00BC16E0"/>
    <w:rsid w:val="00BC1769"/>
    <w:rsid w:val="00BC1792"/>
    <w:rsid w:val="00BC1799"/>
    <w:rsid w:val="00BC180E"/>
    <w:rsid w:val="00BC18E4"/>
    <w:rsid w:val="00BC19AA"/>
    <w:rsid w:val="00BC1AB5"/>
    <w:rsid w:val="00BC1B19"/>
    <w:rsid w:val="00BC1CB7"/>
    <w:rsid w:val="00BC1EFE"/>
    <w:rsid w:val="00BC1F9E"/>
    <w:rsid w:val="00BC200A"/>
    <w:rsid w:val="00BC218A"/>
    <w:rsid w:val="00BC24D3"/>
    <w:rsid w:val="00BC2509"/>
    <w:rsid w:val="00BC2534"/>
    <w:rsid w:val="00BC2728"/>
    <w:rsid w:val="00BC285C"/>
    <w:rsid w:val="00BC28BF"/>
    <w:rsid w:val="00BC28F9"/>
    <w:rsid w:val="00BC2AD6"/>
    <w:rsid w:val="00BC2B76"/>
    <w:rsid w:val="00BC2BFE"/>
    <w:rsid w:val="00BC2C80"/>
    <w:rsid w:val="00BC2CA0"/>
    <w:rsid w:val="00BC2DEA"/>
    <w:rsid w:val="00BC2EB4"/>
    <w:rsid w:val="00BC2FCE"/>
    <w:rsid w:val="00BC3079"/>
    <w:rsid w:val="00BC318C"/>
    <w:rsid w:val="00BC332C"/>
    <w:rsid w:val="00BC3377"/>
    <w:rsid w:val="00BC34AE"/>
    <w:rsid w:val="00BC36FE"/>
    <w:rsid w:val="00BC38DA"/>
    <w:rsid w:val="00BC3B65"/>
    <w:rsid w:val="00BC3BF0"/>
    <w:rsid w:val="00BC3C5A"/>
    <w:rsid w:val="00BC3CF7"/>
    <w:rsid w:val="00BC3FF6"/>
    <w:rsid w:val="00BC4101"/>
    <w:rsid w:val="00BC42C0"/>
    <w:rsid w:val="00BC42F4"/>
    <w:rsid w:val="00BC43A6"/>
    <w:rsid w:val="00BC43E4"/>
    <w:rsid w:val="00BC448F"/>
    <w:rsid w:val="00BC4603"/>
    <w:rsid w:val="00BC463A"/>
    <w:rsid w:val="00BC465C"/>
    <w:rsid w:val="00BC466A"/>
    <w:rsid w:val="00BC4808"/>
    <w:rsid w:val="00BC49ED"/>
    <w:rsid w:val="00BC4A74"/>
    <w:rsid w:val="00BC4C73"/>
    <w:rsid w:val="00BC4D36"/>
    <w:rsid w:val="00BC4E83"/>
    <w:rsid w:val="00BC50B5"/>
    <w:rsid w:val="00BC50D2"/>
    <w:rsid w:val="00BC50E7"/>
    <w:rsid w:val="00BC51DE"/>
    <w:rsid w:val="00BC52F7"/>
    <w:rsid w:val="00BC540D"/>
    <w:rsid w:val="00BC5464"/>
    <w:rsid w:val="00BC5836"/>
    <w:rsid w:val="00BC5893"/>
    <w:rsid w:val="00BC5BA1"/>
    <w:rsid w:val="00BC5C4B"/>
    <w:rsid w:val="00BC5C89"/>
    <w:rsid w:val="00BC5C94"/>
    <w:rsid w:val="00BC5CBC"/>
    <w:rsid w:val="00BC5CE5"/>
    <w:rsid w:val="00BC5CF9"/>
    <w:rsid w:val="00BC5D9A"/>
    <w:rsid w:val="00BC5DBA"/>
    <w:rsid w:val="00BC5DC1"/>
    <w:rsid w:val="00BC5EAF"/>
    <w:rsid w:val="00BC600B"/>
    <w:rsid w:val="00BC6052"/>
    <w:rsid w:val="00BC616D"/>
    <w:rsid w:val="00BC6218"/>
    <w:rsid w:val="00BC6317"/>
    <w:rsid w:val="00BC64BE"/>
    <w:rsid w:val="00BC6700"/>
    <w:rsid w:val="00BC6741"/>
    <w:rsid w:val="00BC6749"/>
    <w:rsid w:val="00BC67CD"/>
    <w:rsid w:val="00BC680E"/>
    <w:rsid w:val="00BC685F"/>
    <w:rsid w:val="00BC68D2"/>
    <w:rsid w:val="00BC69E8"/>
    <w:rsid w:val="00BC6AA8"/>
    <w:rsid w:val="00BC6BE2"/>
    <w:rsid w:val="00BC6DF4"/>
    <w:rsid w:val="00BC71C3"/>
    <w:rsid w:val="00BC72FD"/>
    <w:rsid w:val="00BC740B"/>
    <w:rsid w:val="00BC74F3"/>
    <w:rsid w:val="00BC7512"/>
    <w:rsid w:val="00BC756D"/>
    <w:rsid w:val="00BC75FF"/>
    <w:rsid w:val="00BC77F9"/>
    <w:rsid w:val="00BC7818"/>
    <w:rsid w:val="00BC7944"/>
    <w:rsid w:val="00BC79D6"/>
    <w:rsid w:val="00BC7A08"/>
    <w:rsid w:val="00BC7A93"/>
    <w:rsid w:val="00BC7AE2"/>
    <w:rsid w:val="00BC7D47"/>
    <w:rsid w:val="00BC7D99"/>
    <w:rsid w:val="00BC7E2B"/>
    <w:rsid w:val="00BC7F9A"/>
    <w:rsid w:val="00BC7FC4"/>
    <w:rsid w:val="00BD008F"/>
    <w:rsid w:val="00BD01E5"/>
    <w:rsid w:val="00BD0305"/>
    <w:rsid w:val="00BD0480"/>
    <w:rsid w:val="00BD07C3"/>
    <w:rsid w:val="00BD07CF"/>
    <w:rsid w:val="00BD081D"/>
    <w:rsid w:val="00BD0902"/>
    <w:rsid w:val="00BD0935"/>
    <w:rsid w:val="00BD097F"/>
    <w:rsid w:val="00BD09F5"/>
    <w:rsid w:val="00BD0C1B"/>
    <w:rsid w:val="00BD0C77"/>
    <w:rsid w:val="00BD0CB4"/>
    <w:rsid w:val="00BD0CEE"/>
    <w:rsid w:val="00BD0D02"/>
    <w:rsid w:val="00BD0DF9"/>
    <w:rsid w:val="00BD1277"/>
    <w:rsid w:val="00BD143A"/>
    <w:rsid w:val="00BD175F"/>
    <w:rsid w:val="00BD1842"/>
    <w:rsid w:val="00BD185D"/>
    <w:rsid w:val="00BD18F6"/>
    <w:rsid w:val="00BD1A7F"/>
    <w:rsid w:val="00BD1B6A"/>
    <w:rsid w:val="00BD1F89"/>
    <w:rsid w:val="00BD20D6"/>
    <w:rsid w:val="00BD2194"/>
    <w:rsid w:val="00BD2200"/>
    <w:rsid w:val="00BD230B"/>
    <w:rsid w:val="00BD2470"/>
    <w:rsid w:val="00BD25F0"/>
    <w:rsid w:val="00BD264F"/>
    <w:rsid w:val="00BD273A"/>
    <w:rsid w:val="00BD276B"/>
    <w:rsid w:val="00BD278F"/>
    <w:rsid w:val="00BD27C5"/>
    <w:rsid w:val="00BD2976"/>
    <w:rsid w:val="00BD2AAE"/>
    <w:rsid w:val="00BD2B89"/>
    <w:rsid w:val="00BD2DEA"/>
    <w:rsid w:val="00BD2E56"/>
    <w:rsid w:val="00BD2E90"/>
    <w:rsid w:val="00BD2FA6"/>
    <w:rsid w:val="00BD3043"/>
    <w:rsid w:val="00BD3126"/>
    <w:rsid w:val="00BD3260"/>
    <w:rsid w:val="00BD32EA"/>
    <w:rsid w:val="00BD33AC"/>
    <w:rsid w:val="00BD3407"/>
    <w:rsid w:val="00BD344D"/>
    <w:rsid w:val="00BD3522"/>
    <w:rsid w:val="00BD3615"/>
    <w:rsid w:val="00BD38A8"/>
    <w:rsid w:val="00BD3988"/>
    <w:rsid w:val="00BD3AF4"/>
    <w:rsid w:val="00BD3B8F"/>
    <w:rsid w:val="00BD3C7B"/>
    <w:rsid w:val="00BD3D21"/>
    <w:rsid w:val="00BD3DD8"/>
    <w:rsid w:val="00BD3DEF"/>
    <w:rsid w:val="00BD3F5D"/>
    <w:rsid w:val="00BD3F79"/>
    <w:rsid w:val="00BD4253"/>
    <w:rsid w:val="00BD43B6"/>
    <w:rsid w:val="00BD4532"/>
    <w:rsid w:val="00BD4689"/>
    <w:rsid w:val="00BD472B"/>
    <w:rsid w:val="00BD473E"/>
    <w:rsid w:val="00BD47B3"/>
    <w:rsid w:val="00BD4839"/>
    <w:rsid w:val="00BD4986"/>
    <w:rsid w:val="00BD4D87"/>
    <w:rsid w:val="00BD4DC6"/>
    <w:rsid w:val="00BD4DED"/>
    <w:rsid w:val="00BD4E6C"/>
    <w:rsid w:val="00BD4EC2"/>
    <w:rsid w:val="00BD4F06"/>
    <w:rsid w:val="00BD4F26"/>
    <w:rsid w:val="00BD4F3F"/>
    <w:rsid w:val="00BD509B"/>
    <w:rsid w:val="00BD532D"/>
    <w:rsid w:val="00BD53A7"/>
    <w:rsid w:val="00BD53B9"/>
    <w:rsid w:val="00BD53E2"/>
    <w:rsid w:val="00BD54C2"/>
    <w:rsid w:val="00BD5540"/>
    <w:rsid w:val="00BD560C"/>
    <w:rsid w:val="00BD5887"/>
    <w:rsid w:val="00BD5894"/>
    <w:rsid w:val="00BD590A"/>
    <w:rsid w:val="00BD5944"/>
    <w:rsid w:val="00BD5A6D"/>
    <w:rsid w:val="00BD5A70"/>
    <w:rsid w:val="00BD5ABA"/>
    <w:rsid w:val="00BD5BFB"/>
    <w:rsid w:val="00BD60B5"/>
    <w:rsid w:val="00BD6329"/>
    <w:rsid w:val="00BD63BD"/>
    <w:rsid w:val="00BD6473"/>
    <w:rsid w:val="00BD64D6"/>
    <w:rsid w:val="00BD6671"/>
    <w:rsid w:val="00BD668C"/>
    <w:rsid w:val="00BD6710"/>
    <w:rsid w:val="00BD6725"/>
    <w:rsid w:val="00BD6760"/>
    <w:rsid w:val="00BD68B1"/>
    <w:rsid w:val="00BD6924"/>
    <w:rsid w:val="00BD6A2D"/>
    <w:rsid w:val="00BD6BF1"/>
    <w:rsid w:val="00BD6C1B"/>
    <w:rsid w:val="00BD6CCF"/>
    <w:rsid w:val="00BD7044"/>
    <w:rsid w:val="00BD70C6"/>
    <w:rsid w:val="00BD70CC"/>
    <w:rsid w:val="00BD70EF"/>
    <w:rsid w:val="00BD7241"/>
    <w:rsid w:val="00BD730A"/>
    <w:rsid w:val="00BD75F8"/>
    <w:rsid w:val="00BD7647"/>
    <w:rsid w:val="00BD7A61"/>
    <w:rsid w:val="00BD7B0A"/>
    <w:rsid w:val="00BD7D3A"/>
    <w:rsid w:val="00BD7D6C"/>
    <w:rsid w:val="00BD7F30"/>
    <w:rsid w:val="00BE0044"/>
    <w:rsid w:val="00BE00DD"/>
    <w:rsid w:val="00BE014B"/>
    <w:rsid w:val="00BE01CD"/>
    <w:rsid w:val="00BE027C"/>
    <w:rsid w:val="00BE0437"/>
    <w:rsid w:val="00BE06C8"/>
    <w:rsid w:val="00BE0936"/>
    <w:rsid w:val="00BE0A3C"/>
    <w:rsid w:val="00BE0ACD"/>
    <w:rsid w:val="00BE0E7C"/>
    <w:rsid w:val="00BE0F84"/>
    <w:rsid w:val="00BE0FA4"/>
    <w:rsid w:val="00BE1068"/>
    <w:rsid w:val="00BE1113"/>
    <w:rsid w:val="00BE1161"/>
    <w:rsid w:val="00BE12BE"/>
    <w:rsid w:val="00BE14FE"/>
    <w:rsid w:val="00BE15C4"/>
    <w:rsid w:val="00BE186B"/>
    <w:rsid w:val="00BE18DA"/>
    <w:rsid w:val="00BE196A"/>
    <w:rsid w:val="00BE1A06"/>
    <w:rsid w:val="00BE1AAE"/>
    <w:rsid w:val="00BE1B25"/>
    <w:rsid w:val="00BE1B70"/>
    <w:rsid w:val="00BE1BDC"/>
    <w:rsid w:val="00BE1C81"/>
    <w:rsid w:val="00BE1D40"/>
    <w:rsid w:val="00BE1E61"/>
    <w:rsid w:val="00BE1EBF"/>
    <w:rsid w:val="00BE1F04"/>
    <w:rsid w:val="00BE208C"/>
    <w:rsid w:val="00BE211E"/>
    <w:rsid w:val="00BE2173"/>
    <w:rsid w:val="00BE22DD"/>
    <w:rsid w:val="00BE238E"/>
    <w:rsid w:val="00BE2459"/>
    <w:rsid w:val="00BE24BC"/>
    <w:rsid w:val="00BE265C"/>
    <w:rsid w:val="00BE2684"/>
    <w:rsid w:val="00BE27BA"/>
    <w:rsid w:val="00BE2839"/>
    <w:rsid w:val="00BE2895"/>
    <w:rsid w:val="00BE295A"/>
    <w:rsid w:val="00BE2973"/>
    <w:rsid w:val="00BE2B89"/>
    <w:rsid w:val="00BE2E11"/>
    <w:rsid w:val="00BE2E4E"/>
    <w:rsid w:val="00BE30F1"/>
    <w:rsid w:val="00BE3229"/>
    <w:rsid w:val="00BE3521"/>
    <w:rsid w:val="00BE3607"/>
    <w:rsid w:val="00BE36AC"/>
    <w:rsid w:val="00BE3896"/>
    <w:rsid w:val="00BE38A6"/>
    <w:rsid w:val="00BE3A50"/>
    <w:rsid w:val="00BE3A67"/>
    <w:rsid w:val="00BE3DB0"/>
    <w:rsid w:val="00BE3E49"/>
    <w:rsid w:val="00BE3EA1"/>
    <w:rsid w:val="00BE3EE5"/>
    <w:rsid w:val="00BE4096"/>
    <w:rsid w:val="00BE430F"/>
    <w:rsid w:val="00BE44F5"/>
    <w:rsid w:val="00BE45A3"/>
    <w:rsid w:val="00BE46DE"/>
    <w:rsid w:val="00BE49CB"/>
    <w:rsid w:val="00BE4BFF"/>
    <w:rsid w:val="00BE4D80"/>
    <w:rsid w:val="00BE4E6B"/>
    <w:rsid w:val="00BE5056"/>
    <w:rsid w:val="00BE51A1"/>
    <w:rsid w:val="00BE51D1"/>
    <w:rsid w:val="00BE5322"/>
    <w:rsid w:val="00BE55FB"/>
    <w:rsid w:val="00BE5601"/>
    <w:rsid w:val="00BE5808"/>
    <w:rsid w:val="00BE58A8"/>
    <w:rsid w:val="00BE5AB0"/>
    <w:rsid w:val="00BE5D1A"/>
    <w:rsid w:val="00BE60A3"/>
    <w:rsid w:val="00BE61A6"/>
    <w:rsid w:val="00BE61FE"/>
    <w:rsid w:val="00BE62BD"/>
    <w:rsid w:val="00BE69F1"/>
    <w:rsid w:val="00BE6BC6"/>
    <w:rsid w:val="00BE6BFF"/>
    <w:rsid w:val="00BE6E77"/>
    <w:rsid w:val="00BE71B7"/>
    <w:rsid w:val="00BE73C6"/>
    <w:rsid w:val="00BE746E"/>
    <w:rsid w:val="00BE75E1"/>
    <w:rsid w:val="00BE7623"/>
    <w:rsid w:val="00BE766B"/>
    <w:rsid w:val="00BE776E"/>
    <w:rsid w:val="00BE7865"/>
    <w:rsid w:val="00BE78BA"/>
    <w:rsid w:val="00BE7927"/>
    <w:rsid w:val="00BE79F9"/>
    <w:rsid w:val="00BE7A4D"/>
    <w:rsid w:val="00BE7B8B"/>
    <w:rsid w:val="00BE7C1E"/>
    <w:rsid w:val="00BE7D50"/>
    <w:rsid w:val="00BE7DD6"/>
    <w:rsid w:val="00BE7EC1"/>
    <w:rsid w:val="00BF0080"/>
    <w:rsid w:val="00BF01D3"/>
    <w:rsid w:val="00BF031F"/>
    <w:rsid w:val="00BF06C2"/>
    <w:rsid w:val="00BF070C"/>
    <w:rsid w:val="00BF078D"/>
    <w:rsid w:val="00BF08B9"/>
    <w:rsid w:val="00BF0957"/>
    <w:rsid w:val="00BF0A40"/>
    <w:rsid w:val="00BF0A4B"/>
    <w:rsid w:val="00BF0A9B"/>
    <w:rsid w:val="00BF0B08"/>
    <w:rsid w:val="00BF0B6B"/>
    <w:rsid w:val="00BF0D7F"/>
    <w:rsid w:val="00BF0E9F"/>
    <w:rsid w:val="00BF0F5A"/>
    <w:rsid w:val="00BF1114"/>
    <w:rsid w:val="00BF128C"/>
    <w:rsid w:val="00BF1388"/>
    <w:rsid w:val="00BF13DD"/>
    <w:rsid w:val="00BF16D5"/>
    <w:rsid w:val="00BF1788"/>
    <w:rsid w:val="00BF1B0F"/>
    <w:rsid w:val="00BF1C31"/>
    <w:rsid w:val="00BF1D71"/>
    <w:rsid w:val="00BF1EA7"/>
    <w:rsid w:val="00BF1EF4"/>
    <w:rsid w:val="00BF1FAD"/>
    <w:rsid w:val="00BF20AF"/>
    <w:rsid w:val="00BF219B"/>
    <w:rsid w:val="00BF21DC"/>
    <w:rsid w:val="00BF21FE"/>
    <w:rsid w:val="00BF2344"/>
    <w:rsid w:val="00BF2396"/>
    <w:rsid w:val="00BF24A1"/>
    <w:rsid w:val="00BF29FF"/>
    <w:rsid w:val="00BF2A74"/>
    <w:rsid w:val="00BF2C0C"/>
    <w:rsid w:val="00BF307C"/>
    <w:rsid w:val="00BF32B8"/>
    <w:rsid w:val="00BF32F7"/>
    <w:rsid w:val="00BF3354"/>
    <w:rsid w:val="00BF3367"/>
    <w:rsid w:val="00BF3377"/>
    <w:rsid w:val="00BF3441"/>
    <w:rsid w:val="00BF364C"/>
    <w:rsid w:val="00BF3694"/>
    <w:rsid w:val="00BF36ED"/>
    <w:rsid w:val="00BF3787"/>
    <w:rsid w:val="00BF3853"/>
    <w:rsid w:val="00BF3856"/>
    <w:rsid w:val="00BF38E3"/>
    <w:rsid w:val="00BF3951"/>
    <w:rsid w:val="00BF3A14"/>
    <w:rsid w:val="00BF3A96"/>
    <w:rsid w:val="00BF3BEC"/>
    <w:rsid w:val="00BF3D1E"/>
    <w:rsid w:val="00BF3EA2"/>
    <w:rsid w:val="00BF3ED1"/>
    <w:rsid w:val="00BF3ED3"/>
    <w:rsid w:val="00BF4078"/>
    <w:rsid w:val="00BF4086"/>
    <w:rsid w:val="00BF40C3"/>
    <w:rsid w:val="00BF40D8"/>
    <w:rsid w:val="00BF42D2"/>
    <w:rsid w:val="00BF43A6"/>
    <w:rsid w:val="00BF43B6"/>
    <w:rsid w:val="00BF443E"/>
    <w:rsid w:val="00BF44C4"/>
    <w:rsid w:val="00BF45BE"/>
    <w:rsid w:val="00BF483C"/>
    <w:rsid w:val="00BF4867"/>
    <w:rsid w:val="00BF49F8"/>
    <w:rsid w:val="00BF4B09"/>
    <w:rsid w:val="00BF4C50"/>
    <w:rsid w:val="00BF4E9D"/>
    <w:rsid w:val="00BF4F80"/>
    <w:rsid w:val="00BF4FDE"/>
    <w:rsid w:val="00BF500F"/>
    <w:rsid w:val="00BF51FF"/>
    <w:rsid w:val="00BF5221"/>
    <w:rsid w:val="00BF525B"/>
    <w:rsid w:val="00BF52E2"/>
    <w:rsid w:val="00BF52EE"/>
    <w:rsid w:val="00BF5481"/>
    <w:rsid w:val="00BF5613"/>
    <w:rsid w:val="00BF56C0"/>
    <w:rsid w:val="00BF574F"/>
    <w:rsid w:val="00BF5852"/>
    <w:rsid w:val="00BF5BAD"/>
    <w:rsid w:val="00BF5BDF"/>
    <w:rsid w:val="00BF5C4B"/>
    <w:rsid w:val="00BF5DA1"/>
    <w:rsid w:val="00BF5F44"/>
    <w:rsid w:val="00BF61D4"/>
    <w:rsid w:val="00BF628D"/>
    <w:rsid w:val="00BF659D"/>
    <w:rsid w:val="00BF65E3"/>
    <w:rsid w:val="00BF6748"/>
    <w:rsid w:val="00BF6982"/>
    <w:rsid w:val="00BF69D5"/>
    <w:rsid w:val="00BF69DA"/>
    <w:rsid w:val="00BF6A75"/>
    <w:rsid w:val="00BF6AF8"/>
    <w:rsid w:val="00BF6B7B"/>
    <w:rsid w:val="00BF6E00"/>
    <w:rsid w:val="00BF729B"/>
    <w:rsid w:val="00BF7450"/>
    <w:rsid w:val="00BF75DA"/>
    <w:rsid w:val="00BF764F"/>
    <w:rsid w:val="00BF778E"/>
    <w:rsid w:val="00BF779E"/>
    <w:rsid w:val="00BF77D3"/>
    <w:rsid w:val="00BF78AD"/>
    <w:rsid w:val="00BF79C5"/>
    <w:rsid w:val="00BF7A0C"/>
    <w:rsid w:val="00BF7B54"/>
    <w:rsid w:val="00BF7C5D"/>
    <w:rsid w:val="00BF7CC4"/>
    <w:rsid w:val="00BF7CCC"/>
    <w:rsid w:val="00BF7D40"/>
    <w:rsid w:val="00BF7E20"/>
    <w:rsid w:val="00BF7E56"/>
    <w:rsid w:val="00BF7F0A"/>
    <w:rsid w:val="00BF7F13"/>
    <w:rsid w:val="00C0002A"/>
    <w:rsid w:val="00C000B7"/>
    <w:rsid w:val="00C00153"/>
    <w:rsid w:val="00C001CA"/>
    <w:rsid w:val="00C00218"/>
    <w:rsid w:val="00C00344"/>
    <w:rsid w:val="00C00401"/>
    <w:rsid w:val="00C0050C"/>
    <w:rsid w:val="00C0056E"/>
    <w:rsid w:val="00C005A4"/>
    <w:rsid w:val="00C005E1"/>
    <w:rsid w:val="00C0077D"/>
    <w:rsid w:val="00C0092F"/>
    <w:rsid w:val="00C00C6A"/>
    <w:rsid w:val="00C011BD"/>
    <w:rsid w:val="00C012CC"/>
    <w:rsid w:val="00C012E7"/>
    <w:rsid w:val="00C014AE"/>
    <w:rsid w:val="00C0157C"/>
    <w:rsid w:val="00C018AD"/>
    <w:rsid w:val="00C01903"/>
    <w:rsid w:val="00C019A4"/>
    <w:rsid w:val="00C019C8"/>
    <w:rsid w:val="00C01B3F"/>
    <w:rsid w:val="00C01BD6"/>
    <w:rsid w:val="00C01BE9"/>
    <w:rsid w:val="00C01CBC"/>
    <w:rsid w:val="00C01D53"/>
    <w:rsid w:val="00C01E7D"/>
    <w:rsid w:val="00C01FF1"/>
    <w:rsid w:val="00C022CF"/>
    <w:rsid w:val="00C023B9"/>
    <w:rsid w:val="00C025A3"/>
    <w:rsid w:val="00C025EE"/>
    <w:rsid w:val="00C02723"/>
    <w:rsid w:val="00C02728"/>
    <w:rsid w:val="00C028B9"/>
    <w:rsid w:val="00C028F3"/>
    <w:rsid w:val="00C02AA6"/>
    <w:rsid w:val="00C02B3B"/>
    <w:rsid w:val="00C02B9A"/>
    <w:rsid w:val="00C02DBA"/>
    <w:rsid w:val="00C02E8F"/>
    <w:rsid w:val="00C02EC5"/>
    <w:rsid w:val="00C02FB4"/>
    <w:rsid w:val="00C02FE5"/>
    <w:rsid w:val="00C0306F"/>
    <w:rsid w:val="00C03195"/>
    <w:rsid w:val="00C0331C"/>
    <w:rsid w:val="00C0334E"/>
    <w:rsid w:val="00C0340E"/>
    <w:rsid w:val="00C0359A"/>
    <w:rsid w:val="00C03662"/>
    <w:rsid w:val="00C036EE"/>
    <w:rsid w:val="00C03774"/>
    <w:rsid w:val="00C039B4"/>
    <w:rsid w:val="00C03ACD"/>
    <w:rsid w:val="00C03D2C"/>
    <w:rsid w:val="00C03D86"/>
    <w:rsid w:val="00C03E91"/>
    <w:rsid w:val="00C040C8"/>
    <w:rsid w:val="00C0423E"/>
    <w:rsid w:val="00C0426F"/>
    <w:rsid w:val="00C042BA"/>
    <w:rsid w:val="00C042EC"/>
    <w:rsid w:val="00C04302"/>
    <w:rsid w:val="00C0431A"/>
    <w:rsid w:val="00C04363"/>
    <w:rsid w:val="00C04385"/>
    <w:rsid w:val="00C043D0"/>
    <w:rsid w:val="00C04405"/>
    <w:rsid w:val="00C04422"/>
    <w:rsid w:val="00C047F4"/>
    <w:rsid w:val="00C04841"/>
    <w:rsid w:val="00C04928"/>
    <w:rsid w:val="00C049E2"/>
    <w:rsid w:val="00C04A08"/>
    <w:rsid w:val="00C04A54"/>
    <w:rsid w:val="00C04AA7"/>
    <w:rsid w:val="00C04CAB"/>
    <w:rsid w:val="00C04D70"/>
    <w:rsid w:val="00C04E73"/>
    <w:rsid w:val="00C04EC2"/>
    <w:rsid w:val="00C04EE8"/>
    <w:rsid w:val="00C050CA"/>
    <w:rsid w:val="00C05224"/>
    <w:rsid w:val="00C052DA"/>
    <w:rsid w:val="00C053CD"/>
    <w:rsid w:val="00C0546E"/>
    <w:rsid w:val="00C0564E"/>
    <w:rsid w:val="00C05796"/>
    <w:rsid w:val="00C05862"/>
    <w:rsid w:val="00C05876"/>
    <w:rsid w:val="00C05A19"/>
    <w:rsid w:val="00C05A1E"/>
    <w:rsid w:val="00C05B1B"/>
    <w:rsid w:val="00C05DFD"/>
    <w:rsid w:val="00C05E05"/>
    <w:rsid w:val="00C05E3F"/>
    <w:rsid w:val="00C05EF0"/>
    <w:rsid w:val="00C05F6A"/>
    <w:rsid w:val="00C05F76"/>
    <w:rsid w:val="00C05F84"/>
    <w:rsid w:val="00C0610E"/>
    <w:rsid w:val="00C06196"/>
    <w:rsid w:val="00C06254"/>
    <w:rsid w:val="00C064FF"/>
    <w:rsid w:val="00C06612"/>
    <w:rsid w:val="00C0687B"/>
    <w:rsid w:val="00C06889"/>
    <w:rsid w:val="00C068CD"/>
    <w:rsid w:val="00C068E5"/>
    <w:rsid w:val="00C06ACB"/>
    <w:rsid w:val="00C06C06"/>
    <w:rsid w:val="00C06C17"/>
    <w:rsid w:val="00C06EA5"/>
    <w:rsid w:val="00C06EB0"/>
    <w:rsid w:val="00C06EB1"/>
    <w:rsid w:val="00C06F14"/>
    <w:rsid w:val="00C06F95"/>
    <w:rsid w:val="00C06FEB"/>
    <w:rsid w:val="00C06FED"/>
    <w:rsid w:val="00C07116"/>
    <w:rsid w:val="00C07120"/>
    <w:rsid w:val="00C0713F"/>
    <w:rsid w:val="00C071C9"/>
    <w:rsid w:val="00C0720D"/>
    <w:rsid w:val="00C074AE"/>
    <w:rsid w:val="00C074FC"/>
    <w:rsid w:val="00C0762A"/>
    <w:rsid w:val="00C076AC"/>
    <w:rsid w:val="00C07C35"/>
    <w:rsid w:val="00C07E46"/>
    <w:rsid w:val="00C07F81"/>
    <w:rsid w:val="00C07F9C"/>
    <w:rsid w:val="00C0FC59"/>
    <w:rsid w:val="00C10104"/>
    <w:rsid w:val="00C101BF"/>
    <w:rsid w:val="00C102D0"/>
    <w:rsid w:val="00C10312"/>
    <w:rsid w:val="00C1041D"/>
    <w:rsid w:val="00C104D6"/>
    <w:rsid w:val="00C104EC"/>
    <w:rsid w:val="00C105BE"/>
    <w:rsid w:val="00C10691"/>
    <w:rsid w:val="00C107B3"/>
    <w:rsid w:val="00C107DB"/>
    <w:rsid w:val="00C10911"/>
    <w:rsid w:val="00C10985"/>
    <w:rsid w:val="00C10997"/>
    <w:rsid w:val="00C10B66"/>
    <w:rsid w:val="00C10C50"/>
    <w:rsid w:val="00C10D00"/>
    <w:rsid w:val="00C10D0D"/>
    <w:rsid w:val="00C10D17"/>
    <w:rsid w:val="00C10DEA"/>
    <w:rsid w:val="00C10E49"/>
    <w:rsid w:val="00C10F52"/>
    <w:rsid w:val="00C10FE9"/>
    <w:rsid w:val="00C1103B"/>
    <w:rsid w:val="00C1105A"/>
    <w:rsid w:val="00C110A5"/>
    <w:rsid w:val="00C111DD"/>
    <w:rsid w:val="00C112AB"/>
    <w:rsid w:val="00C11466"/>
    <w:rsid w:val="00C1151B"/>
    <w:rsid w:val="00C11600"/>
    <w:rsid w:val="00C11699"/>
    <w:rsid w:val="00C11892"/>
    <w:rsid w:val="00C118FA"/>
    <w:rsid w:val="00C118FE"/>
    <w:rsid w:val="00C11A6E"/>
    <w:rsid w:val="00C11BDB"/>
    <w:rsid w:val="00C11C18"/>
    <w:rsid w:val="00C11C1A"/>
    <w:rsid w:val="00C11C83"/>
    <w:rsid w:val="00C11CBB"/>
    <w:rsid w:val="00C11D85"/>
    <w:rsid w:val="00C11E03"/>
    <w:rsid w:val="00C11E41"/>
    <w:rsid w:val="00C11E90"/>
    <w:rsid w:val="00C11EB5"/>
    <w:rsid w:val="00C11F06"/>
    <w:rsid w:val="00C11F33"/>
    <w:rsid w:val="00C12075"/>
    <w:rsid w:val="00C120B8"/>
    <w:rsid w:val="00C120C6"/>
    <w:rsid w:val="00C12170"/>
    <w:rsid w:val="00C1228E"/>
    <w:rsid w:val="00C12356"/>
    <w:rsid w:val="00C123CD"/>
    <w:rsid w:val="00C12619"/>
    <w:rsid w:val="00C126B1"/>
    <w:rsid w:val="00C1270D"/>
    <w:rsid w:val="00C12742"/>
    <w:rsid w:val="00C127A1"/>
    <w:rsid w:val="00C128FC"/>
    <w:rsid w:val="00C12B5A"/>
    <w:rsid w:val="00C12D75"/>
    <w:rsid w:val="00C12D89"/>
    <w:rsid w:val="00C12F68"/>
    <w:rsid w:val="00C130E9"/>
    <w:rsid w:val="00C131EB"/>
    <w:rsid w:val="00C13341"/>
    <w:rsid w:val="00C134A7"/>
    <w:rsid w:val="00C1359B"/>
    <w:rsid w:val="00C1362C"/>
    <w:rsid w:val="00C1389A"/>
    <w:rsid w:val="00C138BA"/>
    <w:rsid w:val="00C13AB5"/>
    <w:rsid w:val="00C13B17"/>
    <w:rsid w:val="00C13B26"/>
    <w:rsid w:val="00C13BF1"/>
    <w:rsid w:val="00C13C54"/>
    <w:rsid w:val="00C13CAF"/>
    <w:rsid w:val="00C13D5A"/>
    <w:rsid w:val="00C13E8E"/>
    <w:rsid w:val="00C13EAE"/>
    <w:rsid w:val="00C13F65"/>
    <w:rsid w:val="00C14139"/>
    <w:rsid w:val="00C14281"/>
    <w:rsid w:val="00C1460D"/>
    <w:rsid w:val="00C1499D"/>
    <w:rsid w:val="00C149A8"/>
    <w:rsid w:val="00C149D9"/>
    <w:rsid w:val="00C14B76"/>
    <w:rsid w:val="00C14EAD"/>
    <w:rsid w:val="00C14ECC"/>
    <w:rsid w:val="00C15044"/>
    <w:rsid w:val="00C1505D"/>
    <w:rsid w:val="00C150B2"/>
    <w:rsid w:val="00C151B1"/>
    <w:rsid w:val="00C15227"/>
    <w:rsid w:val="00C1536A"/>
    <w:rsid w:val="00C1546D"/>
    <w:rsid w:val="00C154A6"/>
    <w:rsid w:val="00C15546"/>
    <w:rsid w:val="00C15590"/>
    <w:rsid w:val="00C15597"/>
    <w:rsid w:val="00C155E6"/>
    <w:rsid w:val="00C15657"/>
    <w:rsid w:val="00C15701"/>
    <w:rsid w:val="00C15725"/>
    <w:rsid w:val="00C1587D"/>
    <w:rsid w:val="00C15AAF"/>
    <w:rsid w:val="00C15B88"/>
    <w:rsid w:val="00C15CF6"/>
    <w:rsid w:val="00C15D6F"/>
    <w:rsid w:val="00C15FB1"/>
    <w:rsid w:val="00C16041"/>
    <w:rsid w:val="00C165EA"/>
    <w:rsid w:val="00C16618"/>
    <w:rsid w:val="00C16621"/>
    <w:rsid w:val="00C166B6"/>
    <w:rsid w:val="00C166D8"/>
    <w:rsid w:val="00C16848"/>
    <w:rsid w:val="00C1693B"/>
    <w:rsid w:val="00C169BA"/>
    <w:rsid w:val="00C169D7"/>
    <w:rsid w:val="00C16CBA"/>
    <w:rsid w:val="00C16D6C"/>
    <w:rsid w:val="00C16D96"/>
    <w:rsid w:val="00C16EF5"/>
    <w:rsid w:val="00C16FA7"/>
    <w:rsid w:val="00C17090"/>
    <w:rsid w:val="00C170A4"/>
    <w:rsid w:val="00C17240"/>
    <w:rsid w:val="00C1725B"/>
    <w:rsid w:val="00C17397"/>
    <w:rsid w:val="00C1743E"/>
    <w:rsid w:val="00C174F8"/>
    <w:rsid w:val="00C17569"/>
    <w:rsid w:val="00C17655"/>
    <w:rsid w:val="00C176C6"/>
    <w:rsid w:val="00C17A6C"/>
    <w:rsid w:val="00C17AC5"/>
    <w:rsid w:val="00C17C56"/>
    <w:rsid w:val="00C17C94"/>
    <w:rsid w:val="00C17CA8"/>
    <w:rsid w:val="00C17F29"/>
    <w:rsid w:val="00C17F80"/>
    <w:rsid w:val="00C17F9C"/>
    <w:rsid w:val="00C17FC1"/>
    <w:rsid w:val="00C1A2EB"/>
    <w:rsid w:val="00C2015D"/>
    <w:rsid w:val="00C20172"/>
    <w:rsid w:val="00C204FD"/>
    <w:rsid w:val="00C20858"/>
    <w:rsid w:val="00C20890"/>
    <w:rsid w:val="00C2097E"/>
    <w:rsid w:val="00C209FF"/>
    <w:rsid w:val="00C20A16"/>
    <w:rsid w:val="00C20ACA"/>
    <w:rsid w:val="00C20B82"/>
    <w:rsid w:val="00C20D7A"/>
    <w:rsid w:val="00C20DDB"/>
    <w:rsid w:val="00C20ECA"/>
    <w:rsid w:val="00C20EFD"/>
    <w:rsid w:val="00C20FCC"/>
    <w:rsid w:val="00C20FDA"/>
    <w:rsid w:val="00C21058"/>
    <w:rsid w:val="00C210D7"/>
    <w:rsid w:val="00C21154"/>
    <w:rsid w:val="00C21252"/>
    <w:rsid w:val="00C21329"/>
    <w:rsid w:val="00C21371"/>
    <w:rsid w:val="00C2139A"/>
    <w:rsid w:val="00C21427"/>
    <w:rsid w:val="00C21438"/>
    <w:rsid w:val="00C214BB"/>
    <w:rsid w:val="00C214C2"/>
    <w:rsid w:val="00C214E8"/>
    <w:rsid w:val="00C2153F"/>
    <w:rsid w:val="00C21585"/>
    <w:rsid w:val="00C21659"/>
    <w:rsid w:val="00C2170A"/>
    <w:rsid w:val="00C217E4"/>
    <w:rsid w:val="00C2181E"/>
    <w:rsid w:val="00C218C7"/>
    <w:rsid w:val="00C2191F"/>
    <w:rsid w:val="00C21941"/>
    <w:rsid w:val="00C219B0"/>
    <w:rsid w:val="00C21C39"/>
    <w:rsid w:val="00C21DDF"/>
    <w:rsid w:val="00C21F0C"/>
    <w:rsid w:val="00C21FFF"/>
    <w:rsid w:val="00C22252"/>
    <w:rsid w:val="00C222D4"/>
    <w:rsid w:val="00C2238D"/>
    <w:rsid w:val="00C22443"/>
    <w:rsid w:val="00C22481"/>
    <w:rsid w:val="00C224D2"/>
    <w:rsid w:val="00C225F7"/>
    <w:rsid w:val="00C22800"/>
    <w:rsid w:val="00C22809"/>
    <w:rsid w:val="00C22867"/>
    <w:rsid w:val="00C2289E"/>
    <w:rsid w:val="00C22992"/>
    <w:rsid w:val="00C22AB3"/>
    <w:rsid w:val="00C22B1F"/>
    <w:rsid w:val="00C22B80"/>
    <w:rsid w:val="00C22BC4"/>
    <w:rsid w:val="00C22E40"/>
    <w:rsid w:val="00C2304E"/>
    <w:rsid w:val="00C23243"/>
    <w:rsid w:val="00C233DB"/>
    <w:rsid w:val="00C234A1"/>
    <w:rsid w:val="00C23544"/>
    <w:rsid w:val="00C23586"/>
    <w:rsid w:val="00C2361D"/>
    <w:rsid w:val="00C23A03"/>
    <w:rsid w:val="00C23AF7"/>
    <w:rsid w:val="00C23C67"/>
    <w:rsid w:val="00C23E23"/>
    <w:rsid w:val="00C23F99"/>
    <w:rsid w:val="00C23F9B"/>
    <w:rsid w:val="00C23FDF"/>
    <w:rsid w:val="00C24151"/>
    <w:rsid w:val="00C2434E"/>
    <w:rsid w:val="00C24519"/>
    <w:rsid w:val="00C24725"/>
    <w:rsid w:val="00C2481B"/>
    <w:rsid w:val="00C249B6"/>
    <w:rsid w:val="00C249F5"/>
    <w:rsid w:val="00C24A77"/>
    <w:rsid w:val="00C24B7B"/>
    <w:rsid w:val="00C24C91"/>
    <w:rsid w:val="00C24CE9"/>
    <w:rsid w:val="00C24E7A"/>
    <w:rsid w:val="00C250A2"/>
    <w:rsid w:val="00C25252"/>
    <w:rsid w:val="00C253F0"/>
    <w:rsid w:val="00C25407"/>
    <w:rsid w:val="00C25430"/>
    <w:rsid w:val="00C25775"/>
    <w:rsid w:val="00C25806"/>
    <w:rsid w:val="00C2582D"/>
    <w:rsid w:val="00C2588E"/>
    <w:rsid w:val="00C25988"/>
    <w:rsid w:val="00C25A11"/>
    <w:rsid w:val="00C25A27"/>
    <w:rsid w:val="00C25A98"/>
    <w:rsid w:val="00C25C1D"/>
    <w:rsid w:val="00C25C7B"/>
    <w:rsid w:val="00C25C9B"/>
    <w:rsid w:val="00C25CB9"/>
    <w:rsid w:val="00C25CD6"/>
    <w:rsid w:val="00C25D2C"/>
    <w:rsid w:val="00C25D31"/>
    <w:rsid w:val="00C25D47"/>
    <w:rsid w:val="00C25D51"/>
    <w:rsid w:val="00C25DB3"/>
    <w:rsid w:val="00C26020"/>
    <w:rsid w:val="00C261AF"/>
    <w:rsid w:val="00C261CF"/>
    <w:rsid w:val="00C26262"/>
    <w:rsid w:val="00C26347"/>
    <w:rsid w:val="00C26441"/>
    <w:rsid w:val="00C26464"/>
    <w:rsid w:val="00C2646D"/>
    <w:rsid w:val="00C264D0"/>
    <w:rsid w:val="00C2677F"/>
    <w:rsid w:val="00C26AC3"/>
    <w:rsid w:val="00C26BBA"/>
    <w:rsid w:val="00C26BFE"/>
    <w:rsid w:val="00C26DF0"/>
    <w:rsid w:val="00C26E34"/>
    <w:rsid w:val="00C26E5F"/>
    <w:rsid w:val="00C26F9B"/>
    <w:rsid w:val="00C27095"/>
    <w:rsid w:val="00C27177"/>
    <w:rsid w:val="00C27237"/>
    <w:rsid w:val="00C2723E"/>
    <w:rsid w:val="00C2753D"/>
    <w:rsid w:val="00C27605"/>
    <w:rsid w:val="00C27629"/>
    <w:rsid w:val="00C27650"/>
    <w:rsid w:val="00C276A3"/>
    <w:rsid w:val="00C276D2"/>
    <w:rsid w:val="00C277D9"/>
    <w:rsid w:val="00C27915"/>
    <w:rsid w:val="00C27AA2"/>
    <w:rsid w:val="00C27B01"/>
    <w:rsid w:val="00C27BAF"/>
    <w:rsid w:val="00C27DAB"/>
    <w:rsid w:val="00C27E48"/>
    <w:rsid w:val="00C27F6C"/>
    <w:rsid w:val="00C3010A"/>
    <w:rsid w:val="00C302FB"/>
    <w:rsid w:val="00C30419"/>
    <w:rsid w:val="00C306ED"/>
    <w:rsid w:val="00C30715"/>
    <w:rsid w:val="00C30744"/>
    <w:rsid w:val="00C30AB5"/>
    <w:rsid w:val="00C30B8B"/>
    <w:rsid w:val="00C30CFC"/>
    <w:rsid w:val="00C30D40"/>
    <w:rsid w:val="00C30D57"/>
    <w:rsid w:val="00C30D58"/>
    <w:rsid w:val="00C30E24"/>
    <w:rsid w:val="00C30EA2"/>
    <w:rsid w:val="00C31130"/>
    <w:rsid w:val="00C3113C"/>
    <w:rsid w:val="00C311E5"/>
    <w:rsid w:val="00C31309"/>
    <w:rsid w:val="00C31879"/>
    <w:rsid w:val="00C319AF"/>
    <w:rsid w:val="00C31A69"/>
    <w:rsid w:val="00C31A72"/>
    <w:rsid w:val="00C31B47"/>
    <w:rsid w:val="00C31BB6"/>
    <w:rsid w:val="00C31CFA"/>
    <w:rsid w:val="00C31DB9"/>
    <w:rsid w:val="00C31DBC"/>
    <w:rsid w:val="00C321DB"/>
    <w:rsid w:val="00C32484"/>
    <w:rsid w:val="00C3259E"/>
    <w:rsid w:val="00C326FA"/>
    <w:rsid w:val="00C3276A"/>
    <w:rsid w:val="00C3284C"/>
    <w:rsid w:val="00C3287D"/>
    <w:rsid w:val="00C328DB"/>
    <w:rsid w:val="00C32952"/>
    <w:rsid w:val="00C32C00"/>
    <w:rsid w:val="00C32C8D"/>
    <w:rsid w:val="00C32DB9"/>
    <w:rsid w:val="00C32DC2"/>
    <w:rsid w:val="00C32EB2"/>
    <w:rsid w:val="00C32EED"/>
    <w:rsid w:val="00C32FFD"/>
    <w:rsid w:val="00C3308A"/>
    <w:rsid w:val="00C332CE"/>
    <w:rsid w:val="00C333AD"/>
    <w:rsid w:val="00C3371C"/>
    <w:rsid w:val="00C3379A"/>
    <w:rsid w:val="00C3381D"/>
    <w:rsid w:val="00C338FF"/>
    <w:rsid w:val="00C33CBD"/>
    <w:rsid w:val="00C33D76"/>
    <w:rsid w:val="00C33F21"/>
    <w:rsid w:val="00C33FB6"/>
    <w:rsid w:val="00C34182"/>
    <w:rsid w:val="00C34264"/>
    <w:rsid w:val="00C342E1"/>
    <w:rsid w:val="00C34322"/>
    <w:rsid w:val="00C34355"/>
    <w:rsid w:val="00C34500"/>
    <w:rsid w:val="00C34623"/>
    <w:rsid w:val="00C3467D"/>
    <w:rsid w:val="00C34701"/>
    <w:rsid w:val="00C3473D"/>
    <w:rsid w:val="00C34778"/>
    <w:rsid w:val="00C348C2"/>
    <w:rsid w:val="00C34908"/>
    <w:rsid w:val="00C34932"/>
    <w:rsid w:val="00C34991"/>
    <w:rsid w:val="00C34B5E"/>
    <w:rsid w:val="00C34C36"/>
    <w:rsid w:val="00C34D33"/>
    <w:rsid w:val="00C34E03"/>
    <w:rsid w:val="00C34E13"/>
    <w:rsid w:val="00C350E8"/>
    <w:rsid w:val="00C35114"/>
    <w:rsid w:val="00C35125"/>
    <w:rsid w:val="00C35197"/>
    <w:rsid w:val="00C35278"/>
    <w:rsid w:val="00C35329"/>
    <w:rsid w:val="00C3537A"/>
    <w:rsid w:val="00C35412"/>
    <w:rsid w:val="00C354BC"/>
    <w:rsid w:val="00C354CA"/>
    <w:rsid w:val="00C354F2"/>
    <w:rsid w:val="00C355DB"/>
    <w:rsid w:val="00C356FE"/>
    <w:rsid w:val="00C358CF"/>
    <w:rsid w:val="00C35A0F"/>
    <w:rsid w:val="00C35ADC"/>
    <w:rsid w:val="00C35BC5"/>
    <w:rsid w:val="00C35E41"/>
    <w:rsid w:val="00C35E6E"/>
    <w:rsid w:val="00C360FC"/>
    <w:rsid w:val="00C3614E"/>
    <w:rsid w:val="00C36547"/>
    <w:rsid w:val="00C3660A"/>
    <w:rsid w:val="00C36725"/>
    <w:rsid w:val="00C36B84"/>
    <w:rsid w:val="00C36EB0"/>
    <w:rsid w:val="00C36ED9"/>
    <w:rsid w:val="00C36EE8"/>
    <w:rsid w:val="00C37125"/>
    <w:rsid w:val="00C3723E"/>
    <w:rsid w:val="00C37252"/>
    <w:rsid w:val="00C3725C"/>
    <w:rsid w:val="00C372D2"/>
    <w:rsid w:val="00C3732B"/>
    <w:rsid w:val="00C37417"/>
    <w:rsid w:val="00C3746E"/>
    <w:rsid w:val="00C3749D"/>
    <w:rsid w:val="00C374A0"/>
    <w:rsid w:val="00C374DA"/>
    <w:rsid w:val="00C374EC"/>
    <w:rsid w:val="00C376E6"/>
    <w:rsid w:val="00C37990"/>
    <w:rsid w:val="00C37B4D"/>
    <w:rsid w:val="00C37EAD"/>
    <w:rsid w:val="00C37EDF"/>
    <w:rsid w:val="00C37F18"/>
    <w:rsid w:val="00C4006F"/>
    <w:rsid w:val="00C40339"/>
    <w:rsid w:val="00C40505"/>
    <w:rsid w:val="00C4062D"/>
    <w:rsid w:val="00C40677"/>
    <w:rsid w:val="00C406E5"/>
    <w:rsid w:val="00C4072E"/>
    <w:rsid w:val="00C4090E"/>
    <w:rsid w:val="00C40A92"/>
    <w:rsid w:val="00C40BDD"/>
    <w:rsid w:val="00C40D5E"/>
    <w:rsid w:val="00C40E5E"/>
    <w:rsid w:val="00C40EC8"/>
    <w:rsid w:val="00C41023"/>
    <w:rsid w:val="00C410E5"/>
    <w:rsid w:val="00C4121B"/>
    <w:rsid w:val="00C41249"/>
    <w:rsid w:val="00C4132D"/>
    <w:rsid w:val="00C413B0"/>
    <w:rsid w:val="00C414B0"/>
    <w:rsid w:val="00C4162D"/>
    <w:rsid w:val="00C4169F"/>
    <w:rsid w:val="00C419A2"/>
    <w:rsid w:val="00C419D6"/>
    <w:rsid w:val="00C41C1F"/>
    <w:rsid w:val="00C41C91"/>
    <w:rsid w:val="00C41CD3"/>
    <w:rsid w:val="00C41EB6"/>
    <w:rsid w:val="00C41EE0"/>
    <w:rsid w:val="00C41F6E"/>
    <w:rsid w:val="00C41FC1"/>
    <w:rsid w:val="00C420F1"/>
    <w:rsid w:val="00C42181"/>
    <w:rsid w:val="00C42209"/>
    <w:rsid w:val="00C4249E"/>
    <w:rsid w:val="00C424A2"/>
    <w:rsid w:val="00C425B2"/>
    <w:rsid w:val="00C426FC"/>
    <w:rsid w:val="00C4282B"/>
    <w:rsid w:val="00C4294B"/>
    <w:rsid w:val="00C429A7"/>
    <w:rsid w:val="00C42A49"/>
    <w:rsid w:val="00C42A96"/>
    <w:rsid w:val="00C42B67"/>
    <w:rsid w:val="00C42BC2"/>
    <w:rsid w:val="00C42D5F"/>
    <w:rsid w:val="00C42F03"/>
    <w:rsid w:val="00C42FEE"/>
    <w:rsid w:val="00C430AC"/>
    <w:rsid w:val="00C430D0"/>
    <w:rsid w:val="00C431DB"/>
    <w:rsid w:val="00C4336F"/>
    <w:rsid w:val="00C434A6"/>
    <w:rsid w:val="00C434B6"/>
    <w:rsid w:val="00C4355E"/>
    <w:rsid w:val="00C435BD"/>
    <w:rsid w:val="00C435E2"/>
    <w:rsid w:val="00C4367D"/>
    <w:rsid w:val="00C4388B"/>
    <w:rsid w:val="00C438B6"/>
    <w:rsid w:val="00C43901"/>
    <w:rsid w:val="00C43C0B"/>
    <w:rsid w:val="00C43CC0"/>
    <w:rsid w:val="00C43CCE"/>
    <w:rsid w:val="00C43D6E"/>
    <w:rsid w:val="00C440CD"/>
    <w:rsid w:val="00C4445E"/>
    <w:rsid w:val="00C4449F"/>
    <w:rsid w:val="00C44658"/>
    <w:rsid w:val="00C446AF"/>
    <w:rsid w:val="00C44766"/>
    <w:rsid w:val="00C44774"/>
    <w:rsid w:val="00C44AB3"/>
    <w:rsid w:val="00C44B9F"/>
    <w:rsid w:val="00C44BD7"/>
    <w:rsid w:val="00C44C11"/>
    <w:rsid w:val="00C44D5D"/>
    <w:rsid w:val="00C44ED7"/>
    <w:rsid w:val="00C44F07"/>
    <w:rsid w:val="00C44F2E"/>
    <w:rsid w:val="00C44F3A"/>
    <w:rsid w:val="00C44FF5"/>
    <w:rsid w:val="00C45037"/>
    <w:rsid w:val="00C4504F"/>
    <w:rsid w:val="00C45130"/>
    <w:rsid w:val="00C45186"/>
    <w:rsid w:val="00C451F2"/>
    <w:rsid w:val="00C45265"/>
    <w:rsid w:val="00C453FE"/>
    <w:rsid w:val="00C45415"/>
    <w:rsid w:val="00C454B9"/>
    <w:rsid w:val="00C454D3"/>
    <w:rsid w:val="00C4554F"/>
    <w:rsid w:val="00C4570D"/>
    <w:rsid w:val="00C457BD"/>
    <w:rsid w:val="00C457F6"/>
    <w:rsid w:val="00C45AE7"/>
    <w:rsid w:val="00C45BD2"/>
    <w:rsid w:val="00C45CA8"/>
    <w:rsid w:val="00C45D7D"/>
    <w:rsid w:val="00C45F03"/>
    <w:rsid w:val="00C45F1E"/>
    <w:rsid w:val="00C46006"/>
    <w:rsid w:val="00C46040"/>
    <w:rsid w:val="00C46187"/>
    <w:rsid w:val="00C461E4"/>
    <w:rsid w:val="00C462C8"/>
    <w:rsid w:val="00C4641B"/>
    <w:rsid w:val="00C46454"/>
    <w:rsid w:val="00C46512"/>
    <w:rsid w:val="00C46635"/>
    <w:rsid w:val="00C4666C"/>
    <w:rsid w:val="00C4675F"/>
    <w:rsid w:val="00C4680F"/>
    <w:rsid w:val="00C4694A"/>
    <w:rsid w:val="00C469C5"/>
    <w:rsid w:val="00C46A29"/>
    <w:rsid w:val="00C46B4F"/>
    <w:rsid w:val="00C46CFA"/>
    <w:rsid w:val="00C46CFD"/>
    <w:rsid w:val="00C47323"/>
    <w:rsid w:val="00C4763A"/>
    <w:rsid w:val="00C476AE"/>
    <w:rsid w:val="00C4779D"/>
    <w:rsid w:val="00C478FF"/>
    <w:rsid w:val="00C47A1A"/>
    <w:rsid w:val="00C47A25"/>
    <w:rsid w:val="00C47AB2"/>
    <w:rsid w:val="00C47B0D"/>
    <w:rsid w:val="00C47B58"/>
    <w:rsid w:val="00C47B7E"/>
    <w:rsid w:val="00C47C8C"/>
    <w:rsid w:val="00C47F27"/>
    <w:rsid w:val="00C47F77"/>
    <w:rsid w:val="00C47F84"/>
    <w:rsid w:val="00C4B7F6"/>
    <w:rsid w:val="00C4D2AD"/>
    <w:rsid w:val="00C5015E"/>
    <w:rsid w:val="00C503C1"/>
    <w:rsid w:val="00C504CA"/>
    <w:rsid w:val="00C50615"/>
    <w:rsid w:val="00C506BE"/>
    <w:rsid w:val="00C50833"/>
    <w:rsid w:val="00C508ED"/>
    <w:rsid w:val="00C50A3A"/>
    <w:rsid w:val="00C50AA2"/>
    <w:rsid w:val="00C50C47"/>
    <w:rsid w:val="00C50D34"/>
    <w:rsid w:val="00C50D8A"/>
    <w:rsid w:val="00C50FBB"/>
    <w:rsid w:val="00C51190"/>
    <w:rsid w:val="00C512C1"/>
    <w:rsid w:val="00C51448"/>
    <w:rsid w:val="00C514E0"/>
    <w:rsid w:val="00C5151F"/>
    <w:rsid w:val="00C51788"/>
    <w:rsid w:val="00C51954"/>
    <w:rsid w:val="00C51976"/>
    <w:rsid w:val="00C51A73"/>
    <w:rsid w:val="00C51D3D"/>
    <w:rsid w:val="00C51E34"/>
    <w:rsid w:val="00C51E6D"/>
    <w:rsid w:val="00C52183"/>
    <w:rsid w:val="00C5234F"/>
    <w:rsid w:val="00C5258B"/>
    <w:rsid w:val="00C525DA"/>
    <w:rsid w:val="00C5271A"/>
    <w:rsid w:val="00C52786"/>
    <w:rsid w:val="00C52890"/>
    <w:rsid w:val="00C5295A"/>
    <w:rsid w:val="00C52992"/>
    <w:rsid w:val="00C52E09"/>
    <w:rsid w:val="00C52E96"/>
    <w:rsid w:val="00C52F39"/>
    <w:rsid w:val="00C52FBB"/>
    <w:rsid w:val="00C530F2"/>
    <w:rsid w:val="00C53128"/>
    <w:rsid w:val="00C5312A"/>
    <w:rsid w:val="00C53150"/>
    <w:rsid w:val="00C532BE"/>
    <w:rsid w:val="00C532E4"/>
    <w:rsid w:val="00C53593"/>
    <w:rsid w:val="00C536CE"/>
    <w:rsid w:val="00C5381F"/>
    <w:rsid w:val="00C53AAC"/>
    <w:rsid w:val="00C53AD5"/>
    <w:rsid w:val="00C53AF0"/>
    <w:rsid w:val="00C53B09"/>
    <w:rsid w:val="00C53B74"/>
    <w:rsid w:val="00C53BD3"/>
    <w:rsid w:val="00C53E71"/>
    <w:rsid w:val="00C54011"/>
    <w:rsid w:val="00C54113"/>
    <w:rsid w:val="00C5424E"/>
    <w:rsid w:val="00C5431C"/>
    <w:rsid w:val="00C54381"/>
    <w:rsid w:val="00C54388"/>
    <w:rsid w:val="00C5439A"/>
    <w:rsid w:val="00C5441C"/>
    <w:rsid w:val="00C54503"/>
    <w:rsid w:val="00C545CE"/>
    <w:rsid w:val="00C549CC"/>
    <w:rsid w:val="00C54A78"/>
    <w:rsid w:val="00C54AA9"/>
    <w:rsid w:val="00C54C30"/>
    <w:rsid w:val="00C54C60"/>
    <w:rsid w:val="00C54C95"/>
    <w:rsid w:val="00C54DDA"/>
    <w:rsid w:val="00C54DE9"/>
    <w:rsid w:val="00C550DC"/>
    <w:rsid w:val="00C5536C"/>
    <w:rsid w:val="00C55387"/>
    <w:rsid w:val="00C554B5"/>
    <w:rsid w:val="00C5552F"/>
    <w:rsid w:val="00C5565E"/>
    <w:rsid w:val="00C55666"/>
    <w:rsid w:val="00C556A2"/>
    <w:rsid w:val="00C5593D"/>
    <w:rsid w:val="00C55A7A"/>
    <w:rsid w:val="00C55B47"/>
    <w:rsid w:val="00C55B95"/>
    <w:rsid w:val="00C55C22"/>
    <w:rsid w:val="00C55C6E"/>
    <w:rsid w:val="00C55C79"/>
    <w:rsid w:val="00C55C7A"/>
    <w:rsid w:val="00C55C88"/>
    <w:rsid w:val="00C55DF2"/>
    <w:rsid w:val="00C55FF2"/>
    <w:rsid w:val="00C567A1"/>
    <w:rsid w:val="00C56A45"/>
    <w:rsid w:val="00C56A4D"/>
    <w:rsid w:val="00C56BDB"/>
    <w:rsid w:val="00C56F85"/>
    <w:rsid w:val="00C5714B"/>
    <w:rsid w:val="00C57208"/>
    <w:rsid w:val="00C57294"/>
    <w:rsid w:val="00C57299"/>
    <w:rsid w:val="00C5729D"/>
    <w:rsid w:val="00C572AC"/>
    <w:rsid w:val="00C572FD"/>
    <w:rsid w:val="00C573C0"/>
    <w:rsid w:val="00C574FA"/>
    <w:rsid w:val="00C578A0"/>
    <w:rsid w:val="00C57BF1"/>
    <w:rsid w:val="00C57C81"/>
    <w:rsid w:val="00C57D4D"/>
    <w:rsid w:val="00C57D55"/>
    <w:rsid w:val="00C57DD0"/>
    <w:rsid w:val="00C57FC2"/>
    <w:rsid w:val="00C60053"/>
    <w:rsid w:val="00C600E6"/>
    <w:rsid w:val="00C6013F"/>
    <w:rsid w:val="00C602D8"/>
    <w:rsid w:val="00C604A1"/>
    <w:rsid w:val="00C604DF"/>
    <w:rsid w:val="00C60545"/>
    <w:rsid w:val="00C60674"/>
    <w:rsid w:val="00C607A2"/>
    <w:rsid w:val="00C607B9"/>
    <w:rsid w:val="00C6080B"/>
    <w:rsid w:val="00C6085A"/>
    <w:rsid w:val="00C608C4"/>
    <w:rsid w:val="00C60A8E"/>
    <w:rsid w:val="00C60AEC"/>
    <w:rsid w:val="00C60B49"/>
    <w:rsid w:val="00C60BD6"/>
    <w:rsid w:val="00C60C40"/>
    <w:rsid w:val="00C60CA6"/>
    <w:rsid w:val="00C60E53"/>
    <w:rsid w:val="00C60EC9"/>
    <w:rsid w:val="00C60EE9"/>
    <w:rsid w:val="00C60FBE"/>
    <w:rsid w:val="00C61117"/>
    <w:rsid w:val="00C611DC"/>
    <w:rsid w:val="00C61204"/>
    <w:rsid w:val="00C612A8"/>
    <w:rsid w:val="00C612AB"/>
    <w:rsid w:val="00C612C5"/>
    <w:rsid w:val="00C612C8"/>
    <w:rsid w:val="00C612E1"/>
    <w:rsid w:val="00C6137C"/>
    <w:rsid w:val="00C6144C"/>
    <w:rsid w:val="00C61473"/>
    <w:rsid w:val="00C6157F"/>
    <w:rsid w:val="00C617F2"/>
    <w:rsid w:val="00C6196F"/>
    <w:rsid w:val="00C619C6"/>
    <w:rsid w:val="00C619EA"/>
    <w:rsid w:val="00C61B0A"/>
    <w:rsid w:val="00C61CCA"/>
    <w:rsid w:val="00C61D30"/>
    <w:rsid w:val="00C61DB1"/>
    <w:rsid w:val="00C61F29"/>
    <w:rsid w:val="00C61F30"/>
    <w:rsid w:val="00C61F4D"/>
    <w:rsid w:val="00C6220A"/>
    <w:rsid w:val="00C62263"/>
    <w:rsid w:val="00C623C4"/>
    <w:rsid w:val="00C6250C"/>
    <w:rsid w:val="00C6269B"/>
    <w:rsid w:val="00C62784"/>
    <w:rsid w:val="00C62997"/>
    <w:rsid w:val="00C629AE"/>
    <w:rsid w:val="00C62A8A"/>
    <w:rsid w:val="00C62B19"/>
    <w:rsid w:val="00C62B33"/>
    <w:rsid w:val="00C62BDD"/>
    <w:rsid w:val="00C62C7E"/>
    <w:rsid w:val="00C62D14"/>
    <w:rsid w:val="00C62D8E"/>
    <w:rsid w:val="00C6308F"/>
    <w:rsid w:val="00C630C8"/>
    <w:rsid w:val="00C63229"/>
    <w:rsid w:val="00C633AC"/>
    <w:rsid w:val="00C63533"/>
    <w:rsid w:val="00C63730"/>
    <w:rsid w:val="00C6385F"/>
    <w:rsid w:val="00C638C9"/>
    <w:rsid w:val="00C63A69"/>
    <w:rsid w:val="00C63AAC"/>
    <w:rsid w:val="00C63B91"/>
    <w:rsid w:val="00C63C4B"/>
    <w:rsid w:val="00C63CE1"/>
    <w:rsid w:val="00C63CEA"/>
    <w:rsid w:val="00C63FEB"/>
    <w:rsid w:val="00C6401E"/>
    <w:rsid w:val="00C640D3"/>
    <w:rsid w:val="00C641C9"/>
    <w:rsid w:val="00C64463"/>
    <w:rsid w:val="00C64514"/>
    <w:rsid w:val="00C646EB"/>
    <w:rsid w:val="00C64765"/>
    <w:rsid w:val="00C647F5"/>
    <w:rsid w:val="00C64C47"/>
    <w:rsid w:val="00C64D01"/>
    <w:rsid w:val="00C64D8A"/>
    <w:rsid w:val="00C64E24"/>
    <w:rsid w:val="00C64E25"/>
    <w:rsid w:val="00C64EB0"/>
    <w:rsid w:val="00C64EEE"/>
    <w:rsid w:val="00C6505F"/>
    <w:rsid w:val="00C650AD"/>
    <w:rsid w:val="00C652D3"/>
    <w:rsid w:val="00C6530F"/>
    <w:rsid w:val="00C65563"/>
    <w:rsid w:val="00C65576"/>
    <w:rsid w:val="00C657E5"/>
    <w:rsid w:val="00C657F9"/>
    <w:rsid w:val="00C65864"/>
    <w:rsid w:val="00C658F8"/>
    <w:rsid w:val="00C6593E"/>
    <w:rsid w:val="00C65963"/>
    <w:rsid w:val="00C65A04"/>
    <w:rsid w:val="00C65A08"/>
    <w:rsid w:val="00C65A34"/>
    <w:rsid w:val="00C65BB5"/>
    <w:rsid w:val="00C65C8B"/>
    <w:rsid w:val="00C65C94"/>
    <w:rsid w:val="00C65C9E"/>
    <w:rsid w:val="00C66001"/>
    <w:rsid w:val="00C66040"/>
    <w:rsid w:val="00C6619D"/>
    <w:rsid w:val="00C661F0"/>
    <w:rsid w:val="00C6639A"/>
    <w:rsid w:val="00C663E1"/>
    <w:rsid w:val="00C66401"/>
    <w:rsid w:val="00C6647B"/>
    <w:rsid w:val="00C66491"/>
    <w:rsid w:val="00C6668F"/>
    <w:rsid w:val="00C666AD"/>
    <w:rsid w:val="00C66779"/>
    <w:rsid w:val="00C66840"/>
    <w:rsid w:val="00C66888"/>
    <w:rsid w:val="00C6694C"/>
    <w:rsid w:val="00C66957"/>
    <w:rsid w:val="00C66982"/>
    <w:rsid w:val="00C669B0"/>
    <w:rsid w:val="00C669F1"/>
    <w:rsid w:val="00C66AF3"/>
    <w:rsid w:val="00C66E8E"/>
    <w:rsid w:val="00C66EA9"/>
    <w:rsid w:val="00C66EE8"/>
    <w:rsid w:val="00C66F78"/>
    <w:rsid w:val="00C67184"/>
    <w:rsid w:val="00C67302"/>
    <w:rsid w:val="00C67341"/>
    <w:rsid w:val="00C673AA"/>
    <w:rsid w:val="00C6743C"/>
    <w:rsid w:val="00C67455"/>
    <w:rsid w:val="00C67641"/>
    <w:rsid w:val="00C6794A"/>
    <w:rsid w:val="00C6795F"/>
    <w:rsid w:val="00C679F2"/>
    <w:rsid w:val="00C67C4B"/>
    <w:rsid w:val="00C67D43"/>
    <w:rsid w:val="00C67DDA"/>
    <w:rsid w:val="00C67F13"/>
    <w:rsid w:val="00C67F64"/>
    <w:rsid w:val="00C70058"/>
    <w:rsid w:val="00C700CE"/>
    <w:rsid w:val="00C700D1"/>
    <w:rsid w:val="00C7012E"/>
    <w:rsid w:val="00C701E2"/>
    <w:rsid w:val="00C7021E"/>
    <w:rsid w:val="00C702F8"/>
    <w:rsid w:val="00C703F9"/>
    <w:rsid w:val="00C70481"/>
    <w:rsid w:val="00C704AB"/>
    <w:rsid w:val="00C7051B"/>
    <w:rsid w:val="00C705F6"/>
    <w:rsid w:val="00C7077C"/>
    <w:rsid w:val="00C70922"/>
    <w:rsid w:val="00C70B4C"/>
    <w:rsid w:val="00C70BD5"/>
    <w:rsid w:val="00C70C2A"/>
    <w:rsid w:val="00C70C71"/>
    <w:rsid w:val="00C70CE6"/>
    <w:rsid w:val="00C70D12"/>
    <w:rsid w:val="00C70DD0"/>
    <w:rsid w:val="00C70EA9"/>
    <w:rsid w:val="00C70EB3"/>
    <w:rsid w:val="00C70F59"/>
    <w:rsid w:val="00C710CB"/>
    <w:rsid w:val="00C7145A"/>
    <w:rsid w:val="00C71526"/>
    <w:rsid w:val="00C715E7"/>
    <w:rsid w:val="00C71667"/>
    <w:rsid w:val="00C719B1"/>
    <w:rsid w:val="00C71B08"/>
    <w:rsid w:val="00C71B35"/>
    <w:rsid w:val="00C71C02"/>
    <w:rsid w:val="00C71C9F"/>
    <w:rsid w:val="00C71F15"/>
    <w:rsid w:val="00C71F5A"/>
    <w:rsid w:val="00C71F76"/>
    <w:rsid w:val="00C720D8"/>
    <w:rsid w:val="00C720FB"/>
    <w:rsid w:val="00C723F5"/>
    <w:rsid w:val="00C72544"/>
    <w:rsid w:val="00C725BB"/>
    <w:rsid w:val="00C726A4"/>
    <w:rsid w:val="00C7277C"/>
    <w:rsid w:val="00C727A8"/>
    <w:rsid w:val="00C7289C"/>
    <w:rsid w:val="00C72923"/>
    <w:rsid w:val="00C729B1"/>
    <w:rsid w:val="00C729E7"/>
    <w:rsid w:val="00C729EE"/>
    <w:rsid w:val="00C72B14"/>
    <w:rsid w:val="00C72D72"/>
    <w:rsid w:val="00C72F54"/>
    <w:rsid w:val="00C73122"/>
    <w:rsid w:val="00C731F7"/>
    <w:rsid w:val="00C73415"/>
    <w:rsid w:val="00C734D0"/>
    <w:rsid w:val="00C735A0"/>
    <w:rsid w:val="00C735AE"/>
    <w:rsid w:val="00C73603"/>
    <w:rsid w:val="00C738D2"/>
    <w:rsid w:val="00C738ED"/>
    <w:rsid w:val="00C73946"/>
    <w:rsid w:val="00C73A14"/>
    <w:rsid w:val="00C73C3A"/>
    <w:rsid w:val="00C73E5A"/>
    <w:rsid w:val="00C73F14"/>
    <w:rsid w:val="00C73F49"/>
    <w:rsid w:val="00C73F79"/>
    <w:rsid w:val="00C74001"/>
    <w:rsid w:val="00C740D0"/>
    <w:rsid w:val="00C74126"/>
    <w:rsid w:val="00C74148"/>
    <w:rsid w:val="00C745FB"/>
    <w:rsid w:val="00C746AF"/>
    <w:rsid w:val="00C74A6B"/>
    <w:rsid w:val="00C74B5B"/>
    <w:rsid w:val="00C74BE7"/>
    <w:rsid w:val="00C74D4B"/>
    <w:rsid w:val="00C74ECC"/>
    <w:rsid w:val="00C75078"/>
    <w:rsid w:val="00C750BF"/>
    <w:rsid w:val="00C750F4"/>
    <w:rsid w:val="00C75333"/>
    <w:rsid w:val="00C7533E"/>
    <w:rsid w:val="00C75419"/>
    <w:rsid w:val="00C754D6"/>
    <w:rsid w:val="00C755BE"/>
    <w:rsid w:val="00C75650"/>
    <w:rsid w:val="00C75747"/>
    <w:rsid w:val="00C7575A"/>
    <w:rsid w:val="00C75822"/>
    <w:rsid w:val="00C75947"/>
    <w:rsid w:val="00C75AE4"/>
    <w:rsid w:val="00C75B24"/>
    <w:rsid w:val="00C75C0E"/>
    <w:rsid w:val="00C76077"/>
    <w:rsid w:val="00C760D8"/>
    <w:rsid w:val="00C762BE"/>
    <w:rsid w:val="00C76308"/>
    <w:rsid w:val="00C7639F"/>
    <w:rsid w:val="00C763BB"/>
    <w:rsid w:val="00C76455"/>
    <w:rsid w:val="00C76587"/>
    <w:rsid w:val="00C7671E"/>
    <w:rsid w:val="00C76ACC"/>
    <w:rsid w:val="00C76AE1"/>
    <w:rsid w:val="00C76BB2"/>
    <w:rsid w:val="00C76E0B"/>
    <w:rsid w:val="00C76E35"/>
    <w:rsid w:val="00C76E3D"/>
    <w:rsid w:val="00C76F5D"/>
    <w:rsid w:val="00C76FAD"/>
    <w:rsid w:val="00C76FBD"/>
    <w:rsid w:val="00C770A2"/>
    <w:rsid w:val="00C770C6"/>
    <w:rsid w:val="00C7713D"/>
    <w:rsid w:val="00C77151"/>
    <w:rsid w:val="00C771D3"/>
    <w:rsid w:val="00C7720E"/>
    <w:rsid w:val="00C7734C"/>
    <w:rsid w:val="00C774C4"/>
    <w:rsid w:val="00C7775B"/>
    <w:rsid w:val="00C7776A"/>
    <w:rsid w:val="00C7791F"/>
    <w:rsid w:val="00C77966"/>
    <w:rsid w:val="00C77A3D"/>
    <w:rsid w:val="00C77AD8"/>
    <w:rsid w:val="00C77BC7"/>
    <w:rsid w:val="00C77C57"/>
    <w:rsid w:val="00C77D52"/>
    <w:rsid w:val="00C77E0B"/>
    <w:rsid w:val="00C80088"/>
    <w:rsid w:val="00C8024C"/>
    <w:rsid w:val="00C80272"/>
    <w:rsid w:val="00C80306"/>
    <w:rsid w:val="00C805A3"/>
    <w:rsid w:val="00C807B2"/>
    <w:rsid w:val="00C80A31"/>
    <w:rsid w:val="00C80A6D"/>
    <w:rsid w:val="00C80B42"/>
    <w:rsid w:val="00C80D58"/>
    <w:rsid w:val="00C80E19"/>
    <w:rsid w:val="00C80E4F"/>
    <w:rsid w:val="00C80E60"/>
    <w:rsid w:val="00C80E6E"/>
    <w:rsid w:val="00C810FA"/>
    <w:rsid w:val="00C8116E"/>
    <w:rsid w:val="00C81366"/>
    <w:rsid w:val="00C81446"/>
    <w:rsid w:val="00C81495"/>
    <w:rsid w:val="00C81571"/>
    <w:rsid w:val="00C81623"/>
    <w:rsid w:val="00C816A3"/>
    <w:rsid w:val="00C816C7"/>
    <w:rsid w:val="00C81788"/>
    <w:rsid w:val="00C81817"/>
    <w:rsid w:val="00C81928"/>
    <w:rsid w:val="00C8194D"/>
    <w:rsid w:val="00C8197D"/>
    <w:rsid w:val="00C819DE"/>
    <w:rsid w:val="00C81A0F"/>
    <w:rsid w:val="00C81B56"/>
    <w:rsid w:val="00C81C09"/>
    <w:rsid w:val="00C81CE7"/>
    <w:rsid w:val="00C81D29"/>
    <w:rsid w:val="00C81D63"/>
    <w:rsid w:val="00C81D80"/>
    <w:rsid w:val="00C81DB9"/>
    <w:rsid w:val="00C81DFA"/>
    <w:rsid w:val="00C8212F"/>
    <w:rsid w:val="00C82134"/>
    <w:rsid w:val="00C823AC"/>
    <w:rsid w:val="00C8253B"/>
    <w:rsid w:val="00C8259C"/>
    <w:rsid w:val="00C82646"/>
    <w:rsid w:val="00C826DE"/>
    <w:rsid w:val="00C827AB"/>
    <w:rsid w:val="00C82890"/>
    <w:rsid w:val="00C828B9"/>
    <w:rsid w:val="00C82D22"/>
    <w:rsid w:val="00C82D74"/>
    <w:rsid w:val="00C82D82"/>
    <w:rsid w:val="00C82DA0"/>
    <w:rsid w:val="00C82EB5"/>
    <w:rsid w:val="00C82EF3"/>
    <w:rsid w:val="00C8330A"/>
    <w:rsid w:val="00C83418"/>
    <w:rsid w:val="00C834C1"/>
    <w:rsid w:val="00C83568"/>
    <w:rsid w:val="00C835CA"/>
    <w:rsid w:val="00C835F3"/>
    <w:rsid w:val="00C8362C"/>
    <w:rsid w:val="00C83709"/>
    <w:rsid w:val="00C83729"/>
    <w:rsid w:val="00C839D6"/>
    <w:rsid w:val="00C83B29"/>
    <w:rsid w:val="00C83B4E"/>
    <w:rsid w:val="00C83B52"/>
    <w:rsid w:val="00C83BA7"/>
    <w:rsid w:val="00C83C06"/>
    <w:rsid w:val="00C83D1B"/>
    <w:rsid w:val="00C83E1A"/>
    <w:rsid w:val="00C83E7D"/>
    <w:rsid w:val="00C83EC9"/>
    <w:rsid w:val="00C83F74"/>
    <w:rsid w:val="00C83F7D"/>
    <w:rsid w:val="00C83F85"/>
    <w:rsid w:val="00C84007"/>
    <w:rsid w:val="00C8400C"/>
    <w:rsid w:val="00C84031"/>
    <w:rsid w:val="00C8403B"/>
    <w:rsid w:val="00C841F0"/>
    <w:rsid w:val="00C842CF"/>
    <w:rsid w:val="00C844DB"/>
    <w:rsid w:val="00C84523"/>
    <w:rsid w:val="00C84C4F"/>
    <w:rsid w:val="00C84F7F"/>
    <w:rsid w:val="00C84F9E"/>
    <w:rsid w:val="00C850FB"/>
    <w:rsid w:val="00C85185"/>
    <w:rsid w:val="00C851B0"/>
    <w:rsid w:val="00C85245"/>
    <w:rsid w:val="00C85265"/>
    <w:rsid w:val="00C85469"/>
    <w:rsid w:val="00C854D7"/>
    <w:rsid w:val="00C85522"/>
    <w:rsid w:val="00C855F6"/>
    <w:rsid w:val="00C8574D"/>
    <w:rsid w:val="00C8587F"/>
    <w:rsid w:val="00C85A4D"/>
    <w:rsid w:val="00C85BA8"/>
    <w:rsid w:val="00C85BC1"/>
    <w:rsid w:val="00C85C77"/>
    <w:rsid w:val="00C85D1E"/>
    <w:rsid w:val="00C85D58"/>
    <w:rsid w:val="00C85D6D"/>
    <w:rsid w:val="00C85E38"/>
    <w:rsid w:val="00C861CC"/>
    <w:rsid w:val="00C865EA"/>
    <w:rsid w:val="00C86711"/>
    <w:rsid w:val="00C868E8"/>
    <w:rsid w:val="00C869C8"/>
    <w:rsid w:val="00C86B76"/>
    <w:rsid w:val="00C86B97"/>
    <w:rsid w:val="00C86BFA"/>
    <w:rsid w:val="00C86C17"/>
    <w:rsid w:val="00C86C1C"/>
    <w:rsid w:val="00C86C64"/>
    <w:rsid w:val="00C86E12"/>
    <w:rsid w:val="00C86E61"/>
    <w:rsid w:val="00C86FB1"/>
    <w:rsid w:val="00C86FD0"/>
    <w:rsid w:val="00C8701F"/>
    <w:rsid w:val="00C87087"/>
    <w:rsid w:val="00C87148"/>
    <w:rsid w:val="00C871AE"/>
    <w:rsid w:val="00C872BB"/>
    <w:rsid w:val="00C873A4"/>
    <w:rsid w:val="00C87504"/>
    <w:rsid w:val="00C876FC"/>
    <w:rsid w:val="00C87880"/>
    <w:rsid w:val="00C87895"/>
    <w:rsid w:val="00C87955"/>
    <w:rsid w:val="00C87965"/>
    <w:rsid w:val="00C87AC1"/>
    <w:rsid w:val="00C87B27"/>
    <w:rsid w:val="00C87C47"/>
    <w:rsid w:val="00C87CAD"/>
    <w:rsid w:val="00C87E03"/>
    <w:rsid w:val="00C87F55"/>
    <w:rsid w:val="00C8A891"/>
    <w:rsid w:val="00C902C2"/>
    <w:rsid w:val="00C9030D"/>
    <w:rsid w:val="00C90489"/>
    <w:rsid w:val="00C9073F"/>
    <w:rsid w:val="00C90770"/>
    <w:rsid w:val="00C90968"/>
    <w:rsid w:val="00C90982"/>
    <w:rsid w:val="00C909E1"/>
    <w:rsid w:val="00C90B11"/>
    <w:rsid w:val="00C90CD6"/>
    <w:rsid w:val="00C90E71"/>
    <w:rsid w:val="00C90EB3"/>
    <w:rsid w:val="00C90F92"/>
    <w:rsid w:val="00C90FA2"/>
    <w:rsid w:val="00C90FAE"/>
    <w:rsid w:val="00C91026"/>
    <w:rsid w:val="00C9105E"/>
    <w:rsid w:val="00C91144"/>
    <w:rsid w:val="00C915CA"/>
    <w:rsid w:val="00C91926"/>
    <w:rsid w:val="00C919F4"/>
    <w:rsid w:val="00C91ABB"/>
    <w:rsid w:val="00C91B60"/>
    <w:rsid w:val="00C91BBB"/>
    <w:rsid w:val="00C91E35"/>
    <w:rsid w:val="00C91E68"/>
    <w:rsid w:val="00C91E95"/>
    <w:rsid w:val="00C91EA4"/>
    <w:rsid w:val="00C9208D"/>
    <w:rsid w:val="00C92092"/>
    <w:rsid w:val="00C9240D"/>
    <w:rsid w:val="00C92439"/>
    <w:rsid w:val="00C924A1"/>
    <w:rsid w:val="00C92530"/>
    <w:rsid w:val="00C92586"/>
    <w:rsid w:val="00C925E8"/>
    <w:rsid w:val="00C925FD"/>
    <w:rsid w:val="00C926FF"/>
    <w:rsid w:val="00C92709"/>
    <w:rsid w:val="00C927C5"/>
    <w:rsid w:val="00C92876"/>
    <w:rsid w:val="00C928BB"/>
    <w:rsid w:val="00C92A35"/>
    <w:rsid w:val="00C92B7E"/>
    <w:rsid w:val="00C92BEB"/>
    <w:rsid w:val="00C92C10"/>
    <w:rsid w:val="00C92C83"/>
    <w:rsid w:val="00C92CD8"/>
    <w:rsid w:val="00C92D7D"/>
    <w:rsid w:val="00C92E75"/>
    <w:rsid w:val="00C92E9E"/>
    <w:rsid w:val="00C92F42"/>
    <w:rsid w:val="00C9321A"/>
    <w:rsid w:val="00C932BC"/>
    <w:rsid w:val="00C93376"/>
    <w:rsid w:val="00C93494"/>
    <w:rsid w:val="00C935BC"/>
    <w:rsid w:val="00C93619"/>
    <w:rsid w:val="00C9367A"/>
    <w:rsid w:val="00C937CC"/>
    <w:rsid w:val="00C93825"/>
    <w:rsid w:val="00C93909"/>
    <w:rsid w:val="00C9394D"/>
    <w:rsid w:val="00C93A6C"/>
    <w:rsid w:val="00C93AA7"/>
    <w:rsid w:val="00C93BC1"/>
    <w:rsid w:val="00C93BFE"/>
    <w:rsid w:val="00C93DBC"/>
    <w:rsid w:val="00C93E22"/>
    <w:rsid w:val="00C93F2C"/>
    <w:rsid w:val="00C93F57"/>
    <w:rsid w:val="00C93FE8"/>
    <w:rsid w:val="00C94025"/>
    <w:rsid w:val="00C940BE"/>
    <w:rsid w:val="00C940E0"/>
    <w:rsid w:val="00C941D4"/>
    <w:rsid w:val="00C9427A"/>
    <w:rsid w:val="00C94287"/>
    <w:rsid w:val="00C94429"/>
    <w:rsid w:val="00C944E0"/>
    <w:rsid w:val="00C945CF"/>
    <w:rsid w:val="00C94938"/>
    <w:rsid w:val="00C94B43"/>
    <w:rsid w:val="00C94B47"/>
    <w:rsid w:val="00C94B6E"/>
    <w:rsid w:val="00C94C56"/>
    <w:rsid w:val="00C94CF6"/>
    <w:rsid w:val="00C94CFE"/>
    <w:rsid w:val="00C94D38"/>
    <w:rsid w:val="00C94E2A"/>
    <w:rsid w:val="00C94E9A"/>
    <w:rsid w:val="00C94ED2"/>
    <w:rsid w:val="00C95091"/>
    <w:rsid w:val="00C9527E"/>
    <w:rsid w:val="00C95344"/>
    <w:rsid w:val="00C95352"/>
    <w:rsid w:val="00C953A2"/>
    <w:rsid w:val="00C953FE"/>
    <w:rsid w:val="00C95438"/>
    <w:rsid w:val="00C955E7"/>
    <w:rsid w:val="00C956B9"/>
    <w:rsid w:val="00C956F9"/>
    <w:rsid w:val="00C958B6"/>
    <w:rsid w:val="00C958F2"/>
    <w:rsid w:val="00C95B50"/>
    <w:rsid w:val="00C95CA5"/>
    <w:rsid w:val="00C95CF1"/>
    <w:rsid w:val="00C95D51"/>
    <w:rsid w:val="00C9603E"/>
    <w:rsid w:val="00C9607E"/>
    <w:rsid w:val="00C960C8"/>
    <w:rsid w:val="00C96191"/>
    <w:rsid w:val="00C96220"/>
    <w:rsid w:val="00C965E5"/>
    <w:rsid w:val="00C968A1"/>
    <w:rsid w:val="00C96B40"/>
    <w:rsid w:val="00C96C16"/>
    <w:rsid w:val="00C96DBD"/>
    <w:rsid w:val="00C96EE8"/>
    <w:rsid w:val="00C97027"/>
    <w:rsid w:val="00C970CE"/>
    <w:rsid w:val="00C9742D"/>
    <w:rsid w:val="00C975E4"/>
    <w:rsid w:val="00C97723"/>
    <w:rsid w:val="00C978BC"/>
    <w:rsid w:val="00C9791F"/>
    <w:rsid w:val="00C97C11"/>
    <w:rsid w:val="00C97D29"/>
    <w:rsid w:val="00CA034D"/>
    <w:rsid w:val="00CA03D8"/>
    <w:rsid w:val="00CA040E"/>
    <w:rsid w:val="00CA0427"/>
    <w:rsid w:val="00CA0570"/>
    <w:rsid w:val="00CA06F6"/>
    <w:rsid w:val="00CA0892"/>
    <w:rsid w:val="00CA08D0"/>
    <w:rsid w:val="00CA0B17"/>
    <w:rsid w:val="00CA0BD8"/>
    <w:rsid w:val="00CA0D20"/>
    <w:rsid w:val="00CA0ECF"/>
    <w:rsid w:val="00CA1001"/>
    <w:rsid w:val="00CA10D0"/>
    <w:rsid w:val="00CA1153"/>
    <w:rsid w:val="00CA11D6"/>
    <w:rsid w:val="00CA1264"/>
    <w:rsid w:val="00CA128D"/>
    <w:rsid w:val="00CA130A"/>
    <w:rsid w:val="00CA13B6"/>
    <w:rsid w:val="00CA173B"/>
    <w:rsid w:val="00CA179C"/>
    <w:rsid w:val="00CA187A"/>
    <w:rsid w:val="00CA187C"/>
    <w:rsid w:val="00CA19B2"/>
    <w:rsid w:val="00CA19B8"/>
    <w:rsid w:val="00CA1AE1"/>
    <w:rsid w:val="00CA1C2F"/>
    <w:rsid w:val="00CA1D24"/>
    <w:rsid w:val="00CA1DDC"/>
    <w:rsid w:val="00CA1DEB"/>
    <w:rsid w:val="00CA1FE4"/>
    <w:rsid w:val="00CA1FF0"/>
    <w:rsid w:val="00CA20EF"/>
    <w:rsid w:val="00CA23F2"/>
    <w:rsid w:val="00CA2544"/>
    <w:rsid w:val="00CA25DA"/>
    <w:rsid w:val="00CA2649"/>
    <w:rsid w:val="00CA2667"/>
    <w:rsid w:val="00CA2670"/>
    <w:rsid w:val="00CA2714"/>
    <w:rsid w:val="00CA27E8"/>
    <w:rsid w:val="00CA28B0"/>
    <w:rsid w:val="00CA2913"/>
    <w:rsid w:val="00CA296E"/>
    <w:rsid w:val="00CA2974"/>
    <w:rsid w:val="00CA2A12"/>
    <w:rsid w:val="00CA2BA2"/>
    <w:rsid w:val="00CA2BC9"/>
    <w:rsid w:val="00CA2BE6"/>
    <w:rsid w:val="00CA2D15"/>
    <w:rsid w:val="00CA2E1B"/>
    <w:rsid w:val="00CA2EB9"/>
    <w:rsid w:val="00CA320F"/>
    <w:rsid w:val="00CA3343"/>
    <w:rsid w:val="00CA34FA"/>
    <w:rsid w:val="00CA351D"/>
    <w:rsid w:val="00CA3589"/>
    <w:rsid w:val="00CA35A5"/>
    <w:rsid w:val="00CA35ED"/>
    <w:rsid w:val="00CA36A2"/>
    <w:rsid w:val="00CA390C"/>
    <w:rsid w:val="00CA39C5"/>
    <w:rsid w:val="00CA3A6A"/>
    <w:rsid w:val="00CA3A9F"/>
    <w:rsid w:val="00CA3B34"/>
    <w:rsid w:val="00CA3DCD"/>
    <w:rsid w:val="00CA3DDB"/>
    <w:rsid w:val="00CA4092"/>
    <w:rsid w:val="00CA40DF"/>
    <w:rsid w:val="00CA427B"/>
    <w:rsid w:val="00CA4406"/>
    <w:rsid w:val="00CA447C"/>
    <w:rsid w:val="00CA45BF"/>
    <w:rsid w:val="00CA45E5"/>
    <w:rsid w:val="00CA45EE"/>
    <w:rsid w:val="00CA4631"/>
    <w:rsid w:val="00CA466E"/>
    <w:rsid w:val="00CA468C"/>
    <w:rsid w:val="00CA46DC"/>
    <w:rsid w:val="00CA471F"/>
    <w:rsid w:val="00CA4721"/>
    <w:rsid w:val="00CA4965"/>
    <w:rsid w:val="00CA4999"/>
    <w:rsid w:val="00CA4A63"/>
    <w:rsid w:val="00CA4B56"/>
    <w:rsid w:val="00CA4D11"/>
    <w:rsid w:val="00CA4F6D"/>
    <w:rsid w:val="00CA5083"/>
    <w:rsid w:val="00CA52C8"/>
    <w:rsid w:val="00CA5352"/>
    <w:rsid w:val="00CA5388"/>
    <w:rsid w:val="00CA540B"/>
    <w:rsid w:val="00CA5467"/>
    <w:rsid w:val="00CA5542"/>
    <w:rsid w:val="00CA5553"/>
    <w:rsid w:val="00CA55CB"/>
    <w:rsid w:val="00CA562E"/>
    <w:rsid w:val="00CA57F1"/>
    <w:rsid w:val="00CA5816"/>
    <w:rsid w:val="00CA5873"/>
    <w:rsid w:val="00CA590F"/>
    <w:rsid w:val="00CA5A5A"/>
    <w:rsid w:val="00CA5BBA"/>
    <w:rsid w:val="00CA5BF3"/>
    <w:rsid w:val="00CA6167"/>
    <w:rsid w:val="00CA64ED"/>
    <w:rsid w:val="00CA657C"/>
    <w:rsid w:val="00CA670A"/>
    <w:rsid w:val="00CA682D"/>
    <w:rsid w:val="00CA6888"/>
    <w:rsid w:val="00CA68AE"/>
    <w:rsid w:val="00CA68E8"/>
    <w:rsid w:val="00CA6945"/>
    <w:rsid w:val="00CA6C90"/>
    <w:rsid w:val="00CA6D55"/>
    <w:rsid w:val="00CA7158"/>
    <w:rsid w:val="00CA7180"/>
    <w:rsid w:val="00CA7231"/>
    <w:rsid w:val="00CA72FA"/>
    <w:rsid w:val="00CA738F"/>
    <w:rsid w:val="00CA759C"/>
    <w:rsid w:val="00CA7613"/>
    <w:rsid w:val="00CA7756"/>
    <w:rsid w:val="00CA783D"/>
    <w:rsid w:val="00CA79D6"/>
    <w:rsid w:val="00CA7A0F"/>
    <w:rsid w:val="00CA7A23"/>
    <w:rsid w:val="00CA7A91"/>
    <w:rsid w:val="00CA7C05"/>
    <w:rsid w:val="00CA7D6E"/>
    <w:rsid w:val="00CA7ECE"/>
    <w:rsid w:val="00CB0054"/>
    <w:rsid w:val="00CB0257"/>
    <w:rsid w:val="00CB0299"/>
    <w:rsid w:val="00CB03F1"/>
    <w:rsid w:val="00CB042F"/>
    <w:rsid w:val="00CB061E"/>
    <w:rsid w:val="00CB062B"/>
    <w:rsid w:val="00CB06D2"/>
    <w:rsid w:val="00CB0803"/>
    <w:rsid w:val="00CB09FA"/>
    <w:rsid w:val="00CB0B2C"/>
    <w:rsid w:val="00CB0BA6"/>
    <w:rsid w:val="00CB0BEA"/>
    <w:rsid w:val="00CB0D11"/>
    <w:rsid w:val="00CB0DB1"/>
    <w:rsid w:val="00CB0ECC"/>
    <w:rsid w:val="00CB0ECF"/>
    <w:rsid w:val="00CB104C"/>
    <w:rsid w:val="00CB10BB"/>
    <w:rsid w:val="00CB10C1"/>
    <w:rsid w:val="00CB10EE"/>
    <w:rsid w:val="00CB1206"/>
    <w:rsid w:val="00CB1283"/>
    <w:rsid w:val="00CB12ED"/>
    <w:rsid w:val="00CB1300"/>
    <w:rsid w:val="00CB1389"/>
    <w:rsid w:val="00CB1426"/>
    <w:rsid w:val="00CB15B4"/>
    <w:rsid w:val="00CB15B5"/>
    <w:rsid w:val="00CB16D0"/>
    <w:rsid w:val="00CB1778"/>
    <w:rsid w:val="00CB1C4F"/>
    <w:rsid w:val="00CB1C55"/>
    <w:rsid w:val="00CB1D0A"/>
    <w:rsid w:val="00CB1DC3"/>
    <w:rsid w:val="00CB1E6A"/>
    <w:rsid w:val="00CB1EB1"/>
    <w:rsid w:val="00CB1FEB"/>
    <w:rsid w:val="00CB2169"/>
    <w:rsid w:val="00CB227F"/>
    <w:rsid w:val="00CB23D9"/>
    <w:rsid w:val="00CB2710"/>
    <w:rsid w:val="00CB2959"/>
    <w:rsid w:val="00CB2FA7"/>
    <w:rsid w:val="00CB31AF"/>
    <w:rsid w:val="00CB3276"/>
    <w:rsid w:val="00CB33CF"/>
    <w:rsid w:val="00CB34F0"/>
    <w:rsid w:val="00CB350F"/>
    <w:rsid w:val="00CB39B7"/>
    <w:rsid w:val="00CB3E8D"/>
    <w:rsid w:val="00CB40A3"/>
    <w:rsid w:val="00CB40E5"/>
    <w:rsid w:val="00CB40F5"/>
    <w:rsid w:val="00CB4280"/>
    <w:rsid w:val="00CB42C7"/>
    <w:rsid w:val="00CB4358"/>
    <w:rsid w:val="00CB43EA"/>
    <w:rsid w:val="00CB4450"/>
    <w:rsid w:val="00CB4569"/>
    <w:rsid w:val="00CB4647"/>
    <w:rsid w:val="00CB4693"/>
    <w:rsid w:val="00CB470A"/>
    <w:rsid w:val="00CB4898"/>
    <w:rsid w:val="00CB4903"/>
    <w:rsid w:val="00CB4932"/>
    <w:rsid w:val="00CB4AA3"/>
    <w:rsid w:val="00CB4ACD"/>
    <w:rsid w:val="00CB4B62"/>
    <w:rsid w:val="00CB4FD6"/>
    <w:rsid w:val="00CB4FEC"/>
    <w:rsid w:val="00CB50DF"/>
    <w:rsid w:val="00CB51D6"/>
    <w:rsid w:val="00CB51DC"/>
    <w:rsid w:val="00CB5313"/>
    <w:rsid w:val="00CB53B8"/>
    <w:rsid w:val="00CB53E9"/>
    <w:rsid w:val="00CB546F"/>
    <w:rsid w:val="00CB5509"/>
    <w:rsid w:val="00CB553E"/>
    <w:rsid w:val="00CB5541"/>
    <w:rsid w:val="00CB5582"/>
    <w:rsid w:val="00CB55E7"/>
    <w:rsid w:val="00CB5630"/>
    <w:rsid w:val="00CB5667"/>
    <w:rsid w:val="00CB5927"/>
    <w:rsid w:val="00CB592E"/>
    <w:rsid w:val="00CB5CA9"/>
    <w:rsid w:val="00CB5CF0"/>
    <w:rsid w:val="00CB5DBF"/>
    <w:rsid w:val="00CB5F5C"/>
    <w:rsid w:val="00CB5F70"/>
    <w:rsid w:val="00CB5FF6"/>
    <w:rsid w:val="00CB6079"/>
    <w:rsid w:val="00CB60B8"/>
    <w:rsid w:val="00CB6269"/>
    <w:rsid w:val="00CB6287"/>
    <w:rsid w:val="00CB635D"/>
    <w:rsid w:val="00CB6360"/>
    <w:rsid w:val="00CB64ED"/>
    <w:rsid w:val="00CB67A4"/>
    <w:rsid w:val="00CB682A"/>
    <w:rsid w:val="00CB6876"/>
    <w:rsid w:val="00CB6969"/>
    <w:rsid w:val="00CB6A52"/>
    <w:rsid w:val="00CB6C46"/>
    <w:rsid w:val="00CB6C73"/>
    <w:rsid w:val="00CB6D76"/>
    <w:rsid w:val="00CB6DDF"/>
    <w:rsid w:val="00CB6F7B"/>
    <w:rsid w:val="00CB71DE"/>
    <w:rsid w:val="00CB72DD"/>
    <w:rsid w:val="00CB73F5"/>
    <w:rsid w:val="00CB75CC"/>
    <w:rsid w:val="00CB773E"/>
    <w:rsid w:val="00CB7796"/>
    <w:rsid w:val="00CB77C7"/>
    <w:rsid w:val="00CB7867"/>
    <w:rsid w:val="00CB7910"/>
    <w:rsid w:val="00CB7B36"/>
    <w:rsid w:val="00CB7D69"/>
    <w:rsid w:val="00CB7DD5"/>
    <w:rsid w:val="00CB7DF8"/>
    <w:rsid w:val="00CB7E68"/>
    <w:rsid w:val="00CB7F0F"/>
    <w:rsid w:val="00CC054D"/>
    <w:rsid w:val="00CC0598"/>
    <w:rsid w:val="00CC0641"/>
    <w:rsid w:val="00CC0675"/>
    <w:rsid w:val="00CC0678"/>
    <w:rsid w:val="00CC0695"/>
    <w:rsid w:val="00CC0A11"/>
    <w:rsid w:val="00CC0CC2"/>
    <w:rsid w:val="00CC0D3A"/>
    <w:rsid w:val="00CC0DB8"/>
    <w:rsid w:val="00CC1034"/>
    <w:rsid w:val="00CC10D7"/>
    <w:rsid w:val="00CC136E"/>
    <w:rsid w:val="00CC13AF"/>
    <w:rsid w:val="00CC18AE"/>
    <w:rsid w:val="00CC18F5"/>
    <w:rsid w:val="00CC1ABB"/>
    <w:rsid w:val="00CC1C26"/>
    <w:rsid w:val="00CC1EBB"/>
    <w:rsid w:val="00CC1F72"/>
    <w:rsid w:val="00CC1FE9"/>
    <w:rsid w:val="00CC2166"/>
    <w:rsid w:val="00CC23C6"/>
    <w:rsid w:val="00CC23D3"/>
    <w:rsid w:val="00CC2602"/>
    <w:rsid w:val="00CC26B9"/>
    <w:rsid w:val="00CC26DA"/>
    <w:rsid w:val="00CC292A"/>
    <w:rsid w:val="00CC29B8"/>
    <w:rsid w:val="00CC2A43"/>
    <w:rsid w:val="00CC2A46"/>
    <w:rsid w:val="00CC2BCB"/>
    <w:rsid w:val="00CC2E5A"/>
    <w:rsid w:val="00CC2F76"/>
    <w:rsid w:val="00CC30B6"/>
    <w:rsid w:val="00CC32EA"/>
    <w:rsid w:val="00CC33ED"/>
    <w:rsid w:val="00CC34AA"/>
    <w:rsid w:val="00CC353F"/>
    <w:rsid w:val="00CC36C2"/>
    <w:rsid w:val="00CC3895"/>
    <w:rsid w:val="00CC399C"/>
    <w:rsid w:val="00CC39BA"/>
    <w:rsid w:val="00CC3A4A"/>
    <w:rsid w:val="00CC3B19"/>
    <w:rsid w:val="00CC3C67"/>
    <w:rsid w:val="00CC3CAD"/>
    <w:rsid w:val="00CC3CCC"/>
    <w:rsid w:val="00CC3D0A"/>
    <w:rsid w:val="00CC3D58"/>
    <w:rsid w:val="00CC3D5D"/>
    <w:rsid w:val="00CC3E5C"/>
    <w:rsid w:val="00CC3EF7"/>
    <w:rsid w:val="00CC3FE1"/>
    <w:rsid w:val="00CC404B"/>
    <w:rsid w:val="00CC4167"/>
    <w:rsid w:val="00CC451E"/>
    <w:rsid w:val="00CC45C5"/>
    <w:rsid w:val="00CC45EC"/>
    <w:rsid w:val="00CC4711"/>
    <w:rsid w:val="00CC47D0"/>
    <w:rsid w:val="00CC4864"/>
    <w:rsid w:val="00CC4867"/>
    <w:rsid w:val="00CC48DC"/>
    <w:rsid w:val="00CC4ADA"/>
    <w:rsid w:val="00CC4B13"/>
    <w:rsid w:val="00CC4B15"/>
    <w:rsid w:val="00CC4B22"/>
    <w:rsid w:val="00CC4B36"/>
    <w:rsid w:val="00CC4CFD"/>
    <w:rsid w:val="00CC4D03"/>
    <w:rsid w:val="00CC4DBB"/>
    <w:rsid w:val="00CC4E3C"/>
    <w:rsid w:val="00CC4ECA"/>
    <w:rsid w:val="00CC4F5D"/>
    <w:rsid w:val="00CC4F9D"/>
    <w:rsid w:val="00CC4FB6"/>
    <w:rsid w:val="00CC5421"/>
    <w:rsid w:val="00CC5452"/>
    <w:rsid w:val="00CC54CE"/>
    <w:rsid w:val="00CC579D"/>
    <w:rsid w:val="00CC5911"/>
    <w:rsid w:val="00CC5D60"/>
    <w:rsid w:val="00CC5DC8"/>
    <w:rsid w:val="00CC5E02"/>
    <w:rsid w:val="00CC5F25"/>
    <w:rsid w:val="00CC5F7E"/>
    <w:rsid w:val="00CC610D"/>
    <w:rsid w:val="00CC6229"/>
    <w:rsid w:val="00CC62AA"/>
    <w:rsid w:val="00CC63D8"/>
    <w:rsid w:val="00CC6410"/>
    <w:rsid w:val="00CC6492"/>
    <w:rsid w:val="00CC64F9"/>
    <w:rsid w:val="00CC6500"/>
    <w:rsid w:val="00CC66AE"/>
    <w:rsid w:val="00CC675A"/>
    <w:rsid w:val="00CC67A3"/>
    <w:rsid w:val="00CC67D3"/>
    <w:rsid w:val="00CC6855"/>
    <w:rsid w:val="00CC68D6"/>
    <w:rsid w:val="00CC6A95"/>
    <w:rsid w:val="00CC6B9A"/>
    <w:rsid w:val="00CC6D4C"/>
    <w:rsid w:val="00CC6D8B"/>
    <w:rsid w:val="00CC6E2F"/>
    <w:rsid w:val="00CC6EFA"/>
    <w:rsid w:val="00CC717B"/>
    <w:rsid w:val="00CC72B4"/>
    <w:rsid w:val="00CC7425"/>
    <w:rsid w:val="00CC74DE"/>
    <w:rsid w:val="00CC7504"/>
    <w:rsid w:val="00CC7513"/>
    <w:rsid w:val="00CC761D"/>
    <w:rsid w:val="00CC7816"/>
    <w:rsid w:val="00CC7866"/>
    <w:rsid w:val="00CC78EB"/>
    <w:rsid w:val="00CC794B"/>
    <w:rsid w:val="00CC7A62"/>
    <w:rsid w:val="00CC7A86"/>
    <w:rsid w:val="00CC7B4E"/>
    <w:rsid w:val="00CC7C1A"/>
    <w:rsid w:val="00CC7CC1"/>
    <w:rsid w:val="00CC7D02"/>
    <w:rsid w:val="00CC7E79"/>
    <w:rsid w:val="00CC7F8C"/>
    <w:rsid w:val="00CC8526"/>
    <w:rsid w:val="00CD0072"/>
    <w:rsid w:val="00CD00D1"/>
    <w:rsid w:val="00CD03A5"/>
    <w:rsid w:val="00CD0646"/>
    <w:rsid w:val="00CD088E"/>
    <w:rsid w:val="00CD0899"/>
    <w:rsid w:val="00CD0A0C"/>
    <w:rsid w:val="00CD0A2D"/>
    <w:rsid w:val="00CD0B31"/>
    <w:rsid w:val="00CD0B62"/>
    <w:rsid w:val="00CD0D3D"/>
    <w:rsid w:val="00CD0F4D"/>
    <w:rsid w:val="00CD1171"/>
    <w:rsid w:val="00CD131E"/>
    <w:rsid w:val="00CD13A4"/>
    <w:rsid w:val="00CD13B9"/>
    <w:rsid w:val="00CD145D"/>
    <w:rsid w:val="00CD148C"/>
    <w:rsid w:val="00CD15D4"/>
    <w:rsid w:val="00CD15FB"/>
    <w:rsid w:val="00CD16AB"/>
    <w:rsid w:val="00CD17B6"/>
    <w:rsid w:val="00CD1898"/>
    <w:rsid w:val="00CD1908"/>
    <w:rsid w:val="00CD1A3C"/>
    <w:rsid w:val="00CD1A8A"/>
    <w:rsid w:val="00CD1AAD"/>
    <w:rsid w:val="00CD1BB2"/>
    <w:rsid w:val="00CD1DC1"/>
    <w:rsid w:val="00CD1EEF"/>
    <w:rsid w:val="00CD2099"/>
    <w:rsid w:val="00CD2277"/>
    <w:rsid w:val="00CD2381"/>
    <w:rsid w:val="00CD241E"/>
    <w:rsid w:val="00CD2614"/>
    <w:rsid w:val="00CD2722"/>
    <w:rsid w:val="00CD2767"/>
    <w:rsid w:val="00CD2893"/>
    <w:rsid w:val="00CD2994"/>
    <w:rsid w:val="00CD2BCE"/>
    <w:rsid w:val="00CD2D5E"/>
    <w:rsid w:val="00CD2F4C"/>
    <w:rsid w:val="00CD2FD2"/>
    <w:rsid w:val="00CD31B3"/>
    <w:rsid w:val="00CD31B7"/>
    <w:rsid w:val="00CD31D9"/>
    <w:rsid w:val="00CD32F5"/>
    <w:rsid w:val="00CD3427"/>
    <w:rsid w:val="00CD343D"/>
    <w:rsid w:val="00CD3454"/>
    <w:rsid w:val="00CD35C2"/>
    <w:rsid w:val="00CD35F4"/>
    <w:rsid w:val="00CD36B2"/>
    <w:rsid w:val="00CD37C6"/>
    <w:rsid w:val="00CD38E5"/>
    <w:rsid w:val="00CD39FA"/>
    <w:rsid w:val="00CD3A3B"/>
    <w:rsid w:val="00CD3B8E"/>
    <w:rsid w:val="00CD3BA4"/>
    <w:rsid w:val="00CD3E35"/>
    <w:rsid w:val="00CD3EAC"/>
    <w:rsid w:val="00CD3F4A"/>
    <w:rsid w:val="00CD3F89"/>
    <w:rsid w:val="00CD4007"/>
    <w:rsid w:val="00CD413F"/>
    <w:rsid w:val="00CD4165"/>
    <w:rsid w:val="00CD4480"/>
    <w:rsid w:val="00CD48CB"/>
    <w:rsid w:val="00CD48FF"/>
    <w:rsid w:val="00CD4963"/>
    <w:rsid w:val="00CD49AB"/>
    <w:rsid w:val="00CD4A3B"/>
    <w:rsid w:val="00CD4B15"/>
    <w:rsid w:val="00CD4C93"/>
    <w:rsid w:val="00CD4CBC"/>
    <w:rsid w:val="00CD4CEB"/>
    <w:rsid w:val="00CD4D24"/>
    <w:rsid w:val="00CD4D62"/>
    <w:rsid w:val="00CD4D8B"/>
    <w:rsid w:val="00CD4E74"/>
    <w:rsid w:val="00CD51A4"/>
    <w:rsid w:val="00CD52A1"/>
    <w:rsid w:val="00CD532B"/>
    <w:rsid w:val="00CD5415"/>
    <w:rsid w:val="00CD5484"/>
    <w:rsid w:val="00CD54CF"/>
    <w:rsid w:val="00CD5843"/>
    <w:rsid w:val="00CD5A02"/>
    <w:rsid w:val="00CD5AB4"/>
    <w:rsid w:val="00CD5C3E"/>
    <w:rsid w:val="00CD5C6E"/>
    <w:rsid w:val="00CD5DF3"/>
    <w:rsid w:val="00CD5E79"/>
    <w:rsid w:val="00CD5EC7"/>
    <w:rsid w:val="00CD5F68"/>
    <w:rsid w:val="00CD5FED"/>
    <w:rsid w:val="00CD6197"/>
    <w:rsid w:val="00CD61CA"/>
    <w:rsid w:val="00CD6327"/>
    <w:rsid w:val="00CD63F3"/>
    <w:rsid w:val="00CD645F"/>
    <w:rsid w:val="00CD64C0"/>
    <w:rsid w:val="00CD653F"/>
    <w:rsid w:val="00CD6597"/>
    <w:rsid w:val="00CD65B2"/>
    <w:rsid w:val="00CD65E4"/>
    <w:rsid w:val="00CD66A9"/>
    <w:rsid w:val="00CD67E3"/>
    <w:rsid w:val="00CD68C3"/>
    <w:rsid w:val="00CD6CFF"/>
    <w:rsid w:val="00CD6DC1"/>
    <w:rsid w:val="00CD6F98"/>
    <w:rsid w:val="00CD704D"/>
    <w:rsid w:val="00CD70A5"/>
    <w:rsid w:val="00CD71BC"/>
    <w:rsid w:val="00CD7288"/>
    <w:rsid w:val="00CD72C8"/>
    <w:rsid w:val="00CD74FC"/>
    <w:rsid w:val="00CD7555"/>
    <w:rsid w:val="00CD7767"/>
    <w:rsid w:val="00CD77C0"/>
    <w:rsid w:val="00CD781F"/>
    <w:rsid w:val="00CD7D1D"/>
    <w:rsid w:val="00CD7E10"/>
    <w:rsid w:val="00CD7E1C"/>
    <w:rsid w:val="00CD7EF3"/>
    <w:rsid w:val="00CE02D1"/>
    <w:rsid w:val="00CE02DF"/>
    <w:rsid w:val="00CE0333"/>
    <w:rsid w:val="00CE03BF"/>
    <w:rsid w:val="00CE042D"/>
    <w:rsid w:val="00CE0584"/>
    <w:rsid w:val="00CE0623"/>
    <w:rsid w:val="00CE070E"/>
    <w:rsid w:val="00CE0715"/>
    <w:rsid w:val="00CE09EF"/>
    <w:rsid w:val="00CE09FA"/>
    <w:rsid w:val="00CE0A5F"/>
    <w:rsid w:val="00CE0A60"/>
    <w:rsid w:val="00CE0BB2"/>
    <w:rsid w:val="00CE0C6E"/>
    <w:rsid w:val="00CE0F59"/>
    <w:rsid w:val="00CE120D"/>
    <w:rsid w:val="00CE12A7"/>
    <w:rsid w:val="00CE141A"/>
    <w:rsid w:val="00CE15EE"/>
    <w:rsid w:val="00CE169E"/>
    <w:rsid w:val="00CE169F"/>
    <w:rsid w:val="00CE16E3"/>
    <w:rsid w:val="00CE16FD"/>
    <w:rsid w:val="00CE1702"/>
    <w:rsid w:val="00CE192E"/>
    <w:rsid w:val="00CE193D"/>
    <w:rsid w:val="00CE198D"/>
    <w:rsid w:val="00CE1A29"/>
    <w:rsid w:val="00CE1ACF"/>
    <w:rsid w:val="00CE1B61"/>
    <w:rsid w:val="00CE1C8E"/>
    <w:rsid w:val="00CE1D67"/>
    <w:rsid w:val="00CE1FF4"/>
    <w:rsid w:val="00CE22B5"/>
    <w:rsid w:val="00CE2308"/>
    <w:rsid w:val="00CE24EF"/>
    <w:rsid w:val="00CE2573"/>
    <w:rsid w:val="00CE259F"/>
    <w:rsid w:val="00CE25C1"/>
    <w:rsid w:val="00CE26D5"/>
    <w:rsid w:val="00CE288C"/>
    <w:rsid w:val="00CE295B"/>
    <w:rsid w:val="00CE29CC"/>
    <w:rsid w:val="00CE2E24"/>
    <w:rsid w:val="00CE2F87"/>
    <w:rsid w:val="00CE3008"/>
    <w:rsid w:val="00CE308D"/>
    <w:rsid w:val="00CE30BF"/>
    <w:rsid w:val="00CE3120"/>
    <w:rsid w:val="00CE317E"/>
    <w:rsid w:val="00CE3201"/>
    <w:rsid w:val="00CE32A2"/>
    <w:rsid w:val="00CE3390"/>
    <w:rsid w:val="00CE3452"/>
    <w:rsid w:val="00CE3558"/>
    <w:rsid w:val="00CE356A"/>
    <w:rsid w:val="00CE35FF"/>
    <w:rsid w:val="00CE3778"/>
    <w:rsid w:val="00CE3884"/>
    <w:rsid w:val="00CE391B"/>
    <w:rsid w:val="00CE3927"/>
    <w:rsid w:val="00CE39D2"/>
    <w:rsid w:val="00CE3AE2"/>
    <w:rsid w:val="00CE3BCF"/>
    <w:rsid w:val="00CE3F4C"/>
    <w:rsid w:val="00CE4161"/>
    <w:rsid w:val="00CE4181"/>
    <w:rsid w:val="00CE4205"/>
    <w:rsid w:val="00CE425B"/>
    <w:rsid w:val="00CE43EB"/>
    <w:rsid w:val="00CE4458"/>
    <w:rsid w:val="00CE4594"/>
    <w:rsid w:val="00CE4621"/>
    <w:rsid w:val="00CE47F2"/>
    <w:rsid w:val="00CE488D"/>
    <w:rsid w:val="00CE4ABA"/>
    <w:rsid w:val="00CE4B30"/>
    <w:rsid w:val="00CE4BB8"/>
    <w:rsid w:val="00CE4D0C"/>
    <w:rsid w:val="00CE4DB8"/>
    <w:rsid w:val="00CE4F0B"/>
    <w:rsid w:val="00CE4F68"/>
    <w:rsid w:val="00CE4FCB"/>
    <w:rsid w:val="00CE515D"/>
    <w:rsid w:val="00CE53E4"/>
    <w:rsid w:val="00CE5456"/>
    <w:rsid w:val="00CE5469"/>
    <w:rsid w:val="00CE549B"/>
    <w:rsid w:val="00CE5641"/>
    <w:rsid w:val="00CE569F"/>
    <w:rsid w:val="00CE56B5"/>
    <w:rsid w:val="00CE579E"/>
    <w:rsid w:val="00CE5A58"/>
    <w:rsid w:val="00CE5AD7"/>
    <w:rsid w:val="00CE5B53"/>
    <w:rsid w:val="00CE5BF2"/>
    <w:rsid w:val="00CE5C16"/>
    <w:rsid w:val="00CE5C26"/>
    <w:rsid w:val="00CE5D81"/>
    <w:rsid w:val="00CE5DDB"/>
    <w:rsid w:val="00CE5EE6"/>
    <w:rsid w:val="00CE5FCE"/>
    <w:rsid w:val="00CE6153"/>
    <w:rsid w:val="00CE65F0"/>
    <w:rsid w:val="00CE6704"/>
    <w:rsid w:val="00CE6ADD"/>
    <w:rsid w:val="00CE6B42"/>
    <w:rsid w:val="00CE6B7C"/>
    <w:rsid w:val="00CE6B9F"/>
    <w:rsid w:val="00CE6C0C"/>
    <w:rsid w:val="00CE6D2A"/>
    <w:rsid w:val="00CE6D3D"/>
    <w:rsid w:val="00CE6D98"/>
    <w:rsid w:val="00CE6DEE"/>
    <w:rsid w:val="00CE6F41"/>
    <w:rsid w:val="00CE7011"/>
    <w:rsid w:val="00CE70E2"/>
    <w:rsid w:val="00CE7125"/>
    <w:rsid w:val="00CE71B2"/>
    <w:rsid w:val="00CE71CC"/>
    <w:rsid w:val="00CE72E7"/>
    <w:rsid w:val="00CE7305"/>
    <w:rsid w:val="00CE7385"/>
    <w:rsid w:val="00CE7592"/>
    <w:rsid w:val="00CE75F2"/>
    <w:rsid w:val="00CE7913"/>
    <w:rsid w:val="00CE7980"/>
    <w:rsid w:val="00CE7B47"/>
    <w:rsid w:val="00CE7B9B"/>
    <w:rsid w:val="00CE7D88"/>
    <w:rsid w:val="00CE7F27"/>
    <w:rsid w:val="00CF00F0"/>
    <w:rsid w:val="00CF00FC"/>
    <w:rsid w:val="00CF0155"/>
    <w:rsid w:val="00CF0193"/>
    <w:rsid w:val="00CF01A5"/>
    <w:rsid w:val="00CF02C5"/>
    <w:rsid w:val="00CF0630"/>
    <w:rsid w:val="00CF068A"/>
    <w:rsid w:val="00CF07C6"/>
    <w:rsid w:val="00CF08F2"/>
    <w:rsid w:val="00CF0AF0"/>
    <w:rsid w:val="00CF0C60"/>
    <w:rsid w:val="00CF0FD3"/>
    <w:rsid w:val="00CF11D2"/>
    <w:rsid w:val="00CF120C"/>
    <w:rsid w:val="00CF1312"/>
    <w:rsid w:val="00CF1367"/>
    <w:rsid w:val="00CF1398"/>
    <w:rsid w:val="00CF1469"/>
    <w:rsid w:val="00CF1486"/>
    <w:rsid w:val="00CF16E9"/>
    <w:rsid w:val="00CF1757"/>
    <w:rsid w:val="00CF176D"/>
    <w:rsid w:val="00CF1797"/>
    <w:rsid w:val="00CF190F"/>
    <w:rsid w:val="00CF1D51"/>
    <w:rsid w:val="00CF1D67"/>
    <w:rsid w:val="00CF1EB0"/>
    <w:rsid w:val="00CF1ED6"/>
    <w:rsid w:val="00CF1FDB"/>
    <w:rsid w:val="00CF205D"/>
    <w:rsid w:val="00CF22B7"/>
    <w:rsid w:val="00CF23BA"/>
    <w:rsid w:val="00CF24EB"/>
    <w:rsid w:val="00CF2506"/>
    <w:rsid w:val="00CF265D"/>
    <w:rsid w:val="00CF2858"/>
    <w:rsid w:val="00CF29D1"/>
    <w:rsid w:val="00CF2A31"/>
    <w:rsid w:val="00CF2CCE"/>
    <w:rsid w:val="00CF2D2C"/>
    <w:rsid w:val="00CF2D57"/>
    <w:rsid w:val="00CF2DFC"/>
    <w:rsid w:val="00CF2F62"/>
    <w:rsid w:val="00CF328F"/>
    <w:rsid w:val="00CF33C1"/>
    <w:rsid w:val="00CF33D8"/>
    <w:rsid w:val="00CF341A"/>
    <w:rsid w:val="00CF3481"/>
    <w:rsid w:val="00CF36B7"/>
    <w:rsid w:val="00CF3747"/>
    <w:rsid w:val="00CF3792"/>
    <w:rsid w:val="00CF3A9E"/>
    <w:rsid w:val="00CF3B41"/>
    <w:rsid w:val="00CF3CF2"/>
    <w:rsid w:val="00CF3D3C"/>
    <w:rsid w:val="00CF3D5B"/>
    <w:rsid w:val="00CF3E07"/>
    <w:rsid w:val="00CF3E83"/>
    <w:rsid w:val="00CF3E90"/>
    <w:rsid w:val="00CF3EC1"/>
    <w:rsid w:val="00CF3EC7"/>
    <w:rsid w:val="00CF3EED"/>
    <w:rsid w:val="00CF40B2"/>
    <w:rsid w:val="00CF4164"/>
    <w:rsid w:val="00CF434C"/>
    <w:rsid w:val="00CF4531"/>
    <w:rsid w:val="00CF4603"/>
    <w:rsid w:val="00CF4611"/>
    <w:rsid w:val="00CF4706"/>
    <w:rsid w:val="00CF4784"/>
    <w:rsid w:val="00CF47BF"/>
    <w:rsid w:val="00CF4800"/>
    <w:rsid w:val="00CF48E4"/>
    <w:rsid w:val="00CF4B80"/>
    <w:rsid w:val="00CF4C31"/>
    <w:rsid w:val="00CF4D72"/>
    <w:rsid w:val="00CF4EBA"/>
    <w:rsid w:val="00CF4FDD"/>
    <w:rsid w:val="00CF5058"/>
    <w:rsid w:val="00CF52AD"/>
    <w:rsid w:val="00CF54B1"/>
    <w:rsid w:val="00CF5987"/>
    <w:rsid w:val="00CF5A6C"/>
    <w:rsid w:val="00CF5B1B"/>
    <w:rsid w:val="00CF5CD7"/>
    <w:rsid w:val="00CF5E36"/>
    <w:rsid w:val="00CF5E9E"/>
    <w:rsid w:val="00CF5F24"/>
    <w:rsid w:val="00CF61F6"/>
    <w:rsid w:val="00CF6298"/>
    <w:rsid w:val="00CF6311"/>
    <w:rsid w:val="00CF63CD"/>
    <w:rsid w:val="00CF6870"/>
    <w:rsid w:val="00CF6B33"/>
    <w:rsid w:val="00CF6B3E"/>
    <w:rsid w:val="00CF6BB9"/>
    <w:rsid w:val="00CF6C1C"/>
    <w:rsid w:val="00CF6C58"/>
    <w:rsid w:val="00CF6C76"/>
    <w:rsid w:val="00CF6D0C"/>
    <w:rsid w:val="00CF6E14"/>
    <w:rsid w:val="00CF6EBA"/>
    <w:rsid w:val="00CF6ED3"/>
    <w:rsid w:val="00CF70B3"/>
    <w:rsid w:val="00CF70B6"/>
    <w:rsid w:val="00CF70B7"/>
    <w:rsid w:val="00CF72B2"/>
    <w:rsid w:val="00CF72E9"/>
    <w:rsid w:val="00CF7497"/>
    <w:rsid w:val="00CF754E"/>
    <w:rsid w:val="00CF7628"/>
    <w:rsid w:val="00CF76BB"/>
    <w:rsid w:val="00CF778D"/>
    <w:rsid w:val="00CF77B2"/>
    <w:rsid w:val="00CF78AC"/>
    <w:rsid w:val="00CF78F0"/>
    <w:rsid w:val="00CF7B8A"/>
    <w:rsid w:val="00CF7C18"/>
    <w:rsid w:val="00CF7C38"/>
    <w:rsid w:val="00CF7CC2"/>
    <w:rsid w:val="00CF7CDB"/>
    <w:rsid w:val="00CF7E91"/>
    <w:rsid w:val="00CF7FD8"/>
    <w:rsid w:val="00CFBDAF"/>
    <w:rsid w:val="00D00074"/>
    <w:rsid w:val="00D00298"/>
    <w:rsid w:val="00D002B6"/>
    <w:rsid w:val="00D0033D"/>
    <w:rsid w:val="00D003C4"/>
    <w:rsid w:val="00D0043F"/>
    <w:rsid w:val="00D00502"/>
    <w:rsid w:val="00D00504"/>
    <w:rsid w:val="00D0052B"/>
    <w:rsid w:val="00D00543"/>
    <w:rsid w:val="00D0054D"/>
    <w:rsid w:val="00D00581"/>
    <w:rsid w:val="00D006CC"/>
    <w:rsid w:val="00D00B30"/>
    <w:rsid w:val="00D00BAE"/>
    <w:rsid w:val="00D00C6A"/>
    <w:rsid w:val="00D00D57"/>
    <w:rsid w:val="00D00E05"/>
    <w:rsid w:val="00D00E34"/>
    <w:rsid w:val="00D00EAE"/>
    <w:rsid w:val="00D010FE"/>
    <w:rsid w:val="00D0124F"/>
    <w:rsid w:val="00D01524"/>
    <w:rsid w:val="00D01549"/>
    <w:rsid w:val="00D01674"/>
    <w:rsid w:val="00D01699"/>
    <w:rsid w:val="00D016CC"/>
    <w:rsid w:val="00D01735"/>
    <w:rsid w:val="00D01743"/>
    <w:rsid w:val="00D017AB"/>
    <w:rsid w:val="00D01A2C"/>
    <w:rsid w:val="00D01A60"/>
    <w:rsid w:val="00D01C1C"/>
    <w:rsid w:val="00D01C79"/>
    <w:rsid w:val="00D01E78"/>
    <w:rsid w:val="00D01E7F"/>
    <w:rsid w:val="00D0220D"/>
    <w:rsid w:val="00D0228C"/>
    <w:rsid w:val="00D022ED"/>
    <w:rsid w:val="00D023CE"/>
    <w:rsid w:val="00D02431"/>
    <w:rsid w:val="00D024AD"/>
    <w:rsid w:val="00D02572"/>
    <w:rsid w:val="00D02590"/>
    <w:rsid w:val="00D0274B"/>
    <w:rsid w:val="00D0287E"/>
    <w:rsid w:val="00D028B2"/>
    <w:rsid w:val="00D0293E"/>
    <w:rsid w:val="00D02AB0"/>
    <w:rsid w:val="00D02AC0"/>
    <w:rsid w:val="00D02CBB"/>
    <w:rsid w:val="00D02CF5"/>
    <w:rsid w:val="00D02D20"/>
    <w:rsid w:val="00D02D9B"/>
    <w:rsid w:val="00D02E0B"/>
    <w:rsid w:val="00D02FE0"/>
    <w:rsid w:val="00D0324A"/>
    <w:rsid w:val="00D0326C"/>
    <w:rsid w:val="00D0334B"/>
    <w:rsid w:val="00D034C7"/>
    <w:rsid w:val="00D03529"/>
    <w:rsid w:val="00D03536"/>
    <w:rsid w:val="00D0377D"/>
    <w:rsid w:val="00D037CC"/>
    <w:rsid w:val="00D0383A"/>
    <w:rsid w:val="00D039A3"/>
    <w:rsid w:val="00D039B6"/>
    <w:rsid w:val="00D03A4B"/>
    <w:rsid w:val="00D03ADE"/>
    <w:rsid w:val="00D03B54"/>
    <w:rsid w:val="00D03D03"/>
    <w:rsid w:val="00D03D4F"/>
    <w:rsid w:val="00D03E07"/>
    <w:rsid w:val="00D03EE2"/>
    <w:rsid w:val="00D03EE9"/>
    <w:rsid w:val="00D04024"/>
    <w:rsid w:val="00D04186"/>
    <w:rsid w:val="00D04187"/>
    <w:rsid w:val="00D042C4"/>
    <w:rsid w:val="00D04317"/>
    <w:rsid w:val="00D044C8"/>
    <w:rsid w:val="00D04678"/>
    <w:rsid w:val="00D046FB"/>
    <w:rsid w:val="00D0492D"/>
    <w:rsid w:val="00D04A36"/>
    <w:rsid w:val="00D04AFF"/>
    <w:rsid w:val="00D04C2C"/>
    <w:rsid w:val="00D04C47"/>
    <w:rsid w:val="00D04D3C"/>
    <w:rsid w:val="00D04FB0"/>
    <w:rsid w:val="00D05079"/>
    <w:rsid w:val="00D050C4"/>
    <w:rsid w:val="00D05150"/>
    <w:rsid w:val="00D05300"/>
    <w:rsid w:val="00D05372"/>
    <w:rsid w:val="00D05402"/>
    <w:rsid w:val="00D0543C"/>
    <w:rsid w:val="00D05455"/>
    <w:rsid w:val="00D0569C"/>
    <w:rsid w:val="00D05768"/>
    <w:rsid w:val="00D0576E"/>
    <w:rsid w:val="00D059A8"/>
    <w:rsid w:val="00D05A1D"/>
    <w:rsid w:val="00D05A8C"/>
    <w:rsid w:val="00D05B4D"/>
    <w:rsid w:val="00D05BE9"/>
    <w:rsid w:val="00D05E52"/>
    <w:rsid w:val="00D05E86"/>
    <w:rsid w:val="00D05EE1"/>
    <w:rsid w:val="00D06191"/>
    <w:rsid w:val="00D06259"/>
    <w:rsid w:val="00D06287"/>
    <w:rsid w:val="00D06382"/>
    <w:rsid w:val="00D0638B"/>
    <w:rsid w:val="00D0673E"/>
    <w:rsid w:val="00D0681D"/>
    <w:rsid w:val="00D0696F"/>
    <w:rsid w:val="00D0697D"/>
    <w:rsid w:val="00D069E9"/>
    <w:rsid w:val="00D06D2C"/>
    <w:rsid w:val="00D06E57"/>
    <w:rsid w:val="00D06F52"/>
    <w:rsid w:val="00D06FD4"/>
    <w:rsid w:val="00D06FF0"/>
    <w:rsid w:val="00D07035"/>
    <w:rsid w:val="00D070C7"/>
    <w:rsid w:val="00D07163"/>
    <w:rsid w:val="00D0727A"/>
    <w:rsid w:val="00D07353"/>
    <w:rsid w:val="00D075F1"/>
    <w:rsid w:val="00D07644"/>
    <w:rsid w:val="00D076B1"/>
    <w:rsid w:val="00D07713"/>
    <w:rsid w:val="00D078EC"/>
    <w:rsid w:val="00D07940"/>
    <w:rsid w:val="00D07DA1"/>
    <w:rsid w:val="00D07E57"/>
    <w:rsid w:val="00D07E60"/>
    <w:rsid w:val="00D0D34B"/>
    <w:rsid w:val="00D10026"/>
    <w:rsid w:val="00D10046"/>
    <w:rsid w:val="00D10066"/>
    <w:rsid w:val="00D10156"/>
    <w:rsid w:val="00D1024B"/>
    <w:rsid w:val="00D102F5"/>
    <w:rsid w:val="00D1039B"/>
    <w:rsid w:val="00D103D4"/>
    <w:rsid w:val="00D10407"/>
    <w:rsid w:val="00D10428"/>
    <w:rsid w:val="00D10603"/>
    <w:rsid w:val="00D108D8"/>
    <w:rsid w:val="00D108F8"/>
    <w:rsid w:val="00D1092D"/>
    <w:rsid w:val="00D109F7"/>
    <w:rsid w:val="00D10ADC"/>
    <w:rsid w:val="00D10BB2"/>
    <w:rsid w:val="00D10CAC"/>
    <w:rsid w:val="00D10CD2"/>
    <w:rsid w:val="00D10D7F"/>
    <w:rsid w:val="00D10F1A"/>
    <w:rsid w:val="00D10FF9"/>
    <w:rsid w:val="00D11137"/>
    <w:rsid w:val="00D111A8"/>
    <w:rsid w:val="00D11312"/>
    <w:rsid w:val="00D11352"/>
    <w:rsid w:val="00D11713"/>
    <w:rsid w:val="00D11728"/>
    <w:rsid w:val="00D117FA"/>
    <w:rsid w:val="00D11A29"/>
    <w:rsid w:val="00D11E8A"/>
    <w:rsid w:val="00D1209A"/>
    <w:rsid w:val="00D1214D"/>
    <w:rsid w:val="00D12158"/>
    <w:rsid w:val="00D122B5"/>
    <w:rsid w:val="00D122F1"/>
    <w:rsid w:val="00D125A7"/>
    <w:rsid w:val="00D126D0"/>
    <w:rsid w:val="00D126FA"/>
    <w:rsid w:val="00D12724"/>
    <w:rsid w:val="00D127EE"/>
    <w:rsid w:val="00D128C7"/>
    <w:rsid w:val="00D128C8"/>
    <w:rsid w:val="00D12961"/>
    <w:rsid w:val="00D12A57"/>
    <w:rsid w:val="00D12C10"/>
    <w:rsid w:val="00D12D36"/>
    <w:rsid w:val="00D12DB4"/>
    <w:rsid w:val="00D12DC7"/>
    <w:rsid w:val="00D12E5E"/>
    <w:rsid w:val="00D12F6E"/>
    <w:rsid w:val="00D13182"/>
    <w:rsid w:val="00D132FD"/>
    <w:rsid w:val="00D1332B"/>
    <w:rsid w:val="00D1380E"/>
    <w:rsid w:val="00D138D8"/>
    <w:rsid w:val="00D13900"/>
    <w:rsid w:val="00D13ADE"/>
    <w:rsid w:val="00D13B69"/>
    <w:rsid w:val="00D13C84"/>
    <w:rsid w:val="00D13D42"/>
    <w:rsid w:val="00D13EA0"/>
    <w:rsid w:val="00D13EE6"/>
    <w:rsid w:val="00D14023"/>
    <w:rsid w:val="00D140AA"/>
    <w:rsid w:val="00D140C2"/>
    <w:rsid w:val="00D14332"/>
    <w:rsid w:val="00D14442"/>
    <w:rsid w:val="00D14485"/>
    <w:rsid w:val="00D1449E"/>
    <w:rsid w:val="00D144C2"/>
    <w:rsid w:val="00D145CA"/>
    <w:rsid w:val="00D147D7"/>
    <w:rsid w:val="00D148D4"/>
    <w:rsid w:val="00D1492F"/>
    <w:rsid w:val="00D149B0"/>
    <w:rsid w:val="00D14A09"/>
    <w:rsid w:val="00D14AE6"/>
    <w:rsid w:val="00D14B58"/>
    <w:rsid w:val="00D14BBC"/>
    <w:rsid w:val="00D14BFC"/>
    <w:rsid w:val="00D14C09"/>
    <w:rsid w:val="00D14DA8"/>
    <w:rsid w:val="00D14E42"/>
    <w:rsid w:val="00D14E43"/>
    <w:rsid w:val="00D14F33"/>
    <w:rsid w:val="00D14F3F"/>
    <w:rsid w:val="00D14FC5"/>
    <w:rsid w:val="00D150A1"/>
    <w:rsid w:val="00D1517C"/>
    <w:rsid w:val="00D15295"/>
    <w:rsid w:val="00D152F4"/>
    <w:rsid w:val="00D1535A"/>
    <w:rsid w:val="00D1546A"/>
    <w:rsid w:val="00D1576F"/>
    <w:rsid w:val="00D15B34"/>
    <w:rsid w:val="00D15B81"/>
    <w:rsid w:val="00D15D42"/>
    <w:rsid w:val="00D15D73"/>
    <w:rsid w:val="00D15E64"/>
    <w:rsid w:val="00D15EAF"/>
    <w:rsid w:val="00D1604E"/>
    <w:rsid w:val="00D163A2"/>
    <w:rsid w:val="00D16434"/>
    <w:rsid w:val="00D169B0"/>
    <w:rsid w:val="00D16A44"/>
    <w:rsid w:val="00D16B74"/>
    <w:rsid w:val="00D16B8B"/>
    <w:rsid w:val="00D16BFF"/>
    <w:rsid w:val="00D16C2E"/>
    <w:rsid w:val="00D16CA6"/>
    <w:rsid w:val="00D16D6C"/>
    <w:rsid w:val="00D16D7B"/>
    <w:rsid w:val="00D16E24"/>
    <w:rsid w:val="00D16E6F"/>
    <w:rsid w:val="00D16EDE"/>
    <w:rsid w:val="00D16FD1"/>
    <w:rsid w:val="00D1707D"/>
    <w:rsid w:val="00D17155"/>
    <w:rsid w:val="00D17251"/>
    <w:rsid w:val="00D17325"/>
    <w:rsid w:val="00D173BA"/>
    <w:rsid w:val="00D175A7"/>
    <w:rsid w:val="00D17725"/>
    <w:rsid w:val="00D17783"/>
    <w:rsid w:val="00D1784B"/>
    <w:rsid w:val="00D17B1D"/>
    <w:rsid w:val="00D17B41"/>
    <w:rsid w:val="00D17B86"/>
    <w:rsid w:val="00D17E6B"/>
    <w:rsid w:val="00D17F64"/>
    <w:rsid w:val="00D20014"/>
    <w:rsid w:val="00D200C6"/>
    <w:rsid w:val="00D2023D"/>
    <w:rsid w:val="00D20261"/>
    <w:rsid w:val="00D20274"/>
    <w:rsid w:val="00D202A8"/>
    <w:rsid w:val="00D2039F"/>
    <w:rsid w:val="00D203E0"/>
    <w:rsid w:val="00D20824"/>
    <w:rsid w:val="00D208E7"/>
    <w:rsid w:val="00D20924"/>
    <w:rsid w:val="00D20A82"/>
    <w:rsid w:val="00D20B09"/>
    <w:rsid w:val="00D20D12"/>
    <w:rsid w:val="00D20D98"/>
    <w:rsid w:val="00D20DEF"/>
    <w:rsid w:val="00D20E99"/>
    <w:rsid w:val="00D20F46"/>
    <w:rsid w:val="00D20FA6"/>
    <w:rsid w:val="00D210F4"/>
    <w:rsid w:val="00D210FA"/>
    <w:rsid w:val="00D21327"/>
    <w:rsid w:val="00D213A0"/>
    <w:rsid w:val="00D213E9"/>
    <w:rsid w:val="00D213EA"/>
    <w:rsid w:val="00D21485"/>
    <w:rsid w:val="00D215C8"/>
    <w:rsid w:val="00D215D1"/>
    <w:rsid w:val="00D215D2"/>
    <w:rsid w:val="00D21619"/>
    <w:rsid w:val="00D216AC"/>
    <w:rsid w:val="00D21705"/>
    <w:rsid w:val="00D219B6"/>
    <w:rsid w:val="00D219F9"/>
    <w:rsid w:val="00D21A2D"/>
    <w:rsid w:val="00D21A5F"/>
    <w:rsid w:val="00D21A79"/>
    <w:rsid w:val="00D21AF2"/>
    <w:rsid w:val="00D21B3F"/>
    <w:rsid w:val="00D21B59"/>
    <w:rsid w:val="00D21C13"/>
    <w:rsid w:val="00D21D2F"/>
    <w:rsid w:val="00D21E46"/>
    <w:rsid w:val="00D21E47"/>
    <w:rsid w:val="00D2230D"/>
    <w:rsid w:val="00D2236E"/>
    <w:rsid w:val="00D2266F"/>
    <w:rsid w:val="00D226B6"/>
    <w:rsid w:val="00D226D6"/>
    <w:rsid w:val="00D22903"/>
    <w:rsid w:val="00D22B0C"/>
    <w:rsid w:val="00D22B6F"/>
    <w:rsid w:val="00D22D96"/>
    <w:rsid w:val="00D22EF4"/>
    <w:rsid w:val="00D22FB2"/>
    <w:rsid w:val="00D22FF6"/>
    <w:rsid w:val="00D23010"/>
    <w:rsid w:val="00D231AF"/>
    <w:rsid w:val="00D231CD"/>
    <w:rsid w:val="00D2381C"/>
    <w:rsid w:val="00D23830"/>
    <w:rsid w:val="00D238A7"/>
    <w:rsid w:val="00D23959"/>
    <w:rsid w:val="00D239F6"/>
    <w:rsid w:val="00D23B6F"/>
    <w:rsid w:val="00D23B78"/>
    <w:rsid w:val="00D23F6C"/>
    <w:rsid w:val="00D23FD1"/>
    <w:rsid w:val="00D24182"/>
    <w:rsid w:val="00D24561"/>
    <w:rsid w:val="00D24710"/>
    <w:rsid w:val="00D247C5"/>
    <w:rsid w:val="00D24815"/>
    <w:rsid w:val="00D2491C"/>
    <w:rsid w:val="00D24A06"/>
    <w:rsid w:val="00D24BF3"/>
    <w:rsid w:val="00D24C37"/>
    <w:rsid w:val="00D24DC8"/>
    <w:rsid w:val="00D24DE1"/>
    <w:rsid w:val="00D24E67"/>
    <w:rsid w:val="00D25052"/>
    <w:rsid w:val="00D251BC"/>
    <w:rsid w:val="00D251CC"/>
    <w:rsid w:val="00D254FF"/>
    <w:rsid w:val="00D25658"/>
    <w:rsid w:val="00D256F4"/>
    <w:rsid w:val="00D258C8"/>
    <w:rsid w:val="00D258F1"/>
    <w:rsid w:val="00D25971"/>
    <w:rsid w:val="00D25A68"/>
    <w:rsid w:val="00D25B57"/>
    <w:rsid w:val="00D25E42"/>
    <w:rsid w:val="00D26207"/>
    <w:rsid w:val="00D263D4"/>
    <w:rsid w:val="00D263F4"/>
    <w:rsid w:val="00D264EE"/>
    <w:rsid w:val="00D2653E"/>
    <w:rsid w:val="00D2678D"/>
    <w:rsid w:val="00D26792"/>
    <w:rsid w:val="00D2680C"/>
    <w:rsid w:val="00D2681B"/>
    <w:rsid w:val="00D268DA"/>
    <w:rsid w:val="00D26A6B"/>
    <w:rsid w:val="00D26AF8"/>
    <w:rsid w:val="00D26B6B"/>
    <w:rsid w:val="00D26C01"/>
    <w:rsid w:val="00D26CE5"/>
    <w:rsid w:val="00D26CFB"/>
    <w:rsid w:val="00D26D6A"/>
    <w:rsid w:val="00D26D77"/>
    <w:rsid w:val="00D26EA8"/>
    <w:rsid w:val="00D26EAF"/>
    <w:rsid w:val="00D26EE0"/>
    <w:rsid w:val="00D26F0C"/>
    <w:rsid w:val="00D2708D"/>
    <w:rsid w:val="00D270DA"/>
    <w:rsid w:val="00D271C4"/>
    <w:rsid w:val="00D27457"/>
    <w:rsid w:val="00D274FA"/>
    <w:rsid w:val="00D2769B"/>
    <w:rsid w:val="00D277FE"/>
    <w:rsid w:val="00D27A6C"/>
    <w:rsid w:val="00D27A9D"/>
    <w:rsid w:val="00D27AD4"/>
    <w:rsid w:val="00D27D7A"/>
    <w:rsid w:val="00D30073"/>
    <w:rsid w:val="00D300FB"/>
    <w:rsid w:val="00D301B9"/>
    <w:rsid w:val="00D301C9"/>
    <w:rsid w:val="00D30228"/>
    <w:rsid w:val="00D30419"/>
    <w:rsid w:val="00D305C8"/>
    <w:rsid w:val="00D305CE"/>
    <w:rsid w:val="00D307CB"/>
    <w:rsid w:val="00D30A4E"/>
    <w:rsid w:val="00D30A98"/>
    <w:rsid w:val="00D30C63"/>
    <w:rsid w:val="00D30DF3"/>
    <w:rsid w:val="00D310AA"/>
    <w:rsid w:val="00D310D8"/>
    <w:rsid w:val="00D3129F"/>
    <w:rsid w:val="00D313BC"/>
    <w:rsid w:val="00D313C1"/>
    <w:rsid w:val="00D314E8"/>
    <w:rsid w:val="00D31575"/>
    <w:rsid w:val="00D317AC"/>
    <w:rsid w:val="00D317BE"/>
    <w:rsid w:val="00D319F9"/>
    <w:rsid w:val="00D31AF7"/>
    <w:rsid w:val="00D31B06"/>
    <w:rsid w:val="00D31B6B"/>
    <w:rsid w:val="00D31C28"/>
    <w:rsid w:val="00D31C39"/>
    <w:rsid w:val="00D31D3E"/>
    <w:rsid w:val="00D31D57"/>
    <w:rsid w:val="00D31DCA"/>
    <w:rsid w:val="00D31E96"/>
    <w:rsid w:val="00D31FFA"/>
    <w:rsid w:val="00D32015"/>
    <w:rsid w:val="00D3203B"/>
    <w:rsid w:val="00D32041"/>
    <w:rsid w:val="00D320C7"/>
    <w:rsid w:val="00D320E8"/>
    <w:rsid w:val="00D32146"/>
    <w:rsid w:val="00D3264B"/>
    <w:rsid w:val="00D326A6"/>
    <w:rsid w:val="00D326B0"/>
    <w:rsid w:val="00D32977"/>
    <w:rsid w:val="00D32B67"/>
    <w:rsid w:val="00D32D89"/>
    <w:rsid w:val="00D32E39"/>
    <w:rsid w:val="00D32E83"/>
    <w:rsid w:val="00D330F6"/>
    <w:rsid w:val="00D3314D"/>
    <w:rsid w:val="00D33153"/>
    <w:rsid w:val="00D331C0"/>
    <w:rsid w:val="00D332AC"/>
    <w:rsid w:val="00D332C3"/>
    <w:rsid w:val="00D333D7"/>
    <w:rsid w:val="00D33475"/>
    <w:rsid w:val="00D33613"/>
    <w:rsid w:val="00D33957"/>
    <w:rsid w:val="00D33B82"/>
    <w:rsid w:val="00D33DB2"/>
    <w:rsid w:val="00D33DF2"/>
    <w:rsid w:val="00D33F5A"/>
    <w:rsid w:val="00D33F73"/>
    <w:rsid w:val="00D34088"/>
    <w:rsid w:val="00D34099"/>
    <w:rsid w:val="00D340AC"/>
    <w:rsid w:val="00D34326"/>
    <w:rsid w:val="00D34339"/>
    <w:rsid w:val="00D343DE"/>
    <w:rsid w:val="00D3443C"/>
    <w:rsid w:val="00D344AD"/>
    <w:rsid w:val="00D345E8"/>
    <w:rsid w:val="00D3482B"/>
    <w:rsid w:val="00D34894"/>
    <w:rsid w:val="00D3495B"/>
    <w:rsid w:val="00D34B72"/>
    <w:rsid w:val="00D34C69"/>
    <w:rsid w:val="00D34C91"/>
    <w:rsid w:val="00D34CA5"/>
    <w:rsid w:val="00D34E52"/>
    <w:rsid w:val="00D34F2F"/>
    <w:rsid w:val="00D352DD"/>
    <w:rsid w:val="00D355CA"/>
    <w:rsid w:val="00D355E7"/>
    <w:rsid w:val="00D35601"/>
    <w:rsid w:val="00D3575D"/>
    <w:rsid w:val="00D3583E"/>
    <w:rsid w:val="00D3599E"/>
    <w:rsid w:val="00D359AD"/>
    <w:rsid w:val="00D35B13"/>
    <w:rsid w:val="00D35C2E"/>
    <w:rsid w:val="00D35D9E"/>
    <w:rsid w:val="00D35E12"/>
    <w:rsid w:val="00D35EB4"/>
    <w:rsid w:val="00D35F0D"/>
    <w:rsid w:val="00D35F81"/>
    <w:rsid w:val="00D36146"/>
    <w:rsid w:val="00D361F0"/>
    <w:rsid w:val="00D3626A"/>
    <w:rsid w:val="00D36410"/>
    <w:rsid w:val="00D365A4"/>
    <w:rsid w:val="00D36682"/>
    <w:rsid w:val="00D3670E"/>
    <w:rsid w:val="00D36831"/>
    <w:rsid w:val="00D369B2"/>
    <w:rsid w:val="00D36B1A"/>
    <w:rsid w:val="00D36B20"/>
    <w:rsid w:val="00D36BDD"/>
    <w:rsid w:val="00D36C54"/>
    <w:rsid w:val="00D36DA8"/>
    <w:rsid w:val="00D36E92"/>
    <w:rsid w:val="00D36ECF"/>
    <w:rsid w:val="00D36F64"/>
    <w:rsid w:val="00D36FF6"/>
    <w:rsid w:val="00D3724F"/>
    <w:rsid w:val="00D3725D"/>
    <w:rsid w:val="00D37262"/>
    <w:rsid w:val="00D3742B"/>
    <w:rsid w:val="00D37483"/>
    <w:rsid w:val="00D374A2"/>
    <w:rsid w:val="00D3750D"/>
    <w:rsid w:val="00D378FA"/>
    <w:rsid w:val="00D37ABF"/>
    <w:rsid w:val="00D37BD6"/>
    <w:rsid w:val="00D37BF7"/>
    <w:rsid w:val="00D37CFB"/>
    <w:rsid w:val="00D37EBF"/>
    <w:rsid w:val="00D37ECE"/>
    <w:rsid w:val="00D37F23"/>
    <w:rsid w:val="00D4010E"/>
    <w:rsid w:val="00D4013D"/>
    <w:rsid w:val="00D403A5"/>
    <w:rsid w:val="00D404ED"/>
    <w:rsid w:val="00D4070A"/>
    <w:rsid w:val="00D407C7"/>
    <w:rsid w:val="00D40814"/>
    <w:rsid w:val="00D40832"/>
    <w:rsid w:val="00D408C3"/>
    <w:rsid w:val="00D4097F"/>
    <w:rsid w:val="00D409DE"/>
    <w:rsid w:val="00D409FA"/>
    <w:rsid w:val="00D40A08"/>
    <w:rsid w:val="00D40B9D"/>
    <w:rsid w:val="00D40E83"/>
    <w:rsid w:val="00D4106D"/>
    <w:rsid w:val="00D41088"/>
    <w:rsid w:val="00D4111F"/>
    <w:rsid w:val="00D4119F"/>
    <w:rsid w:val="00D41291"/>
    <w:rsid w:val="00D4136F"/>
    <w:rsid w:val="00D41403"/>
    <w:rsid w:val="00D417CA"/>
    <w:rsid w:val="00D41832"/>
    <w:rsid w:val="00D41AE3"/>
    <w:rsid w:val="00D41B7B"/>
    <w:rsid w:val="00D41FAA"/>
    <w:rsid w:val="00D4222D"/>
    <w:rsid w:val="00D422BD"/>
    <w:rsid w:val="00D422F2"/>
    <w:rsid w:val="00D42373"/>
    <w:rsid w:val="00D425C9"/>
    <w:rsid w:val="00D42625"/>
    <w:rsid w:val="00D42652"/>
    <w:rsid w:val="00D42726"/>
    <w:rsid w:val="00D42790"/>
    <w:rsid w:val="00D42C39"/>
    <w:rsid w:val="00D42C59"/>
    <w:rsid w:val="00D42C64"/>
    <w:rsid w:val="00D42D8E"/>
    <w:rsid w:val="00D42E95"/>
    <w:rsid w:val="00D42FEC"/>
    <w:rsid w:val="00D4316A"/>
    <w:rsid w:val="00D43265"/>
    <w:rsid w:val="00D432A6"/>
    <w:rsid w:val="00D4337B"/>
    <w:rsid w:val="00D43419"/>
    <w:rsid w:val="00D434F5"/>
    <w:rsid w:val="00D435CE"/>
    <w:rsid w:val="00D43683"/>
    <w:rsid w:val="00D43916"/>
    <w:rsid w:val="00D439CE"/>
    <w:rsid w:val="00D439DE"/>
    <w:rsid w:val="00D43A99"/>
    <w:rsid w:val="00D43B4A"/>
    <w:rsid w:val="00D43B52"/>
    <w:rsid w:val="00D43B82"/>
    <w:rsid w:val="00D43B9B"/>
    <w:rsid w:val="00D43C28"/>
    <w:rsid w:val="00D43CB7"/>
    <w:rsid w:val="00D43CBF"/>
    <w:rsid w:val="00D43CFB"/>
    <w:rsid w:val="00D43DD2"/>
    <w:rsid w:val="00D440F7"/>
    <w:rsid w:val="00D4419E"/>
    <w:rsid w:val="00D44425"/>
    <w:rsid w:val="00D4444A"/>
    <w:rsid w:val="00D4463C"/>
    <w:rsid w:val="00D44747"/>
    <w:rsid w:val="00D447E8"/>
    <w:rsid w:val="00D449BB"/>
    <w:rsid w:val="00D44A72"/>
    <w:rsid w:val="00D44D49"/>
    <w:rsid w:val="00D44E48"/>
    <w:rsid w:val="00D44ECC"/>
    <w:rsid w:val="00D44FC2"/>
    <w:rsid w:val="00D45140"/>
    <w:rsid w:val="00D4518C"/>
    <w:rsid w:val="00D452EB"/>
    <w:rsid w:val="00D454C0"/>
    <w:rsid w:val="00D45674"/>
    <w:rsid w:val="00D45690"/>
    <w:rsid w:val="00D456CC"/>
    <w:rsid w:val="00D456E8"/>
    <w:rsid w:val="00D45A0E"/>
    <w:rsid w:val="00D45B62"/>
    <w:rsid w:val="00D462EE"/>
    <w:rsid w:val="00D46304"/>
    <w:rsid w:val="00D46353"/>
    <w:rsid w:val="00D464BF"/>
    <w:rsid w:val="00D4656C"/>
    <w:rsid w:val="00D466E6"/>
    <w:rsid w:val="00D46796"/>
    <w:rsid w:val="00D4687C"/>
    <w:rsid w:val="00D4691C"/>
    <w:rsid w:val="00D46B27"/>
    <w:rsid w:val="00D46C35"/>
    <w:rsid w:val="00D46C94"/>
    <w:rsid w:val="00D46C99"/>
    <w:rsid w:val="00D46F2C"/>
    <w:rsid w:val="00D4701F"/>
    <w:rsid w:val="00D47020"/>
    <w:rsid w:val="00D47245"/>
    <w:rsid w:val="00D4727A"/>
    <w:rsid w:val="00D47356"/>
    <w:rsid w:val="00D47425"/>
    <w:rsid w:val="00D476C9"/>
    <w:rsid w:val="00D47794"/>
    <w:rsid w:val="00D47A45"/>
    <w:rsid w:val="00D47CD3"/>
    <w:rsid w:val="00D47D13"/>
    <w:rsid w:val="00D47D38"/>
    <w:rsid w:val="00D47DD7"/>
    <w:rsid w:val="00D47DE0"/>
    <w:rsid w:val="00D50139"/>
    <w:rsid w:val="00D5044B"/>
    <w:rsid w:val="00D504B9"/>
    <w:rsid w:val="00D50631"/>
    <w:rsid w:val="00D507EB"/>
    <w:rsid w:val="00D50896"/>
    <w:rsid w:val="00D50926"/>
    <w:rsid w:val="00D50A39"/>
    <w:rsid w:val="00D50A3A"/>
    <w:rsid w:val="00D50A4A"/>
    <w:rsid w:val="00D50B18"/>
    <w:rsid w:val="00D50C71"/>
    <w:rsid w:val="00D50D00"/>
    <w:rsid w:val="00D50D7E"/>
    <w:rsid w:val="00D50E32"/>
    <w:rsid w:val="00D510F7"/>
    <w:rsid w:val="00D511C3"/>
    <w:rsid w:val="00D512C9"/>
    <w:rsid w:val="00D512CA"/>
    <w:rsid w:val="00D512F9"/>
    <w:rsid w:val="00D51336"/>
    <w:rsid w:val="00D515E4"/>
    <w:rsid w:val="00D5160F"/>
    <w:rsid w:val="00D516EF"/>
    <w:rsid w:val="00D517C3"/>
    <w:rsid w:val="00D5181B"/>
    <w:rsid w:val="00D51A4B"/>
    <w:rsid w:val="00D51B7C"/>
    <w:rsid w:val="00D51DCC"/>
    <w:rsid w:val="00D51F42"/>
    <w:rsid w:val="00D5210D"/>
    <w:rsid w:val="00D522CE"/>
    <w:rsid w:val="00D524BC"/>
    <w:rsid w:val="00D526CC"/>
    <w:rsid w:val="00D528B1"/>
    <w:rsid w:val="00D528C3"/>
    <w:rsid w:val="00D529FD"/>
    <w:rsid w:val="00D52A16"/>
    <w:rsid w:val="00D52A42"/>
    <w:rsid w:val="00D52A9B"/>
    <w:rsid w:val="00D52AA7"/>
    <w:rsid w:val="00D52B8D"/>
    <w:rsid w:val="00D52C1D"/>
    <w:rsid w:val="00D52FC2"/>
    <w:rsid w:val="00D52FFB"/>
    <w:rsid w:val="00D530AD"/>
    <w:rsid w:val="00D530DD"/>
    <w:rsid w:val="00D530FA"/>
    <w:rsid w:val="00D53186"/>
    <w:rsid w:val="00D5318D"/>
    <w:rsid w:val="00D53250"/>
    <w:rsid w:val="00D532EF"/>
    <w:rsid w:val="00D532F0"/>
    <w:rsid w:val="00D533D2"/>
    <w:rsid w:val="00D534B0"/>
    <w:rsid w:val="00D534EB"/>
    <w:rsid w:val="00D53557"/>
    <w:rsid w:val="00D537CA"/>
    <w:rsid w:val="00D5382B"/>
    <w:rsid w:val="00D538C3"/>
    <w:rsid w:val="00D53971"/>
    <w:rsid w:val="00D539BF"/>
    <w:rsid w:val="00D539DE"/>
    <w:rsid w:val="00D53A6C"/>
    <w:rsid w:val="00D53C59"/>
    <w:rsid w:val="00D53E92"/>
    <w:rsid w:val="00D53F88"/>
    <w:rsid w:val="00D53FEE"/>
    <w:rsid w:val="00D54048"/>
    <w:rsid w:val="00D5407C"/>
    <w:rsid w:val="00D542DC"/>
    <w:rsid w:val="00D54301"/>
    <w:rsid w:val="00D54324"/>
    <w:rsid w:val="00D54443"/>
    <w:rsid w:val="00D54645"/>
    <w:rsid w:val="00D5469A"/>
    <w:rsid w:val="00D54785"/>
    <w:rsid w:val="00D5485A"/>
    <w:rsid w:val="00D549C6"/>
    <w:rsid w:val="00D54DE3"/>
    <w:rsid w:val="00D54F70"/>
    <w:rsid w:val="00D550A5"/>
    <w:rsid w:val="00D550D5"/>
    <w:rsid w:val="00D5511D"/>
    <w:rsid w:val="00D551F7"/>
    <w:rsid w:val="00D5523F"/>
    <w:rsid w:val="00D55336"/>
    <w:rsid w:val="00D553BC"/>
    <w:rsid w:val="00D553D2"/>
    <w:rsid w:val="00D557E7"/>
    <w:rsid w:val="00D559FB"/>
    <w:rsid w:val="00D55A24"/>
    <w:rsid w:val="00D55AA3"/>
    <w:rsid w:val="00D55DDD"/>
    <w:rsid w:val="00D55E70"/>
    <w:rsid w:val="00D55F1C"/>
    <w:rsid w:val="00D55F93"/>
    <w:rsid w:val="00D560DF"/>
    <w:rsid w:val="00D56145"/>
    <w:rsid w:val="00D56309"/>
    <w:rsid w:val="00D56327"/>
    <w:rsid w:val="00D56442"/>
    <w:rsid w:val="00D5675D"/>
    <w:rsid w:val="00D56884"/>
    <w:rsid w:val="00D569D1"/>
    <w:rsid w:val="00D56A27"/>
    <w:rsid w:val="00D56B78"/>
    <w:rsid w:val="00D56BD8"/>
    <w:rsid w:val="00D56D6E"/>
    <w:rsid w:val="00D56DD6"/>
    <w:rsid w:val="00D56EF0"/>
    <w:rsid w:val="00D570B9"/>
    <w:rsid w:val="00D5723F"/>
    <w:rsid w:val="00D57255"/>
    <w:rsid w:val="00D57370"/>
    <w:rsid w:val="00D574C1"/>
    <w:rsid w:val="00D576D2"/>
    <w:rsid w:val="00D576FC"/>
    <w:rsid w:val="00D577B1"/>
    <w:rsid w:val="00D578A2"/>
    <w:rsid w:val="00D578F1"/>
    <w:rsid w:val="00D57959"/>
    <w:rsid w:val="00D579C4"/>
    <w:rsid w:val="00D57A6B"/>
    <w:rsid w:val="00D57C08"/>
    <w:rsid w:val="00D57CEB"/>
    <w:rsid w:val="00D57E86"/>
    <w:rsid w:val="00D57F02"/>
    <w:rsid w:val="00D57F86"/>
    <w:rsid w:val="00D60125"/>
    <w:rsid w:val="00D6026C"/>
    <w:rsid w:val="00D60330"/>
    <w:rsid w:val="00D6034D"/>
    <w:rsid w:val="00D603AC"/>
    <w:rsid w:val="00D603AD"/>
    <w:rsid w:val="00D603FE"/>
    <w:rsid w:val="00D604B4"/>
    <w:rsid w:val="00D60518"/>
    <w:rsid w:val="00D60567"/>
    <w:rsid w:val="00D60583"/>
    <w:rsid w:val="00D605A8"/>
    <w:rsid w:val="00D606DA"/>
    <w:rsid w:val="00D607A8"/>
    <w:rsid w:val="00D608AB"/>
    <w:rsid w:val="00D6093F"/>
    <w:rsid w:val="00D60A66"/>
    <w:rsid w:val="00D60B96"/>
    <w:rsid w:val="00D60C3F"/>
    <w:rsid w:val="00D60C85"/>
    <w:rsid w:val="00D60DD6"/>
    <w:rsid w:val="00D60F25"/>
    <w:rsid w:val="00D61088"/>
    <w:rsid w:val="00D61276"/>
    <w:rsid w:val="00D613B1"/>
    <w:rsid w:val="00D613DC"/>
    <w:rsid w:val="00D6144E"/>
    <w:rsid w:val="00D616B3"/>
    <w:rsid w:val="00D61934"/>
    <w:rsid w:val="00D61C07"/>
    <w:rsid w:val="00D61C9D"/>
    <w:rsid w:val="00D61DF9"/>
    <w:rsid w:val="00D61ED5"/>
    <w:rsid w:val="00D61F31"/>
    <w:rsid w:val="00D6247D"/>
    <w:rsid w:val="00D6282E"/>
    <w:rsid w:val="00D62A42"/>
    <w:rsid w:val="00D62AFB"/>
    <w:rsid w:val="00D62BDF"/>
    <w:rsid w:val="00D62C70"/>
    <w:rsid w:val="00D62CE0"/>
    <w:rsid w:val="00D62D38"/>
    <w:rsid w:val="00D62F2D"/>
    <w:rsid w:val="00D6300A"/>
    <w:rsid w:val="00D63497"/>
    <w:rsid w:val="00D63535"/>
    <w:rsid w:val="00D6367A"/>
    <w:rsid w:val="00D63783"/>
    <w:rsid w:val="00D6380A"/>
    <w:rsid w:val="00D63A91"/>
    <w:rsid w:val="00D63B2B"/>
    <w:rsid w:val="00D63BAB"/>
    <w:rsid w:val="00D63CB1"/>
    <w:rsid w:val="00D63D19"/>
    <w:rsid w:val="00D63D40"/>
    <w:rsid w:val="00D63DE3"/>
    <w:rsid w:val="00D63EFE"/>
    <w:rsid w:val="00D63F78"/>
    <w:rsid w:val="00D640A0"/>
    <w:rsid w:val="00D641A7"/>
    <w:rsid w:val="00D6461D"/>
    <w:rsid w:val="00D64654"/>
    <w:rsid w:val="00D64743"/>
    <w:rsid w:val="00D64820"/>
    <w:rsid w:val="00D64823"/>
    <w:rsid w:val="00D6484B"/>
    <w:rsid w:val="00D6485E"/>
    <w:rsid w:val="00D64D4B"/>
    <w:rsid w:val="00D64D69"/>
    <w:rsid w:val="00D64DAB"/>
    <w:rsid w:val="00D64E46"/>
    <w:rsid w:val="00D64FD3"/>
    <w:rsid w:val="00D65188"/>
    <w:rsid w:val="00D651BD"/>
    <w:rsid w:val="00D6522B"/>
    <w:rsid w:val="00D65269"/>
    <w:rsid w:val="00D65371"/>
    <w:rsid w:val="00D65420"/>
    <w:rsid w:val="00D654B6"/>
    <w:rsid w:val="00D65907"/>
    <w:rsid w:val="00D6596A"/>
    <w:rsid w:val="00D65A73"/>
    <w:rsid w:val="00D65AAF"/>
    <w:rsid w:val="00D65B91"/>
    <w:rsid w:val="00D65C84"/>
    <w:rsid w:val="00D66064"/>
    <w:rsid w:val="00D662D4"/>
    <w:rsid w:val="00D662DC"/>
    <w:rsid w:val="00D66579"/>
    <w:rsid w:val="00D66615"/>
    <w:rsid w:val="00D6662A"/>
    <w:rsid w:val="00D6668C"/>
    <w:rsid w:val="00D667C8"/>
    <w:rsid w:val="00D667C9"/>
    <w:rsid w:val="00D66869"/>
    <w:rsid w:val="00D66A3B"/>
    <w:rsid w:val="00D66B27"/>
    <w:rsid w:val="00D66BD9"/>
    <w:rsid w:val="00D66D7F"/>
    <w:rsid w:val="00D66E0F"/>
    <w:rsid w:val="00D66E47"/>
    <w:rsid w:val="00D66F27"/>
    <w:rsid w:val="00D66F54"/>
    <w:rsid w:val="00D66FC6"/>
    <w:rsid w:val="00D6712E"/>
    <w:rsid w:val="00D67172"/>
    <w:rsid w:val="00D67359"/>
    <w:rsid w:val="00D673FA"/>
    <w:rsid w:val="00D6742E"/>
    <w:rsid w:val="00D674D7"/>
    <w:rsid w:val="00D676CF"/>
    <w:rsid w:val="00D67702"/>
    <w:rsid w:val="00D67729"/>
    <w:rsid w:val="00D6775A"/>
    <w:rsid w:val="00D677EA"/>
    <w:rsid w:val="00D67862"/>
    <w:rsid w:val="00D67A04"/>
    <w:rsid w:val="00D67B28"/>
    <w:rsid w:val="00D67BD9"/>
    <w:rsid w:val="00D67CE6"/>
    <w:rsid w:val="00D67DA4"/>
    <w:rsid w:val="00D67E4D"/>
    <w:rsid w:val="00D67EE4"/>
    <w:rsid w:val="00D67EF5"/>
    <w:rsid w:val="00D67F65"/>
    <w:rsid w:val="00D67F66"/>
    <w:rsid w:val="00D67FB4"/>
    <w:rsid w:val="00D70028"/>
    <w:rsid w:val="00D705A2"/>
    <w:rsid w:val="00D7061D"/>
    <w:rsid w:val="00D709F9"/>
    <w:rsid w:val="00D70A4A"/>
    <w:rsid w:val="00D70A8D"/>
    <w:rsid w:val="00D70DB3"/>
    <w:rsid w:val="00D70F2D"/>
    <w:rsid w:val="00D70F54"/>
    <w:rsid w:val="00D71110"/>
    <w:rsid w:val="00D71159"/>
    <w:rsid w:val="00D711A9"/>
    <w:rsid w:val="00D7123A"/>
    <w:rsid w:val="00D71353"/>
    <w:rsid w:val="00D71405"/>
    <w:rsid w:val="00D71549"/>
    <w:rsid w:val="00D7173F"/>
    <w:rsid w:val="00D717F2"/>
    <w:rsid w:val="00D71916"/>
    <w:rsid w:val="00D71A88"/>
    <w:rsid w:val="00D71C45"/>
    <w:rsid w:val="00D71C81"/>
    <w:rsid w:val="00D71E1A"/>
    <w:rsid w:val="00D71E3F"/>
    <w:rsid w:val="00D71EC1"/>
    <w:rsid w:val="00D7209A"/>
    <w:rsid w:val="00D72390"/>
    <w:rsid w:val="00D723E8"/>
    <w:rsid w:val="00D72594"/>
    <w:rsid w:val="00D726D1"/>
    <w:rsid w:val="00D727DF"/>
    <w:rsid w:val="00D72A18"/>
    <w:rsid w:val="00D72A7C"/>
    <w:rsid w:val="00D72B46"/>
    <w:rsid w:val="00D72C31"/>
    <w:rsid w:val="00D72C4E"/>
    <w:rsid w:val="00D72CC3"/>
    <w:rsid w:val="00D72CF3"/>
    <w:rsid w:val="00D72D72"/>
    <w:rsid w:val="00D72F52"/>
    <w:rsid w:val="00D72F70"/>
    <w:rsid w:val="00D72F78"/>
    <w:rsid w:val="00D7303E"/>
    <w:rsid w:val="00D73095"/>
    <w:rsid w:val="00D731F6"/>
    <w:rsid w:val="00D73310"/>
    <w:rsid w:val="00D73367"/>
    <w:rsid w:val="00D7338C"/>
    <w:rsid w:val="00D7343B"/>
    <w:rsid w:val="00D735C1"/>
    <w:rsid w:val="00D738CD"/>
    <w:rsid w:val="00D7398C"/>
    <w:rsid w:val="00D739E3"/>
    <w:rsid w:val="00D73ABC"/>
    <w:rsid w:val="00D73AD8"/>
    <w:rsid w:val="00D73B76"/>
    <w:rsid w:val="00D73C22"/>
    <w:rsid w:val="00D73C67"/>
    <w:rsid w:val="00D73CE7"/>
    <w:rsid w:val="00D73D05"/>
    <w:rsid w:val="00D73FD2"/>
    <w:rsid w:val="00D74175"/>
    <w:rsid w:val="00D741CE"/>
    <w:rsid w:val="00D74610"/>
    <w:rsid w:val="00D7469B"/>
    <w:rsid w:val="00D7481B"/>
    <w:rsid w:val="00D748B9"/>
    <w:rsid w:val="00D74927"/>
    <w:rsid w:val="00D749C5"/>
    <w:rsid w:val="00D749DF"/>
    <w:rsid w:val="00D74A49"/>
    <w:rsid w:val="00D74A4B"/>
    <w:rsid w:val="00D74A9D"/>
    <w:rsid w:val="00D74AA2"/>
    <w:rsid w:val="00D74BAD"/>
    <w:rsid w:val="00D74BEF"/>
    <w:rsid w:val="00D74CF5"/>
    <w:rsid w:val="00D74D2A"/>
    <w:rsid w:val="00D74D98"/>
    <w:rsid w:val="00D74DBF"/>
    <w:rsid w:val="00D74DEB"/>
    <w:rsid w:val="00D74E78"/>
    <w:rsid w:val="00D74EEC"/>
    <w:rsid w:val="00D74F6E"/>
    <w:rsid w:val="00D75011"/>
    <w:rsid w:val="00D750D5"/>
    <w:rsid w:val="00D75144"/>
    <w:rsid w:val="00D7517A"/>
    <w:rsid w:val="00D75295"/>
    <w:rsid w:val="00D75386"/>
    <w:rsid w:val="00D75394"/>
    <w:rsid w:val="00D753A2"/>
    <w:rsid w:val="00D7543B"/>
    <w:rsid w:val="00D7553A"/>
    <w:rsid w:val="00D757A9"/>
    <w:rsid w:val="00D75B9C"/>
    <w:rsid w:val="00D75DDF"/>
    <w:rsid w:val="00D75E03"/>
    <w:rsid w:val="00D76012"/>
    <w:rsid w:val="00D760EC"/>
    <w:rsid w:val="00D762A1"/>
    <w:rsid w:val="00D764E7"/>
    <w:rsid w:val="00D76632"/>
    <w:rsid w:val="00D766B7"/>
    <w:rsid w:val="00D766DC"/>
    <w:rsid w:val="00D76813"/>
    <w:rsid w:val="00D76A6A"/>
    <w:rsid w:val="00D76AC7"/>
    <w:rsid w:val="00D76AE1"/>
    <w:rsid w:val="00D76B5F"/>
    <w:rsid w:val="00D76CA2"/>
    <w:rsid w:val="00D76D67"/>
    <w:rsid w:val="00D77076"/>
    <w:rsid w:val="00D7708B"/>
    <w:rsid w:val="00D7711C"/>
    <w:rsid w:val="00D7719D"/>
    <w:rsid w:val="00D772C0"/>
    <w:rsid w:val="00D77438"/>
    <w:rsid w:val="00D77461"/>
    <w:rsid w:val="00D7746B"/>
    <w:rsid w:val="00D7768F"/>
    <w:rsid w:val="00D77876"/>
    <w:rsid w:val="00D77A10"/>
    <w:rsid w:val="00D77A1D"/>
    <w:rsid w:val="00D77A75"/>
    <w:rsid w:val="00D77B4F"/>
    <w:rsid w:val="00D77C13"/>
    <w:rsid w:val="00D77D1B"/>
    <w:rsid w:val="00D77E5C"/>
    <w:rsid w:val="00D77F6E"/>
    <w:rsid w:val="00D77FF2"/>
    <w:rsid w:val="00D80085"/>
    <w:rsid w:val="00D8035A"/>
    <w:rsid w:val="00D804D9"/>
    <w:rsid w:val="00D805AD"/>
    <w:rsid w:val="00D805F2"/>
    <w:rsid w:val="00D80815"/>
    <w:rsid w:val="00D80B60"/>
    <w:rsid w:val="00D80C05"/>
    <w:rsid w:val="00D80EA2"/>
    <w:rsid w:val="00D80F3C"/>
    <w:rsid w:val="00D8113A"/>
    <w:rsid w:val="00D81221"/>
    <w:rsid w:val="00D8141F"/>
    <w:rsid w:val="00D8142C"/>
    <w:rsid w:val="00D814F3"/>
    <w:rsid w:val="00D81536"/>
    <w:rsid w:val="00D815CE"/>
    <w:rsid w:val="00D817D9"/>
    <w:rsid w:val="00D81851"/>
    <w:rsid w:val="00D8196A"/>
    <w:rsid w:val="00D81A20"/>
    <w:rsid w:val="00D81ADB"/>
    <w:rsid w:val="00D81BE2"/>
    <w:rsid w:val="00D81C70"/>
    <w:rsid w:val="00D81D09"/>
    <w:rsid w:val="00D81F1D"/>
    <w:rsid w:val="00D821E1"/>
    <w:rsid w:val="00D821E8"/>
    <w:rsid w:val="00D8233A"/>
    <w:rsid w:val="00D823D9"/>
    <w:rsid w:val="00D824A6"/>
    <w:rsid w:val="00D82530"/>
    <w:rsid w:val="00D825F3"/>
    <w:rsid w:val="00D826A5"/>
    <w:rsid w:val="00D826F3"/>
    <w:rsid w:val="00D82722"/>
    <w:rsid w:val="00D82731"/>
    <w:rsid w:val="00D82779"/>
    <w:rsid w:val="00D82792"/>
    <w:rsid w:val="00D82823"/>
    <w:rsid w:val="00D829D6"/>
    <w:rsid w:val="00D82AA8"/>
    <w:rsid w:val="00D82CBD"/>
    <w:rsid w:val="00D82CFB"/>
    <w:rsid w:val="00D82D11"/>
    <w:rsid w:val="00D82F48"/>
    <w:rsid w:val="00D82F92"/>
    <w:rsid w:val="00D83178"/>
    <w:rsid w:val="00D83316"/>
    <w:rsid w:val="00D83585"/>
    <w:rsid w:val="00D83AE5"/>
    <w:rsid w:val="00D83D06"/>
    <w:rsid w:val="00D83D4C"/>
    <w:rsid w:val="00D83E37"/>
    <w:rsid w:val="00D83E7E"/>
    <w:rsid w:val="00D83EBA"/>
    <w:rsid w:val="00D83F31"/>
    <w:rsid w:val="00D83FD3"/>
    <w:rsid w:val="00D8405C"/>
    <w:rsid w:val="00D841BE"/>
    <w:rsid w:val="00D841D1"/>
    <w:rsid w:val="00D841EB"/>
    <w:rsid w:val="00D8425C"/>
    <w:rsid w:val="00D84331"/>
    <w:rsid w:val="00D8435E"/>
    <w:rsid w:val="00D84521"/>
    <w:rsid w:val="00D84588"/>
    <w:rsid w:val="00D845CB"/>
    <w:rsid w:val="00D84622"/>
    <w:rsid w:val="00D84717"/>
    <w:rsid w:val="00D84B2B"/>
    <w:rsid w:val="00D84C58"/>
    <w:rsid w:val="00D84CC6"/>
    <w:rsid w:val="00D84FC4"/>
    <w:rsid w:val="00D85340"/>
    <w:rsid w:val="00D85696"/>
    <w:rsid w:val="00D856BE"/>
    <w:rsid w:val="00D8574B"/>
    <w:rsid w:val="00D85774"/>
    <w:rsid w:val="00D85890"/>
    <w:rsid w:val="00D859D0"/>
    <w:rsid w:val="00D859EA"/>
    <w:rsid w:val="00D85D05"/>
    <w:rsid w:val="00D85D8D"/>
    <w:rsid w:val="00D86055"/>
    <w:rsid w:val="00D86146"/>
    <w:rsid w:val="00D862EB"/>
    <w:rsid w:val="00D86382"/>
    <w:rsid w:val="00D868B3"/>
    <w:rsid w:val="00D86C0C"/>
    <w:rsid w:val="00D86EA3"/>
    <w:rsid w:val="00D86F47"/>
    <w:rsid w:val="00D8702A"/>
    <w:rsid w:val="00D8715D"/>
    <w:rsid w:val="00D872CE"/>
    <w:rsid w:val="00D873A3"/>
    <w:rsid w:val="00D87521"/>
    <w:rsid w:val="00D8759A"/>
    <w:rsid w:val="00D875A1"/>
    <w:rsid w:val="00D875C2"/>
    <w:rsid w:val="00D875FD"/>
    <w:rsid w:val="00D876B1"/>
    <w:rsid w:val="00D87759"/>
    <w:rsid w:val="00D8778B"/>
    <w:rsid w:val="00D877AD"/>
    <w:rsid w:val="00D8781A"/>
    <w:rsid w:val="00D8794B"/>
    <w:rsid w:val="00D879EA"/>
    <w:rsid w:val="00D87BFD"/>
    <w:rsid w:val="00D87CDD"/>
    <w:rsid w:val="00D87DF1"/>
    <w:rsid w:val="00D87E03"/>
    <w:rsid w:val="00D87E43"/>
    <w:rsid w:val="00D87F6F"/>
    <w:rsid w:val="00D8E621"/>
    <w:rsid w:val="00D9005A"/>
    <w:rsid w:val="00D90150"/>
    <w:rsid w:val="00D901A8"/>
    <w:rsid w:val="00D9030F"/>
    <w:rsid w:val="00D90475"/>
    <w:rsid w:val="00D90644"/>
    <w:rsid w:val="00D906CE"/>
    <w:rsid w:val="00D90791"/>
    <w:rsid w:val="00D9083E"/>
    <w:rsid w:val="00D90A6D"/>
    <w:rsid w:val="00D90AAB"/>
    <w:rsid w:val="00D90ACE"/>
    <w:rsid w:val="00D90C80"/>
    <w:rsid w:val="00D90D90"/>
    <w:rsid w:val="00D9124D"/>
    <w:rsid w:val="00D91251"/>
    <w:rsid w:val="00D912CB"/>
    <w:rsid w:val="00D91559"/>
    <w:rsid w:val="00D9169A"/>
    <w:rsid w:val="00D916F2"/>
    <w:rsid w:val="00D91A5B"/>
    <w:rsid w:val="00D91F51"/>
    <w:rsid w:val="00D92233"/>
    <w:rsid w:val="00D9224F"/>
    <w:rsid w:val="00D922A0"/>
    <w:rsid w:val="00D92443"/>
    <w:rsid w:val="00D9258D"/>
    <w:rsid w:val="00D925D5"/>
    <w:rsid w:val="00D92707"/>
    <w:rsid w:val="00D9284F"/>
    <w:rsid w:val="00D9296C"/>
    <w:rsid w:val="00D929F8"/>
    <w:rsid w:val="00D929FC"/>
    <w:rsid w:val="00D92C0F"/>
    <w:rsid w:val="00D92C12"/>
    <w:rsid w:val="00D92CDF"/>
    <w:rsid w:val="00D92DF2"/>
    <w:rsid w:val="00D92EBB"/>
    <w:rsid w:val="00D92F46"/>
    <w:rsid w:val="00D93003"/>
    <w:rsid w:val="00D93142"/>
    <w:rsid w:val="00D93147"/>
    <w:rsid w:val="00D933C5"/>
    <w:rsid w:val="00D933D2"/>
    <w:rsid w:val="00D933E4"/>
    <w:rsid w:val="00D93508"/>
    <w:rsid w:val="00D93633"/>
    <w:rsid w:val="00D9383A"/>
    <w:rsid w:val="00D93D8A"/>
    <w:rsid w:val="00D9402B"/>
    <w:rsid w:val="00D941FF"/>
    <w:rsid w:val="00D94291"/>
    <w:rsid w:val="00D942F2"/>
    <w:rsid w:val="00D94345"/>
    <w:rsid w:val="00D94390"/>
    <w:rsid w:val="00D946A4"/>
    <w:rsid w:val="00D94ADA"/>
    <w:rsid w:val="00D94DA7"/>
    <w:rsid w:val="00D94E89"/>
    <w:rsid w:val="00D951AD"/>
    <w:rsid w:val="00D95619"/>
    <w:rsid w:val="00D956FB"/>
    <w:rsid w:val="00D95894"/>
    <w:rsid w:val="00D959D7"/>
    <w:rsid w:val="00D95CF2"/>
    <w:rsid w:val="00D95D18"/>
    <w:rsid w:val="00D95EDF"/>
    <w:rsid w:val="00D96066"/>
    <w:rsid w:val="00D96083"/>
    <w:rsid w:val="00D963AC"/>
    <w:rsid w:val="00D963D9"/>
    <w:rsid w:val="00D968EC"/>
    <w:rsid w:val="00D96B6C"/>
    <w:rsid w:val="00D96BA6"/>
    <w:rsid w:val="00D96BB2"/>
    <w:rsid w:val="00D96C70"/>
    <w:rsid w:val="00D96CDF"/>
    <w:rsid w:val="00D96D76"/>
    <w:rsid w:val="00D9708B"/>
    <w:rsid w:val="00D971BA"/>
    <w:rsid w:val="00D97283"/>
    <w:rsid w:val="00D9738A"/>
    <w:rsid w:val="00D97478"/>
    <w:rsid w:val="00D974D4"/>
    <w:rsid w:val="00D97554"/>
    <w:rsid w:val="00D9758D"/>
    <w:rsid w:val="00D97694"/>
    <w:rsid w:val="00D97715"/>
    <w:rsid w:val="00D97734"/>
    <w:rsid w:val="00D97A29"/>
    <w:rsid w:val="00D97AE0"/>
    <w:rsid w:val="00D97B20"/>
    <w:rsid w:val="00D97B73"/>
    <w:rsid w:val="00D97C97"/>
    <w:rsid w:val="00DA010F"/>
    <w:rsid w:val="00DA0143"/>
    <w:rsid w:val="00DA0199"/>
    <w:rsid w:val="00DA01D1"/>
    <w:rsid w:val="00DA029D"/>
    <w:rsid w:val="00DA0332"/>
    <w:rsid w:val="00DA0486"/>
    <w:rsid w:val="00DA04F0"/>
    <w:rsid w:val="00DA06A8"/>
    <w:rsid w:val="00DA0851"/>
    <w:rsid w:val="00DA094A"/>
    <w:rsid w:val="00DA0A5C"/>
    <w:rsid w:val="00DA0A97"/>
    <w:rsid w:val="00DA0B51"/>
    <w:rsid w:val="00DA0C1A"/>
    <w:rsid w:val="00DA0E47"/>
    <w:rsid w:val="00DA10D5"/>
    <w:rsid w:val="00DA1158"/>
    <w:rsid w:val="00DA1233"/>
    <w:rsid w:val="00DA132E"/>
    <w:rsid w:val="00DA133A"/>
    <w:rsid w:val="00DA1366"/>
    <w:rsid w:val="00DA1485"/>
    <w:rsid w:val="00DA14E4"/>
    <w:rsid w:val="00DA1636"/>
    <w:rsid w:val="00DA163A"/>
    <w:rsid w:val="00DA171B"/>
    <w:rsid w:val="00DA18EE"/>
    <w:rsid w:val="00DA18EF"/>
    <w:rsid w:val="00DA18F1"/>
    <w:rsid w:val="00DA197D"/>
    <w:rsid w:val="00DA1984"/>
    <w:rsid w:val="00DA1A80"/>
    <w:rsid w:val="00DA1B47"/>
    <w:rsid w:val="00DA1B63"/>
    <w:rsid w:val="00DA1F50"/>
    <w:rsid w:val="00DA1FAF"/>
    <w:rsid w:val="00DA2069"/>
    <w:rsid w:val="00DA21EF"/>
    <w:rsid w:val="00DA2257"/>
    <w:rsid w:val="00DA22B3"/>
    <w:rsid w:val="00DA23D9"/>
    <w:rsid w:val="00DA2601"/>
    <w:rsid w:val="00DA2657"/>
    <w:rsid w:val="00DA26CA"/>
    <w:rsid w:val="00DA2956"/>
    <w:rsid w:val="00DA2DDD"/>
    <w:rsid w:val="00DA2E0B"/>
    <w:rsid w:val="00DA2F27"/>
    <w:rsid w:val="00DA2FF9"/>
    <w:rsid w:val="00DA30CC"/>
    <w:rsid w:val="00DA313D"/>
    <w:rsid w:val="00DA3444"/>
    <w:rsid w:val="00DA34D1"/>
    <w:rsid w:val="00DA367A"/>
    <w:rsid w:val="00DA371D"/>
    <w:rsid w:val="00DA3742"/>
    <w:rsid w:val="00DA3A36"/>
    <w:rsid w:val="00DA3A57"/>
    <w:rsid w:val="00DA3AA8"/>
    <w:rsid w:val="00DA3B98"/>
    <w:rsid w:val="00DA3BCA"/>
    <w:rsid w:val="00DA3CBE"/>
    <w:rsid w:val="00DA3D29"/>
    <w:rsid w:val="00DA3DA2"/>
    <w:rsid w:val="00DA3E80"/>
    <w:rsid w:val="00DA3F3B"/>
    <w:rsid w:val="00DA3F62"/>
    <w:rsid w:val="00DA435B"/>
    <w:rsid w:val="00DA4376"/>
    <w:rsid w:val="00DA4380"/>
    <w:rsid w:val="00DA47C8"/>
    <w:rsid w:val="00DA4BE4"/>
    <w:rsid w:val="00DA4C60"/>
    <w:rsid w:val="00DA4DC6"/>
    <w:rsid w:val="00DA4E53"/>
    <w:rsid w:val="00DA4E77"/>
    <w:rsid w:val="00DA502F"/>
    <w:rsid w:val="00DA5109"/>
    <w:rsid w:val="00DA517C"/>
    <w:rsid w:val="00DA5191"/>
    <w:rsid w:val="00DA5329"/>
    <w:rsid w:val="00DA5562"/>
    <w:rsid w:val="00DA55A8"/>
    <w:rsid w:val="00DA56B7"/>
    <w:rsid w:val="00DA5786"/>
    <w:rsid w:val="00DA5A82"/>
    <w:rsid w:val="00DA5A88"/>
    <w:rsid w:val="00DA5E18"/>
    <w:rsid w:val="00DA5E4B"/>
    <w:rsid w:val="00DA6066"/>
    <w:rsid w:val="00DA60C3"/>
    <w:rsid w:val="00DA611F"/>
    <w:rsid w:val="00DA6196"/>
    <w:rsid w:val="00DA61E9"/>
    <w:rsid w:val="00DA6267"/>
    <w:rsid w:val="00DA6282"/>
    <w:rsid w:val="00DA629A"/>
    <w:rsid w:val="00DA62FF"/>
    <w:rsid w:val="00DA638B"/>
    <w:rsid w:val="00DA644A"/>
    <w:rsid w:val="00DA665E"/>
    <w:rsid w:val="00DA6689"/>
    <w:rsid w:val="00DA669C"/>
    <w:rsid w:val="00DA66BE"/>
    <w:rsid w:val="00DA6772"/>
    <w:rsid w:val="00DA6A14"/>
    <w:rsid w:val="00DA6A8C"/>
    <w:rsid w:val="00DA6AB9"/>
    <w:rsid w:val="00DA6D50"/>
    <w:rsid w:val="00DA6E21"/>
    <w:rsid w:val="00DA6E60"/>
    <w:rsid w:val="00DA6F33"/>
    <w:rsid w:val="00DA71DC"/>
    <w:rsid w:val="00DA71E4"/>
    <w:rsid w:val="00DA727C"/>
    <w:rsid w:val="00DA73E0"/>
    <w:rsid w:val="00DA73F0"/>
    <w:rsid w:val="00DA7618"/>
    <w:rsid w:val="00DA76BB"/>
    <w:rsid w:val="00DA76CC"/>
    <w:rsid w:val="00DA76CD"/>
    <w:rsid w:val="00DA7777"/>
    <w:rsid w:val="00DA7A74"/>
    <w:rsid w:val="00DA7AD0"/>
    <w:rsid w:val="00DA7B47"/>
    <w:rsid w:val="00DA7CA2"/>
    <w:rsid w:val="00DA7DD7"/>
    <w:rsid w:val="00DA7EE2"/>
    <w:rsid w:val="00DA7F19"/>
    <w:rsid w:val="00DA8161"/>
    <w:rsid w:val="00DB0058"/>
    <w:rsid w:val="00DB01A6"/>
    <w:rsid w:val="00DB0230"/>
    <w:rsid w:val="00DB02DC"/>
    <w:rsid w:val="00DB0348"/>
    <w:rsid w:val="00DB04AE"/>
    <w:rsid w:val="00DB051F"/>
    <w:rsid w:val="00DB0543"/>
    <w:rsid w:val="00DB05D0"/>
    <w:rsid w:val="00DB0629"/>
    <w:rsid w:val="00DB062E"/>
    <w:rsid w:val="00DB064B"/>
    <w:rsid w:val="00DB075E"/>
    <w:rsid w:val="00DB0784"/>
    <w:rsid w:val="00DB07D1"/>
    <w:rsid w:val="00DB07EF"/>
    <w:rsid w:val="00DB08B2"/>
    <w:rsid w:val="00DB0A16"/>
    <w:rsid w:val="00DB0BED"/>
    <w:rsid w:val="00DB0CB3"/>
    <w:rsid w:val="00DB0E09"/>
    <w:rsid w:val="00DB0EB1"/>
    <w:rsid w:val="00DB0EBA"/>
    <w:rsid w:val="00DB0F43"/>
    <w:rsid w:val="00DB10D3"/>
    <w:rsid w:val="00DB11CE"/>
    <w:rsid w:val="00DB137B"/>
    <w:rsid w:val="00DB14AE"/>
    <w:rsid w:val="00DB15CD"/>
    <w:rsid w:val="00DB163F"/>
    <w:rsid w:val="00DB16EE"/>
    <w:rsid w:val="00DB1850"/>
    <w:rsid w:val="00DB19A2"/>
    <w:rsid w:val="00DB19A5"/>
    <w:rsid w:val="00DB1B4B"/>
    <w:rsid w:val="00DB1BFD"/>
    <w:rsid w:val="00DB1CDE"/>
    <w:rsid w:val="00DB1CE1"/>
    <w:rsid w:val="00DB1DFA"/>
    <w:rsid w:val="00DB1E53"/>
    <w:rsid w:val="00DB1F00"/>
    <w:rsid w:val="00DB1FCA"/>
    <w:rsid w:val="00DB2092"/>
    <w:rsid w:val="00DB21DD"/>
    <w:rsid w:val="00DB21FC"/>
    <w:rsid w:val="00DB2226"/>
    <w:rsid w:val="00DB249A"/>
    <w:rsid w:val="00DB24B5"/>
    <w:rsid w:val="00DB2898"/>
    <w:rsid w:val="00DB293C"/>
    <w:rsid w:val="00DB29AE"/>
    <w:rsid w:val="00DB2A12"/>
    <w:rsid w:val="00DB2A91"/>
    <w:rsid w:val="00DB2AAD"/>
    <w:rsid w:val="00DB2AF3"/>
    <w:rsid w:val="00DB2BEC"/>
    <w:rsid w:val="00DB2C8D"/>
    <w:rsid w:val="00DB2CCD"/>
    <w:rsid w:val="00DB2D62"/>
    <w:rsid w:val="00DB2E67"/>
    <w:rsid w:val="00DB2EFD"/>
    <w:rsid w:val="00DB2F4A"/>
    <w:rsid w:val="00DB3304"/>
    <w:rsid w:val="00DB33E4"/>
    <w:rsid w:val="00DB36DF"/>
    <w:rsid w:val="00DB3723"/>
    <w:rsid w:val="00DB3A96"/>
    <w:rsid w:val="00DB3AF1"/>
    <w:rsid w:val="00DB3BAA"/>
    <w:rsid w:val="00DB3C64"/>
    <w:rsid w:val="00DB3C8A"/>
    <w:rsid w:val="00DB3CCD"/>
    <w:rsid w:val="00DB3CFE"/>
    <w:rsid w:val="00DB3D48"/>
    <w:rsid w:val="00DB3F7F"/>
    <w:rsid w:val="00DB4185"/>
    <w:rsid w:val="00DB41AB"/>
    <w:rsid w:val="00DB4259"/>
    <w:rsid w:val="00DB4276"/>
    <w:rsid w:val="00DB4367"/>
    <w:rsid w:val="00DB44F9"/>
    <w:rsid w:val="00DB4758"/>
    <w:rsid w:val="00DB4775"/>
    <w:rsid w:val="00DB480D"/>
    <w:rsid w:val="00DB48FD"/>
    <w:rsid w:val="00DB4971"/>
    <w:rsid w:val="00DB4A0C"/>
    <w:rsid w:val="00DB4B3F"/>
    <w:rsid w:val="00DB5114"/>
    <w:rsid w:val="00DB52EF"/>
    <w:rsid w:val="00DB5337"/>
    <w:rsid w:val="00DB53FB"/>
    <w:rsid w:val="00DB54E5"/>
    <w:rsid w:val="00DB5650"/>
    <w:rsid w:val="00DB5675"/>
    <w:rsid w:val="00DB56C2"/>
    <w:rsid w:val="00DB581B"/>
    <w:rsid w:val="00DB5935"/>
    <w:rsid w:val="00DB5B23"/>
    <w:rsid w:val="00DB5B3C"/>
    <w:rsid w:val="00DB5ED8"/>
    <w:rsid w:val="00DB610A"/>
    <w:rsid w:val="00DB6111"/>
    <w:rsid w:val="00DB63F7"/>
    <w:rsid w:val="00DB6674"/>
    <w:rsid w:val="00DB66B8"/>
    <w:rsid w:val="00DB6780"/>
    <w:rsid w:val="00DB67A3"/>
    <w:rsid w:val="00DB67EB"/>
    <w:rsid w:val="00DB687B"/>
    <w:rsid w:val="00DB6891"/>
    <w:rsid w:val="00DB689E"/>
    <w:rsid w:val="00DB68F6"/>
    <w:rsid w:val="00DB6938"/>
    <w:rsid w:val="00DB6AA0"/>
    <w:rsid w:val="00DB6AC7"/>
    <w:rsid w:val="00DB6B3B"/>
    <w:rsid w:val="00DB6CAA"/>
    <w:rsid w:val="00DB6CAB"/>
    <w:rsid w:val="00DB6D92"/>
    <w:rsid w:val="00DB6EDC"/>
    <w:rsid w:val="00DB71B5"/>
    <w:rsid w:val="00DB7287"/>
    <w:rsid w:val="00DB73AD"/>
    <w:rsid w:val="00DB73D0"/>
    <w:rsid w:val="00DB74A5"/>
    <w:rsid w:val="00DB74F5"/>
    <w:rsid w:val="00DB7775"/>
    <w:rsid w:val="00DB77D2"/>
    <w:rsid w:val="00DB7831"/>
    <w:rsid w:val="00DB787A"/>
    <w:rsid w:val="00DB78D4"/>
    <w:rsid w:val="00DB79D9"/>
    <w:rsid w:val="00DB79E4"/>
    <w:rsid w:val="00DB7A15"/>
    <w:rsid w:val="00DB7B19"/>
    <w:rsid w:val="00DB7B30"/>
    <w:rsid w:val="00DB7BBE"/>
    <w:rsid w:val="00DB7CDE"/>
    <w:rsid w:val="00DB7E11"/>
    <w:rsid w:val="00DB7FAF"/>
    <w:rsid w:val="00DC006C"/>
    <w:rsid w:val="00DC00A8"/>
    <w:rsid w:val="00DC0200"/>
    <w:rsid w:val="00DC03E0"/>
    <w:rsid w:val="00DC05C7"/>
    <w:rsid w:val="00DC0709"/>
    <w:rsid w:val="00DC0724"/>
    <w:rsid w:val="00DC07CE"/>
    <w:rsid w:val="00DC0883"/>
    <w:rsid w:val="00DC091E"/>
    <w:rsid w:val="00DC093F"/>
    <w:rsid w:val="00DC0941"/>
    <w:rsid w:val="00DC0B8A"/>
    <w:rsid w:val="00DC0D37"/>
    <w:rsid w:val="00DC0ECE"/>
    <w:rsid w:val="00DC1156"/>
    <w:rsid w:val="00DC1295"/>
    <w:rsid w:val="00DC12D7"/>
    <w:rsid w:val="00DC1461"/>
    <w:rsid w:val="00DC149F"/>
    <w:rsid w:val="00DC16F2"/>
    <w:rsid w:val="00DC17E1"/>
    <w:rsid w:val="00DC1905"/>
    <w:rsid w:val="00DC1AA1"/>
    <w:rsid w:val="00DC1B7A"/>
    <w:rsid w:val="00DC1BF6"/>
    <w:rsid w:val="00DC1DC9"/>
    <w:rsid w:val="00DC2116"/>
    <w:rsid w:val="00DC214E"/>
    <w:rsid w:val="00DC2180"/>
    <w:rsid w:val="00DC2249"/>
    <w:rsid w:val="00DC234F"/>
    <w:rsid w:val="00DC2377"/>
    <w:rsid w:val="00DC244E"/>
    <w:rsid w:val="00DC24EF"/>
    <w:rsid w:val="00DC24FF"/>
    <w:rsid w:val="00DC2573"/>
    <w:rsid w:val="00DC25FD"/>
    <w:rsid w:val="00DC2645"/>
    <w:rsid w:val="00DC2748"/>
    <w:rsid w:val="00DC2796"/>
    <w:rsid w:val="00DC27B2"/>
    <w:rsid w:val="00DC27BB"/>
    <w:rsid w:val="00DC2A1E"/>
    <w:rsid w:val="00DC2A22"/>
    <w:rsid w:val="00DC2BE1"/>
    <w:rsid w:val="00DC2CB6"/>
    <w:rsid w:val="00DC30E5"/>
    <w:rsid w:val="00DC3113"/>
    <w:rsid w:val="00DC315A"/>
    <w:rsid w:val="00DC32FC"/>
    <w:rsid w:val="00DC341B"/>
    <w:rsid w:val="00DC3423"/>
    <w:rsid w:val="00DC3542"/>
    <w:rsid w:val="00DC363E"/>
    <w:rsid w:val="00DC37C3"/>
    <w:rsid w:val="00DC38AA"/>
    <w:rsid w:val="00DC3964"/>
    <w:rsid w:val="00DC3E30"/>
    <w:rsid w:val="00DC3FE6"/>
    <w:rsid w:val="00DC406C"/>
    <w:rsid w:val="00DC4131"/>
    <w:rsid w:val="00DC41B2"/>
    <w:rsid w:val="00DC4257"/>
    <w:rsid w:val="00DC42B3"/>
    <w:rsid w:val="00DC4393"/>
    <w:rsid w:val="00DC43E9"/>
    <w:rsid w:val="00DC44D8"/>
    <w:rsid w:val="00DC47B9"/>
    <w:rsid w:val="00DC4AAF"/>
    <w:rsid w:val="00DC4B4F"/>
    <w:rsid w:val="00DC5007"/>
    <w:rsid w:val="00DC502B"/>
    <w:rsid w:val="00DC507B"/>
    <w:rsid w:val="00DC5101"/>
    <w:rsid w:val="00DC53CD"/>
    <w:rsid w:val="00DC5578"/>
    <w:rsid w:val="00DC55E0"/>
    <w:rsid w:val="00DC56AB"/>
    <w:rsid w:val="00DC57F9"/>
    <w:rsid w:val="00DC5857"/>
    <w:rsid w:val="00DC5858"/>
    <w:rsid w:val="00DC58C6"/>
    <w:rsid w:val="00DC5951"/>
    <w:rsid w:val="00DC5ACE"/>
    <w:rsid w:val="00DC5B22"/>
    <w:rsid w:val="00DC5C10"/>
    <w:rsid w:val="00DC5C50"/>
    <w:rsid w:val="00DC5CAC"/>
    <w:rsid w:val="00DC5CD7"/>
    <w:rsid w:val="00DC5CE1"/>
    <w:rsid w:val="00DC5EA7"/>
    <w:rsid w:val="00DC5F70"/>
    <w:rsid w:val="00DC5FD5"/>
    <w:rsid w:val="00DC6076"/>
    <w:rsid w:val="00DC60D6"/>
    <w:rsid w:val="00DC60E7"/>
    <w:rsid w:val="00DC60F3"/>
    <w:rsid w:val="00DC6178"/>
    <w:rsid w:val="00DC618F"/>
    <w:rsid w:val="00DC61EE"/>
    <w:rsid w:val="00DC61F6"/>
    <w:rsid w:val="00DC62FA"/>
    <w:rsid w:val="00DC6308"/>
    <w:rsid w:val="00DC6339"/>
    <w:rsid w:val="00DC63B9"/>
    <w:rsid w:val="00DC6421"/>
    <w:rsid w:val="00DC64D8"/>
    <w:rsid w:val="00DC65BC"/>
    <w:rsid w:val="00DC66CE"/>
    <w:rsid w:val="00DC66F5"/>
    <w:rsid w:val="00DC66F9"/>
    <w:rsid w:val="00DC679C"/>
    <w:rsid w:val="00DC6A12"/>
    <w:rsid w:val="00DC6B5F"/>
    <w:rsid w:val="00DC6C36"/>
    <w:rsid w:val="00DC6C59"/>
    <w:rsid w:val="00DC6C99"/>
    <w:rsid w:val="00DC6D89"/>
    <w:rsid w:val="00DC6F94"/>
    <w:rsid w:val="00DC6FA4"/>
    <w:rsid w:val="00DC7046"/>
    <w:rsid w:val="00DC716C"/>
    <w:rsid w:val="00DC7463"/>
    <w:rsid w:val="00DC753D"/>
    <w:rsid w:val="00DC75A5"/>
    <w:rsid w:val="00DC7614"/>
    <w:rsid w:val="00DC765F"/>
    <w:rsid w:val="00DC7698"/>
    <w:rsid w:val="00DC7727"/>
    <w:rsid w:val="00DC77EB"/>
    <w:rsid w:val="00DC784E"/>
    <w:rsid w:val="00DC7A55"/>
    <w:rsid w:val="00DC7BB1"/>
    <w:rsid w:val="00DD002E"/>
    <w:rsid w:val="00DD009C"/>
    <w:rsid w:val="00DD023B"/>
    <w:rsid w:val="00DD042F"/>
    <w:rsid w:val="00DD04E4"/>
    <w:rsid w:val="00DD04F5"/>
    <w:rsid w:val="00DD0550"/>
    <w:rsid w:val="00DD06C9"/>
    <w:rsid w:val="00DD0970"/>
    <w:rsid w:val="00DD0B04"/>
    <w:rsid w:val="00DD0C09"/>
    <w:rsid w:val="00DD102C"/>
    <w:rsid w:val="00DD10D5"/>
    <w:rsid w:val="00DD10E5"/>
    <w:rsid w:val="00DD1125"/>
    <w:rsid w:val="00DD11A9"/>
    <w:rsid w:val="00DD11B7"/>
    <w:rsid w:val="00DD1301"/>
    <w:rsid w:val="00DD1329"/>
    <w:rsid w:val="00DD13DE"/>
    <w:rsid w:val="00DD1533"/>
    <w:rsid w:val="00DD1544"/>
    <w:rsid w:val="00DD1683"/>
    <w:rsid w:val="00DD1740"/>
    <w:rsid w:val="00DD18F6"/>
    <w:rsid w:val="00DD19B8"/>
    <w:rsid w:val="00DD1B09"/>
    <w:rsid w:val="00DD1C9D"/>
    <w:rsid w:val="00DD1DEC"/>
    <w:rsid w:val="00DD1EB3"/>
    <w:rsid w:val="00DD1EED"/>
    <w:rsid w:val="00DD219B"/>
    <w:rsid w:val="00DD2315"/>
    <w:rsid w:val="00DD23E6"/>
    <w:rsid w:val="00DD24ED"/>
    <w:rsid w:val="00DD2597"/>
    <w:rsid w:val="00DD268A"/>
    <w:rsid w:val="00DD26EC"/>
    <w:rsid w:val="00DD283A"/>
    <w:rsid w:val="00DD2885"/>
    <w:rsid w:val="00DD28C7"/>
    <w:rsid w:val="00DD29C1"/>
    <w:rsid w:val="00DD2BC6"/>
    <w:rsid w:val="00DD2C89"/>
    <w:rsid w:val="00DD2DEE"/>
    <w:rsid w:val="00DD2E14"/>
    <w:rsid w:val="00DD2F80"/>
    <w:rsid w:val="00DD2FFB"/>
    <w:rsid w:val="00DD3023"/>
    <w:rsid w:val="00DD3164"/>
    <w:rsid w:val="00DD3316"/>
    <w:rsid w:val="00DD3365"/>
    <w:rsid w:val="00DD3476"/>
    <w:rsid w:val="00DD34CA"/>
    <w:rsid w:val="00DD35D5"/>
    <w:rsid w:val="00DD36FC"/>
    <w:rsid w:val="00DD399B"/>
    <w:rsid w:val="00DD3A58"/>
    <w:rsid w:val="00DD3EA8"/>
    <w:rsid w:val="00DD3EBF"/>
    <w:rsid w:val="00DD3F2C"/>
    <w:rsid w:val="00DD4151"/>
    <w:rsid w:val="00DD4328"/>
    <w:rsid w:val="00DD47DC"/>
    <w:rsid w:val="00DD4826"/>
    <w:rsid w:val="00DD4867"/>
    <w:rsid w:val="00DD4922"/>
    <w:rsid w:val="00DD49F8"/>
    <w:rsid w:val="00DD4B8A"/>
    <w:rsid w:val="00DD4C76"/>
    <w:rsid w:val="00DD4D31"/>
    <w:rsid w:val="00DD4FE2"/>
    <w:rsid w:val="00DD5024"/>
    <w:rsid w:val="00DD5267"/>
    <w:rsid w:val="00DD531E"/>
    <w:rsid w:val="00DD53CF"/>
    <w:rsid w:val="00DD55F4"/>
    <w:rsid w:val="00DD56B1"/>
    <w:rsid w:val="00DD577A"/>
    <w:rsid w:val="00DD57B8"/>
    <w:rsid w:val="00DD580B"/>
    <w:rsid w:val="00DD5810"/>
    <w:rsid w:val="00DD5928"/>
    <w:rsid w:val="00DD5BAB"/>
    <w:rsid w:val="00DD5F52"/>
    <w:rsid w:val="00DD5F84"/>
    <w:rsid w:val="00DD5FAB"/>
    <w:rsid w:val="00DD60BE"/>
    <w:rsid w:val="00DD617C"/>
    <w:rsid w:val="00DD61A4"/>
    <w:rsid w:val="00DD6428"/>
    <w:rsid w:val="00DD6581"/>
    <w:rsid w:val="00DD65C1"/>
    <w:rsid w:val="00DD668E"/>
    <w:rsid w:val="00DD668F"/>
    <w:rsid w:val="00DD68BA"/>
    <w:rsid w:val="00DD68F9"/>
    <w:rsid w:val="00DD6A8A"/>
    <w:rsid w:val="00DD6AC1"/>
    <w:rsid w:val="00DD6AD8"/>
    <w:rsid w:val="00DD6BE5"/>
    <w:rsid w:val="00DD6D43"/>
    <w:rsid w:val="00DD6D47"/>
    <w:rsid w:val="00DD77B3"/>
    <w:rsid w:val="00DD79DC"/>
    <w:rsid w:val="00DD7BCF"/>
    <w:rsid w:val="00DD7D94"/>
    <w:rsid w:val="00DD7DAC"/>
    <w:rsid w:val="00DD7FCF"/>
    <w:rsid w:val="00DDCBB1"/>
    <w:rsid w:val="00DDFC47"/>
    <w:rsid w:val="00DE0043"/>
    <w:rsid w:val="00DE007B"/>
    <w:rsid w:val="00DE0096"/>
    <w:rsid w:val="00DE01EE"/>
    <w:rsid w:val="00DE01F8"/>
    <w:rsid w:val="00DE0337"/>
    <w:rsid w:val="00DE03B7"/>
    <w:rsid w:val="00DE03D2"/>
    <w:rsid w:val="00DE0469"/>
    <w:rsid w:val="00DE04FB"/>
    <w:rsid w:val="00DE08F9"/>
    <w:rsid w:val="00DE0923"/>
    <w:rsid w:val="00DE09F4"/>
    <w:rsid w:val="00DE0A09"/>
    <w:rsid w:val="00DE0AB9"/>
    <w:rsid w:val="00DE0B79"/>
    <w:rsid w:val="00DE0C6A"/>
    <w:rsid w:val="00DE0CCB"/>
    <w:rsid w:val="00DE0F23"/>
    <w:rsid w:val="00DE0F53"/>
    <w:rsid w:val="00DE0FFF"/>
    <w:rsid w:val="00DE101A"/>
    <w:rsid w:val="00DE1023"/>
    <w:rsid w:val="00DE10E3"/>
    <w:rsid w:val="00DE1209"/>
    <w:rsid w:val="00DE12CD"/>
    <w:rsid w:val="00DE146A"/>
    <w:rsid w:val="00DE14C6"/>
    <w:rsid w:val="00DE15D0"/>
    <w:rsid w:val="00DE15E7"/>
    <w:rsid w:val="00DE15FF"/>
    <w:rsid w:val="00DE164C"/>
    <w:rsid w:val="00DE1872"/>
    <w:rsid w:val="00DE187C"/>
    <w:rsid w:val="00DE19AA"/>
    <w:rsid w:val="00DE1DAF"/>
    <w:rsid w:val="00DE1E27"/>
    <w:rsid w:val="00DE1EF3"/>
    <w:rsid w:val="00DE1F56"/>
    <w:rsid w:val="00DE2112"/>
    <w:rsid w:val="00DE2159"/>
    <w:rsid w:val="00DE21EE"/>
    <w:rsid w:val="00DE21FC"/>
    <w:rsid w:val="00DE2282"/>
    <w:rsid w:val="00DE23F9"/>
    <w:rsid w:val="00DE2562"/>
    <w:rsid w:val="00DE2882"/>
    <w:rsid w:val="00DE28CE"/>
    <w:rsid w:val="00DE29D5"/>
    <w:rsid w:val="00DE2B1A"/>
    <w:rsid w:val="00DE2BCF"/>
    <w:rsid w:val="00DE2CB8"/>
    <w:rsid w:val="00DE2EAF"/>
    <w:rsid w:val="00DE3060"/>
    <w:rsid w:val="00DE3149"/>
    <w:rsid w:val="00DE33B6"/>
    <w:rsid w:val="00DE33BA"/>
    <w:rsid w:val="00DE3488"/>
    <w:rsid w:val="00DE35A5"/>
    <w:rsid w:val="00DE374D"/>
    <w:rsid w:val="00DE389A"/>
    <w:rsid w:val="00DE3A18"/>
    <w:rsid w:val="00DE3C4B"/>
    <w:rsid w:val="00DE3EF5"/>
    <w:rsid w:val="00DE3F4F"/>
    <w:rsid w:val="00DE40AE"/>
    <w:rsid w:val="00DE41CA"/>
    <w:rsid w:val="00DE4241"/>
    <w:rsid w:val="00DE4573"/>
    <w:rsid w:val="00DE4637"/>
    <w:rsid w:val="00DE46D0"/>
    <w:rsid w:val="00DE46F4"/>
    <w:rsid w:val="00DE4767"/>
    <w:rsid w:val="00DE4A64"/>
    <w:rsid w:val="00DE4D09"/>
    <w:rsid w:val="00DE4D2D"/>
    <w:rsid w:val="00DE4DA3"/>
    <w:rsid w:val="00DE4F7E"/>
    <w:rsid w:val="00DE50E4"/>
    <w:rsid w:val="00DE5329"/>
    <w:rsid w:val="00DE54BB"/>
    <w:rsid w:val="00DE54BD"/>
    <w:rsid w:val="00DE54E8"/>
    <w:rsid w:val="00DE554D"/>
    <w:rsid w:val="00DE561E"/>
    <w:rsid w:val="00DE57C9"/>
    <w:rsid w:val="00DE5A83"/>
    <w:rsid w:val="00DE5A8F"/>
    <w:rsid w:val="00DE5A9F"/>
    <w:rsid w:val="00DE5AE3"/>
    <w:rsid w:val="00DE5C3D"/>
    <w:rsid w:val="00DE5C91"/>
    <w:rsid w:val="00DE5CD1"/>
    <w:rsid w:val="00DE5CD9"/>
    <w:rsid w:val="00DE5E9A"/>
    <w:rsid w:val="00DE5F4B"/>
    <w:rsid w:val="00DE60AF"/>
    <w:rsid w:val="00DE60E9"/>
    <w:rsid w:val="00DE6101"/>
    <w:rsid w:val="00DE625A"/>
    <w:rsid w:val="00DE639B"/>
    <w:rsid w:val="00DE6485"/>
    <w:rsid w:val="00DE64B7"/>
    <w:rsid w:val="00DE6589"/>
    <w:rsid w:val="00DE6609"/>
    <w:rsid w:val="00DE66EA"/>
    <w:rsid w:val="00DE6F73"/>
    <w:rsid w:val="00DE732E"/>
    <w:rsid w:val="00DE7360"/>
    <w:rsid w:val="00DE766F"/>
    <w:rsid w:val="00DE781A"/>
    <w:rsid w:val="00DE79F8"/>
    <w:rsid w:val="00DE7A09"/>
    <w:rsid w:val="00DE7A9A"/>
    <w:rsid w:val="00DE7ABF"/>
    <w:rsid w:val="00DE7B01"/>
    <w:rsid w:val="00DE7B09"/>
    <w:rsid w:val="00DE7B8C"/>
    <w:rsid w:val="00DE7CF4"/>
    <w:rsid w:val="00DE7D96"/>
    <w:rsid w:val="00DE7F96"/>
    <w:rsid w:val="00DE7FEE"/>
    <w:rsid w:val="00DF012A"/>
    <w:rsid w:val="00DF015B"/>
    <w:rsid w:val="00DF0289"/>
    <w:rsid w:val="00DF07AF"/>
    <w:rsid w:val="00DF0C16"/>
    <w:rsid w:val="00DF0D3C"/>
    <w:rsid w:val="00DF0DA7"/>
    <w:rsid w:val="00DF1075"/>
    <w:rsid w:val="00DF10A0"/>
    <w:rsid w:val="00DF10BE"/>
    <w:rsid w:val="00DF1192"/>
    <w:rsid w:val="00DF1309"/>
    <w:rsid w:val="00DF1343"/>
    <w:rsid w:val="00DF13CA"/>
    <w:rsid w:val="00DF1441"/>
    <w:rsid w:val="00DF15E2"/>
    <w:rsid w:val="00DF1881"/>
    <w:rsid w:val="00DF1A7F"/>
    <w:rsid w:val="00DF1B6A"/>
    <w:rsid w:val="00DF1BA0"/>
    <w:rsid w:val="00DF1CC0"/>
    <w:rsid w:val="00DF1D3F"/>
    <w:rsid w:val="00DF1D51"/>
    <w:rsid w:val="00DF1E6C"/>
    <w:rsid w:val="00DF2170"/>
    <w:rsid w:val="00DF217A"/>
    <w:rsid w:val="00DF2266"/>
    <w:rsid w:val="00DF22E8"/>
    <w:rsid w:val="00DF2352"/>
    <w:rsid w:val="00DF24DE"/>
    <w:rsid w:val="00DF25C4"/>
    <w:rsid w:val="00DF2826"/>
    <w:rsid w:val="00DF2C9A"/>
    <w:rsid w:val="00DF2FD5"/>
    <w:rsid w:val="00DF300D"/>
    <w:rsid w:val="00DF30C4"/>
    <w:rsid w:val="00DF3118"/>
    <w:rsid w:val="00DF31B8"/>
    <w:rsid w:val="00DF334C"/>
    <w:rsid w:val="00DF345E"/>
    <w:rsid w:val="00DF3504"/>
    <w:rsid w:val="00DF35E8"/>
    <w:rsid w:val="00DF363D"/>
    <w:rsid w:val="00DF373B"/>
    <w:rsid w:val="00DF37C6"/>
    <w:rsid w:val="00DF382A"/>
    <w:rsid w:val="00DF3860"/>
    <w:rsid w:val="00DF387A"/>
    <w:rsid w:val="00DF399F"/>
    <w:rsid w:val="00DF3A55"/>
    <w:rsid w:val="00DF3AD0"/>
    <w:rsid w:val="00DF3AFC"/>
    <w:rsid w:val="00DF3D38"/>
    <w:rsid w:val="00DF3D50"/>
    <w:rsid w:val="00DF40A4"/>
    <w:rsid w:val="00DF40C5"/>
    <w:rsid w:val="00DF4130"/>
    <w:rsid w:val="00DF4316"/>
    <w:rsid w:val="00DF4376"/>
    <w:rsid w:val="00DF44DB"/>
    <w:rsid w:val="00DF44E6"/>
    <w:rsid w:val="00DF450A"/>
    <w:rsid w:val="00DF452B"/>
    <w:rsid w:val="00DF462F"/>
    <w:rsid w:val="00DF4772"/>
    <w:rsid w:val="00DF47B2"/>
    <w:rsid w:val="00DF4896"/>
    <w:rsid w:val="00DF4925"/>
    <w:rsid w:val="00DF49B0"/>
    <w:rsid w:val="00DF4A45"/>
    <w:rsid w:val="00DF4A51"/>
    <w:rsid w:val="00DF4A90"/>
    <w:rsid w:val="00DF4C76"/>
    <w:rsid w:val="00DF4CDB"/>
    <w:rsid w:val="00DF4CE1"/>
    <w:rsid w:val="00DF4E75"/>
    <w:rsid w:val="00DF4F32"/>
    <w:rsid w:val="00DF4FD3"/>
    <w:rsid w:val="00DF509E"/>
    <w:rsid w:val="00DF50B4"/>
    <w:rsid w:val="00DF50CC"/>
    <w:rsid w:val="00DF5153"/>
    <w:rsid w:val="00DF5259"/>
    <w:rsid w:val="00DF526E"/>
    <w:rsid w:val="00DF53D1"/>
    <w:rsid w:val="00DF5675"/>
    <w:rsid w:val="00DF574D"/>
    <w:rsid w:val="00DF5760"/>
    <w:rsid w:val="00DF57A1"/>
    <w:rsid w:val="00DF57BC"/>
    <w:rsid w:val="00DF5900"/>
    <w:rsid w:val="00DF5925"/>
    <w:rsid w:val="00DF5A3A"/>
    <w:rsid w:val="00DF5A50"/>
    <w:rsid w:val="00DF5B60"/>
    <w:rsid w:val="00DF5C75"/>
    <w:rsid w:val="00DF5CF4"/>
    <w:rsid w:val="00DF5DE5"/>
    <w:rsid w:val="00DF5E9F"/>
    <w:rsid w:val="00DF5ECD"/>
    <w:rsid w:val="00DF5F32"/>
    <w:rsid w:val="00DF6030"/>
    <w:rsid w:val="00DF6062"/>
    <w:rsid w:val="00DF6159"/>
    <w:rsid w:val="00DF626B"/>
    <w:rsid w:val="00DF6674"/>
    <w:rsid w:val="00DF687A"/>
    <w:rsid w:val="00DF68F5"/>
    <w:rsid w:val="00DF692B"/>
    <w:rsid w:val="00DF693C"/>
    <w:rsid w:val="00DF69AE"/>
    <w:rsid w:val="00DF6A05"/>
    <w:rsid w:val="00DF6B4B"/>
    <w:rsid w:val="00DF6B96"/>
    <w:rsid w:val="00DF6BE8"/>
    <w:rsid w:val="00DF6CD5"/>
    <w:rsid w:val="00DF6F58"/>
    <w:rsid w:val="00DF70FA"/>
    <w:rsid w:val="00DF72EE"/>
    <w:rsid w:val="00DF73B9"/>
    <w:rsid w:val="00DF7470"/>
    <w:rsid w:val="00DF7567"/>
    <w:rsid w:val="00DF7669"/>
    <w:rsid w:val="00DF769F"/>
    <w:rsid w:val="00DF76BA"/>
    <w:rsid w:val="00DF7723"/>
    <w:rsid w:val="00DF7731"/>
    <w:rsid w:val="00DF7783"/>
    <w:rsid w:val="00DF77EE"/>
    <w:rsid w:val="00DF7947"/>
    <w:rsid w:val="00DF7A7E"/>
    <w:rsid w:val="00DF7BDD"/>
    <w:rsid w:val="00DF7CA8"/>
    <w:rsid w:val="00DF7CCA"/>
    <w:rsid w:val="00DF7D15"/>
    <w:rsid w:val="00DF7D76"/>
    <w:rsid w:val="00DF7EBF"/>
    <w:rsid w:val="00DF7F30"/>
    <w:rsid w:val="00DF7F36"/>
    <w:rsid w:val="00E00008"/>
    <w:rsid w:val="00E00138"/>
    <w:rsid w:val="00E00371"/>
    <w:rsid w:val="00E0044E"/>
    <w:rsid w:val="00E0049D"/>
    <w:rsid w:val="00E004A3"/>
    <w:rsid w:val="00E00550"/>
    <w:rsid w:val="00E006BD"/>
    <w:rsid w:val="00E00761"/>
    <w:rsid w:val="00E008E6"/>
    <w:rsid w:val="00E008FA"/>
    <w:rsid w:val="00E0097B"/>
    <w:rsid w:val="00E00C45"/>
    <w:rsid w:val="00E00CED"/>
    <w:rsid w:val="00E00E21"/>
    <w:rsid w:val="00E00E27"/>
    <w:rsid w:val="00E00EA0"/>
    <w:rsid w:val="00E00F21"/>
    <w:rsid w:val="00E00FD0"/>
    <w:rsid w:val="00E00FD4"/>
    <w:rsid w:val="00E00FEC"/>
    <w:rsid w:val="00E00FF8"/>
    <w:rsid w:val="00E01038"/>
    <w:rsid w:val="00E010E6"/>
    <w:rsid w:val="00E01249"/>
    <w:rsid w:val="00E01269"/>
    <w:rsid w:val="00E0136B"/>
    <w:rsid w:val="00E013D7"/>
    <w:rsid w:val="00E013FB"/>
    <w:rsid w:val="00E01514"/>
    <w:rsid w:val="00E015C7"/>
    <w:rsid w:val="00E01655"/>
    <w:rsid w:val="00E01677"/>
    <w:rsid w:val="00E016E4"/>
    <w:rsid w:val="00E01AF6"/>
    <w:rsid w:val="00E01B74"/>
    <w:rsid w:val="00E01D63"/>
    <w:rsid w:val="00E0209F"/>
    <w:rsid w:val="00E022A4"/>
    <w:rsid w:val="00E02403"/>
    <w:rsid w:val="00E02482"/>
    <w:rsid w:val="00E02503"/>
    <w:rsid w:val="00E026B3"/>
    <w:rsid w:val="00E027D5"/>
    <w:rsid w:val="00E0280A"/>
    <w:rsid w:val="00E028D7"/>
    <w:rsid w:val="00E02A08"/>
    <w:rsid w:val="00E02A50"/>
    <w:rsid w:val="00E02D81"/>
    <w:rsid w:val="00E02E0D"/>
    <w:rsid w:val="00E02E53"/>
    <w:rsid w:val="00E02EAD"/>
    <w:rsid w:val="00E02F21"/>
    <w:rsid w:val="00E03128"/>
    <w:rsid w:val="00E0345C"/>
    <w:rsid w:val="00E0346D"/>
    <w:rsid w:val="00E0352F"/>
    <w:rsid w:val="00E035DF"/>
    <w:rsid w:val="00E03718"/>
    <w:rsid w:val="00E03861"/>
    <w:rsid w:val="00E03891"/>
    <w:rsid w:val="00E03944"/>
    <w:rsid w:val="00E03A13"/>
    <w:rsid w:val="00E03DDD"/>
    <w:rsid w:val="00E03ED7"/>
    <w:rsid w:val="00E03FF9"/>
    <w:rsid w:val="00E04049"/>
    <w:rsid w:val="00E0405D"/>
    <w:rsid w:val="00E04069"/>
    <w:rsid w:val="00E041C1"/>
    <w:rsid w:val="00E042B6"/>
    <w:rsid w:val="00E0449B"/>
    <w:rsid w:val="00E0452B"/>
    <w:rsid w:val="00E04586"/>
    <w:rsid w:val="00E046A6"/>
    <w:rsid w:val="00E046BE"/>
    <w:rsid w:val="00E047DB"/>
    <w:rsid w:val="00E047E1"/>
    <w:rsid w:val="00E049DD"/>
    <w:rsid w:val="00E04C14"/>
    <w:rsid w:val="00E04C5C"/>
    <w:rsid w:val="00E04CA2"/>
    <w:rsid w:val="00E04F8C"/>
    <w:rsid w:val="00E04FFF"/>
    <w:rsid w:val="00E0503D"/>
    <w:rsid w:val="00E050AA"/>
    <w:rsid w:val="00E0512B"/>
    <w:rsid w:val="00E051DD"/>
    <w:rsid w:val="00E052B4"/>
    <w:rsid w:val="00E052F0"/>
    <w:rsid w:val="00E0533B"/>
    <w:rsid w:val="00E05392"/>
    <w:rsid w:val="00E0544F"/>
    <w:rsid w:val="00E05474"/>
    <w:rsid w:val="00E05527"/>
    <w:rsid w:val="00E0561D"/>
    <w:rsid w:val="00E05669"/>
    <w:rsid w:val="00E05687"/>
    <w:rsid w:val="00E05732"/>
    <w:rsid w:val="00E05902"/>
    <w:rsid w:val="00E05930"/>
    <w:rsid w:val="00E05D4D"/>
    <w:rsid w:val="00E05E1D"/>
    <w:rsid w:val="00E05E2E"/>
    <w:rsid w:val="00E05F13"/>
    <w:rsid w:val="00E06193"/>
    <w:rsid w:val="00E06446"/>
    <w:rsid w:val="00E06458"/>
    <w:rsid w:val="00E06477"/>
    <w:rsid w:val="00E066D7"/>
    <w:rsid w:val="00E0687F"/>
    <w:rsid w:val="00E068A6"/>
    <w:rsid w:val="00E06A81"/>
    <w:rsid w:val="00E06B23"/>
    <w:rsid w:val="00E06B9E"/>
    <w:rsid w:val="00E06C04"/>
    <w:rsid w:val="00E06C3F"/>
    <w:rsid w:val="00E06C60"/>
    <w:rsid w:val="00E06C79"/>
    <w:rsid w:val="00E06E53"/>
    <w:rsid w:val="00E06FBD"/>
    <w:rsid w:val="00E07095"/>
    <w:rsid w:val="00E0715F"/>
    <w:rsid w:val="00E0718F"/>
    <w:rsid w:val="00E07460"/>
    <w:rsid w:val="00E074A3"/>
    <w:rsid w:val="00E0751E"/>
    <w:rsid w:val="00E07588"/>
    <w:rsid w:val="00E0759E"/>
    <w:rsid w:val="00E0793B"/>
    <w:rsid w:val="00E07959"/>
    <w:rsid w:val="00E07965"/>
    <w:rsid w:val="00E07AAD"/>
    <w:rsid w:val="00E07C5A"/>
    <w:rsid w:val="00E07CA8"/>
    <w:rsid w:val="00E07E38"/>
    <w:rsid w:val="00E07EF0"/>
    <w:rsid w:val="00E100EC"/>
    <w:rsid w:val="00E10414"/>
    <w:rsid w:val="00E104F9"/>
    <w:rsid w:val="00E104FA"/>
    <w:rsid w:val="00E1066E"/>
    <w:rsid w:val="00E1075D"/>
    <w:rsid w:val="00E1088A"/>
    <w:rsid w:val="00E10962"/>
    <w:rsid w:val="00E1097F"/>
    <w:rsid w:val="00E10AA1"/>
    <w:rsid w:val="00E10CF2"/>
    <w:rsid w:val="00E10D1D"/>
    <w:rsid w:val="00E10D82"/>
    <w:rsid w:val="00E10DAD"/>
    <w:rsid w:val="00E10E3D"/>
    <w:rsid w:val="00E10E61"/>
    <w:rsid w:val="00E11267"/>
    <w:rsid w:val="00E11321"/>
    <w:rsid w:val="00E11383"/>
    <w:rsid w:val="00E1148F"/>
    <w:rsid w:val="00E114B1"/>
    <w:rsid w:val="00E11529"/>
    <w:rsid w:val="00E1154E"/>
    <w:rsid w:val="00E1173E"/>
    <w:rsid w:val="00E11829"/>
    <w:rsid w:val="00E11855"/>
    <w:rsid w:val="00E118E1"/>
    <w:rsid w:val="00E11907"/>
    <w:rsid w:val="00E11966"/>
    <w:rsid w:val="00E11CF9"/>
    <w:rsid w:val="00E12008"/>
    <w:rsid w:val="00E1211D"/>
    <w:rsid w:val="00E1219D"/>
    <w:rsid w:val="00E122A3"/>
    <w:rsid w:val="00E12309"/>
    <w:rsid w:val="00E12528"/>
    <w:rsid w:val="00E12647"/>
    <w:rsid w:val="00E127F2"/>
    <w:rsid w:val="00E12830"/>
    <w:rsid w:val="00E12859"/>
    <w:rsid w:val="00E12B4F"/>
    <w:rsid w:val="00E12E88"/>
    <w:rsid w:val="00E13178"/>
    <w:rsid w:val="00E131C6"/>
    <w:rsid w:val="00E1321D"/>
    <w:rsid w:val="00E13276"/>
    <w:rsid w:val="00E132C4"/>
    <w:rsid w:val="00E1348A"/>
    <w:rsid w:val="00E1352F"/>
    <w:rsid w:val="00E13623"/>
    <w:rsid w:val="00E13624"/>
    <w:rsid w:val="00E13640"/>
    <w:rsid w:val="00E137CF"/>
    <w:rsid w:val="00E13900"/>
    <w:rsid w:val="00E13995"/>
    <w:rsid w:val="00E139FE"/>
    <w:rsid w:val="00E13B0F"/>
    <w:rsid w:val="00E13B31"/>
    <w:rsid w:val="00E13BC7"/>
    <w:rsid w:val="00E13DD1"/>
    <w:rsid w:val="00E13F68"/>
    <w:rsid w:val="00E1404A"/>
    <w:rsid w:val="00E1406E"/>
    <w:rsid w:val="00E140CC"/>
    <w:rsid w:val="00E140E2"/>
    <w:rsid w:val="00E14468"/>
    <w:rsid w:val="00E1452C"/>
    <w:rsid w:val="00E14698"/>
    <w:rsid w:val="00E14812"/>
    <w:rsid w:val="00E148F7"/>
    <w:rsid w:val="00E14A2E"/>
    <w:rsid w:val="00E14B31"/>
    <w:rsid w:val="00E14C3B"/>
    <w:rsid w:val="00E14D6E"/>
    <w:rsid w:val="00E14DAE"/>
    <w:rsid w:val="00E14DEF"/>
    <w:rsid w:val="00E14E79"/>
    <w:rsid w:val="00E1517B"/>
    <w:rsid w:val="00E15187"/>
    <w:rsid w:val="00E151C5"/>
    <w:rsid w:val="00E1547C"/>
    <w:rsid w:val="00E15541"/>
    <w:rsid w:val="00E1557F"/>
    <w:rsid w:val="00E1589A"/>
    <w:rsid w:val="00E15A6B"/>
    <w:rsid w:val="00E15A8F"/>
    <w:rsid w:val="00E15AD1"/>
    <w:rsid w:val="00E15AE2"/>
    <w:rsid w:val="00E15B4F"/>
    <w:rsid w:val="00E15BB1"/>
    <w:rsid w:val="00E15BF7"/>
    <w:rsid w:val="00E15CF7"/>
    <w:rsid w:val="00E15D3A"/>
    <w:rsid w:val="00E15D51"/>
    <w:rsid w:val="00E15D5A"/>
    <w:rsid w:val="00E15F2A"/>
    <w:rsid w:val="00E16091"/>
    <w:rsid w:val="00E1610A"/>
    <w:rsid w:val="00E1616B"/>
    <w:rsid w:val="00E162A8"/>
    <w:rsid w:val="00E162E7"/>
    <w:rsid w:val="00E163F6"/>
    <w:rsid w:val="00E1644A"/>
    <w:rsid w:val="00E1658F"/>
    <w:rsid w:val="00E1667F"/>
    <w:rsid w:val="00E166BD"/>
    <w:rsid w:val="00E16772"/>
    <w:rsid w:val="00E167CA"/>
    <w:rsid w:val="00E16822"/>
    <w:rsid w:val="00E168CB"/>
    <w:rsid w:val="00E16C28"/>
    <w:rsid w:val="00E16C30"/>
    <w:rsid w:val="00E16C62"/>
    <w:rsid w:val="00E16D41"/>
    <w:rsid w:val="00E16D5C"/>
    <w:rsid w:val="00E16D6E"/>
    <w:rsid w:val="00E16D8C"/>
    <w:rsid w:val="00E16F23"/>
    <w:rsid w:val="00E16FA8"/>
    <w:rsid w:val="00E1706E"/>
    <w:rsid w:val="00E1711E"/>
    <w:rsid w:val="00E17201"/>
    <w:rsid w:val="00E17411"/>
    <w:rsid w:val="00E17439"/>
    <w:rsid w:val="00E1748C"/>
    <w:rsid w:val="00E1750F"/>
    <w:rsid w:val="00E17548"/>
    <w:rsid w:val="00E17626"/>
    <w:rsid w:val="00E17680"/>
    <w:rsid w:val="00E176BB"/>
    <w:rsid w:val="00E176EB"/>
    <w:rsid w:val="00E17715"/>
    <w:rsid w:val="00E17A9A"/>
    <w:rsid w:val="00E17CAA"/>
    <w:rsid w:val="00E17CF4"/>
    <w:rsid w:val="00E17CF5"/>
    <w:rsid w:val="00E17D93"/>
    <w:rsid w:val="00E17E1A"/>
    <w:rsid w:val="00E17ECD"/>
    <w:rsid w:val="00E17FA0"/>
    <w:rsid w:val="00E17FD0"/>
    <w:rsid w:val="00E2013E"/>
    <w:rsid w:val="00E20294"/>
    <w:rsid w:val="00E202C3"/>
    <w:rsid w:val="00E20374"/>
    <w:rsid w:val="00E203F7"/>
    <w:rsid w:val="00E20630"/>
    <w:rsid w:val="00E207B5"/>
    <w:rsid w:val="00E208B6"/>
    <w:rsid w:val="00E2094F"/>
    <w:rsid w:val="00E20A22"/>
    <w:rsid w:val="00E20BE8"/>
    <w:rsid w:val="00E20ECC"/>
    <w:rsid w:val="00E210DB"/>
    <w:rsid w:val="00E21126"/>
    <w:rsid w:val="00E21191"/>
    <w:rsid w:val="00E211FE"/>
    <w:rsid w:val="00E21233"/>
    <w:rsid w:val="00E21358"/>
    <w:rsid w:val="00E21446"/>
    <w:rsid w:val="00E215B6"/>
    <w:rsid w:val="00E215F5"/>
    <w:rsid w:val="00E215FA"/>
    <w:rsid w:val="00E2165F"/>
    <w:rsid w:val="00E2177E"/>
    <w:rsid w:val="00E218B1"/>
    <w:rsid w:val="00E21904"/>
    <w:rsid w:val="00E2193A"/>
    <w:rsid w:val="00E21969"/>
    <w:rsid w:val="00E21E08"/>
    <w:rsid w:val="00E21EC8"/>
    <w:rsid w:val="00E2211A"/>
    <w:rsid w:val="00E22123"/>
    <w:rsid w:val="00E22131"/>
    <w:rsid w:val="00E222FD"/>
    <w:rsid w:val="00E2243F"/>
    <w:rsid w:val="00E224C8"/>
    <w:rsid w:val="00E22597"/>
    <w:rsid w:val="00E22781"/>
    <w:rsid w:val="00E22828"/>
    <w:rsid w:val="00E22836"/>
    <w:rsid w:val="00E22843"/>
    <w:rsid w:val="00E22865"/>
    <w:rsid w:val="00E228DB"/>
    <w:rsid w:val="00E22921"/>
    <w:rsid w:val="00E22963"/>
    <w:rsid w:val="00E229AF"/>
    <w:rsid w:val="00E229C3"/>
    <w:rsid w:val="00E22C8F"/>
    <w:rsid w:val="00E22E64"/>
    <w:rsid w:val="00E23108"/>
    <w:rsid w:val="00E231D7"/>
    <w:rsid w:val="00E23213"/>
    <w:rsid w:val="00E232C5"/>
    <w:rsid w:val="00E23437"/>
    <w:rsid w:val="00E23562"/>
    <w:rsid w:val="00E235D0"/>
    <w:rsid w:val="00E235FD"/>
    <w:rsid w:val="00E2387F"/>
    <w:rsid w:val="00E23904"/>
    <w:rsid w:val="00E23A3E"/>
    <w:rsid w:val="00E23A62"/>
    <w:rsid w:val="00E23D12"/>
    <w:rsid w:val="00E23E07"/>
    <w:rsid w:val="00E2410D"/>
    <w:rsid w:val="00E24398"/>
    <w:rsid w:val="00E24443"/>
    <w:rsid w:val="00E24569"/>
    <w:rsid w:val="00E24580"/>
    <w:rsid w:val="00E24630"/>
    <w:rsid w:val="00E2481C"/>
    <w:rsid w:val="00E248BC"/>
    <w:rsid w:val="00E248F7"/>
    <w:rsid w:val="00E24AC3"/>
    <w:rsid w:val="00E24D04"/>
    <w:rsid w:val="00E24D49"/>
    <w:rsid w:val="00E24E39"/>
    <w:rsid w:val="00E25002"/>
    <w:rsid w:val="00E2506C"/>
    <w:rsid w:val="00E252B3"/>
    <w:rsid w:val="00E25307"/>
    <w:rsid w:val="00E25496"/>
    <w:rsid w:val="00E25499"/>
    <w:rsid w:val="00E25511"/>
    <w:rsid w:val="00E2552B"/>
    <w:rsid w:val="00E25548"/>
    <w:rsid w:val="00E25565"/>
    <w:rsid w:val="00E255F4"/>
    <w:rsid w:val="00E25BF9"/>
    <w:rsid w:val="00E25CC2"/>
    <w:rsid w:val="00E25F1A"/>
    <w:rsid w:val="00E26141"/>
    <w:rsid w:val="00E263CB"/>
    <w:rsid w:val="00E2642D"/>
    <w:rsid w:val="00E26879"/>
    <w:rsid w:val="00E26903"/>
    <w:rsid w:val="00E26A6E"/>
    <w:rsid w:val="00E26AB9"/>
    <w:rsid w:val="00E26AC6"/>
    <w:rsid w:val="00E26B4D"/>
    <w:rsid w:val="00E26EAA"/>
    <w:rsid w:val="00E26EF9"/>
    <w:rsid w:val="00E27195"/>
    <w:rsid w:val="00E272BE"/>
    <w:rsid w:val="00E27404"/>
    <w:rsid w:val="00E2743A"/>
    <w:rsid w:val="00E2757B"/>
    <w:rsid w:val="00E275C1"/>
    <w:rsid w:val="00E276A7"/>
    <w:rsid w:val="00E2786E"/>
    <w:rsid w:val="00E278B8"/>
    <w:rsid w:val="00E2790D"/>
    <w:rsid w:val="00E27B17"/>
    <w:rsid w:val="00E27BFF"/>
    <w:rsid w:val="00E27D30"/>
    <w:rsid w:val="00E27D60"/>
    <w:rsid w:val="00E27DCD"/>
    <w:rsid w:val="00E27F59"/>
    <w:rsid w:val="00E27F7F"/>
    <w:rsid w:val="00E27FC2"/>
    <w:rsid w:val="00E3000A"/>
    <w:rsid w:val="00E300E2"/>
    <w:rsid w:val="00E30142"/>
    <w:rsid w:val="00E30306"/>
    <w:rsid w:val="00E30375"/>
    <w:rsid w:val="00E304B3"/>
    <w:rsid w:val="00E30673"/>
    <w:rsid w:val="00E306D9"/>
    <w:rsid w:val="00E30720"/>
    <w:rsid w:val="00E3088A"/>
    <w:rsid w:val="00E30A13"/>
    <w:rsid w:val="00E30A7F"/>
    <w:rsid w:val="00E30C1D"/>
    <w:rsid w:val="00E30C8B"/>
    <w:rsid w:val="00E30D19"/>
    <w:rsid w:val="00E30F06"/>
    <w:rsid w:val="00E30F7B"/>
    <w:rsid w:val="00E311CE"/>
    <w:rsid w:val="00E31251"/>
    <w:rsid w:val="00E31447"/>
    <w:rsid w:val="00E31494"/>
    <w:rsid w:val="00E314C9"/>
    <w:rsid w:val="00E3160D"/>
    <w:rsid w:val="00E31614"/>
    <w:rsid w:val="00E31692"/>
    <w:rsid w:val="00E3185F"/>
    <w:rsid w:val="00E31903"/>
    <w:rsid w:val="00E3191B"/>
    <w:rsid w:val="00E3196D"/>
    <w:rsid w:val="00E31B43"/>
    <w:rsid w:val="00E31BFA"/>
    <w:rsid w:val="00E31C11"/>
    <w:rsid w:val="00E31ECC"/>
    <w:rsid w:val="00E31F49"/>
    <w:rsid w:val="00E31FB5"/>
    <w:rsid w:val="00E32157"/>
    <w:rsid w:val="00E32181"/>
    <w:rsid w:val="00E3218C"/>
    <w:rsid w:val="00E321DC"/>
    <w:rsid w:val="00E32355"/>
    <w:rsid w:val="00E324A3"/>
    <w:rsid w:val="00E324C7"/>
    <w:rsid w:val="00E32529"/>
    <w:rsid w:val="00E325F4"/>
    <w:rsid w:val="00E3266A"/>
    <w:rsid w:val="00E3276E"/>
    <w:rsid w:val="00E32AC3"/>
    <w:rsid w:val="00E32B26"/>
    <w:rsid w:val="00E32B45"/>
    <w:rsid w:val="00E32D2F"/>
    <w:rsid w:val="00E32D87"/>
    <w:rsid w:val="00E32E70"/>
    <w:rsid w:val="00E32E99"/>
    <w:rsid w:val="00E330A1"/>
    <w:rsid w:val="00E33358"/>
    <w:rsid w:val="00E334F3"/>
    <w:rsid w:val="00E33511"/>
    <w:rsid w:val="00E33560"/>
    <w:rsid w:val="00E3368C"/>
    <w:rsid w:val="00E33817"/>
    <w:rsid w:val="00E33914"/>
    <w:rsid w:val="00E33991"/>
    <w:rsid w:val="00E339B7"/>
    <w:rsid w:val="00E33A68"/>
    <w:rsid w:val="00E33A82"/>
    <w:rsid w:val="00E33E1C"/>
    <w:rsid w:val="00E33E31"/>
    <w:rsid w:val="00E33E33"/>
    <w:rsid w:val="00E3401A"/>
    <w:rsid w:val="00E340D1"/>
    <w:rsid w:val="00E34104"/>
    <w:rsid w:val="00E341BD"/>
    <w:rsid w:val="00E34228"/>
    <w:rsid w:val="00E343B5"/>
    <w:rsid w:val="00E3440B"/>
    <w:rsid w:val="00E3440D"/>
    <w:rsid w:val="00E3456E"/>
    <w:rsid w:val="00E345C8"/>
    <w:rsid w:val="00E34707"/>
    <w:rsid w:val="00E34964"/>
    <w:rsid w:val="00E3496B"/>
    <w:rsid w:val="00E34975"/>
    <w:rsid w:val="00E34A22"/>
    <w:rsid w:val="00E34CBA"/>
    <w:rsid w:val="00E34CD0"/>
    <w:rsid w:val="00E34D02"/>
    <w:rsid w:val="00E35002"/>
    <w:rsid w:val="00E3503B"/>
    <w:rsid w:val="00E35099"/>
    <w:rsid w:val="00E3513B"/>
    <w:rsid w:val="00E35224"/>
    <w:rsid w:val="00E35255"/>
    <w:rsid w:val="00E3528D"/>
    <w:rsid w:val="00E352DF"/>
    <w:rsid w:val="00E35513"/>
    <w:rsid w:val="00E358DF"/>
    <w:rsid w:val="00E3592F"/>
    <w:rsid w:val="00E35A73"/>
    <w:rsid w:val="00E35BCD"/>
    <w:rsid w:val="00E35BFA"/>
    <w:rsid w:val="00E35D11"/>
    <w:rsid w:val="00E35D71"/>
    <w:rsid w:val="00E362AE"/>
    <w:rsid w:val="00E3649F"/>
    <w:rsid w:val="00E364D4"/>
    <w:rsid w:val="00E3653A"/>
    <w:rsid w:val="00E3658F"/>
    <w:rsid w:val="00E3667A"/>
    <w:rsid w:val="00E366C4"/>
    <w:rsid w:val="00E36C16"/>
    <w:rsid w:val="00E36D52"/>
    <w:rsid w:val="00E36D55"/>
    <w:rsid w:val="00E370AD"/>
    <w:rsid w:val="00E370F3"/>
    <w:rsid w:val="00E3718C"/>
    <w:rsid w:val="00E37268"/>
    <w:rsid w:val="00E37312"/>
    <w:rsid w:val="00E37336"/>
    <w:rsid w:val="00E374F7"/>
    <w:rsid w:val="00E3756E"/>
    <w:rsid w:val="00E37597"/>
    <w:rsid w:val="00E37817"/>
    <w:rsid w:val="00E37A1C"/>
    <w:rsid w:val="00E37AB5"/>
    <w:rsid w:val="00E37BB8"/>
    <w:rsid w:val="00E37CAD"/>
    <w:rsid w:val="00E37CE4"/>
    <w:rsid w:val="00E37D1E"/>
    <w:rsid w:val="00E37D64"/>
    <w:rsid w:val="00E400A3"/>
    <w:rsid w:val="00E401DF"/>
    <w:rsid w:val="00E40290"/>
    <w:rsid w:val="00E402EB"/>
    <w:rsid w:val="00E40336"/>
    <w:rsid w:val="00E40369"/>
    <w:rsid w:val="00E4047A"/>
    <w:rsid w:val="00E405A0"/>
    <w:rsid w:val="00E40688"/>
    <w:rsid w:val="00E40832"/>
    <w:rsid w:val="00E40848"/>
    <w:rsid w:val="00E408FD"/>
    <w:rsid w:val="00E40B69"/>
    <w:rsid w:val="00E40BC7"/>
    <w:rsid w:val="00E40E97"/>
    <w:rsid w:val="00E41010"/>
    <w:rsid w:val="00E4120D"/>
    <w:rsid w:val="00E412A7"/>
    <w:rsid w:val="00E413AE"/>
    <w:rsid w:val="00E413E9"/>
    <w:rsid w:val="00E41498"/>
    <w:rsid w:val="00E4166B"/>
    <w:rsid w:val="00E4173D"/>
    <w:rsid w:val="00E417AB"/>
    <w:rsid w:val="00E418F5"/>
    <w:rsid w:val="00E41EAA"/>
    <w:rsid w:val="00E41F30"/>
    <w:rsid w:val="00E42077"/>
    <w:rsid w:val="00E42102"/>
    <w:rsid w:val="00E42123"/>
    <w:rsid w:val="00E422C9"/>
    <w:rsid w:val="00E4249B"/>
    <w:rsid w:val="00E42539"/>
    <w:rsid w:val="00E42545"/>
    <w:rsid w:val="00E426A8"/>
    <w:rsid w:val="00E4270F"/>
    <w:rsid w:val="00E429FA"/>
    <w:rsid w:val="00E42B8E"/>
    <w:rsid w:val="00E42C92"/>
    <w:rsid w:val="00E42D7C"/>
    <w:rsid w:val="00E42DBD"/>
    <w:rsid w:val="00E42FA3"/>
    <w:rsid w:val="00E42FFE"/>
    <w:rsid w:val="00E430FC"/>
    <w:rsid w:val="00E4314C"/>
    <w:rsid w:val="00E432CF"/>
    <w:rsid w:val="00E43413"/>
    <w:rsid w:val="00E434D0"/>
    <w:rsid w:val="00E43564"/>
    <w:rsid w:val="00E4371E"/>
    <w:rsid w:val="00E43764"/>
    <w:rsid w:val="00E4377A"/>
    <w:rsid w:val="00E43925"/>
    <w:rsid w:val="00E439ED"/>
    <w:rsid w:val="00E43A66"/>
    <w:rsid w:val="00E43A8C"/>
    <w:rsid w:val="00E43AB7"/>
    <w:rsid w:val="00E43B29"/>
    <w:rsid w:val="00E43B5B"/>
    <w:rsid w:val="00E43CB0"/>
    <w:rsid w:val="00E43E61"/>
    <w:rsid w:val="00E440AA"/>
    <w:rsid w:val="00E442BC"/>
    <w:rsid w:val="00E442F8"/>
    <w:rsid w:val="00E4433E"/>
    <w:rsid w:val="00E443DC"/>
    <w:rsid w:val="00E44508"/>
    <w:rsid w:val="00E4455C"/>
    <w:rsid w:val="00E44583"/>
    <w:rsid w:val="00E4477A"/>
    <w:rsid w:val="00E44885"/>
    <w:rsid w:val="00E448F4"/>
    <w:rsid w:val="00E449AB"/>
    <w:rsid w:val="00E44B37"/>
    <w:rsid w:val="00E44B4C"/>
    <w:rsid w:val="00E44C9F"/>
    <w:rsid w:val="00E44D4F"/>
    <w:rsid w:val="00E44D88"/>
    <w:rsid w:val="00E44EA2"/>
    <w:rsid w:val="00E44F47"/>
    <w:rsid w:val="00E45057"/>
    <w:rsid w:val="00E4507A"/>
    <w:rsid w:val="00E451DD"/>
    <w:rsid w:val="00E455DF"/>
    <w:rsid w:val="00E456C9"/>
    <w:rsid w:val="00E45858"/>
    <w:rsid w:val="00E458A8"/>
    <w:rsid w:val="00E45937"/>
    <w:rsid w:val="00E459A4"/>
    <w:rsid w:val="00E459D9"/>
    <w:rsid w:val="00E45A13"/>
    <w:rsid w:val="00E45AA6"/>
    <w:rsid w:val="00E45BC5"/>
    <w:rsid w:val="00E45C59"/>
    <w:rsid w:val="00E45C5F"/>
    <w:rsid w:val="00E45D20"/>
    <w:rsid w:val="00E45EA4"/>
    <w:rsid w:val="00E45EED"/>
    <w:rsid w:val="00E46482"/>
    <w:rsid w:val="00E466E1"/>
    <w:rsid w:val="00E467A8"/>
    <w:rsid w:val="00E46830"/>
    <w:rsid w:val="00E46990"/>
    <w:rsid w:val="00E46A30"/>
    <w:rsid w:val="00E46AC5"/>
    <w:rsid w:val="00E46AD3"/>
    <w:rsid w:val="00E46AD6"/>
    <w:rsid w:val="00E46ADA"/>
    <w:rsid w:val="00E46F95"/>
    <w:rsid w:val="00E4705B"/>
    <w:rsid w:val="00E4707D"/>
    <w:rsid w:val="00E472D9"/>
    <w:rsid w:val="00E4731F"/>
    <w:rsid w:val="00E473B4"/>
    <w:rsid w:val="00E473EE"/>
    <w:rsid w:val="00E47411"/>
    <w:rsid w:val="00E474FC"/>
    <w:rsid w:val="00E47648"/>
    <w:rsid w:val="00E47915"/>
    <w:rsid w:val="00E47925"/>
    <w:rsid w:val="00E47AE0"/>
    <w:rsid w:val="00E47D4B"/>
    <w:rsid w:val="00E47D68"/>
    <w:rsid w:val="00E47DB0"/>
    <w:rsid w:val="00E47E20"/>
    <w:rsid w:val="00E4F87D"/>
    <w:rsid w:val="00E5004F"/>
    <w:rsid w:val="00E5019E"/>
    <w:rsid w:val="00E501B0"/>
    <w:rsid w:val="00E503A3"/>
    <w:rsid w:val="00E5044C"/>
    <w:rsid w:val="00E50622"/>
    <w:rsid w:val="00E506D8"/>
    <w:rsid w:val="00E50981"/>
    <w:rsid w:val="00E509B9"/>
    <w:rsid w:val="00E509FE"/>
    <w:rsid w:val="00E50B1F"/>
    <w:rsid w:val="00E50BD4"/>
    <w:rsid w:val="00E50BF3"/>
    <w:rsid w:val="00E50E14"/>
    <w:rsid w:val="00E50EAB"/>
    <w:rsid w:val="00E51010"/>
    <w:rsid w:val="00E51125"/>
    <w:rsid w:val="00E51222"/>
    <w:rsid w:val="00E513EA"/>
    <w:rsid w:val="00E5145F"/>
    <w:rsid w:val="00E514AC"/>
    <w:rsid w:val="00E51607"/>
    <w:rsid w:val="00E51644"/>
    <w:rsid w:val="00E516A7"/>
    <w:rsid w:val="00E517B0"/>
    <w:rsid w:val="00E518F6"/>
    <w:rsid w:val="00E51945"/>
    <w:rsid w:val="00E51A1F"/>
    <w:rsid w:val="00E51A3A"/>
    <w:rsid w:val="00E51B94"/>
    <w:rsid w:val="00E51DCE"/>
    <w:rsid w:val="00E51E39"/>
    <w:rsid w:val="00E51F3E"/>
    <w:rsid w:val="00E52031"/>
    <w:rsid w:val="00E520E0"/>
    <w:rsid w:val="00E52281"/>
    <w:rsid w:val="00E522AC"/>
    <w:rsid w:val="00E522FD"/>
    <w:rsid w:val="00E52399"/>
    <w:rsid w:val="00E523DF"/>
    <w:rsid w:val="00E52425"/>
    <w:rsid w:val="00E524CF"/>
    <w:rsid w:val="00E524D7"/>
    <w:rsid w:val="00E52655"/>
    <w:rsid w:val="00E52737"/>
    <w:rsid w:val="00E528AA"/>
    <w:rsid w:val="00E52902"/>
    <w:rsid w:val="00E52988"/>
    <w:rsid w:val="00E529DF"/>
    <w:rsid w:val="00E529E1"/>
    <w:rsid w:val="00E52B09"/>
    <w:rsid w:val="00E52C62"/>
    <w:rsid w:val="00E52D43"/>
    <w:rsid w:val="00E52F6B"/>
    <w:rsid w:val="00E530CC"/>
    <w:rsid w:val="00E530DA"/>
    <w:rsid w:val="00E530E5"/>
    <w:rsid w:val="00E5320E"/>
    <w:rsid w:val="00E532EC"/>
    <w:rsid w:val="00E538F1"/>
    <w:rsid w:val="00E5398F"/>
    <w:rsid w:val="00E539C5"/>
    <w:rsid w:val="00E539E0"/>
    <w:rsid w:val="00E53A45"/>
    <w:rsid w:val="00E53B29"/>
    <w:rsid w:val="00E53BFD"/>
    <w:rsid w:val="00E53C44"/>
    <w:rsid w:val="00E53D60"/>
    <w:rsid w:val="00E53E9C"/>
    <w:rsid w:val="00E53F78"/>
    <w:rsid w:val="00E54083"/>
    <w:rsid w:val="00E54373"/>
    <w:rsid w:val="00E545F7"/>
    <w:rsid w:val="00E546FC"/>
    <w:rsid w:val="00E5490E"/>
    <w:rsid w:val="00E54A60"/>
    <w:rsid w:val="00E54A73"/>
    <w:rsid w:val="00E54AAF"/>
    <w:rsid w:val="00E54BCB"/>
    <w:rsid w:val="00E54C66"/>
    <w:rsid w:val="00E54D29"/>
    <w:rsid w:val="00E54DD6"/>
    <w:rsid w:val="00E54DEC"/>
    <w:rsid w:val="00E54E11"/>
    <w:rsid w:val="00E5503B"/>
    <w:rsid w:val="00E55187"/>
    <w:rsid w:val="00E5537D"/>
    <w:rsid w:val="00E554F0"/>
    <w:rsid w:val="00E555AF"/>
    <w:rsid w:val="00E557F9"/>
    <w:rsid w:val="00E558BE"/>
    <w:rsid w:val="00E55976"/>
    <w:rsid w:val="00E55988"/>
    <w:rsid w:val="00E559D1"/>
    <w:rsid w:val="00E55B08"/>
    <w:rsid w:val="00E55C36"/>
    <w:rsid w:val="00E55CDB"/>
    <w:rsid w:val="00E55DAD"/>
    <w:rsid w:val="00E55F67"/>
    <w:rsid w:val="00E55FE6"/>
    <w:rsid w:val="00E560FC"/>
    <w:rsid w:val="00E56162"/>
    <w:rsid w:val="00E5620B"/>
    <w:rsid w:val="00E563B2"/>
    <w:rsid w:val="00E564E4"/>
    <w:rsid w:val="00E566D2"/>
    <w:rsid w:val="00E567FB"/>
    <w:rsid w:val="00E56A0A"/>
    <w:rsid w:val="00E56B64"/>
    <w:rsid w:val="00E56CD5"/>
    <w:rsid w:val="00E56D18"/>
    <w:rsid w:val="00E56D9C"/>
    <w:rsid w:val="00E56E54"/>
    <w:rsid w:val="00E56E6D"/>
    <w:rsid w:val="00E56EAC"/>
    <w:rsid w:val="00E56F3C"/>
    <w:rsid w:val="00E56F9A"/>
    <w:rsid w:val="00E57038"/>
    <w:rsid w:val="00E5703C"/>
    <w:rsid w:val="00E57086"/>
    <w:rsid w:val="00E57273"/>
    <w:rsid w:val="00E57282"/>
    <w:rsid w:val="00E572BE"/>
    <w:rsid w:val="00E57584"/>
    <w:rsid w:val="00E57651"/>
    <w:rsid w:val="00E57965"/>
    <w:rsid w:val="00E579FA"/>
    <w:rsid w:val="00E57B76"/>
    <w:rsid w:val="00E57BA7"/>
    <w:rsid w:val="00E57D7D"/>
    <w:rsid w:val="00E57DFB"/>
    <w:rsid w:val="00E57F23"/>
    <w:rsid w:val="00E57FE6"/>
    <w:rsid w:val="00E6004B"/>
    <w:rsid w:val="00E60153"/>
    <w:rsid w:val="00E601A9"/>
    <w:rsid w:val="00E6036A"/>
    <w:rsid w:val="00E6042A"/>
    <w:rsid w:val="00E606A9"/>
    <w:rsid w:val="00E6078F"/>
    <w:rsid w:val="00E60885"/>
    <w:rsid w:val="00E6089E"/>
    <w:rsid w:val="00E608A8"/>
    <w:rsid w:val="00E60908"/>
    <w:rsid w:val="00E60A80"/>
    <w:rsid w:val="00E60B8A"/>
    <w:rsid w:val="00E60EFC"/>
    <w:rsid w:val="00E60FE6"/>
    <w:rsid w:val="00E610A0"/>
    <w:rsid w:val="00E61413"/>
    <w:rsid w:val="00E6153A"/>
    <w:rsid w:val="00E61668"/>
    <w:rsid w:val="00E616C0"/>
    <w:rsid w:val="00E617F2"/>
    <w:rsid w:val="00E618DC"/>
    <w:rsid w:val="00E6190E"/>
    <w:rsid w:val="00E61B7F"/>
    <w:rsid w:val="00E61BA4"/>
    <w:rsid w:val="00E61C3F"/>
    <w:rsid w:val="00E61CBD"/>
    <w:rsid w:val="00E61D1C"/>
    <w:rsid w:val="00E61D34"/>
    <w:rsid w:val="00E61D77"/>
    <w:rsid w:val="00E61DA6"/>
    <w:rsid w:val="00E61EA8"/>
    <w:rsid w:val="00E61F67"/>
    <w:rsid w:val="00E61F68"/>
    <w:rsid w:val="00E61FCC"/>
    <w:rsid w:val="00E6207F"/>
    <w:rsid w:val="00E6219C"/>
    <w:rsid w:val="00E62201"/>
    <w:rsid w:val="00E62339"/>
    <w:rsid w:val="00E6243C"/>
    <w:rsid w:val="00E624AF"/>
    <w:rsid w:val="00E62568"/>
    <w:rsid w:val="00E625BB"/>
    <w:rsid w:val="00E62784"/>
    <w:rsid w:val="00E62858"/>
    <w:rsid w:val="00E6285E"/>
    <w:rsid w:val="00E62A4A"/>
    <w:rsid w:val="00E62AB3"/>
    <w:rsid w:val="00E62AD5"/>
    <w:rsid w:val="00E62B0C"/>
    <w:rsid w:val="00E62B4E"/>
    <w:rsid w:val="00E62C8E"/>
    <w:rsid w:val="00E62E2F"/>
    <w:rsid w:val="00E62EA8"/>
    <w:rsid w:val="00E62F62"/>
    <w:rsid w:val="00E62F84"/>
    <w:rsid w:val="00E6313D"/>
    <w:rsid w:val="00E63260"/>
    <w:rsid w:val="00E63283"/>
    <w:rsid w:val="00E633B0"/>
    <w:rsid w:val="00E633B8"/>
    <w:rsid w:val="00E63447"/>
    <w:rsid w:val="00E634E7"/>
    <w:rsid w:val="00E63563"/>
    <w:rsid w:val="00E635CB"/>
    <w:rsid w:val="00E63647"/>
    <w:rsid w:val="00E63671"/>
    <w:rsid w:val="00E63776"/>
    <w:rsid w:val="00E637BA"/>
    <w:rsid w:val="00E63872"/>
    <w:rsid w:val="00E638BE"/>
    <w:rsid w:val="00E63905"/>
    <w:rsid w:val="00E63A6B"/>
    <w:rsid w:val="00E63C64"/>
    <w:rsid w:val="00E63D1F"/>
    <w:rsid w:val="00E641F2"/>
    <w:rsid w:val="00E64288"/>
    <w:rsid w:val="00E64312"/>
    <w:rsid w:val="00E643F1"/>
    <w:rsid w:val="00E64517"/>
    <w:rsid w:val="00E645D9"/>
    <w:rsid w:val="00E64612"/>
    <w:rsid w:val="00E64646"/>
    <w:rsid w:val="00E64785"/>
    <w:rsid w:val="00E647FA"/>
    <w:rsid w:val="00E64801"/>
    <w:rsid w:val="00E648A4"/>
    <w:rsid w:val="00E648BA"/>
    <w:rsid w:val="00E64C2B"/>
    <w:rsid w:val="00E6506C"/>
    <w:rsid w:val="00E650AF"/>
    <w:rsid w:val="00E650B2"/>
    <w:rsid w:val="00E650DA"/>
    <w:rsid w:val="00E65135"/>
    <w:rsid w:val="00E65139"/>
    <w:rsid w:val="00E6513F"/>
    <w:rsid w:val="00E651F2"/>
    <w:rsid w:val="00E652AF"/>
    <w:rsid w:val="00E652BF"/>
    <w:rsid w:val="00E65728"/>
    <w:rsid w:val="00E65828"/>
    <w:rsid w:val="00E65863"/>
    <w:rsid w:val="00E6593B"/>
    <w:rsid w:val="00E65A96"/>
    <w:rsid w:val="00E65B5C"/>
    <w:rsid w:val="00E65B77"/>
    <w:rsid w:val="00E65BBA"/>
    <w:rsid w:val="00E65DB2"/>
    <w:rsid w:val="00E65F66"/>
    <w:rsid w:val="00E65F90"/>
    <w:rsid w:val="00E65FDC"/>
    <w:rsid w:val="00E6601D"/>
    <w:rsid w:val="00E6601F"/>
    <w:rsid w:val="00E663C1"/>
    <w:rsid w:val="00E663D7"/>
    <w:rsid w:val="00E663F3"/>
    <w:rsid w:val="00E66402"/>
    <w:rsid w:val="00E6643F"/>
    <w:rsid w:val="00E66552"/>
    <w:rsid w:val="00E665AD"/>
    <w:rsid w:val="00E66645"/>
    <w:rsid w:val="00E6670E"/>
    <w:rsid w:val="00E66750"/>
    <w:rsid w:val="00E66866"/>
    <w:rsid w:val="00E668DC"/>
    <w:rsid w:val="00E66A74"/>
    <w:rsid w:val="00E66A91"/>
    <w:rsid w:val="00E66C20"/>
    <w:rsid w:val="00E66C56"/>
    <w:rsid w:val="00E66CBB"/>
    <w:rsid w:val="00E66CC8"/>
    <w:rsid w:val="00E66D22"/>
    <w:rsid w:val="00E66DEE"/>
    <w:rsid w:val="00E66FF9"/>
    <w:rsid w:val="00E671DF"/>
    <w:rsid w:val="00E67243"/>
    <w:rsid w:val="00E67370"/>
    <w:rsid w:val="00E6737F"/>
    <w:rsid w:val="00E673AD"/>
    <w:rsid w:val="00E673E2"/>
    <w:rsid w:val="00E673E7"/>
    <w:rsid w:val="00E67426"/>
    <w:rsid w:val="00E67546"/>
    <w:rsid w:val="00E6754A"/>
    <w:rsid w:val="00E675D1"/>
    <w:rsid w:val="00E67661"/>
    <w:rsid w:val="00E677B3"/>
    <w:rsid w:val="00E677B8"/>
    <w:rsid w:val="00E677FE"/>
    <w:rsid w:val="00E67855"/>
    <w:rsid w:val="00E678C2"/>
    <w:rsid w:val="00E67A71"/>
    <w:rsid w:val="00E67B16"/>
    <w:rsid w:val="00E67D61"/>
    <w:rsid w:val="00E67E23"/>
    <w:rsid w:val="00E67E56"/>
    <w:rsid w:val="00E67EF8"/>
    <w:rsid w:val="00E69B5B"/>
    <w:rsid w:val="00E7009A"/>
    <w:rsid w:val="00E70172"/>
    <w:rsid w:val="00E701F7"/>
    <w:rsid w:val="00E70325"/>
    <w:rsid w:val="00E7038A"/>
    <w:rsid w:val="00E704BE"/>
    <w:rsid w:val="00E7073E"/>
    <w:rsid w:val="00E708A8"/>
    <w:rsid w:val="00E70936"/>
    <w:rsid w:val="00E70A2D"/>
    <w:rsid w:val="00E70AAA"/>
    <w:rsid w:val="00E70C5F"/>
    <w:rsid w:val="00E70CC4"/>
    <w:rsid w:val="00E70CF2"/>
    <w:rsid w:val="00E70D82"/>
    <w:rsid w:val="00E70DAB"/>
    <w:rsid w:val="00E70DDA"/>
    <w:rsid w:val="00E70DE9"/>
    <w:rsid w:val="00E70E1D"/>
    <w:rsid w:val="00E70F0F"/>
    <w:rsid w:val="00E70F26"/>
    <w:rsid w:val="00E70F39"/>
    <w:rsid w:val="00E710EF"/>
    <w:rsid w:val="00E71355"/>
    <w:rsid w:val="00E714A6"/>
    <w:rsid w:val="00E7152C"/>
    <w:rsid w:val="00E7159C"/>
    <w:rsid w:val="00E71639"/>
    <w:rsid w:val="00E71683"/>
    <w:rsid w:val="00E71731"/>
    <w:rsid w:val="00E717C5"/>
    <w:rsid w:val="00E7190A"/>
    <w:rsid w:val="00E71944"/>
    <w:rsid w:val="00E7199C"/>
    <w:rsid w:val="00E71B91"/>
    <w:rsid w:val="00E71C6D"/>
    <w:rsid w:val="00E71C91"/>
    <w:rsid w:val="00E71F1E"/>
    <w:rsid w:val="00E72087"/>
    <w:rsid w:val="00E720C1"/>
    <w:rsid w:val="00E72178"/>
    <w:rsid w:val="00E7219D"/>
    <w:rsid w:val="00E7221C"/>
    <w:rsid w:val="00E7225D"/>
    <w:rsid w:val="00E723B6"/>
    <w:rsid w:val="00E724BE"/>
    <w:rsid w:val="00E7257A"/>
    <w:rsid w:val="00E726C9"/>
    <w:rsid w:val="00E726E4"/>
    <w:rsid w:val="00E72949"/>
    <w:rsid w:val="00E72AE9"/>
    <w:rsid w:val="00E72B13"/>
    <w:rsid w:val="00E72B9D"/>
    <w:rsid w:val="00E72C0C"/>
    <w:rsid w:val="00E72DA0"/>
    <w:rsid w:val="00E72E4B"/>
    <w:rsid w:val="00E72E5F"/>
    <w:rsid w:val="00E73198"/>
    <w:rsid w:val="00E731E4"/>
    <w:rsid w:val="00E73232"/>
    <w:rsid w:val="00E732A4"/>
    <w:rsid w:val="00E73559"/>
    <w:rsid w:val="00E73718"/>
    <w:rsid w:val="00E73745"/>
    <w:rsid w:val="00E73BBA"/>
    <w:rsid w:val="00E73C1C"/>
    <w:rsid w:val="00E73D7C"/>
    <w:rsid w:val="00E73E1A"/>
    <w:rsid w:val="00E73EFE"/>
    <w:rsid w:val="00E73F61"/>
    <w:rsid w:val="00E742A4"/>
    <w:rsid w:val="00E742D3"/>
    <w:rsid w:val="00E74631"/>
    <w:rsid w:val="00E7463D"/>
    <w:rsid w:val="00E7488C"/>
    <w:rsid w:val="00E749BE"/>
    <w:rsid w:val="00E74A99"/>
    <w:rsid w:val="00E74B54"/>
    <w:rsid w:val="00E74CE7"/>
    <w:rsid w:val="00E74DA2"/>
    <w:rsid w:val="00E75053"/>
    <w:rsid w:val="00E750AE"/>
    <w:rsid w:val="00E75125"/>
    <w:rsid w:val="00E7512E"/>
    <w:rsid w:val="00E7534E"/>
    <w:rsid w:val="00E75449"/>
    <w:rsid w:val="00E7562E"/>
    <w:rsid w:val="00E7576F"/>
    <w:rsid w:val="00E7579C"/>
    <w:rsid w:val="00E75A5B"/>
    <w:rsid w:val="00E75D33"/>
    <w:rsid w:val="00E75EFA"/>
    <w:rsid w:val="00E75F46"/>
    <w:rsid w:val="00E75F55"/>
    <w:rsid w:val="00E7610F"/>
    <w:rsid w:val="00E762F6"/>
    <w:rsid w:val="00E76381"/>
    <w:rsid w:val="00E76772"/>
    <w:rsid w:val="00E769EC"/>
    <w:rsid w:val="00E76A6B"/>
    <w:rsid w:val="00E76BA8"/>
    <w:rsid w:val="00E76C23"/>
    <w:rsid w:val="00E76ED5"/>
    <w:rsid w:val="00E76F68"/>
    <w:rsid w:val="00E76FA0"/>
    <w:rsid w:val="00E76FC8"/>
    <w:rsid w:val="00E7702C"/>
    <w:rsid w:val="00E770CB"/>
    <w:rsid w:val="00E7714B"/>
    <w:rsid w:val="00E77186"/>
    <w:rsid w:val="00E772A9"/>
    <w:rsid w:val="00E77539"/>
    <w:rsid w:val="00E7760A"/>
    <w:rsid w:val="00E776E1"/>
    <w:rsid w:val="00E77819"/>
    <w:rsid w:val="00E778B0"/>
    <w:rsid w:val="00E778B5"/>
    <w:rsid w:val="00E77AAC"/>
    <w:rsid w:val="00E77AD7"/>
    <w:rsid w:val="00E77B4A"/>
    <w:rsid w:val="00E77B7F"/>
    <w:rsid w:val="00E77BE4"/>
    <w:rsid w:val="00E77EE6"/>
    <w:rsid w:val="00E800F8"/>
    <w:rsid w:val="00E801E9"/>
    <w:rsid w:val="00E802F8"/>
    <w:rsid w:val="00E80351"/>
    <w:rsid w:val="00E803F8"/>
    <w:rsid w:val="00E804E2"/>
    <w:rsid w:val="00E80877"/>
    <w:rsid w:val="00E80A18"/>
    <w:rsid w:val="00E80A9F"/>
    <w:rsid w:val="00E80C00"/>
    <w:rsid w:val="00E80CC9"/>
    <w:rsid w:val="00E80DF7"/>
    <w:rsid w:val="00E80E43"/>
    <w:rsid w:val="00E80F69"/>
    <w:rsid w:val="00E81175"/>
    <w:rsid w:val="00E813A2"/>
    <w:rsid w:val="00E813A8"/>
    <w:rsid w:val="00E8147A"/>
    <w:rsid w:val="00E814AA"/>
    <w:rsid w:val="00E81536"/>
    <w:rsid w:val="00E8157F"/>
    <w:rsid w:val="00E816C1"/>
    <w:rsid w:val="00E8174A"/>
    <w:rsid w:val="00E8175D"/>
    <w:rsid w:val="00E81881"/>
    <w:rsid w:val="00E818A4"/>
    <w:rsid w:val="00E81A29"/>
    <w:rsid w:val="00E81BDF"/>
    <w:rsid w:val="00E81CB6"/>
    <w:rsid w:val="00E81CD7"/>
    <w:rsid w:val="00E81E3B"/>
    <w:rsid w:val="00E81E5B"/>
    <w:rsid w:val="00E81E88"/>
    <w:rsid w:val="00E820B2"/>
    <w:rsid w:val="00E820BA"/>
    <w:rsid w:val="00E82120"/>
    <w:rsid w:val="00E8224E"/>
    <w:rsid w:val="00E82260"/>
    <w:rsid w:val="00E823E2"/>
    <w:rsid w:val="00E823EA"/>
    <w:rsid w:val="00E82515"/>
    <w:rsid w:val="00E82599"/>
    <w:rsid w:val="00E82646"/>
    <w:rsid w:val="00E826D9"/>
    <w:rsid w:val="00E826DC"/>
    <w:rsid w:val="00E82C62"/>
    <w:rsid w:val="00E82CAD"/>
    <w:rsid w:val="00E82ECF"/>
    <w:rsid w:val="00E83058"/>
    <w:rsid w:val="00E832D9"/>
    <w:rsid w:val="00E83412"/>
    <w:rsid w:val="00E8343D"/>
    <w:rsid w:val="00E834D0"/>
    <w:rsid w:val="00E8352D"/>
    <w:rsid w:val="00E8357C"/>
    <w:rsid w:val="00E835B0"/>
    <w:rsid w:val="00E835EE"/>
    <w:rsid w:val="00E83660"/>
    <w:rsid w:val="00E83678"/>
    <w:rsid w:val="00E8379B"/>
    <w:rsid w:val="00E83973"/>
    <w:rsid w:val="00E83BBE"/>
    <w:rsid w:val="00E83C29"/>
    <w:rsid w:val="00E83C2D"/>
    <w:rsid w:val="00E83DE3"/>
    <w:rsid w:val="00E83E55"/>
    <w:rsid w:val="00E83EAE"/>
    <w:rsid w:val="00E840C3"/>
    <w:rsid w:val="00E842A2"/>
    <w:rsid w:val="00E8458C"/>
    <w:rsid w:val="00E847AD"/>
    <w:rsid w:val="00E847ED"/>
    <w:rsid w:val="00E84851"/>
    <w:rsid w:val="00E848FB"/>
    <w:rsid w:val="00E84952"/>
    <w:rsid w:val="00E84AF1"/>
    <w:rsid w:val="00E84B2C"/>
    <w:rsid w:val="00E84B3F"/>
    <w:rsid w:val="00E84B4B"/>
    <w:rsid w:val="00E84BB0"/>
    <w:rsid w:val="00E84C00"/>
    <w:rsid w:val="00E84C63"/>
    <w:rsid w:val="00E84C70"/>
    <w:rsid w:val="00E84CA7"/>
    <w:rsid w:val="00E84D50"/>
    <w:rsid w:val="00E84DCD"/>
    <w:rsid w:val="00E84EC9"/>
    <w:rsid w:val="00E8516E"/>
    <w:rsid w:val="00E85241"/>
    <w:rsid w:val="00E85282"/>
    <w:rsid w:val="00E8530F"/>
    <w:rsid w:val="00E853B8"/>
    <w:rsid w:val="00E8555A"/>
    <w:rsid w:val="00E85569"/>
    <w:rsid w:val="00E85743"/>
    <w:rsid w:val="00E857D8"/>
    <w:rsid w:val="00E858EC"/>
    <w:rsid w:val="00E858F3"/>
    <w:rsid w:val="00E85929"/>
    <w:rsid w:val="00E8599B"/>
    <w:rsid w:val="00E859A4"/>
    <w:rsid w:val="00E85A16"/>
    <w:rsid w:val="00E85BFB"/>
    <w:rsid w:val="00E85E6D"/>
    <w:rsid w:val="00E85F84"/>
    <w:rsid w:val="00E860AA"/>
    <w:rsid w:val="00E860B9"/>
    <w:rsid w:val="00E860F7"/>
    <w:rsid w:val="00E8610C"/>
    <w:rsid w:val="00E8622B"/>
    <w:rsid w:val="00E86261"/>
    <w:rsid w:val="00E863A7"/>
    <w:rsid w:val="00E865FE"/>
    <w:rsid w:val="00E866A9"/>
    <w:rsid w:val="00E868A0"/>
    <w:rsid w:val="00E86971"/>
    <w:rsid w:val="00E86976"/>
    <w:rsid w:val="00E86D73"/>
    <w:rsid w:val="00E86EBF"/>
    <w:rsid w:val="00E86EDD"/>
    <w:rsid w:val="00E86EE1"/>
    <w:rsid w:val="00E86FB9"/>
    <w:rsid w:val="00E86FBD"/>
    <w:rsid w:val="00E86FD4"/>
    <w:rsid w:val="00E87034"/>
    <w:rsid w:val="00E871E1"/>
    <w:rsid w:val="00E8730B"/>
    <w:rsid w:val="00E87322"/>
    <w:rsid w:val="00E87438"/>
    <w:rsid w:val="00E874D2"/>
    <w:rsid w:val="00E87566"/>
    <w:rsid w:val="00E87593"/>
    <w:rsid w:val="00E87631"/>
    <w:rsid w:val="00E876B5"/>
    <w:rsid w:val="00E8787D"/>
    <w:rsid w:val="00E87994"/>
    <w:rsid w:val="00E87ABD"/>
    <w:rsid w:val="00E87AE5"/>
    <w:rsid w:val="00E87B09"/>
    <w:rsid w:val="00E87B55"/>
    <w:rsid w:val="00E87C28"/>
    <w:rsid w:val="00E90096"/>
    <w:rsid w:val="00E9018B"/>
    <w:rsid w:val="00E901F6"/>
    <w:rsid w:val="00E90437"/>
    <w:rsid w:val="00E9047A"/>
    <w:rsid w:val="00E90579"/>
    <w:rsid w:val="00E90676"/>
    <w:rsid w:val="00E90686"/>
    <w:rsid w:val="00E9083E"/>
    <w:rsid w:val="00E90B0D"/>
    <w:rsid w:val="00E90B8F"/>
    <w:rsid w:val="00E90C4A"/>
    <w:rsid w:val="00E90D4A"/>
    <w:rsid w:val="00E90EA5"/>
    <w:rsid w:val="00E90FCB"/>
    <w:rsid w:val="00E90FE1"/>
    <w:rsid w:val="00E911F8"/>
    <w:rsid w:val="00E91230"/>
    <w:rsid w:val="00E91237"/>
    <w:rsid w:val="00E91242"/>
    <w:rsid w:val="00E91253"/>
    <w:rsid w:val="00E9159D"/>
    <w:rsid w:val="00E917C2"/>
    <w:rsid w:val="00E9186A"/>
    <w:rsid w:val="00E91871"/>
    <w:rsid w:val="00E91A31"/>
    <w:rsid w:val="00E91CFF"/>
    <w:rsid w:val="00E91D1C"/>
    <w:rsid w:val="00E91D80"/>
    <w:rsid w:val="00E91E14"/>
    <w:rsid w:val="00E9202E"/>
    <w:rsid w:val="00E92058"/>
    <w:rsid w:val="00E9205A"/>
    <w:rsid w:val="00E92066"/>
    <w:rsid w:val="00E9217A"/>
    <w:rsid w:val="00E9220C"/>
    <w:rsid w:val="00E92258"/>
    <w:rsid w:val="00E92353"/>
    <w:rsid w:val="00E925DC"/>
    <w:rsid w:val="00E92837"/>
    <w:rsid w:val="00E92994"/>
    <w:rsid w:val="00E92AC7"/>
    <w:rsid w:val="00E92B91"/>
    <w:rsid w:val="00E92C52"/>
    <w:rsid w:val="00E92FBE"/>
    <w:rsid w:val="00E93005"/>
    <w:rsid w:val="00E931A1"/>
    <w:rsid w:val="00E9368B"/>
    <w:rsid w:val="00E937F9"/>
    <w:rsid w:val="00E93844"/>
    <w:rsid w:val="00E93869"/>
    <w:rsid w:val="00E93935"/>
    <w:rsid w:val="00E93A79"/>
    <w:rsid w:val="00E93ACD"/>
    <w:rsid w:val="00E93DAE"/>
    <w:rsid w:val="00E93E04"/>
    <w:rsid w:val="00E93EF1"/>
    <w:rsid w:val="00E93F26"/>
    <w:rsid w:val="00E943E4"/>
    <w:rsid w:val="00E94669"/>
    <w:rsid w:val="00E9482B"/>
    <w:rsid w:val="00E94910"/>
    <w:rsid w:val="00E949B8"/>
    <w:rsid w:val="00E94A92"/>
    <w:rsid w:val="00E94B1E"/>
    <w:rsid w:val="00E94B5D"/>
    <w:rsid w:val="00E94DD8"/>
    <w:rsid w:val="00E94EA1"/>
    <w:rsid w:val="00E950B7"/>
    <w:rsid w:val="00E950C5"/>
    <w:rsid w:val="00E950FB"/>
    <w:rsid w:val="00E953FC"/>
    <w:rsid w:val="00E955D2"/>
    <w:rsid w:val="00E95872"/>
    <w:rsid w:val="00E95900"/>
    <w:rsid w:val="00E95B01"/>
    <w:rsid w:val="00E95B1B"/>
    <w:rsid w:val="00E95C10"/>
    <w:rsid w:val="00E95C43"/>
    <w:rsid w:val="00E95CAB"/>
    <w:rsid w:val="00E95D13"/>
    <w:rsid w:val="00E95DA7"/>
    <w:rsid w:val="00E95DEA"/>
    <w:rsid w:val="00E95F6D"/>
    <w:rsid w:val="00E95FB4"/>
    <w:rsid w:val="00E96054"/>
    <w:rsid w:val="00E960E7"/>
    <w:rsid w:val="00E96160"/>
    <w:rsid w:val="00E9618F"/>
    <w:rsid w:val="00E96370"/>
    <w:rsid w:val="00E965C6"/>
    <w:rsid w:val="00E96A46"/>
    <w:rsid w:val="00E96AC0"/>
    <w:rsid w:val="00E96BCF"/>
    <w:rsid w:val="00E96C0F"/>
    <w:rsid w:val="00E96CCA"/>
    <w:rsid w:val="00E96D74"/>
    <w:rsid w:val="00E96E4E"/>
    <w:rsid w:val="00E96F54"/>
    <w:rsid w:val="00E97048"/>
    <w:rsid w:val="00E97116"/>
    <w:rsid w:val="00E9723C"/>
    <w:rsid w:val="00E97591"/>
    <w:rsid w:val="00E97621"/>
    <w:rsid w:val="00E977BC"/>
    <w:rsid w:val="00E97985"/>
    <w:rsid w:val="00E97A93"/>
    <w:rsid w:val="00E97B72"/>
    <w:rsid w:val="00EA0035"/>
    <w:rsid w:val="00EA01FA"/>
    <w:rsid w:val="00EA02DF"/>
    <w:rsid w:val="00EA05CA"/>
    <w:rsid w:val="00EA069E"/>
    <w:rsid w:val="00EA06B4"/>
    <w:rsid w:val="00EA08F2"/>
    <w:rsid w:val="00EA096B"/>
    <w:rsid w:val="00EA0A9A"/>
    <w:rsid w:val="00EA0ABF"/>
    <w:rsid w:val="00EA0E36"/>
    <w:rsid w:val="00EA0FE2"/>
    <w:rsid w:val="00EA1014"/>
    <w:rsid w:val="00EA10FD"/>
    <w:rsid w:val="00EA111C"/>
    <w:rsid w:val="00EA12B3"/>
    <w:rsid w:val="00EA13CF"/>
    <w:rsid w:val="00EA1427"/>
    <w:rsid w:val="00EA1483"/>
    <w:rsid w:val="00EA1899"/>
    <w:rsid w:val="00EA1B97"/>
    <w:rsid w:val="00EA1EFA"/>
    <w:rsid w:val="00EA1FE9"/>
    <w:rsid w:val="00EA2017"/>
    <w:rsid w:val="00EA20DB"/>
    <w:rsid w:val="00EA224B"/>
    <w:rsid w:val="00EA2498"/>
    <w:rsid w:val="00EA249B"/>
    <w:rsid w:val="00EA2576"/>
    <w:rsid w:val="00EA25C7"/>
    <w:rsid w:val="00EA2601"/>
    <w:rsid w:val="00EA2744"/>
    <w:rsid w:val="00EA275A"/>
    <w:rsid w:val="00EA27AA"/>
    <w:rsid w:val="00EA285C"/>
    <w:rsid w:val="00EA2869"/>
    <w:rsid w:val="00EA28CA"/>
    <w:rsid w:val="00EA2961"/>
    <w:rsid w:val="00EA2962"/>
    <w:rsid w:val="00EA2A60"/>
    <w:rsid w:val="00EA2AD9"/>
    <w:rsid w:val="00EA2B0A"/>
    <w:rsid w:val="00EA2BB7"/>
    <w:rsid w:val="00EA2C22"/>
    <w:rsid w:val="00EA2C2E"/>
    <w:rsid w:val="00EA2C5D"/>
    <w:rsid w:val="00EA2C61"/>
    <w:rsid w:val="00EA2C76"/>
    <w:rsid w:val="00EA2CAD"/>
    <w:rsid w:val="00EA2F6C"/>
    <w:rsid w:val="00EA306D"/>
    <w:rsid w:val="00EA3290"/>
    <w:rsid w:val="00EA33A9"/>
    <w:rsid w:val="00EA3727"/>
    <w:rsid w:val="00EA38B1"/>
    <w:rsid w:val="00EA3B48"/>
    <w:rsid w:val="00EA3BFA"/>
    <w:rsid w:val="00EA3CA0"/>
    <w:rsid w:val="00EA3DB1"/>
    <w:rsid w:val="00EA3DC2"/>
    <w:rsid w:val="00EA3EC0"/>
    <w:rsid w:val="00EA440C"/>
    <w:rsid w:val="00EA44CE"/>
    <w:rsid w:val="00EA4573"/>
    <w:rsid w:val="00EA45F1"/>
    <w:rsid w:val="00EA4A34"/>
    <w:rsid w:val="00EA4ADA"/>
    <w:rsid w:val="00EA4AF8"/>
    <w:rsid w:val="00EA4B18"/>
    <w:rsid w:val="00EA4C18"/>
    <w:rsid w:val="00EA4C82"/>
    <w:rsid w:val="00EA4E8B"/>
    <w:rsid w:val="00EA4F8A"/>
    <w:rsid w:val="00EA4FAE"/>
    <w:rsid w:val="00EA50C0"/>
    <w:rsid w:val="00EA5205"/>
    <w:rsid w:val="00EA5385"/>
    <w:rsid w:val="00EA53A5"/>
    <w:rsid w:val="00EA54B1"/>
    <w:rsid w:val="00EA55C0"/>
    <w:rsid w:val="00EA56E1"/>
    <w:rsid w:val="00EA59A6"/>
    <w:rsid w:val="00EA59F7"/>
    <w:rsid w:val="00EA5A22"/>
    <w:rsid w:val="00EA5A4C"/>
    <w:rsid w:val="00EA5AFD"/>
    <w:rsid w:val="00EA5B72"/>
    <w:rsid w:val="00EA5BB7"/>
    <w:rsid w:val="00EA5CCE"/>
    <w:rsid w:val="00EA5EC5"/>
    <w:rsid w:val="00EA60DD"/>
    <w:rsid w:val="00EA61CA"/>
    <w:rsid w:val="00EA61CF"/>
    <w:rsid w:val="00EA61D9"/>
    <w:rsid w:val="00EA6238"/>
    <w:rsid w:val="00EA6455"/>
    <w:rsid w:val="00EA6481"/>
    <w:rsid w:val="00EA65A1"/>
    <w:rsid w:val="00EA6606"/>
    <w:rsid w:val="00EA677C"/>
    <w:rsid w:val="00EA69D6"/>
    <w:rsid w:val="00EA6A46"/>
    <w:rsid w:val="00EA6AA3"/>
    <w:rsid w:val="00EA6AA6"/>
    <w:rsid w:val="00EA6BA9"/>
    <w:rsid w:val="00EA6C5C"/>
    <w:rsid w:val="00EA6C83"/>
    <w:rsid w:val="00EA6D27"/>
    <w:rsid w:val="00EA6D87"/>
    <w:rsid w:val="00EA6F0C"/>
    <w:rsid w:val="00EA703D"/>
    <w:rsid w:val="00EA7330"/>
    <w:rsid w:val="00EA7542"/>
    <w:rsid w:val="00EA76A2"/>
    <w:rsid w:val="00EA7725"/>
    <w:rsid w:val="00EA77AC"/>
    <w:rsid w:val="00EA77BA"/>
    <w:rsid w:val="00EA7AFA"/>
    <w:rsid w:val="00EA7B0A"/>
    <w:rsid w:val="00EA7B47"/>
    <w:rsid w:val="00EA7C0A"/>
    <w:rsid w:val="00EA7C42"/>
    <w:rsid w:val="00EA7F9A"/>
    <w:rsid w:val="00EAC2CF"/>
    <w:rsid w:val="00EB01DC"/>
    <w:rsid w:val="00EB038B"/>
    <w:rsid w:val="00EB03BF"/>
    <w:rsid w:val="00EB0486"/>
    <w:rsid w:val="00EB04FE"/>
    <w:rsid w:val="00EB05DC"/>
    <w:rsid w:val="00EB0719"/>
    <w:rsid w:val="00EB0854"/>
    <w:rsid w:val="00EB08E7"/>
    <w:rsid w:val="00EB0915"/>
    <w:rsid w:val="00EB0A61"/>
    <w:rsid w:val="00EB0CF4"/>
    <w:rsid w:val="00EB0E79"/>
    <w:rsid w:val="00EB0F9E"/>
    <w:rsid w:val="00EB112C"/>
    <w:rsid w:val="00EB11AD"/>
    <w:rsid w:val="00EB1207"/>
    <w:rsid w:val="00EB120C"/>
    <w:rsid w:val="00EB184D"/>
    <w:rsid w:val="00EB1BC6"/>
    <w:rsid w:val="00EB1DD3"/>
    <w:rsid w:val="00EB1EB5"/>
    <w:rsid w:val="00EB1EE4"/>
    <w:rsid w:val="00EB1EF5"/>
    <w:rsid w:val="00EB1F20"/>
    <w:rsid w:val="00EB1F7C"/>
    <w:rsid w:val="00EB2017"/>
    <w:rsid w:val="00EB20FC"/>
    <w:rsid w:val="00EB2351"/>
    <w:rsid w:val="00EB237E"/>
    <w:rsid w:val="00EB245A"/>
    <w:rsid w:val="00EB26B7"/>
    <w:rsid w:val="00EB27A7"/>
    <w:rsid w:val="00EB2AE7"/>
    <w:rsid w:val="00EB2FA2"/>
    <w:rsid w:val="00EB3057"/>
    <w:rsid w:val="00EB311D"/>
    <w:rsid w:val="00EB340B"/>
    <w:rsid w:val="00EB34FD"/>
    <w:rsid w:val="00EB3565"/>
    <w:rsid w:val="00EB35A2"/>
    <w:rsid w:val="00EB3734"/>
    <w:rsid w:val="00EB3820"/>
    <w:rsid w:val="00EB38C9"/>
    <w:rsid w:val="00EB3917"/>
    <w:rsid w:val="00EB39FB"/>
    <w:rsid w:val="00EB3A0D"/>
    <w:rsid w:val="00EB3A27"/>
    <w:rsid w:val="00EB3A2D"/>
    <w:rsid w:val="00EB3A41"/>
    <w:rsid w:val="00EB3A74"/>
    <w:rsid w:val="00EB3AA4"/>
    <w:rsid w:val="00EB3CA1"/>
    <w:rsid w:val="00EB3D8E"/>
    <w:rsid w:val="00EB4006"/>
    <w:rsid w:val="00EB4171"/>
    <w:rsid w:val="00EB41BA"/>
    <w:rsid w:val="00EB4247"/>
    <w:rsid w:val="00EB45B1"/>
    <w:rsid w:val="00EB45F9"/>
    <w:rsid w:val="00EB4710"/>
    <w:rsid w:val="00EB47BE"/>
    <w:rsid w:val="00EB4849"/>
    <w:rsid w:val="00EB49FA"/>
    <w:rsid w:val="00EB4A44"/>
    <w:rsid w:val="00EB4BA6"/>
    <w:rsid w:val="00EB4BE7"/>
    <w:rsid w:val="00EB4C7F"/>
    <w:rsid w:val="00EB4DDE"/>
    <w:rsid w:val="00EB5187"/>
    <w:rsid w:val="00EB5205"/>
    <w:rsid w:val="00EB52DE"/>
    <w:rsid w:val="00EB5479"/>
    <w:rsid w:val="00EB557B"/>
    <w:rsid w:val="00EB55D3"/>
    <w:rsid w:val="00EB55EE"/>
    <w:rsid w:val="00EB5673"/>
    <w:rsid w:val="00EB5848"/>
    <w:rsid w:val="00EB5AE6"/>
    <w:rsid w:val="00EB5BA8"/>
    <w:rsid w:val="00EB5E2D"/>
    <w:rsid w:val="00EB5E4A"/>
    <w:rsid w:val="00EB5E59"/>
    <w:rsid w:val="00EB5E9D"/>
    <w:rsid w:val="00EB5FCC"/>
    <w:rsid w:val="00EB6065"/>
    <w:rsid w:val="00EB61D2"/>
    <w:rsid w:val="00EB62A6"/>
    <w:rsid w:val="00EB644C"/>
    <w:rsid w:val="00EB6455"/>
    <w:rsid w:val="00EB648F"/>
    <w:rsid w:val="00EB64E4"/>
    <w:rsid w:val="00EB651E"/>
    <w:rsid w:val="00EB6545"/>
    <w:rsid w:val="00EB65FB"/>
    <w:rsid w:val="00EB6797"/>
    <w:rsid w:val="00EB6940"/>
    <w:rsid w:val="00EB6AB5"/>
    <w:rsid w:val="00EB6CB5"/>
    <w:rsid w:val="00EB6CCA"/>
    <w:rsid w:val="00EB6D8B"/>
    <w:rsid w:val="00EB6E56"/>
    <w:rsid w:val="00EB6F51"/>
    <w:rsid w:val="00EB6F67"/>
    <w:rsid w:val="00EB700D"/>
    <w:rsid w:val="00EB717D"/>
    <w:rsid w:val="00EB71DD"/>
    <w:rsid w:val="00EB724B"/>
    <w:rsid w:val="00EB72CF"/>
    <w:rsid w:val="00EB72E2"/>
    <w:rsid w:val="00EB73C0"/>
    <w:rsid w:val="00EB76BB"/>
    <w:rsid w:val="00EB77E4"/>
    <w:rsid w:val="00EB78FA"/>
    <w:rsid w:val="00EB7A8B"/>
    <w:rsid w:val="00EB7AC5"/>
    <w:rsid w:val="00EB7D4F"/>
    <w:rsid w:val="00EB7DB7"/>
    <w:rsid w:val="00EB7FD9"/>
    <w:rsid w:val="00EC01A4"/>
    <w:rsid w:val="00EC02A5"/>
    <w:rsid w:val="00EC057F"/>
    <w:rsid w:val="00EC0626"/>
    <w:rsid w:val="00EC0627"/>
    <w:rsid w:val="00EC06E1"/>
    <w:rsid w:val="00EC080D"/>
    <w:rsid w:val="00EC0A73"/>
    <w:rsid w:val="00EC0C55"/>
    <w:rsid w:val="00EC1079"/>
    <w:rsid w:val="00EC11DB"/>
    <w:rsid w:val="00EC1230"/>
    <w:rsid w:val="00EC171E"/>
    <w:rsid w:val="00EC1A65"/>
    <w:rsid w:val="00EC1AA4"/>
    <w:rsid w:val="00EC1ACA"/>
    <w:rsid w:val="00EC1EB0"/>
    <w:rsid w:val="00EC224F"/>
    <w:rsid w:val="00EC2602"/>
    <w:rsid w:val="00EC267E"/>
    <w:rsid w:val="00EC26DD"/>
    <w:rsid w:val="00EC278D"/>
    <w:rsid w:val="00EC27D4"/>
    <w:rsid w:val="00EC2B0F"/>
    <w:rsid w:val="00EC2B7C"/>
    <w:rsid w:val="00EC2BFB"/>
    <w:rsid w:val="00EC2E49"/>
    <w:rsid w:val="00EC2E74"/>
    <w:rsid w:val="00EC2E84"/>
    <w:rsid w:val="00EC2EFC"/>
    <w:rsid w:val="00EC2F0A"/>
    <w:rsid w:val="00EC2F12"/>
    <w:rsid w:val="00EC2F18"/>
    <w:rsid w:val="00EC2F39"/>
    <w:rsid w:val="00EC306E"/>
    <w:rsid w:val="00EC307C"/>
    <w:rsid w:val="00EC312A"/>
    <w:rsid w:val="00EC3227"/>
    <w:rsid w:val="00EC3399"/>
    <w:rsid w:val="00EC3465"/>
    <w:rsid w:val="00EC34DB"/>
    <w:rsid w:val="00EC3572"/>
    <w:rsid w:val="00EC35A6"/>
    <w:rsid w:val="00EC3710"/>
    <w:rsid w:val="00EC38AE"/>
    <w:rsid w:val="00EC3973"/>
    <w:rsid w:val="00EC3A7E"/>
    <w:rsid w:val="00EC3C71"/>
    <w:rsid w:val="00EC3CEF"/>
    <w:rsid w:val="00EC3D5A"/>
    <w:rsid w:val="00EC3D64"/>
    <w:rsid w:val="00EC3E31"/>
    <w:rsid w:val="00EC3F0C"/>
    <w:rsid w:val="00EC3F29"/>
    <w:rsid w:val="00EC3F2A"/>
    <w:rsid w:val="00EC4051"/>
    <w:rsid w:val="00EC411A"/>
    <w:rsid w:val="00EC4289"/>
    <w:rsid w:val="00EC429E"/>
    <w:rsid w:val="00EC4309"/>
    <w:rsid w:val="00EC4456"/>
    <w:rsid w:val="00EC469C"/>
    <w:rsid w:val="00EC4B21"/>
    <w:rsid w:val="00EC4C4B"/>
    <w:rsid w:val="00EC4CB9"/>
    <w:rsid w:val="00EC4F5E"/>
    <w:rsid w:val="00EC5090"/>
    <w:rsid w:val="00EC51E4"/>
    <w:rsid w:val="00EC5241"/>
    <w:rsid w:val="00EC5248"/>
    <w:rsid w:val="00EC533B"/>
    <w:rsid w:val="00EC5520"/>
    <w:rsid w:val="00EC55AF"/>
    <w:rsid w:val="00EC561F"/>
    <w:rsid w:val="00EC5741"/>
    <w:rsid w:val="00EC588E"/>
    <w:rsid w:val="00EC5BE6"/>
    <w:rsid w:val="00EC5CC3"/>
    <w:rsid w:val="00EC5CE7"/>
    <w:rsid w:val="00EC5D3D"/>
    <w:rsid w:val="00EC5DC4"/>
    <w:rsid w:val="00EC5DDC"/>
    <w:rsid w:val="00EC5E91"/>
    <w:rsid w:val="00EC5FFD"/>
    <w:rsid w:val="00EC61B1"/>
    <w:rsid w:val="00EC62CC"/>
    <w:rsid w:val="00EC6350"/>
    <w:rsid w:val="00EC6367"/>
    <w:rsid w:val="00EC646A"/>
    <w:rsid w:val="00EC65D1"/>
    <w:rsid w:val="00EC6653"/>
    <w:rsid w:val="00EC6722"/>
    <w:rsid w:val="00EC67B1"/>
    <w:rsid w:val="00EC6884"/>
    <w:rsid w:val="00EC6A4B"/>
    <w:rsid w:val="00EC6A74"/>
    <w:rsid w:val="00EC6B10"/>
    <w:rsid w:val="00EC6B5B"/>
    <w:rsid w:val="00EC6B8F"/>
    <w:rsid w:val="00EC6CB0"/>
    <w:rsid w:val="00EC6E25"/>
    <w:rsid w:val="00EC6ECE"/>
    <w:rsid w:val="00EC6FC1"/>
    <w:rsid w:val="00EC7126"/>
    <w:rsid w:val="00EC719A"/>
    <w:rsid w:val="00EC7317"/>
    <w:rsid w:val="00EC74BA"/>
    <w:rsid w:val="00EC7672"/>
    <w:rsid w:val="00EC77A6"/>
    <w:rsid w:val="00EC77BB"/>
    <w:rsid w:val="00EC78E7"/>
    <w:rsid w:val="00EC7A76"/>
    <w:rsid w:val="00EC7B38"/>
    <w:rsid w:val="00EC7B42"/>
    <w:rsid w:val="00EC7B86"/>
    <w:rsid w:val="00EC7BA9"/>
    <w:rsid w:val="00EC7BAE"/>
    <w:rsid w:val="00EC7BD1"/>
    <w:rsid w:val="00EC7BDF"/>
    <w:rsid w:val="00EC7C79"/>
    <w:rsid w:val="00EC7C9B"/>
    <w:rsid w:val="00EC7CA2"/>
    <w:rsid w:val="00EC7E5E"/>
    <w:rsid w:val="00EC7ECF"/>
    <w:rsid w:val="00EC7EE5"/>
    <w:rsid w:val="00ED0036"/>
    <w:rsid w:val="00ED0219"/>
    <w:rsid w:val="00ED023A"/>
    <w:rsid w:val="00ED02A1"/>
    <w:rsid w:val="00ED0421"/>
    <w:rsid w:val="00ED0472"/>
    <w:rsid w:val="00ED04C0"/>
    <w:rsid w:val="00ED0578"/>
    <w:rsid w:val="00ED0789"/>
    <w:rsid w:val="00ED07EE"/>
    <w:rsid w:val="00ED082F"/>
    <w:rsid w:val="00ED0884"/>
    <w:rsid w:val="00ED093E"/>
    <w:rsid w:val="00ED0B5D"/>
    <w:rsid w:val="00ED0B9D"/>
    <w:rsid w:val="00ED0DDC"/>
    <w:rsid w:val="00ED11B6"/>
    <w:rsid w:val="00ED11FB"/>
    <w:rsid w:val="00ED1369"/>
    <w:rsid w:val="00ED16F7"/>
    <w:rsid w:val="00ED17EC"/>
    <w:rsid w:val="00ED1813"/>
    <w:rsid w:val="00ED1939"/>
    <w:rsid w:val="00ED1A53"/>
    <w:rsid w:val="00ED1B20"/>
    <w:rsid w:val="00ED1E0B"/>
    <w:rsid w:val="00ED2060"/>
    <w:rsid w:val="00ED20AE"/>
    <w:rsid w:val="00ED2135"/>
    <w:rsid w:val="00ED21E1"/>
    <w:rsid w:val="00ED2206"/>
    <w:rsid w:val="00ED2286"/>
    <w:rsid w:val="00ED22BC"/>
    <w:rsid w:val="00ED23F7"/>
    <w:rsid w:val="00ED2412"/>
    <w:rsid w:val="00ED242D"/>
    <w:rsid w:val="00ED24E0"/>
    <w:rsid w:val="00ED251D"/>
    <w:rsid w:val="00ED283A"/>
    <w:rsid w:val="00ED285F"/>
    <w:rsid w:val="00ED2965"/>
    <w:rsid w:val="00ED296B"/>
    <w:rsid w:val="00ED29D8"/>
    <w:rsid w:val="00ED2B7A"/>
    <w:rsid w:val="00ED2B7D"/>
    <w:rsid w:val="00ED2CA5"/>
    <w:rsid w:val="00ED2D6E"/>
    <w:rsid w:val="00ED2DBC"/>
    <w:rsid w:val="00ED30E6"/>
    <w:rsid w:val="00ED329F"/>
    <w:rsid w:val="00ED3313"/>
    <w:rsid w:val="00ED3332"/>
    <w:rsid w:val="00ED3613"/>
    <w:rsid w:val="00ED370F"/>
    <w:rsid w:val="00ED378D"/>
    <w:rsid w:val="00ED3894"/>
    <w:rsid w:val="00ED3A46"/>
    <w:rsid w:val="00ED3BB6"/>
    <w:rsid w:val="00ED3BDF"/>
    <w:rsid w:val="00ED3BF0"/>
    <w:rsid w:val="00ED3C37"/>
    <w:rsid w:val="00ED3C9F"/>
    <w:rsid w:val="00ED3E3E"/>
    <w:rsid w:val="00ED3EC5"/>
    <w:rsid w:val="00ED3ECF"/>
    <w:rsid w:val="00ED40BE"/>
    <w:rsid w:val="00ED419E"/>
    <w:rsid w:val="00ED4379"/>
    <w:rsid w:val="00ED4549"/>
    <w:rsid w:val="00ED4813"/>
    <w:rsid w:val="00ED48DF"/>
    <w:rsid w:val="00ED4B84"/>
    <w:rsid w:val="00ED4BA8"/>
    <w:rsid w:val="00ED4BF8"/>
    <w:rsid w:val="00ED4C9E"/>
    <w:rsid w:val="00ED4CCC"/>
    <w:rsid w:val="00ED4D94"/>
    <w:rsid w:val="00ED4F28"/>
    <w:rsid w:val="00ED4F61"/>
    <w:rsid w:val="00ED5004"/>
    <w:rsid w:val="00ED5063"/>
    <w:rsid w:val="00ED5160"/>
    <w:rsid w:val="00ED54D1"/>
    <w:rsid w:val="00ED554E"/>
    <w:rsid w:val="00ED559B"/>
    <w:rsid w:val="00ED5792"/>
    <w:rsid w:val="00ED5814"/>
    <w:rsid w:val="00ED59DB"/>
    <w:rsid w:val="00ED5B62"/>
    <w:rsid w:val="00ED5D4B"/>
    <w:rsid w:val="00ED5DCE"/>
    <w:rsid w:val="00ED5E1B"/>
    <w:rsid w:val="00ED5EC1"/>
    <w:rsid w:val="00ED6014"/>
    <w:rsid w:val="00ED6274"/>
    <w:rsid w:val="00ED6474"/>
    <w:rsid w:val="00ED64B4"/>
    <w:rsid w:val="00ED652C"/>
    <w:rsid w:val="00ED6692"/>
    <w:rsid w:val="00ED66AD"/>
    <w:rsid w:val="00ED6767"/>
    <w:rsid w:val="00ED6861"/>
    <w:rsid w:val="00ED692D"/>
    <w:rsid w:val="00ED6F15"/>
    <w:rsid w:val="00ED6F57"/>
    <w:rsid w:val="00ED6F61"/>
    <w:rsid w:val="00ED7012"/>
    <w:rsid w:val="00ED701A"/>
    <w:rsid w:val="00ED707C"/>
    <w:rsid w:val="00ED7234"/>
    <w:rsid w:val="00ED7258"/>
    <w:rsid w:val="00ED7262"/>
    <w:rsid w:val="00ED72CE"/>
    <w:rsid w:val="00ED731A"/>
    <w:rsid w:val="00ED73A2"/>
    <w:rsid w:val="00ED73C0"/>
    <w:rsid w:val="00ED7475"/>
    <w:rsid w:val="00ED74D5"/>
    <w:rsid w:val="00ED75E9"/>
    <w:rsid w:val="00ED76CB"/>
    <w:rsid w:val="00ED76D1"/>
    <w:rsid w:val="00ED780E"/>
    <w:rsid w:val="00ED78AD"/>
    <w:rsid w:val="00ED7953"/>
    <w:rsid w:val="00ED7AE3"/>
    <w:rsid w:val="00ED7D11"/>
    <w:rsid w:val="00ED7E03"/>
    <w:rsid w:val="00ED7FC5"/>
    <w:rsid w:val="00EDECCE"/>
    <w:rsid w:val="00EE00E0"/>
    <w:rsid w:val="00EE0242"/>
    <w:rsid w:val="00EE031D"/>
    <w:rsid w:val="00EE041B"/>
    <w:rsid w:val="00EE0438"/>
    <w:rsid w:val="00EE0472"/>
    <w:rsid w:val="00EE04CE"/>
    <w:rsid w:val="00EE0501"/>
    <w:rsid w:val="00EE0522"/>
    <w:rsid w:val="00EE0BD3"/>
    <w:rsid w:val="00EE0CE8"/>
    <w:rsid w:val="00EE0CF4"/>
    <w:rsid w:val="00EE0F89"/>
    <w:rsid w:val="00EE0FF8"/>
    <w:rsid w:val="00EE1115"/>
    <w:rsid w:val="00EE1234"/>
    <w:rsid w:val="00EE12E0"/>
    <w:rsid w:val="00EE141D"/>
    <w:rsid w:val="00EE1436"/>
    <w:rsid w:val="00EE1492"/>
    <w:rsid w:val="00EE14C0"/>
    <w:rsid w:val="00EE14D0"/>
    <w:rsid w:val="00EE14F4"/>
    <w:rsid w:val="00EE1625"/>
    <w:rsid w:val="00EE163D"/>
    <w:rsid w:val="00EE1750"/>
    <w:rsid w:val="00EE17E3"/>
    <w:rsid w:val="00EE19AF"/>
    <w:rsid w:val="00EE1A2C"/>
    <w:rsid w:val="00EE1D11"/>
    <w:rsid w:val="00EE1D6D"/>
    <w:rsid w:val="00EE1EDA"/>
    <w:rsid w:val="00EE20F0"/>
    <w:rsid w:val="00EE2304"/>
    <w:rsid w:val="00EE23C7"/>
    <w:rsid w:val="00EE2422"/>
    <w:rsid w:val="00EE2467"/>
    <w:rsid w:val="00EE255A"/>
    <w:rsid w:val="00EE25BD"/>
    <w:rsid w:val="00EE2676"/>
    <w:rsid w:val="00EE26F2"/>
    <w:rsid w:val="00EE2820"/>
    <w:rsid w:val="00EE28A1"/>
    <w:rsid w:val="00EE2AC4"/>
    <w:rsid w:val="00EE2BEB"/>
    <w:rsid w:val="00EE2C33"/>
    <w:rsid w:val="00EE2D1B"/>
    <w:rsid w:val="00EE2D31"/>
    <w:rsid w:val="00EE2D44"/>
    <w:rsid w:val="00EE2EC4"/>
    <w:rsid w:val="00EE2EF5"/>
    <w:rsid w:val="00EE2F4B"/>
    <w:rsid w:val="00EE3340"/>
    <w:rsid w:val="00EE35A9"/>
    <w:rsid w:val="00EE36F8"/>
    <w:rsid w:val="00EE3800"/>
    <w:rsid w:val="00EE39EA"/>
    <w:rsid w:val="00EE3A51"/>
    <w:rsid w:val="00EE3B51"/>
    <w:rsid w:val="00EE3C4F"/>
    <w:rsid w:val="00EE3CD2"/>
    <w:rsid w:val="00EE3CDE"/>
    <w:rsid w:val="00EE3DF4"/>
    <w:rsid w:val="00EE3E8E"/>
    <w:rsid w:val="00EE3F07"/>
    <w:rsid w:val="00EE4168"/>
    <w:rsid w:val="00EE41B2"/>
    <w:rsid w:val="00EE421A"/>
    <w:rsid w:val="00EE428B"/>
    <w:rsid w:val="00EE42DD"/>
    <w:rsid w:val="00EE44D9"/>
    <w:rsid w:val="00EE458C"/>
    <w:rsid w:val="00EE488A"/>
    <w:rsid w:val="00EE49F1"/>
    <w:rsid w:val="00EE4C7E"/>
    <w:rsid w:val="00EE4E2E"/>
    <w:rsid w:val="00EE5162"/>
    <w:rsid w:val="00EE517D"/>
    <w:rsid w:val="00EE520A"/>
    <w:rsid w:val="00EE52A7"/>
    <w:rsid w:val="00EE52ED"/>
    <w:rsid w:val="00EE5381"/>
    <w:rsid w:val="00EE53F9"/>
    <w:rsid w:val="00EE54EC"/>
    <w:rsid w:val="00EE564C"/>
    <w:rsid w:val="00EE5693"/>
    <w:rsid w:val="00EE572B"/>
    <w:rsid w:val="00EE5A14"/>
    <w:rsid w:val="00EE5AEE"/>
    <w:rsid w:val="00EE5B95"/>
    <w:rsid w:val="00EE5BB7"/>
    <w:rsid w:val="00EE5EBB"/>
    <w:rsid w:val="00EE5F6E"/>
    <w:rsid w:val="00EE603C"/>
    <w:rsid w:val="00EE605A"/>
    <w:rsid w:val="00EE6061"/>
    <w:rsid w:val="00EE615A"/>
    <w:rsid w:val="00EE6168"/>
    <w:rsid w:val="00EE61C6"/>
    <w:rsid w:val="00EE61D2"/>
    <w:rsid w:val="00EE623D"/>
    <w:rsid w:val="00EE6255"/>
    <w:rsid w:val="00EE628E"/>
    <w:rsid w:val="00EE62A4"/>
    <w:rsid w:val="00EE6337"/>
    <w:rsid w:val="00EE638F"/>
    <w:rsid w:val="00EE6404"/>
    <w:rsid w:val="00EE6547"/>
    <w:rsid w:val="00EE65D7"/>
    <w:rsid w:val="00EE6644"/>
    <w:rsid w:val="00EE684B"/>
    <w:rsid w:val="00EE6A28"/>
    <w:rsid w:val="00EE6C0E"/>
    <w:rsid w:val="00EE6D1A"/>
    <w:rsid w:val="00EE6E00"/>
    <w:rsid w:val="00EE6E95"/>
    <w:rsid w:val="00EE703B"/>
    <w:rsid w:val="00EE765C"/>
    <w:rsid w:val="00EE77AA"/>
    <w:rsid w:val="00EE77C3"/>
    <w:rsid w:val="00EE7997"/>
    <w:rsid w:val="00EE7A48"/>
    <w:rsid w:val="00EE7A86"/>
    <w:rsid w:val="00EE7C32"/>
    <w:rsid w:val="00EE7D13"/>
    <w:rsid w:val="00EF01F7"/>
    <w:rsid w:val="00EF033F"/>
    <w:rsid w:val="00EF03EB"/>
    <w:rsid w:val="00EF04D8"/>
    <w:rsid w:val="00EF05B2"/>
    <w:rsid w:val="00EF0690"/>
    <w:rsid w:val="00EF06C3"/>
    <w:rsid w:val="00EF0A63"/>
    <w:rsid w:val="00EF0A91"/>
    <w:rsid w:val="00EF0AA3"/>
    <w:rsid w:val="00EF0D6F"/>
    <w:rsid w:val="00EF0DA1"/>
    <w:rsid w:val="00EF0F8D"/>
    <w:rsid w:val="00EF102A"/>
    <w:rsid w:val="00EF1053"/>
    <w:rsid w:val="00EF1122"/>
    <w:rsid w:val="00EF115F"/>
    <w:rsid w:val="00EF12D0"/>
    <w:rsid w:val="00EF1448"/>
    <w:rsid w:val="00EF15F7"/>
    <w:rsid w:val="00EF166A"/>
    <w:rsid w:val="00EF17FD"/>
    <w:rsid w:val="00EF19CD"/>
    <w:rsid w:val="00EF1B46"/>
    <w:rsid w:val="00EF1BBD"/>
    <w:rsid w:val="00EF1BEF"/>
    <w:rsid w:val="00EF1C5D"/>
    <w:rsid w:val="00EF1C78"/>
    <w:rsid w:val="00EF1D56"/>
    <w:rsid w:val="00EF1DF3"/>
    <w:rsid w:val="00EF1E1B"/>
    <w:rsid w:val="00EF1EA0"/>
    <w:rsid w:val="00EF2300"/>
    <w:rsid w:val="00EF23E3"/>
    <w:rsid w:val="00EF2525"/>
    <w:rsid w:val="00EF26F0"/>
    <w:rsid w:val="00EF27C0"/>
    <w:rsid w:val="00EF2812"/>
    <w:rsid w:val="00EF285D"/>
    <w:rsid w:val="00EF2871"/>
    <w:rsid w:val="00EF287A"/>
    <w:rsid w:val="00EF29A7"/>
    <w:rsid w:val="00EF2A03"/>
    <w:rsid w:val="00EF2AF0"/>
    <w:rsid w:val="00EF2B43"/>
    <w:rsid w:val="00EF2BD0"/>
    <w:rsid w:val="00EF2C6B"/>
    <w:rsid w:val="00EF2D8A"/>
    <w:rsid w:val="00EF2DC4"/>
    <w:rsid w:val="00EF2E9A"/>
    <w:rsid w:val="00EF2F35"/>
    <w:rsid w:val="00EF307A"/>
    <w:rsid w:val="00EF318F"/>
    <w:rsid w:val="00EF32DC"/>
    <w:rsid w:val="00EF32F5"/>
    <w:rsid w:val="00EF3300"/>
    <w:rsid w:val="00EF3312"/>
    <w:rsid w:val="00EF33C0"/>
    <w:rsid w:val="00EF35EF"/>
    <w:rsid w:val="00EF372B"/>
    <w:rsid w:val="00EF37B9"/>
    <w:rsid w:val="00EF3904"/>
    <w:rsid w:val="00EF3B4C"/>
    <w:rsid w:val="00EF3C1D"/>
    <w:rsid w:val="00EF3CB3"/>
    <w:rsid w:val="00EF3D05"/>
    <w:rsid w:val="00EF3E74"/>
    <w:rsid w:val="00EF3EBC"/>
    <w:rsid w:val="00EF3F1F"/>
    <w:rsid w:val="00EF3FF6"/>
    <w:rsid w:val="00EF40EF"/>
    <w:rsid w:val="00EF4152"/>
    <w:rsid w:val="00EF4180"/>
    <w:rsid w:val="00EF4191"/>
    <w:rsid w:val="00EF4238"/>
    <w:rsid w:val="00EF4240"/>
    <w:rsid w:val="00EF425C"/>
    <w:rsid w:val="00EF434F"/>
    <w:rsid w:val="00EF44D9"/>
    <w:rsid w:val="00EF45DF"/>
    <w:rsid w:val="00EF4649"/>
    <w:rsid w:val="00EF4661"/>
    <w:rsid w:val="00EF4764"/>
    <w:rsid w:val="00EF4806"/>
    <w:rsid w:val="00EF4A7C"/>
    <w:rsid w:val="00EF4A7F"/>
    <w:rsid w:val="00EF4A8B"/>
    <w:rsid w:val="00EF4CA0"/>
    <w:rsid w:val="00EF4DFF"/>
    <w:rsid w:val="00EF4EA5"/>
    <w:rsid w:val="00EF4ECA"/>
    <w:rsid w:val="00EF5047"/>
    <w:rsid w:val="00EF513A"/>
    <w:rsid w:val="00EF52DA"/>
    <w:rsid w:val="00EF53AA"/>
    <w:rsid w:val="00EF53F6"/>
    <w:rsid w:val="00EF542B"/>
    <w:rsid w:val="00EF5435"/>
    <w:rsid w:val="00EF54CE"/>
    <w:rsid w:val="00EF57C0"/>
    <w:rsid w:val="00EF57E1"/>
    <w:rsid w:val="00EF58BE"/>
    <w:rsid w:val="00EF596A"/>
    <w:rsid w:val="00EF598A"/>
    <w:rsid w:val="00EF59F4"/>
    <w:rsid w:val="00EF5B7A"/>
    <w:rsid w:val="00EF5D69"/>
    <w:rsid w:val="00EF5DEF"/>
    <w:rsid w:val="00EF5E8D"/>
    <w:rsid w:val="00EF5F0F"/>
    <w:rsid w:val="00EF5F51"/>
    <w:rsid w:val="00EF605B"/>
    <w:rsid w:val="00EF606C"/>
    <w:rsid w:val="00EF6490"/>
    <w:rsid w:val="00EF668D"/>
    <w:rsid w:val="00EF6748"/>
    <w:rsid w:val="00EF6753"/>
    <w:rsid w:val="00EF6773"/>
    <w:rsid w:val="00EF68C2"/>
    <w:rsid w:val="00EF6CD3"/>
    <w:rsid w:val="00EF6D23"/>
    <w:rsid w:val="00EF6DFD"/>
    <w:rsid w:val="00EF6E1F"/>
    <w:rsid w:val="00EF6F17"/>
    <w:rsid w:val="00EF6F5F"/>
    <w:rsid w:val="00EF6FB2"/>
    <w:rsid w:val="00EF721C"/>
    <w:rsid w:val="00EF7275"/>
    <w:rsid w:val="00EF72CF"/>
    <w:rsid w:val="00EF7376"/>
    <w:rsid w:val="00EF7461"/>
    <w:rsid w:val="00EF75AC"/>
    <w:rsid w:val="00EF7644"/>
    <w:rsid w:val="00EF7712"/>
    <w:rsid w:val="00EF779B"/>
    <w:rsid w:val="00EF7AD7"/>
    <w:rsid w:val="00EF7CC9"/>
    <w:rsid w:val="00EF7D29"/>
    <w:rsid w:val="00EF7D52"/>
    <w:rsid w:val="00EF7DD4"/>
    <w:rsid w:val="00EF7F5B"/>
    <w:rsid w:val="00F00132"/>
    <w:rsid w:val="00F0017D"/>
    <w:rsid w:val="00F002D1"/>
    <w:rsid w:val="00F0062A"/>
    <w:rsid w:val="00F0080B"/>
    <w:rsid w:val="00F008A5"/>
    <w:rsid w:val="00F008D6"/>
    <w:rsid w:val="00F0090D"/>
    <w:rsid w:val="00F00A69"/>
    <w:rsid w:val="00F00A6B"/>
    <w:rsid w:val="00F00A9F"/>
    <w:rsid w:val="00F00D92"/>
    <w:rsid w:val="00F00DCC"/>
    <w:rsid w:val="00F00E6B"/>
    <w:rsid w:val="00F01049"/>
    <w:rsid w:val="00F01064"/>
    <w:rsid w:val="00F010EE"/>
    <w:rsid w:val="00F01140"/>
    <w:rsid w:val="00F01177"/>
    <w:rsid w:val="00F011CB"/>
    <w:rsid w:val="00F012C6"/>
    <w:rsid w:val="00F01432"/>
    <w:rsid w:val="00F0158F"/>
    <w:rsid w:val="00F017AD"/>
    <w:rsid w:val="00F01A09"/>
    <w:rsid w:val="00F01C77"/>
    <w:rsid w:val="00F01E1E"/>
    <w:rsid w:val="00F01E2A"/>
    <w:rsid w:val="00F01F1C"/>
    <w:rsid w:val="00F01F78"/>
    <w:rsid w:val="00F02094"/>
    <w:rsid w:val="00F021B3"/>
    <w:rsid w:val="00F02232"/>
    <w:rsid w:val="00F0225A"/>
    <w:rsid w:val="00F02393"/>
    <w:rsid w:val="00F024E5"/>
    <w:rsid w:val="00F02671"/>
    <w:rsid w:val="00F026B8"/>
    <w:rsid w:val="00F027C3"/>
    <w:rsid w:val="00F028E5"/>
    <w:rsid w:val="00F029C9"/>
    <w:rsid w:val="00F02C24"/>
    <w:rsid w:val="00F02D5A"/>
    <w:rsid w:val="00F02DDB"/>
    <w:rsid w:val="00F03207"/>
    <w:rsid w:val="00F033F0"/>
    <w:rsid w:val="00F03401"/>
    <w:rsid w:val="00F0347E"/>
    <w:rsid w:val="00F0351D"/>
    <w:rsid w:val="00F0355A"/>
    <w:rsid w:val="00F03750"/>
    <w:rsid w:val="00F0376D"/>
    <w:rsid w:val="00F03864"/>
    <w:rsid w:val="00F038C4"/>
    <w:rsid w:val="00F03CE7"/>
    <w:rsid w:val="00F03DD0"/>
    <w:rsid w:val="00F03F29"/>
    <w:rsid w:val="00F03F86"/>
    <w:rsid w:val="00F03FC1"/>
    <w:rsid w:val="00F03FE5"/>
    <w:rsid w:val="00F040D7"/>
    <w:rsid w:val="00F04116"/>
    <w:rsid w:val="00F0420E"/>
    <w:rsid w:val="00F04397"/>
    <w:rsid w:val="00F043CD"/>
    <w:rsid w:val="00F043E5"/>
    <w:rsid w:val="00F04728"/>
    <w:rsid w:val="00F0478D"/>
    <w:rsid w:val="00F047CA"/>
    <w:rsid w:val="00F04887"/>
    <w:rsid w:val="00F048C9"/>
    <w:rsid w:val="00F04925"/>
    <w:rsid w:val="00F0497E"/>
    <w:rsid w:val="00F04ADD"/>
    <w:rsid w:val="00F04C1F"/>
    <w:rsid w:val="00F04C44"/>
    <w:rsid w:val="00F04D08"/>
    <w:rsid w:val="00F04D36"/>
    <w:rsid w:val="00F04EE0"/>
    <w:rsid w:val="00F05179"/>
    <w:rsid w:val="00F051A9"/>
    <w:rsid w:val="00F054B3"/>
    <w:rsid w:val="00F054FD"/>
    <w:rsid w:val="00F05527"/>
    <w:rsid w:val="00F0562B"/>
    <w:rsid w:val="00F05658"/>
    <w:rsid w:val="00F057DA"/>
    <w:rsid w:val="00F0587E"/>
    <w:rsid w:val="00F05882"/>
    <w:rsid w:val="00F059AC"/>
    <w:rsid w:val="00F05AAA"/>
    <w:rsid w:val="00F05BDE"/>
    <w:rsid w:val="00F05CCB"/>
    <w:rsid w:val="00F05EE4"/>
    <w:rsid w:val="00F05F77"/>
    <w:rsid w:val="00F05F96"/>
    <w:rsid w:val="00F0616C"/>
    <w:rsid w:val="00F061CF"/>
    <w:rsid w:val="00F062D3"/>
    <w:rsid w:val="00F062DA"/>
    <w:rsid w:val="00F062E0"/>
    <w:rsid w:val="00F062FD"/>
    <w:rsid w:val="00F0650B"/>
    <w:rsid w:val="00F065B3"/>
    <w:rsid w:val="00F0660A"/>
    <w:rsid w:val="00F06681"/>
    <w:rsid w:val="00F066C8"/>
    <w:rsid w:val="00F067BE"/>
    <w:rsid w:val="00F06883"/>
    <w:rsid w:val="00F069CA"/>
    <w:rsid w:val="00F06A16"/>
    <w:rsid w:val="00F06A95"/>
    <w:rsid w:val="00F06B1A"/>
    <w:rsid w:val="00F06B40"/>
    <w:rsid w:val="00F06CF8"/>
    <w:rsid w:val="00F06E7F"/>
    <w:rsid w:val="00F07088"/>
    <w:rsid w:val="00F0715D"/>
    <w:rsid w:val="00F071FC"/>
    <w:rsid w:val="00F07279"/>
    <w:rsid w:val="00F073BC"/>
    <w:rsid w:val="00F0745C"/>
    <w:rsid w:val="00F0749B"/>
    <w:rsid w:val="00F074A7"/>
    <w:rsid w:val="00F074BE"/>
    <w:rsid w:val="00F07544"/>
    <w:rsid w:val="00F07565"/>
    <w:rsid w:val="00F075CF"/>
    <w:rsid w:val="00F07670"/>
    <w:rsid w:val="00F07898"/>
    <w:rsid w:val="00F07A0F"/>
    <w:rsid w:val="00F07C17"/>
    <w:rsid w:val="00F07C1D"/>
    <w:rsid w:val="00F07CEA"/>
    <w:rsid w:val="00F10077"/>
    <w:rsid w:val="00F10080"/>
    <w:rsid w:val="00F100F1"/>
    <w:rsid w:val="00F1020B"/>
    <w:rsid w:val="00F10264"/>
    <w:rsid w:val="00F102D8"/>
    <w:rsid w:val="00F10367"/>
    <w:rsid w:val="00F1036A"/>
    <w:rsid w:val="00F103D7"/>
    <w:rsid w:val="00F103D9"/>
    <w:rsid w:val="00F103EF"/>
    <w:rsid w:val="00F103F0"/>
    <w:rsid w:val="00F104E1"/>
    <w:rsid w:val="00F10553"/>
    <w:rsid w:val="00F105EE"/>
    <w:rsid w:val="00F10A19"/>
    <w:rsid w:val="00F10A84"/>
    <w:rsid w:val="00F10BA3"/>
    <w:rsid w:val="00F10C7B"/>
    <w:rsid w:val="00F1100A"/>
    <w:rsid w:val="00F1116A"/>
    <w:rsid w:val="00F111D9"/>
    <w:rsid w:val="00F1125C"/>
    <w:rsid w:val="00F11371"/>
    <w:rsid w:val="00F11431"/>
    <w:rsid w:val="00F11533"/>
    <w:rsid w:val="00F115E5"/>
    <w:rsid w:val="00F1169B"/>
    <w:rsid w:val="00F116D8"/>
    <w:rsid w:val="00F118BD"/>
    <w:rsid w:val="00F11932"/>
    <w:rsid w:val="00F11D48"/>
    <w:rsid w:val="00F11F03"/>
    <w:rsid w:val="00F1205A"/>
    <w:rsid w:val="00F120CD"/>
    <w:rsid w:val="00F1222B"/>
    <w:rsid w:val="00F1229C"/>
    <w:rsid w:val="00F122A3"/>
    <w:rsid w:val="00F1274C"/>
    <w:rsid w:val="00F12B7D"/>
    <w:rsid w:val="00F12BD5"/>
    <w:rsid w:val="00F12C0A"/>
    <w:rsid w:val="00F12D91"/>
    <w:rsid w:val="00F12E0A"/>
    <w:rsid w:val="00F12E3A"/>
    <w:rsid w:val="00F12F85"/>
    <w:rsid w:val="00F12FCD"/>
    <w:rsid w:val="00F1314C"/>
    <w:rsid w:val="00F1320F"/>
    <w:rsid w:val="00F132E3"/>
    <w:rsid w:val="00F13487"/>
    <w:rsid w:val="00F134F9"/>
    <w:rsid w:val="00F13576"/>
    <w:rsid w:val="00F13611"/>
    <w:rsid w:val="00F13655"/>
    <w:rsid w:val="00F13750"/>
    <w:rsid w:val="00F13794"/>
    <w:rsid w:val="00F139D7"/>
    <w:rsid w:val="00F13ACC"/>
    <w:rsid w:val="00F13B1D"/>
    <w:rsid w:val="00F13B8C"/>
    <w:rsid w:val="00F13D28"/>
    <w:rsid w:val="00F13DAD"/>
    <w:rsid w:val="00F13E9D"/>
    <w:rsid w:val="00F13EA5"/>
    <w:rsid w:val="00F13F03"/>
    <w:rsid w:val="00F13F40"/>
    <w:rsid w:val="00F13F70"/>
    <w:rsid w:val="00F13F73"/>
    <w:rsid w:val="00F13FD5"/>
    <w:rsid w:val="00F14116"/>
    <w:rsid w:val="00F1470C"/>
    <w:rsid w:val="00F1480C"/>
    <w:rsid w:val="00F14AAF"/>
    <w:rsid w:val="00F14C00"/>
    <w:rsid w:val="00F14CFE"/>
    <w:rsid w:val="00F14E85"/>
    <w:rsid w:val="00F14EAE"/>
    <w:rsid w:val="00F14EDD"/>
    <w:rsid w:val="00F15082"/>
    <w:rsid w:val="00F151BD"/>
    <w:rsid w:val="00F15587"/>
    <w:rsid w:val="00F1558E"/>
    <w:rsid w:val="00F155BB"/>
    <w:rsid w:val="00F1560D"/>
    <w:rsid w:val="00F1581F"/>
    <w:rsid w:val="00F1584F"/>
    <w:rsid w:val="00F15875"/>
    <w:rsid w:val="00F1592E"/>
    <w:rsid w:val="00F1597A"/>
    <w:rsid w:val="00F15CA0"/>
    <w:rsid w:val="00F15CB8"/>
    <w:rsid w:val="00F15E25"/>
    <w:rsid w:val="00F15E80"/>
    <w:rsid w:val="00F15F75"/>
    <w:rsid w:val="00F16038"/>
    <w:rsid w:val="00F163DE"/>
    <w:rsid w:val="00F16415"/>
    <w:rsid w:val="00F16435"/>
    <w:rsid w:val="00F16CBF"/>
    <w:rsid w:val="00F16DA1"/>
    <w:rsid w:val="00F16F6A"/>
    <w:rsid w:val="00F17015"/>
    <w:rsid w:val="00F17551"/>
    <w:rsid w:val="00F176AE"/>
    <w:rsid w:val="00F176AF"/>
    <w:rsid w:val="00F176CE"/>
    <w:rsid w:val="00F17C17"/>
    <w:rsid w:val="00F17C6A"/>
    <w:rsid w:val="00F17D59"/>
    <w:rsid w:val="00F17DB4"/>
    <w:rsid w:val="00F17DFE"/>
    <w:rsid w:val="00F17F4D"/>
    <w:rsid w:val="00F2000C"/>
    <w:rsid w:val="00F20135"/>
    <w:rsid w:val="00F202E0"/>
    <w:rsid w:val="00F2044B"/>
    <w:rsid w:val="00F20530"/>
    <w:rsid w:val="00F2098B"/>
    <w:rsid w:val="00F209EA"/>
    <w:rsid w:val="00F20C55"/>
    <w:rsid w:val="00F20E13"/>
    <w:rsid w:val="00F20FC1"/>
    <w:rsid w:val="00F2112F"/>
    <w:rsid w:val="00F212A1"/>
    <w:rsid w:val="00F21332"/>
    <w:rsid w:val="00F2133F"/>
    <w:rsid w:val="00F2134B"/>
    <w:rsid w:val="00F219D2"/>
    <w:rsid w:val="00F219F2"/>
    <w:rsid w:val="00F21A97"/>
    <w:rsid w:val="00F21AC9"/>
    <w:rsid w:val="00F21B94"/>
    <w:rsid w:val="00F21E07"/>
    <w:rsid w:val="00F21F9B"/>
    <w:rsid w:val="00F22170"/>
    <w:rsid w:val="00F222B3"/>
    <w:rsid w:val="00F2231B"/>
    <w:rsid w:val="00F22477"/>
    <w:rsid w:val="00F224C1"/>
    <w:rsid w:val="00F2256C"/>
    <w:rsid w:val="00F225E4"/>
    <w:rsid w:val="00F226F2"/>
    <w:rsid w:val="00F228E2"/>
    <w:rsid w:val="00F228EC"/>
    <w:rsid w:val="00F22B86"/>
    <w:rsid w:val="00F22BEF"/>
    <w:rsid w:val="00F22DC9"/>
    <w:rsid w:val="00F22F89"/>
    <w:rsid w:val="00F22FC5"/>
    <w:rsid w:val="00F2303A"/>
    <w:rsid w:val="00F2307A"/>
    <w:rsid w:val="00F23300"/>
    <w:rsid w:val="00F2352F"/>
    <w:rsid w:val="00F2363B"/>
    <w:rsid w:val="00F236F8"/>
    <w:rsid w:val="00F23701"/>
    <w:rsid w:val="00F2371A"/>
    <w:rsid w:val="00F2373A"/>
    <w:rsid w:val="00F2374A"/>
    <w:rsid w:val="00F237CC"/>
    <w:rsid w:val="00F238BE"/>
    <w:rsid w:val="00F23A80"/>
    <w:rsid w:val="00F23CB6"/>
    <w:rsid w:val="00F23D3B"/>
    <w:rsid w:val="00F23E09"/>
    <w:rsid w:val="00F23F38"/>
    <w:rsid w:val="00F24056"/>
    <w:rsid w:val="00F24072"/>
    <w:rsid w:val="00F240C2"/>
    <w:rsid w:val="00F241C0"/>
    <w:rsid w:val="00F24266"/>
    <w:rsid w:val="00F24347"/>
    <w:rsid w:val="00F2450A"/>
    <w:rsid w:val="00F24534"/>
    <w:rsid w:val="00F2459B"/>
    <w:rsid w:val="00F24805"/>
    <w:rsid w:val="00F24868"/>
    <w:rsid w:val="00F24C1A"/>
    <w:rsid w:val="00F24C83"/>
    <w:rsid w:val="00F24D0B"/>
    <w:rsid w:val="00F24DAB"/>
    <w:rsid w:val="00F250F8"/>
    <w:rsid w:val="00F25258"/>
    <w:rsid w:val="00F2546A"/>
    <w:rsid w:val="00F25722"/>
    <w:rsid w:val="00F25868"/>
    <w:rsid w:val="00F2587F"/>
    <w:rsid w:val="00F25CB4"/>
    <w:rsid w:val="00F25E88"/>
    <w:rsid w:val="00F25FA5"/>
    <w:rsid w:val="00F26033"/>
    <w:rsid w:val="00F261DC"/>
    <w:rsid w:val="00F2621E"/>
    <w:rsid w:val="00F26345"/>
    <w:rsid w:val="00F26353"/>
    <w:rsid w:val="00F26402"/>
    <w:rsid w:val="00F264FF"/>
    <w:rsid w:val="00F2657D"/>
    <w:rsid w:val="00F2667F"/>
    <w:rsid w:val="00F2676F"/>
    <w:rsid w:val="00F267BF"/>
    <w:rsid w:val="00F26BC6"/>
    <w:rsid w:val="00F26C3F"/>
    <w:rsid w:val="00F26D88"/>
    <w:rsid w:val="00F26D90"/>
    <w:rsid w:val="00F26DAC"/>
    <w:rsid w:val="00F26DD5"/>
    <w:rsid w:val="00F27304"/>
    <w:rsid w:val="00F273CB"/>
    <w:rsid w:val="00F2741D"/>
    <w:rsid w:val="00F27423"/>
    <w:rsid w:val="00F27490"/>
    <w:rsid w:val="00F2769C"/>
    <w:rsid w:val="00F2786C"/>
    <w:rsid w:val="00F27921"/>
    <w:rsid w:val="00F27AD6"/>
    <w:rsid w:val="00F27B32"/>
    <w:rsid w:val="00F27CBC"/>
    <w:rsid w:val="00F27D07"/>
    <w:rsid w:val="00F27D08"/>
    <w:rsid w:val="00F30033"/>
    <w:rsid w:val="00F30188"/>
    <w:rsid w:val="00F30296"/>
    <w:rsid w:val="00F302EE"/>
    <w:rsid w:val="00F3039F"/>
    <w:rsid w:val="00F30420"/>
    <w:rsid w:val="00F304D9"/>
    <w:rsid w:val="00F30595"/>
    <w:rsid w:val="00F3064B"/>
    <w:rsid w:val="00F30671"/>
    <w:rsid w:val="00F30B4C"/>
    <w:rsid w:val="00F30C8A"/>
    <w:rsid w:val="00F30D82"/>
    <w:rsid w:val="00F30F7A"/>
    <w:rsid w:val="00F31120"/>
    <w:rsid w:val="00F3130B"/>
    <w:rsid w:val="00F3136C"/>
    <w:rsid w:val="00F313A1"/>
    <w:rsid w:val="00F313C1"/>
    <w:rsid w:val="00F313D1"/>
    <w:rsid w:val="00F31607"/>
    <w:rsid w:val="00F317E6"/>
    <w:rsid w:val="00F319BB"/>
    <w:rsid w:val="00F31CAC"/>
    <w:rsid w:val="00F31E05"/>
    <w:rsid w:val="00F31E35"/>
    <w:rsid w:val="00F31E38"/>
    <w:rsid w:val="00F31FB3"/>
    <w:rsid w:val="00F32002"/>
    <w:rsid w:val="00F32104"/>
    <w:rsid w:val="00F321F1"/>
    <w:rsid w:val="00F323B3"/>
    <w:rsid w:val="00F32490"/>
    <w:rsid w:val="00F327F6"/>
    <w:rsid w:val="00F32869"/>
    <w:rsid w:val="00F32882"/>
    <w:rsid w:val="00F32905"/>
    <w:rsid w:val="00F329C7"/>
    <w:rsid w:val="00F32D6C"/>
    <w:rsid w:val="00F32E1D"/>
    <w:rsid w:val="00F3307A"/>
    <w:rsid w:val="00F33336"/>
    <w:rsid w:val="00F33388"/>
    <w:rsid w:val="00F334A3"/>
    <w:rsid w:val="00F33838"/>
    <w:rsid w:val="00F33865"/>
    <w:rsid w:val="00F338D0"/>
    <w:rsid w:val="00F33D39"/>
    <w:rsid w:val="00F33EE8"/>
    <w:rsid w:val="00F340B4"/>
    <w:rsid w:val="00F3410F"/>
    <w:rsid w:val="00F341E3"/>
    <w:rsid w:val="00F3432E"/>
    <w:rsid w:val="00F343A8"/>
    <w:rsid w:val="00F344EE"/>
    <w:rsid w:val="00F3455D"/>
    <w:rsid w:val="00F3482B"/>
    <w:rsid w:val="00F34942"/>
    <w:rsid w:val="00F34963"/>
    <w:rsid w:val="00F34A12"/>
    <w:rsid w:val="00F34BB5"/>
    <w:rsid w:val="00F34FA2"/>
    <w:rsid w:val="00F3504F"/>
    <w:rsid w:val="00F350DE"/>
    <w:rsid w:val="00F351D1"/>
    <w:rsid w:val="00F35319"/>
    <w:rsid w:val="00F35335"/>
    <w:rsid w:val="00F353D7"/>
    <w:rsid w:val="00F35438"/>
    <w:rsid w:val="00F35484"/>
    <w:rsid w:val="00F3548B"/>
    <w:rsid w:val="00F35642"/>
    <w:rsid w:val="00F356F4"/>
    <w:rsid w:val="00F3584A"/>
    <w:rsid w:val="00F359E4"/>
    <w:rsid w:val="00F35A34"/>
    <w:rsid w:val="00F35B8B"/>
    <w:rsid w:val="00F35BF5"/>
    <w:rsid w:val="00F35D0E"/>
    <w:rsid w:val="00F35F23"/>
    <w:rsid w:val="00F35FE0"/>
    <w:rsid w:val="00F36025"/>
    <w:rsid w:val="00F360D5"/>
    <w:rsid w:val="00F360F3"/>
    <w:rsid w:val="00F36165"/>
    <w:rsid w:val="00F363E8"/>
    <w:rsid w:val="00F36533"/>
    <w:rsid w:val="00F365AA"/>
    <w:rsid w:val="00F366CD"/>
    <w:rsid w:val="00F367A7"/>
    <w:rsid w:val="00F36958"/>
    <w:rsid w:val="00F36A63"/>
    <w:rsid w:val="00F36AD6"/>
    <w:rsid w:val="00F36AE1"/>
    <w:rsid w:val="00F36B32"/>
    <w:rsid w:val="00F36C57"/>
    <w:rsid w:val="00F36CAC"/>
    <w:rsid w:val="00F36DA1"/>
    <w:rsid w:val="00F36F11"/>
    <w:rsid w:val="00F36FC0"/>
    <w:rsid w:val="00F3708F"/>
    <w:rsid w:val="00F370F6"/>
    <w:rsid w:val="00F372CD"/>
    <w:rsid w:val="00F37343"/>
    <w:rsid w:val="00F37356"/>
    <w:rsid w:val="00F373F3"/>
    <w:rsid w:val="00F37524"/>
    <w:rsid w:val="00F375B6"/>
    <w:rsid w:val="00F37AD3"/>
    <w:rsid w:val="00F37C4E"/>
    <w:rsid w:val="00F37ED1"/>
    <w:rsid w:val="00F40099"/>
    <w:rsid w:val="00F40133"/>
    <w:rsid w:val="00F40171"/>
    <w:rsid w:val="00F40188"/>
    <w:rsid w:val="00F4055D"/>
    <w:rsid w:val="00F407F2"/>
    <w:rsid w:val="00F40956"/>
    <w:rsid w:val="00F40963"/>
    <w:rsid w:val="00F40B3C"/>
    <w:rsid w:val="00F40C8E"/>
    <w:rsid w:val="00F40E41"/>
    <w:rsid w:val="00F40EC5"/>
    <w:rsid w:val="00F40ECB"/>
    <w:rsid w:val="00F40F1C"/>
    <w:rsid w:val="00F411DF"/>
    <w:rsid w:val="00F4122C"/>
    <w:rsid w:val="00F41342"/>
    <w:rsid w:val="00F414AD"/>
    <w:rsid w:val="00F41504"/>
    <w:rsid w:val="00F41546"/>
    <w:rsid w:val="00F415F2"/>
    <w:rsid w:val="00F41637"/>
    <w:rsid w:val="00F41641"/>
    <w:rsid w:val="00F41783"/>
    <w:rsid w:val="00F41786"/>
    <w:rsid w:val="00F417AE"/>
    <w:rsid w:val="00F41975"/>
    <w:rsid w:val="00F41B1F"/>
    <w:rsid w:val="00F41BB2"/>
    <w:rsid w:val="00F41BC4"/>
    <w:rsid w:val="00F41C49"/>
    <w:rsid w:val="00F41E93"/>
    <w:rsid w:val="00F41F10"/>
    <w:rsid w:val="00F42326"/>
    <w:rsid w:val="00F42355"/>
    <w:rsid w:val="00F42369"/>
    <w:rsid w:val="00F42441"/>
    <w:rsid w:val="00F426D6"/>
    <w:rsid w:val="00F42847"/>
    <w:rsid w:val="00F429AF"/>
    <w:rsid w:val="00F42A57"/>
    <w:rsid w:val="00F42B11"/>
    <w:rsid w:val="00F42BC5"/>
    <w:rsid w:val="00F42C3F"/>
    <w:rsid w:val="00F42CEF"/>
    <w:rsid w:val="00F42D09"/>
    <w:rsid w:val="00F42E02"/>
    <w:rsid w:val="00F42E2E"/>
    <w:rsid w:val="00F42F2C"/>
    <w:rsid w:val="00F42F37"/>
    <w:rsid w:val="00F43355"/>
    <w:rsid w:val="00F43768"/>
    <w:rsid w:val="00F437EE"/>
    <w:rsid w:val="00F439BB"/>
    <w:rsid w:val="00F43C09"/>
    <w:rsid w:val="00F43C19"/>
    <w:rsid w:val="00F43E32"/>
    <w:rsid w:val="00F4400B"/>
    <w:rsid w:val="00F4406A"/>
    <w:rsid w:val="00F440D2"/>
    <w:rsid w:val="00F44106"/>
    <w:rsid w:val="00F44155"/>
    <w:rsid w:val="00F441B9"/>
    <w:rsid w:val="00F443AD"/>
    <w:rsid w:val="00F443F3"/>
    <w:rsid w:val="00F445C8"/>
    <w:rsid w:val="00F44710"/>
    <w:rsid w:val="00F44774"/>
    <w:rsid w:val="00F44878"/>
    <w:rsid w:val="00F449FA"/>
    <w:rsid w:val="00F449FD"/>
    <w:rsid w:val="00F44AAB"/>
    <w:rsid w:val="00F44AD7"/>
    <w:rsid w:val="00F44B58"/>
    <w:rsid w:val="00F44E37"/>
    <w:rsid w:val="00F44F20"/>
    <w:rsid w:val="00F44FED"/>
    <w:rsid w:val="00F45022"/>
    <w:rsid w:val="00F45141"/>
    <w:rsid w:val="00F4523F"/>
    <w:rsid w:val="00F452B3"/>
    <w:rsid w:val="00F45317"/>
    <w:rsid w:val="00F457A5"/>
    <w:rsid w:val="00F459D3"/>
    <w:rsid w:val="00F45B81"/>
    <w:rsid w:val="00F45CCE"/>
    <w:rsid w:val="00F45ECF"/>
    <w:rsid w:val="00F46058"/>
    <w:rsid w:val="00F4616D"/>
    <w:rsid w:val="00F46182"/>
    <w:rsid w:val="00F46211"/>
    <w:rsid w:val="00F462A4"/>
    <w:rsid w:val="00F463CF"/>
    <w:rsid w:val="00F463FE"/>
    <w:rsid w:val="00F4640E"/>
    <w:rsid w:val="00F4644E"/>
    <w:rsid w:val="00F464C8"/>
    <w:rsid w:val="00F464F8"/>
    <w:rsid w:val="00F46526"/>
    <w:rsid w:val="00F466B2"/>
    <w:rsid w:val="00F46774"/>
    <w:rsid w:val="00F46782"/>
    <w:rsid w:val="00F467DB"/>
    <w:rsid w:val="00F46814"/>
    <w:rsid w:val="00F46905"/>
    <w:rsid w:val="00F46907"/>
    <w:rsid w:val="00F46933"/>
    <w:rsid w:val="00F46AA2"/>
    <w:rsid w:val="00F46D15"/>
    <w:rsid w:val="00F46E74"/>
    <w:rsid w:val="00F46F22"/>
    <w:rsid w:val="00F46F83"/>
    <w:rsid w:val="00F4717C"/>
    <w:rsid w:val="00F4735B"/>
    <w:rsid w:val="00F473B7"/>
    <w:rsid w:val="00F47480"/>
    <w:rsid w:val="00F47505"/>
    <w:rsid w:val="00F4761E"/>
    <w:rsid w:val="00F47690"/>
    <w:rsid w:val="00F47706"/>
    <w:rsid w:val="00F47887"/>
    <w:rsid w:val="00F478A4"/>
    <w:rsid w:val="00F47A9A"/>
    <w:rsid w:val="00F47BA6"/>
    <w:rsid w:val="00F47C81"/>
    <w:rsid w:val="00F47F18"/>
    <w:rsid w:val="00F47FEB"/>
    <w:rsid w:val="00F500F2"/>
    <w:rsid w:val="00F5012F"/>
    <w:rsid w:val="00F50154"/>
    <w:rsid w:val="00F50179"/>
    <w:rsid w:val="00F5019F"/>
    <w:rsid w:val="00F501B4"/>
    <w:rsid w:val="00F5048B"/>
    <w:rsid w:val="00F504D9"/>
    <w:rsid w:val="00F50503"/>
    <w:rsid w:val="00F5059D"/>
    <w:rsid w:val="00F50718"/>
    <w:rsid w:val="00F50741"/>
    <w:rsid w:val="00F507BF"/>
    <w:rsid w:val="00F50935"/>
    <w:rsid w:val="00F509A0"/>
    <w:rsid w:val="00F509ED"/>
    <w:rsid w:val="00F50A4C"/>
    <w:rsid w:val="00F50A75"/>
    <w:rsid w:val="00F50AFF"/>
    <w:rsid w:val="00F51186"/>
    <w:rsid w:val="00F511C1"/>
    <w:rsid w:val="00F51203"/>
    <w:rsid w:val="00F51251"/>
    <w:rsid w:val="00F512D9"/>
    <w:rsid w:val="00F5139B"/>
    <w:rsid w:val="00F513F4"/>
    <w:rsid w:val="00F51409"/>
    <w:rsid w:val="00F51475"/>
    <w:rsid w:val="00F515C3"/>
    <w:rsid w:val="00F51968"/>
    <w:rsid w:val="00F51A50"/>
    <w:rsid w:val="00F51BBF"/>
    <w:rsid w:val="00F51C31"/>
    <w:rsid w:val="00F51C41"/>
    <w:rsid w:val="00F51DBF"/>
    <w:rsid w:val="00F51EE0"/>
    <w:rsid w:val="00F51F91"/>
    <w:rsid w:val="00F51FB6"/>
    <w:rsid w:val="00F5200E"/>
    <w:rsid w:val="00F520A3"/>
    <w:rsid w:val="00F52215"/>
    <w:rsid w:val="00F52259"/>
    <w:rsid w:val="00F52407"/>
    <w:rsid w:val="00F5243A"/>
    <w:rsid w:val="00F524A1"/>
    <w:rsid w:val="00F5254F"/>
    <w:rsid w:val="00F52568"/>
    <w:rsid w:val="00F52774"/>
    <w:rsid w:val="00F52800"/>
    <w:rsid w:val="00F52834"/>
    <w:rsid w:val="00F52850"/>
    <w:rsid w:val="00F52864"/>
    <w:rsid w:val="00F528E7"/>
    <w:rsid w:val="00F52A6B"/>
    <w:rsid w:val="00F52B4B"/>
    <w:rsid w:val="00F52BC5"/>
    <w:rsid w:val="00F52BC6"/>
    <w:rsid w:val="00F52BF9"/>
    <w:rsid w:val="00F52CDA"/>
    <w:rsid w:val="00F52D1B"/>
    <w:rsid w:val="00F52DA1"/>
    <w:rsid w:val="00F531AD"/>
    <w:rsid w:val="00F531F2"/>
    <w:rsid w:val="00F5324F"/>
    <w:rsid w:val="00F532FF"/>
    <w:rsid w:val="00F535D2"/>
    <w:rsid w:val="00F53688"/>
    <w:rsid w:val="00F53748"/>
    <w:rsid w:val="00F538A5"/>
    <w:rsid w:val="00F53A7C"/>
    <w:rsid w:val="00F53C0D"/>
    <w:rsid w:val="00F53C34"/>
    <w:rsid w:val="00F53D38"/>
    <w:rsid w:val="00F53D39"/>
    <w:rsid w:val="00F53E12"/>
    <w:rsid w:val="00F53E2D"/>
    <w:rsid w:val="00F53E44"/>
    <w:rsid w:val="00F541BC"/>
    <w:rsid w:val="00F5430C"/>
    <w:rsid w:val="00F5438D"/>
    <w:rsid w:val="00F5484D"/>
    <w:rsid w:val="00F54ABC"/>
    <w:rsid w:val="00F54B4C"/>
    <w:rsid w:val="00F54BDB"/>
    <w:rsid w:val="00F54C3C"/>
    <w:rsid w:val="00F54CD5"/>
    <w:rsid w:val="00F54FDA"/>
    <w:rsid w:val="00F55039"/>
    <w:rsid w:val="00F55102"/>
    <w:rsid w:val="00F5514D"/>
    <w:rsid w:val="00F55151"/>
    <w:rsid w:val="00F55242"/>
    <w:rsid w:val="00F553CB"/>
    <w:rsid w:val="00F55497"/>
    <w:rsid w:val="00F5559B"/>
    <w:rsid w:val="00F555EE"/>
    <w:rsid w:val="00F55786"/>
    <w:rsid w:val="00F558D9"/>
    <w:rsid w:val="00F559EF"/>
    <w:rsid w:val="00F55B4B"/>
    <w:rsid w:val="00F55B9E"/>
    <w:rsid w:val="00F55BF8"/>
    <w:rsid w:val="00F55C65"/>
    <w:rsid w:val="00F55FD8"/>
    <w:rsid w:val="00F56263"/>
    <w:rsid w:val="00F56322"/>
    <w:rsid w:val="00F564E4"/>
    <w:rsid w:val="00F56795"/>
    <w:rsid w:val="00F569FC"/>
    <w:rsid w:val="00F56A6E"/>
    <w:rsid w:val="00F56CD2"/>
    <w:rsid w:val="00F56F85"/>
    <w:rsid w:val="00F57040"/>
    <w:rsid w:val="00F570B9"/>
    <w:rsid w:val="00F5735B"/>
    <w:rsid w:val="00F576CB"/>
    <w:rsid w:val="00F57759"/>
    <w:rsid w:val="00F577F8"/>
    <w:rsid w:val="00F578F3"/>
    <w:rsid w:val="00F57C0A"/>
    <w:rsid w:val="00F57D71"/>
    <w:rsid w:val="00F57E2D"/>
    <w:rsid w:val="00F57F43"/>
    <w:rsid w:val="00F60212"/>
    <w:rsid w:val="00F60232"/>
    <w:rsid w:val="00F60289"/>
    <w:rsid w:val="00F60362"/>
    <w:rsid w:val="00F6055E"/>
    <w:rsid w:val="00F6064F"/>
    <w:rsid w:val="00F60657"/>
    <w:rsid w:val="00F606D9"/>
    <w:rsid w:val="00F609F4"/>
    <w:rsid w:val="00F60CD3"/>
    <w:rsid w:val="00F60D9B"/>
    <w:rsid w:val="00F60E62"/>
    <w:rsid w:val="00F60EB9"/>
    <w:rsid w:val="00F60F85"/>
    <w:rsid w:val="00F60F95"/>
    <w:rsid w:val="00F610A7"/>
    <w:rsid w:val="00F610E0"/>
    <w:rsid w:val="00F61393"/>
    <w:rsid w:val="00F614A9"/>
    <w:rsid w:val="00F6163B"/>
    <w:rsid w:val="00F61655"/>
    <w:rsid w:val="00F6176E"/>
    <w:rsid w:val="00F6180C"/>
    <w:rsid w:val="00F619A8"/>
    <w:rsid w:val="00F61B84"/>
    <w:rsid w:val="00F61E6F"/>
    <w:rsid w:val="00F62103"/>
    <w:rsid w:val="00F62168"/>
    <w:rsid w:val="00F621CB"/>
    <w:rsid w:val="00F62331"/>
    <w:rsid w:val="00F624BF"/>
    <w:rsid w:val="00F6285C"/>
    <w:rsid w:val="00F628B7"/>
    <w:rsid w:val="00F6293A"/>
    <w:rsid w:val="00F62AA7"/>
    <w:rsid w:val="00F62C66"/>
    <w:rsid w:val="00F62CC8"/>
    <w:rsid w:val="00F62D0A"/>
    <w:rsid w:val="00F62F8E"/>
    <w:rsid w:val="00F62FFB"/>
    <w:rsid w:val="00F63039"/>
    <w:rsid w:val="00F63089"/>
    <w:rsid w:val="00F631B2"/>
    <w:rsid w:val="00F6323B"/>
    <w:rsid w:val="00F63359"/>
    <w:rsid w:val="00F63370"/>
    <w:rsid w:val="00F633AD"/>
    <w:rsid w:val="00F63477"/>
    <w:rsid w:val="00F636BD"/>
    <w:rsid w:val="00F63B5D"/>
    <w:rsid w:val="00F63BE2"/>
    <w:rsid w:val="00F63D25"/>
    <w:rsid w:val="00F63D66"/>
    <w:rsid w:val="00F642A6"/>
    <w:rsid w:val="00F6431A"/>
    <w:rsid w:val="00F6436B"/>
    <w:rsid w:val="00F643C9"/>
    <w:rsid w:val="00F64457"/>
    <w:rsid w:val="00F644CF"/>
    <w:rsid w:val="00F6455D"/>
    <w:rsid w:val="00F64566"/>
    <w:rsid w:val="00F645B2"/>
    <w:rsid w:val="00F64601"/>
    <w:rsid w:val="00F64996"/>
    <w:rsid w:val="00F64A62"/>
    <w:rsid w:val="00F64B1C"/>
    <w:rsid w:val="00F64B79"/>
    <w:rsid w:val="00F64CE4"/>
    <w:rsid w:val="00F64DF0"/>
    <w:rsid w:val="00F64E57"/>
    <w:rsid w:val="00F6507E"/>
    <w:rsid w:val="00F651E6"/>
    <w:rsid w:val="00F6535D"/>
    <w:rsid w:val="00F65393"/>
    <w:rsid w:val="00F6559A"/>
    <w:rsid w:val="00F655DE"/>
    <w:rsid w:val="00F6560A"/>
    <w:rsid w:val="00F6562E"/>
    <w:rsid w:val="00F656FB"/>
    <w:rsid w:val="00F65789"/>
    <w:rsid w:val="00F65795"/>
    <w:rsid w:val="00F658BC"/>
    <w:rsid w:val="00F658F7"/>
    <w:rsid w:val="00F65B93"/>
    <w:rsid w:val="00F65CDA"/>
    <w:rsid w:val="00F65E1A"/>
    <w:rsid w:val="00F65E6C"/>
    <w:rsid w:val="00F65E81"/>
    <w:rsid w:val="00F65F14"/>
    <w:rsid w:val="00F66061"/>
    <w:rsid w:val="00F6614C"/>
    <w:rsid w:val="00F66150"/>
    <w:rsid w:val="00F664CC"/>
    <w:rsid w:val="00F6666E"/>
    <w:rsid w:val="00F6669D"/>
    <w:rsid w:val="00F66771"/>
    <w:rsid w:val="00F667CA"/>
    <w:rsid w:val="00F66911"/>
    <w:rsid w:val="00F66B8B"/>
    <w:rsid w:val="00F66B9A"/>
    <w:rsid w:val="00F66C28"/>
    <w:rsid w:val="00F66D40"/>
    <w:rsid w:val="00F670F2"/>
    <w:rsid w:val="00F672E0"/>
    <w:rsid w:val="00F67358"/>
    <w:rsid w:val="00F67457"/>
    <w:rsid w:val="00F674C6"/>
    <w:rsid w:val="00F674F9"/>
    <w:rsid w:val="00F67546"/>
    <w:rsid w:val="00F675AA"/>
    <w:rsid w:val="00F676AA"/>
    <w:rsid w:val="00F676D8"/>
    <w:rsid w:val="00F6771C"/>
    <w:rsid w:val="00F677F2"/>
    <w:rsid w:val="00F67909"/>
    <w:rsid w:val="00F6797C"/>
    <w:rsid w:val="00F679B4"/>
    <w:rsid w:val="00F67A3D"/>
    <w:rsid w:val="00F67A78"/>
    <w:rsid w:val="00F67B7D"/>
    <w:rsid w:val="00F67D03"/>
    <w:rsid w:val="00F67D08"/>
    <w:rsid w:val="00F67D4E"/>
    <w:rsid w:val="00F67E5B"/>
    <w:rsid w:val="00F67F2E"/>
    <w:rsid w:val="00F69F8B"/>
    <w:rsid w:val="00F70015"/>
    <w:rsid w:val="00F700A5"/>
    <w:rsid w:val="00F7015C"/>
    <w:rsid w:val="00F70301"/>
    <w:rsid w:val="00F7030A"/>
    <w:rsid w:val="00F70468"/>
    <w:rsid w:val="00F705AF"/>
    <w:rsid w:val="00F70683"/>
    <w:rsid w:val="00F706DF"/>
    <w:rsid w:val="00F706E9"/>
    <w:rsid w:val="00F7077E"/>
    <w:rsid w:val="00F707CB"/>
    <w:rsid w:val="00F70956"/>
    <w:rsid w:val="00F70B40"/>
    <w:rsid w:val="00F70BF8"/>
    <w:rsid w:val="00F70CB6"/>
    <w:rsid w:val="00F70CC2"/>
    <w:rsid w:val="00F70D4A"/>
    <w:rsid w:val="00F70E3D"/>
    <w:rsid w:val="00F70E50"/>
    <w:rsid w:val="00F70E78"/>
    <w:rsid w:val="00F70FDC"/>
    <w:rsid w:val="00F7103A"/>
    <w:rsid w:val="00F71382"/>
    <w:rsid w:val="00F7155B"/>
    <w:rsid w:val="00F717FB"/>
    <w:rsid w:val="00F719E0"/>
    <w:rsid w:val="00F71B04"/>
    <w:rsid w:val="00F71B2F"/>
    <w:rsid w:val="00F71B4C"/>
    <w:rsid w:val="00F71C3D"/>
    <w:rsid w:val="00F71C4F"/>
    <w:rsid w:val="00F71D2B"/>
    <w:rsid w:val="00F71D68"/>
    <w:rsid w:val="00F72198"/>
    <w:rsid w:val="00F72253"/>
    <w:rsid w:val="00F72353"/>
    <w:rsid w:val="00F723B0"/>
    <w:rsid w:val="00F723ED"/>
    <w:rsid w:val="00F72447"/>
    <w:rsid w:val="00F726FD"/>
    <w:rsid w:val="00F72803"/>
    <w:rsid w:val="00F72866"/>
    <w:rsid w:val="00F72938"/>
    <w:rsid w:val="00F72A6F"/>
    <w:rsid w:val="00F72AF6"/>
    <w:rsid w:val="00F72B5E"/>
    <w:rsid w:val="00F72C20"/>
    <w:rsid w:val="00F72C9C"/>
    <w:rsid w:val="00F72D5B"/>
    <w:rsid w:val="00F72FC5"/>
    <w:rsid w:val="00F7321E"/>
    <w:rsid w:val="00F732BD"/>
    <w:rsid w:val="00F732EF"/>
    <w:rsid w:val="00F7332A"/>
    <w:rsid w:val="00F7337E"/>
    <w:rsid w:val="00F7356B"/>
    <w:rsid w:val="00F73592"/>
    <w:rsid w:val="00F73629"/>
    <w:rsid w:val="00F736C7"/>
    <w:rsid w:val="00F73833"/>
    <w:rsid w:val="00F7384D"/>
    <w:rsid w:val="00F738DF"/>
    <w:rsid w:val="00F73937"/>
    <w:rsid w:val="00F739FF"/>
    <w:rsid w:val="00F73A16"/>
    <w:rsid w:val="00F73A27"/>
    <w:rsid w:val="00F73C44"/>
    <w:rsid w:val="00F73CD6"/>
    <w:rsid w:val="00F73CEE"/>
    <w:rsid w:val="00F73DD9"/>
    <w:rsid w:val="00F73FF6"/>
    <w:rsid w:val="00F74091"/>
    <w:rsid w:val="00F740E4"/>
    <w:rsid w:val="00F74157"/>
    <w:rsid w:val="00F74579"/>
    <w:rsid w:val="00F74774"/>
    <w:rsid w:val="00F74819"/>
    <w:rsid w:val="00F74944"/>
    <w:rsid w:val="00F74971"/>
    <w:rsid w:val="00F74A42"/>
    <w:rsid w:val="00F74B7B"/>
    <w:rsid w:val="00F74B80"/>
    <w:rsid w:val="00F74BAD"/>
    <w:rsid w:val="00F74BF9"/>
    <w:rsid w:val="00F74D3D"/>
    <w:rsid w:val="00F74E67"/>
    <w:rsid w:val="00F74ED2"/>
    <w:rsid w:val="00F74F05"/>
    <w:rsid w:val="00F74FF4"/>
    <w:rsid w:val="00F751B7"/>
    <w:rsid w:val="00F753C6"/>
    <w:rsid w:val="00F756BA"/>
    <w:rsid w:val="00F75704"/>
    <w:rsid w:val="00F7576C"/>
    <w:rsid w:val="00F7577E"/>
    <w:rsid w:val="00F7582D"/>
    <w:rsid w:val="00F7587F"/>
    <w:rsid w:val="00F758C7"/>
    <w:rsid w:val="00F75B4C"/>
    <w:rsid w:val="00F75C2F"/>
    <w:rsid w:val="00F75E07"/>
    <w:rsid w:val="00F75E48"/>
    <w:rsid w:val="00F75EC4"/>
    <w:rsid w:val="00F75F16"/>
    <w:rsid w:val="00F7609A"/>
    <w:rsid w:val="00F76140"/>
    <w:rsid w:val="00F764BC"/>
    <w:rsid w:val="00F7650F"/>
    <w:rsid w:val="00F766B4"/>
    <w:rsid w:val="00F76848"/>
    <w:rsid w:val="00F769FC"/>
    <w:rsid w:val="00F76B2E"/>
    <w:rsid w:val="00F76BE9"/>
    <w:rsid w:val="00F76D90"/>
    <w:rsid w:val="00F76EA1"/>
    <w:rsid w:val="00F76F76"/>
    <w:rsid w:val="00F76FFD"/>
    <w:rsid w:val="00F770F7"/>
    <w:rsid w:val="00F77141"/>
    <w:rsid w:val="00F77230"/>
    <w:rsid w:val="00F77267"/>
    <w:rsid w:val="00F77323"/>
    <w:rsid w:val="00F773D1"/>
    <w:rsid w:val="00F77747"/>
    <w:rsid w:val="00F77863"/>
    <w:rsid w:val="00F77864"/>
    <w:rsid w:val="00F77930"/>
    <w:rsid w:val="00F77986"/>
    <w:rsid w:val="00F77A3D"/>
    <w:rsid w:val="00F77ACF"/>
    <w:rsid w:val="00F77B69"/>
    <w:rsid w:val="00F77E35"/>
    <w:rsid w:val="00F77FA5"/>
    <w:rsid w:val="00F77FBF"/>
    <w:rsid w:val="00F7BB62"/>
    <w:rsid w:val="00F8001E"/>
    <w:rsid w:val="00F800FE"/>
    <w:rsid w:val="00F80108"/>
    <w:rsid w:val="00F80110"/>
    <w:rsid w:val="00F80123"/>
    <w:rsid w:val="00F80149"/>
    <w:rsid w:val="00F80209"/>
    <w:rsid w:val="00F8020B"/>
    <w:rsid w:val="00F803FE"/>
    <w:rsid w:val="00F80427"/>
    <w:rsid w:val="00F806DA"/>
    <w:rsid w:val="00F80A90"/>
    <w:rsid w:val="00F80AB8"/>
    <w:rsid w:val="00F80ABF"/>
    <w:rsid w:val="00F80D3C"/>
    <w:rsid w:val="00F80D98"/>
    <w:rsid w:val="00F80E39"/>
    <w:rsid w:val="00F80E78"/>
    <w:rsid w:val="00F80FB6"/>
    <w:rsid w:val="00F81334"/>
    <w:rsid w:val="00F81413"/>
    <w:rsid w:val="00F8148F"/>
    <w:rsid w:val="00F815C9"/>
    <w:rsid w:val="00F816B5"/>
    <w:rsid w:val="00F81750"/>
    <w:rsid w:val="00F81754"/>
    <w:rsid w:val="00F8179B"/>
    <w:rsid w:val="00F819EE"/>
    <w:rsid w:val="00F81A0A"/>
    <w:rsid w:val="00F81A8C"/>
    <w:rsid w:val="00F81D7F"/>
    <w:rsid w:val="00F81E3C"/>
    <w:rsid w:val="00F81E5A"/>
    <w:rsid w:val="00F81ED0"/>
    <w:rsid w:val="00F82035"/>
    <w:rsid w:val="00F82079"/>
    <w:rsid w:val="00F8218C"/>
    <w:rsid w:val="00F82215"/>
    <w:rsid w:val="00F8238A"/>
    <w:rsid w:val="00F82453"/>
    <w:rsid w:val="00F82610"/>
    <w:rsid w:val="00F826C9"/>
    <w:rsid w:val="00F826D1"/>
    <w:rsid w:val="00F826D4"/>
    <w:rsid w:val="00F827C5"/>
    <w:rsid w:val="00F827C9"/>
    <w:rsid w:val="00F82951"/>
    <w:rsid w:val="00F82A54"/>
    <w:rsid w:val="00F82AB0"/>
    <w:rsid w:val="00F82B3E"/>
    <w:rsid w:val="00F82CC0"/>
    <w:rsid w:val="00F82D03"/>
    <w:rsid w:val="00F82D4D"/>
    <w:rsid w:val="00F82DDC"/>
    <w:rsid w:val="00F830B7"/>
    <w:rsid w:val="00F83199"/>
    <w:rsid w:val="00F832D2"/>
    <w:rsid w:val="00F832E7"/>
    <w:rsid w:val="00F8355F"/>
    <w:rsid w:val="00F8359B"/>
    <w:rsid w:val="00F8360E"/>
    <w:rsid w:val="00F837C2"/>
    <w:rsid w:val="00F837E1"/>
    <w:rsid w:val="00F83907"/>
    <w:rsid w:val="00F8399E"/>
    <w:rsid w:val="00F83A03"/>
    <w:rsid w:val="00F83B8C"/>
    <w:rsid w:val="00F83BC4"/>
    <w:rsid w:val="00F83D41"/>
    <w:rsid w:val="00F83D99"/>
    <w:rsid w:val="00F83DA8"/>
    <w:rsid w:val="00F83DB0"/>
    <w:rsid w:val="00F83E16"/>
    <w:rsid w:val="00F84108"/>
    <w:rsid w:val="00F841EC"/>
    <w:rsid w:val="00F84238"/>
    <w:rsid w:val="00F84242"/>
    <w:rsid w:val="00F8431C"/>
    <w:rsid w:val="00F843AE"/>
    <w:rsid w:val="00F843B6"/>
    <w:rsid w:val="00F847C4"/>
    <w:rsid w:val="00F84872"/>
    <w:rsid w:val="00F848EB"/>
    <w:rsid w:val="00F849BD"/>
    <w:rsid w:val="00F84B27"/>
    <w:rsid w:val="00F84B9B"/>
    <w:rsid w:val="00F84D9B"/>
    <w:rsid w:val="00F84F4E"/>
    <w:rsid w:val="00F85145"/>
    <w:rsid w:val="00F852CC"/>
    <w:rsid w:val="00F85351"/>
    <w:rsid w:val="00F853D8"/>
    <w:rsid w:val="00F85526"/>
    <w:rsid w:val="00F85694"/>
    <w:rsid w:val="00F85743"/>
    <w:rsid w:val="00F85777"/>
    <w:rsid w:val="00F85789"/>
    <w:rsid w:val="00F85865"/>
    <w:rsid w:val="00F858CD"/>
    <w:rsid w:val="00F8598B"/>
    <w:rsid w:val="00F859D3"/>
    <w:rsid w:val="00F85A25"/>
    <w:rsid w:val="00F85A4E"/>
    <w:rsid w:val="00F85AC0"/>
    <w:rsid w:val="00F85D91"/>
    <w:rsid w:val="00F85E14"/>
    <w:rsid w:val="00F85E90"/>
    <w:rsid w:val="00F86260"/>
    <w:rsid w:val="00F86379"/>
    <w:rsid w:val="00F86526"/>
    <w:rsid w:val="00F865BE"/>
    <w:rsid w:val="00F86787"/>
    <w:rsid w:val="00F868BF"/>
    <w:rsid w:val="00F86B1E"/>
    <w:rsid w:val="00F86B40"/>
    <w:rsid w:val="00F86B88"/>
    <w:rsid w:val="00F86CB0"/>
    <w:rsid w:val="00F86E12"/>
    <w:rsid w:val="00F87027"/>
    <w:rsid w:val="00F870C7"/>
    <w:rsid w:val="00F8716D"/>
    <w:rsid w:val="00F872A9"/>
    <w:rsid w:val="00F873A3"/>
    <w:rsid w:val="00F874FB"/>
    <w:rsid w:val="00F875EA"/>
    <w:rsid w:val="00F8784E"/>
    <w:rsid w:val="00F87A84"/>
    <w:rsid w:val="00F87AAF"/>
    <w:rsid w:val="00F87B10"/>
    <w:rsid w:val="00F87BE8"/>
    <w:rsid w:val="00F87C77"/>
    <w:rsid w:val="00F87FA2"/>
    <w:rsid w:val="00F900D9"/>
    <w:rsid w:val="00F90181"/>
    <w:rsid w:val="00F90305"/>
    <w:rsid w:val="00F90444"/>
    <w:rsid w:val="00F905FC"/>
    <w:rsid w:val="00F90630"/>
    <w:rsid w:val="00F907DD"/>
    <w:rsid w:val="00F9088B"/>
    <w:rsid w:val="00F909AB"/>
    <w:rsid w:val="00F90CFB"/>
    <w:rsid w:val="00F90D16"/>
    <w:rsid w:val="00F90FE6"/>
    <w:rsid w:val="00F91056"/>
    <w:rsid w:val="00F910C1"/>
    <w:rsid w:val="00F9110C"/>
    <w:rsid w:val="00F91134"/>
    <w:rsid w:val="00F913C1"/>
    <w:rsid w:val="00F9147C"/>
    <w:rsid w:val="00F914B0"/>
    <w:rsid w:val="00F914D4"/>
    <w:rsid w:val="00F916FC"/>
    <w:rsid w:val="00F91796"/>
    <w:rsid w:val="00F91C9A"/>
    <w:rsid w:val="00F91DEF"/>
    <w:rsid w:val="00F91FDB"/>
    <w:rsid w:val="00F92068"/>
    <w:rsid w:val="00F920AF"/>
    <w:rsid w:val="00F920D3"/>
    <w:rsid w:val="00F92134"/>
    <w:rsid w:val="00F921A4"/>
    <w:rsid w:val="00F92207"/>
    <w:rsid w:val="00F92439"/>
    <w:rsid w:val="00F92533"/>
    <w:rsid w:val="00F92574"/>
    <w:rsid w:val="00F927B7"/>
    <w:rsid w:val="00F928E2"/>
    <w:rsid w:val="00F9294A"/>
    <w:rsid w:val="00F92A14"/>
    <w:rsid w:val="00F92A35"/>
    <w:rsid w:val="00F92AB7"/>
    <w:rsid w:val="00F92AED"/>
    <w:rsid w:val="00F92CFE"/>
    <w:rsid w:val="00F92D1B"/>
    <w:rsid w:val="00F92D4C"/>
    <w:rsid w:val="00F9309A"/>
    <w:rsid w:val="00F930EA"/>
    <w:rsid w:val="00F93101"/>
    <w:rsid w:val="00F932C5"/>
    <w:rsid w:val="00F93433"/>
    <w:rsid w:val="00F934DF"/>
    <w:rsid w:val="00F934E9"/>
    <w:rsid w:val="00F9366C"/>
    <w:rsid w:val="00F9399E"/>
    <w:rsid w:val="00F939E1"/>
    <w:rsid w:val="00F93B02"/>
    <w:rsid w:val="00F93B27"/>
    <w:rsid w:val="00F94109"/>
    <w:rsid w:val="00F94162"/>
    <w:rsid w:val="00F941E9"/>
    <w:rsid w:val="00F942E7"/>
    <w:rsid w:val="00F94482"/>
    <w:rsid w:val="00F94485"/>
    <w:rsid w:val="00F94599"/>
    <w:rsid w:val="00F9470B"/>
    <w:rsid w:val="00F9472A"/>
    <w:rsid w:val="00F94A55"/>
    <w:rsid w:val="00F94BBD"/>
    <w:rsid w:val="00F94D6D"/>
    <w:rsid w:val="00F94EF0"/>
    <w:rsid w:val="00F95261"/>
    <w:rsid w:val="00F9562D"/>
    <w:rsid w:val="00F95821"/>
    <w:rsid w:val="00F958EB"/>
    <w:rsid w:val="00F95A22"/>
    <w:rsid w:val="00F95A71"/>
    <w:rsid w:val="00F95B0B"/>
    <w:rsid w:val="00F95C13"/>
    <w:rsid w:val="00F95F30"/>
    <w:rsid w:val="00F95FFF"/>
    <w:rsid w:val="00F96017"/>
    <w:rsid w:val="00F961BF"/>
    <w:rsid w:val="00F961CA"/>
    <w:rsid w:val="00F964BF"/>
    <w:rsid w:val="00F96525"/>
    <w:rsid w:val="00F965DB"/>
    <w:rsid w:val="00F965F7"/>
    <w:rsid w:val="00F9668D"/>
    <w:rsid w:val="00F96816"/>
    <w:rsid w:val="00F968AB"/>
    <w:rsid w:val="00F96984"/>
    <w:rsid w:val="00F96A23"/>
    <w:rsid w:val="00F96A52"/>
    <w:rsid w:val="00F96A81"/>
    <w:rsid w:val="00F96AEE"/>
    <w:rsid w:val="00F96BAE"/>
    <w:rsid w:val="00F96C88"/>
    <w:rsid w:val="00F96E72"/>
    <w:rsid w:val="00F96F21"/>
    <w:rsid w:val="00F96FCF"/>
    <w:rsid w:val="00F96FFC"/>
    <w:rsid w:val="00F9700F"/>
    <w:rsid w:val="00F9707F"/>
    <w:rsid w:val="00F972F5"/>
    <w:rsid w:val="00F9731C"/>
    <w:rsid w:val="00F97361"/>
    <w:rsid w:val="00F9756C"/>
    <w:rsid w:val="00F97576"/>
    <w:rsid w:val="00F976E2"/>
    <w:rsid w:val="00F977EE"/>
    <w:rsid w:val="00F978A7"/>
    <w:rsid w:val="00F97ACF"/>
    <w:rsid w:val="00F97AE6"/>
    <w:rsid w:val="00F97C74"/>
    <w:rsid w:val="00F97CD6"/>
    <w:rsid w:val="00F97D04"/>
    <w:rsid w:val="00F97DF5"/>
    <w:rsid w:val="00F97E71"/>
    <w:rsid w:val="00F97ED2"/>
    <w:rsid w:val="00FA016D"/>
    <w:rsid w:val="00FA0202"/>
    <w:rsid w:val="00FA03E4"/>
    <w:rsid w:val="00FA03FF"/>
    <w:rsid w:val="00FA049C"/>
    <w:rsid w:val="00FA05BC"/>
    <w:rsid w:val="00FA06BE"/>
    <w:rsid w:val="00FA07B3"/>
    <w:rsid w:val="00FA09C6"/>
    <w:rsid w:val="00FA0A36"/>
    <w:rsid w:val="00FA0A9B"/>
    <w:rsid w:val="00FA0BEC"/>
    <w:rsid w:val="00FA0C6C"/>
    <w:rsid w:val="00FA0C6F"/>
    <w:rsid w:val="00FA0D36"/>
    <w:rsid w:val="00FA0D39"/>
    <w:rsid w:val="00FA0D87"/>
    <w:rsid w:val="00FA0E0F"/>
    <w:rsid w:val="00FA0E74"/>
    <w:rsid w:val="00FA0F6A"/>
    <w:rsid w:val="00FA10D7"/>
    <w:rsid w:val="00FA1248"/>
    <w:rsid w:val="00FA12A1"/>
    <w:rsid w:val="00FA12B1"/>
    <w:rsid w:val="00FA12BF"/>
    <w:rsid w:val="00FA1405"/>
    <w:rsid w:val="00FA1459"/>
    <w:rsid w:val="00FA1560"/>
    <w:rsid w:val="00FA179A"/>
    <w:rsid w:val="00FA17A3"/>
    <w:rsid w:val="00FA17D4"/>
    <w:rsid w:val="00FA186C"/>
    <w:rsid w:val="00FA192B"/>
    <w:rsid w:val="00FA1B3D"/>
    <w:rsid w:val="00FA1B46"/>
    <w:rsid w:val="00FA1BA1"/>
    <w:rsid w:val="00FA1C32"/>
    <w:rsid w:val="00FA1D64"/>
    <w:rsid w:val="00FA1DC3"/>
    <w:rsid w:val="00FA1DE2"/>
    <w:rsid w:val="00FA1E13"/>
    <w:rsid w:val="00FA1FF6"/>
    <w:rsid w:val="00FA20E3"/>
    <w:rsid w:val="00FA2215"/>
    <w:rsid w:val="00FA226D"/>
    <w:rsid w:val="00FA240F"/>
    <w:rsid w:val="00FA2426"/>
    <w:rsid w:val="00FA2520"/>
    <w:rsid w:val="00FA2557"/>
    <w:rsid w:val="00FA261E"/>
    <w:rsid w:val="00FA262A"/>
    <w:rsid w:val="00FA2818"/>
    <w:rsid w:val="00FA2A12"/>
    <w:rsid w:val="00FA2A35"/>
    <w:rsid w:val="00FA2BD5"/>
    <w:rsid w:val="00FA2C48"/>
    <w:rsid w:val="00FA2C5C"/>
    <w:rsid w:val="00FA2D9A"/>
    <w:rsid w:val="00FA2D9D"/>
    <w:rsid w:val="00FA2E3A"/>
    <w:rsid w:val="00FA2E7D"/>
    <w:rsid w:val="00FA2F4B"/>
    <w:rsid w:val="00FA302E"/>
    <w:rsid w:val="00FA31FB"/>
    <w:rsid w:val="00FA337F"/>
    <w:rsid w:val="00FA35B7"/>
    <w:rsid w:val="00FA3923"/>
    <w:rsid w:val="00FA3ADC"/>
    <w:rsid w:val="00FA3CB9"/>
    <w:rsid w:val="00FA3D19"/>
    <w:rsid w:val="00FA3EA0"/>
    <w:rsid w:val="00FA3F5C"/>
    <w:rsid w:val="00FA3F91"/>
    <w:rsid w:val="00FA404C"/>
    <w:rsid w:val="00FA40D1"/>
    <w:rsid w:val="00FA40DD"/>
    <w:rsid w:val="00FA41BE"/>
    <w:rsid w:val="00FA4250"/>
    <w:rsid w:val="00FA43FE"/>
    <w:rsid w:val="00FA44DC"/>
    <w:rsid w:val="00FA4522"/>
    <w:rsid w:val="00FA45DE"/>
    <w:rsid w:val="00FA46A8"/>
    <w:rsid w:val="00FA4826"/>
    <w:rsid w:val="00FA48D6"/>
    <w:rsid w:val="00FA48E1"/>
    <w:rsid w:val="00FA4959"/>
    <w:rsid w:val="00FA4961"/>
    <w:rsid w:val="00FA49DF"/>
    <w:rsid w:val="00FA4CBA"/>
    <w:rsid w:val="00FA4D7F"/>
    <w:rsid w:val="00FA4E67"/>
    <w:rsid w:val="00FA4EE7"/>
    <w:rsid w:val="00FA52C8"/>
    <w:rsid w:val="00FA5470"/>
    <w:rsid w:val="00FA54A0"/>
    <w:rsid w:val="00FA5507"/>
    <w:rsid w:val="00FA5605"/>
    <w:rsid w:val="00FA5792"/>
    <w:rsid w:val="00FA57AB"/>
    <w:rsid w:val="00FA57D3"/>
    <w:rsid w:val="00FA5835"/>
    <w:rsid w:val="00FA586D"/>
    <w:rsid w:val="00FA58FA"/>
    <w:rsid w:val="00FA58FE"/>
    <w:rsid w:val="00FA5AFC"/>
    <w:rsid w:val="00FA5CB6"/>
    <w:rsid w:val="00FA5E9E"/>
    <w:rsid w:val="00FA5FCE"/>
    <w:rsid w:val="00FA615F"/>
    <w:rsid w:val="00FA6287"/>
    <w:rsid w:val="00FA6288"/>
    <w:rsid w:val="00FA64FA"/>
    <w:rsid w:val="00FA692C"/>
    <w:rsid w:val="00FA6A5D"/>
    <w:rsid w:val="00FA6B9A"/>
    <w:rsid w:val="00FA6EF4"/>
    <w:rsid w:val="00FA6F68"/>
    <w:rsid w:val="00FA6FED"/>
    <w:rsid w:val="00FA70FF"/>
    <w:rsid w:val="00FA7124"/>
    <w:rsid w:val="00FA7281"/>
    <w:rsid w:val="00FA7413"/>
    <w:rsid w:val="00FA74AC"/>
    <w:rsid w:val="00FA7646"/>
    <w:rsid w:val="00FA7859"/>
    <w:rsid w:val="00FA7B02"/>
    <w:rsid w:val="00FA7B27"/>
    <w:rsid w:val="00FA7C8F"/>
    <w:rsid w:val="00FA7CD0"/>
    <w:rsid w:val="00FA7DC2"/>
    <w:rsid w:val="00FA7E47"/>
    <w:rsid w:val="00FB005A"/>
    <w:rsid w:val="00FB0063"/>
    <w:rsid w:val="00FB02B2"/>
    <w:rsid w:val="00FB03B5"/>
    <w:rsid w:val="00FB040E"/>
    <w:rsid w:val="00FB049C"/>
    <w:rsid w:val="00FB0512"/>
    <w:rsid w:val="00FB05DA"/>
    <w:rsid w:val="00FB0636"/>
    <w:rsid w:val="00FB06C0"/>
    <w:rsid w:val="00FB07C9"/>
    <w:rsid w:val="00FB0821"/>
    <w:rsid w:val="00FB082A"/>
    <w:rsid w:val="00FB09B6"/>
    <w:rsid w:val="00FB0A04"/>
    <w:rsid w:val="00FB0A5A"/>
    <w:rsid w:val="00FB0B74"/>
    <w:rsid w:val="00FB0BBD"/>
    <w:rsid w:val="00FB0C77"/>
    <w:rsid w:val="00FB0EAB"/>
    <w:rsid w:val="00FB0F51"/>
    <w:rsid w:val="00FB11BB"/>
    <w:rsid w:val="00FB1298"/>
    <w:rsid w:val="00FB144A"/>
    <w:rsid w:val="00FB1665"/>
    <w:rsid w:val="00FB1742"/>
    <w:rsid w:val="00FB1779"/>
    <w:rsid w:val="00FB18F3"/>
    <w:rsid w:val="00FB1945"/>
    <w:rsid w:val="00FB1A04"/>
    <w:rsid w:val="00FB1A58"/>
    <w:rsid w:val="00FB1AF8"/>
    <w:rsid w:val="00FB1BAC"/>
    <w:rsid w:val="00FB1BDC"/>
    <w:rsid w:val="00FB1CB1"/>
    <w:rsid w:val="00FB1CD8"/>
    <w:rsid w:val="00FB1F8B"/>
    <w:rsid w:val="00FB22E8"/>
    <w:rsid w:val="00FB2766"/>
    <w:rsid w:val="00FB2789"/>
    <w:rsid w:val="00FB285F"/>
    <w:rsid w:val="00FB2894"/>
    <w:rsid w:val="00FB28A3"/>
    <w:rsid w:val="00FB293A"/>
    <w:rsid w:val="00FB2A68"/>
    <w:rsid w:val="00FB2AA1"/>
    <w:rsid w:val="00FB2AC4"/>
    <w:rsid w:val="00FB2BBA"/>
    <w:rsid w:val="00FB2CA1"/>
    <w:rsid w:val="00FB2DFE"/>
    <w:rsid w:val="00FB2E50"/>
    <w:rsid w:val="00FB2ECB"/>
    <w:rsid w:val="00FB2F0F"/>
    <w:rsid w:val="00FB307E"/>
    <w:rsid w:val="00FB3086"/>
    <w:rsid w:val="00FB322B"/>
    <w:rsid w:val="00FB337B"/>
    <w:rsid w:val="00FB3385"/>
    <w:rsid w:val="00FB339E"/>
    <w:rsid w:val="00FB33AA"/>
    <w:rsid w:val="00FB3462"/>
    <w:rsid w:val="00FB35E9"/>
    <w:rsid w:val="00FB378E"/>
    <w:rsid w:val="00FB37A8"/>
    <w:rsid w:val="00FB3894"/>
    <w:rsid w:val="00FB38CC"/>
    <w:rsid w:val="00FB38DC"/>
    <w:rsid w:val="00FB3968"/>
    <w:rsid w:val="00FB3A03"/>
    <w:rsid w:val="00FB3B84"/>
    <w:rsid w:val="00FB3CA6"/>
    <w:rsid w:val="00FB3CC5"/>
    <w:rsid w:val="00FB3E63"/>
    <w:rsid w:val="00FB4146"/>
    <w:rsid w:val="00FB418E"/>
    <w:rsid w:val="00FB41AE"/>
    <w:rsid w:val="00FB4225"/>
    <w:rsid w:val="00FB4230"/>
    <w:rsid w:val="00FB4263"/>
    <w:rsid w:val="00FB439B"/>
    <w:rsid w:val="00FB43DC"/>
    <w:rsid w:val="00FB4726"/>
    <w:rsid w:val="00FB4792"/>
    <w:rsid w:val="00FB47E6"/>
    <w:rsid w:val="00FB481A"/>
    <w:rsid w:val="00FB4950"/>
    <w:rsid w:val="00FB4FDC"/>
    <w:rsid w:val="00FB50C5"/>
    <w:rsid w:val="00FB51F3"/>
    <w:rsid w:val="00FB52A1"/>
    <w:rsid w:val="00FB532D"/>
    <w:rsid w:val="00FB547B"/>
    <w:rsid w:val="00FB55DA"/>
    <w:rsid w:val="00FB5A52"/>
    <w:rsid w:val="00FB5F61"/>
    <w:rsid w:val="00FB6030"/>
    <w:rsid w:val="00FB607E"/>
    <w:rsid w:val="00FB6285"/>
    <w:rsid w:val="00FB62B4"/>
    <w:rsid w:val="00FB62D9"/>
    <w:rsid w:val="00FB630E"/>
    <w:rsid w:val="00FB63D8"/>
    <w:rsid w:val="00FB64E6"/>
    <w:rsid w:val="00FB6542"/>
    <w:rsid w:val="00FB65BB"/>
    <w:rsid w:val="00FB65CF"/>
    <w:rsid w:val="00FB6643"/>
    <w:rsid w:val="00FB683F"/>
    <w:rsid w:val="00FB6847"/>
    <w:rsid w:val="00FB68B7"/>
    <w:rsid w:val="00FB692F"/>
    <w:rsid w:val="00FB6AE9"/>
    <w:rsid w:val="00FB6D97"/>
    <w:rsid w:val="00FB6E2D"/>
    <w:rsid w:val="00FB6EC2"/>
    <w:rsid w:val="00FB6FC8"/>
    <w:rsid w:val="00FB7022"/>
    <w:rsid w:val="00FB7030"/>
    <w:rsid w:val="00FB704A"/>
    <w:rsid w:val="00FB71D7"/>
    <w:rsid w:val="00FB738F"/>
    <w:rsid w:val="00FB73A9"/>
    <w:rsid w:val="00FB74E0"/>
    <w:rsid w:val="00FB7541"/>
    <w:rsid w:val="00FB7694"/>
    <w:rsid w:val="00FB7787"/>
    <w:rsid w:val="00FB77A7"/>
    <w:rsid w:val="00FB7C6E"/>
    <w:rsid w:val="00FB7CD0"/>
    <w:rsid w:val="00FC0103"/>
    <w:rsid w:val="00FC020F"/>
    <w:rsid w:val="00FC028A"/>
    <w:rsid w:val="00FC0612"/>
    <w:rsid w:val="00FC0663"/>
    <w:rsid w:val="00FC07B9"/>
    <w:rsid w:val="00FC0953"/>
    <w:rsid w:val="00FC0A23"/>
    <w:rsid w:val="00FC0A25"/>
    <w:rsid w:val="00FC0B7B"/>
    <w:rsid w:val="00FC0C32"/>
    <w:rsid w:val="00FC0CAF"/>
    <w:rsid w:val="00FC0DF1"/>
    <w:rsid w:val="00FC0F02"/>
    <w:rsid w:val="00FC1027"/>
    <w:rsid w:val="00FC129E"/>
    <w:rsid w:val="00FC1345"/>
    <w:rsid w:val="00FC14BE"/>
    <w:rsid w:val="00FC1510"/>
    <w:rsid w:val="00FC1541"/>
    <w:rsid w:val="00FC15B5"/>
    <w:rsid w:val="00FC1688"/>
    <w:rsid w:val="00FC17C7"/>
    <w:rsid w:val="00FC1B74"/>
    <w:rsid w:val="00FC1C1E"/>
    <w:rsid w:val="00FC1C9D"/>
    <w:rsid w:val="00FC1D28"/>
    <w:rsid w:val="00FC1F86"/>
    <w:rsid w:val="00FC21A8"/>
    <w:rsid w:val="00FC2280"/>
    <w:rsid w:val="00FC2457"/>
    <w:rsid w:val="00FC24C5"/>
    <w:rsid w:val="00FC26A7"/>
    <w:rsid w:val="00FC26C0"/>
    <w:rsid w:val="00FC28CA"/>
    <w:rsid w:val="00FC294C"/>
    <w:rsid w:val="00FC29E6"/>
    <w:rsid w:val="00FC2A55"/>
    <w:rsid w:val="00FC2A9F"/>
    <w:rsid w:val="00FC2B8C"/>
    <w:rsid w:val="00FC2C29"/>
    <w:rsid w:val="00FC2CA8"/>
    <w:rsid w:val="00FC2CC2"/>
    <w:rsid w:val="00FC2CE5"/>
    <w:rsid w:val="00FC2D71"/>
    <w:rsid w:val="00FC2D8C"/>
    <w:rsid w:val="00FC2DE1"/>
    <w:rsid w:val="00FC2E17"/>
    <w:rsid w:val="00FC2E6C"/>
    <w:rsid w:val="00FC2FE0"/>
    <w:rsid w:val="00FC32D0"/>
    <w:rsid w:val="00FC3382"/>
    <w:rsid w:val="00FC33BA"/>
    <w:rsid w:val="00FC36CC"/>
    <w:rsid w:val="00FC39F0"/>
    <w:rsid w:val="00FC3A4E"/>
    <w:rsid w:val="00FC3A5D"/>
    <w:rsid w:val="00FC3ABD"/>
    <w:rsid w:val="00FC3B64"/>
    <w:rsid w:val="00FC3C08"/>
    <w:rsid w:val="00FC3C2C"/>
    <w:rsid w:val="00FC3CD0"/>
    <w:rsid w:val="00FC3CDF"/>
    <w:rsid w:val="00FC3D93"/>
    <w:rsid w:val="00FC3FB6"/>
    <w:rsid w:val="00FC42AA"/>
    <w:rsid w:val="00FC4335"/>
    <w:rsid w:val="00FC45AA"/>
    <w:rsid w:val="00FC46A8"/>
    <w:rsid w:val="00FC46EC"/>
    <w:rsid w:val="00FC4B61"/>
    <w:rsid w:val="00FC4CF0"/>
    <w:rsid w:val="00FC4DA4"/>
    <w:rsid w:val="00FC5229"/>
    <w:rsid w:val="00FC5232"/>
    <w:rsid w:val="00FC52B6"/>
    <w:rsid w:val="00FC540B"/>
    <w:rsid w:val="00FC5433"/>
    <w:rsid w:val="00FC5508"/>
    <w:rsid w:val="00FC554F"/>
    <w:rsid w:val="00FC57D4"/>
    <w:rsid w:val="00FC5866"/>
    <w:rsid w:val="00FC58A3"/>
    <w:rsid w:val="00FC5934"/>
    <w:rsid w:val="00FC5995"/>
    <w:rsid w:val="00FC59F5"/>
    <w:rsid w:val="00FC5B08"/>
    <w:rsid w:val="00FC5B5B"/>
    <w:rsid w:val="00FC5B72"/>
    <w:rsid w:val="00FC5B8A"/>
    <w:rsid w:val="00FC5B8E"/>
    <w:rsid w:val="00FC5C15"/>
    <w:rsid w:val="00FC5CCA"/>
    <w:rsid w:val="00FC5CD3"/>
    <w:rsid w:val="00FC5D5B"/>
    <w:rsid w:val="00FC5EEB"/>
    <w:rsid w:val="00FC5F9E"/>
    <w:rsid w:val="00FC6068"/>
    <w:rsid w:val="00FC6086"/>
    <w:rsid w:val="00FC6192"/>
    <w:rsid w:val="00FC622D"/>
    <w:rsid w:val="00FC6282"/>
    <w:rsid w:val="00FC66E4"/>
    <w:rsid w:val="00FC6737"/>
    <w:rsid w:val="00FC686B"/>
    <w:rsid w:val="00FC6934"/>
    <w:rsid w:val="00FC6951"/>
    <w:rsid w:val="00FC6A24"/>
    <w:rsid w:val="00FC6BAF"/>
    <w:rsid w:val="00FC6BF8"/>
    <w:rsid w:val="00FC6CB3"/>
    <w:rsid w:val="00FC6D56"/>
    <w:rsid w:val="00FC6FE5"/>
    <w:rsid w:val="00FC7174"/>
    <w:rsid w:val="00FC71A1"/>
    <w:rsid w:val="00FC7538"/>
    <w:rsid w:val="00FC7664"/>
    <w:rsid w:val="00FC7721"/>
    <w:rsid w:val="00FC797A"/>
    <w:rsid w:val="00FC79D4"/>
    <w:rsid w:val="00FC7A6F"/>
    <w:rsid w:val="00FC7AA5"/>
    <w:rsid w:val="00FC7B9D"/>
    <w:rsid w:val="00FC7BA0"/>
    <w:rsid w:val="00FC7BE4"/>
    <w:rsid w:val="00FC7CB6"/>
    <w:rsid w:val="00FD00B0"/>
    <w:rsid w:val="00FD0217"/>
    <w:rsid w:val="00FD0290"/>
    <w:rsid w:val="00FD02B1"/>
    <w:rsid w:val="00FD03E9"/>
    <w:rsid w:val="00FD0536"/>
    <w:rsid w:val="00FD066C"/>
    <w:rsid w:val="00FD08D3"/>
    <w:rsid w:val="00FD09AD"/>
    <w:rsid w:val="00FD09BE"/>
    <w:rsid w:val="00FD0A28"/>
    <w:rsid w:val="00FD0BBD"/>
    <w:rsid w:val="00FD0BD3"/>
    <w:rsid w:val="00FD0D03"/>
    <w:rsid w:val="00FD0DB9"/>
    <w:rsid w:val="00FD10F7"/>
    <w:rsid w:val="00FD11C8"/>
    <w:rsid w:val="00FD1289"/>
    <w:rsid w:val="00FD1358"/>
    <w:rsid w:val="00FD14EC"/>
    <w:rsid w:val="00FD14EF"/>
    <w:rsid w:val="00FD17D2"/>
    <w:rsid w:val="00FD18FF"/>
    <w:rsid w:val="00FD1BA9"/>
    <w:rsid w:val="00FD1CCA"/>
    <w:rsid w:val="00FD1D68"/>
    <w:rsid w:val="00FD1E7B"/>
    <w:rsid w:val="00FD1FFC"/>
    <w:rsid w:val="00FD215F"/>
    <w:rsid w:val="00FD25E2"/>
    <w:rsid w:val="00FD263D"/>
    <w:rsid w:val="00FD271B"/>
    <w:rsid w:val="00FD2853"/>
    <w:rsid w:val="00FD2916"/>
    <w:rsid w:val="00FD2949"/>
    <w:rsid w:val="00FD295C"/>
    <w:rsid w:val="00FD2A66"/>
    <w:rsid w:val="00FD2B49"/>
    <w:rsid w:val="00FD3215"/>
    <w:rsid w:val="00FD32F7"/>
    <w:rsid w:val="00FD3445"/>
    <w:rsid w:val="00FD34BA"/>
    <w:rsid w:val="00FD350B"/>
    <w:rsid w:val="00FD359E"/>
    <w:rsid w:val="00FD35E9"/>
    <w:rsid w:val="00FD369E"/>
    <w:rsid w:val="00FD36E1"/>
    <w:rsid w:val="00FD3742"/>
    <w:rsid w:val="00FD3763"/>
    <w:rsid w:val="00FD3803"/>
    <w:rsid w:val="00FD385D"/>
    <w:rsid w:val="00FD3888"/>
    <w:rsid w:val="00FD3A57"/>
    <w:rsid w:val="00FD3B44"/>
    <w:rsid w:val="00FD3BF4"/>
    <w:rsid w:val="00FD3D59"/>
    <w:rsid w:val="00FD3D77"/>
    <w:rsid w:val="00FD3FFB"/>
    <w:rsid w:val="00FD40B7"/>
    <w:rsid w:val="00FD40ED"/>
    <w:rsid w:val="00FD411E"/>
    <w:rsid w:val="00FD4129"/>
    <w:rsid w:val="00FD4266"/>
    <w:rsid w:val="00FD42F7"/>
    <w:rsid w:val="00FD464D"/>
    <w:rsid w:val="00FD47E2"/>
    <w:rsid w:val="00FD47FF"/>
    <w:rsid w:val="00FD4AD6"/>
    <w:rsid w:val="00FD4B82"/>
    <w:rsid w:val="00FD4C33"/>
    <w:rsid w:val="00FD4D99"/>
    <w:rsid w:val="00FD4E9D"/>
    <w:rsid w:val="00FD4EF7"/>
    <w:rsid w:val="00FD509E"/>
    <w:rsid w:val="00FD50B6"/>
    <w:rsid w:val="00FD50EB"/>
    <w:rsid w:val="00FD51A4"/>
    <w:rsid w:val="00FD51CF"/>
    <w:rsid w:val="00FD52C2"/>
    <w:rsid w:val="00FD5389"/>
    <w:rsid w:val="00FD539E"/>
    <w:rsid w:val="00FD541A"/>
    <w:rsid w:val="00FD5473"/>
    <w:rsid w:val="00FD54B8"/>
    <w:rsid w:val="00FD5556"/>
    <w:rsid w:val="00FD5569"/>
    <w:rsid w:val="00FD5649"/>
    <w:rsid w:val="00FD566D"/>
    <w:rsid w:val="00FD5A7F"/>
    <w:rsid w:val="00FD5B02"/>
    <w:rsid w:val="00FD5BA5"/>
    <w:rsid w:val="00FD5C67"/>
    <w:rsid w:val="00FD5D36"/>
    <w:rsid w:val="00FD5EB4"/>
    <w:rsid w:val="00FD5F97"/>
    <w:rsid w:val="00FD60FC"/>
    <w:rsid w:val="00FD668C"/>
    <w:rsid w:val="00FD6707"/>
    <w:rsid w:val="00FD68E2"/>
    <w:rsid w:val="00FD69C3"/>
    <w:rsid w:val="00FD6A21"/>
    <w:rsid w:val="00FD6A83"/>
    <w:rsid w:val="00FD6BC1"/>
    <w:rsid w:val="00FD6C20"/>
    <w:rsid w:val="00FD6CB7"/>
    <w:rsid w:val="00FD6CD8"/>
    <w:rsid w:val="00FD6E90"/>
    <w:rsid w:val="00FD6EA1"/>
    <w:rsid w:val="00FD6F9E"/>
    <w:rsid w:val="00FD70E9"/>
    <w:rsid w:val="00FD7101"/>
    <w:rsid w:val="00FD7103"/>
    <w:rsid w:val="00FD71BE"/>
    <w:rsid w:val="00FD71C1"/>
    <w:rsid w:val="00FD71E1"/>
    <w:rsid w:val="00FD71F1"/>
    <w:rsid w:val="00FD72A5"/>
    <w:rsid w:val="00FD73C5"/>
    <w:rsid w:val="00FD73DA"/>
    <w:rsid w:val="00FD761E"/>
    <w:rsid w:val="00FD784E"/>
    <w:rsid w:val="00FD790E"/>
    <w:rsid w:val="00FD7A47"/>
    <w:rsid w:val="00FD7A64"/>
    <w:rsid w:val="00FD7B7B"/>
    <w:rsid w:val="00FD7B84"/>
    <w:rsid w:val="00FD7BBF"/>
    <w:rsid w:val="00FD7C71"/>
    <w:rsid w:val="00FD7DD0"/>
    <w:rsid w:val="00FD7F02"/>
    <w:rsid w:val="00FD7FE4"/>
    <w:rsid w:val="00FE01DA"/>
    <w:rsid w:val="00FE0486"/>
    <w:rsid w:val="00FE0612"/>
    <w:rsid w:val="00FE06E4"/>
    <w:rsid w:val="00FE0704"/>
    <w:rsid w:val="00FE0779"/>
    <w:rsid w:val="00FE0A8C"/>
    <w:rsid w:val="00FE0AF5"/>
    <w:rsid w:val="00FE0B2A"/>
    <w:rsid w:val="00FE0CDB"/>
    <w:rsid w:val="00FE0D15"/>
    <w:rsid w:val="00FE0D6B"/>
    <w:rsid w:val="00FE0EF6"/>
    <w:rsid w:val="00FE0F47"/>
    <w:rsid w:val="00FE0F6C"/>
    <w:rsid w:val="00FE0FF9"/>
    <w:rsid w:val="00FE10CA"/>
    <w:rsid w:val="00FE1176"/>
    <w:rsid w:val="00FE135B"/>
    <w:rsid w:val="00FE13A3"/>
    <w:rsid w:val="00FE1413"/>
    <w:rsid w:val="00FE148E"/>
    <w:rsid w:val="00FE14AE"/>
    <w:rsid w:val="00FE1509"/>
    <w:rsid w:val="00FE153B"/>
    <w:rsid w:val="00FE1545"/>
    <w:rsid w:val="00FE16CE"/>
    <w:rsid w:val="00FE18AA"/>
    <w:rsid w:val="00FE192B"/>
    <w:rsid w:val="00FE1A48"/>
    <w:rsid w:val="00FE1B00"/>
    <w:rsid w:val="00FE1E27"/>
    <w:rsid w:val="00FE1E50"/>
    <w:rsid w:val="00FE1E8D"/>
    <w:rsid w:val="00FE1FC5"/>
    <w:rsid w:val="00FE2133"/>
    <w:rsid w:val="00FE21D1"/>
    <w:rsid w:val="00FE2318"/>
    <w:rsid w:val="00FE2322"/>
    <w:rsid w:val="00FE23D0"/>
    <w:rsid w:val="00FE2437"/>
    <w:rsid w:val="00FE2447"/>
    <w:rsid w:val="00FE2522"/>
    <w:rsid w:val="00FE2598"/>
    <w:rsid w:val="00FE25B3"/>
    <w:rsid w:val="00FE2716"/>
    <w:rsid w:val="00FE2799"/>
    <w:rsid w:val="00FE27C0"/>
    <w:rsid w:val="00FE282A"/>
    <w:rsid w:val="00FE2980"/>
    <w:rsid w:val="00FE2AC9"/>
    <w:rsid w:val="00FE2B07"/>
    <w:rsid w:val="00FE2C8E"/>
    <w:rsid w:val="00FE2CC0"/>
    <w:rsid w:val="00FE2CFA"/>
    <w:rsid w:val="00FE2D43"/>
    <w:rsid w:val="00FE2EB0"/>
    <w:rsid w:val="00FE2F21"/>
    <w:rsid w:val="00FE2F36"/>
    <w:rsid w:val="00FE2F3B"/>
    <w:rsid w:val="00FE3016"/>
    <w:rsid w:val="00FE3031"/>
    <w:rsid w:val="00FE32E6"/>
    <w:rsid w:val="00FE3536"/>
    <w:rsid w:val="00FE3610"/>
    <w:rsid w:val="00FE36C4"/>
    <w:rsid w:val="00FE3916"/>
    <w:rsid w:val="00FE39D6"/>
    <w:rsid w:val="00FE3B11"/>
    <w:rsid w:val="00FE3BB7"/>
    <w:rsid w:val="00FE3CF0"/>
    <w:rsid w:val="00FE3D35"/>
    <w:rsid w:val="00FE3DD7"/>
    <w:rsid w:val="00FE3E56"/>
    <w:rsid w:val="00FE3EA8"/>
    <w:rsid w:val="00FE3ED8"/>
    <w:rsid w:val="00FE3F63"/>
    <w:rsid w:val="00FE3F88"/>
    <w:rsid w:val="00FE3FB0"/>
    <w:rsid w:val="00FE3FE9"/>
    <w:rsid w:val="00FE41E0"/>
    <w:rsid w:val="00FE41FD"/>
    <w:rsid w:val="00FE4235"/>
    <w:rsid w:val="00FE4423"/>
    <w:rsid w:val="00FE44AA"/>
    <w:rsid w:val="00FE45BD"/>
    <w:rsid w:val="00FE45C3"/>
    <w:rsid w:val="00FE45CC"/>
    <w:rsid w:val="00FE465A"/>
    <w:rsid w:val="00FE4779"/>
    <w:rsid w:val="00FE482A"/>
    <w:rsid w:val="00FE4F55"/>
    <w:rsid w:val="00FE505A"/>
    <w:rsid w:val="00FE5297"/>
    <w:rsid w:val="00FE532C"/>
    <w:rsid w:val="00FE537B"/>
    <w:rsid w:val="00FE53BC"/>
    <w:rsid w:val="00FE54D2"/>
    <w:rsid w:val="00FE55ED"/>
    <w:rsid w:val="00FE5677"/>
    <w:rsid w:val="00FE576D"/>
    <w:rsid w:val="00FE5873"/>
    <w:rsid w:val="00FE5912"/>
    <w:rsid w:val="00FE594D"/>
    <w:rsid w:val="00FE5A7B"/>
    <w:rsid w:val="00FE5C41"/>
    <w:rsid w:val="00FE5CAD"/>
    <w:rsid w:val="00FE5D5B"/>
    <w:rsid w:val="00FE60F4"/>
    <w:rsid w:val="00FE61AA"/>
    <w:rsid w:val="00FE6289"/>
    <w:rsid w:val="00FE62CF"/>
    <w:rsid w:val="00FE6460"/>
    <w:rsid w:val="00FE6543"/>
    <w:rsid w:val="00FE6675"/>
    <w:rsid w:val="00FE6801"/>
    <w:rsid w:val="00FE68B0"/>
    <w:rsid w:val="00FE68E7"/>
    <w:rsid w:val="00FE68F4"/>
    <w:rsid w:val="00FE6CB5"/>
    <w:rsid w:val="00FE6D73"/>
    <w:rsid w:val="00FE6E98"/>
    <w:rsid w:val="00FE6EB0"/>
    <w:rsid w:val="00FE7013"/>
    <w:rsid w:val="00FE70D3"/>
    <w:rsid w:val="00FE71F9"/>
    <w:rsid w:val="00FE72F6"/>
    <w:rsid w:val="00FE7583"/>
    <w:rsid w:val="00FE760A"/>
    <w:rsid w:val="00FE7765"/>
    <w:rsid w:val="00FE7774"/>
    <w:rsid w:val="00FE7A55"/>
    <w:rsid w:val="00FE7C42"/>
    <w:rsid w:val="00FE7C8B"/>
    <w:rsid w:val="00FE7D42"/>
    <w:rsid w:val="00FE7DC9"/>
    <w:rsid w:val="00FE7F8B"/>
    <w:rsid w:val="00FE7FA3"/>
    <w:rsid w:val="00FF0190"/>
    <w:rsid w:val="00FF021B"/>
    <w:rsid w:val="00FF02A2"/>
    <w:rsid w:val="00FF0342"/>
    <w:rsid w:val="00FF03CE"/>
    <w:rsid w:val="00FF0416"/>
    <w:rsid w:val="00FF0446"/>
    <w:rsid w:val="00FF0496"/>
    <w:rsid w:val="00FF05E4"/>
    <w:rsid w:val="00FF0615"/>
    <w:rsid w:val="00FF07E1"/>
    <w:rsid w:val="00FF0835"/>
    <w:rsid w:val="00FF08AA"/>
    <w:rsid w:val="00FF09D8"/>
    <w:rsid w:val="00FF0E39"/>
    <w:rsid w:val="00FF1117"/>
    <w:rsid w:val="00FF111F"/>
    <w:rsid w:val="00FF1350"/>
    <w:rsid w:val="00FF13A9"/>
    <w:rsid w:val="00FF13F3"/>
    <w:rsid w:val="00FF15B6"/>
    <w:rsid w:val="00FF16B2"/>
    <w:rsid w:val="00FF16C4"/>
    <w:rsid w:val="00FF1792"/>
    <w:rsid w:val="00FF1898"/>
    <w:rsid w:val="00FF1B0F"/>
    <w:rsid w:val="00FF1BC9"/>
    <w:rsid w:val="00FF1C2E"/>
    <w:rsid w:val="00FF1D99"/>
    <w:rsid w:val="00FF1E0A"/>
    <w:rsid w:val="00FF1E9D"/>
    <w:rsid w:val="00FF1F18"/>
    <w:rsid w:val="00FF1F9D"/>
    <w:rsid w:val="00FF210E"/>
    <w:rsid w:val="00FF2189"/>
    <w:rsid w:val="00FF2369"/>
    <w:rsid w:val="00FF23FE"/>
    <w:rsid w:val="00FF2456"/>
    <w:rsid w:val="00FF246F"/>
    <w:rsid w:val="00FF248C"/>
    <w:rsid w:val="00FF24A1"/>
    <w:rsid w:val="00FF2590"/>
    <w:rsid w:val="00FF25B9"/>
    <w:rsid w:val="00FF26B6"/>
    <w:rsid w:val="00FF27F8"/>
    <w:rsid w:val="00FF2814"/>
    <w:rsid w:val="00FF29A4"/>
    <w:rsid w:val="00FF29B8"/>
    <w:rsid w:val="00FF2A5E"/>
    <w:rsid w:val="00FF2C84"/>
    <w:rsid w:val="00FF2CF5"/>
    <w:rsid w:val="00FF2D5F"/>
    <w:rsid w:val="00FF3051"/>
    <w:rsid w:val="00FF3112"/>
    <w:rsid w:val="00FF3339"/>
    <w:rsid w:val="00FF3407"/>
    <w:rsid w:val="00FF34D2"/>
    <w:rsid w:val="00FF3857"/>
    <w:rsid w:val="00FF3909"/>
    <w:rsid w:val="00FF39F9"/>
    <w:rsid w:val="00FF3A6E"/>
    <w:rsid w:val="00FF3B75"/>
    <w:rsid w:val="00FF3C33"/>
    <w:rsid w:val="00FF3C57"/>
    <w:rsid w:val="00FF3CAB"/>
    <w:rsid w:val="00FF3E66"/>
    <w:rsid w:val="00FF3F87"/>
    <w:rsid w:val="00FF409F"/>
    <w:rsid w:val="00FF40AE"/>
    <w:rsid w:val="00FF40BF"/>
    <w:rsid w:val="00FF41F0"/>
    <w:rsid w:val="00FF4281"/>
    <w:rsid w:val="00FF4347"/>
    <w:rsid w:val="00FF43EB"/>
    <w:rsid w:val="00FF4423"/>
    <w:rsid w:val="00FF488F"/>
    <w:rsid w:val="00FF492F"/>
    <w:rsid w:val="00FF4BF4"/>
    <w:rsid w:val="00FF4C5F"/>
    <w:rsid w:val="00FF4CA2"/>
    <w:rsid w:val="00FF4CEE"/>
    <w:rsid w:val="00FF4D47"/>
    <w:rsid w:val="00FF4E03"/>
    <w:rsid w:val="00FF5007"/>
    <w:rsid w:val="00FF505D"/>
    <w:rsid w:val="00FF509B"/>
    <w:rsid w:val="00FF5136"/>
    <w:rsid w:val="00FF519F"/>
    <w:rsid w:val="00FF51ED"/>
    <w:rsid w:val="00FF52B1"/>
    <w:rsid w:val="00FF53EE"/>
    <w:rsid w:val="00FF5491"/>
    <w:rsid w:val="00FF5674"/>
    <w:rsid w:val="00FF571A"/>
    <w:rsid w:val="00FF5742"/>
    <w:rsid w:val="00FF58AF"/>
    <w:rsid w:val="00FF5A2A"/>
    <w:rsid w:val="00FF5B10"/>
    <w:rsid w:val="00FF5C0A"/>
    <w:rsid w:val="00FF5D27"/>
    <w:rsid w:val="00FF5E97"/>
    <w:rsid w:val="00FF5EAF"/>
    <w:rsid w:val="00FF6103"/>
    <w:rsid w:val="00FF62B4"/>
    <w:rsid w:val="00FF64B5"/>
    <w:rsid w:val="00FF657D"/>
    <w:rsid w:val="00FF6593"/>
    <w:rsid w:val="00FF6612"/>
    <w:rsid w:val="00FF66FA"/>
    <w:rsid w:val="00FF674C"/>
    <w:rsid w:val="00FF67B2"/>
    <w:rsid w:val="00FF6B8D"/>
    <w:rsid w:val="00FF6CA8"/>
    <w:rsid w:val="00FF6E45"/>
    <w:rsid w:val="00FF70A9"/>
    <w:rsid w:val="00FF714F"/>
    <w:rsid w:val="00FF7179"/>
    <w:rsid w:val="00FF71DF"/>
    <w:rsid w:val="00FF71E2"/>
    <w:rsid w:val="00FF72C9"/>
    <w:rsid w:val="00FF7408"/>
    <w:rsid w:val="00FF75FD"/>
    <w:rsid w:val="00FF7887"/>
    <w:rsid w:val="00FF78C9"/>
    <w:rsid w:val="00FF79ED"/>
    <w:rsid w:val="00FF7ADF"/>
    <w:rsid w:val="00FF7C1E"/>
    <w:rsid w:val="00FF7D1C"/>
    <w:rsid w:val="00FF7DD3"/>
    <w:rsid w:val="00FF7DEE"/>
    <w:rsid w:val="00FF7E46"/>
    <w:rsid w:val="01029B9D"/>
    <w:rsid w:val="01030C7C"/>
    <w:rsid w:val="01068F4E"/>
    <w:rsid w:val="01074A24"/>
    <w:rsid w:val="01089CAA"/>
    <w:rsid w:val="01096A6D"/>
    <w:rsid w:val="010AE424"/>
    <w:rsid w:val="010C3CCE"/>
    <w:rsid w:val="010D1C9B"/>
    <w:rsid w:val="010DD22A"/>
    <w:rsid w:val="010F9358"/>
    <w:rsid w:val="0112382E"/>
    <w:rsid w:val="01140D0A"/>
    <w:rsid w:val="0114AC8C"/>
    <w:rsid w:val="01157743"/>
    <w:rsid w:val="01163270"/>
    <w:rsid w:val="011780F2"/>
    <w:rsid w:val="0118A718"/>
    <w:rsid w:val="0118C730"/>
    <w:rsid w:val="0119AFC1"/>
    <w:rsid w:val="011A8BA7"/>
    <w:rsid w:val="011C24C1"/>
    <w:rsid w:val="011D3DC8"/>
    <w:rsid w:val="011DEE8F"/>
    <w:rsid w:val="011E2EF8"/>
    <w:rsid w:val="011E8AB3"/>
    <w:rsid w:val="011EA084"/>
    <w:rsid w:val="012152F0"/>
    <w:rsid w:val="0121F287"/>
    <w:rsid w:val="01259BC8"/>
    <w:rsid w:val="0125A024"/>
    <w:rsid w:val="0126E849"/>
    <w:rsid w:val="01276660"/>
    <w:rsid w:val="01288478"/>
    <w:rsid w:val="012D79CB"/>
    <w:rsid w:val="012FF8DE"/>
    <w:rsid w:val="01307BF3"/>
    <w:rsid w:val="0131FDCA"/>
    <w:rsid w:val="0136057D"/>
    <w:rsid w:val="0138D0C8"/>
    <w:rsid w:val="0138DEB4"/>
    <w:rsid w:val="0138FBA0"/>
    <w:rsid w:val="01395492"/>
    <w:rsid w:val="013A30BB"/>
    <w:rsid w:val="013E4F84"/>
    <w:rsid w:val="01407EF8"/>
    <w:rsid w:val="0140B657"/>
    <w:rsid w:val="01410FF5"/>
    <w:rsid w:val="01412620"/>
    <w:rsid w:val="01430421"/>
    <w:rsid w:val="014652C5"/>
    <w:rsid w:val="014661A2"/>
    <w:rsid w:val="0148578F"/>
    <w:rsid w:val="01494013"/>
    <w:rsid w:val="01498142"/>
    <w:rsid w:val="014A8A34"/>
    <w:rsid w:val="014AA9ED"/>
    <w:rsid w:val="014B9DC1"/>
    <w:rsid w:val="014F33C7"/>
    <w:rsid w:val="014F54E8"/>
    <w:rsid w:val="01508A65"/>
    <w:rsid w:val="0152C7AE"/>
    <w:rsid w:val="0152E8BB"/>
    <w:rsid w:val="0154D212"/>
    <w:rsid w:val="0156A13E"/>
    <w:rsid w:val="0157F7E7"/>
    <w:rsid w:val="0158A1CF"/>
    <w:rsid w:val="0159E0B0"/>
    <w:rsid w:val="015A2FB4"/>
    <w:rsid w:val="015B8577"/>
    <w:rsid w:val="01616EBD"/>
    <w:rsid w:val="016196B0"/>
    <w:rsid w:val="0161F244"/>
    <w:rsid w:val="01626C0F"/>
    <w:rsid w:val="0162943A"/>
    <w:rsid w:val="0164E992"/>
    <w:rsid w:val="0168A251"/>
    <w:rsid w:val="016D04B7"/>
    <w:rsid w:val="0171550B"/>
    <w:rsid w:val="01733F58"/>
    <w:rsid w:val="0173CAF7"/>
    <w:rsid w:val="0175ABE5"/>
    <w:rsid w:val="0177A84B"/>
    <w:rsid w:val="017ACCA5"/>
    <w:rsid w:val="017B26B2"/>
    <w:rsid w:val="017B3A0C"/>
    <w:rsid w:val="017EA818"/>
    <w:rsid w:val="017FA439"/>
    <w:rsid w:val="0183759F"/>
    <w:rsid w:val="0186C121"/>
    <w:rsid w:val="0186FDDF"/>
    <w:rsid w:val="018734C8"/>
    <w:rsid w:val="018917C0"/>
    <w:rsid w:val="018A43CC"/>
    <w:rsid w:val="018C2EDA"/>
    <w:rsid w:val="018FF21A"/>
    <w:rsid w:val="0190563B"/>
    <w:rsid w:val="01918B3B"/>
    <w:rsid w:val="0193ADC3"/>
    <w:rsid w:val="0194437C"/>
    <w:rsid w:val="01956438"/>
    <w:rsid w:val="01976AD1"/>
    <w:rsid w:val="0199828A"/>
    <w:rsid w:val="019A6E67"/>
    <w:rsid w:val="019ABB10"/>
    <w:rsid w:val="019AE7BA"/>
    <w:rsid w:val="019D0DB2"/>
    <w:rsid w:val="01A26F39"/>
    <w:rsid w:val="01A6356C"/>
    <w:rsid w:val="01A81967"/>
    <w:rsid w:val="01A91219"/>
    <w:rsid w:val="01A9F1BC"/>
    <w:rsid w:val="01AA906D"/>
    <w:rsid w:val="01AAF2CC"/>
    <w:rsid w:val="01AAFCCE"/>
    <w:rsid w:val="01AB410E"/>
    <w:rsid w:val="01ACECB8"/>
    <w:rsid w:val="01AD51B9"/>
    <w:rsid w:val="01ADE73F"/>
    <w:rsid w:val="01AF6872"/>
    <w:rsid w:val="01B1D68E"/>
    <w:rsid w:val="01B2042D"/>
    <w:rsid w:val="01B47779"/>
    <w:rsid w:val="01B58C3B"/>
    <w:rsid w:val="01B7ABA1"/>
    <w:rsid w:val="01BAF485"/>
    <w:rsid w:val="01BC5E0E"/>
    <w:rsid w:val="01C192C3"/>
    <w:rsid w:val="01C2E1E2"/>
    <w:rsid w:val="01C2EC39"/>
    <w:rsid w:val="01C3F240"/>
    <w:rsid w:val="01C72FC3"/>
    <w:rsid w:val="01C83AC6"/>
    <w:rsid w:val="01C96880"/>
    <w:rsid w:val="01CF432C"/>
    <w:rsid w:val="01CF8B92"/>
    <w:rsid w:val="01CFF86C"/>
    <w:rsid w:val="01D06DEC"/>
    <w:rsid w:val="01D3AE86"/>
    <w:rsid w:val="01D3AEDE"/>
    <w:rsid w:val="01D41CBE"/>
    <w:rsid w:val="01E13E32"/>
    <w:rsid w:val="01E15257"/>
    <w:rsid w:val="01E2AC56"/>
    <w:rsid w:val="01E35A10"/>
    <w:rsid w:val="01E5041B"/>
    <w:rsid w:val="01E513AE"/>
    <w:rsid w:val="01E555D1"/>
    <w:rsid w:val="01E68E01"/>
    <w:rsid w:val="01E85FD6"/>
    <w:rsid w:val="01E99B32"/>
    <w:rsid w:val="01EB4CBD"/>
    <w:rsid w:val="01EB842D"/>
    <w:rsid w:val="01EFFFED"/>
    <w:rsid w:val="01F03E43"/>
    <w:rsid w:val="01F0D1D8"/>
    <w:rsid w:val="01F12686"/>
    <w:rsid w:val="01F2019F"/>
    <w:rsid w:val="01F38F94"/>
    <w:rsid w:val="01F54FEE"/>
    <w:rsid w:val="01F61393"/>
    <w:rsid w:val="01F6A62A"/>
    <w:rsid w:val="01F74B6E"/>
    <w:rsid w:val="01FDAB7E"/>
    <w:rsid w:val="02012E03"/>
    <w:rsid w:val="02020857"/>
    <w:rsid w:val="0203A837"/>
    <w:rsid w:val="0204604F"/>
    <w:rsid w:val="0204AA85"/>
    <w:rsid w:val="0205909F"/>
    <w:rsid w:val="0205C287"/>
    <w:rsid w:val="02061DA4"/>
    <w:rsid w:val="0207E14A"/>
    <w:rsid w:val="0208F7FD"/>
    <w:rsid w:val="0208F8F7"/>
    <w:rsid w:val="020BD552"/>
    <w:rsid w:val="020BFADD"/>
    <w:rsid w:val="020C3B08"/>
    <w:rsid w:val="020E1C7E"/>
    <w:rsid w:val="020F81E7"/>
    <w:rsid w:val="020FE426"/>
    <w:rsid w:val="0210D1DF"/>
    <w:rsid w:val="0212CAF7"/>
    <w:rsid w:val="02152669"/>
    <w:rsid w:val="0215ADE8"/>
    <w:rsid w:val="0217ECDD"/>
    <w:rsid w:val="021866F0"/>
    <w:rsid w:val="0219A7B9"/>
    <w:rsid w:val="0219FB55"/>
    <w:rsid w:val="021BB816"/>
    <w:rsid w:val="02228273"/>
    <w:rsid w:val="022FB8D2"/>
    <w:rsid w:val="02308EED"/>
    <w:rsid w:val="0230EE9C"/>
    <w:rsid w:val="02323500"/>
    <w:rsid w:val="0232E7F6"/>
    <w:rsid w:val="02338C81"/>
    <w:rsid w:val="02341247"/>
    <w:rsid w:val="0234D8D4"/>
    <w:rsid w:val="0236969E"/>
    <w:rsid w:val="02389680"/>
    <w:rsid w:val="02389D44"/>
    <w:rsid w:val="023939C4"/>
    <w:rsid w:val="023BB367"/>
    <w:rsid w:val="023BD3FA"/>
    <w:rsid w:val="023C5883"/>
    <w:rsid w:val="023D1C2E"/>
    <w:rsid w:val="023E81F9"/>
    <w:rsid w:val="023EBE48"/>
    <w:rsid w:val="023F9BFF"/>
    <w:rsid w:val="023FF8AF"/>
    <w:rsid w:val="0240133A"/>
    <w:rsid w:val="024066D9"/>
    <w:rsid w:val="024590AB"/>
    <w:rsid w:val="0246CB13"/>
    <w:rsid w:val="02473972"/>
    <w:rsid w:val="024A4CFF"/>
    <w:rsid w:val="024A6472"/>
    <w:rsid w:val="024BF57B"/>
    <w:rsid w:val="024E304D"/>
    <w:rsid w:val="0256C56F"/>
    <w:rsid w:val="02577E0F"/>
    <w:rsid w:val="025B8FDF"/>
    <w:rsid w:val="025CF2F7"/>
    <w:rsid w:val="025FAE1A"/>
    <w:rsid w:val="0260AD0D"/>
    <w:rsid w:val="02616D98"/>
    <w:rsid w:val="0262391D"/>
    <w:rsid w:val="02637F7E"/>
    <w:rsid w:val="0264652D"/>
    <w:rsid w:val="02680239"/>
    <w:rsid w:val="026864C5"/>
    <w:rsid w:val="0269216E"/>
    <w:rsid w:val="026AA03C"/>
    <w:rsid w:val="026CC46D"/>
    <w:rsid w:val="026D8DD6"/>
    <w:rsid w:val="0271E6C7"/>
    <w:rsid w:val="0272601F"/>
    <w:rsid w:val="0272FD92"/>
    <w:rsid w:val="0273EF88"/>
    <w:rsid w:val="02765024"/>
    <w:rsid w:val="02791077"/>
    <w:rsid w:val="027B7920"/>
    <w:rsid w:val="027BC717"/>
    <w:rsid w:val="027DE061"/>
    <w:rsid w:val="027F4CFA"/>
    <w:rsid w:val="02805240"/>
    <w:rsid w:val="02823D15"/>
    <w:rsid w:val="02828B84"/>
    <w:rsid w:val="02853D08"/>
    <w:rsid w:val="0286A5AD"/>
    <w:rsid w:val="02874231"/>
    <w:rsid w:val="0288301F"/>
    <w:rsid w:val="028CFCC2"/>
    <w:rsid w:val="028D062E"/>
    <w:rsid w:val="028E8172"/>
    <w:rsid w:val="0290942A"/>
    <w:rsid w:val="0292F527"/>
    <w:rsid w:val="02930347"/>
    <w:rsid w:val="0293B5E9"/>
    <w:rsid w:val="029559B1"/>
    <w:rsid w:val="02961396"/>
    <w:rsid w:val="0296932F"/>
    <w:rsid w:val="0298E72C"/>
    <w:rsid w:val="029B3DBA"/>
    <w:rsid w:val="029DB973"/>
    <w:rsid w:val="029F7865"/>
    <w:rsid w:val="02A2AA09"/>
    <w:rsid w:val="02A36D73"/>
    <w:rsid w:val="02A36DB0"/>
    <w:rsid w:val="02A52BE3"/>
    <w:rsid w:val="02A7431E"/>
    <w:rsid w:val="02A7B83F"/>
    <w:rsid w:val="02A8A631"/>
    <w:rsid w:val="02A8A8C1"/>
    <w:rsid w:val="02AB8FDA"/>
    <w:rsid w:val="02B0CC7E"/>
    <w:rsid w:val="02B62AD6"/>
    <w:rsid w:val="02B6F8DD"/>
    <w:rsid w:val="02B8C040"/>
    <w:rsid w:val="02BBC797"/>
    <w:rsid w:val="02BDE246"/>
    <w:rsid w:val="02C0825B"/>
    <w:rsid w:val="02C1DAA2"/>
    <w:rsid w:val="02C23779"/>
    <w:rsid w:val="02C3E741"/>
    <w:rsid w:val="02C6D0A0"/>
    <w:rsid w:val="02C72C91"/>
    <w:rsid w:val="02C7A9AD"/>
    <w:rsid w:val="02C87998"/>
    <w:rsid w:val="02CC4590"/>
    <w:rsid w:val="02CD2D32"/>
    <w:rsid w:val="02CD9ED3"/>
    <w:rsid w:val="02CEA248"/>
    <w:rsid w:val="02D078E4"/>
    <w:rsid w:val="02D36B3E"/>
    <w:rsid w:val="02D417AD"/>
    <w:rsid w:val="02D43C98"/>
    <w:rsid w:val="02D6451F"/>
    <w:rsid w:val="02D8120A"/>
    <w:rsid w:val="02D879F1"/>
    <w:rsid w:val="02D94648"/>
    <w:rsid w:val="02D9E41B"/>
    <w:rsid w:val="02DA9FEB"/>
    <w:rsid w:val="02DB480B"/>
    <w:rsid w:val="02DC8C55"/>
    <w:rsid w:val="02E3BF6B"/>
    <w:rsid w:val="02E52237"/>
    <w:rsid w:val="02E5F010"/>
    <w:rsid w:val="02E812B1"/>
    <w:rsid w:val="02E8B26A"/>
    <w:rsid w:val="02E94612"/>
    <w:rsid w:val="02E9912B"/>
    <w:rsid w:val="02EA6339"/>
    <w:rsid w:val="02ECA532"/>
    <w:rsid w:val="02EFC4E3"/>
    <w:rsid w:val="02F11ECA"/>
    <w:rsid w:val="02F36DA6"/>
    <w:rsid w:val="02F3777F"/>
    <w:rsid w:val="02F5FD52"/>
    <w:rsid w:val="02F7363F"/>
    <w:rsid w:val="02F962C4"/>
    <w:rsid w:val="02FACB72"/>
    <w:rsid w:val="02FBCB46"/>
    <w:rsid w:val="02FD1EC3"/>
    <w:rsid w:val="02FDBE31"/>
    <w:rsid w:val="02FF3F0D"/>
    <w:rsid w:val="03016E1E"/>
    <w:rsid w:val="0304C724"/>
    <w:rsid w:val="03051603"/>
    <w:rsid w:val="03066C41"/>
    <w:rsid w:val="0306D142"/>
    <w:rsid w:val="030861FF"/>
    <w:rsid w:val="030B12ED"/>
    <w:rsid w:val="030BA5BC"/>
    <w:rsid w:val="030F6B3C"/>
    <w:rsid w:val="031045F9"/>
    <w:rsid w:val="031048FC"/>
    <w:rsid w:val="03128064"/>
    <w:rsid w:val="0312D035"/>
    <w:rsid w:val="03141DD8"/>
    <w:rsid w:val="0314F51E"/>
    <w:rsid w:val="03166CA7"/>
    <w:rsid w:val="03167866"/>
    <w:rsid w:val="0316EB80"/>
    <w:rsid w:val="03173A96"/>
    <w:rsid w:val="03183607"/>
    <w:rsid w:val="031A1B52"/>
    <w:rsid w:val="031BFC52"/>
    <w:rsid w:val="031CB378"/>
    <w:rsid w:val="031CD4A1"/>
    <w:rsid w:val="031D53C1"/>
    <w:rsid w:val="031FCFF6"/>
    <w:rsid w:val="032098BE"/>
    <w:rsid w:val="0322DCCF"/>
    <w:rsid w:val="03241B99"/>
    <w:rsid w:val="0324B9E6"/>
    <w:rsid w:val="03252111"/>
    <w:rsid w:val="0325CB15"/>
    <w:rsid w:val="03282A8D"/>
    <w:rsid w:val="0328C0CD"/>
    <w:rsid w:val="032A14A0"/>
    <w:rsid w:val="032A809C"/>
    <w:rsid w:val="032B6FD6"/>
    <w:rsid w:val="032C269C"/>
    <w:rsid w:val="032E86EB"/>
    <w:rsid w:val="032EED7D"/>
    <w:rsid w:val="032F2FBA"/>
    <w:rsid w:val="032F7115"/>
    <w:rsid w:val="03313E22"/>
    <w:rsid w:val="033160E1"/>
    <w:rsid w:val="03323848"/>
    <w:rsid w:val="0332A629"/>
    <w:rsid w:val="0333FEF3"/>
    <w:rsid w:val="0334FE76"/>
    <w:rsid w:val="0336722F"/>
    <w:rsid w:val="033AEA2A"/>
    <w:rsid w:val="033B678E"/>
    <w:rsid w:val="033C545F"/>
    <w:rsid w:val="033D28F0"/>
    <w:rsid w:val="033D5C81"/>
    <w:rsid w:val="033F8BB6"/>
    <w:rsid w:val="0341C518"/>
    <w:rsid w:val="03498C18"/>
    <w:rsid w:val="034AECF5"/>
    <w:rsid w:val="034C15F0"/>
    <w:rsid w:val="034D7173"/>
    <w:rsid w:val="034FB733"/>
    <w:rsid w:val="03525B9D"/>
    <w:rsid w:val="035360AE"/>
    <w:rsid w:val="0353EA6B"/>
    <w:rsid w:val="0354DB4A"/>
    <w:rsid w:val="0355A383"/>
    <w:rsid w:val="0355CC7D"/>
    <w:rsid w:val="03562DD6"/>
    <w:rsid w:val="0357849D"/>
    <w:rsid w:val="0357D96A"/>
    <w:rsid w:val="035835E9"/>
    <w:rsid w:val="035E70B1"/>
    <w:rsid w:val="035F1E51"/>
    <w:rsid w:val="0362A17E"/>
    <w:rsid w:val="0366547C"/>
    <w:rsid w:val="03665676"/>
    <w:rsid w:val="036718D3"/>
    <w:rsid w:val="03676FF9"/>
    <w:rsid w:val="0368006C"/>
    <w:rsid w:val="036BF933"/>
    <w:rsid w:val="036D5222"/>
    <w:rsid w:val="036EC3FD"/>
    <w:rsid w:val="036FA6DA"/>
    <w:rsid w:val="037821D7"/>
    <w:rsid w:val="0379BA81"/>
    <w:rsid w:val="037A3877"/>
    <w:rsid w:val="037D2D63"/>
    <w:rsid w:val="0380145E"/>
    <w:rsid w:val="03833E80"/>
    <w:rsid w:val="03876393"/>
    <w:rsid w:val="0387F947"/>
    <w:rsid w:val="038B29B8"/>
    <w:rsid w:val="038C13ED"/>
    <w:rsid w:val="038F3241"/>
    <w:rsid w:val="038FC096"/>
    <w:rsid w:val="039066D4"/>
    <w:rsid w:val="0390B92C"/>
    <w:rsid w:val="03956733"/>
    <w:rsid w:val="039CD2D6"/>
    <w:rsid w:val="039D18D6"/>
    <w:rsid w:val="03A03545"/>
    <w:rsid w:val="03A03F2E"/>
    <w:rsid w:val="03A1D346"/>
    <w:rsid w:val="03A20C4A"/>
    <w:rsid w:val="03A2822E"/>
    <w:rsid w:val="03A79CEA"/>
    <w:rsid w:val="03AAEB5A"/>
    <w:rsid w:val="03AC4A34"/>
    <w:rsid w:val="03AEF19A"/>
    <w:rsid w:val="03B09628"/>
    <w:rsid w:val="03B19318"/>
    <w:rsid w:val="03B1CA29"/>
    <w:rsid w:val="03B25A4D"/>
    <w:rsid w:val="03B28BD7"/>
    <w:rsid w:val="03B2A55B"/>
    <w:rsid w:val="03B414A4"/>
    <w:rsid w:val="03B65998"/>
    <w:rsid w:val="03B7E89D"/>
    <w:rsid w:val="03B9F67C"/>
    <w:rsid w:val="03BA355A"/>
    <w:rsid w:val="03BBD5FA"/>
    <w:rsid w:val="03BE5FEC"/>
    <w:rsid w:val="03C09EAD"/>
    <w:rsid w:val="03C226AE"/>
    <w:rsid w:val="03C26254"/>
    <w:rsid w:val="03C59B1D"/>
    <w:rsid w:val="03C92360"/>
    <w:rsid w:val="03C94DFA"/>
    <w:rsid w:val="03CA4E3F"/>
    <w:rsid w:val="03CA9FEC"/>
    <w:rsid w:val="03CBF31C"/>
    <w:rsid w:val="03CCE9F2"/>
    <w:rsid w:val="03CE7B53"/>
    <w:rsid w:val="03CE80C1"/>
    <w:rsid w:val="03D0B4CB"/>
    <w:rsid w:val="03D205DD"/>
    <w:rsid w:val="03D48F69"/>
    <w:rsid w:val="03D533B6"/>
    <w:rsid w:val="03D65BFF"/>
    <w:rsid w:val="03DED018"/>
    <w:rsid w:val="03DF0E79"/>
    <w:rsid w:val="03DF452B"/>
    <w:rsid w:val="03E05AA6"/>
    <w:rsid w:val="03E1BD37"/>
    <w:rsid w:val="03E281E1"/>
    <w:rsid w:val="03E2ED73"/>
    <w:rsid w:val="03E38868"/>
    <w:rsid w:val="03E83770"/>
    <w:rsid w:val="03E8B89A"/>
    <w:rsid w:val="03E8F4C0"/>
    <w:rsid w:val="03EBEC2D"/>
    <w:rsid w:val="03F23C7F"/>
    <w:rsid w:val="03F29760"/>
    <w:rsid w:val="03F82360"/>
    <w:rsid w:val="03FC307A"/>
    <w:rsid w:val="03FC4D28"/>
    <w:rsid w:val="03FD2077"/>
    <w:rsid w:val="03FEAAF2"/>
    <w:rsid w:val="03FF1122"/>
    <w:rsid w:val="03FF37D4"/>
    <w:rsid w:val="03FF4614"/>
    <w:rsid w:val="04045592"/>
    <w:rsid w:val="0405AFA0"/>
    <w:rsid w:val="0405F531"/>
    <w:rsid w:val="0407B623"/>
    <w:rsid w:val="04080109"/>
    <w:rsid w:val="04084F9A"/>
    <w:rsid w:val="0408BF0B"/>
    <w:rsid w:val="0408D1E9"/>
    <w:rsid w:val="0408DD1D"/>
    <w:rsid w:val="0409D162"/>
    <w:rsid w:val="040A8342"/>
    <w:rsid w:val="040BC241"/>
    <w:rsid w:val="040C1B0F"/>
    <w:rsid w:val="040C8D95"/>
    <w:rsid w:val="040E0D59"/>
    <w:rsid w:val="040F16F3"/>
    <w:rsid w:val="040F78FC"/>
    <w:rsid w:val="040F7D6E"/>
    <w:rsid w:val="04117AD0"/>
    <w:rsid w:val="0411BF76"/>
    <w:rsid w:val="04154E49"/>
    <w:rsid w:val="04164615"/>
    <w:rsid w:val="0416DE7E"/>
    <w:rsid w:val="04197081"/>
    <w:rsid w:val="0419CD8C"/>
    <w:rsid w:val="041A6209"/>
    <w:rsid w:val="041C0F38"/>
    <w:rsid w:val="041ED1C8"/>
    <w:rsid w:val="0422EB05"/>
    <w:rsid w:val="0422F8D3"/>
    <w:rsid w:val="0424A0A1"/>
    <w:rsid w:val="042555F8"/>
    <w:rsid w:val="04266B30"/>
    <w:rsid w:val="0426FD4F"/>
    <w:rsid w:val="0427ECC0"/>
    <w:rsid w:val="0429390E"/>
    <w:rsid w:val="0429B733"/>
    <w:rsid w:val="0429FC12"/>
    <w:rsid w:val="042A79C6"/>
    <w:rsid w:val="042CF3C4"/>
    <w:rsid w:val="042E0BBD"/>
    <w:rsid w:val="042F1C7A"/>
    <w:rsid w:val="0430E4E2"/>
    <w:rsid w:val="0430F150"/>
    <w:rsid w:val="043412E7"/>
    <w:rsid w:val="043652A7"/>
    <w:rsid w:val="0436BA66"/>
    <w:rsid w:val="0438F697"/>
    <w:rsid w:val="04399740"/>
    <w:rsid w:val="043BFD44"/>
    <w:rsid w:val="043CEA3A"/>
    <w:rsid w:val="043DCF48"/>
    <w:rsid w:val="043F8212"/>
    <w:rsid w:val="043F902E"/>
    <w:rsid w:val="04426D4F"/>
    <w:rsid w:val="0443E72D"/>
    <w:rsid w:val="044412E3"/>
    <w:rsid w:val="04444497"/>
    <w:rsid w:val="044967D7"/>
    <w:rsid w:val="04498471"/>
    <w:rsid w:val="0449DF22"/>
    <w:rsid w:val="0449E5B3"/>
    <w:rsid w:val="044B2FA3"/>
    <w:rsid w:val="0453C7D2"/>
    <w:rsid w:val="045475AB"/>
    <w:rsid w:val="0454C7DD"/>
    <w:rsid w:val="0456E10F"/>
    <w:rsid w:val="0457BE1A"/>
    <w:rsid w:val="04589470"/>
    <w:rsid w:val="045D699C"/>
    <w:rsid w:val="045F092A"/>
    <w:rsid w:val="0461ADBD"/>
    <w:rsid w:val="0462ABB6"/>
    <w:rsid w:val="0464123F"/>
    <w:rsid w:val="04642BBE"/>
    <w:rsid w:val="04645963"/>
    <w:rsid w:val="0464656A"/>
    <w:rsid w:val="0464EC87"/>
    <w:rsid w:val="04652069"/>
    <w:rsid w:val="04664D77"/>
    <w:rsid w:val="0467AB8B"/>
    <w:rsid w:val="04685C9B"/>
    <w:rsid w:val="0468771D"/>
    <w:rsid w:val="0469B90C"/>
    <w:rsid w:val="0469E714"/>
    <w:rsid w:val="046B4ECE"/>
    <w:rsid w:val="046BE46E"/>
    <w:rsid w:val="046D4847"/>
    <w:rsid w:val="0471BA43"/>
    <w:rsid w:val="04766F0C"/>
    <w:rsid w:val="0478A00F"/>
    <w:rsid w:val="04798E27"/>
    <w:rsid w:val="0479D867"/>
    <w:rsid w:val="047B95FD"/>
    <w:rsid w:val="047DE526"/>
    <w:rsid w:val="047F724E"/>
    <w:rsid w:val="04816E86"/>
    <w:rsid w:val="0484E763"/>
    <w:rsid w:val="048659FC"/>
    <w:rsid w:val="0486EA25"/>
    <w:rsid w:val="04876955"/>
    <w:rsid w:val="04877BEB"/>
    <w:rsid w:val="04879F70"/>
    <w:rsid w:val="0487E5D7"/>
    <w:rsid w:val="0489A8E6"/>
    <w:rsid w:val="048A8F8F"/>
    <w:rsid w:val="048B3EDB"/>
    <w:rsid w:val="048E45C1"/>
    <w:rsid w:val="049130E5"/>
    <w:rsid w:val="04923DE1"/>
    <w:rsid w:val="04940602"/>
    <w:rsid w:val="049541FA"/>
    <w:rsid w:val="04955ADB"/>
    <w:rsid w:val="049C2C8A"/>
    <w:rsid w:val="049CD44A"/>
    <w:rsid w:val="04A1AEF1"/>
    <w:rsid w:val="04A502A4"/>
    <w:rsid w:val="04A7E75F"/>
    <w:rsid w:val="04AC3A17"/>
    <w:rsid w:val="04ACB9BD"/>
    <w:rsid w:val="04AE513D"/>
    <w:rsid w:val="04AE588A"/>
    <w:rsid w:val="04AF1525"/>
    <w:rsid w:val="04B11169"/>
    <w:rsid w:val="04B1AD83"/>
    <w:rsid w:val="04B2C774"/>
    <w:rsid w:val="04B2DFE4"/>
    <w:rsid w:val="04B3DB0A"/>
    <w:rsid w:val="04B6C149"/>
    <w:rsid w:val="04B899B6"/>
    <w:rsid w:val="04B93ABA"/>
    <w:rsid w:val="04BA0F91"/>
    <w:rsid w:val="04BA67B5"/>
    <w:rsid w:val="04BC3CA3"/>
    <w:rsid w:val="04BF60DF"/>
    <w:rsid w:val="04BFEB2F"/>
    <w:rsid w:val="04C1831F"/>
    <w:rsid w:val="04C1FA36"/>
    <w:rsid w:val="04C33013"/>
    <w:rsid w:val="04C81800"/>
    <w:rsid w:val="04C82953"/>
    <w:rsid w:val="04C8A20F"/>
    <w:rsid w:val="04C8F15A"/>
    <w:rsid w:val="04C974D8"/>
    <w:rsid w:val="04CA9905"/>
    <w:rsid w:val="04CC32C7"/>
    <w:rsid w:val="04CC6720"/>
    <w:rsid w:val="04CF953E"/>
    <w:rsid w:val="04D1832B"/>
    <w:rsid w:val="04D264EB"/>
    <w:rsid w:val="04D28C68"/>
    <w:rsid w:val="04D35A82"/>
    <w:rsid w:val="04D430E3"/>
    <w:rsid w:val="04D53D22"/>
    <w:rsid w:val="04D62B47"/>
    <w:rsid w:val="04D74874"/>
    <w:rsid w:val="04D7C27B"/>
    <w:rsid w:val="04DBAA0D"/>
    <w:rsid w:val="04DCBBDA"/>
    <w:rsid w:val="04DD7EBD"/>
    <w:rsid w:val="04DF0219"/>
    <w:rsid w:val="04DF896B"/>
    <w:rsid w:val="04DFD553"/>
    <w:rsid w:val="04E34148"/>
    <w:rsid w:val="04E47623"/>
    <w:rsid w:val="04E5E365"/>
    <w:rsid w:val="04E6065A"/>
    <w:rsid w:val="04E658F2"/>
    <w:rsid w:val="04E721C8"/>
    <w:rsid w:val="04E8F0D6"/>
    <w:rsid w:val="04E93A25"/>
    <w:rsid w:val="04E9B762"/>
    <w:rsid w:val="04EB45C1"/>
    <w:rsid w:val="04EB930A"/>
    <w:rsid w:val="04EB980D"/>
    <w:rsid w:val="04EBF773"/>
    <w:rsid w:val="04EEE141"/>
    <w:rsid w:val="04EFE2E8"/>
    <w:rsid w:val="04F0803E"/>
    <w:rsid w:val="04F13877"/>
    <w:rsid w:val="04F3AE71"/>
    <w:rsid w:val="04F54459"/>
    <w:rsid w:val="04F54D92"/>
    <w:rsid w:val="04F61A3A"/>
    <w:rsid w:val="04F7734C"/>
    <w:rsid w:val="04F7858F"/>
    <w:rsid w:val="04F8F9DA"/>
    <w:rsid w:val="04F9050A"/>
    <w:rsid w:val="04FB81A4"/>
    <w:rsid w:val="04FB888B"/>
    <w:rsid w:val="04FCA6DB"/>
    <w:rsid w:val="04FE8B0F"/>
    <w:rsid w:val="04FEFC95"/>
    <w:rsid w:val="050253F6"/>
    <w:rsid w:val="0503FA78"/>
    <w:rsid w:val="0505AD75"/>
    <w:rsid w:val="0509376A"/>
    <w:rsid w:val="05095CD0"/>
    <w:rsid w:val="0509CDA6"/>
    <w:rsid w:val="050B8F74"/>
    <w:rsid w:val="050CE050"/>
    <w:rsid w:val="050EC50E"/>
    <w:rsid w:val="05112E92"/>
    <w:rsid w:val="0512ACE1"/>
    <w:rsid w:val="0512B73A"/>
    <w:rsid w:val="0512F792"/>
    <w:rsid w:val="0512FC68"/>
    <w:rsid w:val="0513867A"/>
    <w:rsid w:val="0514684A"/>
    <w:rsid w:val="0514898F"/>
    <w:rsid w:val="05198827"/>
    <w:rsid w:val="051B3F54"/>
    <w:rsid w:val="051D51E8"/>
    <w:rsid w:val="051D741E"/>
    <w:rsid w:val="051E9599"/>
    <w:rsid w:val="051FB0B3"/>
    <w:rsid w:val="051FB2EB"/>
    <w:rsid w:val="051FCD59"/>
    <w:rsid w:val="05204111"/>
    <w:rsid w:val="05210892"/>
    <w:rsid w:val="05215213"/>
    <w:rsid w:val="05215248"/>
    <w:rsid w:val="052328EC"/>
    <w:rsid w:val="05239978"/>
    <w:rsid w:val="0523D2AB"/>
    <w:rsid w:val="0523EA9F"/>
    <w:rsid w:val="0525F177"/>
    <w:rsid w:val="052616DD"/>
    <w:rsid w:val="05284531"/>
    <w:rsid w:val="052C17FF"/>
    <w:rsid w:val="052C537B"/>
    <w:rsid w:val="052D3D1F"/>
    <w:rsid w:val="05315148"/>
    <w:rsid w:val="0534D63C"/>
    <w:rsid w:val="0535FEBB"/>
    <w:rsid w:val="0536F2C2"/>
    <w:rsid w:val="05371AE2"/>
    <w:rsid w:val="053D942F"/>
    <w:rsid w:val="053E2974"/>
    <w:rsid w:val="053E8901"/>
    <w:rsid w:val="05426AE4"/>
    <w:rsid w:val="0544D5FD"/>
    <w:rsid w:val="05452485"/>
    <w:rsid w:val="05477464"/>
    <w:rsid w:val="05483AC3"/>
    <w:rsid w:val="054C2709"/>
    <w:rsid w:val="054C2B3A"/>
    <w:rsid w:val="054F9B8E"/>
    <w:rsid w:val="0550F1A3"/>
    <w:rsid w:val="05562729"/>
    <w:rsid w:val="05582174"/>
    <w:rsid w:val="05585C90"/>
    <w:rsid w:val="05588198"/>
    <w:rsid w:val="055A2210"/>
    <w:rsid w:val="055A48CB"/>
    <w:rsid w:val="055A6F2B"/>
    <w:rsid w:val="055B1DD9"/>
    <w:rsid w:val="055BB386"/>
    <w:rsid w:val="055D8BFE"/>
    <w:rsid w:val="055E2C73"/>
    <w:rsid w:val="055E2F8B"/>
    <w:rsid w:val="055F7381"/>
    <w:rsid w:val="0560A48F"/>
    <w:rsid w:val="05619E05"/>
    <w:rsid w:val="0561E2BD"/>
    <w:rsid w:val="0565A773"/>
    <w:rsid w:val="05666157"/>
    <w:rsid w:val="0569EF6A"/>
    <w:rsid w:val="056B6471"/>
    <w:rsid w:val="056BAD11"/>
    <w:rsid w:val="056C5B40"/>
    <w:rsid w:val="056D22B3"/>
    <w:rsid w:val="056F4B6D"/>
    <w:rsid w:val="057002F2"/>
    <w:rsid w:val="05708F55"/>
    <w:rsid w:val="05717E13"/>
    <w:rsid w:val="05737705"/>
    <w:rsid w:val="057581CA"/>
    <w:rsid w:val="0576E930"/>
    <w:rsid w:val="05778C33"/>
    <w:rsid w:val="05796F16"/>
    <w:rsid w:val="057B1071"/>
    <w:rsid w:val="057BC2EB"/>
    <w:rsid w:val="057E08B5"/>
    <w:rsid w:val="057EE65C"/>
    <w:rsid w:val="0580C9CB"/>
    <w:rsid w:val="05818F33"/>
    <w:rsid w:val="0582A5FF"/>
    <w:rsid w:val="0583FD8C"/>
    <w:rsid w:val="0585139B"/>
    <w:rsid w:val="058528E4"/>
    <w:rsid w:val="058632E3"/>
    <w:rsid w:val="05884C13"/>
    <w:rsid w:val="05891C8F"/>
    <w:rsid w:val="058A9270"/>
    <w:rsid w:val="058B020D"/>
    <w:rsid w:val="058BCB1F"/>
    <w:rsid w:val="058CF0DA"/>
    <w:rsid w:val="058EB8FC"/>
    <w:rsid w:val="0590669A"/>
    <w:rsid w:val="059381AD"/>
    <w:rsid w:val="0595EB89"/>
    <w:rsid w:val="05976F24"/>
    <w:rsid w:val="0597EFE3"/>
    <w:rsid w:val="059A1BA8"/>
    <w:rsid w:val="059ED5D1"/>
    <w:rsid w:val="059F03A9"/>
    <w:rsid w:val="05A0B3B0"/>
    <w:rsid w:val="05A14C12"/>
    <w:rsid w:val="05A19FAA"/>
    <w:rsid w:val="05A32138"/>
    <w:rsid w:val="05A36565"/>
    <w:rsid w:val="05A5E965"/>
    <w:rsid w:val="05A9BDEC"/>
    <w:rsid w:val="05AB898E"/>
    <w:rsid w:val="05AC5B5C"/>
    <w:rsid w:val="05AEB404"/>
    <w:rsid w:val="05B1DA3F"/>
    <w:rsid w:val="05B1F63E"/>
    <w:rsid w:val="05B4EC5F"/>
    <w:rsid w:val="05B54174"/>
    <w:rsid w:val="05B5546E"/>
    <w:rsid w:val="05BC4509"/>
    <w:rsid w:val="05BC9779"/>
    <w:rsid w:val="05BEB465"/>
    <w:rsid w:val="05C02CC1"/>
    <w:rsid w:val="05C1678C"/>
    <w:rsid w:val="05C3F8BD"/>
    <w:rsid w:val="05C57376"/>
    <w:rsid w:val="05C70933"/>
    <w:rsid w:val="05C73F32"/>
    <w:rsid w:val="05C7829E"/>
    <w:rsid w:val="05CA4DDC"/>
    <w:rsid w:val="05CBCAC1"/>
    <w:rsid w:val="05CBE32D"/>
    <w:rsid w:val="05CEBB92"/>
    <w:rsid w:val="05D172FF"/>
    <w:rsid w:val="05D1A16D"/>
    <w:rsid w:val="05D3BB76"/>
    <w:rsid w:val="05D5F422"/>
    <w:rsid w:val="05D67678"/>
    <w:rsid w:val="05D9E402"/>
    <w:rsid w:val="05E046F3"/>
    <w:rsid w:val="05E051F7"/>
    <w:rsid w:val="05E07B77"/>
    <w:rsid w:val="05E0C126"/>
    <w:rsid w:val="05E0D431"/>
    <w:rsid w:val="05E16837"/>
    <w:rsid w:val="05E1D103"/>
    <w:rsid w:val="05E5094A"/>
    <w:rsid w:val="05E6294E"/>
    <w:rsid w:val="05E77A9B"/>
    <w:rsid w:val="05E86EB3"/>
    <w:rsid w:val="05E89BD8"/>
    <w:rsid w:val="05E8A119"/>
    <w:rsid w:val="05E96CB7"/>
    <w:rsid w:val="05ED88E8"/>
    <w:rsid w:val="05ED9495"/>
    <w:rsid w:val="05F479EC"/>
    <w:rsid w:val="05F4E9E3"/>
    <w:rsid w:val="05F62D52"/>
    <w:rsid w:val="05F7FB88"/>
    <w:rsid w:val="05F84BEA"/>
    <w:rsid w:val="05F8871A"/>
    <w:rsid w:val="05FA2C35"/>
    <w:rsid w:val="05FBF43F"/>
    <w:rsid w:val="05FC57DC"/>
    <w:rsid w:val="05FE3FEC"/>
    <w:rsid w:val="06025D59"/>
    <w:rsid w:val="06042F6B"/>
    <w:rsid w:val="06049FE0"/>
    <w:rsid w:val="060642C7"/>
    <w:rsid w:val="0607258A"/>
    <w:rsid w:val="060827C9"/>
    <w:rsid w:val="0608A69C"/>
    <w:rsid w:val="0608EC12"/>
    <w:rsid w:val="060B7848"/>
    <w:rsid w:val="060C21E5"/>
    <w:rsid w:val="060C9E8F"/>
    <w:rsid w:val="060D2574"/>
    <w:rsid w:val="060F7879"/>
    <w:rsid w:val="060F9004"/>
    <w:rsid w:val="06102D58"/>
    <w:rsid w:val="06141B50"/>
    <w:rsid w:val="0615B792"/>
    <w:rsid w:val="061783F9"/>
    <w:rsid w:val="0617BFFE"/>
    <w:rsid w:val="061899C3"/>
    <w:rsid w:val="061923DE"/>
    <w:rsid w:val="061C848E"/>
    <w:rsid w:val="0620AA6E"/>
    <w:rsid w:val="0622E7BD"/>
    <w:rsid w:val="0623242E"/>
    <w:rsid w:val="0625116C"/>
    <w:rsid w:val="06285B15"/>
    <w:rsid w:val="062A8CF6"/>
    <w:rsid w:val="062AC145"/>
    <w:rsid w:val="062ADEE1"/>
    <w:rsid w:val="062C49A5"/>
    <w:rsid w:val="062D9C96"/>
    <w:rsid w:val="062DC617"/>
    <w:rsid w:val="0632DB7E"/>
    <w:rsid w:val="063493CB"/>
    <w:rsid w:val="0639F4D2"/>
    <w:rsid w:val="063A0E5C"/>
    <w:rsid w:val="063B21A0"/>
    <w:rsid w:val="063C012F"/>
    <w:rsid w:val="063CB9B0"/>
    <w:rsid w:val="06410CC6"/>
    <w:rsid w:val="0642DF29"/>
    <w:rsid w:val="0643122B"/>
    <w:rsid w:val="0643F655"/>
    <w:rsid w:val="064608DE"/>
    <w:rsid w:val="0646AA4F"/>
    <w:rsid w:val="064A6B2A"/>
    <w:rsid w:val="064AA0CC"/>
    <w:rsid w:val="064ACCCD"/>
    <w:rsid w:val="064E5C28"/>
    <w:rsid w:val="065037F7"/>
    <w:rsid w:val="0650BBCA"/>
    <w:rsid w:val="0651AE78"/>
    <w:rsid w:val="0651C8C0"/>
    <w:rsid w:val="06521465"/>
    <w:rsid w:val="065896FC"/>
    <w:rsid w:val="06596771"/>
    <w:rsid w:val="06596AD1"/>
    <w:rsid w:val="0659C85D"/>
    <w:rsid w:val="065B8E97"/>
    <w:rsid w:val="06663D52"/>
    <w:rsid w:val="066B2AB6"/>
    <w:rsid w:val="066BE940"/>
    <w:rsid w:val="066DBA08"/>
    <w:rsid w:val="066EF839"/>
    <w:rsid w:val="067157F8"/>
    <w:rsid w:val="067384F7"/>
    <w:rsid w:val="0673E23F"/>
    <w:rsid w:val="067576BE"/>
    <w:rsid w:val="067621B5"/>
    <w:rsid w:val="067928A6"/>
    <w:rsid w:val="067974C8"/>
    <w:rsid w:val="067A7C06"/>
    <w:rsid w:val="067ADB20"/>
    <w:rsid w:val="067C4A95"/>
    <w:rsid w:val="067C5552"/>
    <w:rsid w:val="067D9FE3"/>
    <w:rsid w:val="067FE4C0"/>
    <w:rsid w:val="06802D92"/>
    <w:rsid w:val="06854E0F"/>
    <w:rsid w:val="068AE078"/>
    <w:rsid w:val="068B2CE5"/>
    <w:rsid w:val="068BCD91"/>
    <w:rsid w:val="068CE486"/>
    <w:rsid w:val="068E9E42"/>
    <w:rsid w:val="068F4976"/>
    <w:rsid w:val="06976BC6"/>
    <w:rsid w:val="069830A7"/>
    <w:rsid w:val="0699254F"/>
    <w:rsid w:val="069B1101"/>
    <w:rsid w:val="069B2CE4"/>
    <w:rsid w:val="069B4EC2"/>
    <w:rsid w:val="069C2CF6"/>
    <w:rsid w:val="069C7175"/>
    <w:rsid w:val="069D298D"/>
    <w:rsid w:val="069DA68A"/>
    <w:rsid w:val="069DBDBA"/>
    <w:rsid w:val="069F309E"/>
    <w:rsid w:val="06A00A1D"/>
    <w:rsid w:val="06A14A5D"/>
    <w:rsid w:val="06A1E83C"/>
    <w:rsid w:val="06A2759C"/>
    <w:rsid w:val="06A46841"/>
    <w:rsid w:val="06A64E08"/>
    <w:rsid w:val="06A664C7"/>
    <w:rsid w:val="06AA4733"/>
    <w:rsid w:val="06AF0E3D"/>
    <w:rsid w:val="06AF60AA"/>
    <w:rsid w:val="06AFE04D"/>
    <w:rsid w:val="06B065E2"/>
    <w:rsid w:val="06B12D54"/>
    <w:rsid w:val="06B14714"/>
    <w:rsid w:val="06B37903"/>
    <w:rsid w:val="06B445AA"/>
    <w:rsid w:val="06B47DBF"/>
    <w:rsid w:val="06B4C6F4"/>
    <w:rsid w:val="06B6ABA5"/>
    <w:rsid w:val="06B853AB"/>
    <w:rsid w:val="06B9CDC6"/>
    <w:rsid w:val="06BA1161"/>
    <w:rsid w:val="06BAE0FD"/>
    <w:rsid w:val="06BF4397"/>
    <w:rsid w:val="06C14DD7"/>
    <w:rsid w:val="06C37757"/>
    <w:rsid w:val="06C497A9"/>
    <w:rsid w:val="06C4FAFB"/>
    <w:rsid w:val="06C60ECB"/>
    <w:rsid w:val="06C822DF"/>
    <w:rsid w:val="06C867CC"/>
    <w:rsid w:val="06C8D849"/>
    <w:rsid w:val="06C9BD9F"/>
    <w:rsid w:val="06C9C094"/>
    <w:rsid w:val="06CAD88D"/>
    <w:rsid w:val="06CC5064"/>
    <w:rsid w:val="06CC685D"/>
    <w:rsid w:val="06CF872B"/>
    <w:rsid w:val="06D39B9B"/>
    <w:rsid w:val="06D42DE4"/>
    <w:rsid w:val="06D43F92"/>
    <w:rsid w:val="06D8B3B9"/>
    <w:rsid w:val="06DD5ACE"/>
    <w:rsid w:val="06DE225D"/>
    <w:rsid w:val="06DE54F3"/>
    <w:rsid w:val="06E039B4"/>
    <w:rsid w:val="06E13732"/>
    <w:rsid w:val="06E179F4"/>
    <w:rsid w:val="06E44CF7"/>
    <w:rsid w:val="06E81AF2"/>
    <w:rsid w:val="06ED86A0"/>
    <w:rsid w:val="06EF8C7F"/>
    <w:rsid w:val="06F05552"/>
    <w:rsid w:val="06F09AEC"/>
    <w:rsid w:val="06F30D9A"/>
    <w:rsid w:val="06F4ED0C"/>
    <w:rsid w:val="06F628FA"/>
    <w:rsid w:val="06F7EB4E"/>
    <w:rsid w:val="06F85A2B"/>
    <w:rsid w:val="06F8637D"/>
    <w:rsid w:val="06FA266E"/>
    <w:rsid w:val="06FB650A"/>
    <w:rsid w:val="06FDADD0"/>
    <w:rsid w:val="06FEAB20"/>
    <w:rsid w:val="06FF7C21"/>
    <w:rsid w:val="0701D74E"/>
    <w:rsid w:val="0701DAA1"/>
    <w:rsid w:val="07022A97"/>
    <w:rsid w:val="070438B1"/>
    <w:rsid w:val="070AA000"/>
    <w:rsid w:val="070BCD42"/>
    <w:rsid w:val="070BD3DB"/>
    <w:rsid w:val="070EAE3D"/>
    <w:rsid w:val="070F7DCA"/>
    <w:rsid w:val="07196E82"/>
    <w:rsid w:val="071D57FA"/>
    <w:rsid w:val="071F2BFD"/>
    <w:rsid w:val="0720B3AE"/>
    <w:rsid w:val="0721130F"/>
    <w:rsid w:val="072280AC"/>
    <w:rsid w:val="07292250"/>
    <w:rsid w:val="07295A7A"/>
    <w:rsid w:val="072B42EF"/>
    <w:rsid w:val="072E9A07"/>
    <w:rsid w:val="073090FC"/>
    <w:rsid w:val="0732746E"/>
    <w:rsid w:val="07334AEC"/>
    <w:rsid w:val="0733F638"/>
    <w:rsid w:val="07341688"/>
    <w:rsid w:val="0735AF74"/>
    <w:rsid w:val="07372259"/>
    <w:rsid w:val="07383E40"/>
    <w:rsid w:val="0738B5EB"/>
    <w:rsid w:val="073CE3D2"/>
    <w:rsid w:val="073DA116"/>
    <w:rsid w:val="073EC721"/>
    <w:rsid w:val="073F7DE4"/>
    <w:rsid w:val="07403A6B"/>
    <w:rsid w:val="074401D4"/>
    <w:rsid w:val="07447F1D"/>
    <w:rsid w:val="0744D928"/>
    <w:rsid w:val="0747D6EF"/>
    <w:rsid w:val="07488C0F"/>
    <w:rsid w:val="074A512C"/>
    <w:rsid w:val="074AE4B6"/>
    <w:rsid w:val="074C3835"/>
    <w:rsid w:val="074C4F6B"/>
    <w:rsid w:val="07548DA3"/>
    <w:rsid w:val="075B2210"/>
    <w:rsid w:val="075BD89D"/>
    <w:rsid w:val="075E044B"/>
    <w:rsid w:val="075F4929"/>
    <w:rsid w:val="075F5136"/>
    <w:rsid w:val="07618A07"/>
    <w:rsid w:val="0763EC3E"/>
    <w:rsid w:val="07641E17"/>
    <w:rsid w:val="076EE5AE"/>
    <w:rsid w:val="0770015B"/>
    <w:rsid w:val="07701185"/>
    <w:rsid w:val="077164CB"/>
    <w:rsid w:val="07733BB7"/>
    <w:rsid w:val="0774CDA1"/>
    <w:rsid w:val="0776BD37"/>
    <w:rsid w:val="077761B7"/>
    <w:rsid w:val="0777D93A"/>
    <w:rsid w:val="077A2444"/>
    <w:rsid w:val="077C2B64"/>
    <w:rsid w:val="077C6C3B"/>
    <w:rsid w:val="077C7BE5"/>
    <w:rsid w:val="077DC847"/>
    <w:rsid w:val="077DEBA6"/>
    <w:rsid w:val="077E4E85"/>
    <w:rsid w:val="077E99E8"/>
    <w:rsid w:val="0781799B"/>
    <w:rsid w:val="0782056C"/>
    <w:rsid w:val="0782DBDE"/>
    <w:rsid w:val="07834622"/>
    <w:rsid w:val="0786C7D9"/>
    <w:rsid w:val="0786DD8A"/>
    <w:rsid w:val="0788411E"/>
    <w:rsid w:val="0788F8C8"/>
    <w:rsid w:val="078BFFBB"/>
    <w:rsid w:val="078C66BB"/>
    <w:rsid w:val="078D5A67"/>
    <w:rsid w:val="078E02DD"/>
    <w:rsid w:val="078E0ECF"/>
    <w:rsid w:val="078F2FBE"/>
    <w:rsid w:val="07912CC2"/>
    <w:rsid w:val="0792D620"/>
    <w:rsid w:val="0793E58D"/>
    <w:rsid w:val="07941DA1"/>
    <w:rsid w:val="0797B3E1"/>
    <w:rsid w:val="079BB301"/>
    <w:rsid w:val="079BFEE1"/>
    <w:rsid w:val="079CB855"/>
    <w:rsid w:val="079DCE09"/>
    <w:rsid w:val="079F8E6F"/>
    <w:rsid w:val="07A05708"/>
    <w:rsid w:val="07A0EFE8"/>
    <w:rsid w:val="07A6BA35"/>
    <w:rsid w:val="07A7C403"/>
    <w:rsid w:val="07AAC745"/>
    <w:rsid w:val="07ABAFD8"/>
    <w:rsid w:val="07AC8FC5"/>
    <w:rsid w:val="07AFCEDA"/>
    <w:rsid w:val="07B11F19"/>
    <w:rsid w:val="07B22BF1"/>
    <w:rsid w:val="07B26DE8"/>
    <w:rsid w:val="07B3FC82"/>
    <w:rsid w:val="07B9293A"/>
    <w:rsid w:val="07BAF7CB"/>
    <w:rsid w:val="07BF690E"/>
    <w:rsid w:val="07C00B3A"/>
    <w:rsid w:val="07C35D21"/>
    <w:rsid w:val="07C442DA"/>
    <w:rsid w:val="07C47307"/>
    <w:rsid w:val="07C6DFF0"/>
    <w:rsid w:val="07C9ACBE"/>
    <w:rsid w:val="07CAC418"/>
    <w:rsid w:val="07CAD83E"/>
    <w:rsid w:val="07CD1FAF"/>
    <w:rsid w:val="07CD2A9E"/>
    <w:rsid w:val="07D2AD60"/>
    <w:rsid w:val="07D2F733"/>
    <w:rsid w:val="07D3AD93"/>
    <w:rsid w:val="07D4D848"/>
    <w:rsid w:val="07D70B23"/>
    <w:rsid w:val="07D787BB"/>
    <w:rsid w:val="07D7C7A2"/>
    <w:rsid w:val="07D8A9C7"/>
    <w:rsid w:val="07DB0686"/>
    <w:rsid w:val="07DB18E6"/>
    <w:rsid w:val="07DB480B"/>
    <w:rsid w:val="07DBC2AE"/>
    <w:rsid w:val="07DC075B"/>
    <w:rsid w:val="07DC42DA"/>
    <w:rsid w:val="07DCF92D"/>
    <w:rsid w:val="07DFFBD0"/>
    <w:rsid w:val="07E04F5B"/>
    <w:rsid w:val="07E2F19F"/>
    <w:rsid w:val="07E3AC25"/>
    <w:rsid w:val="07E57224"/>
    <w:rsid w:val="07E6CBAA"/>
    <w:rsid w:val="07E8835C"/>
    <w:rsid w:val="07E960A6"/>
    <w:rsid w:val="07E9D307"/>
    <w:rsid w:val="07EBACB6"/>
    <w:rsid w:val="07ECAFD2"/>
    <w:rsid w:val="07F04C5E"/>
    <w:rsid w:val="07F1DD74"/>
    <w:rsid w:val="07F2E661"/>
    <w:rsid w:val="07F6C10E"/>
    <w:rsid w:val="07F71B43"/>
    <w:rsid w:val="07F8A01D"/>
    <w:rsid w:val="07FA8CA7"/>
    <w:rsid w:val="07FB91C0"/>
    <w:rsid w:val="07FC10DF"/>
    <w:rsid w:val="07FDF0B8"/>
    <w:rsid w:val="07FE37EC"/>
    <w:rsid w:val="07FFFBEA"/>
    <w:rsid w:val="08013B07"/>
    <w:rsid w:val="08019339"/>
    <w:rsid w:val="0801F66A"/>
    <w:rsid w:val="08020295"/>
    <w:rsid w:val="0804957C"/>
    <w:rsid w:val="0805373F"/>
    <w:rsid w:val="0805E3E6"/>
    <w:rsid w:val="0805ECAB"/>
    <w:rsid w:val="0805F810"/>
    <w:rsid w:val="08063E2E"/>
    <w:rsid w:val="080839D5"/>
    <w:rsid w:val="08092B41"/>
    <w:rsid w:val="080A3F25"/>
    <w:rsid w:val="080A6C23"/>
    <w:rsid w:val="080B4582"/>
    <w:rsid w:val="080D13A3"/>
    <w:rsid w:val="080F9D6A"/>
    <w:rsid w:val="081037F6"/>
    <w:rsid w:val="0814CCB5"/>
    <w:rsid w:val="08159179"/>
    <w:rsid w:val="0815DB71"/>
    <w:rsid w:val="08177929"/>
    <w:rsid w:val="081B805C"/>
    <w:rsid w:val="081DB678"/>
    <w:rsid w:val="081E5624"/>
    <w:rsid w:val="081ED267"/>
    <w:rsid w:val="081F5F36"/>
    <w:rsid w:val="08237045"/>
    <w:rsid w:val="0826C80D"/>
    <w:rsid w:val="08279842"/>
    <w:rsid w:val="082A3990"/>
    <w:rsid w:val="082E48A5"/>
    <w:rsid w:val="082EBDA5"/>
    <w:rsid w:val="08320AD2"/>
    <w:rsid w:val="08328286"/>
    <w:rsid w:val="0832EE21"/>
    <w:rsid w:val="0833D504"/>
    <w:rsid w:val="083512F7"/>
    <w:rsid w:val="08357F6C"/>
    <w:rsid w:val="0835D3DD"/>
    <w:rsid w:val="0836B342"/>
    <w:rsid w:val="0837CA36"/>
    <w:rsid w:val="083A51BF"/>
    <w:rsid w:val="083AD1D3"/>
    <w:rsid w:val="083B7561"/>
    <w:rsid w:val="083B829A"/>
    <w:rsid w:val="0841780D"/>
    <w:rsid w:val="08417A92"/>
    <w:rsid w:val="08423E1D"/>
    <w:rsid w:val="084319B1"/>
    <w:rsid w:val="08441065"/>
    <w:rsid w:val="08470E2C"/>
    <w:rsid w:val="08493FCE"/>
    <w:rsid w:val="084A624B"/>
    <w:rsid w:val="084BDC3F"/>
    <w:rsid w:val="084CC8D5"/>
    <w:rsid w:val="084D1473"/>
    <w:rsid w:val="084E77B3"/>
    <w:rsid w:val="084FFBB2"/>
    <w:rsid w:val="0851A386"/>
    <w:rsid w:val="0851E530"/>
    <w:rsid w:val="085240DF"/>
    <w:rsid w:val="08543042"/>
    <w:rsid w:val="08548829"/>
    <w:rsid w:val="0858EE0F"/>
    <w:rsid w:val="085B32D8"/>
    <w:rsid w:val="085DAA26"/>
    <w:rsid w:val="085DF31D"/>
    <w:rsid w:val="08618517"/>
    <w:rsid w:val="0863196D"/>
    <w:rsid w:val="08632CA0"/>
    <w:rsid w:val="0865875A"/>
    <w:rsid w:val="08660F26"/>
    <w:rsid w:val="0867A8F2"/>
    <w:rsid w:val="08680C31"/>
    <w:rsid w:val="0869729D"/>
    <w:rsid w:val="086A94C2"/>
    <w:rsid w:val="086F0E40"/>
    <w:rsid w:val="087093BB"/>
    <w:rsid w:val="08715781"/>
    <w:rsid w:val="08769F7B"/>
    <w:rsid w:val="0878E3C9"/>
    <w:rsid w:val="087B3C0D"/>
    <w:rsid w:val="087B7FE7"/>
    <w:rsid w:val="087BCBA7"/>
    <w:rsid w:val="087CB7E9"/>
    <w:rsid w:val="087CC2E0"/>
    <w:rsid w:val="087FDFE3"/>
    <w:rsid w:val="08817EFF"/>
    <w:rsid w:val="0882826D"/>
    <w:rsid w:val="0882B7AD"/>
    <w:rsid w:val="088397A6"/>
    <w:rsid w:val="0884E106"/>
    <w:rsid w:val="088AC011"/>
    <w:rsid w:val="088AE2B3"/>
    <w:rsid w:val="088C94D3"/>
    <w:rsid w:val="089001C5"/>
    <w:rsid w:val="0890E0B4"/>
    <w:rsid w:val="08917653"/>
    <w:rsid w:val="0893B4C2"/>
    <w:rsid w:val="0894DF7C"/>
    <w:rsid w:val="089551D4"/>
    <w:rsid w:val="0896A843"/>
    <w:rsid w:val="0896B683"/>
    <w:rsid w:val="08973D3E"/>
    <w:rsid w:val="089A1463"/>
    <w:rsid w:val="089D25D6"/>
    <w:rsid w:val="089DB8EC"/>
    <w:rsid w:val="089F26B3"/>
    <w:rsid w:val="08A01096"/>
    <w:rsid w:val="08A2C93A"/>
    <w:rsid w:val="08A519C5"/>
    <w:rsid w:val="08A63636"/>
    <w:rsid w:val="08A67D9A"/>
    <w:rsid w:val="08A6A20A"/>
    <w:rsid w:val="08A85E8D"/>
    <w:rsid w:val="08AB8890"/>
    <w:rsid w:val="08AC1BCC"/>
    <w:rsid w:val="08AC8BA7"/>
    <w:rsid w:val="08AD215F"/>
    <w:rsid w:val="08AE03FD"/>
    <w:rsid w:val="08AFDBED"/>
    <w:rsid w:val="08B2531C"/>
    <w:rsid w:val="08B558BB"/>
    <w:rsid w:val="08B5C91C"/>
    <w:rsid w:val="08B6817E"/>
    <w:rsid w:val="08B6831F"/>
    <w:rsid w:val="08BC3C96"/>
    <w:rsid w:val="08BC4483"/>
    <w:rsid w:val="08BDF031"/>
    <w:rsid w:val="08BFD4FB"/>
    <w:rsid w:val="08C23C82"/>
    <w:rsid w:val="08C815EA"/>
    <w:rsid w:val="08C9E016"/>
    <w:rsid w:val="08CAFDAD"/>
    <w:rsid w:val="08CDBA90"/>
    <w:rsid w:val="08CE9000"/>
    <w:rsid w:val="08CFF705"/>
    <w:rsid w:val="08D66E04"/>
    <w:rsid w:val="08D6F971"/>
    <w:rsid w:val="08D721D4"/>
    <w:rsid w:val="08D98F8B"/>
    <w:rsid w:val="08DD975E"/>
    <w:rsid w:val="08E07E3C"/>
    <w:rsid w:val="08E241A7"/>
    <w:rsid w:val="08E6EC1E"/>
    <w:rsid w:val="08E9A9D7"/>
    <w:rsid w:val="08E9AB49"/>
    <w:rsid w:val="08EACDAB"/>
    <w:rsid w:val="08EB6097"/>
    <w:rsid w:val="08EF7A7A"/>
    <w:rsid w:val="08EFF23E"/>
    <w:rsid w:val="08F0B933"/>
    <w:rsid w:val="08F1CCF4"/>
    <w:rsid w:val="08F2C334"/>
    <w:rsid w:val="08F2E377"/>
    <w:rsid w:val="08F38EB6"/>
    <w:rsid w:val="08F85F4D"/>
    <w:rsid w:val="08FB496B"/>
    <w:rsid w:val="08FC31CE"/>
    <w:rsid w:val="08FC40B7"/>
    <w:rsid w:val="08FE7F90"/>
    <w:rsid w:val="08FF7BC7"/>
    <w:rsid w:val="09000574"/>
    <w:rsid w:val="0900C0A7"/>
    <w:rsid w:val="09041E5F"/>
    <w:rsid w:val="09057421"/>
    <w:rsid w:val="0906A019"/>
    <w:rsid w:val="0907C93D"/>
    <w:rsid w:val="090A6CE0"/>
    <w:rsid w:val="090C83EB"/>
    <w:rsid w:val="090EFD20"/>
    <w:rsid w:val="090F29CA"/>
    <w:rsid w:val="0910BB50"/>
    <w:rsid w:val="0911D2D0"/>
    <w:rsid w:val="09124F9E"/>
    <w:rsid w:val="09135084"/>
    <w:rsid w:val="0916BEA7"/>
    <w:rsid w:val="09175E88"/>
    <w:rsid w:val="0918391B"/>
    <w:rsid w:val="0919051A"/>
    <w:rsid w:val="091C593E"/>
    <w:rsid w:val="091D0A91"/>
    <w:rsid w:val="091E4ABE"/>
    <w:rsid w:val="091EC1C2"/>
    <w:rsid w:val="091F8C23"/>
    <w:rsid w:val="09210FC0"/>
    <w:rsid w:val="0921150C"/>
    <w:rsid w:val="0922A838"/>
    <w:rsid w:val="09240B52"/>
    <w:rsid w:val="092A0B0B"/>
    <w:rsid w:val="092AB8DC"/>
    <w:rsid w:val="092DCE1D"/>
    <w:rsid w:val="092DDA11"/>
    <w:rsid w:val="092EBA53"/>
    <w:rsid w:val="09309661"/>
    <w:rsid w:val="093113DF"/>
    <w:rsid w:val="093365F9"/>
    <w:rsid w:val="09352968"/>
    <w:rsid w:val="09363977"/>
    <w:rsid w:val="0937348A"/>
    <w:rsid w:val="093B4B30"/>
    <w:rsid w:val="093C58CF"/>
    <w:rsid w:val="093CEF06"/>
    <w:rsid w:val="093CFF8B"/>
    <w:rsid w:val="093F07AC"/>
    <w:rsid w:val="093FE0FD"/>
    <w:rsid w:val="09427031"/>
    <w:rsid w:val="0944948D"/>
    <w:rsid w:val="094668B4"/>
    <w:rsid w:val="0947A2F2"/>
    <w:rsid w:val="0947F472"/>
    <w:rsid w:val="0948756F"/>
    <w:rsid w:val="09490C61"/>
    <w:rsid w:val="094911C1"/>
    <w:rsid w:val="094A5401"/>
    <w:rsid w:val="094A80D5"/>
    <w:rsid w:val="094C670C"/>
    <w:rsid w:val="094D0880"/>
    <w:rsid w:val="094D4F4C"/>
    <w:rsid w:val="0951CB7E"/>
    <w:rsid w:val="095717FD"/>
    <w:rsid w:val="0958952B"/>
    <w:rsid w:val="0958DB19"/>
    <w:rsid w:val="09592AF2"/>
    <w:rsid w:val="09598C75"/>
    <w:rsid w:val="095B18F5"/>
    <w:rsid w:val="095D8F8E"/>
    <w:rsid w:val="095DB9D1"/>
    <w:rsid w:val="095E7615"/>
    <w:rsid w:val="09666B06"/>
    <w:rsid w:val="09670439"/>
    <w:rsid w:val="09692532"/>
    <w:rsid w:val="096A0394"/>
    <w:rsid w:val="096E5EB4"/>
    <w:rsid w:val="096F4EBA"/>
    <w:rsid w:val="0971FAFD"/>
    <w:rsid w:val="0973262C"/>
    <w:rsid w:val="09753FCC"/>
    <w:rsid w:val="097592C1"/>
    <w:rsid w:val="09778501"/>
    <w:rsid w:val="097937BA"/>
    <w:rsid w:val="0979FAB1"/>
    <w:rsid w:val="097D9323"/>
    <w:rsid w:val="097F8345"/>
    <w:rsid w:val="0982692A"/>
    <w:rsid w:val="09832ACF"/>
    <w:rsid w:val="09844E4E"/>
    <w:rsid w:val="09872128"/>
    <w:rsid w:val="09876616"/>
    <w:rsid w:val="098DC61A"/>
    <w:rsid w:val="098E81BE"/>
    <w:rsid w:val="09913FB8"/>
    <w:rsid w:val="09921487"/>
    <w:rsid w:val="09922C35"/>
    <w:rsid w:val="0995332C"/>
    <w:rsid w:val="09997545"/>
    <w:rsid w:val="099F2C26"/>
    <w:rsid w:val="099F5032"/>
    <w:rsid w:val="09A06567"/>
    <w:rsid w:val="09A07FA5"/>
    <w:rsid w:val="09A1B22C"/>
    <w:rsid w:val="09A2573C"/>
    <w:rsid w:val="09A26AED"/>
    <w:rsid w:val="09A3EDCE"/>
    <w:rsid w:val="09A41F24"/>
    <w:rsid w:val="09A55CA4"/>
    <w:rsid w:val="09A95A0F"/>
    <w:rsid w:val="09A9FFD2"/>
    <w:rsid w:val="09AC3343"/>
    <w:rsid w:val="09AD39A9"/>
    <w:rsid w:val="09AF07D7"/>
    <w:rsid w:val="09B30234"/>
    <w:rsid w:val="09B66A20"/>
    <w:rsid w:val="09B88D20"/>
    <w:rsid w:val="09B9AE53"/>
    <w:rsid w:val="09BB4C9B"/>
    <w:rsid w:val="09C20FD9"/>
    <w:rsid w:val="09C2AD4E"/>
    <w:rsid w:val="09C3C108"/>
    <w:rsid w:val="09C3D042"/>
    <w:rsid w:val="09C71AEE"/>
    <w:rsid w:val="09C778D7"/>
    <w:rsid w:val="09C7C54E"/>
    <w:rsid w:val="09C80239"/>
    <w:rsid w:val="09C8D5F4"/>
    <w:rsid w:val="09C8D9D6"/>
    <w:rsid w:val="09CC2737"/>
    <w:rsid w:val="09CDCB7E"/>
    <w:rsid w:val="09CE4B3A"/>
    <w:rsid w:val="09CEBE44"/>
    <w:rsid w:val="09CF2B36"/>
    <w:rsid w:val="09D001C7"/>
    <w:rsid w:val="09D1E323"/>
    <w:rsid w:val="09D23D17"/>
    <w:rsid w:val="09D283A3"/>
    <w:rsid w:val="09D3F91D"/>
    <w:rsid w:val="09D8424B"/>
    <w:rsid w:val="09DCD11F"/>
    <w:rsid w:val="09DDEF82"/>
    <w:rsid w:val="09E00556"/>
    <w:rsid w:val="09E0456D"/>
    <w:rsid w:val="09E21C1A"/>
    <w:rsid w:val="09E2A7EB"/>
    <w:rsid w:val="09E2B4C6"/>
    <w:rsid w:val="09E2FC84"/>
    <w:rsid w:val="09E483EB"/>
    <w:rsid w:val="09E4A236"/>
    <w:rsid w:val="09E52199"/>
    <w:rsid w:val="09E60169"/>
    <w:rsid w:val="09E797D5"/>
    <w:rsid w:val="09E7C8B8"/>
    <w:rsid w:val="09EBBC4A"/>
    <w:rsid w:val="09ECD90B"/>
    <w:rsid w:val="09ED7937"/>
    <w:rsid w:val="09EF2EF3"/>
    <w:rsid w:val="09F16ECB"/>
    <w:rsid w:val="09F3E6E1"/>
    <w:rsid w:val="09F486DD"/>
    <w:rsid w:val="09F78E37"/>
    <w:rsid w:val="09FA7467"/>
    <w:rsid w:val="09FB329C"/>
    <w:rsid w:val="09FC9C86"/>
    <w:rsid w:val="09FD84EC"/>
    <w:rsid w:val="0A012DCA"/>
    <w:rsid w:val="0A017056"/>
    <w:rsid w:val="0A07105B"/>
    <w:rsid w:val="0A074A97"/>
    <w:rsid w:val="0A082D13"/>
    <w:rsid w:val="0A08859E"/>
    <w:rsid w:val="0A0BFC0E"/>
    <w:rsid w:val="0A0CB2A1"/>
    <w:rsid w:val="0A0D58B0"/>
    <w:rsid w:val="0A1039E6"/>
    <w:rsid w:val="0A1250C3"/>
    <w:rsid w:val="0A14B84B"/>
    <w:rsid w:val="0A14DAEF"/>
    <w:rsid w:val="0A157270"/>
    <w:rsid w:val="0A157EF2"/>
    <w:rsid w:val="0A16CE67"/>
    <w:rsid w:val="0A1C8459"/>
    <w:rsid w:val="0A1D2C18"/>
    <w:rsid w:val="0A1E52CE"/>
    <w:rsid w:val="0A1F14AF"/>
    <w:rsid w:val="0A1F1AB4"/>
    <w:rsid w:val="0A227701"/>
    <w:rsid w:val="0A23F0D3"/>
    <w:rsid w:val="0A25641D"/>
    <w:rsid w:val="0A26587F"/>
    <w:rsid w:val="0A26B251"/>
    <w:rsid w:val="0A293815"/>
    <w:rsid w:val="0A2ACA43"/>
    <w:rsid w:val="0A2C4E74"/>
    <w:rsid w:val="0A2E0640"/>
    <w:rsid w:val="0A308F2A"/>
    <w:rsid w:val="0A313030"/>
    <w:rsid w:val="0A3243EB"/>
    <w:rsid w:val="0A341D13"/>
    <w:rsid w:val="0A385E6B"/>
    <w:rsid w:val="0A3B2198"/>
    <w:rsid w:val="0A3D1DC5"/>
    <w:rsid w:val="0A3DB08C"/>
    <w:rsid w:val="0A402A12"/>
    <w:rsid w:val="0A4034A5"/>
    <w:rsid w:val="0A43A096"/>
    <w:rsid w:val="0A44A38D"/>
    <w:rsid w:val="0A4618BE"/>
    <w:rsid w:val="0A474BAF"/>
    <w:rsid w:val="0A483C98"/>
    <w:rsid w:val="0A49331D"/>
    <w:rsid w:val="0A4961A7"/>
    <w:rsid w:val="0A4A0DF2"/>
    <w:rsid w:val="0A4BF935"/>
    <w:rsid w:val="0A4E0556"/>
    <w:rsid w:val="0A4FC6C5"/>
    <w:rsid w:val="0A51047D"/>
    <w:rsid w:val="0A516C51"/>
    <w:rsid w:val="0A539621"/>
    <w:rsid w:val="0A54C1A4"/>
    <w:rsid w:val="0A58E5A7"/>
    <w:rsid w:val="0A58E646"/>
    <w:rsid w:val="0A597D26"/>
    <w:rsid w:val="0A5A93DB"/>
    <w:rsid w:val="0A5C82DD"/>
    <w:rsid w:val="0A5E63DE"/>
    <w:rsid w:val="0A5E693B"/>
    <w:rsid w:val="0A619A9A"/>
    <w:rsid w:val="0A63DAFD"/>
    <w:rsid w:val="0A648193"/>
    <w:rsid w:val="0A6764E4"/>
    <w:rsid w:val="0A6A8AC3"/>
    <w:rsid w:val="0A6B350F"/>
    <w:rsid w:val="0A6B66E5"/>
    <w:rsid w:val="0A6C78E5"/>
    <w:rsid w:val="0A6CEBAD"/>
    <w:rsid w:val="0A700F9F"/>
    <w:rsid w:val="0A714203"/>
    <w:rsid w:val="0A724D77"/>
    <w:rsid w:val="0A7632CE"/>
    <w:rsid w:val="0A765710"/>
    <w:rsid w:val="0A7EDA90"/>
    <w:rsid w:val="0A81AE27"/>
    <w:rsid w:val="0A8673AC"/>
    <w:rsid w:val="0A87AE4D"/>
    <w:rsid w:val="0A87B992"/>
    <w:rsid w:val="0A87BA0A"/>
    <w:rsid w:val="0A8B263E"/>
    <w:rsid w:val="0A8CBDA0"/>
    <w:rsid w:val="0A8CBF04"/>
    <w:rsid w:val="0A8D3272"/>
    <w:rsid w:val="0A8D943B"/>
    <w:rsid w:val="0A9165FC"/>
    <w:rsid w:val="0A924432"/>
    <w:rsid w:val="0A930C94"/>
    <w:rsid w:val="0A96BCC1"/>
    <w:rsid w:val="0A99AABD"/>
    <w:rsid w:val="0A9A5E96"/>
    <w:rsid w:val="0A9AE783"/>
    <w:rsid w:val="0A9C7A94"/>
    <w:rsid w:val="0A9D80E1"/>
    <w:rsid w:val="0A9E5173"/>
    <w:rsid w:val="0A9F371A"/>
    <w:rsid w:val="0A9FE2BA"/>
    <w:rsid w:val="0AA2ED8E"/>
    <w:rsid w:val="0AA38539"/>
    <w:rsid w:val="0AA3B932"/>
    <w:rsid w:val="0AA3CFE7"/>
    <w:rsid w:val="0AA4C7AA"/>
    <w:rsid w:val="0AA50716"/>
    <w:rsid w:val="0AA87FC4"/>
    <w:rsid w:val="0AAA1C8D"/>
    <w:rsid w:val="0AADC068"/>
    <w:rsid w:val="0AADF822"/>
    <w:rsid w:val="0AAF8506"/>
    <w:rsid w:val="0AB12E5C"/>
    <w:rsid w:val="0AB3F6CC"/>
    <w:rsid w:val="0AB5A2F5"/>
    <w:rsid w:val="0AB67AB5"/>
    <w:rsid w:val="0AB6AAA1"/>
    <w:rsid w:val="0AB6C5E0"/>
    <w:rsid w:val="0AB7E231"/>
    <w:rsid w:val="0AB80E81"/>
    <w:rsid w:val="0ABC4661"/>
    <w:rsid w:val="0ABC6CFF"/>
    <w:rsid w:val="0ABDA5A1"/>
    <w:rsid w:val="0ABF692B"/>
    <w:rsid w:val="0AC26E21"/>
    <w:rsid w:val="0AC34A2F"/>
    <w:rsid w:val="0AC57593"/>
    <w:rsid w:val="0AC669B8"/>
    <w:rsid w:val="0AC91249"/>
    <w:rsid w:val="0ACACC3E"/>
    <w:rsid w:val="0AD08046"/>
    <w:rsid w:val="0AD0DD23"/>
    <w:rsid w:val="0AD27896"/>
    <w:rsid w:val="0AD3D804"/>
    <w:rsid w:val="0AD4FA81"/>
    <w:rsid w:val="0AD53FAD"/>
    <w:rsid w:val="0AD6B531"/>
    <w:rsid w:val="0ADAF823"/>
    <w:rsid w:val="0ADBC997"/>
    <w:rsid w:val="0ADC3C68"/>
    <w:rsid w:val="0AE19534"/>
    <w:rsid w:val="0AE306A8"/>
    <w:rsid w:val="0AE4C30B"/>
    <w:rsid w:val="0AE6CD11"/>
    <w:rsid w:val="0AE8118D"/>
    <w:rsid w:val="0AEB681A"/>
    <w:rsid w:val="0AEC7AC2"/>
    <w:rsid w:val="0AEDA54A"/>
    <w:rsid w:val="0AEDDFBE"/>
    <w:rsid w:val="0AEE9F89"/>
    <w:rsid w:val="0AF0697F"/>
    <w:rsid w:val="0AF0ADFB"/>
    <w:rsid w:val="0AF2AE9A"/>
    <w:rsid w:val="0AF3F837"/>
    <w:rsid w:val="0AF4F1F4"/>
    <w:rsid w:val="0AF5ACBC"/>
    <w:rsid w:val="0AF5DEC0"/>
    <w:rsid w:val="0AF696E3"/>
    <w:rsid w:val="0AF6C8D5"/>
    <w:rsid w:val="0AF87625"/>
    <w:rsid w:val="0AF981FB"/>
    <w:rsid w:val="0AFB457D"/>
    <w:rsid w:val="0AFB5222"/>
    <w:rsid w:val="0AFD3B16"/>
    <w:rsid w:val="0B0042FF"/>
    <w:rsid w:val="0B06C567"/>
    <w:rsid w:val="0B0962B9"/>
    <w:rsid w:val="0B098143"/>
    <w:rsid w:val="0B099B5E"/>
    <w:rsid w:val="0B0B9E84"/>
    <w:rsid w:val="0B0EDCDA"/>
    <w:rsid w:val="0B10C95A"/>
    <w:rsid w:val="0B11B295"/>
    <w:rsid w:val="0B11C6FA"/>
    <w:rsid w:val="0B143C9A"/>
    <w:rsid w:val="0B15EDCF"/>
    <w:rsid w:val="0B16D5C6"/>
    <w:rsid w:val="0B16FBEE"/>
    <w:rsid w:val="0B197E41"/>
    <w:rsid w:val="0B1EB149"/>
    <w:rsid w:val="0B1ECB43"/>
    <w:rsid w:val="0B2481ED"/>
    <w:rsid w:val="0B26E143"/>
    <w:rsid w:val="0B291A88"/>
    <w:rsid w:val="0B291C22"/>
    <w:rsid w:val="0B29F52B"/>
    <w:rsid w:val="0B2F91A2"/>
    <w:rsid w:val="0B300C88"/>
    <w:rsid w:val="0B312D3A"/>
    <w:rsid w:val="0B319D5F"/>
    <w:rsid w:val="0B3397B7"/>
    <w:rsid w:val="0B384C79"/>
    <w:rsid w:val="0B39B8A8"/>
    <w:rsid w:val="0B3AF68B"/>
    <w:rsid w:val="0B3BC247"/>
    <w:rsid w:val="0B3E059F"/>
    <w:rsid w:val="0B3E9765"/>
    <w:rsid w:val="0B40F2B1"/>
    <w:rsid w:val="0B41F4A6"/>
    <w:rsid w:val="0B42E445"/>
    <w:rsid w:val="0B45298C"/>
    <w:rsid w:val="0B45C02A"/>
    <w:rsid w:val="0B466024"/>
    <w:rsid w:val="0B4970D8"/>
    <w:rsid w:val="0B4DF455"/>
    <w:rsid w:val="0B4F56E2"/>
    <w:rsid w:val="0B514C6B"/>
    <w:rsid w:val="0B54A34B"/>
    <w:rsid w:val="0B54F7B1"/>
    <w:rsid w:val="0B59C916"/>
    <w:rsid w:val="0B59FA08"/>
    <w:rsid w:val="0B5EF755"/>
    <w:rsid w:val="0B6104D8"/>
    <w:rsid w:val="0B63B0D9"/>
    <w:rsid w:val="0B665B9B"/>
    <w:rsid w:val="0B68ED71"/>
    <w:rsid w:val="0B691551"/>
    <w:rsid w:val="0B6BB710"/>
    <w:rsid w:val="0B6C3977"/>
    <w:rsid w:val="0B6CC3D1"/>
    <w:rsid w:val="0B719C62"/>
    <w:rsid w:val="0B7236B6"/>
    <w:rsid w:val="0B75DC78"/>
    <w:rsid w:val="0B762766"/>
    <w:rsid w:val="0B770BCE"/>
    <w:rsid w:val="0B776A80"/>
    <w:rsid w:val="0B78DF91"/>
    <w:rsid w:val="0B7CB642"/>
    <w:rsid w:val="0B7DEA8B"/>
    <w:rsid w:val="0B7FB33B"/>
    <w:rsid w:val="0B800E7D"/>
    <w:rsid w:val="0B826973"/>
    <w:rsid w:val="0B8325F5"/>
    <w:rsid w:val="0B83D85A"/>
    <w:rsid w:val="0B84E238"/>
    <w:rsid w:val="0B8716E2"/>
    <w:rsid w:val="0B8795EE"/>
    <w:rsid w:val="0B890E66"/>
    <w:rsid w:val="0B8C166B"/>
    <w:rsid w:val="0B8D12FF"/>
    <w:rsid w:val="0B8DF57A"/>
    <w:rsid w:val="0B8F23E2"/>
    <w:rsid w:val="0B90034E"/>
    <w:rsid w:val="0B932F5B"/>
    <w:rsid w:val="0B938FD6"/>
    <w:rsid w:val="0B93EE7F"/>
    <w:rsid w:val="0B93F381"/>
    <w:rsid w:val="0B943237"/>
    <w:rsid w:val="0B945A7B"/>
    <w:rsid w:val="0B9496B9"/>
    <w:rsid w:val="0B96D20C"/>
    <w:rsid w:val="0B97C3D6"/>
    <w:rsid w:val="0B98E3A2"/>
    <w:rsid w:val="0B992D01"/>
    <w:rsid w:val="0B99AD05"/>
    <w:rsid w:val="0B9A873A"/>
    <w:rsid w:val="0B9AB7B0"/>
    <w:rsid w:val="0B9B9BFE"/>
    <w:rsid w:val="0B9BE27D"/>
    <w:rsid w:val="0B9C67D6"/>
    <w:rsid w:val="0B9FFCD4"/>
    <w:rsid w:val="0BA0E9A5"/>
    <w:rsid w:val="0BA55444"/>
    <w:rsid w:val="0BA5A658"/>
    <w:rsid w:val="0BA6E133"/>
    <w:rsid w:val="0BA81A35"/>
    <w:rsid w:val="0BAF20DB"/>
    <w:rsid w:val="0BB3A806"/>
    <w:rsid w:val="0BB5D90F"/>
    <w:rsid w:val="0BB894C3"/>
    <w:rsid w:val="0BB9E77A"/>
    <w:rsid w:val="0BBB8C2B"/>
    <w:rsid w:val="0BBBFEC7"/>
    <w:rsid w:val="0BBCF219"/>
    <w:rsid w:val="0BBDC532"/>
    <w:rsid w:val="0BBDE62C"/>
    <w:rsid w:val="0BBF338F"/>
    <w:rsid w:val="0BBF59FC"/>
    <w:rsid w:val="0BBF82E8"/>
    <w:rsid w:val="0BC10EC1"/>
    <w:rsid w:val="0BC1429F"/>
    <w:rsid w:val="0BC1FC5F"/>
    <w:rsid w:val="0BC3D8FB"/>
    <w:rsid w:val="0BC6C5DC"/>
    <w:rsid w:val="0BC7A863"/>
    <w:rsid w:val="0BC7B63F"/>
    <w:rsid w:val="0BC82E02"/>
    <w:rsid w:val="0BC94ABA"/>
    <w:rsid w:val="0BCA6005"/>
    <w:rsid w:val="0BCCECDE"/>
    <w:rsid w:val="0BCF1E34"/>
    <w:rsid w:val="0BD1B060"/>
    <w:rsid w:val="0BD46B69"/>
    <w:rsid w:val="0BD5F647"/>
    <w:rsid w:val="0BD874E2"/>
    <w:rsid w:val="0BD9B4A6"/>
    <w:rsid w:val="0BDB6954"/>
    <w:rsid w:val="0BDB6F09"/>
    <w:rsid w:val="0BE2747A"/>
    <w:rsid w:val="0BE2B6D9"/>
    <w:rsid w:val="0BE7A201"/>
    <w:rsid w:val="0BE94668"/>
    <w:rsid w:val="0BEA31B7"/>
    <w:rsid w:val="0BEB0262"/>
    <w:rsid w:val="0BEBEEFC"/>
    <w:rsid w:val="0BED0C92"/>
    <w:rsid w:val="0BEECDA7"/>
    <w:rsid w:val="0BEF0213"/>
    <w:rsid w:val="0BF294B4"/>
    <w:rsid w:val="0BF4A54E"/>
    <w:rsid w:val="0BF4A5D2"/>
    <w:rsid w:val="0BF7EFD1"/>
    <w:rsid w:val="0BFAFF03"/>
    <w:rsid w:val="0BFD23C9"/>
    <w:rsid w:val="0BFE7335"/>
    <w:rsid w:val="0BFEDAB5"/>
    <w:rsid w:val="0C02798D"/>
    <w:rsid w:val="0C02EAFB"/>
    <w:rsid w:val="0C03978E"/>
    <w:rsid w:val="0C0574D5"/>
    <w:rsid w:val="0C094E70"/>
    <w:rsid w:val="0C095C32"/>
    <w:rsid w:val="0C0DD0C6"/>
    <w:rsid w:val="0C10B7EE"/>
    <w:rsid w:val="0C11610E"/>
    <w:rsid w:val="0C1223C1"/>
    <w:rsid w:val="0C13CDF3"/>
    <w:rsid w:val="0C16692F"/>
    <w:rsid w:val="0C1EA039"/>
    <w:rsid w:val="0C1EC10C"/>
    <w:rsid w:val="0C1F85E3"/>
    <w:rsid w:val="0C20C05E"/>
    <w:rsid w:val="0C2326FD"/>
    <w:rsid w:val="0C233691"/>
    <w:rsid w:val="0C2361D3"/>
    <w:rsid w:val="0C2716FD"/>
    <w:rsid w:val="0C27B9B7"/>
    <w:rsid w:val="0C28D74B"/>
    <w:rsid w:val="0C2AA0B1"/>
    <w:rsid w:val="0C2B8B1F"/>
    <w:rsid w:val="0C2C0445"/>
    <w:rsid w:val="0C2D4D9D"/>
    <w:rsid w:val="0C2D4E47"/>
    <w:rsid w:val="0C2EA4CF"/>
    <w:rsid w:val="0C309FCC"/>
    <w:rsid w:val="0C3128B1"/>
    <w:rsid w:val="0C324E2E"/>
    <w:rsid w:val="0C34CA0F"/>
    <w:rsid w:val="0C355B52"/>
    <w:rsid w:val="0C36E93E"/>
    <w:rsid w:val="0C37BBC9"/>
    <w:rsid w:val="0C3844F5"/>
    <w:rsid w:val="0C3A2675"/>
    <w:rsid w:val="0C3B238E"/>
    <w:rsid w:val="0C3CA5AC"/>
    <w:rsid w:val="0C406193"/>
    <w:rsid w:val="0C40BAA4"/>
    <w:rsid w:val="0C42525C"/>
    <w:rsid w:val="0C4A4D88"/>
    <w:rsid w:val="0C4E1452"/>
    <w:rsid w:val="0C50D0D1"/>
    <w:rsid w:val="0C569FB4"/>
    <w:rsid w:val="0C598857"/>
    <w:rsid w:val="0C5991CC"/>
    <w:rsid w:val="0C5AE678"/>
    <w:rsid w:val="0C5CA2D2"/>
    <w:rsid w:val="0C5CF4F1"/>
    <w:rsid w:val="0C5D2D7E"/>
    <w:rsid w:val="0C5FB42A"/>
    <w:rsid w:val="0C6201DB"/>
    <w:rsid w:val="0C64A248"/>
    <w:rsid w:val="0C64B4AF"/>
    <w:rsid w:val="0C64F80A"/>
    <w:rsid w:val="0C67742A"/>
    <w:rsid w:val="0C692288"/>
    <w:rsid w:val="0C698EB8"/>
    <w:rsid w:val="0C6A9F2C"/>
    <w:rsid w:val="0C6BB99B"/>
    <w:rsid w:val="0C6E30E1"/>
    <w:rsid w:val="0C75D077"/>
    <w:rsid w:val="0C77911E"/>
    <w:rsid w:val="0C7BFDBF"/>
    <w:rsid w:val="0C7DC6A4"/>
    <w:rsid w:val="0C7DF82A"/>
    <w:rsid w:val="0C7FDFB7"/>
    <w:rsid w:val="0C80AD63"/>
    <w:rsid w:val="0C81D4EC"/>
    <w:rsid w:val="0C829429"/>
    <w:rsid w:val="0C874BE6"/>
    <w:rsid w:val="0C881D14"/>
    <w:rsid w:val="0C8A5F98"/>
    <w:rsid w:val="0C8E1950"/>
    <w:rsid w:val="0C924FB6"/>
    <w:rsid w:val="0C92DF31"/>
    <w:rsid w:val="0C939104"/>
    <w:rsid w:val="0C953C54"/>
    <w:rsid w:val="0C95621F"/>
    <w:rsid w:val="0C98308C"/>
    <w:rsid w:val="0C9AC1F4"/>
    <w:rsid w:val="0C9D7EF6"/>
    <w:rsid w:val="0C9DE437"/>
    <w:rsid w:val="0C9E239F"/>
    <w:rsid w:val="0CA32036"/>
    <w:rsid w:val="0CA3FCB3"/>
    <w:rsid w:val="0CA762C1"/>
    <w:rsid w:val="0CA7FB64"/>
    <w:rsid w:val="0CA83A14"/>
    <w:rsid w:val="0CADB41B"/>
    <w:rsid w:val="0CAF353B"/>
    <w:rsid w:val="0CAF6091"/>
    <w:rsid w:val="0CB085D6"/>
    <w:rsid w:val="0CB36447"/>
    <w:rsid w:val="0CB480E2"/>
    <w:rsid w:val="0CB4F7CC"/>
    <w:rsid w:val="0CB64E74"/>
    <w:rsid w:val="0CB77476"/>
    <w:rsid w:val="0CBAA13F"/>
    <w:rsid w:val="0CBB89D1"/>
    <w:rsid w:val="0CBBBB36"/>
    <w:rsid w:val="0CBD4D42"/>
    <w:rsid w:val="0CC38B97"/>
    <w:rsid w:val="0CC46E61"/>
    <w:rsid w:val="0CC6BBC8"/>
    <w:rsid w:val="0CC7407D"/>
    <w:rsid w:val="0CC9423A"/>
    <w:rsid w:val="0CCA3747"/>
    <w:rsid w:val="0CCAD72D"/>
    <w:rsid w:val="0CCC8185"/>
    <w:rsid w:val="0CCE306E"/>
    <w:rsid w:val="0CCE9406"/>
    <w:rsid w:val="0CD00A89"/>
    <w:rsid w:val="0CD2661E"/>
    <w:rsid w:val="0CD312C9"/>
    <w:rsid w:val="0CD424F5"/>
    <w:rsid w:val="0CD5765C"/>
    <w:rsid w:val="0CD77247"/>
    <w:rsid w:val="0CDA0E80"/>
    <w:rsid w:val="0CDAA8B6"/>
    <w:rsid w:val="0CDB6E5F"/>
    <w:rsid w:val="0CE082C8"/>
    <w:rsid w:val="0CE24745"/>
    <w:rsid w:val="0CE32B7A"/>
    <w:rsid w:val="0CE3F022"/>
    <w:rsid w:val="0CE4177E"/>
    <w:rsid w:val="0CE7AAB0"/>
    <w:rsid w:val="0CE7E18D"/>
    <w:rsid w:val="0CEB8111"/>
    <w:rsid w:val="0CF235A8"/>
    <w:rsid w:val="0CF2E664"/>
    <w:rsid w:val="0CF69E6E"/>
    <w:rsid w:val="0CF9CEED"/>
    <w:rsid w:val="0CFA3846"/>
    <w:rsid w:val="0CFAE899"/>
    <w:rsid w:val="0CFCD49E"/>
    <w:rsid w:val="0CFCD840"/>
    <w:rsid w:val="0CFF6B90"/>
    <w:rsid w:val="0D00FF80"/>
    <w:rsid w:val="0D01F452"/>
    <w:rsid w:val="0D02BD54"/>
    <w:rsid w:val="0D04ABA0"/>
    <w:rsid w:val="0D057073"/>
    <w:rsid w:val="0D09CB4B"/>
    <w:rsid w:val="0D09DD9E"/>
    <w:rsid w:val="0D0AEEA9"/>
    <w:rsid w:val="0D0E97DC"/>
    <w:rsid w:val="0D0F35AC"/>
    <w:rsid w:val="0D0F5BBB"/>
    <w:rsid w:val="0D10DEA4"/>
    <w:rsid w:val="0D1B952B"/>
    <w:rsid w:val="0D1BEE3A"/>
    <w:rsid w:val="0D1CF8F7"/>
    <w:rsid w:val="0D1DD39B"/>
    <w:rsid w:val="0D1E2C9B"/>
    <w:rsid w:val="0D1E4A7D"/>
    <w:rsid w:val="0D1EE83C"/>
    <w:rsid w:val="0D207AE1"/>
    <w:rsid w:val="0D22180A"/>
    <w:rsid w:val="0D22D467"/>
    <w:rsid w:val="0D231B16"/>
    <w:rsid w:val="0D234751"/>
    <w:rsid w:val="0D256DD0"/>
    <w:rsid w:val="0D2838DA"/>
    <w:rsid w:val="0D29D78C"/>
    <w:rsid w:val="0D2A6C8B"/>
    <w:rsid w:val="0D2BB582"/>
    <w:rsid w:val="0D2D2258"/>
    <w:rsid w:val="0D2F6D11"/>
    <w:rsid w:val="0D32045A"/>
    <w:rsid w:val="0D3447B5"/>
    <w:rsid w:val="0D345AA8"/>
    <w:rsid w:val="0D347941"/>
    <w:rsid w:val="0D34D5D2"/>
    <w:rsid w:val="0D352F5B"/>
    <w:rsid w:val="0D370F61"/>
    <w:rsid w:val="0D373CC0"/>
    <w:rsid w:val="0D37DF3B"/>
    <w:rsid w:val="0D385401"/>
    <w:rsid w:val="0D3CB10D"/>
    <w:rsid w:val="0D3F4CD3"/>
    <w:rsid w:val="0D417B46"/>
    <w:rsid w:val="0D42103A"/>
    <w:rsid w:val="0D43DDF7"/>
    <w:rsid w:val="0D44C35C"/>
    <w:rsid w:val="0D467E5D"/>
    <w:rsid w:val="0D46CB12"/>
    <w:rsid w:val="0D46DABE"/>
    <w:rsid w:val="0D4B3816"/>
    <w:rsid w:val="0D4C6C3B"/>
    <w:rsid w:val="0D4D0DE1"/>
    <w:rsid w:val="0D5017A5"/>
    <w:rsid w:val="0D50569F"/>
    <w:rsid w:val="0D514FB9"/>
    <w:rsid w:val="0D51B38C"/>
    <w:rsid w:val="0D52EFD6"/>
    <w:rsid w:val="0D541C58"/>
    <w:rsid w:val="0D54E88A"/>
    <w:rsid w:val="0D56F38C"/>
    <w:rsid w:val="0D57B34B"/>
    <w:rsid w:val="0D5A17AE"/>
    <w:rsid w:val="0D5CCA88"/>
    <w:rsid w:val="0D5E3504"/>
    <w:rsid w:val="0D627DFA"/>
    <w:rsid w:val="0D660608"/>
    <w:rsid w:val="0D672ECC"/>
    <w:rsid w:val="0D6CFCAC"/>
    <w:rsid w:val="0D6D37D2"/>
    <w:rsid w:val="0D6DD4B8"/>
    <w:rsid w:val="0D6F44ED"/>
    <w:rsid w:val="0D6FAEC8"/>
    <w:rsid w:val="0D70A80D"/>
    <w:rsid w:val="0D710F92"/>
    <w:rsid w:val="0D7147FD"/>
    <w:rsid w:val="0D723893"/>
    <w:rsid w:val="0D7362CB"/>
    <w:rsid w:val="0D74A76D"/>
    <w:rsid w:val="0D74E348"/>
    <w:rsid w:val="0D753E0F"/>
    <w:rsid w:val="0D754FF3"/>
    <w:rsid w:val="0D76B457"/>
    <w:rsid w:val="0D775D3F"/>
    <w:rsid w:val="0D77CE9C"/>
    <w:rsid w:val="0D78468A"/>
    <w:rsid w:val="0D791BC7"/>
    <w:rsid w:val="0D7A4DEB"/>
    <w:rsid w:val="0D7C0249"/>
    <w:rsid w:val="0D7C5180"/>
    <w:rsid w:val="0D7C9039"/>
    <w:rsid w:val="0D7E18B8"/>
    <w:rsid w:val="0D7F48CC"/>
    <w:rsid w:val="0D811449"/>
    <w:rsid w:val="0D827BB2"/>
    <w:rsid w:val="0D839BFE"/>
    <w:rsid w:val="0D8473DB"/>
    <w:rsid w:val="0D8608FB"/>
    <w:rsid w:val="0D86B0B5"/>
    <w:rsid w:val="0D86F683"/>
    <w:rsid w:val="0D8A656D"/>
    <w:rsid w:val="0D8C5E7D"/>
    <w:rsid w:val="0D8C9A8D"/>
    <w:rsid w:val="0D8D2830"/>
    <w:rsid w:val="0D8DED94"/>
    <w:rsid w:val="0D8F7124"/>
    <w:rsid w:val="0D904C5B"/>
    <w:rsid w:val="0D907246"/>
    <w:rsid w:val="0D908669"/>
    <w:rsid w:val="0D963012"/>
    <w:rsid w:val="0D971403"/>
    <w:rsid w:val="0D97B388"/>
    <w:rsid w:val="0D999BCA"/>
    <w:rsid w:val="0D99BB8F"/>
    <w:rsid w:val="0D99E8A3"/>
    <w:rsid w:val="0D9A50FD"/>
    <w:rsid w:val="0D9A66F6"/>
    <w:rsid w:val="0D9AC9A8"/>
    <w:rsid w:val="0D9D965C"/>
    <w:rsid w:val="0D9DC69F"/>
    <w:rsid w:val="0DA01CF6"/>
    <w:rsid w:val="0DA0D791"/>
    <w:rsid w:val="0DA2BF9F"/>
    <w:rsid w:val="0DA2F580"/>
    <w:rsid w:val="0DA39E07"/>
    <w:rsid w:val="0DA40980"/>
    <w:rsid w:val="0DA46A61"/>
    <w:rsid w:val="0DA5AC52"/>
    <w:rsid w:val="0DA633E2"/>
    <w:rsid w:val="0DA85958"/>
    <w:rsid w:val="0DA990CD"/>
    <w:rsid w:val="0DAA333A"/>
    <w:rsid w:val="0DAF9A50"/>
    <w:rsid w:val="0DB0158B"/>
    <w:rsid w:val="0DB0FF06"/>
    <w:rsid w:val="0DB112B8"/>
    <w:rsid w:val="0DB3DA31"/>
    <w:rsid w:val="0DB42E67"/>
    <w:rsid w:val="0DB453E8"/>
    <w:rsid w:val="0DB5A77E"/>
    <w:rsid w:val="0DB5CDB0"/>
    <w:rsid w:val="0DB60A40"/>
    <w:rsid w:val="0DB7D74D"/>
    <w:rsid w:val="0DB7D8C4"/>
    <w:rsid w:val="0DB8213A"/>
    <w:rsid w:val="0DBB8726"/>
    <w:rsid w:val="0DBCE0AF"/>
    <w:rsid w:val="0DBF8451"/>
    <w:rsid w:val="0DC1A615"/>
    <w:rsid w:val="0DC311EB"/>
    <w:rsid w:val="0DC473DC"/>
    <w:rsid w:val="0DC6E7A8"/>
    <w:rsid w:val="0DC7453C"/>
    <w:rsid w:val="0DC7688F"/>
    <w:rsid w:val="0DC7EBEE"/>
    <w:rsid w:val="0DC906BE"/>
    <w:rsid w:val="0DCC63DA"/>
    <w:rsid w:val="0DCD7513"/>
    <w:rsid w:val="0DCDDDED"/>
    <w:rsid w:val="0DCEA8DA"/>
    <w:rsid w:val="0DD0D0A0"/>
    <w:rsid w:val="0DD0D941"/>
    <w:rsid w:val="0DD121B4"/>
    <w:rsid w:val="0DD34906"/>
    <w:rsid w:val="0DDC6E95"/>
    <w:rsid w:val="0DDC7158"/>
    <w:rsid w:val="0DDEEA1A"/>
    <w:rsid w:val="0DE109BA"/>
    <w:rsid w:val="0DE17968"/>
    <w:rsid w:val="0DE4E56E"/>
    <w:rsid w:val="0DE5AF30"/>
    <w:rsid w:val="0DED4B97"/>
    <w:rsid w:val="0DEDC35C"/>
    <w:rsid w:val="0DEE2D33"/>
    <w:rsid w:val="0DEE72C3"/>
    <w:rsid w:val="0DEEBA98"/>
    <w:rsid w:val="0DF0256F"/>
    <w:rsid w:val="0DF069C8"/>
    <w:rsid w:val="0DF2134C"/>
    <w:rsid w:val="0DF234B8"/>
    <w:rsid w:val="0DF53D6B"/>
    <w:rsid w:val="0DF81A70"/>
    <w:rsid w:val="0DFB670A"/>
    <w:rsid w:val="0DFBCBF4"/>
    <w:rsid w:val="0DFC2B5B"/>
    <w:rsid w:val="0DFDE7A0"/>
    <w:rsid w:val="0DFF6FD6"/>
    <w:rsid w:val="0E0160F2"/>
    <w:rsid w:val="0E021428"/>
    <w:rsid w:val="0E023B6C"/>
    <w:rsid w:val="0E05F43D"/>
    <w:rsid w:val="0E06D1C3"/>
    <w:rsid w:val="0E076113"/>
    <w:rsid w:val="0E085D1A"/>
    <w:rsid w:val="0E0AFEEE"/>
    <w:rsid w:val="0E0C2597"/>
    <w:rsid w:val="0E0C624C"/>
    <w:rsid w:val="0E0DFCBF"/>
    <w:rsid w:val="0E0F96C2"/>
    <w:rsid w:val="0E109AD2"/>
    <w:rsid w:val="0E1177AA"/>
    <w:rsid w:val="0E127892"/>
    <w:rsid w:val="0E12B4BF"/>
    <w:rsid w:val="0E12B8C2"/>
    <w:rsid w:val="0E149642"/>
    <w:rsid w:val="0E15426C"/>
    <w:rsid w:val="0E18C729"/>
    <w:rsid w:val="0E18D25D"/>
    <w:rsid w:val="0E1ADD0B"/>
    <w:rsid w:val="0E1B944D"/>
    <w:rsid w:val="0E1C36BC"/>
    <w:rsid w:val="0E1D1E59"/>
    <w:rsid w:val="0E1EA71E"/>
    <w:rsid w:val="0E1EFA33"/>
    <w:rsid w:val="0E1F30BD"/>
    <w:rsid w:val="0E200018"/>
    <w:rsid w:val="0E23FB06"/>
    <w:rsid w:val="0E24B2E9"/>
    <w:rsid w:val="0E254934"/>
    <w:rsid w:val="0E2A55DF"/>
    <w:rsid w:val="0E2B05F5"/>
    <w:rsid w:val="0E2CE7F7"/>
    <w:rsid w:val="0E2EA480"/>
    <w:rsid w:val="0E2EC4DD"/>
    <w:rsid w:val="0E305365"/>
    <w:rsid w:val="0E30AD8A"/>
    <w:rsid w:val="0E310E99"/>
    <w:rsid w:val="0E32249B"/>
    <w:rsid w:val="0E32DC37"/>
    <w:rsid w:val="0E332F7D"/>
    <w:rsid w:val="0E34AB54"/>
    <w:rsid w:val="0E34C1D7"/>
    <w:rsid w:val="0E37305A"/>
    <w:rsid w:val="0E37CC05"/>
    <w:rsid w:val="0E388025"/>
    <w:rsid w:val="0E3A6322"/>
    <w:rsid w:val="0E3B5516"/>
    <w:rsid w:val="0E3B822F"/>
    <w:rsid w:val="0E3C040C"/>
    <w:rsid w:val="0E3CB5F8"/>
    <w:rsid w:val="0E3D4B30"/>
    <w:rsid w:val="0E3DC2A9"/>
    <w:rsid w:val="0E3E287C"/>
    <w:rsid w:val="0E3F6191"/>
    <w:rsid w:val="0E42A26F"/>
    <w:rsid w:val="0E456532"/>
    <w:rsid w:val="0E46D483"/>
    <w:rsid w:val="0E47F1D7"/>
    <w:rsid w:val="0E48C65E"/>
    <w:rsid w:val="0E4A39C0"/>
    <w:rsid w:val="0E4DA39E"/>
    <w:rsid w:val="0E4DF186"/>
    <w:rsid w:val="0E4E8017"/>
    <w:rsid w:val="0E4EA138"/>
    <w:rsid w:val="0E4FCACC"/>
    <w:rsid w:val="0E50DCDA"/>
    <w:rsid w:val="0E53B76C"/>
    <w:rsid w:val="0E53F2D3"/>
    <w:rsid w:val="0E543021"/>
    <w:rsid w:val="0E5458B9"/>
    <w:rsid w:val="0E54914E"/>
    <w:rsid w:val="0E557FFB"/>
    <w:rsid w:val="0E55C1B8"/>
    <w:rsid w:val="0E56EDD4"/>
    <w:rsid w:val="0E5803CF"/>
    <w:rsid w:val="0E59ADCA"/>
    <w:rsid w:val="0E5B5FD8"/>
    <w:rsid w:val="0E5C1137"/>
    <w:rsid w:val="0E5D8110"/>
    <w:rsid w:val="0E6026F7"/>
    <w:rsid w:val="0E602AB2"/>
    <w:rsid w:val="0E60558F"/>
    <w:rsid w:val="0E612D82"/>
    <w:rsid w:val="0E62B85A"/>
    <w:rsid w:val="0E62E4BC"/>
    <w:rsid w:val="0E64CCC7"/>
    <w:rsid w:val="0E679886"/>
    <w:rsid w:val="0E67B22F"/>
    <w:rsid w:val="0E690F56"/>
    <w:rsid w:val="0E6974FE"/>
    <w:rsid w:val="0E69EDEC"/>
    <w:rsid w:val="0E6BCB03"/>
    <w:rsid w:val="0E6D1EB1"/>
    <w:rsid w:val="0E7033EE"/>
    <w:rsid w:val="0E71B223"/>
    <w:rsid w:val="0E728E27"/>
    <w:rsid w:val="0E73A71F"/>
    <w:rsid w:val="0E761F71"/>
    <w:rsid w:val="0E76CCE8"/>
    <w:rsid w:val="0E79DDEE"/>
    <w:rsid w:val="0E7ACD4F"/>
    <w:rsid w:val="0E7BF9C2"/>
    <w:rsid w:val="0E810D2C"/>
    <w:rsid w:val="0E816AF8"/>
    <w:rsid w:val="0E81AAAB"/>
    <w:rsid w:val="0E81B79A"/>
    <w:rsid w:val="0E88DCE0"/>
    <w:rsid w:val="0E8A821A"/>
    <w:rsid w:val="0E8ABC7C"/>
    <w:rsid w:val="0E8AC36C"/>
    <w:rsid w:val="0E8B9179"/>
    <w:rsid w:val="0E8C3D1A"/>
    <w:rsid w:val="0E8E9D3F"/>
    <w:rsid w:val="0E8F20D7"/>
    <w:rsid w:val="0E920F9E"/>
    <w:rsid w:val="0E93E052"/>
    <w:rsid w:val="0E944013"/>
    <w:rsid w:val="0E94DD18"/>
    <w:rsid w:val="0E95B24E"/>
    <w:rsid w:val="0E960796"/>
    <w:rsid w:val="0E9AA140"/>
    <w:rsid w:val="0E9B6D53"/>
    <w:rsid w:val="0E9DD987"/>
    <w:rsid w:val="0E9EF622"/>
    <w:rsid w:val="0E9F11ED"/>
    <w:rsid w:val="0E9FB223"/>
    <w:rsid w:val="0EA05B57"/>
    <w:rsid w:val="0EA18A30"/>
    <w:rsid w:val="0EA26EB2"/>
    <w:rsid w:val="0EA2BEB9"/>
    <w:rsid w:val="0EA4AD85"/>
    <w:rsid w:val="0EAA9944"/>
    <w:rsid w:val="0EAB60EE"/>
    <w:rsid w:val="0EACBE62"/>
    <w:rsid w:val="0EB10702"/>
    <w:rsid w:val="0EB48C20"/>
    <w:rsid w:val="0EB5EECE"/>
    <w:rsid w:val="0EB605E7"/>
    <w:rsid w:val="0EB75A4B"/>
    <w:rsid w:val="0EB7816A"/>
    <w:rsid w:val="0EBA952A"/>
    <w:rsid w:val="0EBBF362"/>
    <w:rsid w:val="0EBC6157"/>
    <w:rsid w:val="0EBCAD35"/>
    <w:rsid w:val="0EBEB23E"/>
    <w:rsid w:val="0EC1D1FF"/>
    <w:rsid w:val="0EC64693"/>
    <w:rsid w:val="0EC64AAD"/>
    <w:rsid w:val="0EC7E2CB"/>
    <w:rsid w:val="0EC9A956"/>
    <w:rsid w:val="0ECAA30F"/>
    <w:rsid w:val="0ECAB0B7"/>
    <w:rsid w:val="0ECBFFD5"/>
    <w:rsid w:val="0ECEB557"/>
    <w:rsid w:val="0ED1B671"/>
    <w:rsid w:val="0ED1F4BE"/>
    <w:rsid w:val="0ED30D42"/>
    <w:rsid w:val="0ED323F1"/>
    <w:rsid w:val="0ED6D8F5"/>
    <w:rsid w:val="0EDA1B0C"/>
    <w:rsid w:val="0EDC5B87"/>
    <w:rsid w:val="0EE9DE37"/>
    <w:rsid w:val="0EEA29EE"/>
    <w:rsid w:val="0EEBD15D"/>
    <w:rsid w:val="0EEBEBAE"/>
    <w:rsid w:val="0EECDBE4"/>
    <w:rsid w:val="0EEDA94F"/>
    <w:rsid w:val="0EEDB174"/>
    <w:rsid w:val="0EEEA4BD"/>
    <w:rsid w:val="0EF37B5C"/>
    <w:rsid w:val="0EF54888"/>
    <w:rsid w:val="0EF77FB8"/>
    <w:rsid w:val="0EF78C09"/>
    <w:rsid w:val="0EFD6138"/>
    <w:rsid w:val="0EFD8AB8"/>
    <w:rsid w:val="0EFF0C79"/>
    <w:rsid w:val="0EFF3617"/>
    <w:rsid w:val="0F06534B"/>
    <w:rsid w:val="0F067C42"/>
    <w:rsid w:val="0F0AB84D"/>
    <w:rsid w:val="0F0DCC90"/>
    <w:rsid w:val="0F10C81F"/>
    <w:rsid w:val="0F10D58A"/>
    <w:rsid w:val="0F10FDA0"/>
    <w:rsid w:val="0F12F526"/>
    <w:rsid w:val="0F153623"/>
    <w:rsid w:val="0F188515"/>
    <w:rsid w:val="0F198456"/>
    <w:rsid w:val="0F19D99A"/>
    <w:rsid w:val="0F1DE3BB"/>
    <w:rsid w:val="0F1DF0AF"/>
    <w:rsid w:val="0F1EC0B4"/>
    <w:rsid w:val="0F1FD64C"/>
    <w:rsid w:val="0F200C63"/>
    <w:rsid w:val="0F24AD54"/>
    <w:rsid w:val="0F25F33E"/>
    <w:rsid w:val="0F2681DD"/>
    <w:rsid w:val="0F26EDED"/>
    <w:rsid w:val="0F28506F"/>
    <w:rsid w:val="0F28544F"/>
    <w:rsid w:val="0F29E2E7"/>
    <w:rsid w:val="0F2C5ACF"/>
    <w:rsid w:val="0F2CBDAB"/>
    <w:rsid w:val="0F2CD97B"/>
    <w:rsid w:val="0F30C468"/>
    <w:rsid w:val="0F31329F"/>
    <w:rsid w:val="0F316533"/>
    <w:rsid w:val="0F319DC5"/>
    <w:rsid w:val="0F333600"/>
    <w:rsid w:val="0F341B61"/>
    <w:rsid w:val="0F358049"/>
    <w:rsid w:val="0F37BEA9"/>
    <w:rsid w:val="0F391C03"/>
    <w:rsid w:val="0F3BC183"/>
    <w:rsid w:val="0F3BF5DC"/>
    <w:rsid w:val="0F3BF937"/>
    <w:rsid w:val="0F3D7FB2"/>
    <w:rsid w:val="0F3F8D62"/>
    <w:rsid w:val="0F3F953D"/>
    <w:rsid w:val="0F40358E"/>
    <w:rsid w:val="0F458617"/>
    <w:rsid w:val="0F46CB55"/>
    <w:rsid w:val="0F4944F2"/>
    <w:rsid w:val="0F494635"/>
    <w:rsid w:val="0F49B789"/>
    <w:rsid w:val="0F4C87B1"/>
    <w:rsid w:val="0F519251"/>
    <w:rsid w:val="0F52A2DF"/>
    <w:rsid w:val="0F533787"/>
    <w:rsid w:val="0F53F19B"/>
    <w:rsid w:val="0F552FD2"/>
    <w:rsid w:val="0F56D5C3"/>
    <w:rsid w:val="0F5852DE"/>
    <w:rsid w:val="0F593CE6"/>
    <w:rsid w:val="0F5A1923"/>
    <w:rsid w:val="0F5AA726"/>
    <w:rsid w:val="0F5DD02C"/>
    <w:rsid w:val="0F5E03AC"/>
    <w:rsid w:val="0F5F2E69"/>
    <w:rsid w:val="0F608600"/>
    <w:rsid w:val="0F616681"/>
    <w:rsid w:val="0F616CF6"/>
    <w:rsid w:val="0F61BF50"/>
    <w:rsid w:val="0F6286E6"/>
    <w:rsid w:val="0F63095A"/>
    <w:rsid w:val="0F64CFF9"/>
    <w:rsid w:val="0F67337A"/>
    <w:rsid w:val="0F6768F0"/>
    <w:rsid w:val="0F6BE708"/>
    <w:rsid w:val="0F6CA2D5"/>
    <w:rsid w:val="0F6CFC14"/>
    <w:rsid w:val="0F6D74BA"/>
    <w:rsid w:val="0F6EC92F"/>
    <w:rsid w:val="0F6F8FF4"/>
    <w:rsid w:val="0F767336"/>
    <w:rsid w:val="0F7A732F"/>
    <w:rsid w:val="0F7AC424"/>
    <w:rsid w:val="0F7E2A6B"/>
    <w:rsid w:val="0F7F54A7"/>
    <w:rsid w:val="0F7FA918"/>
    <w:rsid w:val="0F80319D"/>
    <w:rsid w:val="0F86B48F"/>
    <w:rsid w:val="0F86C4FD"/>
    <w:rsid w:val="0F8D3E12"/>
    <w:rsid w:val="0F8D73FF"/>
    <w:rsid w:val="0F902E93"/>
    <w:rsid w:val="0F90E787"/>
    <w:rsid w:val="0F911672"/>
    <w:rsid w:val="0F922342"/>
    <w:rsid w:val="0F943A33"/>
    <w:rsid w:val="0F958780"/>
    <w:rsid w:val="0F96A252"/>
    <w:rsid w:val="0F96E094"/>
    <w:rsid w:val="0F97000A"/>
    <w:rsid w:val="0F979C55"/>
    <w:rsid w:val="0F97C8BD"/>
    <w:rsid w:val="0F9B90AD"/>
    <w:rsid w:val="0F9D2B05"/>
    <w:rsid w:val="0F9D73BC"/>
    <w:rsid w:val="0FA00B5F"/>
    <w:rsid w:val="0FA10CCC"/>
    <w:rsid w:val="0FA3F525"/>
    <w:rsid w:val="0FA46674"/>
    <w:rsid w:val="0FA7A0D1"/>
    <w:rsid w:val="0FAB1437"/>
    <w:rsid w:val="0FAB6AEB"/>
    <w:rsid w:val="0FACCA29"/>
    <w:rsid w:val="0FAE8238"/>
    <w:rsid w:val="0FAF3ABA"/>
    <w:rsid w:val="0FAFF833"/>
    <w:rsid w:val="0FB05491"/>
    <w:rsid w:val="0FB2331E"/>
    <w:rsid w:val="0FB31E62"/>
    <w:rsid w:val="0FB45328"/>
    <w:rsid w:val="0FB7FDD7"/>
    <w:rsid w:val="0FB8875B"/>
    <w:rsid w:val="0FB8D40E"/>
    <w:rsid w:val="0FBC68A0"/>
    <w:rsid w:val="0FBFBCCB"/>
    <w:rsid w:val="0FC2159B"/>
    <w:rsid w:val="0FC38035"/>
    <w:rsid w:val="0FC5971B"/>
    <w:rsid w:val="0FC7AD7D"/>
    <w:rsid w:val="0FCC072C"/>
    <w:rsid w:val="0FCD8E57"/>
    <w:rsid w:val="0FD024C7"/>
    <w:rsid w:val="0FD224DB"/>
    <w:rsid w:val="0FD46BA5"/>
    <w:rsid w:val="0FD8087F"/>
    <w:rsid w:val="0FD83C02"/>
    <w:rsid w:val="0FD91521"/>
    <w:rsid w:val="0FDE2EB1"/>
    <w:rsid w:val="0FDED9CF"/>
    <w:rsid w:val="0FDFF613"/>
    <w:rsid w:val="0FE007B5"/>
    <w:rsid w:val="0FE0A377"/>
    <w:rsid w:val="0FE1650F"/>
    <w:rsid w:val="0FE1CFF5"/>
    <w:rsid w:val="0FE277FA"/>
    <w:rsid w:val="0FE4D4CB"/>
    <w:rsid w:val="0FE8EC28"/>
    <w:rsid w:val="0FEC1DC5"/>
    <w:rsid w:val="0FEC3694"/>
    <w:rsid w:val="0FF0AA1D"/>
    <w:rsid w:val="0FF1A5D0"/>
    <w:rsid w:val="0FF326BD"/>
    <w:rsid w:val="0FF335A6"/>
    <w:rsid w:val="0FF379D2"/>
    <w:rsid w:val="0FF3D430"/>
    <w:rsid w:val="0FF410A5"/>
    <w:rsid w:val="0FF67587"/>
    <w:rsid w:val="0FF720C7"/>
    <w:rsid w:val="0FF8A82D"/>
    <w:rsid w:val="0FFB0DC2"/>
    <w:rsid w:val="0FFCB192"/>
    <w:rsid w:val="0FFD02EE"/>
    <w:rsid w:val="0FFE6068"/>
    <w:rsid w:val="0FFEAD0D"/>
    <w:rsid w:val="10006BB0"/>
    <w:rsid w:val="10038274"/>
    <w:rsid w:val="1003EF99"/>
    <w:rsid w:val="10058B01"/>
    <w:rsid w:val="1005B455"/>
    <w:rsid w:val="100B9638"/>
    <w:rsid w:val="100D399A"/>
    <w:rsid w:val="100DF489"/>
    <w:rsid w:val="1015D6AE"/>
    <w:rsid w:val="1015EC4A"/>
    <w:rsid w:val="1018D552"/>
    <w:rsid w:val="101F772C"/>
    <w:rsid w:val="10223872"/>
    <w:rsid w:val="1022C067"/>
    <w:rsid w:val="1022D272"/>
    <w:rsid w:val="10272619"/>
    <w:rsid w:val="10299446"/>
    <w:rsid w:val="1029DA2C"/>
    <w:rsid w:val="102A0588"/>
    <w:rsid w:val="102F2797"/>
    <w:rsid w:val="102F3C7B"/>
    <w:rsid w:val="102FD729"/>
    <w:rsid w:val="10309504"/>
    <w:rsid w:val="10318F5C"/>
    <w:rsid w:val="1032576F"/>
    <w:rsid w:val="1032C87E"/>
    <w:rsid w:val="10395A8A"/>
    <w:rsid w:val="103AF9D5"/>
    <w:rsid w:val="103BC8F8"/>
    <w:rsid w:val="103C32A9"/>
    <w:rsid w:val="103C8C66"/>
    <w:rsid w:val="103D7C82"/>
    <w:rsid w:val="103EE9A7"/>
    <w:rsid w:val="103F5F18"/>
    <w:rsid w:val="103F65EA"/>
    <w:rsid w:val="103FC39E"/>
    <w:rsid w:val="10404C72"/>
    <w:rsid w:val="104053C8"/>
    <w:rsid w:val="1041D2E4"/>
    <w:rsid w:val="1041E73C"/>
    <w:rsid w:val="1042A169"/>
    <w:rsid w:val="1042C49D"/>
    <w:rsid w:val="10444A17"/>
    <w:rsid w:val="1046232A"/>
    <w:rsid w:val="1046FC7D"/>
    <w:rsid w:val="10481A8E"/>
    <w:rsid w:val="104C33FD"/>
    <w:rsid w:val="104CB82A"/>
    <w:rsid w:val="104D0969"/>
    <w:rsid w:val="104E3C47"/>
    <w:rsid w:val="104FB753"/>
    <w:rsid w:val="1051D004"/>
    <w:rsid w:val="105306B9"/>
    <w:rsid w:val="1054DFD3"/>
    <w:rsid w:val="1055EBF1"/>
    <w:rsid w:val="105B163B"/>
    <w:rsid w:val="105C69B2"/>
    <w:rsid w:val="105F687C"/>
    <w:rsid w:val="105FA04D"/>
    <w:rsid w:val="10633E2F"/>
    <w:rsid w:val="10642525"/>
    <w:rsid w:val="10664126"/>
    <w:rsid w:val="1066530D"/>
    <w:rsid w:val="10684CAF"/>
    <w:rsid w:val="10686471"/>
    <w:rsid w:val="10691DE7"/>
    <w:rsid w:val="106BDCAE"/>
    <w:rsid w:val="106C338D"/>
    <w:rsid w:val="106D8591"/>
    <w:rsid w:val="10715D93"/>
    <w:rsid w:val="10739DD2"/>
    <w:rsid w:val="10750D11"/>
    <w:rsid w:val="1075898F"/>
    <w:rsid w:val="1076DE38"/>
    <w:rsid w:val="10770BFF"/>
    <w:rsid w:val="1077E5AE"/>
    <w:rsid w:val="107A459D"/>
    <w:rsid w:val="107A4C6B"/>
    <w:rsid w:val="107D1DE6"/>
    <w:rsid w:val="107E5D4A"/>
    <w:rsid w:val="107EC3E6"/>
    <w:rsid w:val="107ED7AB"/>
    <w:rsid w:val="108137BB"/>
    <w:rsid w:val="10827371"/>
    <w:rsid w:val="108374B0"/>
    <w:rsid w:val="10842963"/>
    <w:rsid w:val="108437A3"/>
    <w:rsid w:val="1087F815"/>
    <w:rsid w:val="1089548C"/>
    <w:rsid w:val="108A0381"/>
    <w:rsid w:val="108D040E"/>
    <w:rsid w:val="10912AE5"/>
    <w:rsid w:val="10939D54"/>
    <w:rsid w:val="10943D32"/>
    <w:rsid w:val="10969D13"/>
    <w:rsid w:val="1098DDAB"/>
    <w:rsid w:val="10999764"/>
    <w:rsid w:val="109A41DD"/>
    <w:rsid w:val="109BBBF2"/>
    <w:rsid w:val="109BCC98"/>
    <w:rsid w:val="109C9165"/>
    <w:rsid w:val="109E1137"/>
    <w:rsid w:val="109F5656"/>
    <w:rsid w:val="10A16183"/>
    <w:rsid w:val="10A4A09B"/>
    <w:rsid w:val="10A59A01"/>
    <w:rsid w:val="10A682F1"/>
    <w:rsid w:val="10A68A28"/>
    <w:rsid w:val="10A6DE62"/>
    <w:rsid w:val="10A767C1"/>
    <w:rsid w:val="10AAEFCD"/>
    <w:rsid w:val="10AD4C36"/>
    <w:rsid w:val="10B1F3E4"/>
    <w:rsid w:val="10B48D54"/>
    <w:rsid w:val="10B69F12"/>
    <w:rsid w:val="10B7258D"/>
    <w:rsid w:val="10B848E9"/>
    <w:rsid w:val="10B849FE"/>
    <w:rsid w:val="10B90A37"/>
    <w:rsid w:val="10B91973"/>
    <w:rsid w:val="10B92915"/>
    <w:rsid w:val="10B98781"/>
    <w:rsid w:val="10BA7AC6"/>
    <w:rsid w:val="10BBE3CC"/>
    <w:rsid w:val="10BC29CE"/>
    <w:rsid w:val="10BE0C24"/>
    <w:rsid w:val="10BF7BFB"/>
    <w:rsid w:val="10C11A9A"/>
    <w:rsid w:val="10C453C2"/>
    <w:rsid w:val="10C46612"/>
    <w:rsid w:val="10C5B50A"/>
    <w:rsid w:val="10C84550"/>
    <w:rsid w:val="10C8AF0C"/>
    <w:rsid w:val="10C96B90"/>
    <w:rsid w:val="10CC31FB"/>
    <w:rsid w:val="10CEABE6"/>
    <w:rsid w:val="10CF10B0"/>
    <w:rsid w:val="10CF1946"/>
    <w:rsid w:val="10CFBEA2"/>
    <w:rsid w:val="10CFFB90"/>
    <w:rsid w:val="10D0CE0E"/>
    <w:rsid w:val="10D22046"/>
    <w:rsid w:val="10D32CCB"/>
    <w:rsid w:val="10D34FAB"/>
    <w:rsid w:val="10D53AF4"/>
    <w:rsid w:val="10D6365F"/>
    <w:rsid w:val="10D89302"/>
    <w:rsid w:val="10DA2ED3"/>
    <w:rsid w:val="10DE9F8C"/>
    <w:rsid w:val="10E0E0C2"/>
    <w:rsid w:val="10E3C754"/>
    <w:rsid w:val="10E3FB95"/>
    <w:rsid w:val="10E52DFB"/>
    <w:rsid w:val="10E7B44D"/>
    <w:rsid w:val="10E80EA1"/>
    <w:rsid w:val="10E8A267"/>
    <w:rsid w:val="10EAAFF6"/>
    <w:rsid w:val="10EACD8E"/>
    <w:rsid w:val="10EC5F50"/>
    <w:rsid w:val="10EC7468"/>
    <w:rsid w:val="10EF85DF"/>
    <w:rsid w:val="10F22770"/>
    <w:rsid w:val="10F59962"/>
    <w:rsid w:val="10F5FE6A"/>
    <w:rsid w:val="10F6C8DD"/>
    <w:rsid w:val="10F6D639"/>
    <w:rsid w:val="10F87613"/>
    <w:rsid w:val="10F876DB"/>
    <w:rsid w:val="10F88D17"/>
    <w:rsid w:val="10F89B6B"/>
    <w:rsid w:val="10F8B5F6"/>
    <w:rsid w:val="10F9109E"/>
    <w:rsid w:val="10F931F6"/>
    <w:rsid w:val="10FB2066"/>
    <w:rsid w:val="10FC17D9"/>
    <w:rsid w:val="10FCB8E6"/>
    <w:rsid w:val="10FDBB44"/>
    <w:rsid w:val="11013A8C"/>
    <w:rsid w:val="11013D60"/>
    <w:rsid w:val="1107A368"/>
    <w:rsid w:val="110E162E"/>
    <w:rsid w:val="110EF595"/>
    <w:rsid w:val="110F4C56"/>
    <w:rsid w:val="111020B0"/>
    <w:rsid w:val="11102306"/>
    <w:rsid w:val="111DA98F"/>
    <w:rsid w:val="111DBEAB"/>
    <w:rsid w:val="111EAB8F"/>
    <w:rsid w:val="1121A2DE"/>
    <w:rsid w:val="1123344B"/>
    <w:rsid w:val="1123ADCC"/>
    <w:rsid w:val="1124B7C6"/>
    <w:rsid w:val="1125FC54"/>
    <w:rsid w:val="112652B4"/>
    <w:rsid w:val="11265787"/>
    <w:rsid w:val="112699F8"/>
    <w:rsid w:val="112756E6"/>
    <w:rsid w:val="11297B79"/>
    <w:rsid w:val="11298939"/>
    <w:rsid w:val="112A92F7"/>
    <w:rsid w:val="112B7BBD"/>
    <w:rsid w:val="112E325C"/>
    <w:rsid w:val="11320ABB"/>
    <w:rsid w:val="11326EA2"/>
    <w:rsid w:val="1133B394"/>
    <w:rsid w:val="1133DD49"/>
    <w:rsid w:val="11343131"/>
    <w:rsid w:val="113435DD"/>
    <w:rsid w:val="11354E84"/>
    <w:rsid w:val="11359213"/>
    <w:rsid w:val="11383D3C"/>
    <w:rsid w:val="113BBBBF"/>
    <w:rsid w:val="113CB8CE"/>
    <w:rsid w:val="113D665D"/>
    <w:rsid w:val="113FCA11"/>
    <w:rsid w:val="11408EF1"/>
    <w:rsid w:val="1140FF39"/>
    <w:rsid w:val="1142BD55"/>
    <w:rsid w:val="1144AA17"/>
    <w:rsid w:val="11469301"/>
    <w:rsid w:val="1147238C"/>
    <w:rsid w:val="114A6A60"/>
    <w:rsid w:val="114B0B1B"/>
    <w:rsid w:val="114C4AC7"/>
    <w:rsid w:val="114CF1C2"/>
    <w:rsid w:val="114D52CC"/>
    <w:rsid w:val="114D91F0"/>
    <w:rsid w:val="114E8E89"/>
    <w:rsid w:val="114EEDF1"/>
    <w:rsid w:val="114F4E9E"/>
    <w:rsid w:val="1151C099"/>
    <w:rsid w:val="1152017F"/>
    <w:rsid w:val="11542105"/>
    <w:rsid w:val="1155339D"/>
    <w:rsid w:val="1156982A"/>
    <w:rsid w:val="11581929"/>
    <w:rsid w:val="1158F7CC"/>
    <w:rsid w:val="11599E70"/>
    <w:rsid w:val="115A27F5"/>
    <w:rsid w:val="115B2295"/>
    <w:rsid w:val="1161DBCC"/>
    <w:rsid w:val="116294F9"/>
    <w:rsid w:val="116307E3"/>
    <w:rsid w:val="1163ACA6"/>
    <w:rsid w:val="11645DC7"/>
    <w:rsid w:val="11654888"/>
    <w:rsid w:val="116559EA"/>
    <w:rsid w:val="1165D2A5"/>
    <w:rsid w:val="116668DF"/>
    <w:rsid w:val="1169B574"/>
    <w:rsid w:val="116C90AF"/>
    <w:rsid w:val="1170D518"/>
    <w:rsid w:val="1170F550"/>
    <w:rsid w:val="1174E066"/>
    <w:rsid w:val="1174F631"/>
    <w:rsid w:val="117554FB"/>
    <w:rsid w:val="1179CF27"/>
    <w:rsid w:val="117ACB91"/>
    <w:rsid w:val="117C0510"/>
    <w:rsid w:val="117DDA63"/>
    <w:rsid w:val="117EE754"/>
    <w:rsid w:val="118275B3"/>
    <w:rsid w:val="1185277B"/>
    <w:rsid w:val="1186B01D"/>
    <w:rsid w:val="1187A358"/>
    <w:rsid w:val="1187D90F"/>
    <w:rsid w:val="1189A510"/>
    <w:rsid w:val="118CA241"/>
    <w:rsid w:val="11905D12"/>
    <w:rsid w:val="1191D2BD"/>
    <w:rsid w:val="119292B0"/>
    <w:rsid w:val="11931378"/>
    <w:rsid w:val="1197FDBF"/>
    <w:rsid w:val="119C2C76"/>
    <w:rsid w:val="119C46CD"/>
    <w:rsid w:val="119C6096"/>
    <w:rsid w:val="119C887F"/>
    <w:rsid w:val="119D6860"/>
    <w:rsid w:val="11A056A4"/>
    <w:rsid w:val="11A223AF"/>
    <w:rsid w:val="11A26B08"/>
    <w:rsid w:val="11A4DAC7"/>
    <w:rsid w:val="11A59005"/>
    <w:rsid w:val="11A6E543"/>
    <w:rsid w:val="11A6E8F9"/>
    <w:rsid w:val="11A7AF48"/>
    <w:rsid w:val="11AD3E11"/>
    <w:rsid w:val="11AD92CC"/>
    <w:rsid w:val="11ADF669"/>
    <w:rsid w:val="11AEB119"/>
    <w:rsid w:val="11AEC577"/>
    <w:rsid w:val="11B0A059"/>
    <w:rsid w:val="11B2656C"/>
    <w:rsid w:val="11B36F1E"/>
    <w:rsid w:val="11B37588"/>
    <w:rsid w:val="11B50DA9"/>
    <w:rsid w:val="11B74125"/>
    <w:rsid w:val="11B7B299"/>
    <w:rsid w:val="11BBB848"/>
    <w:rsid w:val="11BC2BF2"/>
    <w:rsid w:val="11BD3D58"/>
    <w:rsid w:val="11BE0869"/>
    <w:rsid w:val="11BE90C8"/>
    <w:rsid w:val="11BEBE7E"/>
    <w:rsid w:val="11BF0EA4"/>
    <w:rsid w:val="11C06CCE"/>
    <w:rsid w:val="11C0953E"/>
    <w:rsid w:val="11C20010"/>
    <w:rsid w:val="11C3C678"/>
    <w:rsid w:val="11C6972B"/>
    <w:rsid w:val="11C76459"/>
    <w:rsid w:val="11CA4512"/>
    <w:rsid w:val="11CB64EB"/>
    <w:rsid w:val="11CFB1FD"/>
    <w:rsid w:val="11D0B9FF"/>
    <w:rsid w:val="11D42D34"/>
    <w:rsid w:val="11D53603"/>
    <w:rsid w:val="11D7D195"/>
    <w:rsid w:val="11D97658"/>
    <w:rsid w:val="11D9C080"/>
    <w:rsid w:val="11DB4D34"/>
    <w:rsid w:val="11DC5FC3"/>
    <w:rsid w:val="11DC627C"/>
    <w:rsid w:val="11DE0BC8"/>
    <w:rsid w:val="11DFC18D"/>
    <w:rsid w:val="11E25DDC"/>
    <w:rsid w:val="11E346A1"/>
    <w:rsid w:val="11E37EF3"/>
    <w:rsid w:val="11E3BCB6"/>
    <w:rsid w:val="11E8DE8E"/>
    <w:rsid w:val="11EA1552"/>
    <w:rsid w:val="11EAD488"/>
    <w:rsid w:val="11EC7D42"/>
    <w:rsid w:val="11F427E0"/>
    <w:rsid w:val="11F5A667"/>
    <w:rsid w:val="11F7DBDB"/>
    <w:rsid w:val="11F95878"/>
    <w:rsid w:val="11FA407C"/>
    <w:rsid w:val="11FAEA99"/>
    <w:rsid w:val="12004E94"/>
    <w:rsid w:val="1205AE8D"/>
    <w:rsid w:val="12089C7A"/>
    <w:rsid w:val="12097C1B"/>
    <w:rsid w:val="120A63E9"/>
    <w:rsid w:val="120B3589"/>
    <w:rsid w:val="120C6B35"/>
    <w:rsid w:val="120CB102"/>
    <w:rsid w:val="120CF48D"/>
    <w:rsid w:val="120FBDA1"/>
    <w:rsid w:val="1211FE05"/>
    <w:rsid w:val="1214E1FF"/>
    <w:rsid w:val="1215FFC0"/>
    <w:rsid w:val="12180DB9"/>
    <w:rsid w:val="121C22D5"/>
    <w:rsid w:val="121C6E7B"/>
    <w:rsid w:val="121D3F4A"/>
    <w:rsid w:val="121F0B24"/>
    <w:rsid w:val="121F85F9"/>
    <w:rsid w:val="122037B3"/>
    <w:rsid w:val="12212E93"/>
    <w:rsid w:val="122218F6"/>
    <w:rsid w:val="122430BF"/>
    <w:rsid w:val="1226703B"/>
    <w:rsid w:val="122675F6"/>
    <w:rsid w:val="122703A4"/>
    <w:rsid w:val="122744B3"/>
    <w:rsid w:val="1228CA02"/>
    <w:rsid w:val="1228CFE1"/>
    <w:rsid w:val="1229627F"/>
    <w:rsid w:val="122A3F4E"/>
    <w:rsid w:val="122AB629"/>
    <w:rsid w:val="122C8791"/>
    <w:rsid w:val="122C8EBA"/>
    <w:rsid w:val="122CBA45"/>
    <w:rsid w:val="122E6A5E"/>
    <w:rsid w:val="122FD06B"/>
    <w:rsid w:val="1230EC7E"/>
    <w:rsid w:val="1231F82F"/>
    <w:rsid w:val="1232FE2B"/>
    <w:rsid w:val="1233D454"/>
    <w:rsid w:val="12344CF1"/>
    <w:rsid w:val="123852E1"/>
    <w:rsid w:val="123E4BAC"/>
    <w:rsid w:val="123EAE07"/>
    <w:rsid w:val="124019DA"/>
    <w:rsid w:val="124143FF"/>
    <w:rsid w:val="12425990"/>
    <w:rsid w:val="124506DB"/>
    <w:rsid w:val="12452FB1"/>
    <w:rsid w:val="12463EAC"/>
    <w:rsid w:val="1246A22C"/>
    <w:rsid w:val="12477D3D"/>
    <w:rsid w:val="12483970"/>
    <w:rsid w:val="125127D8"/>
    <w:rsid w:val="1253364B"/>
    <w:rsid w:val="1253EAEF"/>
    <w:rsid w:val="1253F0CE"/>
    <w:rsid w:val="1255ECD5"/>
    <w:rsid w:val="125704A0"/>
    <w:rsid w:val="12579E75"/>
    <w:rsid w:val="125A7D07"/>
    <w:rsid w:val="125B9ED0"/>
    <w:rsid w:val="125BAB9C"/>
    <w:rsid w:val="125C2FA2"/>
    <w:rsid w:val="125F2C24"/>
    <w:rsid w:val="126079A3"/>
    <w:rsid w:val="126173B5"/>
    <w:rsid w:val="1261743B"/>
    <w:rsid w:val="1262D138"/>
    <w:rsid w:val="1263EEDF"/>
    <w:rsid w:val="126520F1"/>
    <w:rsid w:val="12660FAC"/>
    <w:rsid w:val="1268CFB1"/>
    <w:rsid w:val="12693C2E"/>
    <w:rsid w:val="126995B3"/>
    <w:rsid w:val="126B2A3E"/>
    <w:rsid w:val="126B9CB5"/>
    <w:rsid w:val="126BAF8C"/>
    <w:rsid w:val="126D74FA"/>
    <w:rsid w:val="126EE83B"/>
    <w:rsid w:val="126EFD9C"/>
    <w:rsid w:val="1273E671"/>
    <w:rsid w:val="1273E848"/>
    <w:rsid w:val="1274ED20"/>
    <w:rsid w:val="12789708"/>
    <w:rsid w:val="127BF749"/>
    <w:rsid w:val="127C8E63"/>
    <w:rsid w:val="127D2636"/>
    <w:rsid w:val="127D27E0"/>
    <w:rsid w:val="127E6F23"/>
    <w:rsid w:val="127E8985"/>
    <w:rsid w:val="12821AF5"/>
    <w:rsid w:val="12834094"/>
    <w:rsid w:val="12853584"/>
    <w:rsid w:val="12889439"/>
    <w:rsid w:val="128D4413"/>
    <w:rsid w:val="128EEF6A"/>
    <w:rsid w:val="1290BC6A"/>
    <w:rsid w:val="12929381"/>
    <w:rsid w:val="1292BEE2"/>
    <w:rsid w:val="12935C76"/>
    <w:rsid w:val="12965AF9"/>
    <w:rsid w:val="12988FE2"/>
    <w:rsid w:val="129B13F1"/>
    <w:rsid w:val="129B82EF"/>
    <w:rsid w:val="129E290A"/>
    <w:rsid w:val="12A03B20"/>
    <w:rsid w:val="12A20E45"/>
    <w:rsid w:val="12A2782B"/>
    <w:rsid w:val="12A310A5"/>
    <w:rsid w:val="12A45905"/>
    <w:rsid w:val="12A5A19E"/>
    <w:rsid w:val="12A5F304"/>
    <w:rsid w:val="12A61E5A"/>
    <w:rsid w:val="12A985A0"/>
    <w:rsid w:val="12AA12D5"/>
    <w:rsid w:val="12B04CAC"/>
    <w:rsid w:val="12B08F6E"/>
    <w:rsid w:val="12B18DAD"/>
    <w:rsid w:val="12B60C63"/>
    <w:rsid w:val="12B811CC"/>
    <w:rsid w:val="12B88D03"/>
    <w:rsid w:val="12B8CE64"/>
    <w:rsid w:val="12B95D4A"/>
    <w:rsid w:val="12B98F0C"/>
    <w:rsid w:val="12BAA66B"/>
    <w:rsid w:val="12BBC6D8"/>
    <w:rsid w:val="12BC26E8"/>
    <w:rsid w:val="12C3C585"/>
    <w:rsid w:val="12C56B69"/>
    <w:rsid w:val="12C576CE"/>
    <w:rsid w:val="12C69A26"/>
    <w:rsid w:val="12C8BCC7"/>
    <w:rsid w:val="12C95AB5"/>
    <w:rsid w:val="12CCEA87"/>
    <w:rsid w:val="12CD6847"/>
    <w:rsid w:val="12CF5974"/>
    <w:rsid w:val="12D05638"/>
    <w:rsid w:val="12D1DFCB"/>
    <w:rsid w:val="12D414C2"/>
    <w:rsid w:val="12D42199"/>
    <w:rsid w:val="12D447EA"/>
    <w:rsid w:val="12D5621A"/>
    <w:rsid w:val="12DA8416"/>
    <w:rsid w:val="12DAFD7D"/>
    <w:rsid w:val="12DCD796"/>
    <w:rsid w:val="12DD3948"/>
    <w:rsid w:val="12DD4BE3"/>
    <w:rsid w:val="12DFC4BE"/>
    <w:rsid w:val="12E031C3"/>
    <w:rsid w:val="12E03B67"/>
    <w:rsid w:val="12E3ED83"/>
    <w:rsid w:val="12E402B7"/>
    <w:rsid w:val="12E4D800"/>
    <w:rsid w:val="12E6CB09"/>
    <w:rsid w:val="12E87254"/>
    <w:rsid w:val="12E8FE52"/>
    <w:rsid w:val="12EEF900"/>
    <w:rsid w:val="12F0DFA5"/>
    <w:rsid w:val="12F1FAEA"/>
    <w:rsid w:val="12F8B13B"/>
    <w:rsid w:val="12F920BF"/>
    <w:rsid w:val="12F9C68E"/>
    <w:rsid w:val="12FA044F"/>
    <w:rsid w:val="12FC081A"/>
    <w:rsid w:val="12FCC9CD"/>
    <w:rsid w:val="12FCCA29"/>
    <w:rsid w:val="12FDE76C"/>
    <w:rsid w:val="12FF6D81"/>
    <w:rsid w:val="12FF86D2"/>
    <w:rsid w:val="12FF8D84"/>
    <w:rsid w:val="1300079D"/>
    <w:rsid w:val="13014A9D"/>
    <w:rsid w:val="13020052"/>
    <w:rsid w:val="13038FF6"/>
    <w:rsid w:val="130702A5"/>
    <w:rsid w:val="13097774"/>
    <w:rsid w:val="130C5637"/>
    <w:rsid w:val="130E5C3F"/>
    <w:rsid w:val="13105913"/>
    <w:rsid w:val="1310E045"/>
    <w:rsid w:val="13131A8A"/>
    <w:rsid w:val="1313502D"/>
    <w:rsid w:val="1314BCFB"/>
    <w:rsid w:val="13175066"/>
    <w:rsid w:val="131A0567"/>
    <w:rsid w:val="131AD18D"/>
    <w:rsid w:val="131BB335"/>
    <w:rsid w:val="131E9FFA"/>
    <w:rsid w:val="1320758A"/>
    <w:rsid w:val="13219BB2"/>
    <w:rsid w:val="132423F0"/>
    <w:rsid w:val="1326072B"/>
    <w:rsid w:val="132737F8"/>
    <w:rsid w:val="1328E0AF"/>
    <w:rsid w:val="13299325"/>
    <w:rsid w:val="1329A968"/>
    <w:rsid w:val="132C4F04"/>
    <w:rsid w:val="132C9983"/>
    <w:rsid w:val="1331F9E3"/>
    <w:rsid w:val="13331846"/>
    <w:rsid w:val="1338E360"/>
    <w:rsid w:val="133A9D71"/>
    <w:rsid w:val="134097DD"/>
    <w:rsid w:val="1342A661"/>
    <w:rsid w:val="1342EF04"/>
    <w:rsid w:val="13455B40"/>
    <w:rsid w:val="134724F0"/>
    <w:rsid w:val="134833A2"/>
    <w:rsid w:val="1349A93E"/>
    <w:rsid w:val="1349EE0E"/>
    <w:rsid w:val="134B68CB"/>
    <w:rsid w:val="134D5DB9"/>
    <w:rsid w:val="13505463"/>
    <w:rsid w:val="13532A4B"/>
    <w:rsid w:val="1353BF57"/>
    <w:rsid w:val="13569174"/>
    <w:rsid w:val="13579BBF"/>
    <w:rsid w:val="1357EC9A"/>
    <w:rsid w:val="135D00D9"/>
    <w:rsid w:val="135F83D5"/>
    <w:rsid w:val="135F924A"/>
    <w:rsid w:val="13620E62"/>
    <w:rsid w:val="1364BEB8"/>
    <w:rsid w:val="1365CADC"/>
    <w:rsid w:val="13674F35"/>
    <w:rsid w:val="136A4509"/>
    <w:rsid w:val="136D63C7"/>
    <w:rsid w:val="136E288B"/>
    <w:rsid w:val="13711559"/>
    <w:rsid w:val="13723EA4"/>
    <w:rsid w:val="13747E46"/>
    <w:rsid w:val="137534B6"/>
    <w:rsid w:val="1375CF2F"/>
    <w:rsid w:val="13778F5C"/>
    <w:rsid w:val="1378059A"/>
    <w:rsid w:val="137F0067"/>
    <w:rsid w:val="137F7CD4"/>
    <w:rsid w:val="137FD2A2"/>
    <w:rsid w:val="13820392"/>
    <w:rsid w:val="1382490A"/>
    <w:rsid w:val="13832DDA"/>
    <w:rsid w:val="13839747"/>
    <w:rsid w:val="1384A310"/>
    <w:rsid w:val="13850249"/>
    <w:rsid w:val="13863595"/>
    <w:rsid w:val="13867A48"/>
    <w:rsid w:val="13869934"/>
    <w:rsid w:val="138767BB"/>
    <w:rsid w:val="13882434"/>
    <w:rsid w:val="13884488"/>
    <w:rsid w:val="138A095F"/>
    <w:rsid w:val="138BCD61"/>
    <w:rsid w:val="138BCE7C"/>
    <w:rsid w:val="138C1B74"/>
    <w:rsid w:val="138D8BD4"/>
    <w:rsid w:val="138E1471"/>
    <w:rsid w:val="13912D6E"/>
    <w:rsid w:val="1392C098"/>
    <w:rsid w:val="1392E285"/>
    <w:rsid w:val="13940178"/>
    <w:rsid w:val="1395B835"/>
    <w:rsid w:val="1396151E"/>
    <w:rsid w:val="13971396"/>
    <w:rsid w:val="139AE02B"/>
    <w:rsid w:val="139B743D"/>
    <w:rsid w:val="139BF460"/>
    <w:rsid w:val="139CC2B6"/>
    <w:rsid w:val="139CF58B"/>
    <w:rsid w:val="139DCDCE"/>
    <w:rsid w:val="139E124C"/>
    <w:rsid w:val="139F5CFB"/>
    <w:rsid w:val="139FAF01"/>
    <w:rsid w:val="13A188F0"/>
    <w:rsid w:val="13A3A45D"/>
    <w:rsid w:val="13A60B33"/>
    <w:rsid w:val="13A84838"/>
    <w:rsid w:val="13AB0321"/>
    <w:rsid w:val="13B078E7"/>
    <w:rsid w:val="13B079B8"/>
    <w:rsid w:val="13B0876F"/>
    <w:rsid w:val="13B25673"/>
    <w:rsid w:val="13B3856B"/>
    <w:rsid w:val="13B3F6C6"/>
    <w:rsid w:val="13B82511"/>
    <w:rsid w:val="13B95BF6"/>
    <w:rsid w:val="13BAFE36"/>
    <w:rsid w:val="13BB66A4"/>
    <w:rsid w:val="13BC5557"/>
    <w:rsid w:val="13BD4879"/>
    <w:rsid w:val="13BF2579"/>
    <w:rsid w:val="13BF8DA0"/>
    <w:rsid w:val="13BFC0D2"/>
    <w:rsid w:val="13C21DC7"/>
    <w:rsid w:val="13C4B895"/>
    <w:rsid w:val="13C4BBC0"/>
    <w:rsid w:val="13C4F12F"/>
    <w:rsid w:val="13C52C68"/>
    <w:rsid w:val="13C5B2C1"/>
    <w:rsid w:val="13C63A0B"/>
    <w:rsid w:val="13C64F07"/>
    <w:rsid w:val="13C75D00"/>
    <w:rsid w:val="13CA61AE"/>
    <w:rsid w:val="13CC8477"/>
    <w:rsid w:val="13CCFBF9"/>
    <w:rsid w:val="13CEA35A"/>
    <w:rsid w:val="13D048CD"/>
    <w:rsid w:val="13D1C843"/>
    <w:rsid w:val="13D29FFB"/>
    <w:rsid w:val="13D2FC12"/>
    <w:rsid w:val="13D39513"/>
    <w:rsid w:val="13D48B05"/>
    <w:rsid w:val="13D4A6A4"/>
    <w:rsid w:val="13D6144A"/>
    <w:rsid w:val="13D7CD29"/>
    <w:rsid w:val="13D97951"/>
    <w:rsid w:val="13DD80E1"/>
    <w:rsid w:val="13E10012"/>
    <w:rsid w:val="13E2C0E5"/>
    <w:rsid w:val="13E54BB1"/>
    <w:rsid w:val="13E64607"/>
    <w:rsid w:val="13EFC391"/>
    <w:rsid w:val="13F476F5"/>
    <w:rsid w:val="13F716FA"/>
    <w:rsid w:val="13F80BCB"/>
    <w:rsid w:val="13F848E3"/>
    <w:rsid w:val="13FA7A25"/>
    <w:rsid w:val="13FD37FA"/>
    <w:rsid w:val="13FD9D7A"/>
    <w:rsid w:val="14035AF3"/>
    <w:rsid w:val="14050E5D"/>
    <w:rsid w:val="1405466B"/>
    <w:rsid w:val="1405FBB6"/>
    <w:rsid w:val="140FD6A4"/>
    <w:rsid w:val="141030CB"/>
    <w:rsid w:val="141C1A67"/>
    <w:rsid w:val="141C5603"/>
    <w:rsid w:val="141D6AFE"/>
    <w:rsid w:val="141DC34A"/>
    <w:rsid w:val="141EFD3E"/>
    <w:rsid w:val="141F2EDF"/>
    <w:rsid w:val="142248B1"/>
    <w:rsid w:val="14227029"/>
    <w:rsid w:val="14247D57"/>
    <w:rsid w:val="142515DE"/>
    <w:rsid w:val="14252231"/>
    <w:rsid w:val="14265818"/>
    <w:rsid w:val="1427FF1B"/>
    <w:rsid w:val="142A13E2"/>
    <w:rsid w:val="142A6840"/>
    <w:rsid w:val="142D466A"/>
    <w:rsid w:val="14317ECE"/>
    <w:rsid w:val="14329EAD"/>
    <w:rsid w:val="1434477D"/>
    <w:rsid w:val="1434BF73"/>
    <w:rsid w:val="1435330F"/>
    <w:rsid w:val="143593F0"/>
    <w:rsid w:val="1435DA8E"/>
    <w:rsid w:val="14369495"/>
    <w:rsid w:val="143CAE82"/>
    <w:rsid w:val="143E29DF"/>
    <w:rsid w:val="143E2FE8"/>
    <w:rsid w:val="14404C10"/>
    <w:rsid w:val="1441F6FF"/>
    <w:rsid w:val="14422F54"/>
    <w:rsid w:val="14468D97"/>
    <w:rsid w:val="1449B1DE"/>
    <w:rsid w:val="144AC371"/>
    <w:rsid w:val="144B4DF0"/>
    <w:rsid w:val="144E1119"/>
    <w:rsid w:val="144F7339"/>
    <w:rsid w:val="14516064"/>
    <w:rsid w:val="14517FFC"/>
    <w:rsid w:val="14528159"/>
    <w:rsid w:val="14529B27"/>
    <w:rsid w:val="1455FC31"/>
    <w:rsid w:val="1456E55E"/>
    <w:rsid w:val="1459F407"/>
    <w:rsid w:val="145A512B"/>
    <w:rsid w:val="145CCBA5"/>
    <w:rsid w:val="145D314B"/>
    <w:rsid w:val="145F3D26"/>
    <w:rsid w:val="14623D20"/>
    <w:rsid w:val="1464819F"/>
    <w:rsid w:val="1467BD28"/>
    <w:rsid w:val="14691484"/>
    <w:rsid w:val="14694904"/>
    <w:rsid w:val="146D2D61"/>
    <w:rsid w:val="146DE937"/>
    <w:rsid w:val="146EC92A"/>
    <w:rsid w:val="1470A0F0"/>
    <w:rsid w:val="1471476D"/>
    <w:rsid w:val="1473C5A7"/>
    <w:rsid w:val="1476B7AC"/>
    <w:rsid w:val="14771C67"/>
    <w:rsid w:val="1477645C"/>
    <w:rsid w:val="147779A9"/>
    <w:rsid w:val="1477FA51"/>
    <w:rsid w:val="147928E3"/>
    <w:rsid w:val="147A90ED"/>
    <w:rsid w:val="147CBA3A"/>
    <w:rsid w:val="147D521C"/>
    <w:rsid w:val="147E25DF"/>
    <w:rsid w:val="1480642B"/>
    <w:rsid w:val="14812C06"/>
    <w:rsid w:val="1481340D"/>
    <w:rsid w:val="14815596"/>
    <w:rsid w:val="14818E7E"/>
    <w:rsid w:val="1484EB3F"/>
    <w:rsid w:val="148697EC"/>
    <w:rsid w:val="1486F16A"/>
    <w:rsid w:val="148C626A"/>
    <w:rsid w:val="148C95A6"/>
    <w:rsid w:val="148D110F"/>
    <w:rsid w:val="149053B4"/>
    <w:rsid w:val="1493E267"/>
    <w:rsid w:val="1494F751"/>
    <w:rsid w:val="1495C106"/>
    <w:rsid w:val="149B8EAF"/>
    <w:rsid w:val="149FD886"/>
    <w:rsid w:val="14A43B7E"/>
    <w:rsid w:val="14A472C7"/>
    <w:rsid w:val="14A4ACB1"/>
    <w:rsid w:val="14A4ED61"/>
    <w:rsid w:val="14A5218B"/>
    <w:rsid w:val="14A52D42"/>
    <w:rsid w:val="14A5A840"/>
    <w:rsid w:val="14A91A8C"/>
    <w:rsid w:val="14AAE246"/>
    <w:rsid w:val="14AB3BA5"/>
    <w:rsid w:val="14ACBF9D"/>
    <w:rsid w:val="14AD0A55"/>
    <w:rsid w:val="14ADA2F0"/>
    <w:rsid w:val="14AE8D4A"/>
    <w:rsid w:val="14AEE20E"/>
    <w:rsid w:val="14AF029A"/>
    <w:rsid w:val="14B2DA93"/>
    <w:rsid w:val="14B466F2"/>
    <w:rsid w:val="14B59816"/>
    <w:rsid w:val="14B692A0"/>
    <w:rsid w:val="14B74922"/>
    <w:rsid w:val="14BAB80A"/>
    <w:rsid w:val="14BB46DA"/>
    <w:rsid w:val="14BD6BAC"/>
    <w:rsid w:val="14BE421E"/>
    <w:rsid w:val="14C0653C"/>
    <w:rsid w:val="14C09AE4"/>
    <w:rsid w:val="14C15DAC"/>
    <w:rsid w:val="14C3F5FA"/>
    <w:rsid w:val="14C59511"/>
    <w:rsid w:val="14C75B65"/>
    <w:rsid w:val="14C80793"/>
    <w:rsid w:val="14C89D2F"/>
    <w:rsid w:val="14CB92AE"/>
    <w:rsid w:val="14CCC294"/>
    <w:rsid w:val="14CE228F"/>
    <w:rsid w:val="14CE2F3A"/>
    <w:rsid w:val="14CF9A34"/>
    <w:rsid w:val="14D3EFCD"/>
    <w:rsid w:val="14D61C43"/>
    <w:rsid w:val="14D83D5E"/>
    <w:rsid w:val="14DA5ACF"/>
    <w:rsid w:val="14DA80BF"/>
    <w:rsid w:val="14DD635B"/>
    <w:rsid w:val="14DE0320"/>
    <w:rsid w:val="14DE1757"/>
    <w:rsid w:val="14DE2469"/>
    <w:rsid w:val="14E1E727"/>
    <w:rsid w:val="14E7BC31"/>
    <w:rsid w:val="14E90715"/>
    <w:rsid w:val="14E97A07"/>
    <w:rsid w:val="14EA09F1"/>
    <w:rsid w:val="14EB1DE1"/>
    <w:rsid w:val="14EE0F6C"/>
    <w:rsid w:val="14F03047"/>
    <w:rsid w:val="14F08ACD"/>
    <w:rsid w:val="14F22A01"/>
    <w:rsid w:val="14F2CD70"/>
    <w:rsid w:val="14F399DA"/>
    <w:rsid w:val="14F85BEF"/>
    <w:rsid w:val="14FCA747"/>
    <w:rsid w:val="14FCC6AB"/>
    <w:rsid w:val="14FD209E"/>
    <w:rsid w:val="14FDC79F"/>
    <w:rsid w:val="14FE8B84"/>
    <w:rsid w:val="14FFFE3F"/>
    <w:rsid w:val="15006A42"/>
    <w:rsid w:val="1501C495"/>
    <w:rsid w:val="15029C05"/>
    <w:rsid w:val="15076ED8"/>
    <w:rsid w:val="1507726C"/>
    <w:rsid w:val="1508EC7D"/>
    <w:rsid w:val="150BBD8C"/>
    <w:rsid w:val="150C3A67"/>
    <w:rsid w:val="150D5CBE"/>
    <w:rsid w:val="1510B558"/>
    <w:rsid w:val="15113602"/>
    <w:rsid w:val="151149E6"/>
    <w:rsid w:val="151158B5"/>
    <w:rsid w:val="151407CF"/>
    <w:rsid w:val="151581C5"/>
    <w:rsid w:val="1515940C"/>
    <w:rsid w:val="151729A2"/>
    <w:rsid w:val="15193074"/>
    <w:rsid w:val="151B3C8C"/>
    <w:rsid w:val="15202D33"/>
    <w:rsid w:val="1522945C"/>
    <w:rsid w:val="1524C42E"/>
    <w:rsid w:val="1524C9A1"/>
    <w:rsid w:val="1525B4F8"/>
    <w:rsid w:val="1526B12E"/>
    <w:rsid w:val="15270F6F"/>
    <w:rsid w:val="1527DFF5"/>
    <w:rsid w:val="1528807B"/>
    <w:rsid w:val="1529BBF5"/>
    <w:rsid w:val="1529DB74"/>
    <w:rsid w:val="152CA115"/>
    <w:rsid w:val="152D58A4"/>
    <w:rsid w:val="15316556"/>
    <w:rsid w:val="1543DCEC"/>
    <w:rsid w:val="1544A358"/>
    <w:rsid w:val="1545EB44"/>
    <w:rsid w:val="1545F044"/>
    <w:rsid w:val="1546D9F7"/>
    <w:rsid w:val="154CB135"/>
    <w:rsid w:val="154CF731"/>
    <w:rsid w:val="154DC7DC"/>
    <w:rsid w:val="154FE9B0"/>
    <w:rsid w:val="15501B5E"/>
    <w:rsid w:val="1551066E"/>
    <w:rsid w:val="155110C3"/>
    <w:rsid w:val="15532F45"/>
    <w:rsid w:val="15543F6D"/>
    <w:rsid w:val="155449E6"/>
    <w:rsid w:val="1554643D"/>
    <w:rsid w:val="15596590"/>
    <w:rsid w:val="155A5BEF"/>
    <w:rsid w:val="155D196A"/>
    <w:rsid w:val="155F8634"/>
    <w:rsid w:val="1560CBC3"/>
    <w:rsid w:val="156533F9"/>
    <w:rsid w:val="1567ED3C"/>
    <w:rsid w:val="1567F479"/>
    <w:rsid w:val="1568968E"/>
    <w:rsid w:val="156A83D4"/>
    <w:rsid w:val="156C5894"/>
    <w:rsid w:val="156CCF20"/>
    <w:rsid w:val="156DA8AB"/>
    <w:rsid w:val="156DD658"/>
    <w:rsid w:val="156F15F0"/>
    <w:rsid w:val="156F5533"/>
    <w:rsid w:val="156FDABB"/>
    <w:rsid w:val="15703C94"/>
    <w:rsid w:val="15725410"/>
    <w:rsid w:val="15729B9A"/>
    <w:rsid w:val="157392BC"/>
    <w:rsid w:val="15741904"/>
    <w:rsid w:val="1575BA49"/>
    <w:rsid w:val="15780294"/>
    <w:rsid w:val="157E6622"/>
    <w:rsid w:val="157FFB89"/>
    <w:rsid w:val="1582133E"/>
    <w:rsid w:val="158558FB"/>
    <w:rsid w:val="1585BD53"/>
    <w:rsid w:val="15890F31"/>
    <w:rsid w:val="15891C74"/>
    <w:rsid w:val="158BA206"/>
    <w:rsid w:val="158DDDEA"/>
    <w:rsid w:val="158FBC85"/>
    <w:rsid w:val="15959848"/>
    <w:rsid w:val="159741D2"/>
    <w:rsid w:val="1598F53D"/>
    <w:rsid w:val="159A2D5D"/>
    <w:rsid w:val="159C87CD"/>
    <w:rsid w:val="159F03D2"/>
    <w:rsid w:val="159FCD12"/>
    <w:rsid w:val="15A2AD8F"/>
    <w:rsid w:val="15A2E381"/>
    <w:rsid w:val="15A403F4"/>
    <w:rsid w:val="15A4ED2E"/>
    <w:rsid w:val="15A53181"/>
    <w:rsid w:val="15A5AD12"/>
    <w:rsid w:val="15A5B95D"/>
    <w:rsid w:val="15A71786"/>
    <w:rsid w:val="15A8F713"/>
    <w:rsid w:val="15A94723"/>
    <w:rsid w:val="15AD1B03"/>
    <w:rsid w:val="15ADB4E5"/>
    <w:rsid w:val="15B07172"/>
    <w:rsid w:val="15B1E851"/>
    <w:rsid w:val="15B21CB1"/>
    <w:rsid w:val="15B66396"/>
    <w:rsid w:val="15B888E8"/>
    <w:rsid w:val="15B94B01"/>
    <w:rsid w:val="15BD2F99"/>
    <w:rsid w:val="15BD75C3"/>
    <w:rsid w:val="15BED39F"/>
    <w:rsid w:val="15BF8641"/>
    <w:rsid w:val="15C1B799"/>
    <w:rsid w:val="15C23F20"/>
    <w:rsid w:val="15C34644"/>
    <w:rsid w:val="15C65003"/>
    <w:rsid w:val="15C9F034"/>
    <w:rsid w:val="15CBBFC4"/>
    <w:rsid w:val="15CBF34D"/>
    <w:rsid w:val="15CCA824"/>
    <w:rsid w:val="15CD09AC"/>
    <w:rsid w:val="15CECBA3"/>
    <w:rsid w:val="15CEFBDA"/>
    <w:rsid w:val="15D25C56"/>
    <w:rsid w:val="15D32191"/>
    <w:rsid w:val="15D3614B"/>
    <w:rsid w:val="15D48B81"/>
    <w:rsid w:val="15D4CEAA"/>
    <w:rsid w:val="15D5D29D"/>
    <w:rsid w:val="15D6D76F"/>
    <w:rsid w:val="15D83C5A"/>
    <w:rsid w:val="15DA6428"/>
    <w:rsid w:val="15DDA756"/>
    <w:rsid w:val="15DF5707"/>
    <w:rsid w:val="15E0A148"/>
    <w:rsid w:val="15E33185"/>
    <w:rsid w:val="15E3B08F"/>
    <w:rsid w:val="15E3D053"/>
    <w:rsid w:val="15E50EA5"/>
    <w:rsid w:val="15E53698"/>
    <w:rsid w:val="15E57BFC"/>
    <w:rsid w:val="15E7F57D"/>
    <w:rsid w:val="15E83CE3"/>
    <w:rsid w:val="15EA487E"/>
    <w:rsid w:val="15EDB506"/>
    <w:rsid w:val="15EFEBDB"/>
    <w:rsid w:val="15F07BC6"/>
    <w:rsid w:val="15F1A7F7"/>
    <w:rsid w:val="15F263E2"/>
    <w:rsid w:val="15F8E1C3"/>
    <w:rsid w:val="15F97F24"/>
    <w:rsid w:val="15FE4B25"/>
    <w:rsid w:val="16000AB2"/>
    <w:rsid w:val="1605A9EF"/>
    <w:rsid w:val="160613EC"/>
    <w:rsid w:val="1606B6F7"/>
    <w:rsid w:val="1607707E"/>
    <w:rsid w:val="16096DC8"/>
    <w:rsid w:val="1609C867"/>
    <w:rsid w:val="160BE6FB"/>
    <w:rsid w:val="160CA9AF"/>
    <w:rsid w:val="160DB917"/>
    <w:rsid w:val="160E74E7"/>
    <w:rsid w:val="160FBC57"/>
    <w:rsid w:val="161353F2"/>
    <w:rsid w:val="1615566E"/>
    <w:rsid w:val="16163410"/>
    <w:rsid w:val="161CDCF7"/>
    <w:rsid w:val="161D16DA"/>
    <w:rsid w:val="161DA936"/>
    <w:rsid w:val="161E872A"/>
    <w:rsid w:val="161FA0A3"/>
    <w:rsid w:val="16215BC5"/>
    <w:rsid w:val="16239FA1"/>
    <w:rsid w:val="1625A83B"/>
    <w:rsid w:val="1625B08E"/>
    <w:rsid w:val="1626BFD6"/>
    <w:rsid w:val="16279E7E"/>
    <w:rsid w:val="162832CB"/>
    <w:rsid w:val="162AEF61"/>
    <w:rsid w:val="162ED822"/>
    <w:rsid w:val="162F0ADA"/>
    <w:rsid w:val="1630D038"/>
    <w:rsid w:val="1630FA06"/>
    <w:rsid w:val="16322C16"/>
    <w:rsid w:val="16334539"/>
    <w:rsid w:val="1634CF06"/>
    <w:rsid w:val="1639E391"/>
    <w:rsid w:val="163C7EDA"/>
    <w:rsid w:val="163D0B92"/>
    <w:rsid w:val="163E5CD1"/>
    <w:rsid w:val="1640155A"/>
    <w:rsid w:val="1640CC26"/>
    <w:rsid w:val="1640F087"/>
    <w:rsid w:val="1641057E"/>
    <w:rsid w:val="16450C09"/>
    <w:rsid w:val="1647A766"/>
    <w:rsid w:val="1649030A"/>
    <w:rsid w:val="1649DB96"/>
    <w:rsid w:val="164A8898"/>
    <w:rsid w:val="164A8ED2"/>
    <w:rsid w:val="164BE4AD"/>
    <w:rsid w:val="164CE62B"/>
    <w:rsid w:val="164DD470"/>
    <w:rsid w:val="164E09D2"/>
    <w:rsid w:val="1650D6DB"/>
    <w:rsid w:val="1652FAFC"/>
    <w:rsid w:val="1654B442"/>
    <w:rsid w:val="1655B5F1"/>
    <w:rsid w:val="1655B657"/>
    <w:rsid w:val="1655D872"/>
    <w:rsid w:val="16567A90"/>
    <w:rsid w:val="1657AE30"/>
    <w:rsid w:val="1657D744"/>
    <w:rsid w:val="16581107"/>
    <w:rsid w:val="165BCE07"/>
    <w:rsid w:val="165C3E81"/>
    <w:rsid w:val="165F2433"/>
    <w:rsid w:val="165FD7EB"/>
    <w:rsid w:val="16601160"/>
    <w:rsid w:val="1660F2FB"/>
    <w:rsid w:val="1661E70A"/>
    <w:rsid w:val="1661FAA1"/>
    <w:rsid w:val="166241C1"/>
    <w:rsid w:val="16632BC6"/>
    <w:rsid w:val="16636FAA"/>
    <w:rsid w:val="1664425F"/>
    <w:rsid w:val="166586CB"/>
    <w:rsid w:val="1667457B"/>
    <w:rsid w:val="166A6DDD"/>
    <w:rsid w:val="166BAF9F"/>
    <w:rsid w:val="166BDAE6"/>
    <w:rsid w:val="166C9D92"/>
    <w:rsid w:val="166D03D3"/>
    <w:rsid w:val="166EB5E4"/>
    <w:rsid w:val="1670582A"/>
    <w:rsid w:val="1670ECBD"/>
    <w:rsid w:val="16764AB7"/>
    <w:rsid w:val="16786A15"/>
    <w:rsid w:val="1678EB3B"/>
    <w:rsid w:val="167A5BE8"/>
    <w:rsid w:val="167C0C4F"/>
    <w:rsid w:val="167D3710"/>
    <w:rsid w:val="167E5CB5"/>
    <w:rsid w:val="16809D36"/>
    <w:rsid w:val="168245B1"/>
    <w:rsid w:val="1683F363"/>
    <w:rsid w:val="16844EB3"/>
    <w:rsid w:val="1684A001"/>
    <w:rsid w:val="16859507"/>
    <w:rsid w:val="16874B0C"/>
    <w:rsid w:val="16875C14"/>
    <w:rsid w:val="1687B1CB"/>
    <w:rsid w:val="1689344B"/>
    <w:rsid w:val="1689A52A"/>
    <w:rsid w:val="1689EE52"/>
    <w:rsid w:val="168B0EC8"/>
    <w:rsid w:val="168BACF7"/>
    <w:rsid w:val="168E66AF"/>
    <w:rsid w:val="169021F5"/>
    <w:rsid w:val="169109DC"/>
    <w:rsid w:val="169136A2"/>
    <w:rsid w:val="1692F082"/>
    <w:rsid w:val="16934E7B"/>
    <w:rsid w:val="16947FB1"/>
    <w:rsid w:val="1697DAB5"/>
    <w:rsid w:val="16983472"/>
    <w:rsid w:val="169B7C99"/>
    <w:rsid w:val="16A0075F"/>
    <w:rsid w:val="16A1706F"/>
    <w:rsid w:val="16A67ACE"/>
    <w:rsid w:val="16A6A6DE"/>
    <w:rsid w:val="16A94D6F"/>
    <w:rsid w:val="16AC62EB"/>
    <w:rsid w:val="16AE31A3"/>
    <w:rsid w:val="16AF07A6"/>
    <w:rsid w:val="16B6FC20"/>
    <w:rsid w:val="16B816F3"/>
    <w:rsid w:val="16B8F900"/>
    <w:rsid w:val="16B9963C"/>
    <w:rsid w:val="16BCB004"/>
    <w:rsid w:val="16BCDCA4"/>
    <w:rsid w:val="16BD6518"/>
    <w:rsid w:val="16C3A078"/>
    <w:rsid w:val="16C579AD"/>
    <w:rsid w:val="16C863C8"/>
    <w:rsid w:val="16C87525"/>
    <w:rsid w:val="16CABE9B"/>
    <w:rsid w:val="16CB2B33"/>
    <w:rsid w:val="16CBA09E"/>
    <w:rsid w:val="16CBAB36"/>
    <w:rsid w:val="16CF5BED"/>
    <w:rsid w:val="16D02669"/>
    <w:rsid w:val="16D1B626"/>
    <w:rsid w:val="16D25567"/>
    <w:rsid w:val="16D2CA0A"/>
    <w:rsid w:val="16DA4547"/>
    <w:rsid w:val="16DAD562"/>
    <w:rsid w:val="16DE853A"/>
    <w:rsid w:val="16E0206B"/>
    <w:rsid w:val="16E02F07"/>
    <w:rsid w:val="16E1095F"/>
    <w:rsid w:val="16E1B1A7"/>
    <w:rsid w:val="16E46D24"/>
    <w:rsid w:val="16E4D45C"/>
    <w:rsid w:val="16E4D45F"/>
    <w:rsid w:val="16E5E2B9"/>
    <w:rsid w:val="16E70789"/>
    <w:rsid w:val="16E7A271"/>
    <w:rsid w:val="16E97332"/>
    <w:rsid w:val="16EB5F71"/>
    <w:rsid w:val="16EBA752"/>
    <w:rsid w:val="16ECB044"/>
    <w:rsid w:val="16EDA91D"/>
    <w:rsid w:val="16EEAD7D"/>
    <w:rsid w:val="16EF7417"/>
    <w:rsid w:val="16F32A96"/>
    <w:rsid w:val="16F4BB04"/>
    <w:rsid w:val="16F785B7"/>
    <w:rsid w:val="16F836AB"/>
    <w:rsid w:val="16F8B58A"/>
    <w:rsid w:val="1700C5CF"/>
    <w:rsid w:val="17019BF1"/>
    <w:rsid w:val="1702C481"/>
    <w:rsid w:val="170471B1"/>
    <w:rsid w:val="1706252F"/>
    <w:rsid w:val="17064E9A"/>
    <w:rsid w:val="17065ED4"/>
    <w:rsid w:val="1706E4F7"/>
    <w:rsid w:val="17085F94"/>
    <w:rsid w:val="1709B0F9"/>
    <w:rsid w:val="1709B980"/>
    <w:rsid w:val="170D4A3B"/>
    <w:rsid w:val="170E2312"/>
    <w:rsid w:val="170F3DE7"/>
    <w:rsid w:val="170FF7A8"/>
    <w:rsid w:val="1710BE40"/>
    <w:rsid w:val="1714A189"/>
    <w:rsid w:val="1714E7C6"/>
    <w:rsid w:val="1715BFDC"/>
    <w:rsid w:val="1716412B"/>
    <w:rsid w:val="17189E49"/>
    <w:rsid w:val="171A142C"/>
    <w:rsid w:val="171B736A"/>
    <w:rsid w:val="171E40F1"/>
    <w:rsid w:val="17223640"/>
    <w:rsid w:val="17255037"/>
    <w:rsid w:val="17267788"/>
    <w:rsid w:val="1728352A"/>
    <w:rsid w:val="17296F9D"/>
    <w:rsid w:val="17299A2E"/>
    <w:rsid w:val="172D32B0"/>
    <w:rsid w:val="172DBE00"/>
    <w:rsid w:val="172E9E9A"/>
    <w:rsid w:val="172EC2A9"/>
    <w:rsid w:val="172FE850"/>
    <w:rsid w:val="17326863"/>
    <w:rsid w:val="1732726C"/>
    <w:rsid w:val="1733CB1C"/>
    <w:rsid w:val="173594C6"/>
    <w:rsid w:val="1737BC4C"/>
    <w:rsid w:val="1738AF16"/>
    <w:rsid w:val="1738C8D8"/>
    <w:rsid w:val="173A8D7C"/>
    <w:rsid w:val="173DBAEE"/>
    <w:rsid w:val="173DBBC7"/>
    <w:rsid w:val="173DFEB6"/>
    <w:rsid w:val="173F6EDC"/>
    <w:rsid w:val="173FD6CC"/>
    <w:rsid w:val="1742708E"/>
    <w:rsid w:val="17444F12"/>
    <w:rsid w:val="1745B5DB"/>
    <w:rsid w:val="17480B02"/>
    <w:rsid w:val="1748951E"/>
    <w:rsid w:val="17493922"/>
    <w:rsid w:val="17504B19"/>
    <w:rsid w:val="1750DE94"/>
    <w:rsid w:val="17564996"/>
    <w:rsid w:val="175677E8"/>
    <w:rsid w:val="175D91B5"/>
    <w:rsid w:val="175E9EED"/>
    <w:rsid w:val="175EE912"/>
    <w:rsid w:val="175F0B6E"/>
    <w:rsid w:val="1762CDD1"/>
    <w:rsid w:val="176509E2"/>
    <w:rsid w:val="17679292"/>
    <w:rsid w:val="176907F7"/>
    <w:rsid w:val="1769B20C"/>
    <w:rsid w:val="176E3196"/>
    <w:rsid w:val="177030CD"/>
    <w:rsid w:val="177065F1"/>
    <w:rsid w:val="17713583"/>
    <w:rsid w:val="17714D8A"/>
    <w:rsid w:val="177188E3"/>
    <w:rsid w:val="177306BA"/>
    <w:rsid w:val="177378B3"/>
    <w:rsid w:val="1777A459"/>
    <w:rsid w:val="17780F11"/>
    <w:rsid w:val="177F9AFB"/>
    <w:rsid w:val="1780110B"/>
    <w:rsid w:val="1781FFEB"/>
    <w:rsid w:val="17828A4B"/>
    <w:rsid w:val="1783BC07"/>
    <w:rsid w:val="1784F5DE"/>
    <w:rsid w:val="1785BB42"/>
    <w:rsid w:val="17862E3D"/>
    <w:rsid w:val="178649A1"/>
    <w:rsid w:val="1787D026"/>
    <w:rsid w:val="1789E0A6"/>
    <w:rsid w:val="178C3824"/>
    <w:rsid w:val="178FC3F6"/>
    <w:rsid w:val="1790264F"/>
    <w:rsid w:val="1791EAA2"/>
    <w:rsid w:val="17948C39"/>
    <w:rsid w:val="1794DDB7"/>
    <w:rsid w:val="17950FE0"/>
    <w:rsid w:val="1795A8BE"/>
    <w:rsid w:val="17966743"/>
    <w:rsid w:val="1796C499"/>
    <w:rsid w:val="17973935"/>
    <w:rsid w:val="17973C56"/>
    <w:rsid w:val="1797CD0F"/>
    <w:rsid w:val="17981731"/>
    <w:rsid w:val="17998D55"/>
    <w:rsid w:val="179A8EF1"/>
    <w:rsid w:val="179AC84B"/>
    <w:rsid w:val="179C4019"/>
    <w:rsid w:val="179CAB38"/>
    <w:rsid w:val="179D4759"/>
    <w:rsid w:val="179E0457"/>
    <w:rsid w:val="179F74E5"/>
    <w:rsid w:val="17A0AB61"/>
    <w:rsid w:val="17A3D6C0"/>
    <w:rsid w:val="17A5E340"/>
    <w:rsid w:val="17A6702F"/>
    <w:rsid w:val="17AC32FC"/>
    <w:rsid w:val="17ACB77E"/>
    <w:rsid w:val="17ACFF96"/>
    <w:rsid w:val="17B009C0"/>
    <w:rsid w:val="17B034C5"/>
    <w:rsid w:val="17B19704"/>
    <w:rsid w:val="17B1B1A4"/>
    <w:rsid w:val="17B2C520"/>
    <w:rsid w:val="17B350B4"/>
    <w:rsid w:val="17B57351"/>
    <w:rsid w:val="17B60579"/>
    <w:rsid w:val="17B820D3"/>
    <w:rsid w:val="17B8D4CF"/>
    <w:rsid w:val="17BE3FE1"/>
    <w:rsid w:val="17BEE095"/>
    <w:rsid w:val="17BF5353"/>
    <w:rsid w:val="17BFC842"/>
    <w:rsid w:val="17C16EAF"/>
    <w:rsid w:val="17C262C8"/>
    <w:rsid w:val="17C965C6"/>
    <w:rsid w:val="17C979B2"/>
    <w:rsid w:val="17CA6714"/>
    <w:rsid w:val="17CAA652"/>
    <w:rsid w:val="17CB82BA"/>
    <w:rsid w:val="17CE00A0"/>
    <w:rsid w:val="17CE5314"/>
    <w:rsid w:val="17D22F25"/>
    <w:rsid w:val="17D5AA63"/>
    <w:rsid w:val="17D61C83"/>
    <w:rsid w:val="17D7338C"/>
    <w:rsid w:val="17D7D15A"/>
    <w:rsid w:val="17DA9251"/>
    <w:rsid w:val="17E32477"/>
    <w:rsid w:val="17E32CCC"/>
    <w:rsid w:val="17E3C1EC"/>
    <w:rsid w:val="17E48D9E"/>
    <w:rsid w:val="17E5FC2D"/>
    <w:rsid w:val="17E77E47"/>
    <w:rsid w:val="17E78F5A"/>
    <w:rsid w:val="17E83BDE"/>
    <w:rsid w:val="17E8BAF0"/>
    <w:rsid w:val="17EAB80F"/>
    <w:rsid w:val="17EB607B"/>
    <w:rsid w:val="17EF4823"/>
    <w:rsid w:val="17F1B8D2"/>
    <w:rsid w:val="17F392A3"/>
    <w:rsid w:val="17F6C431"/>
    <w:rsid w:val="17F8876E"/>
    <w:rsid w:val="17FAA970"/>
    <w:rsid w:val="17FDC865"/>
    <w:rsid w:val="17FE3E44"/>
    <w:rsid w:val="17FEE864"/>
    <w:rsid w:val="17FF6738"/>
    <w:rsid w:val="17FFA631"/>
    <w:rsid w:val="18008C00"/>
    <w:rsid w:val="180322F3"/>
    <w:rsid w:val="18040636"/>
    <w:rsid w:val="1804C737"/>
    <w:rsid w:val="18050A5A"/>
    <w:rsid w:val="180573A1"/>
    <w:rsid w:val="18079009"/>
    <w:rsid w:val="180B206B"/>
    <w:rsid w:val="180E09D0"/>
    <w:rsid w:val="180E4510"/>
    <w:rsid w:val="18129276"/>
    <w:rsid w:val="181333B5"/>
    <w:rsid w:val="181454CB"/>
    <w:rsid w:val="181470FF"/>
    <w:rsid w:val="18155D84"/>
    <w:rsid w:val="1815C921"/>
    <w:rsid w:val="1815D498"/>
    <w:rsid w:val="18181937"/>
    <w:rsid w:val="181ADB38"/>
    <w:rsid w:val="181BECED"/>
    <w:rsid w:val="181CEC2F"/>
    <w:rsid w:val="181DB28F"/>
    <w:rsid w:val="181E585C"/>
    <w:rsid w:val="181EF356"/>
    <w:rsid w:val="181FA8A1"/>
    <w:rsid w:val="18200ECA"/>
    <w:rsid w:val="1821F9FC"/>
    <w:rsid w:val="1822000E"/>
    <w:rsid w:val="18224779"/>
    <w:rsid w:val="18226FF7"/>
    <w:rsid w:val="1822BF32"/>
    <w:rsid w:val="182428D5"/>
    <w:rsid w:val="18249152"/>
    <w:rsid w:val="1824ACFF"/>
    <w:rsid w:val="18250D61"/>
    <w:rsid w:val="1828F60A"/>
    <w:rsid w:val="182AEDB0"/>
    <w:rsid w:val="182D4D41"/>
    <w:rsid w:val="182E607E"/>
    <w:rsid w:val="182EFBCD"/>
    <w:rsid w:val="182F4904"/>
    <w:rsid w:val="1830D32F"/>
    <w:rsid w:val="18321391"/>
    <w:rsid w:val="1832B9F7"/>
    <w:rsid w:val="183608C8"/>
    <w:rsid w:val="1837EB14"/>
    <w:rsid w:val="1838FD0F"/>
    <w:rsid w:val="18392237"/>
    <w:rsid w:val="18393909"/>
    <w:rsid w:val="183A79B2"/>
    <w:rsid w:val="183B20E1"/>
    <w:rsid w:val="18400020"/>
    <w:rsid w:val="1841E76A"/>
    <w:rsid w:val="1842C0A9"/>
    <w:rsid w:val="18452050"/>
    <w:rsid w:val="18453DD5"/>
    <w:rsid w:val="1847EF41"/>
    <w:rsid w:val="1848A992"/>
    <w:rsid w:val="1849AB70"/>
    <w:rsid w:val="184BB56E"/>
    <w:rsid w:val="184C7515"/>
    <w:rsid w:val="184D32D6"/>
    <w:rsid w:val="184E4C75"/>
    <w:rsid w:val="184EE4A8"/>
    <w:rsid w:val="184F0E25"/>
    <w:rsid w:val="185088D0"/>
    <w:rsid w:val="18512B20"/>
    <w:rsid w:val="1852C6A4"/>
    <w:rsid w:val="18530C2C"/>
    <w:rsid w:val="18530F51"/>
    <w:rsid w:val="18572EB3"/>
    <w:rsid w:val="18578385"/>
    <w:rsid w:val="185A0630"/>
    <w:rsid w:val="185A07FC"/>
    <w:rsid w:val="185D1D45"/>
    <w:rsid w:val="185DAC4C"/>
    <w:rsid w:val="185DBF02"/>
    <w:rsid w:val="186070B3"/>
    <w:rsid w:val="1860BBDE"/>
    <w:rsid w:val="1862628C"/>
    <w:rsid w:val="1865E093"/>
    <w:rsid w:val="18671913"/>
    <w:rsid w:val="186770FF"/>
    <w:rsid w:val="1868277B"/>
    <w:rsid w:val="186936E1"/>
    <w:rsid w:val="186962D8"/>
    <w:rsid w:val="1869714A"/>
    <w:rsid w:val="186BD24E"/>
    <w:rsid w:val="186BE79D"/>
    <w:rsid w:val="186C092E"/>
    <w:rsid w:val="186E39B8"/>
    <w:rsid w:val="1870D1FD"/>
    <w:rsid w:val="18714806"/>
    <w:rsid w:val="1873306F"/>
    <w:rsid w:val="18741C9C"/>
    <w:rsid w:val="18759087"/>
    <w:rsid w:val="1876A31F"/>
    <w:rsid w:val="18787665"/>
    <w:rsid w:val="187A743E"/>
    <w:rsid w:val="187AC392"/>
    <w:rsid w:val="187C4F81"/>
    <w:rsid w:val="187F63BC"/>
    <w:rsid w:val="18815F35"/>
    <w:rsid w:val="188372D2"/>
    <w:rsid w:val="1884D4E1"/>
    <w:rsid w:val="188528CA"/>
    <w:rsid w:val="18854BFE"/>
    <w:rsid w:val="188574E4"/>
    <w:rsid w:val="18871C56"/>
    <w:rsid w:val="18889519"/>
    <w:rsid w:val="1888B72C"/>
    <w:rsid w:val="188A90EA"/>
    <w:rsid w:val="188E2CB4"/>
    <w:rsid w:val="188F3B65"/>
    <w:rsid w:val="188FD3F9"/>
    <w:rsid w:val="1890F9B4"/>
    <w:rsid w:val="18932F01"/>
    <w:rsid w:val="1894FC77"/>
    <w:rsid w:val="1895438A"/>
    <w:rsid w:val="1897FFBD"/>
    <w:rsid w:val="18980520"/>
    <w:rsid w:val="189886B0"/>
    <w:rsid w:val="1899ECE8"/>
    <w:rsid w:val="189A3B70"/>
    <w:rsid w:val="189B94FD"/>
    <w:rsid w:val="189EA545"/>
    <w:rsid w:val="189FBD17"/>
    <w:rsid w:val="18A22EA9"/>
    <w:rsid w:val="18A446BD"/>
    <w:rsid w:val="18A4C57E"/>
    <w:rsid w:val="18A583E0"/>
    <w:rsid w:val="18A7ED34"/>
    <w:rsid w:val="18A9FC86"/>
    <w:rsid w:val="18AA18C5"/>
    <w:rsid w:val="18ABA717"/>
    <w:rsid w:val="18B075CF"/>
    <w:rsid w:val="18B4440D"/>
    <w:rsid w:val="18B7F310"/>
    <w:rsid w:val="18B81CEE"/>
    <w:rsid w:val="18B820DB"/>
    <w:rsid w:val="18BBADC6"/>
    <w:rsid w:val="18BE5AAB"/>
    <w:rsid w:val="18C078BD"/>
    <w:rsid w:val="18C32F16"/>
    <w:rsid w:val="18C34EB5"/>
    <w:rsid w:val="18C62C74"/>
    <w:rsid w:val="18C74615"/>
    <w:rsid w:val="18C95272"/>
    <w:rsid w:val="18CBC595"/>
    <w:rsid w:val="18CCC06B"/>
    <w:rsid w:val="18CD92A2"/>
    <w:rsid w:val="18CE59B0"/>
    <w:rsid w:val="18CEF1EC"/>
    <w:rsid w:val="18CF6114"/>
    <w:rsid w:val="18CFE51C"/>
    <w:rsid w:val="18D2884C"/>
    <w:rsid w:val="18D386B3"/>
    <w:rsid w:val="18D3B70D"/>
    <w:rsid w:val="18D51BED"/>
    <w:rsid w:val="18D65419"/>
    <w:rsid w:val="18D69D38"/>
    <w:rsid w:val="18D6B2A0"/>
    <w:rsid w:val="18D73F4F"/>
    <w:rsid w:val="18D93F37"/>
    <w:rsid w:val="18D99E60"/>
    <w:rsid w:val="18DA1551"/>
    <w:rsid w:val="18DA7A66"/>
    <w:rsid w:val="18DB0501"/>
    <w:rsid w:val="18DB32D4"/>
    <w:rsid w:val="18DBABB8"/>
    <w:rsid w:val="18DC8C3C"/>
    <w:rsid w:val="18DF79FD"/>
    <w:rsid w:val="18DFED4D"/>
    <w:rsid w:val="18E00930"/>
    <w:rsid w:val="18E4351B"/>
    <w:rsid w:val="18E45023"/>
    <w:rsid w:val="18E7FA54"/>
    <w:rsid w:val="18E9D6B6"/>
    <w:rsid w:val="18EF459C"/>
    <w:rsid w:val="18F12ABD"/>
    <w:rsid w:val="18F1B740"/>
    <w:rsid w:val="18F214FA"/>
    <w:rsid w:val="18F2B35A"/>
    <w:rsid w:val="18F54F3B"/>
    <w:rsid w:val="18F56D50"/>
    <w:rsid w:val="18F7E4AA"/>
    <w:rsid w:val="18F8BDD5"/>
    <w:rsid w:val="18FA149E"/>
    <w:rsid w:val="18FAB1CE"/>
    <w:rsid w:val="18FB2D9A"/>
    <w:rsid w:val="18FB794F"/>
    <w:rsid w:val="18FC4D18"/>
    <w:rsid w:val="18FD3F98"/>
    <w:rsid w:val="18FE8C54"/>
    <w:rsid w:val="18FEAD52"/>
    <w:rsid w:val="18FEC044"/>
    <w:rsid w:val="18FED327"/>
    <w:rsid w:val="1905E73C"/>
    <w:rsid w:val="190671C4"/>
    <w:rsid w:val="19096DCE"/>
    <w:rsid w:val="19098145"/>
    <w:rsid w:val="190A4703"/>
    <w:rsid w:val="190AD252"/>
    <w:rsid w:val="190C40C8"/>
    <w:rsid w:val="190C66DE"/>
    <w:rsid w:val="190E8C79"/>
    <w:rsid w:val="190F875A"/>
    <w:rsid w:val="190F9304"/>
    <w:rsid w:val="191354A0"/>
    <w:rsid w:val="1914A8B9"/>
    <w:rsid w:val="1914DF59"/>
    <w:rsid w:val="191579FE"/>
    <w:rsid w:val="19166DB9"/>
    <w:rsid w:val="19186138"/>
    <w:rsid w:val="1919A8DB"/>
    <w:rsid w:val="1919B71A"/>
    <w:rsid w:val="191A501A"/>
    <w:rsid w:val="191AAD26"/>
    <w:rsid w:val="191C79D4"/>
    <w:rsid w:val="191EA5C5"/>
    <w:rsid w:val="1922A12B"/>
    <w:rsid w:val="19240BB2"/>
    <w:rsid w:val="19248FA7"/>
    <w:rsid w:val="1929A886"/>
    <w:rsid w:val="1929C9A1"/>
    <w:rsid w:val="192BF2BE"/>
    <w:rsid w:val="192D3A59"/>
    <w:rsid w:val="192EEBA1"/>
    <w:rsid w:val="192F1806"/>
    <w:rsid w:val="192F4FE5"/>
    <w:rsid w:val="192FEC89"/>
    <w:rsid w:val="19338BE8"/>
    <w:rsid w:val="19339885"/>
    <w:rsid w:val="19341849"/>
    <w:rsid w:val="19350600"/>
    <w:rsid w:val="1935C091"/>
    <w:rsid w:val="1935EFCA"/>
    <w:rsid w:val="193628B8"/>
    <w:rsid w:val="19363936"/>
    <w:rsid w:val="193647DB"/>
    <w:rsid w:val="19368C65"/>
    <w:rsid w:val="1937B134"/>
    <w:rsid w:val="1937FE0D"/>
    <w:rsid w:val="19397A1B"/>
    <w:rsid w:val="193AA02E"/>
    <w:rsid w:val="19408F8E"/>
    <w:rsid w:val="19441016"/>
    <w:rsid w:val="19447CFE"/>
    <w:rsid w:val="19458CB6"/>
    <w:rsid w:val="194735EC"/>
    <w:rsid w:val="19476C70"/>
    <w:rsid w:val="1948D6BA"/>
    <w:rsid w:val="194A9D5F"/>
    <w:rsid w:val="194AD2C6"/>
    <w:rsid w:val="194B18F8"/>
    <w:rsid w:val="194BAC5E"/>
    <w:rsid w:val="194D3D77"/>
    <w:rsid w:val="194E6096"/>
    <w:rsid w:val="194E666B"/>
    <w:rsid w:val="195318CD"/>
    <w:rsid w:val="195966F5"/>
    <w:rsid w:val="195B5DFF"/>
    <w:rsid w:val="19600063"/>
    <w:rsid w:val="19626026"/>
    <w:rsid w:val="19627538"/>
    <w:rsid w:val="1962AE5E"/>
    <w:rsid w:val="1962C6EA"/>
    <w:rsid w:val="19654F78"/>
    <w:rsid w:val="19672DF5"/>
    <w:rsid w:val="196ADEF8"/>
    <w:rsid w:val="196DE3B7"/>
    <w:rsid w:val="196EF54A"/>
    <w:rsid w:val="196F1899"/>
    <w:rsid w:val="196F2537"/>
    <w:rsid w:val="19722F7C"/>
    <w:rsid w:val="197C49FA"/>
    <w:rsid w:val="197CB09C"/>
    <w:rsid w:val="197CEB7F"/>
    <w:rsid w:val="197E15E2"/>
    <w:rsid w:val="197ECE87"/>
    <w:rsid w:val="198288AE"/>
    <w:rsid w:val="198368A7"/>
    <w:rsid w:val="1983A88D"/>
    <w:rsid w:val="1985D0D3"/>
    <w:rsid w:val="19870F77"/>
    <w:rsid w:val="19894646"/>
    <w:rsid w:val="198A1DA9"/>
    <w:rsid w:val="198FD5A2"/>
    <w:rsid w:val="19906A2C"/>
    <w:rsid w:val="1991B652"/>
    <w:rsid w:val="1992E804"/>
    <w:rsid w:val="199515F6"/>
    <w:rsid w:val="199521A8"/>
    <w:rsid w:val="19958B57"/>
    <w:rsid w:val="1995E177"/>
    <w:rsid w:val="199AB540"/>
    <w:rsid w:val="199CD9D9"/>
    <w:rsid w:val="199D5F09"/>
    <w:rsid w:val="199D9BF1"/>
    <w:rsid w:val="199E0EE3"/>
    <w:rsid w:val="199FC75A"/>
    <w:rsid w:val="19A0E5DE"/>
    <w:rsid w:val="19A4103F"/>
    <w:rsid w:val="19A43E54"/>
    <w:rsid w:val="19A71C1E"/>
    <w:rsid w:val="19A75031"/>
    <w:rsid w:val="19A9156B"/>
    <w:rsid w:val="19AEBC40"/>
    <w:rsid w:val="19AFDFDF"/>
    <w:rsid w:val="19B015BD"/>
    <w:rsid w:val="19B02277"/>
    <w:rsid w:val="19B048F0"/>
    <w:rsid w:val="19B2A96B"/>
    <w:rsid w:val="19B67CF2"/>
    <w:rsid w:val="19B745EC"/>
    <w:rsid w:val="19B9CD8D"/>
    <w:rsid w:val="19BACD0E"/>
    <w:rsid w:val="19BB1743"/>
    <w:rsid w:val="19BC015C"/>
    <w:rsid w:val="19BC64D8"/>
    <w:rsid w:val="19BC7137"/>
    <w:rsid w:val="19BDCB48"/>
    <w:rsid w:val="19C0B076"/>
    <w:rsid w:val="19C0C222"/>
    <w:rsid w:val="19C186E8"/>
    <w:rsid w:val="19C30E3F"/>
    <w:rsid w:val="19C4D03E"/>
    <w:rsid w:val="19C513D9"/>
    <w:rsid w:val="19C62BDE"/>
    <w:rsid w:val="19C6CFA6"/>
    <w:rsid w:val="19C89E61"/>
    <w:rsid w:val="19CA617E"/>
    <w:rsid w:val="19CC3F46"/>
    <w:rsid w:val="19D08B04"/>
    <w:rsid w:val="19D154B0"/>
    <w:rsid w:val="19D2057D"/>
    <w:rsid w:val="19D5FE75"/>
    <w:rsid w:val="19D71806"/>
    <w:rsid w:val="19D85FCF"/>
    <w:rsid w:val="19DBFCC6"/>
    <w:rsid w:val="19DE47A0"/>
    <w:rsid w:val="19DECE16"/>
    <w:rsid w:val="19E0B09E"/>
    <w:rsid w:val="19E0D08D"/>
    <w:rsid w:val="19E1F03D"/>
    <w:rsid w:val="19E277FC"/>
    <w:rsid w:val="19E2D932"/>
    <w:rsid w:val="19E32A08"/>
    <w:rsid w:val="19E8BE93"/>
    <w:rsid w:val="19EA2794"/>
    <w:rsid w:val="19EA5366"/>
    <w:rsid w:val="19EB748B"/>
    <w:rsid w:val="19EB7A75"/>
    <w:rsid w:val="19EE39A8"/>
    <w:rsid w:val="19F0964A"/>
    <w:rsid w:val="19F1B051"/>
    <w:rsid w:val="19F23B40"/>
    <w:rsid w:val="19F25940"/>
    <w:rsid w:val="19F7834D"/>
    <w:rsid w:val="19F7A084"/>
    <w:rsid w:val="19F92351"/>
    <w:rsid w:val="19F9B42C"/>
    <w:rsid w:val="19FC3B30"/>
    <w:rsid w:val="1A0052A4"/>
    <w:rsid w:val="1A03AD40"/>
    <w:rsid w:val="1A03F39F"/>
    <w:rsid w:val="1A0670F3"/>
    <w:rsid w:val="1A0ACBD3"/>
    <w:rsid w:val="1A0BEDC3"/>
    <w:rsid w:val="1A0C3722"/>
    <w:rsid w:val="1A0F0B0D"/>
    <w:rsid w:val="1A1690BC"/>
    <w:rsid w:val="1A169C28"/>
    <w:rsid w:val="1A1717B9"/>
    <w:rsid w:val="1A19326A"/>
    <w:rsid w:val="1A19D741"/>
    <w:rsid w:val="1A1C1258"/>
    <w:rsid w:val="1A1CAB78"/>
    <w:rsid w:val="1A1CC97B"/>
    <w:rsid w:val="1A1ED8ED"/>
    <w:rsid w:val="1A1F63D5"/>
    <w:rsid w:val="1A1F8A64"/>
    <w:rsid w:val="1A24BF2F"/>
    <w:rsid w:val="1A256DA0"/>
    <w:rsid w:val="1A2685AD"/>
    <w:rsid w:val="1A268C6E"/>
    <w:rsid w:val="1A270E6E"/>
    <w:rsid w:val="1A274AB3"/>
    <w:rsid w:val="1A292F0F"/>
    <w:rsid w:val="1A29B596"/>
    <w:rsid w:val="1A2A2031"/>
    <w:rsid w:val="1A2B4DCE"/>
    <w:rsid w:val="1A2DD0E9"/>
    <w:rsid w:val="1A2F7B9C"/>
    <w:rsid w:val="1A32EAC7"/>
    <w:rsid w:val="1A353128"/>
    <w:rsid w:val="1A37FD47"/>
    <w:rsid w:val="1A38D29D"/>
    <w:rsid w:val="1A39E764"/>
    <w:rsid w:val="1A3A8C34"/>
    <w:rsid w:val="1A3AAF14"/>
    <w:rsid w:val="1A3CE14C"/>
    <w:rsid w:val="1A3D0CAE"/>
    <w:rsid w:val="1A3F6729"/>
    <w:rsid w:val="1A3FBD93"/>
    <w:rsid w:val="1A412202"/>
    <w:rsid w:val="1A42841E"/>
    <w:rsid w:val="1A42ADD5"/>
    <w:rsid w:val="1A439CB2"/>
    <w:rsid w:val="1A4602D2"/>
    <w:rsid w:val="1A472B04"/>
    <w:rsid w:val="1A48ACA7"/>
    <w:rsid w:val="1A496F81"/>
    <w:rsid w:val="1A49CFA1"/>
    <w:rsid w:val="1A4A90D0"/>
    <w:rsid w:val="1A4F47C6"/>
    <w:rsid w:val="1A500957"/>
    <w:rsid w:val="1A52800B"/>
    <w:rsid w:val="1A56273F"/>
    <w:rsid w:val="1A583C18"/>
    <w:rsid w:val="1A5B0CC8"/>
    <w:rsid w:val="1A5D6805"/>
    <w:rsid w:val="1A62FFE2"/>
    <w:rsid w:val="1A66587E"/>
    <w:rsid w:val="1A68A9A6"/>
    <w:rsid w:val="1A69C50C"/>
    <w:rsid w:val="1A6CC48A"/>
    <w:rsid w:val="1A6E920A"/>
    <w:rsid w:val="1A725180"/>
    <w:rsid w:val="1A750568"/>
    <w:rsid w:val="1A78708B"/>
    <w:rsid w:val="1A7A8E17"/>
    <w:rsid w:val="1A7AD3E9"/>
    <w:rsid w:val="1A7AD9FA"/>
    <w:rsid w:val="1A7D0CE9"/>
    <w:rsid w:val="1A7D3FC8"/>
    <w:rsid w:val="1A812E5E"/>
    <w:rsid w:val="1A81E4A8"/>
    <w:rsid w:val="1A8282B1"/>
    <w:rsid w:val="1A82BD7B"/>
    <w:rsid w:val="1A84B577"/>
    <w:rsid w:val="1A84FBE1"/>
    <w:rsid w:val="1A8500B8"/>
    <w:rsid w:val="1A85B2A2"/>
    <w:rsid w:val="1A85C522"/>
    <w:rsid w:val="1A861D0C"/>
    <w:rsid w:val="1A86E0F0"/>
    <w:rsid w:val="1A86E3E9"/>
    <w:rsid w:val="1A889ECB"/>
    <w:rsid w:val="1A89A74B"/>
    <w:rsid w:val="1A8A8627"/>
    <w:rsid w:val="1A8B2158"/>
    <w:rsid w:val="1A8B853C"/>
    <w:rsid w:val="1A8BD871"/>
    <w:rsid w:val="1A902560"/>
    <w:rsid w:val="1A926457"/>
    <w:rsid w:val="1A9294A9"/>
    <w:rsid w:val="1A92BE02"/>
    <w:rsid w:val="1A92D005"/>
    <w:rsid w:val="1A93A01C"/>
    <w:rsid w:val="1A93AA40"/>
    <w:rsid w:val="1A96253A"/>
    <w:rsid w:val="1A968457"/>
    <w:rsid w:val="1A9690BF"/>
    <w:rsid w:val="1A9AF17B"/>
    <w:rsid w:val="1A9B1099"/>
    <w:rsid w:val="1A9C71D6"/>
    <w:rsid w:val="1A9CFD36"/>
    <w:rsid w:val="1A9DFF97"/>
    <w:rsid w:val="1AA213F5"/>
    <w:rsid w:val="1AA3FE5B"/>
    <w:rsid w:val="1AA42C3A"/>
    <w:rsid w:val="1AA61F13"/>
    <w:rsid w:val="1AA76839"/>
    <w:rsid w:val="1AAA7EDE"/>
    <w:rsid w:val="1AABBA62"/>
    <w:rsid w:val="1AAEAFBE"/>
    <w:rsid w:val="1AB1667F"/>
    <w:rsid w:val="1AB22A2D"/>
    <w:rsid w:val="1AB672D6"/>
    <w:rsid w:val="1AB79299"/>
    <w:rsid w:val="1AB8C80C"/>
    <w:rsid w:val="1AC1A46B"/>
    <w:rsid w:val="1AC1FA0C"/>
    <w:rsid w:val="1AC3C942"/>
    <w:rsid w:val="1AC4DC30"/>
    <w:rsid w:val="1AC596FD"/>
    <w:rsid w:val="1AC6031F"/>
    <w:rsid w:val="1AC6B568"/>
    <w:rsid w:val="1ACA278F"/>
    <w:rsid w:val="1ACC1EA1"/>
    <w:rsid w:val="1ACD0ADE"/>
    <w:rsid w:val="1ACD5474"/>
    <w:rsid w:val="1ACDD99A"/>
    <w:rsid w:val="1ACE538C"/>
    <w:rsid w:val="1AD046CC"/>
    <w:rsid w:val="1AD0482E"/>
    <w:rsid w:val="1AD30E69"/>
    <w:rsid w:val="1AD59385"/>
    <w:rsid w:val="1AD7DBB9"/>
    <w:rsid w:val="1AD9EB48"/>
    <w:rsid w:val="1ADC43E3"/>
    <w:rsid w:val="1ADD62EF"/>
    <w:rsid w:val="1AE01AD2"/>
    <w:rsid w:val="1AE0B28A"/>
    <w:rsid w:val="1AE2E5D0"/>
    <w:rsid w:val="1AE6501F"/>
    <w:rsid w:val="1AE77B86"/>
    <w:rsid w:val="1AE8A627"/>
    <w:rsid w:val="1AEA7D73"/>
    <w:rsid w:val="1AEAD1F6"/>
    <w:rsid w:val="1AED8C51"/>
    <w:rsid w:val="1AEDA8CE"/>
    <w:rsid w:val="1AEDFA8A"/>
    <w:rsid w:val="1AEF026C"/>
    <w:rsid w:val="1AF05448"/>
    <w:rsid w:val="1AF0A87A"/>
    <w:rsid w:val="1AF1BA66"/>
    <w:rsid w:val="1AF1BE00"/>
    <w:rsid w:val="1AF4095D"/>
    <w:rsid w:val="1AF5BEC8"/>
    <w:rsid w:val="1AF648F8"/>
    <w:rsid w:val="1AF825D1"/>
    <w:rsid w:val="1AF88A65"/>
    <w:rsid w:val="1AFAA3AB"/>
    <w:rsid w:val="1AFAC22F"/>
    <w:rsid w:val="1AFB1297"/>
    <w:rsid w:val="1AFC05EA"/>
    <w:rsid w:val="1AFCEC62"/>
    <w:rsid w:val="1AFCECCA"/>
    <w:rsid w:val="1AFDD5A9"/>
    <w:rsid w:val="1B016961"/>
    <w:rsid w:val="1B02EE52"/>
    <w:rsid w:val="1B0534C9"/>
    <w:rsid w:val="1B083ECE"/>
    <w:rsid w:val="1B093B2C"/>
    <w:rsid w:val="1B0A921C"/>
    <w:rsid w:val="1B0B4965"/>
    <w:rsid w:val="1B0B6F82"/>
    <w:rsid w:val="1B0E7B38"/>
    <w:rsid w:val="1B0F0A5B"/>
    <w:rsid w:val="1B0FE26C"/>
    <w:rsid w:val="1B117666"/>
    <w:rsid w:val="1B14FBDC"/>
    <w:rsid w:val="1B15C9FC"/>
    <w:rsid w:val="1B168C41"/>
    <w:rsid w:val="1B16FE58"/>
    <w:rsid w:val="1B19CFC8"/>
    <w:rsid w:val="1B1B7CAD"/>
    <w:rsid w:val="1B1E635E"/>
    <w:rsid w:val="1B1F94BB"/>
    <w:rsid w:val="1B21E8CC"/>
    <w:rsid w:val="1B227654"/>
    <w:rsid w:val="1B23756E"/>
    <w:rsid w:val="1B23DC66"/>
    <w:rsid w:val="1B254C1D"/>
    <w:rsid w:val="1B26583C"/>
    <w:rsid w:val="1B28A9F8"/>
    <w:rsid w:val="1B2B423B"/>
    <w:rsid w:val="1B2BC3DE"/>
    <w:rsid w:val="1B2DE99F"/>
    <w:rsid w:val="1B3204EB"/>
    <w:rsid w:val="1B32F487"/>
    <w:rsid w:val="1B330C5B"/>
    <w:rsid w:val="1B334DBA"/>
    <w:rsid w:val="1B3395CB"/>
    <w:rsid w:val="1B3584C6"/>
    <w:rsid w:val="1B39C566"/>
    <w:rsid w:val="1B3BE194"/>
    <w:rsid w:val="1B3C395B"/>
    <w:rsid w:val="1B3D4166"/>
    <w:rsid w:val="1B3EE8D8"/>
    <w:rsid w:val="1B43F9BF"/>
    <w:rsid w:val="1B441519"/>
    <w:rsid w:val="1B465563"/>
    <w:rsid w:val="1B49BDC6"/>
    <w:rsid w:val="1B49ECC0"/>
    <w:rsid w:val="1B4CA2D7"/>
    <w:rsid w:val="1B4D25C0"/>
    <w:rsid w:val="1B4D4142"/>
    <w:rsid w:val="1B4DF654"/>
    <w:rsid w:val="1B4E13BC"/>
    <w:rsid w:val="1B4E3294"/>
    <w:rsid w:val="1B4F7133"/>
    <w:rsid w:val="1B502293"/>
    <w:rsid w:val="1B508B78"/>
    <w:rsid w:val="1B50C4A9"/>
    <w:rsid w:val="1B510CA2"/>
    <w:rsid w:val="1B518E20"/>
    <w:rsid w:val="1B52E33F"/>
    <w:rsid w:val="1B544B5E"/>
    <w:rsid w:val="1B546649"/>
    <w:rsid w:val="1B548A9C"/>
    <w:rsid w:val="1B562F6B"/>
    <w:rsid w:val="1B568B71"/>
    <w:rsid w:val="1B586DDA"/>
    <w:rsid w:val="1B590F2A"/>
    <w:rsid w:val="1B59934F"/>
    <w:rsid w:val="1B5B4CE8"/>
    <w:rsid w:val="1B5C04AC"/>
    <w:rsid w:val="1B5D2E8F"/>
    <w:rsid w:val="1B5ED22A"/>
    <w:rsid w:val="1B5FF708"/>
    <w:rsid w:val="1B609B5E"/>
    <w:rsid w:val="1B64E9C7"/>
    <w:rsid w:val="1B670DDB"/>
    <w:rsid w:val="1B67E2D6"/>
    <w:rsid w:val="1B6A49E7"/>
    <w:rsid w:val="1B6D961D"/>
    <w:rsid w:val="1B7055E9"/>
    <w:rsid w:val="1B739414"/>
    <w:rsid w:val="1B76E919"/>
    <w:rsid w:val="1B7772C2"/>
    <w:rsid w:val="1B798171"/>
    <w:rsid w:val="1B79A7AC"/>
    <w:rsid w:val="1B79C6AB"/>
    <w:rsid w:val="1B79C803"/>
    <w:rsid w:val="1B79D98E"/>
    <w:rsid w:val="1B7CEA5D"/>
    <w:rsid w:val="1B7D9691"/>
    <w:rsid w:val="1B7DE4EB"/>
    <w:rsid w:val="1B7F573D"/>
    <w:rsid w:val="1B7FAAC0"/>
    <w:rsid w:val="1B804822"/>
    <w:rsid w:val="1B81901B"/>
    <w:rsid w:val="1B81A6FF"/>
    <w:rsid w:val="1B852F1B"/>
    <w:rsid w:val="1B890948"/>
    <w:rsid w:val="1B89A279"/>
    <w:rsid w:val="1B8BD955"/>
    <w:rsid w:val="1B8C10C1"/>
    <w:rsid w:val="1B8DECD3"/>
    <w:rsid w:val="1B929DF2"/>
    <w:rsid w:val="1B93515E"/>
    <w:rsid w:val="1B937EBD"/>
    <w:rsid w:val="1B94EF87"/>
    <w:rsid w:val="1B95FDA8"/>
    <w:rsid w:val="1B96ABBE"/>
    <w:rsid w:val="1B96DF3A"/>
    <w:rsid w:val="1B985CA0"/>
    <w:rsid w:val="1B98CEF2"/>
    <w:rsid w:val="1B9A0E8C"/>
    <w:rsid w:val="1B9C3B6D"/>
    <w:rsid w:val="1B9F8060"/>
    <w:rsid w:val="1BA1806A"/>
    <w:rsid w:val="1BA2C23F"/>
    <w:rsid w:val="1BA371AE"/>
    <w:rsid w:val="1BA37551"/>
    <w:rsid w:val="1BA5A596"/>
    <w:rsid w:val="1BA84897"/>
    <w:rsid w:val="1BA9F1BE"/>
    <w:rsid w:val="1BAA043F"/>
    <w:rsid w:val="1BAB1E5C"/>
    <w:rsid w:val="1BAB2ABE"/>
    <w:rsid w:val="1BAC0CE4"/>
    <w:rsid w:val="1BAD9FB6"/>
    <w:rsid w:val="1BAF1029"/>
    <w:rsid w:val="1BAF8E39"/>
    <w:rsid w:val="1BAF9670"/>
    <w:rsid w:val="1BB26E89"/>
    <w:rsid w:val="1BB3C3AE"/>
    <w:rsid w:val="1BB410C7"/>
    <w:rsid w:val="1BB920BE"/>
    <w:rsid w:val="1BB9A407"/>
    <w:rsid w:val="1BBD2B72"/>
    <w:rsid w:val="1BBFB6CE"/>
    <w:rsid w:val="1BC060A6"/>
    <w:rsid w:val="1BC0BA0A"/>
    <w:rsid w:val="1BC2FC65"/>
    <w:rsid w:val="1BC536B2"/>
    <w:rsid w:val="1BC75B7C"/>
    <w:rsid w:val="1BC8B60D"/>
    <w:rsid w:val="1BC98972"/>
    <w:rsid w:val="1BCB29A4"/>
    <w:rsid w:val="1BCC37BD"/>
    <w:rsid w:val="1BCC4AA3"/>
    <w:rsid w:val="1BCE819D"/>
    <w:rsid w:val="1BCFA982"/>
    <w:rsid w:val="1BD14563"/>
    <w:rsid w:val="1BD179B5"/>
    <w:rsid w:val="1BD2132D"/>
    <w:rsid w:val="1BD2FC31"/>
    <w:rsid w:val="1BD3EF52"/>
    <w:rsid w:val="1BD59B62"/>
    <w:rsid w:val="1BD74580"/>
    <w:rsid w:val="1BDB8342"/>
    <w:rsid w:val="1BDC958A"/>
    <w:rsid w:val="1BDEE9C7"/>
    <w:rsid w:val="1BE37209"/>
    <w:rsid w:val="1BE3ED7E"/>
    <w:rsid w:val="1BE5842E"/>
    <w:rsid w:val="1BE5C7FE"/>
    <w:rsid w:val="1BE68DDC"/>
    <w:rsid w:val="1BEC39AE"/>
    <w:rsid w:val="1BED06BC"/>
    <w:rsid w:val="1BEDF976"/>
    <w:rsid w:val="1BF08A00"/>
    <w:rsid w:val="1BF2F560"/>
    <w:rsid w:val="1BF7993A"/>
    <w:rsid w:val="1BFBA19B"/>
    <w:rsid w:val="1BFD19ED"/>
    <w:rsid w:val="1BFD8FC7"/>
    <w:rsid w:val="1BFF52E7"/>
    <w:rsid w:val="1BFF63C2"/>
    <w:rsid w:val="1C06FAE6"/>
    <w:rsid w:val="1C0A54EE"/>
    <w:rsid w:val="1C0A68C3"/>
    <w:rsid w:val="1C0B15CD"/>
    <w:rsid w:val="1C0BDFF1"/>
    <w:rsid w:val="1C12EF1E"/>
    <w:rsid w:val="1C14D70D"/>
    <w:rsid w:val="1C14E379"/>
    <w:rsid w:val="1C156698"/>
    <w:rsid w:val="1C1861B5"/>
    <w:rsid w:val="1C1D39B1"/>
    <w:rsid w:val="1C1DC733"/>
    <w:rsid w:val="1C1DE457"/>
    <w:rsid w:val="1C1E0A92"/>
    <w:rsid w:val="1C205BF5"/>
    <w:rsid w:val="1C21234F"/>
    <w:rsid w:val="1C219004"/>
    <w:rsid w:val="1C25E4A5"/>
    <w:rsid w:val="1C25E672"/>
    <w:rsid w:val="1C28C1E0"/>
    <w:rsid w:val="1C298274"/>
    <w:rsid w:val="1C2AE3D9"/>
    <w:rsid w:val="1C2B2F25"/>
    <w:rsid w:val="1C2CD566"/>
    <w:rsid w:val="1C2CDB98"/>
    <w:rsid w:val="1C2D04DE"/>
    <w:rsid w:val="1C3038BD"/>
    <w:rsid w:val="1C32B4CC"/>
    <w:rsid w:val="1C33735B"/>
    <w:rsid w:val="1C33E04C"/>
    <w:rsid w:val="1C3435F3"/>
    <w:rsid w:val="1C379829"/>
    <w:rsid w:val="1C3A0639"/>
    <w:rsid w:val="1C3A986B"/>
    <w:rsid w:val="1C3AA3BD"/>
    <w:rsid w:val="1C3B1A59"/>
    <w:rsid w:val="1C3FBC05"/>
    <w:rsid w:val="1C4081BB"/>
    <w:rsid w:val="1C421A6F"/>
    <w:rsid w:val="1C46AE90"/>
    <w:rsid w:val="1C470AEA"/>
    <w:rsid w:val="1C484C9E"/>
    <w:rsid w:val="1C4A83CA"/>
    <w:rsid w:val="1C4D2EF9"/>
    <w:rsid w:val="1C4E497E"/>
    <w:rsid w:val="1C4FA3A6"/>
    <w:rsid w:val="1C5199A7"/>
    <w:rsid w:val="1C53F0BD"/>
    <w:rsid w:val="1C54E2AE"/>
    <w:rsid w:val="1C551096"/>
    <w:rsid w:val="1C563A44"/>
    <w:rsid w:val="1C567393"/>
    <w:rsid w:val="1C582985"/>
    <w:rsid w:val="1C582A54"/>
    <w:rsid w:val="1C593601"/>
    <w:rsid w:val="1C5A6A41"/>
    <w:rsid w:val="1C5A8462"/>
    <w:rsid w:val="1C5C7412"/>
    <w:rsid w:val="1C5DA77B"/>
    <w:rsid w:val="1C60DF87"/>
    <w:rsid w:val="1C643D1D"/>
    <w:rsid w:val="1C6506A6"/>
    <w:rsid w:val="1C654258"/>
    <w:rsid w:val="1C6551EF"/>
    <w:rsid w:val="1C65615B"/>
    <w:rsid w:val="1C65EE18"/>
    <w:rsid w:val="1C667652"/>
    <w:rsid w:val="1C67FEE6"/>
    <w:rsid w:val="1C6A7521"/>
    <w:rsid w:val="1C6FBBF5"/>
    <w:rsid w:val="1C716F28"/>
    <w:rsid w:val="1C77838B"/>
    <w:rsid w:val="1C797C83"/>
    <w:rsid w:val="1C7AA3E9"/>
    <w:rsid w:val="1C7AF205"/>
    <w:rsid w:val="1C7AF267"/>
    <w:rsid w:val="1C7B30CE"/>
    <w:rsid w:val="1C7BB0D8"/>
    <w:rsid w:val="1C7DDD4F"/>
    <w:rsid w:val="1C825C83"/>
    <w:rsid w:val="1C869881"/>
    <w:rsid w:val="1C88C72C"/>
    <w:rsid w:val="1C8AA2C1"/>
    <w:rsid w:val="1C8FF258"/>
    <w:rsid w:val="1C9048A8"/>
    <w:rsid w:val="1C930200"/>
    <w:rsid w:val="1C936B77"/>
    <w:rsid w:val="1C94D796"/>
    <w:rsid w:val="1C94FA81"/>
    <w:rsid w:val="1C95941D"/>
    <w:rsid w:val="1C99E424"/>
    <w:rsid w:val="1C9B9BA2"/>
    <w:rsid w:val="1C9DF46A"/>
    <w:rsid w:val="1C9F6338"/>
    <w:rsid w:val="1C9FA6E2"/>
    <w:rsid w:val="1CA46F58"/>
    <w:rsid w:val="1CA47C86"/>
    <w:rsid w:val="1CA5118F"/>
    <w:rsid w:val="1CA649EF"/>
    <w:rsid w:val="1CA70ACF"/>
    <w:rsid w:val="1CA7D32D"/>
    <w:rsid w:val="1CA8CEE3"/>
    <w:rsid w:val="1CAA4BC5"/>
    <w:rsid w:val="1CACF628"/>
    <w:rsid w:val="1CAE9B89"/>
    <w:rsid w:val="1CAEED56"/>
    <w:rsid w:val="1CB044BE"/>
    <w:rsid w:val="1CB0AA7C"/>
    <w:rsid w:val="1CB10A75"/>
    <w:rsid w:val="1CB12B55"/>
    <w:rsid w:val="1CB23934"/>
    <w:rsid w:val="1CB4556E"/>
    <w:rsid w:val="1CB7375D"/>
    <w:rsid w:val="1CB95C27"/>
    <w:rsid w:val="1CBB0588"/>
    <w:rsid w:val="1CBB8E4D"/>
    <w:rsid w:val="1CBC4C2D"/>
    <w:rsid w:val="1CBDC389"/>
    <w:rsid w:val="1CC1977E"/>
    <w:rsid w:val="1CC587BB"/>
    <w:rsid w:val="1CC85390"/>
    <w:rsid w:val="1CC9111C"/>
    <w:rsid w:val="1CC96A5A"/>
    <w:rsid w:val="1CCFA317"/>
    <w:rsid w:val="1CD125A7"/>
    <w:rsid w:val="1CD2FC73"/>
    <w:rsid w:val="1CD43827"/>
    <w:rsid w:val="1CD50792"/>
    <w:rsid w:val="1CD64908"/>
    <w:rsid w:val="1CD664A0"/>
    <w:rsid w:val="1CD776C5"/>
    <w:rsid w:val="1CD91CF6"/>
    <w:rsid w:val="1CD9B166"/>
    <w:rsid w:val="1CDD4A74"/>
    <w:rsid w:val="1CDF7C14"/>
    <w:rsid w:val="1CE0CE0C"/>
    <w:rsid w:val="1CE109E3"/>
    <w:rsid w:val="1CE35299"/>
    <w:rsid w:val="1CE3CB5B"/>
    <w:rsid w:val="1CE4214D"/>
    <w:rsid w:val="1CE52A89"/>
    <w:rsid w:val="1CE6B8F7"/>
    <w:rsid w:val="1CE95041"/>
    <w:rsid w:val="1CEA67C8"/>
    <w:rsid w:val="1CEBC2AD"/>
    <w:rsid w:val="1CEE0EAF"/>
    <w:rsid w:val="1CEEF361"/>
    <w:rsid w:val="1CEFE50A"/>
    <w:rsid w:val="1CF2373E"/>
    <w:rsid w:val="1CF2B0E5"/>
    <w:rsid w:val="1CF40D3D"/>
    <w:rsid w:val="1CF77AC1"/>
    <w:rsid w:val="1CF7C02B"/>
    <w:rsid w:val="1CF7D4B9"/>
    <w:rsid w:val="1CF9732B"/>
    <w:rsid w:val="1CFA1D4E"/>
    <w:rsid w:val="1CFC169C"/>
    <w:rsid w:val="1CFD4A68"/>
    <w:rsid w:val="1CFEC313"/>
    <w:rsid w:val="1D062230"/>
    <w:rsid w:val="1D06C7DE"/>
    <w:rsid w:val="1D0DDD4F"/>
    <w:rsid w:val="1D0F496F"/>
    <w:rsid w:val="1D0F93DD"/>
    <w:rsid w:val="1D103AE8"/>
    <w:rsid w:val="1D103F24"/>
    <w:rsid w:val="1D1040E1"/>
    <w:rsid w:val="1D113AED"/>
    <w:rsid w:val="1D173A73"/>
    <w:rsid w:val="1D19BA8A"/>
    <w:rsid w:val="1D1AA8EF"/>
    <w:rsid w:val="1D1CFA71"/>
    <w:rsid w:val="1D1D34B8"/>
    <w:rsid w:val="1D1D3F0A"/>
    <w:rsid w:val="1D1D738C"/>
    <w:rsid w:val="1D1DC2E5"/>
    <w:rsid w:val="1D1E82B8"/>
    <w:rsid w:val="1D1FBF27"/>
    <w:rsid w:val="1D1FC0BE"/>
    <w:rsid w:val="1D1FD339"/>
    <w:rsid w:val="1D20ADEC"/>
    <w:rsid w:val="1D20CB7C"/>
    <w:rsid w:val="1D21CD3A"/>
    <w:rsid w:val="1D223C9B"/>
    <w:rsid w:val="1D223F00"/>
    <w:rsid w:val="1D233F55"/>
    <w:rsid w:val="1D243D50"/>
    <w:rsid w:val="1D268ED2"/>
    <w:rsid w:val="1D29169C"/>
    <w:rsid w:val="1D29A0CD"/>
    <w:rsid w:val="1D2CF0F4"/>
    <w:rsid w:val="1D2E0BA8"/>
    <w:rsid w:val="1D2EB82F"/>
    <w:rsid w:val="1D30625E"/>
    <w:rsid w:val="1D3172E8"/>
    <w:rsid w:val="1D319CAC"/>
    <w:rsid w:val="1D334E27"/>
    <w:rsid w:val="1D3430F6"/>
    <w:rsid w:val="1D34E9EB"/>
    <w:rsid w:val="1D35D540"/>
    <w:rsid w:val="1D373F6C"/>
    <w:rsid w:val="1D376C75"/>
    <w:rsid w:val="1D3C62AA"/>
    <w:rsid w:val="1D3D4655"/>
    <w:rsid w:val="1D3ED46C"/>
    <w:rsid w:val="1D3FF642"/>
    <w:rsid w:val="1D429FD2"/>
    <w:rsid w:val="1D42C763"/>
    <w:rsid w:val="1D43F86F"/>
    <w:rsid w:val="1D46D3A3"/>
    <w:rsid w:val="1D48EF0D"/>
    <w:rsid w:val="1D4B14DA"/>
    <w:rsid w:val="1D4C8CF0"/>
    <w:rsid w:val="1D4CBCC6"/>
    <w:rsid w:val="1D4D925F"/>
    <w:rsid w:val="1D4E6A8A"/>
    <w:rsid w:val="1D4F4CBB"/>
    <w:rsid w:val="1D4F4FC4"/>
    <w:rsid w:val="1D4FD807"/>
    <w:rsid w:val="1D50EF3B"/>
    <w:rsid w:val="1D51696B"/>
    <w:rsid w:val="1D53CB52"/>
    <w:rsid w:val="1D5632A7"/>
    <w:rsid w:val="1D56B0E4"/>
    <w:rsid w:val="1D56B270"/>
    <w:rsid w:val="1D577B80"/>
    <w:rsid w:val="1D59FF4A"/>
    <w:rsid w:val="1D5A5263"/>
    <w:rsid w:val="1D5B010A"/>
    <w:rsid w:val="1D5C5D5C"/>
    <w:rsid w:val="1D5D79AF"/>
    <w:rsid w:val="1D601745"/>
    <w:rsid w:val="1D629D5A"/>
    <w:rsid w:val="1D637F27"/>
    <w:rsid w:val="1D63C345"/>
    <w:rsid w:val="1D64866E"/>
    <w:rsid w:val="1D64EE6E"/>
    <w:rsid w:val="1D665551"/>
    <w:rsid w:val="1D666D4D"/>
    <w:rsid w:val="1D66C23C"/>
    <w:rsid w:val="1D66FBA7"/>
    <w:rsid w:val="1D68922C"/>
    <w:rsid w:val="1D68EA96"/>
    <w:rsid w:val="1D6C7A12"/>
    <w:rsid w:val="1D6D36AB"/>
    <w:rsid w:val="1D6D67BD"/>
    <w:rsid w:val="1D6E66C9"/>
    <w:rsid w:val="1D6ECC92"/>
    <w:rsid w:val="1D75993E"/>
    <w:rsid w:val="1D75D408"/>
    <w:rsid w:val="1D76AFBD"/>
    <w:rsid w:val="1D78179E"/>
    <w:rsid w:val="1D78FFCE"/>
    <w:rsid w:val="1D7927BA"/>
    <w:rsid w:val="1D793462"/>
    <w:rsid w:val="1D7A43B9"/>
    <w:rsid w:val="1D7C0293"/>
    <w:rsid w:val="1D7EA089"/>
    <w:rsid w:val="1D81E9B8"/>
    <w:rsid w:val="1D826EC4"/>
    <w:rsid w:val="1D853FC2"/>
    <w:rsid w:val="1D886A04"/>
    <w:rsid w:val="1D88A353"/>
    <w:rsid w:val="1D88D71D"/>
    <w:rsid w:val="1D89283A"/>
    <w:rsid w:val="1D8933BE"/>
    <w:rsid w:val="1D8A0641"/>
    <w:rsid w:val="1D8DE555"/>
    <w:rsid w:val="1D90089F"/>
    <w:rsid w:val="1D90920B"/>
    <w:rsid w:val="1D9503E7"/>
    <w:rsid w:val="1D95AA3F"/>
    <w:rsid w:val="1D97C5B5"/>
    <w:rsid w:val="1D98570B"/>
    <w:rsid w:val="1D998142"/>
    <w:rsid w:val="1D9AEA18"/>
    <w:rsid w:val="1D9CD74F"/>
    <w:rsid w:val="1D9DB0A3"/>
    <w:rsid w:val="1D9F7684"/>
    <w:rsid w:val="1DA2B11E"/>
    <w:rsid w:val="1DA2E910"/>
    <w:rsid w:val="1DA3EE99"/>
    <w:rsid w:val="1DA46601"/>
    <w:rsid w:val="1DA51B7C"/>
    <w:rsid w:val="1DA57B9B"/>
    <w:rsid w:val="1DA5C2DA"/>
    <w:rsid w:val="1DA87540"/>
    <w:rsid w:val="1DA87A13"/>
    <w:rsid w:val="1DA9C13C"/>
    <w:rsid w:val="1DAA29FE"/>
    <w:rsid w:val="1DAA3CFE"/>
    <w:rsid w:val="1DAABB84"/>
    <w:rsid w:val="1DAB2888"/>
    <w:rsid w:val="1DAB5468"/>
    <w:rsid w:val="1DAF94AB"/>
    <w:rsid w:val="1DB0BE94"/>
    <w:rsid w:val="1DB3BE7F"/>
    <w:rsid w:val="1DB7057A"/>
    <w:rsid w:val="1DBCADF9"/>
    <w:rsid w:val="1DBCC957"/>
    <w:rsid w:val="1DBEF211"/>
    <w:rsid w:val="1DC03B9D"/>
    <w:rsid w:val="1DC1DEED"/>
    <w:rsid w:val="1DC35E07"/>
    <w:rsid w:val="1DC6ED5E"/>
    <w:rsid w:val="1DCA36E8"/>
    <w:rsid w:val="1DCAAC6D"/>
    <w:rsid w:val="1DCB0AB0"/>
    <w:rsid w:val="1DCBA2D3"/>
    <w:rsid w:val="1DCBF972"/>
    <w:rsid w:val="1DCD6380"/>
    <w:rsid w:val="1DD1028F"/>
    <w:rsid w:val="1DD2D6B3"/>
    <w:rsid w:val="1DD81F46"/>
    <w:rsid w:val="1DD8ED67"/>
    <w:rsid w:val="1DDD6881"/>
    <w:rsid w:val="1DDF0C19"/>
    <w:rsid w:val="1DDF55F0"/>
    <w:rsid w:val="1DDFCBFC"/>
    <w:rsid w:val="1DE20959"/>
    <w:rsid w:val="1DE43841"/>
    <w:rsid w:val="1DE7BC07"/>
    <w:rsid w:val="1DE92100"/>
    <w:rsid w:val="1DEB8DE1"/>
    <w:rsid w:val="1DED5822"/>
    <w:rsid w:val="1DED5D0A"/>
    <w:rsid w:val="1DEDB68C"/>
    <w:rsid w:val="1DEE7963"/>
    <w:rsid w:val="1DF0282A"/>
    <w:rsid w:val="1DF55569"/>
    <w:rsid w:val="1DF63481"/>
    <w:rsid w:val="1DF6489E"/>
    <w:rsid w:val="1DF6BB98"/>
    <w:rsid w:val="1DF8E420"/>
    <w:rsid w:val="1DFAD850"/>
    <w:rsid w:val="1DFB709B"/>
    <w:rsid w:val="1DFC0FF4"/>
    <w:rsid w:val="1DFD06F8"/>
    <w:rsid w:val="1DFD3E1E"/>
    <w:rsid w:val="1DFD6E11"/>
    <w:rsid w:val="1DFFAEE2"/>
    <w:rsid w:val="1E030C18"/>
    <w:rsid w:val="1E09D924"/>
    <w:rsid w:val="1E0A73C9"/>
    <w:rsid w:val="1E0CD1FA"/>
    <w:rsid w:val="1E107630"/>
    <w:rsid w:val="1E18E20C"/>
    <w:rsid w:val="1E1B8976"/>
    <w:rsid w:val="1E1DF0E1"/>
    <w:rsid w:val="1E1ED2BF"/>
    <w:rsid w:val="1E1ED559"/>
    <w:rsid w:val="1E1F4878"/>
    <w:rsid w:val="1E241C29"/>
    <w:rsid w:val="1E24544D"/>
    <w:rsid w:val="1E2458E6"/>
    <w:rsid w:val="1E276CB3"/>
    <w:rsid w:val="1E293BF1"/>
    <w:rsid w:val="1E299005"/>
    <w:rsid w:val="1E2E0317"/>
    <w:rsid w:val="1E2ED703"/>
    <w:rsid w:val="1E315DFF"/>
    <w:rsid w:val="1E317212"/>
    <w:rsid w:val="1E33B2CA"/>
    <w:rsid w:val="1E33C671"/>
    <w:rsid w:val="1E34E55E"/>
    <w:rsid w:val="1E3829BD"/>
    <w:rsid w:val="1E3830CF"/>
    <w:rsid w:val="1E39C4CB"/>
    <w:rsid w:val="1E3B6F14"/>
    <w:rsid w:val="1E3BA641"/>
    <w:rsid w:val="1E3D456C"/>
    <w:rsid w:val="1E3D620F"/>
    <w:rsid w:val="1E3F3FAB"/>
    <w:rsid w:val="1E3FCF86"/>
    <w:rsid w:val="1E40FEDE"/>
    <w:rsid w:val="1E41BB84"/>
    <w:rsid w:val="1E42878A"/>
    <w:rsid w:val="1E45D6CB"/>
    <w:rsid w:val="1E46777D"/>
    <w:rsid w:val="1E4B02B3"/>
    <w:rsid w:val="1E4C9CB4"/>
    <w:rsid w:val="1E4DC081"/>
    <w:rsid w:val="1E4E34AB"/>
    <w:rsid w:val="1E4EC27B"/>
    <w:rsid w:val="1E5054C7"/>
    <w:rsid w:val="1E51961B"/>
    <w:rsid w:val="1E5275E5"/>
    <w:rsid w:val="1E52B8AC"/>
    <w:rsid w:val="1E52ED28"/>
    <w:rsid w:val="1E5300E1"/>
    <w:rsid w:val="1E53059B"/>
    <w:rsid w:val="1E548E51"/>
    <w:rsid w:val="1E573449"/>
    <w:rsid w:val="1E574BB0"/>
    <w:rsid w:val="1E5EF76A"/>
    <w:rsid w:val="1E622DD6"/>
    <w:rsid w:val="1E654594"/>
    <w:rsid w:val="1E66D3BF"/>
    <w:rsid w:val="1E67AE08"/>
    <w:rsid w:val="1E6914E0"/>
    <w:rsid w:val="1E69B672"/>
    <w:rsid w:val="1E69D6D6"/>
    <w:rsid w:val="1E6A7B96"/>
    <w:rsid w:val="1E6E1056"/>
    <w:rsid w:val="1E6E4EC3"/>
    <w:rsid w:val="1E6EB992"/>
    <w:rsid w:val="1E701BB7"/>
    <w:rsid w:val="1E70BCAA"/>
    <w:rsid w:val="1E70FAA8"/>
    <w:rsid w:val="1E71119D"/>
    <w:rsid w:val="1E72C74A"/>
    <w:rsid w:val="1E733C4C"/>
    <w:rsid w:val="1E7361B5"/>
    <w:rsid w:val="1E7387B3"/>
    <w:rsid w:val="1E742B2E"/>
    <w:rsid w:val="1E74B465"/>
    <w:rsid w:val="1E75BCA2"/>
    <w:rsid w:val="1E7A4261"/>
    <w:rsid w:val="1E7BBB85"/>
    <w:rsid w:val="1E7C3EEF"/>
    <w:rsid w:val="1E7CB412"/>
    <w:rsid w:val="1E7D0003"/>
    <w:rsid w:val="1E7D672A"/>
    <w:rsid w:val="1E7D84F5"/>
    <w:rsid w:val="1E7D9997"/>
    <w:rsid w:val="1E8361BD"/>
    <w:rsid w:val="1E859A05"/>
    <w:rsid w:val="1E862AAB"/>
    <w:rsid w:val="1E89DF10"/>
    <w:rsid w:val="1E8B79EB"/>
    <w:rsid w:val="1E8E81F4"/>
    <w:rsid w:val="1E901F80"/>
    <w:rsid w:val="1E90289A"/>
    <w:rsid w:val="1E92BDA8"/>
    <w:rsid w:val="1E98B85A"/>
    <w:rsid w:val="1E99627C"/>
    <w:rsid w:val="1E9B49A3"/>
    <w:rsid w:val="1E9BBA12"/>
    <w:rsid w:val="1E9C0072"/>
    <w:rsid w:val="1E9C4800"/>
    <w:rsid w:val="1E9E250B"/>
    <w:rsid w:val="1E9E25C5"/>
    <w:rsid w:val="1EA01170"/>
    <w:rsid w:val="1EA07F68"/>
    <w:rsid w:val="1EA13BDA"/>
    <w:rsid w:val="1EA2CDA2"/>
    <w:rsid w:val="1EA2ED4D"/>
    <w:rsid w:val="1EA46064"/>
    <w:rsid w:val="1EA47BC6"/>
    <w:rsid w:val="1EA9C2C6"/>
    <w:rsid w:val="1EADE688"/>
    <w:rsid w:val="1EAE93FA"/>
    <w:rsid w:val="1EAE967E"/>
    <w:rsid w:val="1EB15FDC"/>
    <w:rsid w:val="1EB23F12"/>
    <w:rsid w:val="1EB406AE"/>
    <w:rsid w:val="1EB61F4A"/>
    <w:rsid w:val="1EB69B16"/>
    <w:rsid w:val="1EB6DF89"/>
    <w:rsid w:val="1EB70E3B"/>
    <w:rsid w:val="1EB88639"/>
    <w:rsid w:val="1EB97F07"/>
    <w:rsid w:val="1EBD1E97"/>
    <w:rsid w:val="1EBDB772"/>
    <w:rsid w:val="1EBED165"/>
    <w:rsid w:val="1EBF9822"/>
    <w:rsid w:val="1EC147F2"/>
    <w:rsid w:val="1EC91C6E"/>
    <w:rsid w:val="1ECD42E9"/>
    <w:rsid w:val="1ECE246B"/>
    <w:rsid w:val="1ED1B5C9"/>
    <w:rsid w:val="1ED22513"/>
    <w:rsid w:val="1ED2EE6A"/>
    <w:rsid w:val="1ED32427"/>
    <w:rsid w:val="1ED6E18B"/>
    <w:rsid w:val="1ED8D8FB"/>
    <w:rsid w:val="1ED92901"/>
    <w:rsid w:val="1EDD1FE0"/>
    <w:rsid w:val="1EDDE672"/>
    <w:rsid w:val="1EE25D2B"/>
    <w:rsid w:val="1EE4060E"/>
    <w:rsid w:val="1EE8C741"/>
    <w:rsid w:val="1EE8CE6D"/>
    <w:rsid w:val="1EEB6E2A"/>
    <w:rsid w:val="1EEC0FF4"/>
    <w:rsid w:val="1EEC54A1"/>
    <w:rsid w:val="1EEC63F8"/>
    <w:rsid w:val="1EEC95A4"/>
    <w:rsid w:val="1EEDD736"/>
    <w:rsid w:val="1EEF0D10"/>
    <w:rsid w:val="1EF2A3FC"/>
    <w:rsid w:val="1EF3F78F"/>
    <w:rsid w:val="1EF42729"/>
    <w:rsid w:val="1EF54CBE"/>
    <w:rsid w:val="1EF5EDBE"/>
    <w:rsid w:val="1EF6DDD2"/>
    <w:rsid w:val="1EF7C2E1"/>
    <w:rsid w:val="1EFBA599"/>
    <w:rsid w:val="1EFBC71D"/>
    <w:rsid w:val="1EFDCC02"/>
    <w:rsid w:val="1EFF71C8"/>
    <w:rsid w:val="1F006E4C"/>
    <w:rsid w:val="1F01348E"/>
    <w:rsid w:val="1F03134C"/>
    <w:rsid w:val="1F04A991"/>
    <w:rsid w:val="1F06CA02"/>
    <w:rsid w:val="1F071F11"/>
    <w:rsid w:val="1F07486F"/>
    <w:rsid w:val="1F0A780C"/>
    <w:rsid w:val="1F0D4278"/>
    <w:rsid w:val="1F0EF91E"/>
    <w:rsid w:val="1F0FB60E"/>
    <w:rsid w:val="1F0FF459"/>
    <w:rsid w:val="1F100A81"/>
    <w:rsid w:val="1F101FB5"/>
    <w:rsid w:val="1F12D71A"/>
    <w:rsid w:val="1F14B729"/>
    <w:rsid w:val="1F1A0B00"/>
    <w:rsid w:val="1F1A8BE9"/>
    <w:rsid w:val="1F1A952D"/>
    <w:rsid w:val="1F1B4780"/>
    <w:rsid w:val="1F2270CE"/>
    <w:rsid w:val="1F23589D"/>
    <w:rsid w:val="1F251783"/>
    <w:rsid w:val="1F25AA5B"/>
    <w:rsid w:val="1F2855C2"/>
    <w:rsid w:val="1F286B79"/>
    <w:rsid w:val="1F29C4D0"/>
    <w:rsid w:val="1F2AC458"/>
    <w:rsid w:val="1F2BD900"/>
    <w:rsid w:val="1F2CAA89"/>
    <w:rsid w:val="1F2E596D"/>
    <w:rsid w:val="1F309B08"/>
    <w:rsid w:val="1F30E557"/>
    <w:rsid w:val="1F3275E2"/>
    <w:rsid w:val="1F328CED"/>
    <w:rsid w:val="1F360D4D"/>
    <w:rsid w:val="1F3696DF"/>
    <w:rsid w:val="1F372799"/>
    <w:rsid w:val="1F394841"/>
    <w:rsid w:val="1F3CA5A7"/>
    <w:rsid w:val="1F3D6037"/>
    <w:rsid w:val="1F3EC492"/>
    <w:rsid w:val="1F3EFC12"/>
    <w:rsid w:val="1F41FBBE"/>
    <w:rsid w:val="1F447335"/>
    <w:rsid w:val="1F44A506"/>
    <w:rsid w:val="1F454088"/>
    <w:rsid w:val="1F45F930"/>
    <w:rsid w:val="1F4689DA"/>
    <w:rsid w:val="1F46A358"/>
    <w:rsid w:val="1F49A08B"/>
    <w:rsid w:val="1F4CEF73"/>
    <w:rsid w:val="1F4DA2B6"/>
    <w:rsid w:val="1F4DFC57"/>
    <w:rsid w:val="1F4ECB26"/>
    <w:rsid w:val="1F500B7B"/>
    <w:rsid w:val="1F52A0CC"/>
    <w:rsid w:val="1F53D428"/>
    <w:rsid w:val="1F555D7D"/>
    <w:rsid w:val="1F5689BD"/>
    <w:rsid w:val="1F56AFC8"/>
    <w:rsid w:val="1F589152"/>
    <w:rsid w:val="1F597BEA"/>
    <w:rsid w:val="1F5AE765"/>
    <w:rsid w:val="1F5B9B94"/>
    <w:rsid w:val="1F5CCFC6"/>
    <w:rsid w:val="1F601463"/>
    <w:rsid w:val="1F643F82"/>
    <w:rsid w:val="1F645B21"/>
    <w:rsid w:val="1F64E1FC"/>
    <w:rsid w:val="1F6AAC3D"/>
    <w:rsid w:val="1F6EA328"/>
    <w:rsid w:val="1F70BAC2"/>
    <w:rsid w:val="1F71A516"/>
    <w:rsid w:val="1F732447"/>
    <w:rsid w:val="1F75B74D"/>
    <w:rsid w:val="1F764003"/>
    <w:rsid w:val="1F7D8BF2"/>
    <w:rsid w:val="1F7E5648"/>
    <w:rsid w:val="1F8A691D"/>
    <w:rsid w:val="1F8B3686"/>
    <w:rsid w:val="1F8BBB23"/>
    <w:rsid w:val="1F8CE056"/>
    <w:rsid w:val="1F8D0402"/>
    <w:rsid w:val="1F8D9D1A"/>
    <w:rsid w:val="1F90C243"/>
    <w:rsid w:val="1F93E8E8"/>
    <w:rsid w:val="1F9453E4"/>
    <w:rsid w:val="1F95B0B0"/>
    <w:rsid w:val="1F96E02F"/>
    <w:rsid w:val="1F99BC6B"/>
    <w:rsid w:val="1F9A3C2B"/>
    <w:rsid w:val="1F9F1485"/>
    <w:rsid w:val="1FA0B6A8"/>
    <w:rsid w:val="1FA23D2F"/>
    <w:rsid w:val="1FA3C8C6"/>
    <w:rsid w:val="1FA5E454"/>
    <w:rsid w:val="1FA62955"/>
    <w:rsid w:val="1FA65636"/>
    <w:rsid w:val="1FA8C386"/>
    <w:rsid w:val="1FA97FE9"/>
    <w:rsid w:val="1FA9DD7B"/>
    <w:rsid w:val="1FAA4E84"/>
    <w:rsid w:val="1FAD72A2"/>
    <w:rsid w:val="1FB23413"/>
    <w:rsid w:val="1FB3992C"/>
    <w:rsid w:val="1FB504A8"/>
    <w:rsid w:val="1FB5ED46"/>
    <w:rsid w:val="1FB841BB"/>
    <w:rsid w:val="1FBBCD40"/>
    <w:rsid w:val="1FBC2F7F"/>
    <w:rsid w:val="1FBEC0BE"/>
    <w:rsid w:val="1FC04335"/>
    <w:rsid w:val="1FC0DBF4"/>
    <w:rsid w:val="1FC0E32D"/>
    <w:rsid w:val="1FC16E92"/>
    <w:rsid w:val="1FC62417"/>
    <w:rsid w:val="1FC717FC"/>
    <w:rsid w:val="1FC73240"/>
    <w:rsid w:val="1FC932A2"/>
    <w:rsid w:val="1FCA9C2F"/>
    <w:rsid w:val="1FCBF5BF"/>
    <w:rsid w:val="1FCC9351"/>
    <w:rsid w:val="1FCC9981"/>
    <w:rsid w:val="1FCD678C"/>
    <w:rsid w:val="1FCDCB82"/>
    <w:rsid w:val="1FCDCD2A"/>
    <w:rsid w:val="1FCF3805"/>
    <w:rsid w:val="1FD00D52"/>
    <w:rsid w:val="1FD21B19"/>
    <w:rsid w:val="1FD28471"/>
    <w:rsid w:val="1FD31E33"/>
    <w:rsid w:val="1FD4E595"/>
    <w:rsid w:val="1FD71E5B"/>
    <w:rsid w:val="1FD9BDDA"/>
    <w:rsid w:val="1FDC8159"/>
    <w:rsid w:val="1FDC9AA4"/>
    <w:rsid w:val="1FDCDD14"/>
    <w:rsid w:val="1FDE2331"/>
    <w:rsid w:val="1FDE74DD"/>
    <w:rsid w:val="1FDF43EC"/>
    <w:rsid w:val="1FE08E22"/>
    <w:rsid w:val="1FE33DE7"/>
    <w:rsid w:val="1FE5E5DF"/>
    <w:rsid w:val="1FE86CFF"/>
    <w:rsid w:val="1FE924E0"/>
    <w:rsid w:val="1FEA3EF1"/>
    <w:rsid w:val="1FEB1121"/>
    <w:rsid w:val="1FEDCB9D"/>
    <w:rsid w:val="1FEFBCD1"/>
    <w:rsid w:val="1FF0F1E5"/>
    <w:rsid w:val="1FF342D4"/>
    <w:rsid w:val="1FF387CA"/>
    <w:rsid w:val="1FF44DE5"/>
    <w:rsid w:val="1FFD24C9"/>
    <w:rsid w:val="1FFD71D3"/>
    <w:rsid w:val="1FFDB753"/>
    <w:rsid w:val="1FFE18FA"/>
    <w:rsid w:val="1FFF9BC7"/>
    <w:rsid w:val="2000B4E8"/>
    <w:rsid w:val="20019B97"/>
    <w:rsid w:val="2007A600"/>
    <w:rsid w:val="200838B4"/>
    <w:rsid w:val="200B9DE5"/>
    <w:rsid w:val="200D04E8"/>
    <w:rsid w:val="200DB065"/>
    <w:rsid w:val="200DEC7A"/>
    <w:rsid w:val="200F065B"/>
    <w:rsid w:val="20105609"/>
    <w:rsid w:val="2012161B"/>
    <w:rsid w:val="20127975"/>
    <w:rsid w:val="2013AC3F"/>
    <w:rsid w:val="2015A12A"/>
    <w:rsid w:val="2017807C"/>
    <w:rsid w:val="2018AC61"/>
    <w:rsid w:val="20197B8B"/>
    <w:rsid w:val="201A0677"/>
    <w:rsid w:val="201B1EC4"/>
    <w:rsid w:val="201C638C"/>
    <w:rsid w:val="201E1631"/>
    <w:rsid w:val="201E1746"/>
    <w:rsid w:val="201E71AF"/>
    <w:rsid w:val="201E8FBC"/>
    <w:rsid w:val="201F8CA6"/>
    <w:rsid w:val="20227251"/>
    <w:rsid w:val="20258DDF"/>
    <w:rsid w:val="2027F968"/>
    <w:rsid w:val="20282F47"/>
    <w:rsid w:val="20293CB4"/>
    <w:rsid w:val="2029DF59"/>
    <w:rsid w:val="202AA48B"/>
    <w:rsid w:val="20326C82"/>
    <w:rsid w:val="2033E91F"/>
    <w:rsid w:val="20374064"/>
    <w:rsid w:val="2038AAE3"/>
    <w:rsid w:val="203A8908"/>
    <w:rsid w:val="20412DDE"/>
    <w:rsid w:val="20429DE0"/>
    <w:rsid w:val="20458499"/>
    <w:rsid w:val="20458690"/>
    <w:rsid w:val="2046AA13"/>
    <w:rsid w:val="2047267E"/>
    <w:rsid w:val="2047FBC9"/>
    <w:rsid w:val="204940AD"/>
    <w:rsid w:val="2049CCFF"/>
    <w:rsid w:val="204CF8BE"/>
    <w:rsid w:val="204DB6C1"/>
    <w:rsid w:val="204DE887"/>
    <w:rsid w:val="204E1377"/>
    <w:rsid w:val="2050268E"/>
    <w:rsid w:val="20502EC2"/>
    <w:rsid w:val="20503BF2"/>
    <w:rsid w:val="205074DF"/>
    <w:rsid w:val="205134C9"/>
    <w:rsid w:val="2051BA23"/>
    <w:rsid w:val="205201F5"/>
    <w:rsid w:val="205254F2"/>
    <w:rsid w:val="20531BC1"/>
    <w:rsid w:val="20535482"/>
    <w:rsid w:val="20538F8E"/>
    <w:rsid w:val="20558E6D"/>
    <w:rsid w:val="2056E59D"/>
    <w:rsid w:val="2056F275"/>
    <w:rsid w:val="20577FCF"/>
    <w:rsid w:val="2059476E"/>
    <w:rsid w:val="2059D16A"/>
    <w:rsid w:val="205BE470"/>
    <w:rsid w:val="205C793D"/>
    <w:rsid w:val="205D4DC4"/>
    <w:rsid w:val="20600BBD"/>
    <w:rsid w:val="20632576"/>
    <w:rsid w:val="206455E9"/>
    <w:rsid w:val="20695048"/>
    <w:rsid w:val="206B2440"/>
    <w:rsid w:val="206CFAE0"/>
    <w:rsid w:val="206F81E8"/>
    <w:rsid w:val="20722C0C"/>
    <w:rsid w:val="2078FE8C"/>
    <w:rsid w:val="207A0FEF"/>
    <w:rsid w:val="207FBB8A"/>
    <w:rsid w:val="20826EBA"/>
    <w:rsid w:val="2082AAA8"/>
    <w:rsid w:val="20881001"/>
    <w:rsid w:val="208D047E"/>
    <w:rsid w:val="208D80E1"/>
    <w:rsid w:val="2090CA1C"/>
    <w:rsid w:val="209198E7"/>
    <w:rsid w:val="20922E02"/>
    <w:rsid w:val="2092F236"/>
    <w:rsid w:val="2094D3D9"/>
    <w:rsid w:val="209A2DA3"/>
    <w:rsid w:val="209B58FC"/>
    <w:rsid w:val="209BE5D7"/>
    <w:rsid w:val="209CB812"/>
    <w:rsid w:val="20A07B98"/>
    <w:rsid w:val="20A2BFF3"/>
    <w:rsid w:val="20A4B616"/>
    <w:rsid w:val="20A69935"/>
    <w:rsid w:val="20A730AB"/>
    <w:rsid w:val="20A95188"/>
    <w:rsid w:val="20AA3086"/>
    <w:rsid w:val="20AE675E"/>
    <w:rsid w:val="20B1F6AF"/>
    <w:rsid w:val="20B29C30"/>
    <w:rsid w:val="20B4875C"/>
    <w:rsid w:val="20B6C4A4"/>
    <w:rsid w:val="20B83349"/>
    <w:rsid w:val="20B887F9"/>
    <w:rsid w:val="20B92177"/>
    <w:rsid w:val="20B9A618"/>
    <w:rsid w:val="20B9CF98"/>
    <w:rsid w:val="20BD8863"/>
    <w:rsid w:val="20BF2DF1"/>
    <w:rsid w:val="20C26390"/>
    <w:rsid w:val="20C30873"/>
    <w:rsid w:val="20C3311D"/>
    <w:rsid w:val="20C34DA7"/>
    <w:rsid w:val="20C4173B"/>
    <w:rsid w:val="20C46F8E"/>
    <w:rsid w:val="20C6CF1E"/>
    <w:rsid w:val="20C704AC"/>
    <w:rsid w:val="20C7D4D5"/>
    <w:rsid w:val="20CB2A31"/>
    <w:rsid w:val="20CE5E98"/>
    <w:rsid w:val="20CE751A"/>
    <w:rsid w:val="20D0C4DC"/>
    <w:rsid w:val="20D25210"/>
    <w:rsid w:val="20D5B018"/>
    <w:rsid w:val="20D5EEA4"/>
    <w:rsid w:val="20D63A0C"/>
    <w:rsid w:val="20D67E47"/>
    <w:rsid w:val="20D7432D"/>
    <w:rsid w:val="20D74540"/>
    <w:rsid w:val="20D9DADE"/>
    <w:rsid w:val="20DA6BFE"/>
    <w:rsid w:val="20DB362E"/>
    <w:rsid w:val="20DBAFF1"/>
    <w:rsid w:val="20DD3051"/>
    <w:rsid w:val="20DD83C5"/>
    <w:rsid w:val="20DDA769"/>
    <w:rsid w:val="20E039EE"/>
    <w:rsid w:val="20E15AD8"/>
    <w:rsid w:val="20E96A41"/>
    <w:rsid w:val="20EAB7AA"/>
    <w:rsid w:val="20EB1E81"/>
    <w:rsid w:val="20EF5B46"/>
    <w:rsid w:val="20F125C7"/>
    <w:rsid w:val="20F14534"/>
    <w:rsid w:val="20F46B20"/>
    <w:rsid w:val="20F55E7A"/>
    <w:rsid w:val="20F72587"/>
    <w:rsid w:val="20F8F2A9"/>
    <w:rsid w:val="20FBC668"/>
    <w:rsid w:val="20FF47B0"/>
    <w:rsid w:val="2100321D"/>
    <w:rsid w:val="2101A197"/>
    <w:rsid w:val="210392A6"/>
    <w:rsid w:val="21065FC3"/>
    <w:rsid w:val="2106BBC7"/>
    <w:rsid w:val="2109CE9B"/>
    <w:rsid w:val="210A13D9"/>
    <w:rsid w:val="210A96A2"/>
    <w:rsid w:val="210B95A9"/>
    <w:rsid w:val="210C1868"/>
    <w:rsid w:val="210CED66"/>
    <w:rsid w:val="210EC57C"/>
    <w:rsid w:val="210FBCEB"/>
    <w:rsid w:val="2112746D"/>
    <w:rsid w:val="211293D3"/>
    <w:rsid w:val="21148A3B"/>
    <w:rsid w:val="2115307D"/>
    <w:rsid w:val="21165C75"/>
    <w:rsid w:val="2117612A"/>
    <w:rsid w:val="2117A973"/>
    <w:rsid w:val="211A10D1"/>
    <w:rsid w:val="211A5024"/>
    <w:rsid w:val="211A7074"/>
    <w:rsid w:val="211AF2AE"/>
    <w:rsid w:val="211B2CAB"/>
    <w:rsid w:val="211B65B6"/>
    <w:rsid w:val="211F00D8"/>
    <w:rsid w:val="21229205"/>
    <w:rsid w:val="2123B433"/>
    <w:rsid w:val="21248472"/>
    <w:rsid w:val="21290E1E"/>
    <w:rsid w:val="212A8C0D"/>
    <w:rsid w:val="212BA447"/>
    <w:rsid w:val="212C770A"/>
    <w:rsid w:val="212EEA1D"/>
    <w:rsid w:val="212F2286"/>
    <w:rsid w:val="21305CAA"/>
    <w:rsid w:val="2132E6D9"/>
    <w:rsid w:val="213351EC"/>
    <w:rsid w:val="21357EFB"/>
    <w:rsid w:val="2135E95C"/>
    <w:rsid w:val="21363F95"/>
    <w:rsid w:val="2136B41C"/>
    <w:rsid w:val="21383B1E"/>
    <w:rsid w:val="2139BC90"/>
    <w:rsid w:val="213B04FC"/>
    <w:rsid w:val="213CD103"/>
    <w:rsid w:val="213CF17E"/>
    <w:rsid w:val="213DD43E"/>
    <w:rsid w:val="213E892E"/>
    <w:rsid w:val="213E9BA4"/>
    <w:rsid w:val="213F8452"/>
    <w:rsid w:val="21406BA9"/>
    <w:rsid w:val="214448FE"/>
    <w:rsid w:val="214644DB"/>
    <w:rsid w:val="2147DFBD"/>
    <w:rsid w:val="21491C34"/>
    <w:rsid w:val="21499AF2"/>
    <w:rsid w:val="2149C247"/>
    <w:rsid w:val="214A1D68"/>
    <w:rsid w:val="214A4C81"/>
    <w:rsid w:val="214B200C"/>
    <w:rsid w:val="214EA642"/>
    <w:rsid w:val="215048A8"/>
    <w:rsid w:val="2151B925"/>
    <w:rsid w:val="215C65C2"/>
    <w:rsid w:val="215C6CBE"/>
    <w:rsid w:val="21616999"/>
    <w:rsid w:val="21638C26"/>
    <w:rsid w:val="2163EF6E"/>
    <w:rsid w:val="21671F2F"/>
    <w:rsid w:val="21674462"/>
    <w:rsid w:val="2168A2A3"/>
    <w:rsid w:val="216BE6FB"/>
    <w:rsid w:val="216C615A"/>
    <w:rsid w:val="216D501B"/>
    <w:rsid w:val="216D693B"/>
    <w:rsid w:val="2171465F"/>
    <w:rsid w:val="2172D9A1"/>
    <w:rsid w:val="2173CF74"/>
    <w:rsid w:val="2174F7F3"/>
    <w:rsid w:val="21751E2B"/>
    <w:rsid w:val="217551C2"/>
    <w:rsid w:val="2176423D"/>
    <w:rsid w:val="217766EC"/>
    <w:rsid w:val="21791052"/>
    <w:rsid w:val="217A2526"/>
    <w:rsid w:val="217ABBFC"/>
    <w:rsid w:val="217BB549"/>
    <w:rsid w:val="2183A971"/>
    <w:rsid w:val="21842887"/>
    <w:rsid w:val="2184441C"/>
    <w:rsid w:val="2184FDEC"/>
    <w:rsid w:val="21850F7B"/>
    <w:rsid w:val="218514DE"/>
    <w:rsid w:val="2186D7F1"/>
    <w:rsid w:val="2188C368"/>
    <w:rsid w:val="218B2DCC"/>
    <w:rsid w:val="218B4164"/>
    <w:rsid w:val="218E8BE8"/>
    <w:rsid w:val="21927359"/>
    <w:rsid w:val="2192E110"/>
    <w:rsid w:val="21967509"/>
    <w:rsid w:val="21976A9A"/>
    <w:rsid w:val="2197ABC3"/>
    <w:rsid w:val="21986860"/>
    <w:rsid w:val="21989AEC"/>
    <w:rsid w:val="2199835C"/>
    <w:rsid w:val="219994CA"/>
    <w:rsid w:val="219C4D09"/>
    <w:rsid w:val="219CC526"/>
    <w:rsid w:val="219D7B8C"/>
    <w:rsid w:val="219DD182"/>
    <w:rsid w:val="219DE687"/>
    <w:rsid w:val="219E7467"/>
    <w:rsid w:val="21A13100"/>
    <w:rsid w:val="21A3A571"/>
    <w:rsid w:val="21A43F29"/>
    <w:rsid w:val="21A63A2D"/>
    <w:rsid w:val="21A73FA5"/>
    <w:rsid w:val="21A76E46"/>
    <w:rsid w:val="21A91280"/>
    <w:rsid w:val="21A97CA6"/>
    <w:rsid w:val="21AB8F2E"/>
    <w:rsid w:val="21AD367D"/>
    <w:rsid w:val="21AE7698"/>
    <w:rsid w:val="21B1C349"/>
    <w:rsid w:val="21B2486D"/>
    <w:rsid w:val="21B3483C"/>
    <w:rsid w:val="21B43AD2"/>
    <w:rsid w:val="21B4A3D6"/>
    <w:rsid w:val="21B6514B"/>
    <w:rsid w:val="21B7D046"/>
    <w:rsid w:val="21B9B70A"/>
    <w:rsid w:val="21BCC391"/>
    <w:rsid w:val="21BEDB59"/>
    <w:rsid w:val="21BF5DF0"/>
    <w:rsid w:val="21C68BCE"/>
    <w:rsid w:val="21C985FE"/>
    <w:rsid w:val="21C9F1EF"/>
    <w:rsid w:val="21CA0542"/>
    <w:rsid w:val="21CD0F22"/>
    <w:rsid w:val="21CFFFA8"/>
    <w:rsid w:val="21D18E0B"/>
    <w:rsid w:val="21D34162"/>
    <w:rsid w:val="21D59FC4"/>
    <w:rsid w:val="21D68DB8"/>
    <w:rsid w:val="21D7C026"/>
    <w:rsid w:val="21D9B36D"/>
    <w:rsid w:val="21DA3901"/>
    <w:rsid w:val="21DAE7D0"/>
    <w:rsid w:val="21DC798B"/>
    <w:rsid w:val="21DD75A4"/>
    <w:rsid w:val="21E04C46"/>
    <w:rsid w:val="21E0B668"/>
    <w:rsid w:val="21E26ACC"/>
    <w:rsid w:val="21E614FE"/>
    <w:rsid w:val="21E69031"/>
    <w:rsid w:val="21EAA4BF"/>
    <w:rsid w:val="21ED2726"/>
    <w:rsid w:val="21EE1088"/>
    <w:rsid w:val="21F001DD"/>
    <w:rsid w:val="21F670AB"/>
    <w:rsid w:val="21F6D7AC"/>
    <w:rsid w:val="21FAB039"/>
    <w:rsid w:val="21FC2D08"/>
    <w:rsid w:val="21FCC05C"/>
    <w:rsid w:val="21FD8AB0"/>
    <w:rsid w:val="21FDD58D"/>
    <w:rsid w:val="21FE3812"/>
    <w:rsid w:val="21FE7685"/>
    <w:rsid w:val="21FFB19C"/>
    <w:rsid w:val="21FFFE9C"/>
    <w:rsid w:val="22014DD9"/>
    <w:rsid w:val="2201B59B"/>
    <w:rsid w:val="22036EC4"/>
    <w:rsid w:val="22054C29"/>
    <w:rsid w:val="22056A84"/>
    <w:rsid w:val="2208D938"/>
    <w:rsid w:val="2208FD3E"/>
    <w:rsid w:val="220990CA"/>
    <w:rsid w:val="2209A24B"/>
    <w:rsid w:val="220B360D"/>
    <w:rsid w:val="220BAADC"/>
    <w:rsid w:val="220E854D"/>
    <w:rsid w:val="220EDD7D"/>
    <w:rsid w:val="22109E05"/>
    <w:rsid w:val="2210C582"/>
    <w:rsid w:val="22126503"/>
    <w:rsid w:val="22126EBC"/>
    <w:rsid w:val="22127765"/>
    <w:rsid w:val="22191A41"/>
    <w:rsid w:val="221B350F"/>
    <w:rsid w:val="221B3927"/>
    <w:rsid w:val="221C26B7"/>
    <w:rsid w:val="221C3B16"/>
    <w:rsid w:val="221D61B7"/>
    <w:rsid w:val="221E3158"/>
    <w:rsid w:val="221EB1E2"/>
    <w:rsid w:val="222096C1"/>
    <w:rsid w:val="2221A241"/>
    <w:rsid w:val="22241094"/>
    <w:rsid w:val="22251527"/>
    <w:rsid w:val="222BD1DA"/>
    <w:rsid w:val="222BF08F"/>
    <w:rsid w:val="222DE63B"/>
    <w:rsid w:val="222E24DE"/>
    <w:rsid w:val="22306CFE"/>
    <w:rsid w:val="22318EC3"/>
    <w:rsid w:val="2234790E"/>
    <w:rsid w:val="22347A1A"/>
    <w:rsid w:val="2237F005"/>
    <w:rsid w:val="22381525"/>
    <w:rsid w:val="22396099"/>
    <w:rsid w:val="2239EE53"/>
    <w:rsid w:val="223AB0DE"/>
    <w:rsid w:val="223C8986"/>
    <w:rsid w:val="223EAE5B"/>
    <w:rsid w:val="223F6CF5"/>
    <w:rsid w:val="22409374"/>
    <w:rsid w:val="2241B490"/>
    <w:rsid w:val="2241EAD3"/>
    <w:rsid w:val="22423DB5"/>
    <w:rsid w:val="22444701"/>
    <w:rsid w:val="2244491B"/>
    <w:rsid w:val="2249609D"/>
    <w:rsid w:val="224A13DD"/>
    <w:rsid w:val="224A98B4"/>
    <w:rsid w:val="224B67FE"/>
    <w:rsid w:val="224C6137"/>
    <w:rsid w:val="224DBBA9"/>
    <w:rsid w:val="224FE3AC"/>
    <w:rsid w:val="22502476"/>
    <w:rsid w:val="2251D2B7"/>
    <w:rsid w:val="2252544B"/>
    <w:rsid w:val="2252A6A7"/>
    <w:rsid w:val="2253FBCF"/>
    <w:rsid w:val="2254102B"/>
    <w:rsid w:val="22547501"/>
    <w:rsid w:val="2256F4FF"/>
    <w:rsid w:val="2259C30B"/>
    <w:rsid w:val="2259EA98"/>
    <w:rsid w:val="225B232D"/>
    <w:rsid w:val="225C995D"/>
    <w:rsid w:val="22615449"/>
    <w:rsid w:val="22620B5C"/>
    <w:rsid w:val="22657642"/>
    <w:rsid w:val="226B51A8"/>
    <w:rsid w:val="226D8B16"/>
    <w:rsid w:val="226DCF22"/>
    <w:rsid w:val="2271429D"/>
    <w:rsid w:val="22746CFE"/>
    <w:rsid w:val="227637E6"/>
    <w:rsid w:val="2276993C"/>
    <w:rsid w:val="22777739"/>
    <w:rsid w:val="22779B24"/>
    <w:rsid w:val="227A5F66"/>
    <w:rsid w:val="227D13A4"/>
    <w:rsid w:val="227D1787"/>
    <w:rsid w:val="227D31E3"/>
    <w:rsid w:val="227ECD4E"/>
    <w:rsid w:val="2281B4F6"/>
    <w:rsid w:val="22820944"/>
    <w:rsid w:val="22838CAD"/>
    <w:rsid w:val="2284C8AC"/>
    <w:rsid w:val="2286DCD6"/>
    <w:rsid w:val="2288C544"/>
    <w:rsid w:val="22896D13"/>
    <w:rsid w:val="228B5210"/>
    <w:rsid w:val="228C4DB7"/>
    <w:rsid w:val="22906390"/>
    <w:rsid w:val="22910E8B"/>
    <w:rsid w:val="22939E48"/>
    <w:rsid w:val="2295E343"/>
    <w:rsid w:val="229653BE"/>
    <w:rsid w:val="22999B73"/>
    <w:rsid w:val="22999F7F"/>
    <w:rsid w:val="229AFC77"/>
    <w:rsid w:val="229C338D"/>
    <w:rsid w:val="229E6883"/>
    <w:rsid w:val="229FD667"/>
    <w:rsid w:val="229FFD1B"/>
    <w:rsid w:val="22A0B8BE"/>
    <w:rsid w:val="22A1E43C"/>
    <w:rsid w:val="22A31182"/>
    <w:rsid w:val="22A45232"/>
    <w:rsid w:val="22A51EB1"/>
    <w:rsid w:val="22AAD21F"/>
    <w:rsid w:val="22AE38E0"/>
    <w:rsid w:val="22B17ADC"/>
    <w:rsid w:val="22B28192"/>
    <w:rsid w:val="22B2E43C"/>
    <w:rsid w:val="22B32491"/>
    <w:rsid w:val="22B96433"/>
    <w:rsid w:val="22B9A5C8"/>
    <w:rsid w:val="22C14E97"/>
    <w:rsid w:val="22C19528"/>
    <w:rsid w:val="22C1A550"/>
    <w:rsid w:val="22C4386D"/>
    <w:rsid w:val="22C7C62A"/>
    <w:rsid w:val="22C7E1C2"/>
    <w:rsid w:val="22C88C8B"/>
    <w:rsid w:val="22CA743C"/>
    <w:rsid w:val="22CB68CB"/>
    <w:rsid w:val="22CB9095"/>
    <w:rsid w:val="22CBBDA3"/>
    <w:rsid w:val="22CC7533"/>
    <w:rsid w:val="22CCBAAF"/>
    <w:rsid w:val="22CEB73A"/>
    <w:rsid w:val="22CEC433"/>
    <w:rsid w:val="22CEE112"/>
    <w:rsid w:val="22CFDD0F"/>
    <w:rsid w:val="22D11A50"/>
    <w:rsid w:val="22D1313F"/>
    <w:rsid w:val="22D14F5C"/>
    <w:rsid w:val="22D15575"/>
    <w:rsid w:val="22D3731D"/>
    <w:rsid w:val="22D3E56A"/>
    <w:rsid w:val="22D6512C"/>
    <w:rsid w:val="22D73769"/>
    <w:rsid w:val="22DAC333"/>
    <w:rsid w:val="22DAFE22"/>
    <w:rsid w:val="22DB6BDB"/>
    <w:rsid w:val="22DCD44F"/>
    <w:rsid w:val="22DE4C69"/>
    <w:rsid w:val="22DED346"/>
    <w:rsid w:val="22DFCFE4"/>
    <w:rsid w:val="22E016DD"/>
    <w:rsid w:val="22E0318F"/>
    <w:rsid w:val="22E0EFC5"/>
    <w:rsid w:val="22E120AB"/>
    <w:rsid w:val="22E55FAF"/>
    <w:rsid w:val="22E7EC1E"/>
    <w:rsid w:val="22E96D62"/>
    <w:rsid w:val="22EA6786"/>
    <w:rsid w:val="22EBCB84"/>
    <w:rsid w:val="22ECA5F1"/>
    <w:rsid w:val="22EE41D5"/>
    <w:rsid w:val="22F1C010"/>
    <w:rsid w:val="22F1C06C"/>
    <w:rsid w:val="22F2E055"/>
    <w:rsid w:val="22F3D455"/>
    <w:rsid w:val="22F4A1CD"/>
    <w:rsid w:val="22F66A22"/>
    <w:rsid w:val="22F8285F"/>
    <w:rsid w:val="22F9198C"/>
    <w:rsid w:val="22F96B9F"/>
    <w:rsid w:val="22FBE4CD"/>
    <w:rsid w:val="22FC5E8B"/>
    <w:rsid w:val="22FE9432"/>
    <w:rsid w:val="22FF732C"/>
    <w:rsid w:val="22FFAD0A"/>
    <w:rsid w:val="22FFFBD7"/>
    <w:rsid w:val="2300A274"/>
    <w:rsid w:val="23019BE5"/>
    <w:rsid w:val="23027AB2"/>
    <w:rsid w:val="23044D31"/>
    <w:rsid w:val="2304A27B"/>
    <w:rsid w:val="23053A52"/>
    <w:rsid w:val="23095DD3"/>
    <w:rsid w:val="230A0126"/>
    <w:rsid w:val="230A3B43"/>
    <w:rsid w:val="230AFC77"/>
    <w:rsid w:val="230E9618"/>
    <w:rsid w:val="230FC803"/>
    <w:rsid w:val="2310D95A"/>
    <w:rsid w:val="23199A82"/>
    <w:rsid w:val="231C12FE"/>
    <w:rsid w:val="231C4D01"/>
    <w:rsid w:val="231DCC69"/>
    <w:rsid w:val="232032A0"/>
    <w:rsid w:val="2323355D"/>
    <w:rsid w:val="23242EB9"/>
    <w:rsid w:val="232446C0"/>
    <w:rsid w:val="2327AFF2"/>
    <w:rsid w:val="2329CCB1"/>
    <w:rsid w:val="232B3172"/>
    <w:rsid w:val="232C0195"/>
    <w:rsid w:val="232E56CD"/>
    <w:rsid w:val="232EF836"/>
    <w:rsid w:val="232EFA4C"/>
    <w:rsid w:val="232F3694"/>
    <w:rsid w:val="23303505"/>
    <w:rsid w:val="233171CB"/>
    <w:rsid w:val="2331F559"/>
    <w:rsid w:val="23320B8F"/>
    <w:rsid w:val="23338D20"/>
    <w:rsid w:val="23345601"/>
    <w:rsid w:val="2334FC5E"/>
    <w:rsid w:val="2335B8A2"/>
    <w:rsid w:val="2335FFD9"/>
    <w:rsid w:val="2336A222"/>
    <w:rsid w:val="23399B81"/>
    <w:rsid w:val="233AE569"/>
    <w:rsid w:val="233C6661"/>
    <w:rsid w:val="233D959B"/>
    <w:rsid w:val="233F5271"/>
    <w:rsid w:val="23402F8D"/>
    <w:rsid w:val="2340E995"/>
    <w:rsid w:val="2342C1BA"/>
    <w:rsid w:val="234654C6"/>
    <w:rsid w:val="2346555B"/>
    <w:rsid w:val="2347F4BF"/>
    <w:rsid w:val="234B209A"/>
    <w:rsid w:val="234DE563"/>
    <w:rsid w:val="234EBBA4"/>
    <w:rsid w:val="2350D2AC"/>
    <w:rsid w:val="2351528D"/>
    <w:rsid w:val="2351C836"/>
    <w:rsid w:val="23525EE9"/>
    <w:rsid w:val="2356D378"/>
    <w:rsid w:val="23573111"/>
    <w:rsid w:val="23585E1C"/>
    <w:rsid w:val="235F1C5F"/>
    <w:rsid w:val="235F2CE4"/>
    <w:rsid w:val="23633555"/>
    <w:rsid w:val="23634CA9"/>
    <w:rsid w:val="236568A1"/>
    <w:rsid w:val="2365799D"/>
    <w:rsid w:val="2367AE0F"/>
    <w:rsid w:val="2367D1B6"/>
    <w:rsid w:val="2369BF0E"/>
    <w:rsid w:val="236B7CBE"/>
    <w:rsid w:val="236BC13B"/>
    <w:rsid w:val="236BFB94"/>
    <w:rsid w:val="236C2C25"/>
    <w:rsid w:val="236D0A06"/>
    <w:rsid w:val="236E94D0"/>
    <w:rsid w:val="237048C1"/>
    <w:rsid w:val="2370DC5C"/>
    <w:rsid w:val="2371E45A"/>
    <w:rsid w:val="237385D6"/>
    <w:rsid w:val="2373C748"/>
    <w:rsid w:val="23760962"/>
    <w:rsid w:val="23765F88"/>
    <w:rsid w:val="237985C5"/>
    <w:rsid w:val="237A3C20"/>
    <w:rsid w:val="237A548C"/>
    <w:rsid w:val="237A8893"/>
    <w:rsid w:val="237A8AC9"/>
    <w:rsid w:val="237B2E6D"/>
    <w:rsid w:val="237B5453"/>
    <w:rsid w:val="237C3559"/>
    <w:rsid w:val="237EB551"/>
    <w:rsid w:val="23801ECB"/>
    <w:rsid w:val="23810CB8"/>
    <w:rsid w:val="2382866D"/>
    <w:rsid w:val="23842972"/>
    <w:rsid w:val="23860F6D"/>
    <w:rsid w:val="238B54E4"/>
    <w:rsid w:val="238BC4A6"/>
    <w:rsid w:val="238BEDF3"/>
    <w:rsid w:val="238EF63C"/>
    <w:rsid w:val="239073B7"/>
    <w:rsid w:val="23916262"/>
    <w:rsid w:val="2393965B"/>
    <w:rsid w:val="2395492D"/>
    <w:rsid w:val="23957A12"/>
    <w:rsid w:val="23958A7A"/>
    <w:rsid w:val="23978F1E"/>
    <w:rsid w:val="239ADDA0"/>
    <w:rsid w:val="239EAF1D"/>
    <w:rsid w:val="239F7D68"/>
    <w:rsid w:val="23A90C03"/>
    <w:rsid w:val="23A97C54"/>
    <w:rsid w:val="23AB6121"/>
    <w:rsid w:val="23AE223D"/>
    <w:rsid w:val="23AE7B16"/>
    <w:rsid w:val="23B167A6"/>
    <w:rsid w:val="23B57673"/>
    <w:rsid w:val="23B670B5"/>
    <w:rsid w:val="23BC53B6"/>
    <w:rsid w:val="23BCB702"/>
    <w:rsid w:val="23BD7F7C"/>
    <w:rsid w:val="23BE673B"/>
    <w:rsid w:val="23C36741"/>
    <w:rsid w:val="23C375C9"/>
    <w:rsid w:val="23C492AB"/>
    <w:rsid w:val="23C4ED60"/>
    <w:rsid w:val="23C6B418"/>
    <w:rsid w:val="23C97EB4"/>
    <w:rsid w:val="23CBE37D"/>
    <w:rsid w:val="23CC749B"/>
    <w:rsid w:val="23CF8E79"/>
    <w:rsid w:val="23D1644C"/>
    <w:rsid w:val="23D1FA20"/>
    <w:rsid w:val="23D46DCD"/>
    <w:rsid w:val="23D4F420"/>
    <w:rsid w:val="23D509B6"/>
    <w:rsid w:val="23D6A99B"/>
    <w:rsid w:val="23D7B143"/>
    <w:rsid w:val="23D8AEC7"/>
    <w:rsid w:val="23DA28A3"/>
    <w:rsid w:val="23DB1392"/>
    <w:rsid w:val="23DBA00A"/>
    <w:rsid w:val="23DBABF9"/>
    <w:rsid w:val="23DC39A2"/>
    <w:rsid w:val="23DC7687"/>
    <w:rsid w:val="23DCCC09"/>
    <w:rsid w:val="23DD27B2"/>
    <w:rsid w:val="23E0AD47"/>
    <w:rsid w:val="23E13BE5"/>
    <w:rsid w:val="23E1CBED"/>
    <w:rsid w:val="23E2A32B"/>
    <w:rsid w:val="23E2CDEE"/>
    <w:rsid w:val="23E3069C"/>
    <w:rsid w:val="23E42FA7"/>
    <w:rsid w:val="23E4AF99"/>
    <w:rsid w:val="23EBA6AA"/>
    <w:rsid w:val="23ECB752"/>
    <w:rsid w:val="23EDED1F"/>
    <w:rsid w:val="23F32241"/>
    <w:rsid w:val="23F60ABE"/>
    <w:rsid w:val="23F87D45"/>
    <w:rsid w:val="23F8DEC0"/>
    <w:rsid w:val="23F95647"/>
    <w:rsid w:val="23FA913C"/>
    <w:rsid w:val="23FBCBF7"/>
    <w:rsid w:val="23FD8DBD"/>
    <w:rsid w:val="23FE1EB9"/>
    <w:rsid w:val="23FE3650"/>
    <w:rsid w:val="24026597"/>
    <w:rsid w:val="2404406C"/>
    <w:rsid w:val="2404B17F"/>
    <w:rsid w:val="240639FF"/>
    <w:rsid w:val="24076FDC"/>
    <w:rsid w:val="240979DF"/>
    <w:rsid w:val="240ADD41"/>
    <w:rsid w:val="2410A752"/>
    <w:rsid w:val="2410E49D"/>
    <w:rsid w:val="24115212"/>
    <w:rsid w:val="2411C785"/>
    <w:rsid w:val="24130F06"/>
    <w:rsid w:val="24160382"/>
    <w:rsid w:val="24164245"/>
    <w:rsid w:val="241766A3"/>
    <w:rsid w:val="241996E9"/>
    <w:rsid w:val="241BDE9D"/>
    <w:rsid w:val="241C20ED"/>
    <w:rsid w:val="242310D6"/>
    <w:rsid w:val="24232717"/>
    <w:rsid w:val="2426D353"/>
    <w:rsid w:val="242C16E3"/>
    <w:rsid w:val="242E7EA0"/>
    <w:rsid w:val="242EE115"/>
    <w:rsid w:val="242EF412"/>
    <w:rsid w:val="24313727"/>
    <w:rsid w:val="24340FC1"/>
    <w:rsid w:val="2435C7EC"/>
    <w:rsid w:val="243784D0"/>
    <w:rsid w:val="2437A593"/>
    <w:rsid w:val="243ABD9B"/>
    <w:rsid w:val="243D1C61"/>
    <w:rsid w:val="243DE1F9"/>
    <w:rsid w:val="243E575B"/>
    <w:rsid w:val="2441F211"/>
    <w:rsid w:val="2442C090"/>
    <w:rsid w:val="24449245"/>
    <w:rsid w:val="2447D68C"/>
    <w:rsid w:val="24498C75"/>
    <w:rsid w:val="2449FFF7"/>
    <w:rsid w:val="244A7469"/>
    <w:rsid w:val="244BD60B"/>
    <w:rsid w:val="244CAFBD"/>
    <w:rsid w:val="244CB75E"/>
    <w:rsid w:val="244DE96A"/>
    <w:rsid w:val="24509695"/>
    <w:rsid w:val="24533D68"/>
    <w:rsid w:val="2453AABF"/>
    <w:rsid w:val="2456E770"/>
    <w:rsid w:val="24574079"/>
    <w:rsid w:val="24582418"/>
    <w:rsid w:val="245BBF67"/>
    <w:rsid w:val="245E32BD"/>
    <w:rsid w:val="245EF59F"/>
    <w:rsid w:val="245F834F"/>
    <w:rsid w:val="24608E92"/>
    <w:rsid w:val="2461492E"/>
    <w:rsid w:val="2462D707"/>
    <w:rsid w:val="246594A4"/>
    <w:rsid w:val="2465C97A"/>
    <w:rsid w:val="2466241B"/>
    <w:rsid w:val="24692694"/>
    <w:rsid w:val="246ADE00"/>
    <w:rsid w:val="246AE1F3"/>
    <w:rsid w:val="246BBDBD"/>
    <w:rsid w:val="246DAC84"/>
    <w:rsid w:val="246F4FE2"/>
    <w:rsid w:val="247259DF"/>
    <w:rsid w:val="247383A6"/>
    <w:rsid w:val="24764DB8"/>
    <w:rsid w:val="24788723"/>
    <w:rsid w:val="247915A9"/>
    <w:rsid w:val="24791896"/>
    <w:rsid w:val="247ABB91"/>
    <w:rsid w:val="247AD303"/>
    <w:rsid w:val="247B01D3"/>
    <w:rsid w:val="247CA94E"/>
    <w:rsid w:val="247D7B5E"/>
    <w:rsid w:val="248495E9"/>
    <w:rsid w:val="24877F95"/>
    <w:rsid w:val="248B2878"/>
    <w:rsid w:val="248BD5DB"/>
    <w:rsid w:val="248C24FE"/>
    <w:rsid w:val="248C6543"/>
    <w:rsid w:val="248D89D3"/>
    <w:rsid w:val="248F6EA0"/>
    <w:rsid w:val="24910C3F"/>
    <w:rsid w:val="2492D444"/>
    <w:rsid w:val="2493142C"/>
    <w:rsid w:val="24935566"/>
    <w:rsid w:val="24938AA3"/>
    <w:rsid w:val="24952F3F"/>
    <w:rsid w:val="2495EE45"/>
    <w:rsid w:val="24964141"/>
    <w:rsid w:val="249862D3"/>
    <w:rsid w:val="24992D4D"/>
    <w:rsid w:val="249A07A2"/>
    <w:rsid w:val="249B9825"/>
    <w:rsid w:val="249C4A0D"/>
    <w:rsid w:val="249D82FF"/>
    <w:rsid w:val="24A1CBB1"/>
    <w:rsid w:val="24A285E2"/>
    <w:rsid w:val="24A2864A"/>
    <w:rsid w:val="24A6D095"/>
    <w:rsid w:val="24A7DA8C"/>
    <w:rsid w:val="24B14CD2"/>
    <w:rsid w:val="24B34FB1"/>
    <w:rsid w:val="24B4F563"/>
    <w:rsid w:val="24B5A152"/>
    <w:rsid w:val="24B60F94"/>
    <w:rsid w:val="24B643AB"/>
    <w:rsid w:val="24B7410F"/>
    <w:rsid w:val="24B976CB"/>
    <w:rsid w:val="24BA76B7"/>
    <w:rsid w:val="24BCACA6"/>
    <w:rsid w:val="24BF2F2E"/>
    <w:rsid w:val="24C17394"/>
    <w:rsid w:val="24C30DCC"/>
    <w:rsid w:val="24C37495"/>
    <w:rsid w:val="24C4D249"/>
    <w:rsid w:val="24C5CD24"/>
    <w:rsid w:val="24C5F640"/>
    <w:rsid w:val="24C764D3"/>
    <w:rsid w:val="24C8A41B"/>
    <w:rsid w:val="24CA91A9"/>
    <w:rsid w:val="24CBE31B"/>
    <w:rsid w:val="24D03357"/>
    <w:rsid w:val="24D152CB"/>
    <w:rsid w:val="24D1746F"/>
    <w:rsid w:val="24D1AB6E"/>
    <w:rsid w:val="24D3C9A2"/>
    <w:rsid w:val="24D4EC30"/>
    <w:rsid w:val="24D89BB3"/>
    <w:rsid w:val="24D9EEA1"/>
    <w:rsid w:val="24DB86F4"/>
    <w:rsid w:val="24DF2601"/>
    <w:rsid w:val="24E0A80B"/>
    <w:rsid w:val="24E0D8C5"/>
    <w:rsid w:val="24E46E17"/>
    <w:rsid w:val="24E59E87"/>
    <w:rsid w:val="24E5F8DA"/>
    <w:rsid w:val="24E6F0FB"/>
    <w:rsid w:val="24E7A87E"/>
    <w:rsid w:val="24E7DCF3"/>
    <w:rsid w:val="24E9640B"/>
    <w:rsid w:val="24EAA427"/>
    <w:rsid w:val="24EE561E"/>
    <w:rsid w:val="24F049B1"/>
    <w:rsid w:val="24F08A65"/>
    <w:rsid w:val="24F2DF87"/>
    <w:rsid w:val="24F38B7E"/>
    <w:rsid w:val="24F3901C"/>
    <w:rsid w:val="24F50E7D"/>
    <w:rsid w:val="24F6859C"/>
    <w:rsid w:val="24F786C5"/>
    <w:rsid w:val="24F78DBC"/>
    <w:rsid w:val="24F8AC37"/>
    <w:rsid w:val="24FB8F8C"/>
    <w:rsid w:val="24FBA6DF"/>
    <w:rsid w:val="24FBCF6B"/>
    <w:rsid w:val="24FC87E2"/>
    <w:rsid w:val="24FD19E1"/>
    <w:rsid w:val="24FF35B8"/>
    <w:rsid w:val="24FF5F50"/>
    <w:rsid w:val="25005398"/>
    <w:rsid w:val="2500FDB7"/>
    <w:rsid w:val="25026F90"/>
    <w:rsid w:val="25064734"/>
    <w:rsid w:val="2506759D"/>
    <w:rsid w:val="2506CD76"/>
    <w:rsid w:val="250872AC"/>
    <w:rsid w:val="2508BB03"/>
    <w:rsid w:val="250C48A8"/>
    <w:rsid w:val="250F0EA2"/>
    <w:rsid w:val="250F619F"/>
    <w:rsid w:val="251224E3"/>
    <w:rsid w:val="2513276F"/>
    <w:rsid w:val="25169F63"/>
    <w:rsid w:val="25182AA4"/>
    <w:rsid w:val="251B690F"/>
    <w:rsid w:val="251D8D9C"/>
    <w:rsid w:val="2520ADC7"/>
    <w:rsid w:val="2521AE0A"/>
    <w:rsid w:val="25231152"/>
    <w:rsid w:val="2525D81F"/>
    <w:rsid w:val="2526D7B6"/>
    <w:rsid w:val="25274543"/>
    <w:rsid w:val="25292D2D"/>
    <w:rsid w:val="252EA98B"/>
    <w:rsid w:val="252ECCAA"/>
    <w:rsid w:val="252FA609"/>
    <w:rsid w:val="25310B4A"/>
    <w:rsid w:val="25330EE8"/>
    <w:rsid w:val="25335F7F"/>
    <w:rsid w:val="2533BBD8"/>
    <w:rsid w:val="2534AABC"/>
    <w:rsid w:val="2538D20C"/>
    <w:rsid w:val="2538D2C2"/>
    <w:rsid w:val="2539709E"/>
    <w:rsid w:val="253F3EE6"/>
    <w:rsid w:val="253F412C"/>
    <w:rsid w:val="25463E5A"/>
    <w:rsid w:val="25481A14"/>
    <w:rsid w:val="254AA4B7"/>
    <w:rsid w:val="254F2B74"/>
    <w:rsid w:val="2550D73C"/>
    <w:rsid w:val="255452AD"/>
    <w:rsid w:val="25549FF5"/>
    <w:rsid w:val="2558FD10"/>
    <w:rsid w:val="2559A795"/>
    <w:rsid w:val="255A13DD"/>
    <w:rsid w:val="255A7011"/>
    <w:rsid w:val="255B0ACA"/>
    <w:rsid w:val="255CA37A"/>
    <w:rsid w:val="255E94BD"/>
    <w:rsid w:val="255F641C"/>
    <w:rsid w:val="2564A367"/>
    <w:rsid w:val="25650AE7"/>
    <w:rsid w:val="2565C7C7"/>
    <w:rsid w:val="2567190C"/>
    <w:rsid w:val="2567341A"/>
    <w:rsid w:val="256AE3FB"/>
    <w:rsid w:val="256B6238"/>
    <w:rsid w:val="256E4BE7"/>
    <w:rsid w:val="256E50E9"/>
    <w:rsid w:val="25734294"/>
    <w:rsid w:val="2573834C"/>
    <w:rsid w:val="257AF8C4"/>
    <w:rsid w:val="257B341F"/>
    <w:rsid w:val="257BBEDD"/>
    <w:rsid w:val="257CE1BB"/>
    <w:rsid w:val="257D60CC"/>
    <w:rsid w:val="2582CFD0"/>
    <w:rsid w:val="25840D5C"/>
    <w:rsid w:val="25868C48"/>
    <w:rsid w:val="2587153D"/>
    <w:rsid w:val="2588E12D"/>
    <w:rsid w:val="2588F8DE"/>
    <w:rsid w:val="258945C3"/>
    <w:rsid w:val="258BEF7C"/>
    <w:rsid w:val="258CB45D"/>
    <w:rsid w:val="258D16F8"/>
    <w:rsid w:val="258DB7A8"/>
    <w:rsid w:val="2590C9B2"/>
    <w:rsid w:val="25934D3D"/>
    <w:rsid w:val="2593B831"/>
    <w:rsid w:val="2593DD15"/>
    <w:rsid w:val="2593F9AB"/>
    <w:rsid w:val="259426BA"/>
    <w:rsid w:val="2594BC8E"/>
    <w:rsid w:val="25954ACB"/>
    <w:rsid w:val="2596C78C"/>
    <w:rsid w:val="25994B2C"/>
    <w:rsid w:val="259BA644"/>
    <w:rsid w:val="259BD1AE"/>
    <w:rsid w:val="259F8CD9"/>
    <w:rsid w:val="25A1B32B"/>
    <w:rsid w:val="25A810FE"/>
    <w:rsid w:val="25A85B4B"/>
    <w:rsid w:val="25ABE72B"/>
    <w:rsid w:val="25AD0F8C"/>
    <w:rsid w:val="25B129E5"/>
    <w:rsid w:val="25B2716F"/>
    <w:rsid w:val="25B4188D"/>
    <w:rsid w:val="25B8241F"/>
    <w:rsid w:val="25B96BAC"/>
    <w:rsid w:val="25B9DFE7"/>
    <w:rsid w:val="25BB3611"/>
    <w:rsid w:val="25BC7B0D"/>
    <w:rsid w:val="25BEED37"/>
    <w:rsid w:val="25BF65E6"/>
    <w:rsid w:val="25BF8964"/>
    <w:rsid w:val="25C06314"/>
    <w:rsid w:val="25C1E041"/>
    <w:rsid w:val="25C289F5"/>
    <w:rsid w:val="25C2ED55"/>
    <w:rsid w:val="25C30584"/>
    <w:rsid w:val="25C35AA8"/>
    <w:rsid w:val="25C752CF"/>
    <w:rsid w:val="25C94EFD"/>
    <w:rsid w:val="25CECA45"/>
    <w:rsid w:val="25CEE857"/>
    <w:rsid w:val="25D0C8FB"/>
    <w:rsid w:val="25D15BCD"/>
    <w:rsid w:val="25D46ECE"/>
    <w:rsid w:val="25D56D3C"/>
    <w:rsid w:val="25D6E010"/>
    <w:rsid w:val="25D6E664"/>
    <w:rsid w:val="25D73EC8"/>
    <w:rsid w:val="25D78E79"/>
    <w:rsid w:val="25D91B48"/>
    <w:rsid w:val="25DB03EF"/>
    <w:rsid w:val="25DB7D71"/>
    <w:rsid w:val="25DD31C0"/>
    <w:rsid w:val="25DEF7A9"/>
    <w:rsid w:val="25DEFC4B"/>
    <w:rsid w:val="25DF1FCF"/>
    <w:rsid w:val="25E47065"/>
    <w:rsid w:val="25E8C2E1"/>
    <w:rsid w:val="25EB47A7"/>
    <w:rsid w:val="25EDD329"/>
    <w:rsid w:val="25EF8E64"/>
    <w:rsid w:val="25F02A34"/>
    <w:rsid w:val="25F04ACC"/>
    <w:rsid w:val="25F06058"/>
    <w:rsid w:val="25F1D576"/>
    <w:rsid w:val="25F24542"/>
    <w:rsid w:val="25F35916"/>
    <w:rsid w:val="25F39972"/>
    <w:rsid w:val="25F5FD45"/>
    <w:rsid w:val="25F7E95E"/>
    <w:rsid w:val="25F85BEF"/>
    <w:rsid w:val="25FBB83C"/>
    <w:rsid w:val="25FBF05D"/>
    <w:rsid w:val="2601DAA1"/>
    <w:rsid w:val="2602FD0D"/>
    <w:rsid w:val="260466F0"/>
    <w:rsid w:val="260590F5"/>
    <w:rsid w:val="2605D08A"/>
    <w:rsid w:val="2605E6FF"/>
    <w:rsid w:val="2606A7F6"/>
    <w:rsid w:val="2608651F"/>
    <w:rsid w:val="260A1972"/>
    <w:rsid w:val="260AFCC8"/>
    <w:rsid w:val="260C7CD8"/>
    <w:rsid w:val="260D1AE4"/>
    <w:rsid w:val="2612823B"/>
    <w:rsid w:val="2612D4C7"/>
    <w:rsid w:val="261360A5"/>
    <w:rsid w:val="26139FE3"/>
    <w:rsid w:val="26181532"/>
    <w:rsid w:val="2618ED96"/>
    <w:rsid w:val="261A95EA"/>
    <w:rsid w:val="261B85DB"/>
    <w:rsid w:val="261C14C4"/>
    <w:rsid w:val="261EDB76"/>
    <w:rsid w:val="261EF438"/>
    <w:rsid w:val="262167B5"/>
    <w:rsid w:val="26218B3F"/>
    <w:rsid w:val="2628B8E3"/>
    <w:rsid w:val="262913F7"/>
    <w:rsid w:val="262DE7CB"/>
    <w:rsid w:val="262E4161"/>
    <w:rsid w:val="262E71AA"/>
    <w:rsid w:val="262FAB8A"/>
    <w:rsid w:val="2631EA3F"/>
    <w:rsid w:val="263225C7"/>
    <w:rsid w:val="26338DDA"/>
    <w:rsid w:val="2635DCFA"/>
    <w:rsid w:val="2636D0DF"/>
    <w:rsid w:val="26375AC5"/>
    <w:rsid w:val="2639C192"/>
    <w:rsid w:val="26407D4D"/>
    <w:rsid w:val="26452EA7"/>
    <w:rsid w:val="2646378F"/>
    <w:rsid w:val="26467120"/>
    <w:rsid w:val="26468FAA"/>
    <w:rsid w:val="2647FD9E"/>
    <w:rsid w:val="26499FC0"/>
    <w:rsid w:val="264A6A7B"/>
    <w:rsid w:val="264CADDF"/>
    <w:rsid w:val="264D1368"/>
    <w:rsid w:val="264D97BE"/>
    <w:rsid w:val="264DB158"/>
    <w:rsid w:val="264EFD74"/>
    <w:rsid w:val="2652F955"/>
    <w:rsid w:val="26563C8C"/>
    <w:rsid w:val="2657EE7F"/>
    <w:rsid w:val="265A6B27"/>
    <w:rsid w:val="265B9664"/>
    <w:rsid w:val="265C0A0A"/>
    <w:rsid w:val="265C2A8D"/>
    <w:rsid w:val="265E3AB5"/>
    <w:rsid w:val="26607CCE"/>
    <w:rsid w:val="2661E668"/>
    <w:rsid w:val="26650D73"/>
    <w:rsid w:val="2667908D"/>
    <w:rsid w:val="2667ECC2"/>
    <w:rsid w:val="26694761"/>
    <w:rsid w:val="266DBDAF"/>
    <w:rsid w:val="266F5643"/>
    <w:rsid w:val="266F9CBE"/>
    <w:rsid w:val="266FE02A"/>
    <w:rsid w:val="2671347D"/>
    <w:rsid w:val="267195A1"/>
    <w:rsid w:val="2672BA85"/>
    <w:rsid w:val="26741E52"/>
    <w:rsid w:val="2675D4F1"/>
    <w:rsid w:val="267643F0"/>
    <w:rsid w:val="267B2D5A"/>
    <w:rsid w:val="267EDFAE"/>
    <w:rsid w:val="26804223"/>
    <w:rsid w:val="268098F6"/>
    <w:rsid w:val="26833A74"/>
    <w:rsid w:val="2684B136"/>
    <w:rsid w:val="2685F347"/>
    <w:rsid w:val="26863FE0"/>
    <w:rsid w:val="268677D9"/>
    <w:rsid w:val="26872F1E"/>
    <w:rsid w:val="2687DB99"/>
    <w:rsid w:val="268B5385"/>
    <w:rsid w:val="268DB6D7"/>
    <w:rsid w:val="268E9BA4"/>
    <w:rsid w:val="2690305F"/>
    <w:rsid w:val="26940DF0"/>
    <w:rsid w:val="26985843"/>
    <w:rsid w:val="2698CCF1"/>
    <w:rsid w:val="26994679"/>
    <w:rsid w:val="26998E78"/>
    <w:rsid w:val="269998B6"/>
    <w:rsid w:val="269F72DB"/>
    <w:rsid w:val="269FE136"/>
    <w:rsid w:val="26A4E302"/>
    <w:rsid w:val="26A88C0C"/>
    <w:rsid w:val="26AD7AAF"/>
    <w:rsid w:val="26AE5061"/>
    <w:rsid w:val="26B2C2F8"/>
    <w:rsid w:val="26B47D21"/>
    <w:rsid w:val="26B88211"/>
    <w:rsid w:val="26B89765"/>
    <w:rsid w:val="26B978F8"/>
    <w:rsid w:val="26B9EA73"/>
    <w:rsid w:val="26BBB69C"/>
    <w:rsid w:val="26BE479B"/>
    <w:rsid w:val="26BE881E"/>
    <w:rsid w:val="26BFFD62"/>
    <w:rsid w:val="26C0AA84"/>
    <w:rsid w:val="26C15E31"/>
    <w:rsid w:val="26C3F30E"/>
    <w:rsid w:val="26C406F2"/>
    <w:rsid w:val="26CA6D7D"/>
    <w:rsid w:val="26CA7177"/>
    <w:rsid w:val="26CA7C9F"/>
    <w:rsid w:val="26CA9FC0"/>
    <w:rsid w:val="26D34A56"/>
    <w:rsid w:val="26D4369D"/>
    <w:rsid w:val="26D73E29"/>
    <w:rsid w:val="26D775EB"/>
    <w:rsid w:val="26D8539A"/>
    <w:rsid w:val="26D97398"/>
    <w:rsid w:val="26DAEDAA"/>
    <w:rsid w:val="26DC2429"/>
    <w:rsid w:val="26DCD7F4"/>
    <w:rsid w:val="26DEC55C"/>
    <w:rsid w:val="26E1715C"/>
    <w:rsid w:val="26E1A4E3"/>
    <w:rsid w:val="26E351C5"/>
    <w:rsid w:val="26E6B99E"/>
    <w:rsid w:val="26E8BC15"/>
    <w:rsid w:val="26E9CA33"/>
    <w:rsid w:val="26ED8402"/>
    <w:rsid w:val="26EE2767"/>
    <w:rsid w:val="26F0BFBB"/>
    <w:rsid w:val="26F1D2F0"/>
    <w:rsid w:val="26F27BF7"/>
    <w:rsid w:val="26F3D949"/>
    <w:rsid w:val="26F9C077"/>
    <w:rsid w:val="26FB7A1C"/>
    <w:rsid w:val="26FC6065"/>
    <w:rsid w:val="26FD7062"/>
    <w:rsid w:val="26FF4B5C"/>
    <w:rsid w:val="270239F0"/>
    <w:rsid w:val="270395A7"/>
    <w:rsid w:val="2703E63C"/>
    <w:rsid w:val="2706AD26"/>
    <w:rsid w:val="27070131"/>
    <w:rsid w:val="27074D90"/>
    <w:rsid w:val="2708D187"/>
    <w:rsid w:val="270DDFFE"/>
    <w:rsid w:val="270F32D4"/>
    <w:rsid w:val="270F38DD"/>
    <w:rsid w:val="27160C54"/>
    <w:rsid w:val="2719C0B6"/>
    <w:rsid w:val="2719F4EE"/>
    <w:rsid w:val="271A6251"/>
    <w:rsid w:val="271B1D62"/>
    <w:rsid w:val="271C348E"/>
    <w:rsid w:val="271CD365"/>
    <w:rsid w:val="2721ECC5"/>
    <w:rsid w:val="2726EC82"/>
    <w:rsid w:val="272A0305"/>
    <w:rsid w:val="272AF6A5"/>
    <w:rsid w:val="272B04EA"/>
    <w:rsid w:val="272B898A"/>
    <w:rsid w:val="272CE120"/>
    <w:rsid w:val="272E49CF"/>
    <w:rsid w:val="27310414"/>
    <w:rsid w:val="2731C2FB"/>
    <w:rsid w:val="27325B6A"/>
    <w:rsid w:val="27328E11"/>
    <w:rsid w:val="27342C6A"/>
    <w:rsid w:val="27348677"/>
    <w:rsid w:val="2737C2BF"/>
    <w:rsid w:val="2739FF27"/>
    <w:rsid w:val="273BA9D2"/>
    <w:rsid w:val="273C51A2"/>
    <w:rsid w:val="273CEF00"/>
    <w:rsid w:val="2740CDB5"/>
    <w:rsid w:val="274167C2"/>
    <w:rsid w:val="2745135E"/>
    <w:rsid w:val="27495E0C"/>
    <w:rsid w:val="274AD0DF"/>
    <w:rsid w:val="274AFD59"/>
    <w:rsid w:val="274D525B"/>
    <w:rsid w:val="274DFEE9"/>
    <w:rsid w:val="274EE225"/>
    <w:rsid w:val="274F33C7"/>
    <w:rsid w:val="2751F247"/>
    <w:rsid w:val="275396D8"/>
    <w:rsid w:val="2754FE5E"/>
    <w:rsid w:val="2757B52B"/>
    <w:rsid w:val="2757ED68"/>
    <w:rsid w:val="2758697F"/>
    <w:rsid w:val="275A8C29"/>
    <w:rsid w:val="275B1C3D"/>
    <w:rsid w:val="275DEEDC"/>
    <w:rsid w:val="275E9EBF"/>
    <w:rsid w:val="27626F60"/>
    <w:rsid w:val="2762B826"/>
    <w:rsid w:val="2762C4AE"/>
    <w:rsid w:val="276330D9"/>
    <w:rsid w:val="27641589"/>
    <w:rsid w:val="27665662"/>
    <w:rsid w:val="276795CC"/>
    <w:rsid w:val="276A9A78"/>
    <w:rsid w:val="276BDD4D"/>
    <w:rsid w:val="276E639E"/>
    <w:rsid w:val="276FC2E7"/>
    <w:rsid w:val="27722083"/>
    <w:rsid w:val="2772DC58"/>
    <w:rsid w:val="2773CB0D"/>
    <w:rsid w:val="27743FFB"/>
    <w:rsid w:val="2774F1EF"/>
    <w:rsid w:val="277737F9"/>
    <w:rsid w:val="2777D53A"/>
    <w:rsid w:val="2777F9E6"/>
    <w:rsid w:val="277880A8"/>
    <w:rsid w:val="2778BB34"/>
    <w:rsid w:val="2778D818"/>
    <w:rsid w:val="277A8AB3"/>
    <w:rsid w:val="277B3A74"/>
    <w:rsid w:val="277B482B"/>
    <w:rsid w:val="277C6062"/>
    <w:rsid w:val="277C8E17"/>
    <w:rsid w:val="277D1603"/>
    <w:rsid w:val="278077D3"/>
    <w:rsid w:val="27819A22"/>
    <w:rsid w:val="2781CCF9"/>
    <w:rsid w:val="27837909"/>
    <w:rsid w:val="2787A127"/>
    <w:rsid w:val="278D0AB3"/>
    <w:rsid w:val="278E2C18"/>
    <w:rsid w:val="278E6C6B"/>
    <w:rsid w:val="27988FEA"/>
    <w:rsid w:val="279AD3DA"/>
    <w:rsid w:val="27A0F113"/>
    <w:rsid w:val="27A35746"/>
    <w:rsid w:val="27A5A437"/>
    <w:rsid w:val="27A6BB91"/>
    <w:rsid w:val="27A7617A"/>
    <w:rsid w:val="27A7972D"/>
    <w:rsid w:val="27AA44AB"/>
    <w:rsid w:val="27ADBE73"/>
    <w:rsid w:val="27AE06A5"/>
    <w:rsid w:val="27AF4195"/>
    <w:rsid w:val="27B730A9"/>
    <w:rsid w:val="27B8AD44"/>
    <w:rsid w:val="27B980BA"/>
    <w:rsid w:val="27B9DB72"/>
    <w:rsid w:val="27BA7417"/>
    <w:rsid w:val="27BA8159"/>
    <w:rsid w:val="27BBEBD2"/>
    <w:rsid w:val="27C03082"/>
    <w:rsid w:val="27C051FC"/>
    <w:rsid w:val="27C10E0B"/>
    <w:rsid w:val="27C2A9E7"/>
    <w:rsid w:val="27C2E64F"/>
    <w:rsid w:val="27C4AAB0"/>
    <w:rsid w:val="27C71B11"/>
    <w:rsid w:val="27C7AF00"/>
    <w:rsid w:val="27C84245"/>
    <w:rsid w:val="27CAACFA"/>
    <w:rsid w:val="27CB6C5E"/>
    <w:rsid w:val="27CD2A0A"/>
    <w:rsid w:val="27CE837B"/>
    <w:rsid w:val="27CF7F9D"/>
    <w:rsid w:val="27D042BC"/>
    <w:rsid w:val="27D09DF8"/>
    <w:rsid w:val="27D65350"/>
    <w:rsid w:val="27D665A9"/>
    <w:rsid w:val="27D94628"/>
    <w:rsid w:val="27DAF6A7"/>
    <w:rsid w:val="27DB7194"/>
    <w:rsid w:val="27DC9AFD"/>
    <w:rsid w:val="27DF41A8"/>
    <w:rsid w:val="27E0989C"/>
    <w:rsid w:val="27E222DC"/>
    <w:rsid w:val="27E2819D"/>
    <w:rsid w:val="27E28643"/>
    <w:rsid w:val="27E75C5F"/>
    <w:rsid w:val="27E903D6"/>
    <w:rsid w:val="27EAD90E"/>
    <w:rsid w:val="27ECDF18"/>
    <w:rsid w:val="27F12286"/>
    <w:rsid w:val="27F48621"/>
    <w:rsid w:val="27F5E586"/>
    <w:rsid w:val="27FA8E51"/>
    <w:rsid w:val="27FD8D5C"/>
    <w:rsid w:val="27FE394A"/>
    <w:rsid w:val="27FF0B70"/>
    <w:rsid w:val="280244C1"/>
    <w:rsid w:val="280282A9"/>
    <w:rsid w:val="2802F1F8"/>
    <w:rsid w:val="28041E59"/>
    <w:rsid w:val="2804F737"/>
    <w:rsid w:val="2805743B"/>
    <w:rsid w:val="28084A41"/>
    <w:rsid w:val="28085FCA"/>
    <w:rsid w:val="280B2D96"/>
    <w:rsid w:val="280B3828"/>
    <w:rsid w:val="280BCA0D"/>
    <w:rsid w:val="28118F63"/>
    <w:rsid w:val="28147392"/>
    <w:rsid w:val="2816AFCA"/>
    <w:rsid w:val="28174A07"/>
    <w:rsid w:val="28184722"/>
    <w:rsid w:val="2818F766"/>
    <w:rsid w:val="2819178A"/>
    <w:rsid w:val="2819C9F3"/>
    <w:rsid w:val="281A7F33"/>
    <w:rsid w:val="281BEA9F"/>
    <w:rsid w:val="281CFE63"/>
    <w:rsid w:val="281E91BD"/>
    <w:rsid w:val="281F7B8C"/>
    <w:rsid w:val="28217632"/>
    <w:rsid w:val="28220D85"/>
    <w:rsid w:val="28280A48"/>
    <w:rsid w:val="2828711E"/>
    <w:rsid w:val="2828DF83"/>
    <w:rsid w:val="282A5DE3"/>
    <w:rsid w:val="282C549A"/>
    <w:rsid w:val="282F5A73"/>
    <w:rsid w:val="282FE9D3"/>
    <w:rsid w:val="283167C4"/>
    <w:rsid w:val="2833450E"/>
    <w:rsid w:val="2833CAD0"/>
    <w:rsid w:val="2833E4C0"/>
    <w:rsid w:val="28349D52"/>
    <w:rsid w:val="28373BCD"/>
    <w:rsid w:val="2837AB73"/>
    <w:rsid w:val="283A0C83"/>
    <w:rsid w:val="283A6CDF"/>
    <w:rsid w:val="283C14A6"/>
    <w:rsid w:val="283CAC01"/>
    <w:rsid w:val="283CEB2F"/>
    <w:rsid w:val="283F9472"/>
    <w:rsid w:val="2841E9B6"/>
    <w:rsid w:val="28427413"/>
    <w:rsid w:val="2842A9E9"/>
    <w:rsid w:val="284358DA"/>
    <w:rsid w:val="28436149"/>
    <w:rsid w:val="284575F6"/>
    <w:rsid w:val="2848A04B"/>
    <w:rsid w:val="284ABD82"/>
    <w:rsid w:val="284B848E"/>
    <w:rsid w:val="284BA89E"/>
    <w:rsid w:val="284BB5E7"/>
    <w:rsid w:val="28521683"/>
    <w:rsid w:val="2853A6CE"/>
    <w:rsid w:val="28588298"/>
    <w:rsid w:val="285ADE55"/>
    <w:rsid w:val="285B8E73"/>
    <w:rsid w:val="28624ACB"/>
    <w:rsid w:val="2862F796"/>
    <w:rsid w:val="28668753"/>
    <w:rsid w:val="2867B40B"/>
    <w:rsid w:val="286800E2"/>
    <w:rsid w:val="2869FB06"/>
    <w:rsid w:val="286A4E3D"/>
    <w:rsid w:val="286AB3B4"/>
    <w:rsid w:val="286BC0B5"/>
    <w:rsid w:val="286D3620"/>
    <w:rsid w:val="28712719"/>
    <w:rsid w:val="28713E10"/>
    <w:rsid w:val="287423FB"/>
    <w:rsid w:val="287467F0"/>
    <w:rsid w:val="28752493"/>
    <w:rsid w:val="2876D86C"/>
    <w:rsid w:val="2879409C"/>
    <w:rsid w:val="287C29E8"/>
    <w:rsid w:val="287FD3A5"/>
    <w:rsid w:val="28824732"/>
    <w:rsid w:val="288379F4"/>
    <w:rsid w:val="288541D5"/>
    <w:rsid w:val="2885C939"/>
    <w:rsid w:val="2887D8B9"/>
    <w:rsid w:val="288ABF33"/>
    <w:rsid w:val="288AF804"/>
    <w:rsid w:val="288E63DC"/>
    <w:rsid w:val="288F1618"/>
    <w:rsid w:val="28915D14"/>
    <w:rsid w:val="2892F519"/>
    <w:rsid w:val="28932C2E"/>
    <w:rsid w:val="28937CA6"/>
    <w:rsid w:val="28982DD6"/>
    <w:rsid w:val="28991FB9"/>
    <w:rsid w:val="28996F21"/>
    <w:rsid w:val="2899D028"/>
    <w:rsid w:val="289B25EC"/>
    <w:rsid w:val="289C2F3B"/>
    <w:rsid w:val="289CAE79"/>
    <w:rsid w:val="28A04A11"/>
    <w:rsid w:val="28A270B3"/>
    <w:rsid w:val="28A31DF1"/>
    <w:rsid w:val="28A3BA92"/>
    <w:rsid w:val="28A46AEA"/>
    <w:rsid w:val="28A4CEF4"/>
    <w:rsid w:val="28A5C4E6"/>
    <w:rsid w:val="28A61186"/>
    <w:rsid w:val="28A96861"/>
    <w:rsid w:val="28AC825B"/>
    <w:rsid w:val="28ACA278"/>
    <w:rsid w:val="28AD0CF8"/>
    <w:rsid w:val="28AD79E3"/>
    <w:rsid w:val="28B089C9"/>
    <w:rsid w:val="28B0A31B"/>
    <w:rsid w:val="28B0D0B4"/>
    <w:rsid w:val="28B23DC5"/>
    <w:rsid w:val="28B3526A"/>
    <w:rsid w:val="28B73EE1"/>
    <w:rsid w:val="28B7AC75"/>
    <w:rsid w:val="28BA4EED"/>
    <w:rsid w:val="28BBC749"/>
    <w:rsid w:val="28BE3228"/>
    <w:rsid w:val="28BEF572"/>
    <w:rsid w:val="28C01A6E"/>
    <w:rsid w:val="28C06172"/>
    <w:rsid w:val="28C1C60E"/>
    <w:rsid w:val="28C22359"/>
    <w:rsid w:val="28C2596A"/>
    <w:rsid w:val="28C2CAF9"/>
    <w:rsid w:val="28C3F287"/>
    <w:rsid w:val="28C7A32C"/>
    <w:rsid w:val="28CA8222"/>
    <w:rsid w:val="28CE6ECD"/>
    <w:rsid w:val="28CF2655"/>
    <w:rsid w:val="28CF86CE"/>
    <w:rsid w:val="28D0ECD1"/>
    <w:rsid w:val="28D1E3EB"/>
    <w:rsid w:val="28D1FCD0"/>
    <w:rsid w:val="28D3687D"/>
    <w:rsid w:val="28D38737"/>
    <w:rsid w:val="28D397F4"/>
    <w:rsid w:val="28D5C134"/>
    <w:rsid w:val="28D88FFF"/>
    <w:rsid w:val="28D8F76D"/>
    <w:rsid w:val="28D914D4"/>
    <w:rsid w:val="28D94F35"/>
    <w:rsid w:val="28D96692"/>
    <w:rsid w:val="28DA5426"/>
    <w:rsid w:val="28DCDF8C"/>
    <w:rsid w:val="28DE1629"/>
    <w:rsid w:val="28E040C2"/>
    <w:rsid w:val="28E06562"/>
    <w:rsid w:val="28E24C4A"/>
    <w:rsid w:val="28E29571"/>
    <w:rsid w:val="28E41911"/>
    <w:rsid w:val="28E67F4E"/>
    <w:rsid w:val="28E6A140"/>
    <w:rsid w:val="28E70389"/>
    <w:rsid w:val="28E70FA5"/>
    <w:rsid w:val="28E7A2D3"/>
    <w:rsid w:val="28E7A896"/>
    <w:rsid w:val="28E91A76"/>
    <w:rsid w:val="28EA1652"/>
    <w:rsid w:val="28EBD441"/>
    <w:rsid w:val="28EC5E19"/>
    <w:rsid w:val="28ECF9E3"/>
    <w:rsid w:val="28EDFB5E"/>
    <w:rsid w:val="28EEA263"/>
    <w:rsid w:val="28EF56B9"/>
    <w:rsid w:val="28F06AFF"/>
    <w:rsid w:val="28F072DE"/>
    <w:rsid w:val="28F0B66D"/>
    <w:rsid w:val="28F112B9"/>
    <w:rsid w:val="28F39110"/>
    <w:rsid w:val="28F45688"/>
    <w:rsid w:val="28F4EBB7"/>
    <w:rsid w:val="28F84ADF"/>
    <w:rsid w:val="28F9DBDF"/>
    <w:rsid w:val="28FB4DD2"/>
    <w:rsid w:val="28FCACE9"/>
    <w:rsid w:val="28FDDEC2"/>
    <w:rsid w:val="28FE950F"/>
    <w:rsid w:val="28FF8466"/>
    <w:rsid w:val="28FFC116"/>
    <w:rsid w:val="29008195"/>
    <w:rsid w:val="2900FD82"/>
    <w:rsid w:val="29017171"/>
    <w:rsid w:val="29021F4D"/>
    <w:rsid w:val="2903F131"/>
    <w:rsid w:val="29061678"/>
    <w:rsid w:val="290653AC"/>
    <w:rsid w:val="2909EE96"/>
    <w:rsid w:val="290BB515"/>
    <w:rsid w:val="290CF3A7"/>
    <w:rsid w:val="290CF5E9"/>
    <w:rsid w:val="290EBBC2"/>
    <w:rsid w:val="290F2758"/>
    <w:rsid w:val="291043A7"/>
    <w:rsid w:val="2911D020"/>
    <w:rsid w:val="291224ED"/>
    <w:rsid w:val="2914C24F"/>
    <w:rsid w:val="2915BA0A"/>
    <w:rsid w:val="2917279F"/>
    <w:rsid w:val="2917FEC8"/>
    <w:rsid w:val="29192AB9"/>
    <w:rsid w:val="291C1721"/>
    <w:rsid w:val="291D786A"/>
    <w:rsid w:val="292034D6"/>
    <w:rsid w:val="2920A2D4"/>
    <w:rsid w:val="292354C9"/>
    <w:rsid w:val="292470BF"/>
    <w:rsid w:val="2924F26B"/>
    <w:rsid w:val="29251C17"/>
    <w:rsid w:val="2925AF79"/>
    <w:rsid w:val="292A2A6A"/>
    <w:rsid w:val="292AA840"/>
    <w:rsid w:val="292B0449"/>
    <w:rsid w:val="292D282A"/>
    <w:rsid w:val="292D629B"/>
    <w:rsid w:val="292E35EA"/>
    <w:rsid w:val="292F5EA2"/>
    <w:rsid w:val="2932EE2F"/>
    <w:rsid w:val="29340201"/>
    <w:rsid w:val="29347274"/>
    <w:rsid w:val="2935F28D"/>
    <w:rsid w:val="2936356D"/>
    <w:rsid w:val="293788EF"/>
    <w:rsid w:val="29385F53"/>
    <w:rsid w:val="293B3422"/>
    <w:rsid w:val="293C2883"/>
    <w:rsid w:val="293D1AC3"/>
    <w:rsid w:val="293D33FD"/>
    <w:rsid w:val="293E731A"/>
    <w:rsid w:val="293F3609"/>
    <w:rsid w:val="29403E88"/>
    <w:rsid w:val="2941775E"/>
    <w:rsid w:val="2941A04B"/>
    <w:rsid w:val="2941C165"/>
    <w:rsid w:val="2944A5A9"/>
    <w:rsid w:val="294795E5"/>
    <w:rsid w:val="29491BEF"/>
    <w:rsid w:val="2949F60A"/>
    <w:rsid w:val="294AF76B"/>
    <w:rsid w:val="294B0EBF"/>
    <w:rsid w:val="294B9475"/>
    <w:rsid w:val="294D984C"/>
    <w:rsid w:val="294DDE1A"/>
    <w:rsid w:val="294FBBC9"/>
    <w:rsid w:val="2950E1D6"/>
    <w:rsid w:val="2956EAF8"/>
    <w:rsid w:val="29587C30"/>
    <w:rsid w:val="29588FBF"/>
    <w:rsid w:val="2959228C"/>
    <w:rsid w:val="29595374"/>
    <w:rsid w:val="295C6BAD"/>
    <w:rsid w:val="29606327"/>
    <w:rsid w:val="2961FFD6"/>
    <w:rsid w:val="296314F3"/>
    <w:rsid w:val="29634FF2"/>
    <w:rsid w:val="2963A70C"/>
    <w:rsid w:val="2966D83D"/>
    <w:rsid w:val="2967E74C"/>
    <w:rsid w:val="296C1081"/>
    <w:rsid w:val="2971539E"/>
    <w:rsid w:val="297337AF"/>
    <w:rsid w:val="2974C757"/>
    <w:rsid w:val="297622E0"/>
    <w:rsid w:val="29766A8E"/>
    <w:rsid w:val="29774B31"/>
    <w:rsid w:val="297AD8EA"/>
    <w:rsid w:val="297B29DE"/>
    <w:rsid w:val="297C305E"/>
    <w:rsid w:val="297FCC23"/>
    <w:rsid w:val="2981565A"/>
    <w:rsid w:val="2981B0FC"/>
    <w:rsid w:val="2982B778"/>
    <w:rsid w:val="29840B98"/>
    <w:rsid w:val="2984498E"/>
    <w:rsid w:val="29870931"/>
    <w:rsid w:val="29880ECD"/>
    <w:rsid w:val="29883567"/>
    <w:rsid w:val="298981F3"/>
    <w:rsid w:val="298A98FB"/>
    <w:rsid w:val="298C53DA"/>
    <w:rsid w:val="298E480F"/>
    <w:rsid w:val="298EF19E"/>
    <w:rsid w:val="299923AC"/>
    <w:rsid w:val="299A31FD"/>
    <w:rsid w:val="299ADC58"/>
    <w:rsid w:val="299B350E"/>
    <w:rsid w:val="299D2CFE"/>
    <w:rsid w:val="29A122A7"/>
    <w:rsid w:val="29A13F2A"/>
    <w:rsid w:val="29A21015"/>
    <w:rsid w:val="29A306CE"/>
    <w:rsid w:val="29A383E7"/>
    <w:rsid w:val="29A44509"/>
    <w:rsid w:val="29A4BBFA"/>
    <w:rsid w:val="29AAA9C4"/>
    <w:rsid w:val="29AB0302"/>
    <w:rsid w:val="29AD8DE7"/>
    <w:rsid w:val="29B08F3B"/>
    <w:rsid w:val="29B0E1BB"/>
    <w:rsid w:val="29B0ECDC"/>
    <w:rsid w:val="29B2089E"/>
    <w:rsid w:val="29B2D15E"/>
    <w:rsid w:val="29B455B8"/>
    <w:rsid w:val="29B50114"/>
    <w:rsid w:val="29BC0657"/>
    <w:rsid w:val="29BD7401"/>
    <w:rsid w:val="29BDDD52"/>
    <w:rsid w:val="29C2075D"/>
    <w:rsid w:val="29C28C7F"/>
    <w:rsid w:val="29C71A8F"/>
    <w:rsid w:val="29C8F0C7"/>
    <w:rsid w:val="29CA5751"/>
    <w:rsid w:val="29CC0E97"/>
    <w:rsid w:val="29CD1CEC"/>
    <w:rsid w:val="29CDDADB"/>
    <w:rsid w:val="29CE773B"/>
    <w:rsid w:val="29CEA02F"/>
    <w:rsid w:val="29D426EA"/>
    <w:rsid w:val="29D4BAB1"/>
    <w:rsid w:val="29D669EC"/>
    <w:rsid w:val="29D6E670"/>
    <w:rsid w:val="29D7FEB7"/>
    <w:rsid w:val="29DC516C"/>
    <w:rsid w:val="29DD84A1"/>
    <w:rsid w:val="29DDBF94"/>
    <w:rsid w:val="29DE2554"/>
    <w:rsid w:val="29DE9CD7"/>
    <w:rsid w:val="29E10759"/>
    <w:rsid w:val="29E1E22F"/>
    <w:rsid w:val="29E35D4A"/>
    <w:rsid w:val="29E4813C"/>
    <w:rsid w:val="29EB8886"/>
    <w:rsid w:val="29EF3B28"/>
    <w:rsid w:val="29EF9BB8"/>
    <w:rsid w:val="29F0EA37"/>
    <w:rsid w:val="29F21BD9"/>
    <w:rsid w:val="29F2BBF9"/>
    <w:rsid w:val="29F405AB"/>
    <w:rsid w:val="29F449C2"/>
    <w:rsid w:val="29F7A082"/>
    <w:rsid w:val="29FCAD95"/>
    <w:rsid w:val="29FCB3FB"/>
    <w:rsid w:val="29FCD3BC"/>
    <w:rsid w:val="29FDCAB5"/>
    <w:rsid w:val="29FEEC24"/>
    <w:rsid w:val="2A0358DD"/>
    <w:rsid w:val="2A05C1D1"/>
    <w:rsid w:val="2A06F329"/>
    <w:rsid w:val="2A07DB59"/>
    <w:rsid w:val="2A0993EE"/>
    <w:rsid w:val="2A0A06A2"/>
    <w:rsid w:val="2A0A9FC9"/>
    <w:rsid w:val="2A0ABE3F"/>
    <w:rsid w:val="2A0AF461"/>
    <w:rsid w:val="2A0B57B6"/>
    <w:rsid w:val="2A0DA9AF"/>
    <w:rsid w:val="2A0FF45C"/>
    <w:rsid w:val="2A0FF945"/>
    <w:rsid w:val="2A100505"/>
    <w:rsid w:val="2A103317"/>
    <w:rsid w:val="2A11FAFD"/>
    <w:rsid w:val="2A13D52C"/>
    <w:rsid w:val="2A142550"/>
    <w:rsid w:val="2A166FBC"/>
    <w:rsid w:val="2A16F3FF"/>
    <w:rsid w:val="2A16F83F"/>
    <w:rsid w:val="2A173F84"/>
    <w:rsid w:val="2A18EE54"/>
    <w:rsid w:val="2A1C8FF1"/>
    <w:rsid w:val="2A1D0279"/>
    <w:rsid w:val="2A1D0712"/>
    <w:rsid w:val="2A1E38B9"/>
    <w:rsid w:val="2A1EF726"/>
    <w:rsid w:val="2A1FA97A"/>
    <w:rsid w:val="2A1FF3DD"/>
    <w:rsid w:val="2A2476AA"/>
    <w:rsid w:val="2A247BC0"/>
    <w:rsid w:val="2A268CF4"/>
    <w:rsid w:val="2A274D24"/>
    <w:rsid w:val="2A2822C7"/>
    <w:rsid w:val="2A2AE994"/>
    <w:rsid w:val="2A2AF231"/>
    <w:rsid w:val="2A2B1131"/>
    <w:rsid w:val="2A2E4108"/>
    <w:rsid w:val="2A324E5A"/>
    <w:rsid w:val="2A32F07D"/>
    <w:rsid w:val="2A365F8D"/>
    <w:rsid w:val="2A3674EF"/>
    <w:rsid w:val="2A370D63"/>
    <w:rsid w:val="2A38A871"/>
    <w:rsid w:val="2A3903EA"/>
    <w:rsid w:val="2A3A20E2"/>
    <w:rsid w:val="2A3ACB53"/>
    <w:rsid w:val="2A3B57EA"/>
    <w:rsid w:val="2A3C4514"/>
    <w:rsid w:val="2A3DB7DA"/>
    <w:rsid w:val="2A3E45FC"/>
    <w:rsid w:val="2A3EC0F6"/>
    <w:rsid w:val="2A41B00F"/>
    <w:rsid w:val="2A421F70"/>
    <w:rsid w:val="2A4323B2"/>
    <w:rsid w:val="2A477C68"/>
    <w:rsid w:val="2A480F63"/>
    <w:rsid w:val="2A4ADD96"/>
    <w:rsid w:val="2A4B953E"/>
    <w:rsid w:val="2A4C5906"/>
    <w:rsid w:val="2A4D3EED"/>
    <w:rsid w:val="2A500113"/>
    <w:rsid w:val="2A51BC75"/>
    <w:rsid w:val="2A53FFFC"/>
    <w:rsid w:val="2A55128D"/>
    <w:rsid w:val="2A5EFE85"/>
    <w:rsid w:val="2A5F6465"/>
    <w:rsid w:val="2A64E2B1"/>
    <w:rsid w:val="2A65043D"/>
    <w:rsid w:val="2A67423C"/>
    <w:rsid w:val="2A682728"/>
    <w:rsid w:val="2A68EC3D"/>
    <w:rsid w:val="2A6A91AD"/>
    <w:rsid w:val="2A6B2EB8"/>
    <w:rsid w:val="2A6B420B"/>
    <w:rsid w:val="2A7320B2"/>
    <w:rsid w:val="2A73C142"/>
    <w:rsid w:val="2A73D318"/>
    <w:rsid w:val="2A787089"/>
    <w:rsid w:val="2A78F384"/>
    <w:rsid w:val="2A79FC7A"/>
    <w:rsid w:val="2A7AB30B"/>
    <w:rsid w:val="2A7B419B"/>
    <w:rsid w:val="2A7BD457"/>
    <w:rsid w:val="2A7BD751"/>
    <w:rsid w:val="2A7E7C9C"/>
    <w:rsid w:val="2A7EEBBE"/>
    <w:rsid w:val="2A7F4EBC"/>
    <w:rsid w:val="2A8246B6"/>
    <w:rsid w:val="2A83AF56"/>
    <w:rsid w:val="2A8AF2C7"/>
    <w:rsid w:val="2A8B7668"/>
    <w:rsid w:val="2A8C433F"/>
    <w:rsid w:val="2A8CE172"/>
    <w:rsid w:val="2A8D0F2E"/>
    <w:rsid w:val="2A8D4DA3"/>
    <w:rsid w:val="2A8E887D"/>
    <w:rsid w:val="2A8EA18A"/>
    <w:rsid w:val="2A941A33"/>
    <w:rsid w:val="2A9671B0"/>
    <w:rsid w:val="2A971497"/>
    <w:rsid w:val="2A97A8D7"/>
    <w:rsid w:val="2A9808DE"/>
    <w:rsid w:val="2A99BC5F"/>
    <w:rsid w:val="2A9C3007"/>
    <w:rsid w:val="2A9E1A4C"/>
    <w:rsid w:val="2A9F9247"/>
    <w:rsid w:val="2AA04D87"/>
    <w:rsid w:val="2AA0CAE0"/>
    <w:rsid w:val="2AA19292"/>
    <w:rsid w:val="2AA1AB97"/>
    <w:rsid w:val="2AA2F682"/>
    <w:rsid w:val="2AA32661"/>
    <w:rsid w:val="2AA4000D"/>
    <w:rsid w:val="2AA58916"/>
    <w:rsid w:val="2AAABD6F"/>
    <w:rsid w:val="2AAB9D66"/>
    <w:rsid w:val="2AAC6B3D"/>
    <w:rsid w:val="2AAEA0CF"/>
    <w:rsid w:val="2AB26A65"/>
    <w:rsid w:val="2AB30FAA"/>
    <w:rsid w:val="2AB73601"/>
    <w:rsid w:val="2AB7A728"/>
    <w:rsid w:val="2AB93DC0"/>
    <w:rsid w:val="2AB959FA"/>
    <w:rsid w:val="2AB9CFFF"/>
    <w:rsid w:val="2ABA6F84"/>
    <w:rsid w:val="2ABA84EA"/>
    <w:rsid w:val="2ABAB2BF"/>
    <w:rsid w:val="2ABDB14F"/>
    <w:rsid w:val="2ABDF989"/>
    <w:rsid w:val="2ABE4AFD"/>
    <w:rsid w:val="2AC36A72"/>
    <w:rsid w:val="2AC46A4B"/>
    <w:rsid w:val="2AC48FB1"/>
    <w:rsid w:val="2AC7B57D"/>
    <w:rsid w:val="2AC857F9"/>
    <w:rsid w:val="2ACEF62B"/>
    <w:rsid w:val="2AD0EE5A"/>
    <w:rsid w:val="2AD53EB7"/>
    <w:rsid w:val="2AD6139F"/>
    <w:rsid w:val="2ADB6E60"/>
    <w:rsid w:val="2ADBE9B9"/>
    <w:rsid w:val="2ADD7B85"/>
    <w:rsid w:val="2ADDBB8F"/>
    <w:rsid w:val="2ADE0EC4"/>
    <w:rsid w:val="2AE42E7C"/>
    <w:rsid w:val="2AE4D25F"/>
    <w:rsid w:val="2AE5CF6D"/>
    <w:rsid w:val="2AE67E37"/>
    <w:rsid w:val="2AE724E8"/>
    <w:rsid w:val="2AE7323E"/>
    <w:rsid w:val="2AE84AF9"/>
    <w:rsid w:val="2AE8EDDB"/>
    <w:rsid w:val="2AE91368"/>
    <w:rsid w:val="2AE95DE4"/>
    <w:rsid w:val="2AEA8830"/>
    <w:rsid w:val="2AEABB72"/>
    <w:rsid w:val="2AEAECAE"/>
    <w:rsid w:val="2AEAF9F5"/>
    <w:rsid w:val="2AEB72AE"/>
    <w:rsid w:val="2AEDAD1A"/>
    <w:rsid w:val="2AEE91AD"/>
    <w:rsid w:val="2AEF7920"/>
    <w:rsid w:val="2AEFA465"/>
    <w:rsid w:val="2AF15F6C"/>
    <w:rsid w:val="2AF27376"/>
    <w:rsid w:val="2AF55491"/>
    <w:rsid w:val="2AF5CE83"/>
    <w:rsid w:val="2AF6CD04"/>
    <w:rsid w:val="2AF7247D"/>
    <w:rsid w:val="2AF7643B"/>
    <w:rsid w:val="2AFA283C"/>
    <w:rsid w:val="2AFC2E38"/>
    <w:rsid w:val="2AFE810D"/>
    <w:rsid w:val="2AFED035"/>
    <w:rsid w:val="2AFFA5B5"/>
    <w:rsid w:val="2B0228E9"/>
    <w:rsid w:val="2B0395D4"/>
    <w:rsid w:val="2B0690CA"/>
    <w:rsid w:val="2B07138F"/>
    <w:rsid w:val="2B084EFD"/>
    <w:rsid w:val="2B0AEBC1"/>
    <w:rsid w:val="2B0C1699"/>
    <w:rsid w:val="2B0D90F6"/>
    <w:rsid w:val="2B0D9523"/>
    <w:rsid w:val="2B0DB6FF"/>
    <w:rsid w:val="2B0DDF00"/>
    <w:rsid w:val="2B0E86E1"/>
    <w:rsid w:val="2B0FE033"/>
    <w:rsid w:val="2B10355D"/>
    <w:rsid w:val="2B11602F"/>
    <w:rsid w:val="2B15B099"/>
    <w:rsid w:val="2B16F0C6"/>
    <w:rsid w:val="2B19412F"/>
    <w:rsid w:val="2B19C40C"/>
    <w:rsid w:val="2B1ACAC5"/>
    <w:rsid w:val="2B1BC954"/>
    <w:rsid w:val="2B1D7DFE"/>
    <w:rsid w:val="2B210083"/>
    <w:rsid w:val="2B2152D3"/>
    <w:rsid w:val="2B238342"/>
    <w:rsid w:val="2B2434A3"/>
    <w:rsid w:val="2B2620DB"/>
    <w:rsid w:val="2B266762"/>
    <w:rsid w:val="2B26E734"/>
    <w:rsid w:val="2B27E638"/>
    <w:rsid w:val="2B2834A6"/>
    <w:rsid w:val="2B29BDCE"/>
    <w:rsid w:val="2B2AAAE8"/>
    <w:rsid w:val="2B2ABE19"/>
    <w:rsid w:val="2B2D2978"/>
    <w:rsid w:val="2B2E9FC1"/>
    <w:rsid w:val="2B2EDFDC"/>
    <w:rsid w:val="2B2FCBE3"/>
    <w:rsid w:val="2B320738"/>
    <w:rsid w:val="2B321ADE"/>
    <w:rsid w:val="2B338BE7"/>
    <w:rsid w:val="2B356485"/>
    <w:rsid w:val="2B3B874D"/>
    <w:rsid w:val="2B3BCA0A"/>
    <w:rsid w:val="2B3C5571"/>
    <w:rsid w:val="2B3DB971"/>
    <w:rsid w:val="2B3F6B02"/>
    <w:rsid w:val="2B44BD69"/>
    <w:rsid w:val="2B454954"/>
    <w:rsid w:val="2B45AA68"/>
    <w:rsid w:val="2B47A2CC"/>
    <w:rsid w:val="2B47C774"/>
    <w:rsid w:val="2B49F12C"/>
    <w:rsid w:val="2B4C4087"/>
    <w:rsid w:val="2B4EF451"/>
    <w:rsid w:val="2B509237"/>
    <w:rsid w:val="2B51900E"/>
    <w:rsid w:val="2B51ED2E"/>
    <w:rsid w:val="2B5435AF"/>
    <w:rsid w:val="2B55970D"/>
    <w:rsid w:val="2B59047D"/>
    <w:rsid w:val="2B5978BF"/>
    <w:rsid w:val="2B5B1A87"/>
    <w:rsid w:val="2B5C1878"/>
    <w:rsid w:val="2B5C67C9"/>
    <w:rsid w:val="2B5CD629"/>
    <w:rsid w:val="2B5CDFE7"/>
    <w:rsid w:val="2B5D010F"/>
    <w:rsid w:val="2B5FB73F"/>
    <w:rsid w:val="2B619382"/>
    <w:rsid w:val="2B629635"/>
    <w:rsid w:val="2B642370"/>
    <w:rsid w:val="2B64B213"/>
    <w:rsid w:val="2B650187"/>
    <w:rsid w:val="2B652BD6"/>
    <w:rsid w:val="2B652CC6"/>
    <w:rsid w:val="2B66017C"/>
    <w:rsid w:val="2B6650DE"/>
    <w:rsid w:val="2B68409F"/>
    <w:rsid w:val="2B6BCDBB"/>
    <w:rsid w:val="2B6C2E69"/>
    <w:rsid w:val="2B6CAD05"/>
    <w:rsid w:val="2B6F9815"/>
    <w:rsid w:val="2B6FB0C6"/>
    <w:rsid w:val="2B719CCA"/>
    <w:rsid w:val="2B71EA79"/>
    <w:rsid w:val="2B72EF1F"/>
    <w:rsid w:val="2B73E24F"/>
    <w:rsid w:val="2B75038C"/>
    <w:rsid w:val="2B76A0D8"/>
    <w:rsid w:val="2B77780F"/>
    <w:rsid w:val="2B77C7D3"/>
    <w:rsid w:val="2B7BE323"/>
    <w:rsid w:val="2B7F5F64"/>
    <w:rsid w:val="2B863314"/>
    <w:rsid w:val="2B86DE40"/>
    <w:rsid w:val="2B883006"/>
    <w:rsid w:val="2B896A82"/>
    <w:rsid w:val="2B8C87DE"/>
    <w:rsid w:val="2B8D98E4"/>
    <w:rsid w:val="2B8D9F81"/>
    <w:rsid w:val="2B8E0E9E"/>
    <w:rsid w:val="2B8EC74A"/>
    <w:rsid w:val="2B8EC88A"/>
    <w:rsid w:val="2B8F28E4"/>
    <w:rsid w:val="2B91E26A"/>
    <w:rsid w:val="2B92112E"/>
    <w:rsid w:val="2B9351DE"/>
    <w:rsid w:val="2B96258E"/>
    <w:rsid w:val="2B97C476"/>
    <w:rsid w:val="2B9A9F2F"/>
    <w:rsid w:val="2B9AE0A1"/>
    <w:rsid w:val="2B9C7B66"/>
    <w:rsid w:val="2B9E107F"/>
    <w:rsid w:val="2B9E5EB7"/>
    <w:rsid w:val="2B9FEF31"/>
    <w:rsid w:val="2BA0FDBD"/>
    <w:rsid w:val="2BA19A1C"/>
    <w:rsid w:val="2BA2426E"/>
    <w:rsid w:val="2BA2BF3B"/>
    <w:rsid w:val="2BA4D9C0"/>
    <w:rsid w:val="2BA582D8"/>
    <w:rsid w:val="2BAA2BDB"/>
    <w:rsid w:val="2BAA76B1"/>
    <w:rsid w:val="2BAB72EA"/>
    <w:rsid w:val="2BAD4391"/>
    <w:rsid w:val="2BAD89B6"/>
    <w:rsid w:val="2BAE892A"/>
    <w:rsid w:val="2BAEDACC"/>
    <w:rsid w:val="2BAFDA19"/>
    <w:rsid w:val="2BB1A560"/>
    <w:rsid w:val="2BB1FF80"/>
    <w:rsid w:val="2BB4963C"/>
    <w:rsid w:val="2BBA677D"/>
    <w:rsid w:val="2BBB1448"/>
    <w:rsid w:val="2BBB21C9"/>
    <w:rsid w:val="2BBCB251"/>
    <w:rsid w:val="2BBE16D0"/>
    <w:rsid w:val="2BBFE1AC"/>
    <w:rsid w:val="2BC5BDF9"/>
    <w:rsid w:val="2BC70C93"/>
    <w:rsid w:val="2BCAA0D0"/>
    <w:rsid w:val="2BCB2AA1"/>
    <w:rsid w:val="2BCC5F56"/>
    <w:rsid w:val="2BD372E4"/>
    <w:rsid w:val="2BD3BC99"/>
    <w:rsid w:val="2BD5581F"/>
    <w:rsid w:val="2BD6FE0B"/>
    <w:rsid w:val="2BDDA6A0"/>
    <w:rsid w:val="2BDE1202"/>
    <w:rsid w:val="2BDEDDE4"/>
    <w:rsid w:val="2BDEEC53"/>
    <w:rsid w:val="2BE015EC"/>
    <w:rsid w:val="2BE035AC"/>
    <w:rsid w:val="2BE10005"/>
    <w:rsid w:val="2BE1F152"/>
    <w:rsid w:val="2BE204F8"/>
    <w:rsid w:val="2BE395AF"/>
    <w:rsid w:val="2BE43E96"/>
    <w:rsid w:val="2BE44BCB"/>
    <w:rsid w:val="2BE54EDA"/>
    <w:rsid w:val="2BE74826"/>
    <w:rsid w:val="2BE7814A"/>
    <w:rsid w:val="2BE8D8C7"/>
    <w:rsid w:val="2BE8FC3D"/>
    <w:rsid w:val="2BEAD5F7"/>
    <w:rsid w:val="2BEC233F"/>
    <w:rsid w:val="2BF23403"/>
    <w:rsid w:val="2BF3B112"/>
    <w:rsid w:val="2BF9EFF0"/>
    <w:rsid w:val="2BFAE906"/>
    <w:rsid w:val="2BFC0952"/>
    <w:rsid w:val="2BFDD912"/>
    <w:rsid w:val="2C00DB01"/>
    <w:rsid w:val="2C060C0D"/>
    <w:rsid w:val="2C0972DD"/>
    <w:rsid w:val="2C0A1C8B"/>
    <w:rsid w:val="2C0A86CA"/>
    <w:rsid w:val="2C0ABAD0"/>
    <w:rsid w:val="2C0B1AEC"/>
    <w:rsid w:val="2C0B9711"/>
    <w:rsid w:val="2C0C7A59"/>
    <w:rsid w:val="2C0C8D0C"/>
    <w:rsid w:val="2C0DD0F3"/>
    <w:rsid w:val="2C11B6CF"/>
    <w:rsid w:val="2C1276DE"/>
    <w:rsid w:val="2C12EEB9"/>
    <w:rsid w:val="2C1500B7"/>
    <w:rsid w:val="2C1574C0"/>
    <w:rsid w:val="2C1B30E6"/>
    <w:rsid w:val="2C1B4B31"/>
    <w:rsid w:val="2C1CA411"/>
    <w:rsid w:val="2C1D3C78"/>
    <w:rsid w:val="2C20CA27"/>
    <w:rsid w:val="2C2373E9"/>
    <w:rsid w:val="2C2AE3F2"/>
    <w:rsid w:val="2C2BB830"/>
    <w:rsid w:val="2C2C4D9E"/>
    <w:rsid w:val="2C2CD6A3"/>
    <w:rsid w:val="2C2D759E"/>
    <w:rsid w:val="2C2DAD84"/>
    <w:rsid w:val="2C2DD4A9"/>
    <w:rsid w:val="2C313EBC"/>
    <w:rsid w:val="2C316447"/>
    <w:rsid w:val="2C3566F8"/>
    <w:rsid w:val="2C3584F3"/>
    <w:rsid w:val="2C382088"/>
    <w:rsid w:val="2C3A7A6B"/>
    <w:rsid w:val="2C3B32AE"/>
    <w:rsid w:val="2C3C23EB"/>
    <w:rsid w:val="2C3D2148"/>
    <w:rsid w:val="2C3DA5BF"/>
    <w:rsid w:val="2C40336C"/>
    <w:rsid w:val="2C42F897"/>
    <w:rsid w:val="2C4446DF"/>
    <w:rsid w:val="2C44C544"/>
    <w:rsid w:val="2C457490"/>
    <w:rsid w:val="2C470327"/>
    <w:rsid w:val="2C48EBA5"/>
    <w:rsid w:val="2C4941CF"/>
    <w:rsid w:val="2C4B055D"/>
    <w:rsid w:val="2C4B0BD1"/>
    <w:rsid w:val="2C4CB504"/>
    <w:rsid w:val="2C4D9DD7"/>
    <w:rsid w:val="2C4EDE7E"/>
    <w:rsid w:val="2C4EE38C"/>
    <w:rsid w:val="2C515091"/>
    <w:rsid w:val="2C515C79"/>
    <w:rsid w:val="2C52B739"/>
    <w:rsid w:val="2C54F24A"/>
    <w:rsid w:val="2C54FFD2"/>
    <w:rsid w:val="2C5702E8"/>
    <w:rsid w:val="2C598EF5"/>
    <w:rsid w:val="2C6568D1"/>
    <w:rsid w:val="2C66E300"/>
    <w:rsid w:val="2C677BB3"/>
    <w:rsid w:val="2C6854A5"/>
    <w:rsid w:val="2C6A653C"/>
    <w:rsid w:val="2C6D87BF"/>
    <w:rsid w:val="2C6F3CEC"/>
    <w:rsid w:val="2C70DBDA"/>
    <w:rsid w:val="2C714FA8"/>
    <w:rsid w:val="2C71705A"/>
    <w:rsid w:val="2C71A1B9"/>
    <w:rsid w:val="2C75789F"/>
    <w:rsid w:val="2C75857F"/>
    <w:rsid w:val="2C7A4CB1"/>
    <w:rsid w:val="2C7C3E6F"/>
    <w:rsid w:val="2C7F3BDB"/>
    <w:rsid w:val="2C802B3F"/>
    <w:rsid w:val="2C802C1C"/>
    <w:rsid w:val="2C82D6DC"/>
    <w:rsid w:val="2C852942"/>
    <w:rsid w:val="2C863F4D"/>
    <w:rsid w:val="2C86EE19"/>
    <w:rsid w:val="2C870556"/>
    <w:rsid w:val="2C93632A"/>
    <w:rsid w:val="2C9407AC"/>
    <w:rsid w:val="2C94607A"/>
    <w:rsid w:val="2C963571"/>
    <w:rsid w:val="2C9670BE"/>
    <w:rsid w:val="2C971C57"/>
    <w:rsid w:val="2C9BB9E0"/>
    <w:rsid w:val="2C9CA487"/>
    <w:rsid w:val="2C9D1AA2"/>
    <w:rsid w:val="2C9E184F"/>
    <w:rsid w:val="2C9F5BD5"/>
    <w:rsid w:val="2C9F749F"/>
    <w:rsid w:val="2C9FF536"/>
    <w:rsid w:val="2CA0528E"/>
    <w:rsid w:val="2CA07AB0"/>
    <w:rsid w:val="2CA0A588"/>
    <w:rsid w:val="2CA1588D"/>
    <w:rsid w:val="2CA17940"/>
    <w:rsid w:val="2CA2250F"/>
    <w:rsid w:val="2CA377F8"/>
    <w:rsid w:val="2CA48B8B"/>
    <w:rsid w:val="2CA5DB4B"/>
    <w:rsid w:val="2CA744ED"/>
    <w:rsid w:val="2CA77282"/>
    <w:rsid w:val="2CA7EBE2"/>
    <w:rsid w:val="2CA7FD28"/>
    <w:rsid w:val="2CA84E4E"/>
    <w:rsid w:val="2CA95A41"/>
    <w:rsid w:val="2CA96114"/>
    <w:rsid w:val="2CABBCDE"/>
    <w:rsid w:val="2CAC844D"/>
    <w:rsid w:val="2CB045EA"/>
    <w:rsid w:val="2CB09172"/>
    <w:rsid w:val="2CB0B0C0"/>
    <w:rsid w:val="2CB20565"/>
    <w:rsid w:val="2CB22BBF"/>
    <w:rsid w:val="2CB3A502"/>
    <w:rsid w:val="2CB4239E"/>
    <w:rsid w:val="2CB6E866"/>
    <w:rsid w:val="2CB7869A"/>
    <w:rsid w:val="2CB9B8AA"/>
    <w:rsid w:val="2CBD947F"/>
    <w:rsid w:val="2CBE29C6"/>
    <w:rsid w:val="2CC08CCC"/>
    <w:rsid w:val="2CC0C06B"/>
    <w:rsid w:val="2CC11DBF"/>
    <w:rsid w:val="2CC35C24"/>
    <w:rsid w:val="2CC63A9E"/>
    <w:rsid w:val="2CC70C0E"/>
    <w:rsid w:val="2CCD20E5"/>
    <w:rsid w:val="2CCD2527"/>
    <w:rsid w:val="2CCE2AB5"/>
    <w:rsid w:val="2CCFB35E"/>
    <w:rsid w:val="2CD2DB13"/>
    <w:rsid w:val="2CD3EC05"/>
    <w:rsid w:val="2CD57CED"/>
    <w:rsid w:val="2CD6778C"/>
    <w:rsid w:val="2CDB2126"/>
    <w:rsid w:val="2CDC490C"/>
    <w:rsid w:val="2CDD4BBE"/>
    <w:rsid w:val="2CDF92B5"/>
    <w:rsid w:val="2CE10FF1"/>
    <w:rsid w:val="2CE1BEF9"/>
    <w:rsid w:val="2CE23367"/>
    <w:rsid w:val="2CE29758"/>
    <w:rsid w:val="2CE34D6B"/>
    <w:rsid w:val="2CE3890A"/>
    <w:rsid w:val="2CE5288D"/>
    <w:rsid w:val="2CE587B4"/>
    <w:rsid w:val="2CE82652"/>
    <w:rsid w:val="2CE89699"/>
    <w:rsid w:val="2CEA1990"/>
    <w:rsid w:val="2CEB2361"/>
    <w:rsid w:val="2CEC4026"/>
    <w:rsid w:val="2CEE2684"/>
    <w:rsid w:val="2CF07E9A"/>
    <w:rsid w:val="2CF26E07"/>
    <w:rsid w:val="2CF3ED34"/>
    <w:rsid w:val="2CF44378"/>
    <w:rsid w:val="2CF61EB7"/>
    <w:rsid w:val="2CF64252"/>
    <w:rsid w:val="2CF7F52F"/>
    <w:rsid w:val="2CFB835E"/>
    <w:rsid w:val="2CFBBF75"/>
    <w:rsid w:val="2CFCD6B4"/>
    <w:rsid w:val="2CFDA423"/>
    <w:rsid w:val="2CFEE9E2"/>
    <w:rsid w:val="2CFFBEBC"/>
    <w:rsid w:val="2D00A26E"/>
    <w:rsid w:val="2D00CD8C"/>
    <w:rsid w:val="2D032CA7"/>
    <w:rsid w:val="2D04D432"/>
    <w:rsid w:val="2D05095C"/>
    <w:rsid w:val="2D06A7D7"/>
    <w:rsid w:val="2D0779E2"/>
    <w:rsid w:val="2D0B1EAA"/>
    <w:rsid w:val="2D0B3888"/>
    <w:rsid w:val="2D0BCC1B"/>
    <w:rsid w:val="2D0CC262"/>
    <w:rsid w:val="2D0E26B9"/>
    <w:rsid w:val="2D0F9FF4"/>
    <w:rsid w:val="2D1131D7"/>
    <w:rsid w:val="2D1204F5"/>
    <w:rsid w:val="2D1216EA"/>
    <w:rsid w:val="2D12E1BA"/>
    <w:rsid w:val="2D164AEA"/>
    <w:rsid w:val="2D173FCA"/>
    <w:rsid w:val="2D19A873"/>
    <w:rsid w:val="2D1AB426"/>
    <w:rsid w:val="2D1D5A07"/>
    <w:rsid w:val="2D1D81FB"/>
    <w:rsid w:val="2D1E09AC"/>
    <w:rsid w:val="2D1E0D1C"/>
    <w:rsid w:val="2D20F852"/>
    <w:rsid w:val="2D211713"/>
    <w:rsid w:val="2D21A0A6"/>
    <w:rsid w:val="2D25E11B"/>
    <w:rsid w:val="2D25FAA2"/>
    <w:rsid w:val="2D280A16"/>
    <w:rsid w:val="2D285741"/>
    <w:rsid w:val="2D2A6134"/>
    <w:rsid w:val="2D2BFBF8"/>
    <w:rsid w:val="2D2C476C"/>
    <w:rsid w:val="2D2D4BA6"/>
    <w:rsid w:val="2D2DF59F"/>
    <w:rsid w:val="2D34EF60"/>
    <w:rsid w:val="2D351F4E"/>
    <w:rsid w:val="2D35AF4B"/>
    <w:rsid w:val="2D3A17D1"/>
    <w:rsid w:val="2D3C5C0D"/>
    <w:rsid w:val="2D3C5F47"/>
    <w:rsid w:val="2D3D36CD"/>
    <w:rsid w:val="2D3E574F"/>
    <w:rsid w:val="2D3E5A78"/>
    <w:rsid w:val="2D3F3186"/>
    <w:rsid w:val="2D40F0FE"/>
    <w:rsid w:val="2D430C48"/>
    <w:rsid w:val="2D45B4CA"/>
    <w:rsid w:val="2D46A852"/>
    <w:rsid w:val="2D4AC4B1"/>
    <w:rsid w:val="2D4AD231"/>
    <w:rsid w:val="2D4B4CAD"/>
    <w:rsid w:val="2D4B727E"/>
    <w:rsid w:val="2D4B7E4E"/>
    <w:rsid w:val="2D4D36BF"/>
    <w:rsid w:val="2D4F8282"/>
    <w:rsid w:val="2D505E9A"/>
    <w:rsid w:val="2D548B5C"/>
    <w:rsid w:val="2D583B5E"/>
    <w:rsid w:val="2D5947AD"/>
    <w:rsid w:val="2D5A4E40"/>
    <w:rsid w:val="2D5AAAE5"/>
    <w:rsid w:val="2D5AF76A"/>
    <w:rsid w:val="2D5ECA80"/>
    <w:rsid w:val="2D5FD96D"/>
    <w:rsid w:val="2D62443D"/>
    <w:rsid w:val="2D6281C1"/>
    <w:rsid w:val="2D62E765"/>
    <w:rsid w:val="2D63A069"/>
    <w:rsid w:val="2D6457E9"/>
    <w:rsid w:val="2D663C4D"/>
    <w:rsid w:val="2D6D2E40"/>
    <w:rsid w:val="2D6DC2D1"/>
    <w:rsid w:val="2D6DD2E8"/>
    <w:rsid w:val="2D6E7318"/>
    <w:rsid w:val="2D6E7920"/>
    <w:rsid w:val="2D6F87A5"/>
    <w:rsid w:val="2D6F9D5C"/>
    <w:rsid w:val="2D70322A"/>
    <w:rsid w:val="2D71B8E2"/>
    <w:rsid w:val="2D71CA64"/>
    <w:rsid w:val="2D75FA43"/>
    <w:rsid w:val="2D764722"/>
    <w:rsid w:val="2D77EFEC"/>
    <w:rsid w:val="2D77F50E"/>
    <w:rsid w:val="2D7A2451"/>
    <w:rsid w:val="2D7D0050"/>
    <w:rsid w:val="2D7E3AF8"/>
    <w:rsid w:val="2D7E52D5"/>
    <w:rsid w:val="2D822455"/>
    <w:rsid w:val="2D839C23"/>
    <w:rsid w:val="2D85B43F"/>
    <w:rsid w:val="2D8719AA"/>
    <w:rsid w:val="2D8A7B2B"/>
    <w:rsid w:val="2D8B6AD8"/>
    <w:rsid w:val="2D8D3156"/>
    <w:rsid w:val="2D8DB2CD"/>
    <w:rsid w:val="2D8E02B8"/>
    <w:rsid w:val="2D94897E"/>
    <w:rsid w:val="2D95D0C7"/>
    <w:rsid w:val="2D95D95E"/>
    <w:rsid w:val="2D976D57"/>
    <w:rsid w:val="2D9E03B9"/>
    <w:rsid w:val="2D9FA479"/>
    <w:rsid w:val="2D9FA9DA"/>
    <w:rsid w:val="2DA18A54"/>
    <w:rsid w:val="2DA52F9A"/>
    <w:rsid w:val="2DA61374"/>
    <w:rsid w:val="2DA77EE3"/>
    <w:rsid w:val="2DA7DB27"/>
    <w:rsid w:val="2DA8561C"/>
    <w:rsid w:val="2DA91E1E"/>
    <w:rsid w:val="2DAA8393"/>
    <w:rsid w:val="2DABADCA"/>
    <w:rsid w:val="2DAD2AC9"/>
    <w:rsid w:val="2DAD3594"/>
    <w:rsid w:val="2DAD9860"/>
    <w:rsid w:val="2DAEC081"/>
    <w:rsid w:val="2DAF2251"/>
    <w:rsid w:val="2DAF8E4C"/>
    <w:rsid w:val="2DB31829"/>
    <w:rsid w:val="2DB38328"/>
    <w:rsid w:val="2DBA0DC0"/>
    <w:rsid w:val="2DBB73C2"/>
    <w:rsid w:val="2DBC4002"/>
    <w:rsid w:val="2DBCC632"/>
    <w:rsid w:val="2DBCCC56"/>
    <w:rsid w:val="2DBFE948"/>
    <w:rsid w:val="2DC1F148"/>
    <w:rsid w:val="2DC35BD1"/>
    <w:rsid w:val="2DC8418F"/>
    <w:rsid w:val="2DC85D80"/>
    <w:rsid w:val="2DCA2019"/>
    <w:rsid w:val="2DCD1556"/>
    <w:rsid w:val="2DCD733F"/>
    <w:rsid w:val="2DD04432"/>
    <w:rsid w:val="2DD0B419"/>
    <w:rsid w:val="2DD1196A"/>
    <w:rsid w:val="2DD44AA9"/>
    <w:rsid w:val="2DD44D40"/>
    <w:rsid w:val="2DD675E8"/>
    <w:rsid w:val="2DD6F885"/>
    <w:rsid w:val="2DD81593"/>
    <w:rsid w:val="2DD849F6"/>
    <w:rsid w:val="2DD8E7E9"/>
    <w:rsid w:val="2DDE4AD4"/>
    <w:rsid w:val="2DDF20E6"/>
    <w:rsid w:val="2DDFCB4D"/>
    <w:rsid w:val="2DE034E7"/>
    <w:rsid w:val="2DE2BAAA"/>
    <w:rsid w:val="2DE3C4A3"/>
    <w:rsid w:val="2DE3E980"/>
    <w:rsid w:val="2DE470C2"/>
    <w:rsid w:val="2DE495C4"/>
    <w:rsid w:val="2DE6755F"/>
    <w:rsid w:val="2DE77543"/>
    <w:rsid w:val="2DE92A4E"/>
    <w:rsid w:val="2DEA27AE"/>
    <w:rsid w:val="2DEA44AB"/>
    <w:rsid w:val="2DEAEE31"/>
    <w:rsid w:val="2DEB1953"/>
    <w:rsid w:val="2DEBF879"/>
    <w:rsid w:val="2DEC2563"/>
    <w:rsid w:val="2DECAD90"/>
    <w:rsid w:val="2DEDAB77"/>
    <w:rsid w:val="2DF1BDEB"/>
    <w:rsid w:val="2DF1D985"/>
    <w:rsid w:val="2DF2C6FC"/>
    <w:rsid w:val="2DF321AE"/>
    <w:rsid w:val="2DF3F8AA"/>
    <w:rsid w:val="2DF47472"/>
    <w:rsid w:val="2DF9A6DE"/>
    <w:rsid w:val="2DF9D03B"/>
    <w:rsid w:val="2DFA8C9E"/>
    <w:rsid w:val="2E00ED70"/>
    <w:rsid w:val="2E02242E"/>
    <w:rsid w:val="2E03AB21"/>
    <w:rsid w:val="2E04D042"/>
    <w:rsid w:val="2E04D321"/>
    <w:rsid w:val="2E04EFA0"/>
    <w:rsid w:val="2E06865F"/>
    <w:rsid w:val="2E07515D"/>
    <w:rsid w:val="2E097234"/>
    <w:rsid w:val="2E0A1AF0"/>
    <w:rsid w:val="2E0CCEEB"/>
    <w:rsid w:val="2E0D4784"/>
    <w:rsid w:val="2E115FC6"/>
    <w:rsid w:val="2E118BF9"/>
    <w:rsid w:val="2E1380EA"/>
    <w:rsid w:val="2E15D928"/>
    <w:rsid w:val="2E15DFB5"/>
    <w:rsid w:val="2E1B96B7"/>
    <w:rsid w:val="2E1BEE48"/>
    <w:rsid w:val="2E1BEFDE"/>
    <w:rsid w:val="2E1C048E"/>
    <w:rsid w:val="2E1D3C3F"/>
    <w:rsid w:val="2E203AF5"/>
    <w:rsid w:val="2E204928"/>
    <w:rsid w:val="2E22CDAA"/>
    <w:rsid w:val="2E24F3D0"/>
    <w:rsid w:val="2E252388"/>
    <w:rsid w:val="2E25B878"/>
    <w:rsid w:val="2E268492"/>
    <w:rsid w:val="2E2F4A88"/>
    <w:rsid w:val="2E318A37"/>
    <w:rsid w:val="2E38082C"/>
    <w:rsid w:val="2E390FCA"/>
    <w:rsid w:val="2E3B6725"/>
    <w:rsid w:val="2E3CFF00"/>
    <w:rsid w:val="2E3E3E14"/>
    <w:rsid w:val="2E4027A9"/>
    <w:rsid w:val="2E41DA55"/>
    <w:rsid w:val="2E43900E"/>
    <w:rsid w:val="2E45F623"/>
    <w:rsid w:val="2E4674CC"/>
    <w:rsid w:val="2E478C77"/>
    <w:rsid w:val="2E482022"/>
    <w:rsid w:val="2E491AFC"/>
    <w:rsid w:val="2E4C71EF"/>
    <w:rsid w:val="2E4DE398"/>
    <w:rsid w:val="2E4FA942"/>
    <w:rsid w:val="2E50A6C5"/>
    <w:rsid w:val="2E529EDC"/>
    <w:rsid w:val="2E548CEC"/>
    <w:rsid w:val="2E54CB9D"/>
    <w:rsid w:val="2E54F2A8"/>
    <w:rsid w:val="2E586E6E"/>
    <w:rsid w:val="2E5A9E80"/>
    <w:rsid w:val="2E5ACECD"/>
    <w:rsid w:val="2E5C7AFF"/>
    <w:rsid w:val="2E5F8B6A"/>
    <w:rsid w:val="2E5FDE5D"/>
    <w:rsid w:val="2E61A40C"/>
    <w:rsid w:val="2E63DC52"/>
    <w:rsid w:val="2E65A4C6"/>
    <w:rsid w:val="2E6655A4"/>
    <w:rsid w:val="2E67DFF8"/>
    <w:rsid w:val="2E6A825F"/>
    <w:rsid w:val="2E6A9901"/>
    <w:rsid w:val="2E6C46EE"/>
    <w:rsid w:val="2E6C55DA"/>
    <w:rsid w:val="2E6C7DC0"/>
    <w:rsid w:val="2E6DF235"/>
    <w:rsid w:val="2E6FB49F"/>
    <w:rsid w:val="2E711636"/>
    <w:rsid w:val="2E73EBD2"/>
    <w:rsid w:val="2E747060"/>
    <w:rsid w:val="2E74D453"/>
    <w:rsid w:val="2E758A5D"/>
    <w:rsid w:val="2E779798"/>
    <w:rsid w:val="2E7A6D9D"/>
    <w:rsid w:val="2E7B6B54"/>
    <w:rsid w:val="2E7E2F7C"/>
    <w:rsid w:val="2E7F63F1"/>
    <w:rsid w:val="2E7F7FFB"/>
    <w:rsid w:val="2E7F9E33"/>
    <w:rsid w:val="2E7FADAF"/>
    <w:rsid w:val="2E7FB73B"/>
    <w:rsid w:val="2E7FCA30"/>
    <w:rsid w:val="2E8258BF"/>
    <w:rsid w:val="2E82C9DA"/>
    <w:rsid w:val="2E860C79"/>
    <w:rsid w:val="2E886A7D"/>
    <w:rsid w:val="2E8B53F6"/>
    <w:rsid w:val="2E8C5140"/>
    <w:rsid w:val="2E8D9CD9"/>
    <w:rsid w:val="2E90980A"/>
    <w:rsid w:val="2E90B31E"/>
    <w:rsid w:val="2E937B85"/>
    <w:rsid w:val="2E948C64"/>
    <w:rsid w:val="2E9520A5"/>
    <w:rsid w:val="2E956459"/>
    <w:rsid w:val="2E960A1D"/>
    <w:rsid w:val="2E972C25"/>
    <w:rsid w:val="2E9770B9"/>
    <w:rsid w:val="2E980B1B"/>
    <w:rsid w:val="2E9D629A"/>
    <w:rsid w:val="2E9F3522"/>
    <w:rsid w:val="2EA037CF"/>
    <w:rsid w:val="2EA3B619"/>
    <w:rsid w:val="2EA4C261"/>
    <w:rsid w:val="2EA93079"/>
    <w:rsid w:val="2EAA0075"/>
    <w:rsid w:val="2EAA09B7"/>
    <w:rsid w:val="2EABF7B7"/>
    <w:rsid w:val="2EAC57FB"/>
    <w:rsid w:val="2EACE2EF"/>
    <w:rsid w:val="2EAEBAF1"/>
    <w:rsid w:val="2EB0A126"/>
    <w:rsid w:val="2EB107FE"/>
    <w:rsid w:val="2EB2AE53"/>
    <w:rsid w:val="2EB30CE5"/>
    <w:rsid w:val="2EB34017"/>
    <w:rsid w:val="2EB63DDE"/>
    <w:rsid w:val="2EB89C1D"/>
    <w:rsid w:val="2EB8F470"/>
    <w:rsid w:val="2EB9E91E"/>
    <w:rsid w:val="2EBB0CBE"/>
    <w:rsid w:val="2EBB1DC2"/>
    <w:rsid w:val="2EBDF286"/>
    <w:rsid w:val="2EC0515C"/>
    <w:rsid w:val="2EC31B7A"/>
    <w:rsid w:val="2EC420CE"/>
    <w:rsid w:val="2EC45245"/>
    <w:rsid w:val="2EC465C7"/>
    <w:rsid w:val="2EC795DA"/>
    <w:rsid w:val="2EC9FC05"/>
    <w:rsid w:val="2ECC3EC0"/>
    <w:rsid w:val="2ECE0BE3"/>
    <w:rsid w:val="2ED065D5"/>
    <w:rsid w:val="2ED2359F"/>
    <w:rsid w:val="2ED24077"/>
    <w:rsid w:val="2ED3721F"/>
    <w:rsid w:val="2ED5CB59"/>
    <w:rsid w:val="2ED75903"/>
    <w:rsid w:val="2ED84B2F"/>
    <w:rsid w:val="2ED95F4B"/>
    <w:rsid w:val="2EDAA164"/>
    <w:rsid w:val="2EDADE1A"/>
    <w:rsid w:val="2EDC6977"/>
    <w:rsid w:val="2EDE5F76"/>
    <w:rsid w:val="2EE18172"/>
    <w:rsid w:val="2EE237CA"/>
    <w:rsid w:val="2EE53F07"/>
    <w:rsid w:val="2EE64AE1"/>
    <w:rsid w:val="2EE82915"/>
    <w:rsid w:val="2EE87A53"/>
    <w:rsid w:val="2EE8C452"/>
    <w:rsid w:val="2EEA1058"/>
    <w:rsid w:val="2EEA2E8B"/>
    <w:rsid w:val="2EEAB1AC"/>
    <w:rsid w:val="2EEB22BC"/>
    <w:rsid w:val="2EEC3644"/>
    <w:rsid w:val="2EEC70DD"/>
    <w:rsid w:val="2EECFD30"/>
    <w:rsid w:val="2EED318C"/>
    <w:rsid w:val="2EEEFA05"/>
    <w:rsid w:val="2EEF1529"/>
    <w:rsid w:val="2EEF15F2"/>
    <w:rsid w:val="2EEF528A"/>
    <w:rsid w:val="2EF0602B"/>
    <w:rsid w:val="2EF17A18"/>
    <w:rsid w:val="2EF1D833"/>
    <w:rsid w:val="2EF22133"/>
    <w:rsid w:val="2EF318BF"/>
    <w:rsid w:val="2EF34D24"/>
    <w:rsid w:val="2EF3D59D"/>
    <w:rsid w:val="2EF4CE6B"/>
    <w:rsid w:val="2EF54AB6"/>
    <w:rsid w:val="2EF5561F"/>
    <w:rsid w:val="2EF64F77"/>
    <w:rsid w:val="2EF762C3"/>
    <w:rsid w:val="2EF7A2D7"/>
    <w:rsid w:val="2EF94533"/>
    <w:rsid w:val="2EFA280C"/>
    <w:rsid w:val="2EFB9B26"/>
    <w:rsid w:val="2EFBD479"/>
    <w:rsid w:val="2EFC40D2"/>
    <w:rsid w:val="2EFC57A1"/>
    <w:rsid w:val="2EFE3E37"/>
    <w:rsid w:val="2F00C818"/>
    <w:rsid w:val="2F024A48"/>
    <w:rsid w:val="2F038C4A"/>
    <w:rsid w:val="2F042BDC"/>
    <w:rsid w:val="2F0663D8"/>
    <w:rsid w:val="2F0ACC50"/>
    <w:rsid w:val="2F0B2DAE"/>
    <w:rsid w:val="2F0CE83F"/>
    <w:rsid w:val="2F0F2742"/>
    <w:rsid w:val="2F10792D"/>
    <w:rsid w:val="2F11FDF2"/>
    <w:rsid w:val="2F17F13B"/>
    <w:rsid w:val="2F187BCC"/>
    <w:rsid w:val="2F18D310"/>
    <w:rsid w:val="2F1A6052"/>
    <w:rsid w:val="2F1B87BC"/>
    <w:rsid w:val="2F1B9B5F"/>
    <w:rsid w:val="2F1CE450"/>
    <w:rsid w:val="2F20A56F"/>
    <w:rsid w:val="2F21FB3B"/>
    <w:rsid w:val="2F26D9E2"/>
    <w:rsid w:val="2F27B4A2"/>
    <w:rsid w:val="2F27CB1A"/>
    <w:rsid w:val="2F2802BC"/>
    <w:rsid w:val="2F288AF6"/>
    <w:rsid w:val="2F28F903"/>
    <w:rsid w:val="2F2A56BD"/>
    <w:rsid w:val="2F2BB800"/>
    <w:rsid w:val="2F2CC55B"/>
    <w:rsid w:val="2F2CE937"/>
    <w:rsid w:val="2F2D8A9D"/>
    <w:rsid w:val="2F2E5951"/>
    <w:rsid w:val="2F2FD00F"/>
    <w:rsid w:val="2F32DBBD"/>
    <w:rsid w:val="2F338C78"/>
    <w:rsid w:val="2F34FBAA"/>
    <w:rsid w:val="2F3D743A"/>
    <w:rsid w:val="2F3F0BD1"/>
    <w:rsid w:val="2F3F7DFD"/>
    <w:rsid w:val="2F464FC1"/>
    <w:rsid w:val="2F479BE5"/>
    <w:rsid w:val="2F489DEE"/>
    <w:rsid w:val="2F498919"/>
    <w:rsid w:val="2F4D15FC"/>
    <w:rsid w:val="2F4E648D"/>
    <w:rsid w:val="2F4E66FB"/>
    <w:rsid w:val="2F4F082F"/>
    <w:rsid w:val="2F522814"/>
    <w:rsid w:val="2F52FE92"/>
    <w:rsid w:val="2F545ED6"/>
    <w:rsid w:val="2F571467"/>
    <w:rsid w:val="2F577655"/>
    <w:rsid w:val="2F5896EA"/>
    <w:rsid w:val="2F597F02"/>
    <w:rsid w:val="2F59F4CD"/>
    <w:rsid w:val="2F59FEB0"/>
    <w:rsid w:val="2F5AA4BF"/>
    <w:rsid w:val="2F5B380F"/>
    <w:rsid w:val="2F5C8A92"/>
    <w:rsid w:val="2F5FB429"/>
    <w:rsid w:val="2F6179DB"/>
    <w:rsid w:val="2F6347BE"/>
    <w:rsid w:val="2F638BFB"/>
    <w:rsid w:val="2F65630C"/>
    <w:rsid w:val="2F68AC33"/>
    <w:rsid w:val="2F69C3B0"/>
    <w:rsid w:val="2F69FFF9"/>
    <w:rsid w:val="2F6D8DB6"/>
    <w:rsid w:val="2F6EE048"/>
    <w:rsid w:val="2F707002"/>
    <w:rsid w:val="2F7B4D44"/>
    <w:rsid w:val="2F7BFCD0"/>
    <w:rsid w:val="2F7C570C"/>
    <w:rsid w:val="2F7E1F13"/>
    <w:rsid w:val="2F7ED8F1"/>
    <w:rsid w:val="2F7FAF33"/>
    <w:rsid w:val="2F80D1F6"/>
    <w:rsid w:val="2F81E30E"/>
    <w:rsid w:val="2F82025A"/>
    <w:rsid w:val="2F828C1C"/>
    <w:rsid w:val="2F836AF5"/>
    <w:rsid w:val="2F87C3FF"/>
    <w:rsid w:val="2F89F581"/>
    <w:rsid w:val="2F8A8933"/>
    <w:rsid w:val="2F8AC09F"/>
    <w:rsid w:val="2F909626"/>
    <w:rsid w:val="2F9348E2"/>
    <w:rsid w:val="2F937FAD"/>
    <w:rsid w:val="2F958BFF"/>
    <w:rsid w:val="2F97ABAB"/>
    <w:rsid w:val="2F9ABFD8"/>
    <w:rsid w:val="2F9ADB81"/>
    <w:rsid w:val="2F9B5B16"/>
    <w:rsid w:val="2F9BB5B3"/>
    <w:rsid w:val="2F9D9DC3"/>
    <w:rsid w:val="2F9DD913"/>
    <w:rsid w:val="2F9E0A00"/>
    <w:rsid w:val="2F9F118C"/>
    <w:rsid w:val="2FA278C8"/>
    <w:rsid w:val="2FA287C1"/>
    <w:rsid w:val="2FA3EE9F"/>
    <w:rsid w:val="2FA63B04"/>
    <w:rsid w:val="2FA673E7"/>
    <w:rsid w:val="2FAA051F"/>
    <w:rsid w:val="2FAD64C6"/>
    <w:rsid w:val="2FADFCCE"/>
    <w:rsid w:val="2FAE361C"/>
    <w:rsid w:val="2FB0C216"/>
    <w:rsid w:val="2FB1BCF3"/>
    <w:rsid w:val="2FB264EE"/>
    <w:rsid w:val="2FB36DCC"/>
    <w:rsid w:val="2FB558EF"/>
    <w:rsid w:val="2FB5BCA7"/>
    <w:rsid w:val="2FB6ED2B"/>
    <w:rsid w:val="2FB95B12"/>
    <w:rsid w:val="2FBA3168"/>
    <w:rsid w:val="2FBFA888"/>
    <w:rsid w:val="2FC0B81F"/>
    <w:rsid w:val="2FC2BFD9"/>
    <w:rsid w:val="2FC428C8"/>
    <w:rsid w:val="2FC59D35"/>
    <w:rsid w:val="2FC76244"/>
    <w:rsid w:val="2FC7A8EA"/>
    <w:rsid w:val="2FC7BBC0"/>
    <w:rsid w:val="2FC8EBDD"/>
    <w:rsid w:val="2FCCFF7D"/>
    <w:rsid w:val="2FCD52B5"/>
    <w:rsid w:val="2FCDCE93"/>
    <w:rsid w:val="2FCE5D58"/>
    <w:rsid w:val="2FD1A000"/>
    <w:rsid w:val="2FD2B010"/>
    <w:rsid w:val="2FD458EF"/>
    <w:rsid w:val="2FD4821A"/>
    <w:rsid w:val="2FD71A36"/>
    <w:rsid w:val="2FD7E845"/>
    <w:rsid w:val="2FD8B073"/>
    <w:rsid w:val="2FD92783"/>
    <w:rsid w:val="2FDBC24E"/>
    <w:rsid w:val="2FDBE94A"/>
    <w:rsid w:val="2FDC8E30"/>
    <w:rsid w:val="2FDD1417"/>
    <w:rsid w:val="2FDDED67"/>
    <w:rsid w:val="2FDF0D17"/>
    <w:rsid w:val="2FDFEE5D"/>
    <w:rsid w:val="2FE1C073"/>
    <w:rsid w:val="2FE3DA73"/>
    <w:rsid w:val="2FE3F075"/>
    <w:rsid w:val="2FE497D7"/>
    <w:rsid w:val="2FE74E09"/>
    <w:rsid w:val="2FE999B2"/>
    <w:rsid w:val="2FE9C7B7"/>
    <w:rsid w:val="2FEB0E0D"/>
    <w:rsid w:val="2FEBB1B2"/>
    <w:rsid w:val="2FED00BA"/>
    <w:rsid w:val="2FEF18C0"/>
    <w:rsid w:val="2FEF8A47"/>
    <w:rsid w:val="2FEFA674"/>
    <w:rsid w:val="2FF094BC"/>
    <w:rsid w:val="2FF0BACC"/>
    <w:rsid w:val="2FF0C42B"/>
    <w:rsid w:val="2FF2DA39"/>
    <w:rsid w:val="2FF48044"/>
    <w:rsid w:val="2FFA5231"/>
    <w:rsid w:val="2FFB4B7B"/>
    <w:rsid w:val="2FFBD929"/>
    <w:rsid w:val="2FFC2327"/>
    <w:rsid w:val="2FFC5F98"/>
    <w:rsid w:val="2FFCDCB4"/>
    <w:rsid w:val="2FFD45A0"/>
    <w:rsid w:val="2FFE339D"/>
    <w:rsid w:val="2FFF406E"/>
    <w:rsid w:val="300090A5"/>
    <w:rsid w:val="3001BD59"/>
    <w:rsid w:val="30027185"/>
    <w:rsid w:val="30029966"/>
    <w:rsid w:val="300641EE"/>
    <w:rsid w:val="3008822B"/>
    <w:rsid w:val="3009AB15"/>
    <w:rsid w:val="300B100C"/>
    <w:rsid w:val="30105E1D"/>
    <w:rsid w:val="30115ABE"/>
    <w:rsid w:val="3011802B"/>
    <w:rsid w:val="3015EF24"/>
    <w:rsid w:val="30177AD8"/>
    <w:rsid w:val="30182051"/>
    <w:rsid w:val="3018B847"/>
    <w:rsid w:val="301F090A"/>
    <w:rsid w:val="3020E2CA"/>
    <w:rsid w:val="3021510D"/>
    <w:rsid w:val="302267FF"/>
    <w:rsid w:val="30228B4B"/>
    <w:rsid w:val="3024DE4C"/>
    <w:rsid w:val="30255960"/>
    <w:rsid w:val="3026DAA0"/>
    <w:rsid w:val="302919BC"/>
    <w:rsid w:val="30292050"/>
    <w:rsid w:val="30294CCA"/>
    <w:rsid w:val="302951E0"/>
    <w:rsid w:val="3029D0A0"/>
    <w:rsid w:val="302A310D"/>
    <w:rsid w:val="302AED87"/>
    <w:rsid w:val="302C16B2"/>
    <w:rsid w:val="302F291D"/>
    <w:rsid w:val="30303A77"/>
    <w:rsid w:val="30310C3F"/>
    <w:rsid w:val="3031B15A"/>
    <w:rsid w:val="3031DDCD"/>
    <w:rsid w:val="303295FF"/>
    <w:rsid w:val="3032E4AC"/>
    <w:rsid w:val="30361CDE"/>
    <w:rsid w:val="30365A46"/>
    <w:rsid w:val="3036BD4B"/>
    <w:rsid w:val="303776E6"/>
    <w:rsid w:val="303A221B"/>
    <w:rsid w:val="303AA0E2"/>
    <w:rsid w:val="303B5115"/>
    <w:rsid w:val="303EFF25"/>
    <w:rsid w:val="3040B95D"/>
    <w:rsid w:val="3042BAFB"/>
    <w:rsid w:val="304458A3"/>
    <w:rsid w:val="3048250A"/>
    <w:rsid w:val="30488DE8"/>
    <w:rsid w:val="30489D68"/>
    <w:rsid w:val="304B9EA3"/>
    <w:rsid w:val="304C3D5E"/>
    <w:rsid w:val="304EE8AB"/>
    <w:rsid w:val="3050B7F3"/>
    <w:rsid w:val="30517EEC"/>
    <w:rsid w:val="30529BB7"/>
    <w:rsid w:val="3052E04D"/>
    <w:rsid w:val="305641D8"/>
    <w:rsid w:val="3057AA1D"/>
    <w:rsid w:val="3057FDA8"/>
    <w:rsid w:val="3058D070"/>
    <w:rsid w:val="3059821B"/>
    <w:rsid w:val="305CCB5D"/>
    <w:rsid w:val="30604493"/>
    <w:rsid w:val="306078E0"/>
    <w:rsid w:val="30677FDC"/>
    <w:rsid w:val="30679B95"/>
    <w:rsid w:val="306803FF"/>
    <w:rsid w:val="306A1688"/>
    <w:rsid w:val="306AE319"/>
    <w:rsid w:val="306CCA76"/>
    <w:rsid w:val="306D884F"/>
    <w:rsid w:val="3070B4FB"/>
    <w:rsid w:val="30725A7A"/>
    <w:rsid w:val="30760FFA"/>
    <w:rsid w:val="307670C8"/>
    <w:rsid w:val="30768462"/>
    <w:rsid w:val="30774AD5"/>
    <w:rsid w:val="30794A53"/>
    <w:rsid w:val="307C40E4"/>
    <w:rsid w:val="307C976B"/>
    <w:rsid w:val="307F0F81"/>
    <w:rsid w:val="30819CE7"/>
    <w:rsid w:val="30825DAC"/>
    <w:rsid w:val="30833328"/>
    <w:rsid w:val="30838206"/>
    <w:rsid w:val="30851301"/>
    <w:rsid w:val="308CEF34"/>
    <w:rsid w:val="3091D6AB"/>
    <w:rsid w:val="3094674C"/>
    <w:rsid w:val="30950779"/>
    <w:rsid w:val="30956360"/>
    <w:rsid w:val="3097120A"/>
    <w:rsid w:val="309A63CA"/>
    <w:rsid w:val="309B5856"/>
    <w:rsid w:val="309EA414"/>
    <w:rsid w:val="309F3D40"/>
    <w:rsid w:val="30A22D4D"/>
    <w:rsid w:val="30A6F7C7"/>
    <w:rsid w:val="30A83C4F"/>
    <w:rsid w:val="30A83EFE"/>
    <w:rsid w:val="30A87BC5"/>
    <w:rsid w:val="30A902B4"/>
    <w:rsid w:val="30AB6422"/>
    <w:rsid w:val="30AD1853"/>
    <w:rsid w:val="30AEB10A"/>
    <w:rsid w:val="30B06A04"/>
    <w:rsid w:val="30B10155"/>
    <w:rsid w:val="30B4935E"/>
    <w:rsid w:val="30B4F851"/>
    <w:rsid w:val="30B50C47"/>
    <w:rsid w:val="30B51647"/>
    <w:rsid w:val="30B64695"/>
    <w:rsid w:val="30B7FE94"/>
    <w:rsid w:val="30B80F57"/>
    <w:rsid w:val="30B99FA9"/>
    <w:rsid w:val="30BB428B"/>
    <w:rsid w:val="30BBE09F"/>
    <w:rsid w:val="30BC9CF6"/>
    <w:rsid w:val="30BD804D"/>
    <w:rsid w:val="30BE8526"/>
    <w:rsid w:val="30BE8893"/>
    <w:rsid w:val="30BEEEF8"/>
    <w:rsid w:val="30BFF11F"/>
    <w:rsid w:val="30BFF68E"/>
    <w:rsid w:val="30C1D77B"/>
    <w:rsid w:val="30C2EADD"/>
    <w:rsid w:val="30C488F2"/>
    <w:rsid w:val="30C6C003"/>
    <w:rsid w:val="30C8B870"/>
    <w:rsid w:val="30C8EF2C"/>
    <w:rsid w:val="30CE1D02"/>
    <w:rsid w:val="30D1B4D2"/>
    <w:rsid w:val="30D22561"/>
    <w:rsid w:val="30D318FF"/>
    <w:rsid w:val="30D42198"/>
    <w:rsid w:val="30D5C5C7"/>
    <w:rsid w:val="30D68E86"/>
    <w:rsid w:val="30D72A31"/>
    <w:rsid w:val="30D77D8C"/>
    <w:rsid w:val="30D8A06A"/>
    <w:rsid w:val="30DAFAEC"/>
    <w:rsid w:val="30DF1CD4"/>
    <w:rsid w:val="30E0DC61"/>
    <w:rsid w:val="30E263E9"/>
    <w:rsid w:val="30E41787"/>
    <w:rsid w:val="30E4C4D9"/>
    <w:rsid w:val="30E68E27"/>
    <w:rsid w:val="30E88A24"/>
    <w:rsid w:val="30E9959A"/>
    <w:rsid w:val="30EAA751"/>
    <w:rsid w:val="30ECE7C1"/>
    <w:rsid w:val="30EDBFE6"/>
    <w:rsid w:val="30EFAA2B"/>
    <w:rsid w:val="30EFDCE7"/>
    <w:rsid w:val="30F208D6"/>
    <w:rsid w:val="30F426EC"/>
    <w:rsid w:val="30F573E8"/>
    <w:rsid w:val="30FACF3A"/>
    <w:rsid w:val="310249C1"/>
    <w:rsid w:val="31050455"/>
    <w:rsid w:val="31053C9C"/>
    <w:rsid w:val="31069F10"/>
    <w:rsid w:val="3106B148"/>
    <w:rsid w:val="31071BC2"/>
    <w:rsid w:val="31076E01"/>
    <w:rsid w:val="310777D2"/>
    <w:rsid w:val="310AC7D3"/>
    <w:rsid w:val="310ADEE2"/>
    <w:rsid w:val="310B37DE"/>
    <w:rsid w:val="310DA1B4"/>
    <w:rsid w:val="310DAF6A"/>
    <w:rsid w:val="310F8F3A"/>
    <w:rsid w:val="3114DA4D"/>
    <w:rsid w:val="31165486"/>
    <w:rsid w:val="311689AF"/>
    <w:rsid w:val="311BAE59"/>
    <w:rsid w:val="311BF99A"/>
    <w:rsid w:val="311CA0AC"/>
    <w:rsid w:val="31207603"/>
    <w:rsid w:val="3120F2F0"/>
    <w:rsid w:val="3122405E"/>
    <w:rsid w:val="3122E499"/>
    <w:rsid w:val="31245489"/>
    <w:rsid w:val="3129063A"/>
    <w:rsid w:val="3129625F"/>
    <w:rsid w:val="31299C6D"/>
    <w:rsid w:val="312D9E5F"/>
    <w:rsid w:val="312E1099"/>
    <w:rsid w:val="312F1137"/>
    <w:rsid w:val="312FDD6F"/>
    <w:rsid w:val="3130016D"/>
    <w:rsid w:val="31303C9E"/>
    <w:rsid w:val="31308028"/>
    <w:rsid w:val="31324905"/>
    <w:rsid w:val="3133D438"/>
    <w:rsid w:val="31354137"/>
    <w:rsid w:val="31370390"/>
    <w:rsid w:val="31374692"/>
    <w:rsid w:val="313A116A"/>
    <w:rsid w:val="313DDB01"/>
    <w:rsid w:val="313F00E7"/>
    <w:rsid w:val="31437274"/>
    <w:rsid w:val="314437CA"/>
    <w:rsid w:val="314613D2"/>
    <w:rsid w:val="314741F9"/>
    <w:rsid w:val="3147BB48"/>
    <w:rsid w:val="314B83D5"/>
    <w:rsid w:val="314BBB1D"/>
    <w:rsid w:val="314D8038"/>
    <w:rsid w:val="314DDA8F"/>
    <w:rsid w:val="3150101D"/>
    <w:rsid w:val="3150A8E2"/>
    <w:rsid w:val="31518B91"/>
    <w:rsid w:val="31520C7E"/>
    <w:rsid w:val="3154F0CA"/>
    <w:rsid w:val="3155088D"/>
    <w:rsid w:val="3159C94C"/>
    <w:rsid w:val="315B422C"/>
    <w:rsid w:val="315BD064"/>
    <w:rsid w:val="315CAB2A"/>
    <w:rsid w:val="315CB718"/>
    <w:rsid w:val="315D8425"/>
    <w:rsid w:val="3160BA9C"/>
    <w:rsid w:val="3161BE65"/>
    <w:rsid w:val="31646450"/>
    <w:rsid w:val="3169262E"/>
    <w:rsid w:val="31699EC7"/>
    <w:rsid w:val="316C2D99"/>
    <w:rsid w:val="316C8EDC"/>
    <w:rsid w:val="316CBF22"/>
    <w:rsid w:val="316E67F9"/>
    <w:rsid w:val="316FE601"/>
    <w:rsid w:val="3172945D"/>
    <w:rsid w:val="31739517"/>
    <w:rsid w:val="31740FDE"/>
    <w:rsid w:val="31747ADC"/>
    <w:rsid w:val="31754F0B"/>
    <w:rsid w:val="3175F44C"/>
    <w:rsid w:val="3176EDFB"/>
    <w:rsid w:val="31779B24"/>
    <w:rsid w:val="317A71F7"/>
    <w:rsid w:val="317B007B"/>
    <w:rsid w:val="317D4123"/>
    <w:rsid w:val="317F0540"/>
    <w:rsid w:val="3180B5FC"/>
    <w:rsid w:val="3180E26B"/>
    <w:rsid w:val="31815D61"/>
    <w:rsid w:val="3181C2DF"/>
    <w:rsid w:val="3182BDA9"/>
    <w:rsid w:val="31854DBE"/>
    <w:rsid w:val="31870901"/>
    <w:rsid w:val="31881C71"/>
    <w:rsid w:val="3188FD24"/>
    <w:rsid w:val="318B42F3"/>
    <w:rsid w:val="318BDFB3"/>
    <w:rsid w:val="318CFAA5"/>
    <w:rsid w:val="318D877F"/>
    <w:rsid w:val="318F716E"/>
    <w:rsid w:val="318FF4DE"/>
    <w:rsid w:val="31906782"/>
    <w:rsid w:val="319086DD"/>
    <w:rsid w:val="3190FF0E"/>
    <w:rsid w:val="31942011"/>
    <w:rsid w:val="3195B2E3"/>
    <w:rsid w:val="319859CC"/>
    <w:rsid w:val="319927B5"/>
    <w:rsid w:val="3199AD89"/>
    <w:rsid w:val="319C3316"/>
    <w:rsid w:val="319E882E"/>
    <w:rsid w:val="319EB748"/>
    <w:rsid w:val="319FBC69"/>
    <w:rsid w:val="31A046AF"/>
    <w:rsid w:val="31A06EF8"/>
    <w:rsid w:val="31A1B5E3"/>
    <w:rsid w:val="31A46C8B"/>
    <w:rsid w:val="31A69C42"/>
    <w:rsid w:val="31A777B4"/>
    <w:rsid w:val="31A9041E"/>
    <w:rsid w:val="31A92047"/>
    <w:rsid w:val="31AA908B"/>
    <w:rsid w:val="31AB3252"/>
    <w:rsid w:val="31ABA467"/>
    <w:rsid w:val="31ABFD0E"/>
    <w:rsid w:val="31AE3767"/>
    <w:rsid w:val="31B23A9A"/>
    <w:rsid w:val="31B332C9"/>
    <w:rsid w:val="31B354E3"/>
    <w:rsid w:val="31B7062B"/>
    <w:rsid w:val="31B90AD7"/>
    <w:rsid w:val="31B9F075"/>
    <w:rsid w:val="31BA48A5"/>
    <w:rsid w:val="31BADAE4"/>
    <w:rsid w:val="31BC16E1"/>
    <w:rsid w:val="31BD82D8"/>
    <w:rsid w:val="31BEAF90"/>
    <w:rsid w:val="31BEDB81"/>
    <w:rsid w:val="31BF7130"/>
    <w:rsid w:val="31BFFCF4"/>
    <w:rsid w:val="31C05F2F"/>
    <w:rsid w:val="31C08341"/>
    <w:rsid w:val="31C106AB"/>
    <w:rsid w:val="31C15245"/>
    <w:rsid w:val="31C16F1B"/>
    <w:rsid w:val="31C19009"/>
    <w:rsid w:val="31C1ACF1"/>
    <w:rsid w:val="31C26754"/>
    <w:rsid w:val="31C371CF"/>
    <w:rsid w:val="31C38517"/>
    <w:rsid w:val="31C441AB"/>
    <w:rsid w:val="31C73E85"/>
    <w:rsid w:val="31C803A0"/>
    <w:rsid w:val="31CA00D6"/>
    <w:rsid w:val="31CB4774"/>
    <w:rsid w:val="31CC9618"/>
    <w:rsid w:val="31CDCE13"/>
    <w:rsid w:val="31CDE95D"/>
    <w:rsid w:val="31D1B3AF"/>
    <w:rsid w:val="31D229ED"/>
    <w:rsid w:val="31D7FF22"/>
    <w:rsid w:val="31D8062C"/>
    <w:rsid w:val="31D8231D"/>
    <w:rsid w:val="31D95F47"/>
    <w:rsid w:val="31D9C06A"/>
    <w:rsid w:val="31DC3E26"/>
    <w:rsid w:val="31DECECA"/>
    <w:rsid w:val="31DF7962"/>
    <w:rsid w:val="31E065AB"/>
    <w:rsid w:val="31E0DB2A"/>
    <w:rsid w:val="31E54CF6"/>
    <w:rsid w:val="31E5F724"/>
    <w:rsid w:val="31E6C8FC"/>
    <w:rsid w:val="31E90281"/>
    <w:rsid w:val="31EAE5AB"/>
    <w:rsid w:val="31EBBE6D"/>
    <w:rsid w:val="31EC5F9D"/>
    <w:rsid w:val="31EC6263"/>
    <w:rsid w:val="31EDB0B9"/>
    <w:rsid w:val="31EF7611"/>
    <w:rsid w:val="31EF8144"/>
    <w:rsid w:val="31F1424F"/>
    <w:rsid w:val="31F1BD94"/>
    <w:rsid w:val="31F2A9C2"/>
    <w:rsid w:val="31F4100C"/>
    <w:rsid w:val="31F41380"/>
    <w:rsid w:val="31F4A502"/>
    <w:rsid w:val="31F51287"/>
    <w:rsid w:val="31F663D9"/>
    <w:rsid w:val="31F85101"/>
    <w:rsid w:val="31FA89EA"/>
    <w:rsid w:val="31FA9E32"/>
    <w:rsid w:val="31FC4C0F"/>
    <w:rsid w:val="31FD1E7A"/>
    <w:rsid w:val="31FDAFA8"/>
    <w:rsid w:val="31FDD280"/>
    <w:rsid w:val="32028417"/>
    <w:rsid w:val="3203241D"/>
    <w:rsid w:val="3203AC00"/>
    <w:rsid w:val="320446A7"/>
    <w:rsid w:val="3204E3DF"/>
    <w:rsid w:val="32051965"/>
    <w:rsid w:val="320703A7"/>
    <w:rsid w:val="32073D9A"/>
    <w:rsid w:val="32079B5C"/>
    <w:rsid w:val="3208D6FD"/>
    <w:rsid w:val="32097529"/>
    <w:rsid w:val="320A779D"/>
    <w:rsid w:val="320B2B20"/>
    <w:rsid w:val="320D8554"/>
    <w:rsid w:val="320DDB49"/>
    <w:rsid w:val="320DF701"/>
    <w:rsid w:val="3211DEE4"/>
    <w:rsid w:val="32124023"/>
    <w:rsid w:val="3212D7F0"/>
    <w:rsid w:val="32131C94"/>
    <w:rsid w:val="32136984"/>
    <w:rsid w:val="3215E4A5"/>
    <w:rsid w:val="3215E5A3"/>
    <w:rsid w:val="3216909A"/>
    <w:rsid w:val="32185B27"/>
    <w:rsid w:val="32192CB5"/>
    <w:rsid w:val="321A5656"/>
    <w:rsid w:val="321C9059"/>
    <w:rsid w:val="321CF5D9"/>
    <w:rsid w:val="321DFB7D"/>
    <w:rsid w:val="321E2624"/>
    <w:rsid w:val="321E7E23"/>
    <w:rsid w:val="321E96CB"/>
    <w:rsid w:val="321FBF59"/>
    <w:rsid w:val="3221099F"/>
    <w:rsid w:val="32225AA6"/>
    <w:rsid w:val="32243DD9"/>
    <w:rsid w:val="32247AE6"/>
    <w:rsid w:val="32283002"/>
    <w:rsid w:val="32289047"/>
    <w:rsid w:val="32289E51"/>
    <w:rsid w:val="32294128"/>
    <w:rsid w:val="322953E3"/>
    <w:rsid w:val="32309B78"/>
    <w:rsid w:val="3231832C"/>
    <w:rsid w:val="3232A702"/>
    <w:rsid w:val="3236BAB4"/>
    <w:rsid w:val="3236DDAC"/>
    <w:rsid w:val="323E334A"/>
    <w:rsid w:val="323EDDC3"/>
    <w:rsid w:val="32403D92"/>
    <w:rsid w:val="3240E679"/>
    <w:rsid w:val="32417215"/>
    <w:rsid w:val="32434AF1"/>
    <w:rsid w:val="32442F28"/>
    <w:rsid w:val="32472368"/>
    <w:rsid w:val="3247C274"/>
    <w:rsid w:val="32496957"/>
    <w:rsid w:val="324B635B"/>
    <w:rsid w:val="324E8979"/>
    <w:rsid w:val="32511B05"/>
    <w:rsid w:val="32514E68"/>
    <w:rsid w:val="32531B9E"/>
    <w:rsid w:val="3255B538"/>
    <w:rsid w:val="3257FBCE"/>
    <w:rsid w:val="325FBBBB"/>
    <w:rsid w:val="3261A77B"/>
    <w:rsid w:val="326379EB"/>
    <w:rsid w:val="3265E7F0"/>
    <w:rsid w:val="32669782"/>
    <w:rsid w:val="3268F2CB"/>
    <w:rsid w:val="32692DF1"/>
    <w:rsid w:val="3269A899"/>
    <w:rsid w:val="3269BBF4"/>
    <w:rsid w:val="3269EFA1"/>
    <w:rsid w:val="326D1884"/>
    <w:rsid w:val="326EF750"/>
    <w:rsid w:val="327032FC"/>
    <w:rsid w:val="32711D3C"/>
    <w:rsid w:val="3272E626"/>
    <w:rsid w:val="3277EC2D"/>
    <w:rsid w:val="32783A7E"/>
    <w:rsid w:val="3278FE3B"/>
    <w:rsid w:val="327A2405"/>
    <w:rsid w:val="327B9EFC"/>
    <w:rsid w:val="327DDB18"/>
    <w:rsid w:val="32800BDF"/>
    <w:rsid w:val="3282F2F3"/>
    <w:rsid w:val="3285E421"/>
    <w:rsid w:val="3286CA75"/>
    <w:rsid w:val="32890844"/>
    <w:rsid w:val="3289BC36"/>
    <w:rsid w:val="3289E3A3"/>
    <w:rsid w:val="328A0364"/>
    <w:rsid w:val="328B7EA1"/>
    <w:rsid w:val="32919FCD"/>
    <w:rsid w:val="3292E841"/>
    <w:rsid w:val="3293428B"/>
    <w:rsid w:val="32944511"/>
    <w:rsid w:val="3296324A"/>
    <w:rsid w:val="32968B28"/>
    <w:rsid w:val="3296C1B5"/>
    <w:rsid w:val="3298C73B"/>
    <w:rsid w:val="329C1A80"/>
    <w:rsid w:val="329C7E62"/>
    <w:rsid w:val="329DAC13"/>
    <w:rsid w:val="329DD9B8"/>
    <w:rsid w:val="329DDEE4"/>
    <w:rsid w:val="329DE5CF"/>
    <w:rsid w:val="329EF57E"/>
    <w:rsid w:val="32A5B665"/>
    <w:rsid w:val="32A86DA7"/>
    <w:rsid w:val="32A977C1"/>
    <w:rsid w:val="32AB7BFE"/>
    <w:rsid w:val="32ADA66D"/>
    <w:rsid w:val="32AF5A36"/>
    <w:rsid w:val="32B18639"/>
    <w:rsid w:val="32B33C66"/>
    <w:rsid w:val="32B43854"/>
    <w:rsid w:val="32B91FD7"/>
    <w:rsid w:val="32BABDC1"/>
    <w:rsid w:val="32BB0D16"/>
    <w:rsid w:val="32BCFAE3"/>
    <w:rsid w:val="32BD935C"/>
    <w:rsid w:val="32BEE06C"/>
    <w:rsid w:val="32C83A4B"/>
    <w:rsid w:val="32C94536"/>
    <w:rsid w:val="32CB5699"/>
    <w:rsid w:val="32CB66B7"/>
    <w:rsid w:val="32CC213A"/>
    <w:rsid w:val="32CE1EDB"/>
    <w:rsid w:val="32D0F8F4"/>
    <w:rsid w:val="32D34E56"/>
    <w:rsid w:val="32D389B0"/>
    <w:rsid w:val="32D3C7F2"/>
    <w:rsid w:val="32D3E3AB"/>
    <w:rsid w:val="32D95E18"/>
    <w:rsid w:val="32DBE216"/>
    <w:rsid w:val="32DC7FE4"/>
    <w:rsid w:val="32DCE1DD"/>
    <w:rsid w:val="32DDEC0F"/>
    <w:rsid w:val="32DF5C58"/>
    <w:rsid w:val="32E1165B"/>
    <w:rsid w:val="32E1F2D4"/>
    <w:rsid w:val="32E21ED8"/>
    <w:rsid w:val="32E22437"/>
    <w:rsid w:val="32EAAF97"/>
    <w:rsid w:val="32EAB3AA"/>
    <w:rsid w:val="32EC2CBA"/>
    <w:rsid w:val="32ED0EF9"/>
    <w:rsid w:val="32EE0BE6"/>
    <w:rsid w:val="32EE8D4E"/>
    <w:rsid w:val="32EF8F52"/>
    <w:rsid w:val="32EFC7F2"/>
    <w:rsid w:val="32F0094B"/>
    <w:rsid w:val="32F0AFF6"/>
    <w:rsid w:val="32F1D497"/>
    <w:rsid w:val="32F236F9"/>
    <w:rsid w:val="32F3AB7D"/>
    <w:rsid w:val="32F432B8"/>
    <w:rsid w:val="32F4947F"/>
    <w:rsid w:val="32F7518D"/>
    <w:rsid w:val="32FA6E7D"/>
    <w:rsid w:val="32FA9963"/>
    <w:rsid w:val="32FB3B71"/>
    <w:rsid w:val="32FC26A4"/>
    <w:rsid w:val="32FC2EF0"/>
    <w:rsid w:val="32FEC1C1"/>
    <w:rsid w:val="330267B1"/>
    <w:rsid w:val="330291A7"/>
    <w:rsid w:val="33034DA5"/>
    <w:rsid w:val="33066690"/>
    <w:rsid w:val="33090598"/>
    <w:rsid w:val="33092C37"/>
    <w:rsid w:val="33099B39"/>
    <w:rsid w:val="330F7127"/>
    <w:rsid w:val="33157F63"/>
    <w:rsid w:val="3317CDFB"/>
    <w:rsid w:val="3317F420"/>
    <w:rsid w:val="33189A5F"/>
    <w:rsid w:val="33193ABA"/>
    <w:rsid w:val="33196C7A"/>
    <w:rsid w:val="331AB862"/>
    <w:rsid w:val="331B8170"/>
    <w:rsid w:val="331C2069"/>
    <w:rsid w:val="331C4371"/>
    <w:rsid w:val="331D9A19"/>
    <w:rsid w:val="331E22E0"/>
    <w:rsid w:val="331E981F"/>
    <w:rsid w:val="33212463"/>
    <w:rsid w:val="3322C2F9"/>
    <w:rsid w:val="3324530F"/>
    <w:rsid w:val="33251EA3"/>
    <w:rsid w:val="332523E1"/>
    <w:rsid w:val="332657A3"/>
    <w:rsid w:val="3329BE7A"/>
    <w:rsid w:val="3329C0CA"/>
    <w:rsid w:val="3329E818"/>
    <w:rsid w:val="332DDEE2"/>
    <w:rsid w:val="332F7E72"/>
    <w:rsid w:val="3330D729"/>
    <w:rsid w:val="33325F18"/>
    <w:rsid w:val="3332D693"/>
    <w:rsid w:val="33346789"/>
    <w:rsid w:val="333A0806"/>
    <w:rsid w:val="333B7AC4"/>
    <w:rsid w:val="33409C9A"/>
    <w:rsid w:val="3345C9D1"/>
    <w:rsid w:val="3346985B"/>
    <w:rsid w:val="3346CC27"/>
    <w:rsid w:val="33473093"/>
    <w:rsid w:val="3347A216"/>
    <w:rsid w:val="3347AC61"/>
    <w:rsid w:val="33488D2A"/>
    <w:rsid w:val="3348E140"/>
    <w:rsid w:val="3348EAEF"/>
    <w:rsid w:val="334B2B64"/>
    <w:rsid w:val="334F6D61"/>
    <w:rsid w:val="3350FA87"/>
    <w:rsid w:val="33510C9C"/>
    <w:rsid w:val="3354E6D4"/>
    <w:rsid w:val="33554CAA"/>
    <w:rsid w:val="3359D45C"/>
    <w:rsid w:val="335A8CEF"/>
    <w:rsid w:val="335AF07D"/>
    <w:rsid w:val="335C0AC0"/>
    <w:rsid w:val="335D2E59"/>
    <w:rsid w:val="335D3F7C"/>
    <w:rsid w:val="335DD1DC"/>
    <w:rsid w:val="335EEFFC"/>
    <w:rsid w:val="335F2D65"/>
    <w:rsid w:val="33609EFB"/>
    <w:rsid w:val="3361D635"/>
    <w:rsid w:val="33628006"/>
    <w:rsid w:val="33640070"/>
    <w:rsid w:val="3364B58C"/>
    <w:rsid w:val="33668626"/>
    <w:rsid w:val="33675386"/>
    <w:rsid w:val="3367C1C5"/>
    <w:rsid w:val="33687153"/>
    <w:rsid w:val="3368EEBA"/>
    <w:rsid w:val="336A9D48"/>
    <w:rsid w:val="336C84A3"/>
    <w:rsid w:val="336EDA51"/>
    <w:rsid w:val="336FCF85"/>
    <w:rsid w:val="337019A7"/>
    <w:rsid w:val="3370910A"/>
    <w:rsid w:val="33710B7D"/>
    <w:rsid w:val="3371E32E"/>
    <w:rsid w:val="33732BF9"/>
    <w:rsid w:val="3374894F"/>
    <w:rsid w:val="3377A398"/>
    <w:rsid w:val="337B9A7C"/>
    <w:rsid w:val="337BD547"/>
    <w:rsid w:val="337CC4B3"/>
    <w:rsid w:val="337CD870"/>
    <w:rsid w:val="337D369E"/>
    <w:rsid w:val="337DC242"/>
    <w:rsid w:val="337DDEEE"/>
    <w:rsid w:val="3380ED30"/>
    <w:rsid w:val="3381B0A5"/>
    <w:rsid w:val="3382ACC4"/>
    <w:rsid w:val="33849FFA"/>
    <w:rsid w:val="33887872"/>
    <w:rsid w:val="3389DDC0"/>
    <w:rsid w:val="338A0BE6"/>
    <w:rsid w:val="338B4BB5"/>
    <w:rsid w:val="338C6E5E"/>
    <w:rsid w:val="338CBDAA"/>
    <w:rsid w:val="338F2446"/>
    <w:rsid w:val="338FB56A"/>
    <w:rsid w:val="33920248"/>
    <w:rsid w:val="33926567"/>
    <w:rsid w:val="3398BC25"/>
    <w:rsid w:val="3399BA86"/>
    <w:rsid w:val="339A0B53"/>
    <w:rsid w:val="339A0CCD"/>
    <w:rsid w:val="339A5BA9"/>
    <w:rsid w:val="339B6818"/>
    <w:rsid w:val="339BF9BF"/>
    <w:rsid w:val="339CBDC5"/>
    <w:rsid w:val="33A0E9C6"/>
    <w:rsid w:val="33A1B853"/>
    <w:rsid w:val="33A2A458"/>
    <w:rsid w:val="33A48CD5"/>
    <w:rsid w:val="33A4B7C0"/>
    <w:rsid w:val="33A56A1D"/>
    <w:rsid w:val="33A7214A"/>
    <w:rsid w:val="33AB9432"/>
    <w:rsid w:val="33ABD23A"/>
    <w:rsid w:val="33ABD2C2"/>
    <w:rsid w:val="33ADC3BA"/>
    <w:rsid w:val="33AE40CC"/>
    <w:rsid w:val="33AFD39F"/>
    <w:rsid w:val="33B07F11"/>
    <w:rsid w:val="33B07FB1"/>
    <w:rsid w:val="33B1EF53"/>
    <w:rsid w:val="33B203B0"/>
    <w:rsid w:val="33B396DB"/>
    <w:rsid w:val="33B3E1A6"/>
    <w:rsid w:val="33B63611"/>
    <w:rsid w:val="33BA7323"/>
    <w:rsid w:val="33BA7893"/>
    <w:rsid w:val="33BA83EA"/>
    <w:rsid w:val="33BC5574"/>
    <w:rsid w:val="33BC64FF"/>
    <w:rsid w:val="33BCB2EC"/>
    <w:rsid w:val="33BCF8A1"/>
    <w:rsid w:val="33BDAD6F"/>
    <w:rsid w:val="33C26C83"/>
    <w:rsid w:val="33C2F662"/>
    <w:rsid w:val="33C4425A"/>
    <w:rsid w:val="33C4EC46"/>
    <w:rsid w:val="33C50DE6"/>
    <w:rsid w:val="33C998F7"/>
    <w:rsid w:val="33CA7D6F"/>
    <w:rsid w:val="33CB98D8"/>
    <w:rsid w:val="33CECDB4"/>
    <w:rsid w:val="33CFD1E3"/>
    <w:rsid w:val="33D150CA"/>
    <w:rsid w:val="33D3318A"/>
    <w:rsid w:val="33D37E8B"/>
    <w:rsid w:val="33D6D54D"/>
    <w:rsid w:val="33D6E83F"/>
    <w:rsid w:val="33D750BB"/>
    <w:rsid w:val="33DBC6BA"/>
    <w:rsid w:val="33DDD5BA"/>
    <w:rsid w:val="33DEA8BF"/>
    <w:rsid w:val="33DFADA8"/>
    <w:rsid w:val="33DFCC71"/>
    <w:rsid w:val="33E05ACB"/>
    <w:rsid w:val="33E392FE"/>
    <w:rsid w:val="33E47055"/>
    <w:rsid w:val="33E4A053"/>
    <w:rsid w:val="33E60CB9"/>
    <w:rsid w:val="33E67B3E"/>
    <w:rsid w:val="33E6EFD5"/>
    <w:rsid w:val="33E70EA3"/>
    <w:rsid w:val="33E731FD"/>
    <w:rsid w:val="33EA89AD"/>
    <w:rsid w:val="33EEDE0C"/>
    <w:rsid w:val="33EFBABB"/>
    <w:rsid w:val="33F1108E"/>
    <w:rsid w:val="33F27DE0"/>
    <w:rsid w:val="33F28495"/>
    <w:rsid w:val="33F4736F"/>
    <w:rsid w:val="33F4A473"/>
    <w:rsid w:val="33F4C1E2"/>
    <w:rsid w:val="33F4F9E8"/>
    <w:rsid w:val="33F4FA65"/>
    <w:rsid w:val="33F5D5BB"/>
    <w:rsid w:val="33F672A2"/>
    <w:rsid w:val="33F793AF"/>
    <w:rsid w:val="33FA1217"/>
    <w:rsid w:val="33FAF6D5"/>
    <w:rsid w:val="33FB4987"/>
    <w:rsid w:val="33FE4998"/>
    <w:rsid w:val="33FF0D97"/>
    <w:rsid w:val="33FF7625"/>
    <w:rsid w:val="33FFE275"/>
    <w:rsid w:val="340438E4"/>
    <w:rsid w:val="34056FBF"/>
    <w:rsid w:val="34066A28"/>
    <w:rsid w:val="340C9252"/>
    <w:rsid w:val="3410FA0E"/>
    <w:rsid w:val="3412001B"/>
    <w:rsid w:val="34159045"/>
    <w:rsid w:val="34159D74"/>
    <w:rsid w:val="341741FA"/>
    <w:rsid w:val="341C9097"/>
    <w:rsid w:val="341C99D9"/>
    <w:rsid w:val="341D47B1"/>
    <w:rsid w:val="341E1028"/>
    <w:rsid w:val="342216BA"/>
    <w:rsid w:val="34280A1B"/>
    <w:rsid w:val="34299F98"/>
    <w:rsid w:val="3429D07E"/>
    <w:rsid w:val="342B95AA"/>
    <w:rsid w:val="342D02D0"/>
    <w:rsid w:val="342F8287"/>
    <w:rsid w:val="342FC2D1"/>
    <w:rsid w:val="342FEB5D"/>
    <w:rsid w:val="34301D2E"/>
    <w:rsid w:val="34308F21"/>
    <w:rsid w:val="343105D1"/>
    <w:rsid w:val="34313A8A"/>
    <w:rsid w:val="34333E96"/>
    <w:rsid w:val="3433CCAA"/>
    <w:rsid w:val="34356792"/>
    <w:rsid w:val="3435DF13"/>
    <w:rsid w:val="3437981D"/>
    <w:rsid w:val="3437E8B7"/>
    <w:rsid w:val="34383CFC"/>
    <w:rsid w:val="3438E7CA"/>
    <w:rsid w:val="3439A0AD"/>
    <w:rsid w:val="343ADE93"/>
    <w:rsid w:val="343BE439"/>
    <w:rsid w:val="343D3F59"/>
    <w:rsid w:val="344628F0"/>
    <w:rsid w:val="3447EC0B"/>
    <w:rsid w:val="3448B9AE"/>
    <w:rsid w:val="344AD496"/>
    <w:rsid w:val="344DCFA2"/>
    <w:rsid w:val="3450A5FF"/>
    <w:rsid w:val="34523F0A"/>
    <w:rsid w:val="3452B595"/>
    <w:rsid w:val="34541E4A"/>
    <w:rsid w:val="34549EDD"/>
    <w:rsid w:val="3454BC0E"/>
    <w:rsid w:val="345A76C2"/>
    <w:rsid w:val="345AE3B4"/>
    <w:rsid w:val="345F5D4F"/>
    <w:rsid w:val="346065BA"/>
    <w:rsid w:val="34609E63"/>
    <w:rsid w:val="34616CF1"/>
    <w:rsid w:val="3461F0ED"/>
    <w:rsid w:val="34621665"/>
    <w:rsid w:val="34625A0D"/>
    <w:rsid w:val="3462863A"/>
    <w:rsid w:val="3462E071"/>
    <w:rsid w:val="3465179B"/>
    <w:rsid w:val="346821F2"/>
    <w:rsid w:val="346956C5"/>
    <w:rsid w:val="346EE55F"/>
    <w:rsid w:val="3471DA0E"/>
    <w:rsid w:val="34742860"/>
    <w:rsid w:val="3477E244"/>
    <w:rsid w:val="3478B15E"/>
    <w:rsid w:val="3478E81C"/>
    <w:rsid w:val="347C27AB"/>
    <w:rsid w:val="347D2749"/>
    <w:rsid w:val="347D4F01"/>
    <w:rsid w:val="347D6228"/>
    <w:rsid w:val="34824C1C"/>
    <w:rsid w:val="348626ED"/>
    <w:rsid w:val="3487E270"/>
    <w:rsid w:val="348AA13B"/>
    <w:rsid w:val="348C0AC7"/>
    <w:rsid w:val="348F3059"/>
    <w:rsid w:val="349419B7"/>
    <w:rsid w:val="3497E5B4"/>
    <w:rsid w:val="349AC6C1"/>
    <w:rsid w:val="349C9D46"/>
    <w:rsid w:val="349D1D11"/>
    <w:rsid w:val="34A06B0D"/>
    <w:rsid w:val="34A56752"/>
    <w:rsid w:val="34A72486"/>
    <w:rsid w:val="34A8F433"/>
    <w:rsid w:val="34A98FDB"/>
    <w:rsid w:val="34A99E96"/>
    <w:rsid w:val="34ABE107"/>
    <w:rsid w:val="34B30053"/>
    <w:rsid w:val="34B414FB"/>
    <w:rsid w:val="34B4F0CB"/>
    <w:rsid w:val="34B807F9"/>
    <w:rsid w:val="34B8B2BD"/>
    <w:rsid w:val="34B9E2E5"/>
    <w:rsid w:val="34BA7911"/>
    <w:rsid w:val="34BA90E6"/>
    <w:rsid w:val="34BABA5E"/>
    <w:rsid w:val="34BEA72D"/>
    <w:rsid w:val="34BF64C2"/>
    <w:rsid w:val="34C26C02"/>
    <w:rsid w:val="34C29719"/>
    <w:rsid w:val="34C5086D"/>
    <w:rsid w:val="34C5DE3C"/>
    <w:rsid w:val="34C7E460"/>
    <w:rsid w:val="34C87D8D"/>
    <w:rsid w:val="34C8B2A7"/>
    <w:rsid w:val="34C8DD83"/>
    <w:rsid w:val="34CC21A2"/>
    <w:rsid w:val="34CC43B1"/>
    <w:rsid w:val="34CC5D67"/>
    <w:rsid w:val="34CCEC32"/>
    <w:rsid w:val="34CE5B00"/>
    <w:rsid w:val="34D00704"/>
    <w:rsid w:val="34D0A891"/>
    <w:rsid w:val="34D37449"/>
    <w:rsid w:val="34D504C0"/>
    <w:rsid w:val="34DA3DA8"/>
    <w:rsid w:val="34DC6109"/>
    <w:rsid w:val="34DD647A"/>
    <w:rsid w:val="34DE617B"/>
    <w:rsid w:val="34DE89CC"/>
    <w:rsid w:val="34E043EE"/>
    <w:rsid w:val="34E0E49C"/>
    <w:rsid w:val="34E32296"/>
    <w:rsid w:val="34E365A9"/>
    <w:rsid w:val="34E6AF75"/>
    <w:rsid w:val="34E90FBB"/>
    <w:rsid w:val="34EAEBFB"/>
    <w:rsid w:val="34EB38DE"/>
    <w:rsid w:val="34ED147A"/>
    <w:rsid w:val="34ED7E6D"/>
    <w:rsid w:val="34F12459"/>
    <w:rsid w:val="34F14A4D"/>
    <w:rsid w:val="34F1917F"/>
    <w:rsid w:val="34F1EB7A"/>
    <w:rsid w:val="34F3E33F"/>
    <w:rsid w:val="34F53D6A"/>
    <w:rsid w:val="34F648AD"/>
    <w:rsid w:val="34F8F2AC"/>
    <w:rsid w:val="34FC5FF1"/>
    <w:rsid w:val="34FD08A7"/>
    <w:rsid w:val="34FD0A7E"/>
    <w:rsid w:val="34FD574B"/>
    <w:rsid w:val="34FD794A"/>
    <w:rsid w:val="34FDBC17"/>
    <w:rsid w:val="35000EC0"/>
    <w:rsid w:val="35007F4A"/>
    <w:rsid w:val="35021558"/>
    <w:rsid w:val="35034819"/>
    <w:rsid w:val="35040072"/>
    <w:rsid w:val="35042241"/>
    <w:rsid w:val="35062C65"/>
    <w:rsid w:val="350890BC"/>
    <w:rsid w:val="350978BC"/>
    <w:rsid w:val="3509C21D"/>
    <w:rsid w:val="350A2578"/>
    <w:rsid w:val="350B2680"/>
    <w:rsid w:val="350B4C15"/>
    <w:rsid w:val="350E983C"/>
    <w:rsid w:val="350FBAFA"/>
    <w:rsid w:val="3510098E"/>
    <w:rsid w:val="351137A0"/>
    <w:rsid w:val="35129A8D"/>
    <w:rsid w:val="3512CD38"/>
    <w:rsid w:val="3513C6B2"/>
    <w:rsid w:val="35151749"/>
    <w:rsid w:val="351582A1"/>
    <w:rsid w:val="35164C07"/>
    <w:rsid w:val="35193626"/>
    <w:rsid w:val="351C1E12"/>
    <w:rsid w:val="351C2B51"/>
    <w:rsid w:val="351F2656"/>
    <w:rsid w:val="3520CDF6"/>
    <w:rsid w:val="35212D43"/>
    <w:rsid w:val="352283DE"/>
    <w:rsid w:val="35234392"/>
    <w:rsid w:val="35268EFA"/>
    <w:rsid w:val="3526C8E5"/>
    <w:rsid w:val="3527F8EA"/>
    <w:rsid w:val="35289AFC"/>
    <w:rsid w:val="352A4A84"/>
    <w:rsid w:val="352D2221"/>
    <w:rsid w:val="352F4B97"/>
    <w:rsid w:val="3530A269"/>
    <w:rsid w:val="353234DE"/>
    <w:rsid w:val="3532FC84"/>
    <w:rsid w:val="35332699"/>
    <w:rsid w:val="3535FF9D"/>
    <w:rsid w:val="3537BC87"/>
    <w:rsid w:val="35386E0A"/>
    <w:rsid w:val="3538F39A"/>
    <w:rsid w:val="3539491D"/>
    <w:rsid w:val="353A1045"/>
    <w:rsid w:val="353BB0B3"/>
    <w:rsid w:val="353CB8A7"/>
    <w:rsid w:val="353DF9A1"/>
    <w:rsid w:val="353E03E3"/>
    <w:rsid w:val="353E18B4"/>
    <w:rsid w:val="3541F420"/>
    <w:rsid w:val="3542A047"/>
    <w:rsid w:val="3544530C"/>
    <w:rsid w:val="354642DF"/>
    <w:rsid w:val="3546795D"/>
    <w:rsid w:val="35471379"/>
    <w:rsid w:val="3548DF8C"/>
    <w:rsid w:val="354BE387"/>
    <w:rsid w:val="354DC0D8"/>
    <w:rsid w:val="354F18EC"/>
    <w:rsid w:val="354F63B5"/>
    <w:rsid w:val="354FECB1"/>
    <w:rsid w:val="3550CA62"/>
    <w:rsid w:val="3550F0CF"/>
    <w:rsid w:val="35570433"/>
    <w:rsid w:val="355712C1"/>
    <w:rsid w:val="355739BE"/>
    <w:rsid w:val="35573C8E"/>
    <w:rsid w:val="3559FFEE"/>
    <w:rsid w:val="355B1E96"/>
    <w:rsid w:val="355B8B76"/>
    <w:rsid w:val="355DC2DC"/>
    <w:rsid w:val="355E0035"/>
    <w:rsid w:val="355F5137"/>
    <w:rsid w:val="355F7796"/>
    <w:rsid w:val="3560001B"/>
    <w:rsid w:val="356000B8"/>
    <w:rsid w:val="3562AF03"/>
    <w:rsid w:val="35643054"/>
    <w:rsid w:val="3564F5FB"/>
    <w:rsid w:val="35676688"/>
    <w:rsid w:val="35688FD4"/>
    <w:rsid w:val="356BAA10"/>
    <w:rsid w:val="356CA01C"/>
    <w:rsid w:val="356D1918"/>
    <w:rsid w:val="356D6DB0"/>
    <w:rsid w:val="356DC955"/>
    <w:rsid w:val="35714394"/>
    <w:rsid w:val="35733134"/>
    <w:rsid w:val="3574E0A9"/>
    <w:rsid w:val="3577E7B0"/>
    <w:rsid w:val="357A4725"/>
    <w:rsid w:val="357A6AD9"/>
    <w:rsid w:val="357B407C"/>
    <w:rsid w:val="357BA174"/>
    <w:rsid w:val="357D241A"/>
    <w:rsid w:val="3580F98E"/>
    <w:rsid w:val="35830F63"/>
    <w:rsid w:val="35859B30"/>
    <w:rsid w:val="358747C9"/>
    <w:rsid w:val="3588080E"/>
    <w:rsid w:val="358A4997"/>
    <w:rsid w:val="358B2B2B"/>
    <w:rsid w:val="358B2BF1"/>
    <w:rsid w:val="358BFAA5"/>
    <w:rsid w:val="358DD620"/>
    <w:rsid w:val="358E39D4"/>
    <w:rsid w:val="359033C1"/>
    <w:rsid w:val="3590B04E"/>
    <w:rsid w:val="3590C92E"/>
    <w:rsid w:val="35932BA8"/>
    <w:rsid w:val="35969806"/>
    <w:rsid w:val="35980C9B"/>
    <w:rsid w:val="3599AC15"/>
    <w:rsid w:val="359A023F"/>
    <w:rsid w:val="359C3D4A"/>
    <w:rsid w:val="359C4A56"/>
    <w:rsid w:val="35A01F8A"/>
    <w:rsid w:val="35A420B3"/>
    <w:rsid w:val="35A894D1"/>
    <w:rsid w:val="35A8C9CC"/>
    <w:rsid w:val="35AA742C"/>
    <w:rsid w:val="35AD250E"/>
    <w:rsid w:val="35ADED0A"/>
    <w:rsid w:val="35AE8D7A"/>
    <w:rsid w:val="35AF695F"/>
    <w:rsid w:val="35B50912"/>
    <w:rsid w:val="35B689D4"/>
    <w:rsid w:val="35B73149"/>
    <w:rsid w:val="35B7B61C"/>
    <w:rsid w:val="35BDFA6C"/>
    <w:rsid w:val="35BFA869"/>
    <w:rsid w:val="35C0DA2D"/>
    <w:rsid w:val="35C25A63"/>
    <w:rsid w:val="35C514E9"/>
    <w:rsid w:val="35C7DFE2"/>
    <w:rsid w:val="35CD14DF"/>
    <w:rsid w:val="35D0E58B"/>
    <w:rsid w:val="35D1631A"/>
    <w:rsid w:val="35D33EEA"/>
    <w:rsid w:val="35D52C77"/>
    <w:rsid w:val="35D7AF5B"/>
    <w:rsid w:val="35D81768"/>
    <w:rsid w:val="35D89A35"/>
    <w:rsid w:val="35D8EAEA"/>
    <w:rsid w:val="35D97AB3"/>
    <w:rsid w:val="35D9A4B3"/>
    <w:rsid w:val="35D9CBC3"/>
    <w:rsid w:val="35DAD15A"/>
    <w:rsid w:val="35DDD949"/>
    <w:rsid w:val="35DEE84B"/>
    <w:rsid w:val="35DFB09A"/>
    <w:rsid w:val="35E260C5"/>
    <w:rsid w:val="35E4920B"/>
    <w:rsid w:val="35E55BBC"/>
    <w:rsid w:val="35E6FBD6"/>
    <w:rsid w:val="35E7932C"/>
    <w:rsid w:val="35E879D5"/>
    <w:rsid w:val="35E8EE68"/>
    <w:rsid w:val="35EA4FCA"/>
    <w:rsid w:val="35EC5555"/>
    <w:rsid w:val="35EC92A0"/>
    <w:rsid w:val="35EEB69F"/>
    <w:rsid w:val="35F3D171"/>
    <w:rsid w:val="35F40362"/>
    <w:rsid w:val="35F564DD"/>
    <w:rsid w:val="35F5BE79"/>
    <w:rsid w:val="35F75BA9"/>
    <w:rsid w:val="35F7A2FA"/>
    <w:rsid w:val="35FDBDD1"/>
    <w:rsid w:val="35FDDAA9"/>
    <w:rsid w:val="35FE94BD"/>
    <w:rsid w:val="35FF3B1B"/>
    <w:rsid w:val="360203B3"/>
    <w:rsid w:val="36050525"/>
    <w:rsid w:val="3607C8EA"/>
    <w:rsid w:val="3608BD2E"/>
    <w:rsid w:val="36094D84"/>
    <w:rsid w:val="360BFB0F"/>
    <w:rsid w:val="360C7D54"/>
    <w:rsid w:val="360E25E6"/>
    <w:rsid w:val="36110A6D"/>
    <w:rsid w:val="3612963E"/>
    <w:rsid w:val="3614F83D"/>
    <w:rsid w:val="361737AB"/>
    <w:rsid w:val="3617D408"/>
    <w:rsid w:val="361896C7"/>
    <w:rsid w:val="3618D8D1"/>
    <w:rsid w:val="361E5CF6"/>
    <w:rsid w:val="361F4622"/>
    <w:rsid w:val="3623F32B"/>
    <w:rsid w:val="3624CC7E"/>
    <w:rsid w:val="36280F2A"/>
    <w:rsid w:val="36282473"/>
    <w:rsid w:val="3628C3F7"/>
    <w:rsid w:val="36293C97"/>
    <w:rsid w:val="36302F2A"/>
    <w:rsid w:val="3633833F"/>
    <w:rsid w:val="36358762"/>
    <w:rsid w:val="363608C7"/>
    <w:rsid w:val="36366781"/>
    <w:rsid w:val="3636D2BD"/>
    <w:rsid w:val="363805D7"/>
    <w:rsid w:val="3638BAB1"/>
    <w:rsid w:val="3639D47E"/>
    <w:rsid w:val="363D1501"/>
    <w:rsid w:val="363E044B"/>
    <w:rsid w:val="363E8CD0"/>
    <w:rsid w:val="364070CD"/>
    <w:rsid w:val="36451D0F"/>
    <w:rsid w:val="36457EED"/>
    <w:rsid w:val="3647F0EA"/>
    <w:rsid w:val="364925A3"/>
    <w:rsid w:val="364999E1"/>
    <w:rsid w:val="364F8013"/>
    <w:rsid w:val="365298DC"/>
    <w:rsid w:val="3652DFCF"/>
    <w:rsid w:val="3655FC26"/>
    <w:rsid w:val="3657B83B"/>
    <w:rsid w:val="3657F518"/>
    <w:rsid w:val="3658743C"/>
    <w:rsid w:val="365A66ED"/>
    <w:rsid w:val="365C6E47"/>
    <w:rsid w:val="365E9766"/>
    <w:rsid w:val="366576D4"/>
    <w:rsid w:val="36663305"/>
    <w:rsid w:val="366A25F8"/>
    <w:rsid w:val="366C286D"/>
    <w:rsid w:val="366DDB7A"/>
    <w:rsid w:val="366FB5F2"/>
    <w:rsid w:val="3672342F"/>
    <w:rsid w:val="3673419D"/>
    <w:rsid w:val="3673E695"/>
    <w:rsid w:val="36751F3C"/>
    <w:rsid w:val="367526D2"/>
    <w:rsid w:val="36769E67"/>
    <w:rsid w:val="3677B6B9"/>
    <w:rsid w:val="3678B840"/>
    <w:rsid w:val="367934DB"/>
    <w:rsid w:val="3679786F"/>
    <w:rsid w:val="3679F3A6"/>
    <w:rsid w:val="367C76D4"/>
    <w:rsid w:val="367D4322"/>
    <w:rsid w:val="367E552C"/>
    <w:rsid w:val="3680FCAE"/>
    <w:rsid w:val="3681FFE9"/>
    <w:rsid w:val="3682058C"/>
    <w:rsid w:val="36836816"/>
    <w:rsid w:val="36850677"/>
    <w:rsid w:val="3686A3EC"/>
    <w:rsid w:val="3688F566"/>
    <w:rsid w:val="3689DABD"/>
    <w:rsid w:val="368A213C"/>
    <w:rsid w:val="368E3966"/>
    <w:rsid w:val="368FD8A6"/>
    <w:rsid w:val="3691E0FE"/>
    <w:rsid w:val="3692B52F"/>
    <w:rsid w:val="3693EFCB"/>
    <w:rsid w:val="3694B846"/>
    <w:rsid w:val="3696411A"/>
    <w:rsid w:val="3696E4C5"/>
    <w:rsid w:val="36976DA2"/>
    <w:rsid w:val="3698D698"/>
    <w:rsid w:val="369AEF28"/>
    <w:rsid w:val="369B5EA1"/>
    <w:rsid w:val="369D5A11"/>
    <w:rsid w:val="369E7996"/>
    <w:rsid w:val="369FE21C"/>
    <w:rsid w:val="36A1F594"/>
    <w:rsid w:val="36A23E0A"/>
    <w:rsid w:val="36A2DB2E"/>
    <w:rsid w:val="36A58C8C"/>
    <w:rsid w:val="36A6268F"/>
    <w:rsid w:val="36A81752"/>
    <w:rsid w:val="36A829C8"/>
    <w:rsid w:val="36A98F3F"/>
    <w:rsid w:val="36AB421F"/>
    <w:rsid w:val="36AD0622"/>
    <w:rsid w:val="36AE0968"/>
    <w:rsid w:val="36AFA5CE"/>
    <w:rsid w:val="36AFD980"/>
    <w:rsid w:val="36B0269F"/>
    <w:rsid w:val="36B03F8A"/>
    <w:rsid w:val="36B4D9F8"/>
    <w:rsid w:val="36B73363"/>
    <w:rsid w:val="36B7BDEF"/>
    <w:rsid w:val="36BC95E4"/>
    <w:rsid w:val="36BF4A52"/>
    <w:rsid w:val="36C07546"/>
    <w:rsid w:val="36C2189A"/>
    <w:rsid w:val="36C2325D"/>
    <w:rsid w:val="36C25530"/>
    <w:rsid w:val="36C28861"/>
    <w:rsid w:val="36C38CF5"/>
    <w:rsid w:val="36C3905B"/>
    <w:rsid w:val="36C51AAC"/>
    <w:rsid w:val="36C53FB6"/>
    <w:rsid w:val="36C60EF6"/>
    <w:rsid w:val="36C65FD5"/>
    <w:rsid w:val="36C8BCD3"/>
    <w:rsid w:val="36C9B5E1"/>
    <w:rsid w:val="36C9EAA8"/>
    <w:rsid w:val="36CA53BB"/>
    <w:rsid w:val="36CCD3C4"/>
    <w:rsid w:val="36CFAACB"/>
    <w:rsid w:val="36D2908C"/>
    <w:rsid w:val="36D3A577"/>
    <w:rsid w:val="36D4E3CE"/>
    <w:rsid w:val="36D5F07F"/>
    <w:rsid w:val="36D7AD54"/>
    <w:rsid w:val="36D88C1A"/>
    <w:rsid w:val="36D906B9"/>
    <w:rsid w:val="36D96EBD"/>
    <w:rsid w:val="36DBE882"/>
    <w:rsid w:val="36DC0332"/>
    <w:rsid w:val="36DC400F"/>
    <w:rsid w:val="36DF71EE"/>
    <w:rsid w:val="36DFBC93"/>
    <w:rsid w:val="36E1C018"/>
    <w:rsid w:val="36E2E0B0"/>
    <w:rsid w:val="36E39EE3"/>
    <w:rsid w:val="36E697F2"/>
    <w:rsid w:val="36E6E3E9"/>
    <w:rsid w:val="36EB09E3"/>
    <w:rsid w:val="36ED6C1C"/>
    <w:rsid w:val="36ED9C20"/>
    <w:rsid w:val="36EDE9B8"/>
    <w:rsid w:val="36EE0DDC"/>
    <w:rsid w:val="36F2361D"/>
    <w:rsid w:val="36F6E042"/>
    <w:rsid w:val="36F77E49"/>
    <w:rsid w:val="36FB16D5"/>
    <w:rsid w:val="36FE9E43"/>
    <w:rsid w:val="37049C84"/>
    <w:rsid w:val="37057B2D"/>
    <w:rsid w:val="3709ACC8"/>
    <w:rsid w:val="370A97B2"/>
    <w:rsid w:val="370B8DBA"/>
    <w:rsid w:val="370C08F5"/>
    <w:rsid w:val="3710D583"/>
    <w:rsid w:val="3712DA9C"/>
    <w:rsid w:val="3713941D"/>
    <w:rsid w:val="37197BCC"/>
    <w:rsid w:val="371B149B"/>
    <w:rsid w:val="371B35A3"/>
    <w:rsid w:val="371CC29D"/>
    <w:rsid w:val="371D2AA2"/>
    <w:rsid w:val="371D86A0"/>
    <w:rsid w:val="371DCEF1"/>
    <w:rsid w:val="371E7854"/>
    <w:rsid w:val="3721ED26"/>
    <w:rsid w:val="3723790B"/>
    <w:rsid w:val="37251EB3"/>
    <w:rsid w:val="3726F45F"/>
    <w:rsid w:val="3729E6DF"/>
    <w:rsid w:val="372C7ECC"/>
    <w:rsid w:val="372CE68F"/>
    <w:rsid w:val="372E712B"/>
    <w:rsid w:val="372E7E8A"/>
    <w:rsid w:val="372F93A1"/>
    <w:rsid w:val="3732E983"/>
    <w:rsid w:val="373358EA"/>
    <w:rsid w:val="373424C5"/>
    <w:rsid w:val="37356061"/>
    <w:rsid w:val="3735F578"/>
    <w:rsid w:val="3737ABE7"/>
    <w:rsid w:val="3738B9B9"/>
    <w:rsid w:val="3738F692"/>
    <w:rsid w:val="373B544B"/>
    <w:rsid w:val="373B6DB7"/>
    <w:rsid w:val="373C177E"/>
    <w:rsid w:val="373CE1B4"/>
    <w:rsid w:val="373F2244"/>
    <w:rsid w:val="373FD50B"/>
    <w:rsid w:val="3740B6E7"/>
    <w:rsid w:val="37411416"/>
    <w:rsid w:val="37447220"/>
    <w:rsid w:val="37457208"/>
    <w:rsid w:val="374672E6"/>
    <w:rsid w:val="37469CE5"/>
    <w:rsid w:val="3747CEC3"/>
    <w:rsid w:val="3748FC77"/>
    <w:rsid w:val="374A99F2"/>
    <w:rsid w:val="374CB18F"/>
    <w:rsid w:val="374DECD3"/>
    <w:rsid w:val="374F4118"/>
    <w:rsid w:val="375293AC"/>
    <w:rsid w:val="3752F4BF"/>
    <w:rsid w:val="37548003"/>
    <w:rsid w:val="3755CAFD"/>
    <w:rsid w:val="3757C594"/>
    <w:rsid w:val="375A5E33"/>
    <w:rsid w:val="375E75C2"/>
    <w:rsid w:val="375F8C85"/>
    <w:rsid w:val="375FE3A3"/>
    <w:rsid w:val="3760ED6C"/>
    <w:rsid w:val="3763044E"/>
    <w:rsid w:val="376634A9"/>
    <w:rsid w:val="3767C0A5"/>
    <w:rsid w:val="376BEF52"/>
    <w:rsid w:val="37715B81"/>
    <w:rsid w:val="3772FF38"/>
    <w:rsid w:val="37777D3F"/>
    <w:rsid w:val="377922EC"/>
    <w:rsid w:val="377C1CCE"/>
    <w:rsid w:val="377CA980"/>
    <w:rsid w:val="377E2040"/>
    <w:rsid w:val="377FCCD4"/>
    <w:rsid w:val="378161CB"/>
    <w:rsid w:val="37831175"/>
    <w:rsid w:val="3783E50E"/>
    <w:rsid w:val="37890084"/>
    <w:rsid w:val="3789FEAF"/>
    <w:rsid w:val="378AD07A"/>
    <w:rsid w:val="378C24D3"/>
    <w:rsid w:val="378C82B1"/>
    <w:rsid w:val="378D087F"/>
    <w:rsid w:val="378F2039"/>
    <w:rsid w:val="378F3228"/>
    <w:rsid w:val="37936424"/>
    <w:rsid w:val="37939B4C"/>
    <w:rsid w:val="3796200F"/>
    <w:rsid w:val="3796EEDD"/>
    <w:rsid w:val="37971F54"/>
    <w:rsid w:val="379A5F48"/>
    <w:rsid w:val="379A6A9C"/>
    <w:rsid w:val="379AFFCD"/>
    <w:rsid w:val="379CE417"/>
    <w:rsid w:val="379ECB6C"/>
    <w:rsid w:val="379F7E22"/>
    <w:rsid w:val="37A0D8F7"/>
    <w:rsid w:val="37A18F5D"/>
    <w:rsid w:val="37A2DBE4"/>
    <w:rsid w:val="37A38DFE"/>
    <w:rsid w:val="37A7CF7E"/>
    <w:rsid w:val="37A82D43"/>
    <w:rsid w:val="37AB1AC7"/>
    <w:rsid w:val="37AB55A3"/>
    <w:rsid w:val="37AE8E46"/>
    <w:rsid w:val="37AED442"/>
    <w:rsid w:val="37AF6CEF"/>
    <w:rsid w:val="37AF741D"/>
    <w:rsid w:val="37B12A10"/>
    <w:rsid w:val="37B52EEB"/>
    <w:rsid w:val="37B61319"/>
    <w:rsid w:val="37B636E9"/>
    <w:rsid w:val="37B696C6"/>
    <w:rsid w:val="37B8164A"/>
    <w:rsid w:val="37B88CD2"/>
    <w:rsid w:val="37BB581B"/>
    <w:rsid w:val="37BB78D4"/>
    <w:rsid w:val="37BF4420"/>
    <w:rsid w:val="37BFD543"/>
    <w:rsid w:val="37C0F23A"/>
    <w:rsid w:val="37C21CC1"/>
    <w:rsid w:val="37C2EB38"/>
    <w:rsid w:val="37C40D78"/>
    <w:rsid w:val="37C538B2"/>
    <w:rsid w:val="37C560CD"/>
    <w:rsid w:val="37C6535E"/>
    <w:rsid w:val="37C7D4B5"/>
    <w:rsid w:val="37C927CB"/>
    <w:rsid w:val="37CDEDD6"/>
    <w:rsid w:val="37CFF55B"/>
    <w:rsid w:val="37D1CB6F"/>
    <w:rsid w:val="37D46795"/>
    <w:rsid w:val="37D56AD4"/>
    <w:rsid w:val="37D6198E"/>
    <w:rsid w:val="37D64319"/>
    <w:rsid w:val="37D6455E"/>
    <w:rsid w:val="37D8374B"/>
    <w:rsid w:val="37DB22BF"/>
    <w:rsid w:val="37DC5010"/>
    <w:rsid w:val="37E08FB3"/>
    <w:rsid w:val="37E10482"/>
    <w:rsid w:val="37E4C6A9"/>
    <w:rsid w:val="37E64465"/>
    <w:rsid w:val="37E7964D"/>
    <w:rsid w:val="37E7C74A"/>
    <w:rsid w:val="37EB2870"/>
    <w:rsid w:val="37EC3A07"/>
    <w:rsid w:val="37ED3124"/>
    <w:rsid w:val="37EE3245"/>
    <w:rsid w:val="37EEE405"/>
    <w:rsid w:val="37EFC87A"/>
    <w:rsid w:val="37F0CC23"/>
    <w:rsid w:val="37F2BB57"/>
    <w:rsid w:val="37F35BEF"/>
    <w:rsid w:val="37F81A91"/>
    <w:rsid w:val="37F82FAE"/>
    <w:rsid w:val="37F85DC3"/>
    <w:rsid w:val="37FDAE38"/>
    <w:rsid w:val="3801D7BA"/>
    <w:rsid w:val="380216E5"/>
    <w:rsid w:val="3802630D"/>
    <w:rsid w:val="3802EE99"/>
    <w:rsid w:val="38035EB9"/>
    <w:rsid w:val="3804162C"/>
    <w:rsid w:val="38048B40"/>
    <w:rsid w:val="3805B851"/>
    <w:rsid w:val="3807E684"/>
    <w:rsid w:val="38084EAE"/>
    <w:rsid w:val="380C154C"/>
    <w:rsid w:val="380C98F2"/>
    <w:rsid w:val="380E8DCA"/>
    <w:rsid w:val="3811DB4C"/>
    <w:rsid w:val="3812853D"/>
    <w:rsid w:val="3813C130"/>
    <w:rsid w:val="3813F890"/>
    <w:rsid w:val="3814F82B"/>
    <w:rsid w:val="3815053C"/>
    <w:rsid w:val="381CFEBE"/>
    <w:rsid w:val="381DCA1D"/>
    <w:rsid w:val="382167F7"/>
    <w:rsid w:val="382392F6"/>
    <w:rsid w:val="3823950C"/>
    <w:rsid w:val="38253F00"/>
    <w:rsid w:val="3827F72E"/>
    <w:rsid w:val="3828E36C"/>
    <w:rsid w:val="382AF660"/>
    <w:rsid w:val="382BA00E"/>
    <w:rsid w:val="382BE3FB"/>
    <w:rsid w:val="382ED4D2"/>
    <w:rsid w:val="383011DD"/>
    <w:rsid w:val="3831E334"/>
    <w:rsid w:val="38321508"/>
    <w:rsid w:val="3834A6F9"/>
    <w:rsid w:val="3834F99A"/>
    <w:rsid w:val="3834FBCC"/>
    <w:rsid w:val="38351797"/>
    <w:rsid w:val="38363589"/>
    <w:rsid w:val="3836984E"/>
    <w:rsid w:val="383734EF"/>
    <w:rsid w:val="3837B948"/>
    <w:rsid w:val="38390484"/>
    <w:rsid w:val="38393085"/>
    <w:rsid w:val="383BF87C"/>
    <w:rsid w:val="383C74B0"/>
    <w:rsid w:val="383CDFE8"/>
    <w:rsid w:val="383CE1A2"/>
    <w:rsid w:val="383CED3C"/>
    <w:rsid w:val="383DA9C0"/>
    <w:rsid w:val="383EDB2D"/>
    <w:rsid w:val="3840683C"/>
    <w:rsid w:val="38436076"/>
    <w:rsid w:val="3843E61B"/>
    <w:rsid w:val="3844D6FC"/>
    <w:rsid w:val="3845960C"/>
    <w:rsid w:val="3846335D"/>
    <w:rsid w:val="38469853"/>
    <w:rsid w:val="3846D2CA"/>
    <w:rsid w:val="3848A678"/>
    <w:rsid w:val="384B9C64"/>
    <w:rsid w:val="384CD348"/>
    <w:rsid w:val="384E7BBE"/>
    <w:rsid w:val="384FB015"/>
    <w:rsid w:val="3850E5D9"/>
    <w:rsid w:val="3850E771"/>
    <w:rsid w:val="38529031"/>
    <w:rsid w:val="38539FCD"/>
    <w:rsid w:val="385687A6"/>
    <w:rsid w:val="38572D38"/>
    <w:rsid w:val="38586F2C"/>
    <w:rsid w:val="385F5CB4"/>
    <w:rsid w:val="3862A066"/>
    <w:rsid w:val="3863097D"/>
    <w:rsid w:val="3865337E"/>
    <w:rsid w:val="38684113"/>
    <w:rsid w:val="386966FB"/>
    <w:rsid w:val="3869E4F4"/>
    <w:rsid w:val="386ADEAC"/>
    <w:rsid w:val="386B307E"/>
    <w:rsid w:val="386B3E10"/>
    <w:rsid w:val="386C7BC0"/>
    <w:rsid w:val="386F2B3C"/>
    <w:rsid w:val="38726A67"/>
    <w:rsid w:val="38738D22"/>
    <w:rsid w:val="38739B2B"/>
    <w:rsid w:val="3874ACA5"/>
    <w:rsid w:val="387753A9"/>
    <w:rsid w:val="38779D6B"/>
    <w:rsid w:val="3878D5A9"/>
    <w:rsid w:val="38793989"/>
    <w:rsid w:val="387AE735"/>
    <w:rsid w:val="387B28FD"/>
    <w:rsid w:val="38810A5E"/>
    <w:rsid w:val="38828235"/>
    <w:rsid w:val="3882C41D"/>
    <w:rsid w:val="38846289"/>
    <w:rsid w:val="3885BEEF"/>
    <w:rsid w:val="3886574A"/>
    <w:rsid w:val="3886A414"/>
    <w:rsid w:val="388B696F"/>
    <w:rsid w:val="388C683A"/>
    <w:rsid w:val="388D7E44"/>
    <w:rsid w:val="388FE7DF"/>
    <w:rsid w:val="3891A246"/>
    <w:rsid w:val="3891B40C"/>
    <w:rsid w:val="389268FE"/>
    <w:rsid w:val="3894A18E"/>
    <w:rsid w:val="3896B7FD"/>
    <w:rsid w:val="38999635"/>
    <w:rsid w:val="389BC8C2"/>
    <w:rsid w:val="389D509F"/>
    <w:rsid w:val="389F0E2E"/>
    <w:rsid w:val="38A1457B"/>
    <w:rsid w:val="38A31A0A"/>
    <w:rsid w:val="38A38D62"/>
    <w:rsid w:val="38A3F695"/>
    <w:rsid w:val="38A409BE"/>
    <w:rsid w:val="38A4A275"/>
    <w:rsid w:val="38A5C0F2"/>
    <w:rsid w:val="38A77AD8"/>
    <w:rsid w:val="38A78690"/>
    <w:rsid w:val="38A967FD"/>
    <w:rsid w:val="38AC06C2"/>
    <w:rsid w:val="38AC3BBF"/>
    <w:rsid w:val="38AE411C"/>
    <w:rsid w:val="38AF8932"/>
    <w:rsid w:val="38B3AA48"/>
    <w:rsid w:val="38B7D3C7"/>
    <w:rsid w:val="38B91D42"/>
    <w:rsid w:val="38BD421D"/>
    <w:rsid w:val="38BE5B00"/>
    <w:rsid w:val="38C1C9B1"/>
    <w:rsid w:val="38C350D8"/>
    <w:rsid w:val="38C4B4AD"/>
    <w:rsid w:val="38C4F20A"/>
    <w:rsid w:val="38C5E5F9"/>
    <w:rsid w:val="38C65053"/>
    <w:rsid w:val="38C892B1"/>
    <w:rsid w:val="38C9AA11"/>
    <w:rsid w:val="38CAB41E"/>
    <w:rsid w:val="38CCBEF6"/>
    <w:rsid w:val="38CD4AC6"/>
    <w:rsid w:val="38CF435A"/>
    <w:rsid w:val="38CFFD5E"/>
    <w:rsid w:val="38D14E36"/>
    <w:rsid w:val="38D30488"/>
    <w:rsid w:val="38D30EEA"/>
    <w:rsid w:val="38D3CD5D"/>
    <w:rsid w:val="38D48F65"/>
    <w:rsid w:val="38D98F20"/>
    <w:rsid w:val="38DBE4A3"/>
    <w:rsid w:val="38DDC6BF"/>
    <w:rsid w:val="38DE13BF"/>
    <w:rsid w:val="38DF5D00"/>
    <w:rsid w:val="38E0FD5D"/>
    <w:rsid w:val="38E17201"/>
    <w:rsid w:val="38E374A4"/>
    <w:rsid w:val="38EB6CEE"/>
    <w:rsid w:val="38EC9EAC"/>
    <w:rsid w:val="38ED2DF2"/>
    <w:rsid w:val="38ED560E"/>
    <w:rsid w:val="38EE50B4"/>
    <w:rsid w:val="38EE7D41"/>
    <w:rsid w:val="38EF89ED"/>
    <w:rsid w:val="38F3264E"/>
    <w:rsid w:val="38F4874C"/>
    <w:rsid w:val="38F4EE2E"/>
    <w:rsid w:val="38F9228B"/>
    <w:rsid w:val="38F944EF"/>
    <w:rsid w:val="38FA1AE9"/>
    <w:rsid w:val="38FB5044"/>
    <w:rsid w:val="38FC07E4"/>
    <w:rsid w:val="39027E82"/>
    <w:rsid w:val="3908BF29"/>
    <w:rsid w:val="390C4496"/>
    <w:rsid w:val="390D5874"/>
    <w:rsid w:val="39105501"/>
    <w:rsid w:val="391280D1"/>
    <w:rsid w:val="39145E82"/>
    <w:rsid w:val="3916A680"/>
    <w:rsid w:val="391717F2"/>
    <w:rsid w:val="391A1642"/>
    <w:rsid w:val="391DAA32"/>
    <w:rsid w:val="39229A2A"/>
    <w:rsid w:val="39268292"/>
    <w:rsid w:val="392823D7"/>
    <w:rsid w:val="39292DF4"/>
    <w:rsid w:val="3929C514"/>
    <w:rsid w:val="3929F6C9"/>
    <w:rsid w:val="392A3373"/>
    <w:rsid w:val="392E37C3"/>
    <w:rsid w:val="392E5D14"/>
    <w:rsid w:val="392E88F4"/>
    <w:rsid w:val="392F4C30"/>
    <w:rsid w:val="3932FAAD"/>
    <w:rsid w:val="3933B63F"/>
    <w:rsid w:val="3935EF42"/>
    <w:rsid w:val="39373721"/>
    <w:rsid w:val="393B33EB"/>
    <w:rsid w:val="39403E8E"/>
    <w:rsid w:val="394209EC"/>
    <w:rsid w:val="39432A58"/>
    <w:rsid w:val="39447CC1"/>
    <w:rsid w:val="39486BEE"/>
    <w:rsid w:val="39487A49"/>
    <w:rsid w:val="394D1AC2"/>
    <w:rsid w:val="394E3D32"/>
    <w:rsid w:val="394EAA2D"/>
    <w:rsid w:val="394FEE38"/>
    <w:rsid w:val="395225F5"/>
    <w:rsid w:val="395427C5"/>
    <w:rsid w:val="3954470C"/>
    <w:rsid w:val="3958A00D"/>
    <w:rsid w:val="395BE6C5"/>
    <w:rsid w:val="395F464D"/>
    <w:rsid w:val="396212DB"/>
    <w:rsid w:val="39626D14"/>
    <w:rsid w:val="3962886D"/>
    <w:rsid w:val="39629CF4"/>
    <w:rsid w:val="39643B18"/>
    <w:rsid w:val="3966280D"/>
    <w:rsid w:val="39668CC0"/>
    <w:rsid w:val="396711E3"/>
    <w:rsid w:val="396B129F"/>
    <w:rsid w:val="396B2401"/>
    <w:rsid w:val="396CE87B"/>
    <w:rsid w:val="396D86DB"/>
    <w:rsid w:val="396FC928"/>
    <w:rsid w:val="39714124"/>
    <w:rsid w:val="39733AB3"/>
    <w:rsid w:val="39740AED"/>
    <w:rsid w:val="397784F0"/>
    <w:rsid w:val="39782A66"/>
    <w:rsid w:val="397A6A61"/>
    <w:rsid w:val="397A746E"/>
    <w:rsid w:val="397B3FE5"/>
    <w:rsid w:val="3980EEB6"/>
    <w:rsid w:val="39827233"/>
    <w:rsid w:val="39832073"/>
    <w:rsid w:val="39856257"/>
    <w:rsid w:val="398574DB"/>
    <w:rsid w:val="3986BD34"/>
    <w:rsid w:val="39875895"/>
    <w:rsid w:val="3988F8CD"/>
    <w:rsid w:val="3989158F"/>
    <w:rsid w:val="398A09EF"/>
    <w:rsid w:val="398A0F02"/>
    <w:rsid w:val="398E4E3F"/>
    <w:rsid w:val="398E645F"/>
    <w:rsid w:val="398F0480"/>
    <w:rsid w:val="39911F1C"/>
    <w:rsid w:val="39930715"/>
    <w:rsid w:val="39975C31"/>
    <w:rsid w:val="3997ECD0"/>
    <w:rsid w:val="39983EDF"/>
    <w:rsid w:val="3999A209"/>
    <w:rsid w:val="3999F481"/>
    <w:rsid w:val="399A0A1F"/>
    <w:rsid w:val="399BBE96"/>
    <w:rsid w:val="399C1787"/>
    <w:rsid w:val="399D6354"/>
    <w:rsid w:val="399D87AA"/>
    <w:rsid w:val="399E19E3"/>
    <w:rsid w:val="39A12693"/>
    <w:rsid w:val="39A2347C"/>
    <w:rsid w:val="39A241CE"/>
    <w:rsid w:val="39A2783A"/>
    <w:rsid w:val="39A33C68"/>
    <w:rsid w:val="39A3788B"/>
    <w:rsid w:val="39A40057"/>
    <w:rsid w:val="39A77838"/>
    <w:rsid w:val="39A7FA92"/>
    <w:rsid w:val="39A965D2"/>
    <w:rsid w:val="39ABF208"/>
    <w:rsid w:val="39AC227A"/>
    <w:rsid w:val="39AD7E2B"/>
    <w:rsid w:val="39AECE4E"/>
    <w:rsid w:val="39AF3008"/>
    <w:rsid w:val="39B031D4"/>
    <w:rsid w:val="39B0E659"/>
    <w:rsid w:val="39B241E2"/>
    <w:rsid w:val="39B2AD3A"/>
    <w:rsid w:val="39B2C6C7"/>
    <w:rsid w:val="39B459FC"/>
    <w:rsid w:val="39B47A96"/>
    <w:rsid w:val="39B6EC31"/>
    <w:rsid w:val="39B87344"/>
    <w:rsid w:val="39B9B0BA"/>
    <w:rsid w:val="39B9CAE9"/>
    <w:rsid w:val="39BE38EE"/>
    <w:rsid w:val="39BEECF5"/>
    <w:rsid w:val="39BF5C95"/>
    <w:rsid w:val="39BFB131"/>
    <w:rsid w:val="39C30FCF"/>
    <w:rsid w:val="39C3215B"/>
    <w:rsid w:val="39C7FC52"/>
    <w:rsid w:val="39C8272E"/>
    <w:rsid w:val="39C889D9"/>
    <w:rsid w:val="39C954CF"/>
    <w:rsid w:val="39CC7E5F"/>
    <w:rsid w:val="39CF5EEF"/>
    <w:rsid w:val="39D0BCBD"/>
    <w:rsid w:val="39D1747F"/>
    <w:rsid w:val="39D626A1"/>
    <w:rsid w:val="39D8D205"/>
    <w:rsid w:val="39D99656"/>
    <w:rsid w:val="39DC1AA4"/>
    <w:rsid w:val="39DD3781"/>
    <w:rsid w:val="39DE2860"/>
    <w:rsid w:val="39DF057C"/>
    <w:rsid w:val="39E057B6"/>
    <w:rsid w:val="39E0B891"/>
    <w:rsid w:val="39E1DDFF"/>
    <w:rsid w:val="39E25E58"/>
    <w:rsid w:val="39E6CD83"/>
    <w:rsid w:val="39E8EEDB"/>
    <w:rsid w:val="39EC8FA2"/>
    <w:rsid w:val="39ED7C65"/>
    <w:rsid w:val="39EFA5A4"/>
    <w:rsid w:val="39F11B82"/>
    <w:rsid w:val="39F15A44"/>
    <w:rsid w:val="39F16709"/>
    <w:rsid w:val="39F34592"/>
    <w:rsid w:val="39F5248A"/>
    <w:rsid w:val="39F64B2B"/>
    <w:rsid w:val="39F6A626"/>
    <w:rsid w:val="39F75DC5"/>
    <w:rsid w:val="39F863B4"/>
    <w:rsid w:val="39F9252D"/>
    <w:rsid w:val="39FBA6D7"/>
    <w:rsid w:val="39FD6CFC"/>
    <w:rsid w:val="39FD9B0B"/>
    <w:rsid w:val="3A004F81"/>
    <w:rsid w:val="3A01EE96"/>
    <w:rsid w:val="3A0353FF"/>
    <w:rsid w:val="3A043F1B"/>
    <w:rsid w:val="3A04819F"/>
    <w:rsid w:val="3A06CB80"/>
    <w:rsid w:val="3A07AE1B"/>
    <w:rsid w:val="3A0997BB"/>
    <w:rsid w:val="3A0C1D49"/>
    <w:rsid w:val="3A0CE22D"/>
    <w:rsid w:val="3A0DA8A0"/>
    <w:rsid w:val="3A0E4747"/>
    <w:rsid w:val="3A139F32"/>
    <w:rsid w:val="3A198520"/>
    <w:rsid w:val="3A1AAE7B"/>
    <w:rsid w:val="3A1BB0FD"/>
    <w:rsid w:val="3A1C42BC"/>
    <w:rsid w:val="3A2143D9"/>
    <w:rsid w:val="3A21E821"/>
    <w:rsid w:val="3A227475"/>
    <w:rsid w:val="3A23F8A7"/>
    <w:rsid w:val="3A2437D2"/>
    <w:rsid w:val="3A245F9A"/>
    <w:rsid w:val="3A250F4C"/>
    <w:rsid w:val="3A28B022"/>
    <w:rsid w:val="3A29444C"/>
    <w:rsid w:val="3A297364"/>
    <w:rsid w:val="3A29A98A"/>
    <w:rsid w:val="3A29EEB2"/>
    <w:rsid w:val="3A2B0163"/>
    <w:rsid w:val="3A2B8C29"/>
    <w:rsid w:val="3A2F30D2"/>
    <w:rsid w:val="3A2FABB4"/>
    <w:rsid w:val="3A321D07"/>
    <w:rsid w:val="3A32C89F"/>
    <w:rsid w:val="3A331E06"/>
    <w:rsid w:val="3A36001B"/>
    <w:rsid w:val="3A365D71"/>
    <w:rsid w:val="3A38F882"/>
    <w:rsid w:val="3A3926DE"/>
    <w:rsid w:val="3A3C4B73"/>
    <w:rsid w:val="3A40C2BD"/>
    <w:rsid w:val="3A418086"/>
    <w:rsid w:val="3A42EF30"/>
    <w:rsid w:val="3A48109C"/>
    <w:rsid w:val="3A48EB43"/>
    <w:rsid w:val="3A49112D"/>
    <w:rsid w:val="3A4BAEF2"/>
    <w:rsid w:val="3A4D7AFF"/>
    <w:rsid w:val="3A4DBC94"/>
    <w:rsid w:val="3A50BA69"/>
    <w:rsid w:val="3A50FC4F"/>
    <w:rsid w:val="3A51512F"/>
    <w:rsid w:val="3A53720A"/>
    <w:rsid w:val="3A53ED78"/>
    <w:rsid w:val="3A5611EA"/>
    <w:rsid w:val="3A572D04"/>
    <w:rsid w:val="3A57D707"/>
    <w:rsid w:val="3A58181F"/>
    <w:rsid w:val="3A5853D8"/>
    <w:rsid w:val="3A5B4740"/>
    <w:rsid w:val="3A5D24A7"/>
    <w:rsid w:val="3A600DC1"/>
    <w:rsid w:val="3A61220A"/>
    <w:rsid w:val="3A620DA1"/>
    <w:rsid w:val="3A649E07"/>
    <w:rsid w:val="3A665CEF"/>
    <w:rsid w:val="3A67853F"/>
    <w:rsid w:val="3A699917"/>
    <w:rsid w:val="3A6A59D2"/>
    <w:rsid w:val="3A6EB229"/>
    <w:rsid w:val="3A6F68C3"/>
    <w:rsid w:val="3A6FC506"/>
    <w:rsid w:val="3A710114"/>
    <w:rsid w:val="3A72238E"/>
    <w:rsid w:val="3A734794"/>
    <w:rsid w:val="3A74EE6F"/>
    <w:rsid w:val="3A7E78FC"/>
    <w:rsid w:val="3A7E9FFA"/>
    <w:rsid w:val="3A7FB768"/>
    <w:rsid w:val="3A802998"/>
    <w:rsid w:val="3A81DCEB"/>
    <w:rsid w:val="3A82BF81"/>
    <w:rsid w:val="3A8325C2"/>
    <w:rsid w:val="3A84162D"/>
    <w:rsid w:val="3A870DA4"/>
    <w:rsid w:val="3A882923"/>
    <w:rsid w:val="3A8A4D74"/>
    <w:rsid w:val="3A8DDDC4"/>
    <w:rsid w:val="3A98A916"/>
    <w:rsid w:val="3A98E16A"/>
    <w:rsid w:val="3A993E1F"/>
    <w:rsid w:val="3A9A2A4E"/>
    <w:rsid w:val="3A9A647D"/>
    <w:rsid w:val="3A9DF28E"/>
    <w:rsid w:val="3A9E3E4F"/>
    <w:rsid w:val="3A9F8471"/>
    <w:rsid w:val="3A9F92CD"/>
    <w:rsid w:val="3AA09B40"/>
    <w:rsid w:val="3AA0DD07"/>
    <w:rsid w:val="3AA0FA6B"/>
    <w:rsid w:val="3AA169E2"/>
    <w:rsid w:val="3AA61600"/>
    <w:rsid w:val="3AA63294"/>
    <w:rsid w:val="3AA7999D"/>
    <w:rsid w:val="3AA7AC40"/>
    <w:rsid w:val="3AA7C6EE"/>
    <w:rsid w:val="3AACA5D7"/>
    <w:rsid w:val="3AACC3A3"/>
    <w:rsid w:val="3AACFE55"/>
    <w:rsid w:val="3AAD3C4D"/>
    <w:rsid w:val="3AAD70F3"/>
    <w:rsid w:val="3AAE748B"/>
    <w:rsid w:val="3AB20D8C"/>
    <w:rsid w:val="3AB22011"/>
    <w:rsid w:val="3AB362B5"/>
    <w:rsid w:val="3AB5B71D"/>
    <w:rsid w:val="3AB5F377"/>
    <w:rsid w:val="3AB6A8CA"/>
    <w:rsid w:val="3ABB49CF"/>
    <w:rsid w:val="3ABBB562"/>
    <w:rsid w:val="3ABE3072"/>
    <w:rsid w:val="3ABE8857"/>
    <w:rsid w:val="3ABFC711"/>
    <w:rsid w:val="3AC103B2"/>
    <w:rsid w:val="3AC1D167"/>
    <w:rsid w:val="3AC1DCC2"/>
    <w:rsid w:val="3AC292AE"/>
    <w:rsid w:val="3AC2B792"/>
    <w:rsid w:val="3AC5C20E"/>
    <w:rsid w:val="3AC6128C"/>
    <w:rsid w:val="3AC752BC"/>
    <w:rsid w:val="3AC7AA17"/>
    <w:rsid w:val="3AC80DBB"/>
    <w:rsid w:val="3AC8338C"/>
    <w:rsid w:val="3ACD65CB"/>
    <w:rsid w:val="3AD266A7"/>
    <w:rsid w:val="3AD322DF"/>
    <w:rsid w:val="3AD53F9C"/>
    <w:rsid w:val="3AD5E3D6"/>
    <w:rsid w:val="3AD947C1"/>
    <w:rsid w:val="3ADA60DD"/>
    <w:rsid w:val="3ADD4F7A"/>
    <w:rsid w:val="3ADE5E95"/>
    <w:rsid w:val="3AE01E15"/>
    <w:rsid w:val="3AE09335"/>
    <w:rsid w:val="3AE0D1C0"/>
    <w:rsid w:val="3AE260EE"/>
    <w:rsid w:val="3AE4204D"/>
    <w:rsid w:val="3AE7B71B"/>
    <w:rsid w:val="3AEA8D8C"/>
    <w:rsid w:val="3AEB3BE4"/>
    <w:rsid w:val="3AED8A6D"/>
    <w:rsid w:val="3AF2C99C"/>
    <w:rsid w:val="3AF556B2"/>
    <w:rsid w:val="3AF6E4E2"/>
    <w:rsid w:val="3AFA6CD6"/>
    <w:rsid w:val="3B0096B5"/>
    <w:rsid w:val="3B017499"/>
    <w:rsid w:val="3B0197EE"/>
    <w:rsid w:val="3B0BBB16"/>
    <w:rsid w:val="3B0BF4E6"/>
    <w:rsid w:val="3B121BA8"/>
    <w:rsid w:val="3B124263"/>
    <w:rsid w:val="3B128B65"/>
    <w:rsid w:val="3B1971D9"/>
    <w:rsid w:val="3B1A67C1"/>
    <w:rsid w:val="3B1CD80C"/>
    <w:rsid w:val="3B1D0946"/>
    <w:rsid w:val="3B1D7D38"/>
    <w:rsid w:val="3B1DE680"/>
    <w:rsid w:val="3B24E33B"/>
    <w:rsid w:val="3B26ACF9"/>
    <w:rsid w:val="3B281F40"/>
    <w:rsid w:val="3B285618"/>
    <w:rsid w:val="3B2CF35D"/>
    <w:rsid w:val="3B2F9BC6"/>
    <w:rsid w:val="3B312C12"/>
    <w:rsid w:val="3B3161AF"/>
    <w:rsid w:val="3B328611"/>
    <w:rsid w:val="3B32AC86"/>
    <w:rsid w:val="3B339EDC"/>
    <w:rsid w:val="3B3431A4"/>
    <w:rsid w:val="3B34ECF5"/>
    <w:rsid w:val="3B3973F2"/>
    <w:rsid w:val="3B39C29D"/>
    <w:rsid w:val="3B3AAD11"/>
    <w:rsid w:val="3B3C4628"/>
    <w:rsid w:val="3B3D66A0"/>
    <w:rsid w:val="3B3E0FD6"/>
    <w:rsid w:val="3B3E6980"/>
    <w:rsid w:val="3B3F1FA5"/>
    <w:rsid w:val="3B3F74DD"/>
    <w:rsid w:val="3B4159AF"/>
    <w:rsid w:val="3B41C6EE"/>
    <w:rsid w:val="3B427D39"/>
    <w:rsid w:val="3B441FEE"/>
    <w:rsid w:val="3B44E517"/>
    <w:rsid w:val="3B47AA91"/>
    <w:rsid w:val="3B4C46F4"/>
    <w:rsid w:val="3B4C88A5"/>
    <w:rsid w:val="3B4FB126"/>
    <w:rsid w:val="3B50600F"/>
    <w:rsid w:val="3B5236A6"/>
    <w:rsid w:val="3B52AE5E"/>
    <w:rsid w:val="3B578EC7"/>
    <w:rsid w:val="3B595EEC"/>
    <w:rsid w:val="3B5D0F2B"/>
    <w:rsid w:val="3B5ED84E"/>
    <w:rsid w:val="3B5F00F8"/>
    <w:rsid w:val="3B5F321A"/>
    <w:rsid w:val="3B5FB750"/>
    <w:rsid w:val="3B602F05"/>
    <w:rsid w:val="3B6117A7"/>
    <w:rsid w:val="3B665573"/>
    <w:rsid w:val="3B699DA0"/>
    <w:rsid w:val="3B6AC8CF"/>
    <w:rsid w:val="3B6C1FE1"/>
    <w:rsid w:val="3B6FE330"/>
    <w:rsid w:val="3B714BDC"/>
    <w:rsid w:val="3B7271D1"/>
    <w:rsid w:val="3B72F2DE"/>
    <w:rsid w:val="3B7354D0"/>
    <w:rsid w:val="3B73626E"/>
    <w:rsid w:val="3B75214F"/>
    <w:rsid w:val="3B76CBB7"/>
    <w:rsid w:val="3B76D82E"/>
    <w:rsid w:val="3B77B67F"/>
    <w:rsid w:val="3B795154"/>
    <w:rsid w:val="3B7963DF"/>
    <w:rsid w:val="3B7B5122"/>
    <w:rsid w:val="3B7E1D01"/>
    <w:rsid w:val="3B7F27E9"/>
    <w:rsid w:val="3B849166"/>
    <w:rsid w:val="3B855497"/>
    <w:rsid w:val="3B87074B"/>
    <w:rsid w:val="3B87C06E"/>
    <w:rsid w:val="3B89DC86"/>
    <w:rsid w:val="3B89DF8A"/>
    <w:rsid w:val="3B8B21EC"/>
    <w:rsid w:val="3B8C1170"/>
    <w:rsid w:val="3B8E0977"/>
    <w:rsid w:val="3B8F9A1A"/>
    <w:rsid w:val="3B90A9AA"/>
    <w:rsid w:val="3B923E14"/>
    <w:rsid w:val="3B92AD75"/>
    <w:rsid w:val="3B93B892"/>
    <w:rsid w:val="3B95528D"/>
    <w:rsid w:val="3B956C36"/>
    <w:rsid w:val="3B9995AF"/>
    <w:rsid w:val="3B99EA69"/>
    <w:rsid w:val="3B9A9DB0"/>
    <w:rsid w:val="3B9CA90B"/>
    <w:rsid w:val="3B9CF10C"/>
    <w:rsid w:val="3B9D984C"/>
    <w:rsid w:val="3B9DFE5F"/>
    <w:rsid w:val="3BA0ADA9"/>
    <w:rsid w:val="3BA55855"/>
    <w:rsid w:val="3BA5D824"/>
    <w:rsid w:val="3BA85161"/>
    <w:rsid w:val="3BABF713"/>
    <w:rsid w:val="3BACF73D"/>
    <w:rsid w:val="3BADDCC8"/>
    <w:rsid w:val="3BB477A6"/>
    <w:rsid w:val="3BB49219"/>
    <w:rsid w:val="3BB60FCB"/>
    <w:rsid w:val="3BB6AA18"/>
    <w:rsid w:val="3BB6F800"/>
    <w:rsid w:val="3BB70265"/>
    <w:rsid w:val="3BB728BB"/>
    <w:rsid w:val="3BB7405D"/>
    <w:rsid w:val="3BB86AED"/>
    <w:rsid w:val="3BB873F0"/>
    <w:rsid w:val="3BBA0D88"/>
    <w:rsid w:val="3BBD33D3"/>
    <w:rsid w:val="3BC1C492"/>
    <w:rsid w:val="3BC21502"/>
    <w:rsid w:val="3BC4ADE2"/>
    <w:rsid w:val="3BC73EB6"/>
    <w:rsid w:val="3BC83FE8"/>
    <w:rsid w:val="3BCA5136"/>
    <w:rsid w:val="3BCBE65C"/>
    <w:rsid w:val="3BCC8694"/>
    <w:rsid w:val="3BD02CBC"/>
    <w:rsid w:val="3BD23AD0"/>
    <w:rsid w:val="3BD5ED4A"/>
    <w:rsid w:val="3BD684CB"/>
    <w:rsid w:val="3BDD71E6"/>
    <w:rsid w:val="3BDFE358"/>
    <w:rsid w:val="3BE8598C"/>
    <w:rsid w:val="3BECCC00"/>
    <w:rsid w:val="3BF4B00D"/>
    <w:rsid w:val="3BF86A38"/>
    <w:rsid w:val="3BF9206A"/>
    <w:rsid w:val="3BFAC5FE"/>
    <w:rsid w:val="3BFAE7DF"/>
    <w:rsid w:val="3BFD1814"/>
    <w:rsid w:val="3BFE5A59"/>
    <w:rsid w:val="3BFECE3E"/>
    <w:rsid w:val="3C02E6A3"/>
    <w:rsid w:val="3C042BAF"/>
    <w:rsid w:val="3C0584EE"/>
    <w:rsid w:val="3C06FE1E"/>
    <w:rsid w:val="3C0728F5"/>
    <w:rsid w:val="3C086E0E"/>
    <w:rsid w:val="3C0BA8ED"/>
    <w:rsid w:val="3C0CC727"/>
    <w:rsid w:val="3C110033"/>
    <w:rsid w:val="3C1175D8"/>
    <w:rsid w:val="3C1411F5"/>
    <w:rsid w:val="3C142ADA"/>
    <w:rsid w:val="3C143308"/>
    <w:rsid w:val="3C143B38"/>
    <w:rsid w:val="3C168160"/>
    <w:rsid w:val="3C1AEA77"/>
    <w:rsid w:val="3C1B37A5"/>
    <w:rsid w:val="3C1B4F05"/>
    <w:rsid w:val="3C22ED85"/>
    <w:rsid w:val="3C249960"/>
    <w:rsid w:val="3C256A95"/>
    <w:rsid w:val="3C26ADC7"/>
    <w:rsid w:val="3C2A3AA8"/>
    <w:rsid w:val="3C2C290C"/>
    <w:rsid w:val="3C2D92D2"/>
    <w:rsid w:val="3C2DBFC0"/>
    <w:rsid w:val="3C2FA7EA"/>
    <w:rsid w:val="3C2FE5E5"/>
    <w:rsid w:val="3C309A2D"/>
    <w:rsid w:val="3C35E5E6"/>
    <w:rsid w:val="3C387C7F"/>
    <w:rsid w:val="3C3A231D"/>
    <w:rsid w:val="3C3AAE06"/>
    <w:rsid w:val="3C3ACEA8"/>
    <w:rsid w:val="3C3BE775"/>
    <w:rsid w:val="3C3ECC08"/>
    <w:rsid w:val="3C4131E8"/>
    <w:rsid w:val="3C41C180"/>
    <w:rsid w:val="3C428D88"/>
    <w:rsid w:val="3C436B7E"/>
    <w:rsid w:val="3C447042"/>
    <w:rsid w:val="3C45EA7C"/>
    <w:rsid w:val="3C46DE95"/>
    <w:rsid w:val="3C496650"/>
    <w:rsid w:val="3C4AC425"/>
    <w:rsid w:val="3C4C36D3"/>
    <w:rsid w:val="3C547D22"/>
    <w:rsid w:val="3C567B69"/>
    <w:rsid w:val="3C5847D3"/>
    <w:rsid w:val="3C5A55C5"/>
    <w:rsid w:val="3C5DE5C1"/>
    <w:rsid w:val="3C5F987B"/>
    <w:rsid w:val="3C614D23"/>
    <w:rsid w:val="3C6307BC"/>
    <w:rsid w:val="3C64F356"/>
    <w:rsid w:val="3C65A33E"/>
    <w:rsid w:val="3C669FAA"/>
    <w:rsid w:val="3C677BAA"/>
    <w:rsid w:val="3C678253"/>
    <w:rsid w:val="3C6846AF"/>
    <w:rsid w:val="3C6867CA"/>
    <w:rsid w:val="3C69173E"/>
    <w:rsid w:val="3C6B09D1"/>
    <w:rsid w:val="3C6BE074"/>
    <w:rsid w:val="3C6CD54F"/>
    <w:rsid w:val="3C6D4E2B"/>
    <w:rsid w:val="3C6E8EEB"/>
    <w:rsid w:val="3C6E9BA8"/>
    <w:rsid w:val="3C6EB26D"/>
    <w:rsid w:val="3C6EF6B1"/>
    <w:rsid w:val="3C6F18FB"/>
    <w:rsid w:val="3C75164A"/>
    <w:rsid w:val="3C754ACB"/>
    <w:rsid w:val="3C76614B"/>
    <w:rsid w:val="3C76E1F9"/>
    <w:rsid w:val="3C79EDE9"/>
    <w:rsid w:val="3C7BA03A"/>
    <w:rsid w:val="3C7BAE7F"/>
    <w:rsid w:val="3C845C7A"/>
    <w:rsid w:val="3C853C23"/>
    <w:rsid w:val="3C8557C4"/>
    <w:rsid w:val="3C85647C"/>
    <w:rsid w:val="3C888CFD"/>
    <w:rsid w:val="3C88ECA4"/>
    <w:rsid w:val="3C8E31EF"/>
    <w:rsid w:val="3C8E9AEC"/>
    <w:rsid w:val="3C950E6F"/>
    <w:rsid w:val="3C953D1F"/>
    <w:rsid w:val="3C996F1A"/>
    <w:rsid w:val="3C9F71D8"/>
    <w:rsid w:val="3C9FB86C"/>
    <w:rsid w:val="3CA32A7C"/>
    <w:rsid w:val="3CA35BB1"/>
    <w:rsid w:val="3CA5392D"/>
    <w:rsid w:val="3CA5F19A"/>
    <w:rsid w:val="3CA8E600"/>
    <w:rsid w:val="3CAB82C8"/>
    <w:rsid w:val="3CABAA06"/>
    <w:rsid w:val="3CAC5910"/>
    <w:rsid w:val="3CAC838A"/>
    <w:rsid w:val="3CB22BCA"/>
    <w:rsid w:val="3CB3BABB"/>
    <w:rsid w:val="3CB56455"/>
    <w:rsid w:val="3CB8A86D"/>
    <w:rsid w:val="3CB9CA68"/>
    <w:rsid w:val="3CBA4045"/>
    <w:rsid w:val="3CBACE0B"/>
    <w:rsid w:val="3CBC7CB1"/>
    <w:rsid w:val="3CBD7785"/>
    <w:rsid w:val="3CBDB6F0"/>
    <w:rsid w:val="3CBE5DB7"/>
    <w:rsid w:val="3CC09836"/>
    <w:rsid w:val="3CC1B381"/>
    <w:rsid w:val="3CC1E854"/>
    <w:rsid w:val="3CC312BA"/>
    <w:rsid w:val="3CC31732"/>
    <w:rsid w:val="3CC46F4E"/>
    <w:rsid w:val="3CC86DCF"/>
    <w:rsid w:val="3CC8DB63"/>
    <w:rsid w:val="3CCBEC1B"/>
    <w:rsid w:val="3CCC22EE"/>
    <w:rsid w:val="3CCC4E5D"/>
    <w:rsid w:val="3CCC76D4"/>
    <w:rsid w:val="3CCCA051"/>
    <w:rsid w:val="3CCDBC9F"/>
    <w:rsid w:val="3CCF4733"/>
    <w:rsid w:val="3CD1C733"/>
    <w:rsid w:val="3CD24142"/>
    <w:rsid w:val="3CD26159"/>
    <w:rsid w:val="3CD37D20"/>
    <w:rsid w:val="3CD53473"/>
    <w:rsid w:val="3CD6F871"/>
    <w:rsid w:val="3CD7091E"/>
    <w:rsid w:val="3CD9BA06"/>
    <w:rsid w:val="3CDB0057"/>
    <w:rsid w:val="3CDB144B"/>
    <w:rsid w:val="3CDBEC69"/>
    <w:rsid w:val="3CE0443E"/>
    <w:rsid w:val="3CE07E87"/>
    <w:rsid w:val="3CE10694"/>
    <w:rsid w:val="3CE13FD5"/>
    <w:rsid w:val="3CE2A97D"/>
    <w:rsid w:val="3CE3B338"/>
    <w:rsid w:val="3CE61C48"/>
    <w:rsid w:val="3CE9D039"/>
    <w:rsid w:val="3CEB2A1B"/>
    <w:rsid w:val="3CEB2FE0"/>
    <w:rsid w:val="3CEC8D3C"/>
    <w:rsid w:val="3CEDF2AA"/>
    <w:rsid w:val="3CEF866A"/>
    <w:rsid w:val="3CEFC848"/>
    <w:rsid w:val="3CF16DCA"/>
    <w:rsid w:val="3CF627B8"/>
    <w:rsid w:val="3CF785D6"/>
    <w:rsid w:val="3CF8FFA5"/>
    <w:rsid w:val="3CFF2386"/>
    <w:rsid w:val="3D0035AA"/>
    <w:rsid w:val="3D00FE9B"/>
    <w:rsid w:val="3D032637"/>
    <w:rsid w:val="3D06082D"/>
    <w:rsid w:val="3D084BC8"/>
    <w:rsid w:val="3D084BD5"/>
    <w:rsid w:val="3D0FF04E"/>
    <w:rsid w:val="3D0FF04F"/>
    <w:rsid w:val="3D12D7B3"/>
    <w:rsid w:val="3D12ED60"/>
    <w:rsid w:val="3D16C691"/>
    <w:rsid w:val="3D194ABE"/>
    <w:rsid w:val="3D1999AE"/>
    <w:rsid w:val="3D1AAF59"/>
    <w:rsid w:val="3D1AD21C"/>
    <w:rsid w:val="3D1BA04D"/>
    <w:rsid w:val="3D1EC56F"/>
    <w:rsid w:val="3D219DC8"/>
    <w:rsid w:val="3D250410"/>
    <w:rsid w:val="3D27D037"/>
    <w:rsid w:val="3D2AFE2D"/>
    <w:rsid w:val="3D2B4EC5"/>
    <w:rsid w:val="3D2CCA62"/>
    <w:rsid w:val="3D2CD4D9"/>
    <w:rsid w:val="3D2E05D1"/>
    <w:rsid w:val="3D2E819E"/>
    <w:rsid w:val="3D2F8E8E"/>
    <w:rsid w:val="3D308064"/>
    <w:rsid w:val="3D3171B2"/>
    <w:rsid w:val="3D31FD19"/>
    <w:rsid w:val="3D35395C"/>
    <w:rsid w:val="3D35794F"/>
    <w:rsid w:val="3D39108D"/>
    <w:rsid w:val="3D399936"/>
    <w:rsid w:val="3D3CCF58"/>
    <w:rsid w:val="3D3E2257"/>
    <w:rsid w:val="3D3F2DAB"/>
    <w:rsid w:val="3D411423"/>
    <w:rsid w:val="3D427A39"/>
    <w:rsid w:val="3D443CBE"/>
    <w:rsid w:val="3D45870E"/>
    <w:rsid w:val="3D4749B0"/>
    <w:rsid w:val="3D4A820D"/>
    <w:rsid w:val="3D4A9EEE"/>
    <w:rsid w:val="3D4AD231"/>
    <w:rsid w:val="3D4CBE36"/>
    <w:rsid w:val="3D5148D9"/>
    <w:rsid w:val="3D53111B"/>
    <w:rsid w:val="3D53139F"/>
    <w:rsid w:val="3D53FD39"/>
    <w:rsid w:val="3D54BD21"/>
    <w:rsid w:val="3D5629F7"/>
    <w:rsid w:val="3D56FA77"/>
    <w:rsid w:val="3D574FFE"/>
    <w:rsid w:val="3D5C71DE"/>
    <w:rsid w:val="3D5C82B4"/>
    <w:rsid w:val="3D60739E"/>
    <w:rsid w:val="3D611608"/>
    <w:rsid w:val="3D6347FA"/>
    <w:rsid w:val="3D63C4DC"/>
    <w:rsid w:val="3D6538B6"/>
    <w:rsid w:val="3D656146"/>
    <w:rsid w:val="3D656F9F"/>
    <w:rsid w:val="3D67315D"/>
    <w:rsid w:val="3D67A6A3"/>
    <w:rsid w:val="3D693D96"/>
    <w:rsid w:val="3D6A0683"/>
    <w:rsid w:val="3D6A1CA1"/>
    <w:rsid w:val="3D6DA5D5"/>
    <w:rsid w:val="3D6E5201"/>
    <w:rsid w:val="3D6ED461"/>
    <w:rsid w:val="3D6FA6FB"/>
    <w:rsid w:val="3D6FE1C5"/>
    <w:rsid w:val="3D7014FA"/>
    <w:rsid w:val="3D7155B9"/>
    <w:rsid w:val="3D71BE7F"/>
    <w:rsid w:val="3D751B1D"/>
    <w:rsid w:val="3D7793E9"/>
    <w:rsid w:val="3D7826F9"/>
    <w:rsid w:val="3D783FD4"/>
    <w:rsid w:val="3D785AF7"/>
    <w:rsid w:val="3D7B40F5"/>
    <w:rsid w:val="3D7DD859"/>
    <w:rsid w:val="3D7F45A2"/>
    <w:rsid w:val="3D7FA497"/>
    <w:rsid w:val="3D809F71"/>
    <w:rsid w:val="3D81E69D"/>
    <w:rsid w:val="3D823103"/>
    <w:rsid w:val="3D836F59"/>
    <w:rsid w:val="3D842692"/>
    <w:rsid w:val="3D8513D4"/>
    <w:rsid w:val="3D87C145"/>
    <w:rsid w:val="3D8882D4"/>
    <w:rsid w:val="3D88E45E"/>
    <w:rsid w:val="3D892E1C"/>
    <w:rsid w:val="3D8CE053"/>
    <w:rsid w:val="3D901B3D"/>
    <w:rsid w:val="3D9056D1"/>
    <w:rsid w:val="3D90EE3B"/>
    <w:rsid w:val="3D91D65F"/>
    <w:rsid w:val="3D93D8FF"/>
    <w:rsid w:val="3D944472"/>
    <w:rsid w:val="3D9457D5"/>
    <w:rsid w:val="3D946761"/>
    <w:rsid w:val="3D94BF9B"/>
    <w:rsid w:val="3D95FB5C"/>
    <w:rsid w:val="3D9695A7"/>
    <w:rsid w:val="3D9D7E99"/>
    <w:rsid w:val="3D9E5D83"/>
    <w:rsid w:val="3D9EF941"/>
    <w:rsid w:val="3D9F58B9"/>
    <w:rsid w:val="3D9F6CF9"/>
    <w:rsid w:val="3DA064EF"/>
    <w:rsid w:val="3DA22D0D"/>
    <w:rsid w:val="3DA2D864"/>
    <w:rsid w:val="3DA37918"/>
    <w:rsid w:val="3DA51F33"/>
    <w:rsid w:val="3DA9CC26"/>
    <w:rsid w:val="3DABDFF4"/>
    <w:rsid w:val="3DAD2602"/>
    <w:rsid w:val="3DADE9C2"/>
    <w:rsid w:val="3DAFC6A3"/>
    <w:rsid w:val="3DB0B9C8"/>
    <w:rsid w:val="3DB19AD0"/>
    <w:rsid w:val="3DB27761"/>
    <w:rsid w:val="3DB43176"/>
    <w:rsid w:val="3DB58D45"/>
    <w:rsid w:val="3DB79F25"/>
    <w:rsid w:val="3DB86FD7"/>
    <w:rsid w:val="3DB93264"/>
    <w:rsid w:val="3DB9A34D"/>
    <w:rsid w:val="3DBCF25C"/>
    <w:rsid w:val="3DBDD87B"/>
    <w:rsid w:val="3DC050FA"/>
    <w:rsid w:val="3DC0AF16"/>
    <w:rsid w:val="3DC0F9A1"/>
    <w:rsid w:val="3DC1A03C"/>
    <w:rsid w:val="3DC6E4A4"/>
    <w:rsid w:val="3DC9185F"/>
    <w:rsid w:val="3DC9BDD6"/>
    <w:rsid w:val="3DCA4AFF"/>
    <w:rsid w:val="3DCBCFDC"/>
    <w:rsid w:val="3DCC2FA5"/>
    <w:rsid w:val="3DCCD15A"/>
    <w:rsid w:val="3DCE1EF2"/>
    <w:rsid w:val="3DCF60F3"/>
    <w:rsid w:val="3DCF6866"/>
    <w:rsid w:val="3DCF8348"/>
    <w:rsid w:val="3DCF9BFD"/>
    <w:rsid w:val="3DD07FB2"/>
    <w:rsid w:val="3DD0908E"/>
    <w:rsid w:val="3DD0A978"/>
    <w:rsid w:val="3DD0F3AD"/>
    <w:rsid w:val="3DD122D6"/>
    <w:rsid w:val="3DD1AFB0"/>
    <w:rsid w:val="3DD20149"/>
    <w:rsid w:val="3DD30CB5"/>
    <w:rsid w:val="3DD384D2"/>
    <w:rsid w:val="3DD4F2DF"/>
    <w:rsid w:val="3DD65691"/>
    <w:rsid w:val="3DD667B8"/>
    <w:rsid w:val="3DD719D0"/>
    <w:rsid w:val="3DD902D3"/>
    <w:rsid w:val="3DDB85E3"/>
    <w:rsid w:val="3DDDE5F8"/>
    <w:rsid w:val="3DDF163F"/>
    <w:rsid w:val="3DE30A71"/>
    <w:rsid w:val="3DE33EAC"/>
    <w:rsid w:val="3DE5D7EF"/>
    <w:rsid w:val="3DE77B59"/>
    <w:rsid w:val="3DEAE833"/>
    <w:rsid w:val="3DF136EF"/>
    <w:rsid w:val="3DF30101"/>
    <w:rsid w:val="3DF3A62D"/>
    <w:rsid w:val="3DF5FC57"/>
    <w:rsid w:val="3DF619DA"/>
    <w:rsid w:val="3DFA0F4F"/>
    <w:rsid w:val="3DFE0079"/>
    <w:rsid w:val="3E018D9B"/>
    <w:rsid w:val="3E04654A"/>
    <w:rsid w:val="3E069000"/>
    <w:rsid w:val="3E07CC58"/>
    <w:rsid w:val="3E097180"/>
    <w:rsid w:val="3E0A102B"/>
    <w:rsid w:val="3E0F5BC9"/>
    <w:rsid w:val="3E107A0E"/>
    <w:rsid w:val="3E12136A"/>
    <w:rsid w:val="3E138413"/>
    <w:rsid w:val="3E139247"/>
    <w:rsid w:val="3E13B546"/>
    <w:rsid w:val="3E13EA3E"/>
    <w:rsid w:val="3E198787"/>
    <w:rsid w:val="3E1B8229"/>
    <w:rsid w:val="3E1D0FF1"/>
    <w:rsid w:val="3E1D3AAD"/>
    <w:rsid w:val="3E1DCBE5"/>
    <w:rsid w:val="3E1E5018"/>
    <w:rsid w:val="3E1F1D6B"/>
    <w:rsid w:val="3E214E1D"/>
    <w:rsid w:val="3E22083F"/>
    <w:rsid w:val="3E22972B"/>
    <w:rsid w:val="3E231DD6"/>
    <w:rsid w:val="3E23AF2A"/>
    <w:rsid w:val="3E2553D4"/>
    <w:rsid w:val="3E266595"/>
    <w:rsid w:val="3E27A25D"/>
    <w:rsid w:val="3E285242"/>
    <w:rsid w:val="3E2CD043"/>
    <w:rsid w:val="3E2F644B"/>
    <w:rsid w:val="3E3041B9"/>
    <w:rsid w:val="3E305D2A"/>
    <w:rsid w:val="3E30F3B7"/>
    <w:rsid w:val="3E31AB6F"/>
    <w:rsid w:val="3E32372A"/>
    <w:rsid w:val="3E335D3B"/>
    <w:rsid w:val="3E3449C4"/>
    <w:rsid w:val="3E34FEDD"/>
    <w:rsid w:val="3E3964B9"/>
    <w:rsid w:val="3E3A538D"/>
    <w:rsid w:val="3E3B48BA"/>
    <w:rsid w:val="3E3BEA06"/>
    <w:rsid w:val="3E409ADE"/>
    <w:rsid w:val="3E422AB3"/>
    <w:rsid w:val="3E440328"/>
    <w:rsid w:val="3E45DB7F"/>
    <w:rsid w:val="3E496547"/>
    <w:rsid w:val="3E4A7C61"/>
    <w:rsid w:val="3E4B86D2"/>
    <w:rsid w:val="3E4C293F"/>
    <w:rsid w:val="3E4D597B"/>
    <w:rsid w:val="3E5156A6"/>
    <w:rsid w:val="3E519DC2"/>
    <w:rsid w:val="3E51B5E3"/>
    <w:rsid w:val="3E540467"/>
    <w:rsid w:val="3E5440FF"/>
    <w:rsid w:val="3E54AB40"/>
    <w:rsid w:val="3E54D501"/>
    <w:rsid w:val="3E5775C1"/>
    <w:rsid w:val="3E594EA1"/>
    <w:rsid w:val="3E5D9D14"/>
    <w:rsid w:val="3E5DC6E1"/>
    <w:rsid w:val="3E5EA348"/>
    <w:rsid w:val="3E6079A4"/>
    <w:rsid w:val="3E613D6E"/>
    <w:rsid w:val="3E674D75"/>
    <w:rsid w:val="3E68F47E"/>
    <w:rsid w:val="3E6ABDB4"/>
    <w:rsid w:val="3E6E1E47"/>
    <w:rsid w:val="3E707655"/>
    <w:rsid w:val="3E707EFB"/>
    <w:rsid w:val="3E70F6E4"/>
    <w:rsid w:val="3E71CA89"/>
    <w:rsid w:val="3E733383"/>
    <w:rsid w:val="3E7640A8"/>
    <w:rsid w:val="3E76700B"/>
    <w:rsid w:val="3E7A5A2D"/>
    <w:rsid w:val="3E7CBCDD"/>
    <w:rsid w:val="3E7EA552"/>
    <w:rsid w:val="3E7F2E58"/>
    <w:rsid w:val="3E8220A1"/>
    <w:rsid w:val="3E8463FC"/>
    <w:rsid w:val="3E84A3B2"/>
    <w:rsid w:val="3E86200C"/>
    <w:rsid w:val="3E86E3BC"/>
    <w:rsid w:val="3E88C8E6"/>
    <w:rsid w:val="3E8987D4"/>
    <w:rsid w:val="3E8B5160"/>
    <w:rsid w:val="3E90567D"/>
    <w:rsid w:val="3E92F845"/>
    <w:rsid w:val="3E967C99"/>
    <w:rsid w:val="3E96B0CE"/>
    <w:rsid w:val="3E96C8A1"/>
    <w:rsid w:val="3E9759EE"/>
    <w:rsid w:val="3E98562F"/>
    <w:rsid w:val="3E98AB55"/>
    <w:rsid w:val="3E98B283"/>
    <w:rsid w:val="3E9A7A3C"/>
    <w:rsid w:val="3E9BFAF7"/>
    <w:rsid w:val="3EA1BF66"/>
    <w:rsid w:val="3EA4755B"/>
    <w:rsid w:val="3EA9C549"/>
    <w:rsid w:val="3EAB7111"/>
    <w:rsid w:val="3EABEEFC"/>
    <w:rsid w:val="3EAD692E"/>
    <w:rsid w:val="3EADBDBB"/>
    <w:rsid w:val="3EB1A5BE"/>
    <w:rsid w:val="3EB211BE"/>
    <w:rsid w:val="3EB2B031"/>
    <w:rsid w:val="3EB4DDBD"/>
    <w:rsid w:val="3EB691F2"/>
    <w:rsid w:val="3EB8D6A2"/>
    <w:rsid w:val="3EB8F419"/>
    <w:rsid w:val="3EBA30D0"/>
    <w:rsid w:val="3EBA8BFC"/>
    <w:rsid w:val="3EBB2D0F"/>
    <w:rsid w:val="3EBBC1BC"/>
    <w:rsid w:val="3EBBD5FE"/>
    <w:rsid w:val="3EBC855D"/>
    <w:rsid w:val="3EBC8A90"/>
    <w:rsid w:val="3EBCA236"/>
    <w:rsid w:val="3EBDD8FC"/>
    <w:rsid w:val="3EC10A00"/>
    <w:rsid w:val="3EC183E2"/>
    <w:rsid w:val="3EC27E0A"/>
    <w:rsid w:val="3EC2CDF6"/>
    <w:rsid w:val="3EC5B10F"/>
    <w:rsid w:val="3EC62A21"/>
    <w:rsid w:val="3EC8ECCF"/>
    <w:rsid w:val="3EC9640A"/>
    <w:rsid w:val="3EC9F05C"/>
    <w:rsid w:val="3ECA2AA2"/>
    <w:rsid w:val="3ECB9307"/>
    <w:rsid w:val="3ECD4FD3"/>
    <w:rsid w:val="3ECF789A"/>
    <w:rsid w:val="3ED22BD8"/>
    <w:rsid w:val="3ED31FB1"/>
    <w:rsid w:val="3ED321E2"/>
    <w:rsid w:val="3ED3818E"/>
    <w:rsid w:val="3ED39F38"/>
    <w:rsid w:val="3ED5F0D5"/>
    <w:rsid w:val="3ED6D70E"/>
    <w:rsid w:val="3ED8DDB5"/>
    <w:rsid w:val="3EDBA0E5"/>
    <w:rsid w:val="3EDC2D82"/>
    <w:rsid w:val="3EDFFD5E"/>
    <w:rsid w:val="3EE06EF6"/>
    <w:rsid w:val="3EE0867A"/>
    <w:rsid w:val="3EE1AA93"/>
    <w:rsid w:val="3EE2A455"/>
    <w:rsid w:val="3EE2D5F3"/>
    <w:rsid w:val="3EE617E4"/>
    <w:rsid w:val="3EE96C4A"/>
    <w:rsid w:val="3EEA055F"/>
    <w:rsid w:val="3EEB8467"/>
    <w:rsid w:val="3EED12ED"/>
    <w:rsid w:val="3EEE5704"/>
    <w:rsid w:val="3EF2A4C4"/>
    <w:rsid w:val="3EF53589"/>
    <w:rsid w:val="3EF5A37D"/>
    <w:rsid w:val="3EF65816"/>
    <w:rsid w:val="3EF704F4"/>
    <w:rsid w:val="3EF7BBEC"/>
    <w:rsid w:val="3EF85619"/>
    <w:rsid w:val="3EFB05E9"/>
    <w:rsid w:val="3EFC863C"/>
    <w:rsid w:val="3F009095"/>
    <w:rsid w:val="3F01CF39"/>
    <w:rsid w:val="3F025FB8"/>
    <w:rsid w:val="3F039648"/>
    <w:rsid w:val="3F03A960"/>
    <w:rsid w:val="3F04B003"/>
    <w:rsid w:val="3F0BB31E"/>
    <w:rsid w:val="3F0C1835"/>
    <w:rsid w:val="3F0D1FF1"/>
    <w:rsid w:val="3F0E0B1C"/>
    <w:rsid w:val="3F106ED4"/>
    <w:rsid w:val="3F11DF4A"/>
    <w:rsid w:val="3F14C96F"/>
    <w:rsid w:val="3F17F410"/>
    <w:rsid w:val="3F1828AC"/>
    <w:rsid w:val="3F19513D"/>
    <w:rsid w:val="3F1AC87D"/>
    <w:rsid w:val="3F1B1603"/>
    <w:rsid w:val="3F1D3DEE"/>
    <w:rsid w:val="3F1D798C"/>
    <w:rsid w:val="3F1D8A86"/>
    <w:rsid w:val="3F1F6EC2"/>
    <w:rsid w:val="3F240528"/>
    <w:rsid w:val="3F259889"/>
    <w:rsid w:val="3F26404F"/>
    <w:rsid w:val="3F27B2BE"/>
    <w:rsid w:val="3F28E34F"/>
    <w:rsid w:val="3F28FC51"/>
    <w:rsid w:val="3F2A515F"/>
    <w:rsid w:val="3F2FC5D4"/>
    <w:rsid w:val="3F332A3C"/>
    <w:rsid w:val="3F34376F"/>
    <w:rsid w:val="3F356A2D"/>
    <w:rsid w:val="3F36186E"/>
    <w:rsid w:val="3F3665D0"/>
    <w:rsid w:val="3F395D16"/>
    <w:rsid w:val="3F3A0821"/>
    <w:rsid w:val="3F3B081A"/>
    <w:rsid w:val="3F3B18B3"/>
    <w:rsid w:val="3F3BCC18"/>
    <w:rsid w:val="3F3CD2F4"/>
    <w:rsid w:val="3F3D881A"/>
    <w:rsid w:val="3F3DA97C"/>
    <w:rsid w:val="3F3DA97F"/>
    <w:rsid w:val="3F3DEAA1"/>
    <w:rsid w:val="3F4016F4"/>
    <w:rsid w:val="3F405C04"/>
    <w:rsid w:val="3F446A0F"/>
    <w:rsid w:val="3F4494A9"/>
    <w:rsid w:val="3F44F8D5"/>
    <w:rsid w:val="3F4543FA"/>
    <w:rsid w:val="3F45C271"/>
    <w:rsid w:val="3F45C8DB"/>
    <w:rsid w:val="3F4C1FB4"/>
    <w:rsid w:val="3F4C2F29"/>
    <w:rsid w:val="3F4D3879"/>
    <w:rsid w:val="3F4EA542"/>
    <w:rsid w:val="3F5244AD"/>
    <w:rsid w:val="3F53985D"/>
    <w:rsid w:val="3F53AE72"/>
    <w:rsid w:val="3F564BDF"/>
    <w:rsid w:val="3F59C045"/>
    <w:rsid w:val="3F59D69C"/>
    <w:rsid w:val="3F64EE75"/>
    <w:rsid w:val="3F658E37"/>
    <w:rsid w:val="3F6A678B"/>
    <w:rsid w:val="3F6B7074"/>
    <w:rsid w:val="3F6C068E"/>
    <w:rsid w:val="3F6D4075"/>
    <w:rsid w:val="3F6E9251"/>
    <w:rsid w:val="3F6EB890"/>
    <w:rsid w:val="3F6F80F7"/>
    <w:rsid w:val="3F6FAA7E"/>
    <w:rsid w:val="3F748A0B"/>
    <w:rsid w:val="3F751F4E"/>
    <w:rsid w:val="3F78B68D"/>
    <w:rsid w:val="3F7A397E"/>
    <w:rsid w:val="3F7A5651"/>
    <w:rsid w:val="3F7AC574"/>
    <w:rsid w:val="3F7B5D93"/>
    <w:rsid w:val="3F7D4F58"/>
    <w:rsid w:val="3F7EFCD5"/>
    <w:rsid w:val="3F7FF072"/>
    <w:rsid w:val="3F80A5F7"/>
    <w:rsid w:val="3F851C6C"/>
    <w:rsid w:val="3F868B72"/>
    <w:rsid w:val="3F891C16"/>
    <w:rsid w:val="3F8A8219"/>
    <w:rsid w:val="3F8BE7E3"/>
    <w:rsid w:val="3F8E81E9"/>
    <w:rsid w:val="3F8F203C"/>
    <w:rsid w:val="3F90554E"/>
    <w:rsid w:val="3F91080E"/>
    <w:rsid w:val="3F927D74"/>
    <w:rsid w:val="3F934142"/>
    <w:rsid w:val="3F953ABC"/>
    <w:rsid w:val="3F966684"/>
    <w:rsid w:val="3F9B3DBF"/>
    <w:rsid w:val="3F9B933D"/>
    <w:rsid w:val="3F9ECB28"/>
    <w:rsid w:val="3FA01DB1"/>
    <w:rsid w:val="3FA63B94"/>
    <w:rsid w:val="3FA9AB60"/>
    <w:rsid w:val="3FAA6098"/>
    <w:rsid w:val="3FACD041"/>
    <w:rsid w:val="3FAD767B"/>
    <w:rsid w:val="3FAD78A9"/>
    <w:rsid w:val="3FB13AE8"/>
    <w:rsid w:val="3FB44DDD"/>
    <w:rsid w:val="3FB6F81C"/>
    <w:rsid w:val="3FB7034F"/>
    <w:rsid w:val="3FB722CB"/>
    <w:rsid w:val="3FB9096F"/>
    <w:rsid w:val="3FB99904"/>
    <w:rsid w:val="3FBDF62B"/>
    <w:rsid w:val="3FBEB2B9"/>
    <w:rsid w:val="3FC06778"/>
    <w:rsid w:val="3FC0A722"/>
    <w:rsid w:val="3FC2FF7E"/>
    <w:rsid w:val="3FC49CE5"/>
    <w:rsid w:val="3FC51BBA"/>
    <w:rsid w:val="3FC6D75A"/>
    <w:rsid w:val="3FC83DBC"/>
    <w:rsid w:val="3FCBB46F"/>
    <w:rsid w:val="3FCDE8D3"/>
    <w:rsid w:val="3FD013D9"/>
    <w:rsid w:val="3FD06F15"/>
    <w:rsid w:val="3FD64D15"/>
    <w:rsid w:val="3FD6CCA1"/>
    <w:rsid w:val="3FD75538"/>
    <w:rsid w:val="3FD81AFB"/>
    <w:rsid w:val="3FD8F212"/>
    <w:rsid w:val="3FDAB2B6"/>
    <w:rsid w:val="3FDEB15E"/>
    <w:rsid w:val="3FE05227"/>
    <w:rsid w:val="3FE0578D"/>
    <w:rsid w:val="3FE26FC0"/>
    <w:rsid w:val="3FE2CB96"/>
    <w:rsid w:val="3FE32437"/>
    <w:rsid w:val="3FE6F4AB"/>
    <w:rsid w:val="3FE738EB"/>
    <w:rsid w:val="3FE89F12"/>
    <w:rsid w:val="3FE90C5A"/>
    <w:rsid w:val="3FEA93A3"/>
    <w:rsid w:val="3FEBDFCF"/>
    <w:rsid w:val="3FEDF60A"/>
    <w:rsid w:val="3FEE79EF"/>
    <w:rsid w:val="3FEE7B6A"/>
    <w:rsid w:val="3FEF7626"/>
    <w:rsid w:val="3FF06B0E"/>
    <w:rsid w:val="3FF6BD0A"/>
    <w:rsid w:val="3FF8A68D"/>
    <w:rsid w:val="3FF93DF4"/>
    <w:rsid w:val="3FFA6B67"/>
    <w:rsid w:val="3FFB17C8"/>
    <w:rsid w:val="3FFC450C"/>
    <w:rsid w:val="3FFE16B8"/>
    <w:rsid w:val="3FFE86F7"/>
    <w:rsid w:val="4002712A"/>
    <w:rsid w:val="4003E10C"/>
    <w:rsid w:val="40059CBD"/>
    <w:rsid w:val="4007D10D"/>
    <w:rsid w:val="40083B98"/>
    <w:rsid w:val="40096210"/>
    <w:rsid w:val="400C2389"/>
    <w:rsid w:val="400E54C2"/>
    <w:rsid w:val="400E5A38"/>
    <w:rsid w:val="4011D247"/>
    <w:rsid w:val="4013C75E"/>
    <w:rsid w:val="4013F7EE"/>
    <w:rsid w:val="401603DF"/>
    <w:rsid w:val="4016CAE7"/>
    <w:rsid w:val="4018C6EE"/>
    <w:rsid w:val="4019F888"/>
    <w:rsid w:val="401BB5EE"/>
    <w:rsid w:val="401FA767"/>
    <w:rsid w:val="4021D2F3"/>
    <w:rsid w:val="40223C5E"/>
    <w:rsid w:val="4023228E"/>
    <w:rsid w:val="40248DB3"/>
    <w:rsid w:val="4024AEC0"/>
    <w:rsid w:val="402618AB"/>
    <w:rsid w:val="4028D535"/>
    <w:rsid w:val="402BADB1"/>
    <w:rsid w:val="402D36A1"/>
    <w:rsid w:val="402EBBE3"/>
    <w:rsid w:val="402F23B4"/>
    <w:rsid w:val="40309563"/>
    <w:rsid w:val="4033E078"/>
    <w:rsid w:val="40359667"/>
    <w:rsid w:val="4036F95B"/>
    <w:rsid w:val="4036FAD6"/>
    <w:rsid w:val="40384E1D"/>
    <w:rsid w:val="40387F4F"/>
    <w:rsid w:val="403929D0"/>
    <w:rsid w:val="4039FE75"/>
    <w:rsid w:val="403DB8D0"/>
    <w:rsid w:val="40403ECD"/>
    <w:rsid w:val="4040A46E"/>
    <w:rsid w:val="4042E2ED"/>
    <w:rsid w:val="4045044E"/>
    <w:rsid w:val="404532FE"/>
    <w:rsid w:val="4046D921"/>
    <w:rsid w:val="404BA007"/>
    <w:rsid w:val="404D0E9E"/>
    <w:rsid w:val="404D8B5B"/>
    <w:rsid w:val="404E6A60"/>
    <w:rsid w:val="404E73F3"/>
    <w:rsid w:val="404F1632"/>
    <w:rsid w:val="40542D98"/>
    <w:rsid w:val="40560CA6"/>
    <w:rsid w:val="405956FB"/>
    <w:rsid w:val="40598DA3"/>
    <w:rsid w:val="405CB865"/>
    <w:rsid w:val="405F1652"/>
    <w:rsid w:val="40615575"/>
    <w:rsid w:val="4061F3CE"/>
    <w:rsid w:val="40638A9C"/>
    <w:rsid w:val="4063D489"/>
    <w:rsid w:val="4066B3B6"/>
    <w:rsid w:val="4069689A"/>
    <w:rsid w:val="406AE769"/>
    <w:rsid w:val="406C158C"/>
    <w:rsid w:val="406D7636"/>
    <w:rsid w:val="406DECD7"/>
    <w:rsid w:val="406EF6FE"/>
    <w:rsid w:val="407001AA"/>
    <w:rsid w:val="40700BDB"/>
    <w:rsid w:val="4070172A"/>
    <w:rsid w:val="4070BB9B"/>
    <w:rsid w:val="4071EF2D"/>
    <w:rsid w:val="40736DF2"/>
    <w:rsid w:val="4073C81E"/>
    <w:rsid w:val="4074FB02"/>
    <w:rsid w:val="407AA556"/>
    <w:rsid w:val="407C1705"/>
    <w:rsid w:val="407CAA79"/>
    <w:rsid w:val="407D0F19"/>
    <w:rsid w:val="407F2060"/>
    <w:rsid w:val="40816BA5"/>
    <w:rsid w:val="40853B74"/>
    <w:rsid w:val="40874CE9"/>
    <w:rsid w:val="40877B9A"/>
    <w:rsid w:val="4088463A"/>
    <w:rsid w:val="40896335"/>
    <w:rsid w:val="408A768E"/>
    <w:rsid w:val="408DDF0C"/>
    <w:rsid w:val="408F75ED"/>
    <w:rsid w:val="4090E824"/>
    <w:rsid w:val="4091A394"/>
    <w:rsid w:val="40924E4D"/>
    <w:rsid w:val="4092BDDB"/>
    <w:rsid w:val="409788D3"/>
    <w:rsid w:val="4097CB76"/>
    <w:rsid w:val="409BEDC8"/>
    <w:rsid w:val="409CF436"/>
    <w:rsid w:val="40A2F5FB"/>
    <w:rsid w:val="40A868D0"/>
    <w:rsid w:val="40A885D2"/>
    <w:rsid w:val="40A9B64F"/>
    <w:rsid w:val="40A9B885"/>
    <w:rsid w:val="40A9D57B"/>
    <w:rsid w:val="40AF7386"/>
    <w:rsid w:val="40B5192F"/>
    <w:rsid w:val="40B812ED"/>
    <w:rsid w:val="40B87449"/>
    <w:rsid w:val="40B9C813"/>
    <w:rsid w:val="40BA8B23"/>
    <w:rsid w:val="40BB2237"/>
    <w:rsid w:val="40BCE7D1"/>
    <w:rsid w:val="40BDB0FA"/>
    <w:rsid w:val="40BF5916"/>
    <w:rsid w:val="40C1217E"/>
    <w:rsid w:val="40C35149"/>
    <w:rsid w:val="40C3831F"/>
    <w:rsid w:val="40C3B3B7"/>
    <w:rsid w:val="40C8E7C1"/>
    <w:rsid w:val="40C9ED12"/>
    <w:rsid w:val="40CAA3D3"/>
    <w:rsid w:val="40CB8592"/>
    <w:rsid w:val="40CB9314"/>
    <w:rsid w:val="40CC15E9"/>
    <w:rsid w:val="40CCEAD1"/>
    <w:rsid w:val="40CD035E"/>
    <w:rsid w:val="40CD3988"/>
    <w:rsid w:val="40CDA524"/>
    <w:rsid w:val="40CE5DF4"/>
    <w:rsid w:val="40D20D9F"/>
    <w:rsid w:val="40D340CA"/>
    <w:rsid w:val="40D49916"/>
    <w:rsid w:val="40D5B073"/>
    <w:rsid w:val="40D6B6EC"/>
    <w:rsid w:val="40D72003"/>
    <w:rsid w:val="40D9741D"/>
    <w:rsid w:val="40DC8072"/>
    <w:rsid w:val="40DE3282"/>
    <w:rsid w:val="40DF2887"/>
    <w:rsid w:val="40DFCAEB"/>
    <w:rsid w:val="40E0B584"/>
    <w:rsid w:val="40E3D35C"/>
    <w:rsid w:val="40E423D9"/>
    <w:rsid w:val="40E47316"/>
    <w:rsid w:val="40E5CE40"/>
    <w:rsid w:val="40E69326"/>
    <w:rsid w:val="40E6A519"/>
    <w:rsid w:val="40E806EF"/>
    <w:rsid w:val="40E9B735"/>
    <w:rsid w:val="40ED7C23"/>
    <w:rsid w:val="40F27EC8"/>
    <w:rsid w:val="40F2C426"/>
    <w:rsid w:val="40F31C97"/>
    <w:rsid w:val="40F623D1"/>
    <w:rsid w:val="40F7A9BC"/>
    <w:rsid w:val="40F93C33"/>
    <w:rsid w:val="40FB4D43"/>
    <w:rsid w:val="40FB97AF"/>
    <w:rsid w:val="40FFAE18"/>
    <w:rsid w:val="41007DA9"/>
    <w:rsid w:val="41017EF1"/>
    <w:rsid w:val="4104A76E"/>
    <w:rsid w:val="4104F191"/>
    <w:rsid w:val="41067CD1"/>
    <w:rsid w:val="4107E101"/>
    <w:rsid w:val="410ADBE0"/>
    <w:rsid w:val="410B55CC"/>
    <w:rsid w:val="410C8703"/>
    <w:rsid w:val="410F5D3C"/>
    <w:rsid w:val="411083DC"/>
    <w:rsid w:val="4110C50F"/>
    <w:rsid w:val="4113EE3D"/>
    <w:rsid w:val="41141073"/>
    <w:rsid w:val="411499B5"/>
    <w:rsid w:val="4114C980"/>
    <w:rsid w:val="41176EE2"/>
    <w:rsid w:val="41187E3E"/>
    <w:rsid w:val="411C261C"/>
    <w:rsid w:val="411E9B6E"/>
    <w:rsid w:val="411EA55C"/>
    <w:rsid w:val="411FBE3A"/>
    <w:rsid w:val="41229DEE"/>
    <w:rsid w:val="41250271"/>
    <w:rsid w:val="41264EE2"/>
    <w:rsid w:val="412985DA"/>
    <w:rsid w:val="412A0C93"/>
    <w:rsid w:val="412A5A4A"/>
    <w:rsid w:val="412A97F3"/>
    <w:rsid w:val="412C29E4"/>
    <w:rsid w:val="412CF0F9"/>
    <w:rsid w:val="412E4728"/>
    <w:rsid w:val="41302C90"/>
    <w:rsid w:val="41314DB0"/>
    <w:rsid w:val="4131F65D"/>
    <w:rsid w:val="41357023"/>
    <w:rsid w:val="4137C709"/>
    <w:rsid w:val="4137E7D0"/>
    <w:rsid w:val="413B5671"/>
    <w:rsid w:val="413BB4C0"/>
    <w:rsid w:val="413BDB91"/>
    <w:rsid w:val="413D3FE0"/>
    <w:rsid w:val="413E49F0"/>
    <w:rsid w:val="4142FD6F"/>
    <w:rsid w:val="4143262A"/>
    <w:rsid w:val="41447977"/>
    <w:rsid w:val="4144E071"/>
    <w:rsid w:val="4146D138"/>
    <w:rsid w:val="414B16F5"/>
    <w:rsid w:val="414B7C71"/>
    <w:rsid w:val="414DC8ED"/>
    <w:rsid w:val="4150AC87"/>
    <w:rsid w:val="4151AB8F"/>
    <w:rsid w:val="415271E8"/>
    <w:rsid w:val="41541D6A"/>
    <w:rsid w:val="4154EF53"/>
    <w:rsid w:val="41589209"/>
    <w:rsid w:val="415D4527"/>
    <w:rsid w:val="415E606B"/>
    <w:rsid w:val="415F2900"/>
    <w:rsid w:val="415F3FBC"/>
    <w:rsid w:val="4160F036"/>
    <w:rsid w:val="4161B62F"/>
    <w:rsid w:val="4162043E"/>
    <w:rsid w:val="4164447F"/>
    <w:rsid w:val="416472EC"/>
    <w:rsid w:val="4164891D"/>
    <w:rsid w:val="41652BDC"/>
    <w:rsid w:val="41655A15"/>
    <w:rsid w:val="416737A0"/>
    <w:rsid w:val="4169C39F"/>
    <w:rsid w:val="4169E486"/>
    <w:rsid w:val="416F686B"/>
    <w:rsid w:val="41719C6D"/>
    <w:rsid w:val="41732599"/>
    <w:rsid w:val="4175631C"/>
    <w:rsid w:val="4175C391"/>
    <w:rsid w:val="417655ED"/>
    <w:rsid w:val="4178A6C6"/>
    <w:rsid w:val="4179582E"/>
    <w:rsid w:val="417C3201"/>
    <w:rsid w:val="417D6734"/>
    <w:rsid w:val="41810B2E"/>
    <w:rsid w:val="41863E20"/>
    <w:rsid w:val="41882070"/>
    <w:rsid w:val="418BC588"/>
    <w:rsid w:val="418CCBCF"/>
    <w:rsid w:val="418E0574"/>
    <w:rsid w:val="418E623B"/>
    <w:rsid w:val="418E9BF4"/>
    <w:rsid w:val="419017D0"/>
    <w:rsid w:val="419333F0"/>
    <w:rsid w:val="4196979A"/>
    <w:rsid w:val="419863DA"/>
    <w:rsid w:val="41993AE1"/>
    <w:rsid w:val="41998991"/>
    <w:rsid w:val="4199CC74"/>
    <w:rsid w:val="419B0B41"/>
    <w:rsid w:val="419B71FF"/>
    <w:rsid w:val="419DE763"/>
    <w:rsid w:val="419E398E"/>
    <w:rsid w:val="419EECA1"/>
    <w:rsid w:val="419F2B56"/>
    <w:rsid w:val="419F78D5"/>
    <w:rsid w:val="41A0778D"/>
    <w:rsid w:val="41A4D2E9"/>
    <w:rsid w:val="41A5A42D"/>
    <w:rsid w:val="41A68F5F"/>
    <w:rsid w:val="41A8B414"/>
    <w:rsid w:val="41AAB081"/>
    <w:rsid w:val="41AD67EE"/>
    <w:rsid w:val="41AEC5E6"/>
    <w:rsid w:val="41B0CE57"/>
    <w:rsid w:val="41B141A9"/>
    <w:rsid w:val="41B236E4"/>
    <w:rsid w:val="41B49094"/>
    <w:rsid w:val="41B59F0E"/>
    <w:rsid w:val="41B61F20"/>
    <w:rsid w:val="41B8093E"/>
    <w:rsid w:val="41B882C5"/>
    <w:rsid w:val="41BA4392"/>
    <w:rsid w:val="41BBB3E0"/>
    <w:rsid w:val="41BEC9B4"/>
    <w:rsid w:val="41BF0A23"/>
    <w:rsid w:val="41C1EEEC"/>
    <w:rsid w:val="41C4001B"/>
    <w:rsid w:val="41C62FD5"/>
    <w:rsid w:val="41C6316F"/>
    <w:rsid w:val="41C6DE7B"/>
    <w:rsid w:val="41C77D7B"/>
    <w:rsid w:val="41C7DCD7"/>
    <w:rsid w:val="41CA34FE"/>
    <w:rsid w:val="41CA5F56"/>
    <w:rsid w:val="41D53343"/>
    <w:rsid w:val="41D5B64F"/>
    <w:rsid w:val="41D63CC9"/>
    <w:rsid w:val="41D668D8"/>
    <w:rsid w:val="41D68786"/>
    <w:rsid w:val="41D809D8"/>
    <w:rsid w:val="41D8DC8A"/>
    <w:rsid w:val="41D9110F"/>
    <w:rsid w:val="41DC47F3"/>
    <w:rsid w:val="41DE0565"/>
    <w:rsid w:val="41DF18EC"/>
    <w:rsid w:val="41DF7495"/>
    <w:rsid w:val="41E0AA8F"/>
    <w:rsid w:val="41E51A6F"/>
    <w:rsid w:val="41E6B32D"/>
    <w:rsid w:val="41EA67DC"/>
    <w:rsid w:val="41EB0770"/>
    <w:rsid w:val="41EB82BE"/>
    <w:rsid w:val="41EC60DD"/>
    <w:rsid w:val="41EE7ACE"/>
    <w:rsid w:val="41F320A4"/>
    <w:rsid w:val="41F4CFE8"/>
    <w:rsid w:val="41F55C41"/>
    <w:rsid w:val="41F56899"/>
    <w:rsid w:val="41F5F8C6"/>
    <w:rsid w:val="41F64C70"/>
    <w:rsid w:val="41F77DAE"/>
    <w:rsid w:val="41FACF9E"/>
    <w:rsid w:val="41FB607D"/>
    <w:rsid w:val="41FBBD16"/>
    <w:rsid w:val="41FE3B31"/>
    <w:rsid w:val="42007402"/>
    <w:rsid w:val="4200F0F8"/>
    <w:rsid w:val="4201DF4C"/>
    <w:rsid w:val="4202DCC8"/>
    <w:rsid w:val="4203AFDA"/>
    <w:rsid w:val="42054BC9"/>
    <w:rsid w:val="42056B80"/>
    <w:rsid w:val="42069490"/>
    <w:rsid w:val="420779E9"/>
    <w:rsid w:val="42084727"/>
    <w:rsid w:val="420848FF"/>
    <w:rsid w:val="42088A9E"/>
    <w:rsid w:val="420B4EA5"/>
    <w:rsid w:val="420C00B9"/>
    <w:rsid w:val="420C0E0F"/>
    <w:rsid w:val="420CB496"/>
    <w:rsid w:val="420F4D35"/>
    <w:rsid w:val="420F9341"/>
    <w:rsid w:val="4212A825"/>
    <w:rsid w:val="4213845A"/>
    <w:rsid w:val="42165F3C"/>
    <w:rsid w:val="42181B43"/>
    <w:rsid w:val="421B08FA"/>
    <w:rsid w:val="421E0EF6"/>
    <w:rsid w:val="421FDB09"/>
    <w:rsid w:val="4220C766"/>
    <w:rsid w:val="4222FF6B"/>
    <w:rsid w:val="4224FF8F"/>
    <w:rsid w:val="42256580"/>
    <w:rsid w:val="4225EDF6"/>
    <w:rsid w:val="4227BBEF"/>
    <w:rsid w:val="422C31F1"/>
    <w:rsid w:val="422E5916"/>
    <w:rsid w:val="422ED745"/>
    <w:rsid w:val="422F5186"/>
    <w:rsid w:val="4232EE10"/>
    <w:rsid w:val="42350687"/>
    <w:rsid w:val="423579B6"/>
    <w:rsid w:val="4236AED4"/>
    <w:rsid w:val="42380059"/>
    <w:rsid w:val="4238F286"/>
    <w:rsid w:val="4239EE61"/>
    <w:rsid w:val="423B7285"/>
    <w:rsid w:val="423F5BDB"/>
    <w:rsid w:val="424007E1"/>
    <w:rsid w:val="4240C9CD"/>
    <w:rsid w:val="4241279B"/>
    <w:rsid w:val="42421164"/>
    <w:rsid w:val="42477D10"/>
    <w:rsid w:val="4248C07F"/>
    <w:rsid w:val="424B0049"/>
    <w:rsid w:val="424E795E"/>
    <w:rsid w:val="424F13AA"/>
    <w:rsid w:val="424FBC97"/>
    <w:rsid w:val="425238BC"/>
    <w:rsid w:val="4253B340"/>
    <w:rsid w:val="4253FFA4"/>
    <w:rsid w:val="42542657"/>
    <w:rsid w:val="425EC6D2"/>
    <w:rsid w:val="425FA741"/>
    <w:rsid w:val="426051E6"/>
    <w:rsid w:val="4262382F"/>
    <w:rsid w:val="4262901F"/>
    <w:rsid w:val="426392ED"/>
    <w:rsid w:val="4263EC27"/>
    <w:rsid w:val="4264636A"/>
    <w:rsid w:val="4265838E"/>
    <w:rsid w:val="426A45D9"/>
    <w:rsid w:val="426D969A"/>
    <w:rsid w:val="426E59A6"/>
    <w:rsid w:val="42702A4C"/>
    <w:rsid w:val="427182BF"/>
    <w:rsid w:val="4271C7B2"/>
    <w:rsid w:val="4271F23D"/>
    <w:rsid w:val="4272B89D"/>
    <w:rsid w:val="4275570C"/>
    <w:rsid w:val="4277383A"/>
    <w:rsid w:val="42773F18"/>
    <w:rsid w:val="4277B48E"/>
    <w:rsid w:val="427870E9"/>
    <w:rsid w:val="4279234F"/>
    <w:rsid w:val="4279A944"/>
    <w:rsid w:val="427C3780"/>
    <w:rsid w:val="427CB8E4"/>
    <w:rsid w:val="427F520D"/>
    <w:rsid w:val="428000F0"/>
    <w:rsid w:val="4280EADE"/>
    <w:rsid w:val="428186F5"/>
    <w:rsid w:val="4281D46F"/>
    <w:rsid w:val="4282CC7D"/>
    <w:rsid w:val="4283ADF3"/>
    <w:rsid w:val="42869179"/>
    <w:rsid w:val="4288B47E"/>
    <w:rsid w:val="4288D6DF"/>
    <w:rsid w:val="4289B822"/>
    <w:rsid w:val="428A26AB"/>
    <w:rsid w:val="428A7EF3"/>
    <w:rsid w:val="428C6CB9"/>
    <w:rsid w:val="428D35BC"/>
    <w:rsid w:val="428F49C3"/>
    <w:rsid w:val="428F8327"/>
    <w:rsid w:val="4290AF30"/>
    <w:rsid w:val="42927008"/>
    <w:rsid w:val="42934C2B"/>
    <w:rsid w:val="429442EE"/>
    <w:rsid w:val="4295D9D4"/>
    <w:rsid w:val="4299D524"/>
    <w:rsid w:val="4299FA92"/>
    <w:rsid w:val="429A3AA9"/>
    <w:rsid w:val="429A3FA8"/>
    <w:rsid w:val="429C1AD2"/>
    <w:rsid w:val="429C4E0A"/>
    <w:rsid w:val="429D0A06"/>
    <w:rsid w:val="429D2452"/>
    <w:rsid w:val="429D2B20"/>
    <w:rsid w:val="429D9DF2"/>
    <w:rsid w:val="429E3DB2"/>
    <w:rsid w:val="429EC89B"/>
    <w:rsid w:val="42A01702"/>
    <w:rsid w:val="42A0A967"/>
    <w:rsid w:val="42A0F06B"/>
    <w:rsid w:val="42A29233"/>
    <w:rsid w:val="42A6B6FF"/>
    <w:rsid w:val="42A76004"/>
    <w:rsid w:val="42A8DD5C"/>
    <w:rsid w:val="42A9138A"/>
    <w:rsid w:val="42AA019A"/>
    <w:rsid w:val="42AC271C"/>
    <w:rsid w:val="42AC777B"/>
    <w:rsid w:val="42AD12C7"/>
    <w:rsid w:val="42AF05F3"/>
    <w:rsid w:val="42B192AA"/>
    <w:rsid w:val="42B25C05"/>
    <w:rsid w:val="42B26A74"/>
    <w:rsid w:val="42B3B8BC"/>
    <w:rsid w:val="42B45993"/>
    <w:rsid w:val="42B46674"/>
    <w:rsid w:val="42B52BFD"/>
    <w:rsid w:val="42B5A909"/>
    <w:rsid w:val="42B657A2"/>
    <w:rsid w:val="42B6DA65"/>
    <w:rsid w:val="42B8AC74"/>
    <w:rsid w:val="42B9B0B9"/>
    <w:rsid w:val="42C13F91"/>
    <w:rsid w:val="42C1EE90"/>
    <w:rsid w:val="42C289DA"/>
    <w:rsid w:val="42C2E0DF"/>
    <w:rsid w:val="42C49F79"/>
    <w:rsid w:val="42C4F9A1"/>
    <w:rsid w:val="42C8917E"/>
    <w:rsid w:val="42C8A537"/>
    <w:rsid w:val="42C9972D"/>
    <w:rsid w:val="42C9E4CA"/>
    <w:rsid w:val="42CB979E"/>
    <w:rsid w:val="42CE9127"/>
    <w:rsid w:val="42CEFC9D"/>
    <w:rsid w:val="42D0185D"/>
    <w:rsid w:val="42D37546"/>
    <w:rsid w:val="42D3A37C"/>
    <w:rsid w:val="42D55DCE"/>
    <w:rsid w:val="42D6550E"/>
    <w:rsid w:val="42D6B9B8"/>
    <w:rsid w:val="42D6D5F7"/>
    <w:rsid w:val="42D73358"/>
    <w:rsid w:val="42D7A377"/>
    <w:rsid w:val="42DB487C"/>
    <w:rsid w:val="42DC0F01"/>
    <w:rsid w:val="42DE0ABA"/>
    <w:rsid w:val="42E1167A"/>
    <w:rsid w:val="42E2AA69"/>
    <w:rsid w:val="42E4A835"/>
    <w:rsid w:val="42E4E930"/>
    <w:rsid w:val="42EB2BF1"/>
    <w:rsid w:val="42EC1331"/>
    <w:rsid w:val="42EFD621"/>
    <w:rsid w:val="42F0EBDF"/>
    <w:rsid w:val="42F22F93"/>
    <w:rsid w:val="42F529F8"/>
    <w:rsid w:val="42F5BF7D"/>
    <w:rsid w:val="42F7108F"/>
    <w:rsid w:val="42F8C44E"/>
    <w:rsid w:val="42FA2B05"/>
    <w:rsid w:val="42FA77E0"/>
    <w:rsid w:val="42FCE9E9"/>
    <w:rsid w:val="42FCF3AE"/>
    <w:rsid w:val="42FF0ABD"/>
    <w:rsid w:val="42FFCF4E"/>
    <w:rsid w:val="4300CB70"/>
    <w:rsid w:val="430259AF"/>
    <w:rsid w:val="4303B355"/>
    <w:rsid w:val="43071C6D"/>
    <w:rsid w:val="4308AA3F"/>
    <w:rsid w:val="4309643E"/>
    <w:rsid w:val="430B48B9"/>
    <w:rsid w:val="430B683C"/>
    <w:rsid w:val="430B7F28"/>
    <w:rsid w:val="430CA06A"/>
    <w:rsid w:val="430D557A"/>
    <w:rsid w:val="430DA619"/>
    <w:rsid w:val="430EF5FA"/>
    <w:rsid w:val="4310F1AC"/>
    <w:rsid w:val="4314195D"/>
    <w:rsid w:val="431440ED"/>
    <w:rsid w:val="43177460"/>
    <w:rsid w:val="43177C86"/>
    <w:rsid w:val="43185E75"/>
    <w:rsid w:val="43187A1A"/>
    <w:rsid w:val="43188092"/>
    <w:rsid w:val="43189A2A"/>
    <w:rsid w:val="431B9E6C"/>
    <w:rsid w:val="431BE839"/>
    <w:rsid w:val="431E0CE9"/>
    <w:rsid w:val="431E3A12"/>
    <w:rsid w:val="431ED004"/>
    <w:rsid w:val="431EF910"/>
    <w:rsid w:val="4320DE9B"/>
    <w:rsid w:val="432301DD"/>
    <w:rsid w:val="4328A62A"/>
    <w:rsid w:val="432A5FB6"/>
    <w:rsid w:val="432B5487"/>
    <w:rsid w:val="432BEFCF"/>
    <w:rsid w:val="432C8525"/>
    <w:rsid w:val="432E528D"/>
    <w:rsid w:val="432EAEE0"/>
    <w:rsid w:val="433084B4"/>
    <w:rsid w:val="4333E698"/>
    <w:rsid w:val="4335023E"/>
    <w:rsid w:val="43399C00"/>
    <w:rsid w:val="433AE84C"/>
    <w:rsid w:val="433B9A9B"/>
    <w:rsid w:val="433BA02F"/>
    <w:rsid w:val="433D6E53"/>
    <w:rsid w:val="433F7D5A"/>
    <w:rsid w:val="43428618"/>
    <w:rsid w:val="43452B2D"/>
    <w:rsid w:val="43453AF1"/>
    <w:rsid w:val="43486A02"/>
    <w:rsid w:val="43488E72"/>
    <w:rsid w:val="434AE0BF"/>
    <w:rsid w:val="434EF494"/>
    <w:rsid w:val="43530E81"/>
    <w:rsid w:val="4354CD0B"/>
    <w:rsid w:val="43580FDA"/>
    <w:rsid w:val="4358A4DD"/>
    <w:rsid w:val="435C8832"/>
    <w:rsid w:val="435CE22F"/>
    <w:rsid w:val="435CFBBF"/>
    <w:rsid w:val="4363A9FD"/>
    <w:rsid w:val="4363B124"/>
    <w:rsid w:val="4364C72A"/>
    <w:rsid w:val="4364EC58"/>
    <w:rsid w:val="4365D547"/>
    <w:rsid w:val="43662EE7"/>
    <w:rsid w:val="436798B5"/>
    <w:rsid w:val="4369280E"/>
    <w:rsid w:val="436AAC2F"/>
    <w:rsid w:val="436AFB01"/>
    <w:rsid w:val="436B1B0F"/>
    <w:rsid w:val="436B966C"/>
    <w:rsid w:val="436BF259"/>
    <w:rsid w:val="436FDECF"/>
    <w:rsid w:val="4373C237"/>
    <w:rsid w:val="43772C81"/>
    <w:rsid w:val="4377E733"/>
    <w:rsid w:val="4377F02B"/>
    <w:rsid w:val="437849A6"/>
    <w:rsid w:val="437BB4E0"/>
    <w:rsid w:val="437C9217"/>
    <w:rsid w:val="4381FFA3"/>
    <w:rsid w:val="43840AC2"/>
    <w:rsid w:val="43846B8F"/>
    <w:rsid w:val="4385067A"/>
    <w:rsid w:val="43857E24"/>
    <w:rsid w:val="438590C4"/>
    <w:rsid w:val="43861675"/>
    <w:rsid w:val="43877CE9"/>
    <w:rsid w:val="4387A002"/>
    <w:rsid w:val="4388CDAA"/>
    <w:rsid w:val="438A0BB1"/>
    <w:rsid w:val="438A91E4"/>
    <w:rsid w:val="438A9A61"/>
    <w:rsid w:val="438B122C"/>
    <w:rsid w:val="438B43B7"/>
    <w:rsid w:val="43907EA3"/>
    <w:rsid w:val="43911DC3"/>
    <w:rsid w:val="43932E2C"/>
    <w:rsid w:val="43936FFD"/>
    <w:rsid w:val="43940C11"/>
    <w:rsid w:val="43949519"/>
    <w:rsid w:val="4394D5BD"/>
    <w:rsid w:val="4396186C"/>
    <w:rsid w:val="43979E07"/>
    <w:rsid w:val="439894EC"/>
    <w:rsid w:val="439898E2"/>
    <w:rsid w:val="439D6FAE"/>
    <w:rsid w:val="43A1EF65"/>
    <w:rsid w:val="43A253BD"/>
    <w:rsid w:val="43A2C629"/>
    <w:rsid w:val="43A3C97F"/>
    <w:rsid w:val="43A65F4C"/>
    <w:rsid w:val="43A8BFEB"/>
    <w:rsid w:val="43A9941C"/>
    <w:rsid w:val="43A9F4A4"/>
    <w:rsid w:val="43AB5834"/>
    <w:rsid w:val="43ADF2DE"/>
    <w:rsid w:val="43AE5190"/>
    <w:rsid w:val="43AFBD44"/>
    <w:rsid w:val="43B1F483"/>
    <w:rsid w:val="43B2226C"/>
    <w:rsid w:val="43B2DACC"/>
    <w:rsid w:val="43B34062"/>
    <w:rsid w:val="43B36898"/>
    <w:rsid w:val="43B3D298"/>
    <w:rsid w:val="43B417E5"/>
    <w:rsid w:val="43B4217D"/>
    <w:rsid w:val="43B4455A"/>
    <w:rsid w:val="43B4EDBD"/>
    <w:rsid w:val="43B6435D"/>
    <w:rsid w:val="43BCF62C"/>
    <w:rsid w:val="43C05F46"/>
    <w:rsid w:val="43C45A41"/>
    <w:rsid w:val="43C47D7E"/>
    <w:rsid w:val="43C55A29"/>
    <w:rsid w:val="43C65DC2"/>
    <w:rsid w:val="43CA1638"/>
    <w:rsid w:val="43CF75E3"/>
    <w:rsid w:val="43D0C320"/>
    <w:rsid w:val="43D15432"/>
    <w:rsid w:val="43D1CE35"/>
    <w:rsid w:val="43D417C0"/>
    <w:rsid w:val="43D4430E"/>
    <w:rsid w:val="43D4C8F6"/>
    <w:rsid w:val="43D563C9"/>
    <w:rsid w:val="43D9B025"/>
    <w:rsid w:val="43D9CF9C"/>
    <w:rsid w:val="43DCD3E3"/>
    <w:rsid w:val="43DD5EC3"/>
    <w:rsid w:val="43DF31A4"/>
    <w:rsid w:val="43E27129"/>
    <w:rsid w:val="43E3D72A"/>
    <w:rsid w:val="43E4EDAE"/>
    <w:rsid w:val="43E4F903"/>
    <w:rsid w:val="43E4FF6F"/>
    <w:rsid w:val="43E6F80A"/>
    <w:rsid w:val="43ED68F0"/>
    <w:rsid w:val="43EED943"/>
    <w:rsid w:val="43EFA6C2"/>
    <w:rsid w:val="43F4B2B8"/>
    <w:rsid w:val="43F539BF"/>
    <w:rsid w:val="43F68F98"/>
    <w:rsid w:val="43F769C4"/>
    <w:rsid w:val="43F89A79"/>
    <w:rsid w:val="43FED7BC"/>
    <w:rsid w:val="43FEE0EF"/>
    <w:rsid w:val="4400EF58"/>
    <w:rsid w:val="44010966"/>
    <w:rsid w:val="440197FC"/>
    <w:rsid w:val="4402226A"/>
    <w:rsid w:val="44030673"/>
    <w:rsid w:val="440458B2"/>
    <w:rsid w:val="4409F60B"/>
    <w:rsid w:val="4409FFE1"/>
    <w:rsid w:val="440CD2CF"/>
    <w:rsid w:val="441005AC"/>
    <w:rsid w:val="4411B379"/>
    <w:rsid w:val="4412C94D"/>
    <w:rsid w:val="44150646"/>
    <w:rsid w:val="44154188"/>
    <w:rsid w:val="441554A4"/>
    <w:rsid w:val="44156007"/>
    <w:rsid w:val="4416117E"/>
    <w:rsid w:val="4418A61D"/>
    <w:rsid w:val="441967CD"/>
    <w:rsid w:val="441B6265"/>
    <w:rsid w:val="441E221F"/>
    <w:rsid w:val="441F8540"/>
    <w:rsid w:val="4420E15B"/>
    <w:rsid w:val="44218BC1"/>
    <w:rsid w:val="4421B40E"/>
    <w:rsid w:val="44221E1E"/>
    <w:rsid w:val="4423C6B2"/>
    <w:rsid w:val="442589C3"/>
    <w:rsid w:val="4426CDBC"/>
    <w:rsid w:val="4427E47E"/>
    <w:rsid w:val="442B9685"/>
    <w:rsid w:val="442C95AC"/>
    <w:rsid w:val="442DE4C7"/>
    <w:rsid w:val="442E01D5"/>
    <w:rsid w:val="44302628"/>
    <w:rsid w:val="44303DC1"/>
    <w:rsid w:val="44343131"/>
    <w:rsid w:val="44343C7A"/>
    <w:rsid w:val="443494E9"/>
    <w:rsid w:val="4436AEA2"/>
    <w:rsid w:val="4436F072"/>
    <w:rsid w:val="4437121B"/>
    <w:rsid w:val="44376ADA"/>
    <w:rsid w:val="443A5348"/>
    <w:rsid w:val="443AA50C"/>
    <w:rsid w:val="443CCA69"/>
    <w:rsid w:val="443E1417"/>
    <w:rsid w:val="443EB4B3"/>
    <w:rsid w:val="444152D8"/>
    <w:rsid w:val="444453DE"/>
    <w:rsid w:val="44452243"/>
    <w:rsid w:val="44455BB4"/>
    <w:rsid w:val="4445DC01"/>
    <w:rsid w:val="4446BDB2"/>
    <w:rsid w:val="4447F1BF"/>
    <w:rsid w:val="4448DF3D"/>
    <w:rsid w:val="444A1974"/>
    <w:rsid w:val="444ACB99"/>
    <w:rsid w:val="444B3F99"/>
    <w:rsid w:val="444D724B"/>
    <w:rsid w:val="444D9107"/>
    <w:rsid w:val="444DD4E9"/>
    <w:rsid w:val="444F14CB"/>
    <w:rsid w:val="444FB51A"/>
    <w:rsid w:val="444FD772"/>
    <w:rsid w:val="44502905"/>
    <w:rsid w:val="4450A4F6"/>
    <w:rsid w:val="445124B5"/>
    <w:rsid w:val="445161FF"/>
    <w:rsid w:val="4456BC77"/>
    <w:rsid w:val="445E17B8"/>
    <w:rsid w:val="445E9D74"/>
    <w:rsid w:val="446149B0"/>
    <w:rsid w:val="446200BF"/>
    <w:rsid w:val="446301E5"/>
    <w:rsid w:val="44647414"/>
    <w:rsid w:val="4465F34E"/>
    <w:rsid w:val="44671A63"/>
    <w:rsid w:val="4467D4D4"/>
    <w:rsid w:val="4468C316"/>
    <w:rsid w:val="4469504A"/>
    <w:rsid w:val="446BEEC3"/>
    <w:rsid w:val="446C6A9F"/>
    <w:rsid w:val="446C8946"/>
    <w:rsid w:val="44713263"/>
    <w:rsid w:val="4471A0FB"/>
    <w:rsid w:val="447216CE"/>
    <w:rsid w:val="44728FB0"/>
    <w:rsid w:val="44731746"/>
    <w:rsid w:val="4473B304"/>
    <w:rsid w:val="4474DF31"/>
    <w:rsid w:val="4476016E"/>
    <w:rsid w:val="447744AF"/>
    <w:rsid w:val="44784279"/>
    <w:rsid w:val="447E37BE"/>
    <w:rsid w:val="447E8BB4"/>
    <w:rsid w:val="44841782"/>
    <w:rsid w:val="448559C9"/>
    <w:rsid w:val="44858577"/>
    <w:rsid w:val="44875D0B"/>
    <w:rsid w:val="4489AB96"/>
    <w:rsid w:val="448A8714"/>
    <w:rsid w:val="448D0A84"/>
    <w:rsid w:val="448D2E4A"/>
    <w:rsid w:val="448DB9E4"/>
    <w:rsid w:val="448E8B22"/>
    <w:rsid w:val="44913441"/>
    <w:rsid w:val="4491E90F"/>
    <w:rsid w:val="449224BE"/>
    <w:rsid w:val="44929D01"/>
    <w:rsid w:val="44937D49"/>
    <w:rsid w:val="4494EDE5"/>
    <w:rsid w:val="4495A194"/>
    <w:rsid w:val="449A9031"/>
    <w:rsid w:val="449D93A0"/>
    <w:rsid w:val="449EFA08"/>
    <w:rsid w:val="449F5186"/>
    <w:rsid w:val="449FEBD5"/>
    <w:rsid w:val="44A0B5D7"/>
    <w:rsid w:val="44A1AFC6"/>
    <w:rsid w:val="44A1E870"/>
    <w:rsid w:val="44A2BC46"/>
    <w:rsid w:val="44A350D6"/>
    <w:rsid w:val="44A3BBA5"/>
    <w:rsid w:val="44A4023A"/>
    <w:rsid w:val="44A52B7E"/>
    <w:rsid w:val="44A5CEDA"/>
    <w:rsid w:val="44A82C3B"/>
    <w:rsid w:val="44AD7056"/>
    <w:rsid w:val="44AF5AB3"/>
    <w:rsid w:val="44AF6C62"/>
    <w:rsid w:val="44B130FE"/>
    <w:rsid w:val="44B424EA"/>
    <w:rsid w:val="44B4C972"/>
    <w:rsid w:val="44BA2492"/>
    <w:rsid w:val="44BA4E4E"/>
    <w:rsid w:val="44BA82AC"/>
    <w:rsid w:val="44BACAAE"/>
    <w:rsid w:val="44BB2877"/>
    <w:rsid w:val="44BBBDEE"/>
    <w:rsid w:val="44BDC282"/>
    <w:rsid w:val="44BDE7B1"/>
    <w:rsid w:val="44BF872B"/>
    <w:rsid w:val="44C04978"/>
    <w:rsid w:val="44C07651"/>
    <w:rsid w:val="44C18128"/>
    <w:rsid w:val="44CA4177"/>
    <w:rsid w:val="44CB254A"/>
    <w:rsid w:val="44CD412F"/>
    <w:rsid w:val="44CDA4E8"/>
    <w:rsid w:val="44D00CEE"/>
    <w:rsid w:val="44D18C04"/>
    <w:rsid w:val="44D22659"/>
    <w:rsid w:val="44D273EC"/>
    <w:rsid w:val="44D2856D"/>
    <w:rsid w:val="44D38FEA"/>
    <w:rsid w:val="44DA3773"/>
    <w:rsid w:val="44DB910A"/>
    <w:rsid w:val="44E1214A"/>
    <w:rsid w:val="44E180F5"/>
    <w:rsid w:val="44E18247"/>
    <w:rsid w:val="44E3894E"/>
    <w:rsid w:val="44E64F60"/>
    <w:rsid w:val="44E6B4C3"/>
    <w:rsid w:val="44E91DD0"/>
    <w:rsid w:val="44ED21C2"/>
    <w:rsid w:val="44EDBE05"/>
    <w:rsid w:val="44EE4D9D"/>
    <w:rsid w:val="44EF59AB"/>
    <w:rsid w:val="44F2ADCD"/>
    <w:rsid w:val="44F42FEE"/>
    <w:rsid w:val="44F8BAD9"/>
    <w:rsid w:val="44F9D259"/>
    <w:rsid w:val="44FAD59E"/>
    <w:rsid w:val="44FC8BAB"/>
    <w:rsid w:val="44FD796A"/>
    <w:rsid w:val="45021307"/>
    <w:rsid w:val="4502A8CD"/>
    <w:rsid w:val="45049A43"/>
    <w:rsid w:val="4504F68B"/>
    <w:rsid w:val="450574A9"/>
    <w:rsid w:val="450617F1"/>
    <w:rsid w:val="45069001"/>
    <w:rsid w:val="4506DD76"/>
    <w:rsid w:val="45073FAA"/>
    <w:rsid w:val="4509FB25"/>
    <w:rsid w:val="450A0D8B"/>
    <w:rsid w:val="450AE2FE"/>
    <w:rsid w:val="450CA590"/>
    <w:rsid w:val="4515B977"/>
    <w:rsid w:val="45160B73"/>
    <w:rsid w:val="4518094D"/>
    <w:rsid w:val="45184F18"/>
    <w:rsid w:val="451B8AA8"/>
    <w:rsid w:val="451C3EE9"/>
    <w:rsid w:val="451C9DA0"/>
    <w:rsid w:val="451DB5B2"/>
    <w:rsid w:val="4522E5A8"/>
    <w:rsid w:val="45250ADE"/>
    <w:rsid w:val="4525BDBB"/>
    <w:rsid w:val="4525DD87"/>
    <w:rsid w:val="4526FAB0"/>
    <w:rsid w:val="4529B265"/>
    <w:rsid w:val="452C8B39"/>
    <w:rsid w:val="452DB13B"/>
    <w:rsid w:val="452F2648"/>
    <w:rsid w:val="453056E9"/>
    <w:rsid w:val="45346947"/>
    <w:rsid w:val="453621F5"/>
    <w:rsid w:val="453BD2AE"/>
    <w:rsid w:val="453CE33F"/>
    <w:rsid w:val="453D467E"/>
    <w:rsid w:val="453E5A73"/>
    <w:rsid w:val="453E6838"/>
    <w:rsid w:val="45417FF6"/>
    <w:rsid w:val="45429BE8"/>
    <w:rsid w:val="45435D5E"/>
    <w:rsid w:val="4546D28A"/>
    <w:rsid w:val="4546D95D"/>
    <w:rsid w:val="4547C672"/>
    <w:rsid w:val="454838C7"/>
    <w:rsid w:val="45495CEA"/>
    <w:rsid w:val="454FC2ED"/>
    <w:rsid w:val="45501C36"/>
    <w:rsid w:val="4550D097"/>
    <w:rsid w:val="4553A29C"/>
    <w:rsid w:val="45544815"/>
    <w:rsid w:val="45561285"/>
    <w:rsid w:val="4559A1B0"/>
    <w:rsid w:val="455C39BE"/>
    <w:rsid w:val="455CA051"/>
    <w:rsid w:val="455CE60E"/>
    <w:rsid w:val="455D00DB"/>
    <w:rsid w:val="455ED2A3"/>
    <w:rsid w:val="455FC62D"/>
    <w:rsid w:val="45615F78"/>
    <w:rsid w:val="45623269"/>
    <w:rsid w:val="45644AB5"/>
    <w:rsid w:val="4564C185"/>
    <w:rsid w:val="45689887"/>
    <w:rsid w:val="456B5F96"/>
    <w:rsid w:val="456D9643"/>
    <w:rsid w:val="456DB8D7"/>
    <w:rsid w:val="456F3F8E"/>
    <w:rsid w:val="456F9C3D"/>
    <w:rsid w:val="456FEF43"/>
    <w:rsid w:val="456FFC39"/>
    <w:rsid w:val="4570E5CE"/>
    <w:rsid w:val="45719109"/>
    <w:rsid w:val="4573E9B0"/>
    <w:rsid w:val="45778CD4"/>
    <w:rsid w:val="4579D0DF"/>
    <w:rsid w:val="457A26E2"/>
    <w:rsid w:val="457B579B"/>
    <w:rsid w:val="457E6FED"/>
    <w:rsid w:val="458116A6"/>
    <w:rsid w:val="45836408"/>
    <w:rsid w:val="45844588"/>
    <w:rsid w:val="4585E47A"/>
    <w:rsid w:val="4585EC2A"/>
    <w:rsid w:val="458634AF"/>
    <w:rsid w:val="45864AC1"/>
    <w:rsid w:val="45877E85"/>
    <w:rsid w:val="45882A16"/>
    <w:rsid w:val="458A0BAF"/>
    <w:rsid w:val="458A9DE1"/>
    <w:rsid w:val="458B40DD"/>
    <w:rsid w:val="458B8222"/>
    <w:rsid w:val="458E8086"/>
    <w:rsid w:val="45948E65"/>
    <w:rsid w:val="4596A803"/>
    <w:rsid w:val="45970F10"/>
    <w:rsid w:val="4597BB4B"/>
    <w:rsid w:val="4597C865"/>
    <w:rsid w:val="4599A81D"/>
    <w:rsid w:val="459C3838"/>
    <w:rsid w:val="45A09C57"/>
    <w:rsid w:val="45A0BBB1"/>
    <w:rsid w:val="45A15C96"/>
    <w:rsid w:val="45A1E011"/>
    <w:rsid w:val="45A221D6"/>
    <w:rsid w:val="45A3B084"/>
    <w:rsid w:val="45A46C19"/>
    <w:rsid w:val="45A61DE5"/>
    <w:rsid w:val="45A6D484"/>
    <w:rsid w:val="45A6FDD4"/>
    <w:rsid w:val="45A7199E"/>
    <w:rsid w:val="45A79F57"/>
    <w:rsid w:val="45A7A700"/>
    <w:rsid w:val="45AA9F0F"/>
    <w:rsid w:val="45ABF06E"/>
    <w:rsid w:val="45ACDB1E"/>
    <w:rsid w:val="45AE332F"/>
    <w:rsid w:val="45AEA393"/>
    <w:rsid w:val="45B08B2C"/>
    <w:rsid w:val="45B32C3F"/>
    <w:rsid w:val="45B3E7CB"/>
    <w:rsid w:val="45B52AFA"/>
    <w:rsid w:val="45B5BE34"/>
    <w:rsid w:val="45B5CCA2"/>
    <w:rsid w:val="45B5E08E"/>
    <w:rsid w:val="45B5EFE0"/>
    <w:rsid w:val="45BC5E39"/>
    <w:rsid w:val="45BCFD7E"/>
    <w:rsid w:val="45BD0439"/>
    <w:rsid w:val="45BD966F"/>
    <w:rsid w:val="45BD9AD8"/>
    <w:rsid w:val="45BF47FF"/>
    <w:rsid w:val="45C17ED6"/>
    <w:rsid w:val="45CB3168"/>
    <w:rsid w:val="45CF05AC"/>
    <w:rsid w:val="45CFB885"/>
    <w:rsid w:val="45D02C6D"/>
    <w:rsid w:val="45D03F72"/>
    <w:rsid w:val="45D08992"/>
    <w:rsid w:val="45D1BCC4"/>
    <w:rsid w:val="45D3BB53"/>
    <w:rsid w:val="45D45455"/>
    <w:rsid w:val="45D58D9D"/>
    <w:rsid w:val="45D61DF8"/>
    <w:rsid w:val="45D69918"/>
    <w:rsid w:val="45D8809D"/>
    <w:rsid w:val="45D8A491"/>
    <w:rsid w:val="45DA3893"/>
    <w:rsid w:val="45DAAB06"/>
    <w:rsid w:val="45E162BB"/>
    <w:rsid w:val="45E1E380"/>
    <w:rsid w:val="45E2CC03"/>
    <w:rsid w:val="45E2D3A3"/>
    <w:rsid w:val="45E72A7F"/>
    <w:rsid w:val="45E7761A"/>
    <w:rsid w:val="45E79FE7"/>
    <w:rsid w:val="45E9067F"/>
    <w:rsid w:val="45E9505B"/>
    <w:rsid w:val="45EAB0AF"/>
    <w:rsid w:val="45ED49B7"/>
    <w:rsid w:val="45EF299A"/>
    <w:rsid w:val="45F04635"/>
    <w:rsid w:val="45F4AD64"/>
    <w:rsid w:val="45F626CB"/>
    <w:rsid w:val="45F72C09"/>
    <w:rsid w:val="45F79986"/>
    <w:rsid w:val="45F8A0CD"/>
    <w:rsid w:val="45FA278B"/>
    <w:rsid w:val="45FABF41"/>
    <w:rsid w:val="45FBF35E"/>
    <w:rsid w:val="45FE8B73"/>
    <w:rsid w:val="45FF5AB9"/>
    <w:rsid w:val="46012756"/>
    <w:rsid w:val="46028EF0"/>
    <w:rsid w:val="46052F68"/>
    <w:rsid w:val="4607AA87"/>
    <w:rsid w:val="4608B6CD"/>
    <w:rsid w:val="460B9B19"/>
    <w:rsid w:val="460DD84B"/>
    <w:rsid w:val="460F97C5"/>
    <w:rsid w:val="46105ED5"/>
    <w:rsid w:val="461088FA"/>
    <w:rsid w:val="4610C1BB"/>
    <w:rsid w:val="46135BFB"/>
    <w:rsid w:val="46151811"/>
    <w:rsid w:val="4615955B"/>
    <w:rsid w:val="46160F38"/>
    <w:rsid w:val="4617D509"/>
    <w:rsid w:val="4619FFDD"/>
    <w:rsid w:val="461A52DC"/>
    <w:rsid w:val="461D6362"/>
    <w:rsid w:val="461DDFBC"/>
    <w:rsid w:val="4620E4F2"/>
    <w:rsid w:val="462108AB"/>
    <w:rsid w:val="46218DA5"/>
    <w:rsid w:val="46260497"/>
    <w:rsid w:val="462C21E9"/>
    <w:rsid w:val="463065B9"/>
    <w:rsid w:val="4631489C"/>
    <w:rsid w:val="4632BBE0"/>
    <w:rsid w:val="4632D3D1"/>
    <w:rsid w:val="46358F27"/>
    <w:rsid w:val="463636D6"/>
    <w:rsid w:val="46365C2D"/>
    <w:rsid w:val="4638093E"/>
    <w:rsid w:val="46387753"/>
    <w:rsid w:val="4639E822"/>
    <w:rsid w:val="463A3988"/>
    <w:rsid w:val="463CBA70"/>
    <w:rsid w:val="463D7B2F"/>
    <w:rsid w:val="463E6AD4"/>
    <w:rsid w:val="463FF234"/>
    <w:rsid w:val="46406063"/>
    <w:rsid w:val="4642D862"/>
    <w:rsid w:val="46449ED0"/>
    <w:rsid w:val="464696BC"/>
    <w:rsid w:val="464855DA"/>
    <w:rsid w:val="4648EB97"/>
    <w:rsid w:val="46493281"/>
    <w:rsid w:val="464A97C8"/>
    <w:rsid w:val="464B4754"/>
    <w:rsid w:val="464C46B2"/>
    <w:rsid w:val="464C5BA0"/>
    <w:rsid w:val="464F0D56"/>
    <w:rsid w:val="46501532"/>
    <w:rsid w:val="46536EF1"/>
    <w:rsid w:val="46548F6D"/>
    <w:rsid w:val="465A79D2"/>
    <w:rsid w:val="465AC798"/>
    <w:rsid w:val="46630880"/>
    <w:rsid w:val="4664DC11"/>
    <w:rsid w:val="466529D4"/>
    <w:rsid w:val="46684E0C"/>
    <w:rsid w:val="46695DED"/>
    <w:rsid w:val="466AEC08"/>
    <w:rsid w:val="466BABCC"/>
    <w:rsid w:val="466C806D"/>
    <w:rsid w:val="466F6481"/>
    <w:rsid w:val="46710562"/>
    <w:rsid w:val="46733087"/>
    <w:rsid w:val="46747830"/>
    <w:rsid w:val="46757D49"/>
    <w:rsid w:val="4677D264"/>
    <w:rsid w:val="4679F9B6"/>
    <w:rsid w:val="467B2F49"/>
    <w:rsid w:val="467D4357"/>
    <w:rsid w:val="467D5156"/>
    <w:rsid w:val="467D6A52"/>
    <w:rsid w:val="467D75CC"/>
    <w:rsid w:val="467E1262"/>
    <w:rsid w:val="467FA16C"/>
    <w:rsid w:val="46802B4F"/>
    <w:rsid w:val="46821DAA"/>
    <w:rsid w:val="46825FF8"/>
    <w:rsid w:val="468360EC"/>
    <w:rsid w:val="46848CDD"/>
    <w:rsid w:val="4684CF2A"/>
    <w:rsid w:val="46898C8C"/>
    <w:rsid w:val="468D0513"/>
    <w:rsid w:val="468D1162"/>
    <w:rsid w:val="468EC515"/>
    <w:rsid w:val="468F624C"/>
    <w:rsid w:val="468FB09C"/>
    <w:rsid w:val="4690CBBF"/>
    <w:rsid w:val="4696EF68"/>
    <w:rsid w:val="46997BD5"/>
    <w:rsid w:val="4699D059"/>
    <w:rsid w:val="469A6D43"/>
    <w:rsid w:val="469BC538"/>
    <w:rsid w:val="469C7563"/>
    <w:rsid w:val="469C9977"/>
    <w:rsid w:val="469D1E23"/>
    <w:rsid w:val="469DA42B"/>
    <w:rsid w:val="469DE293"/>
    <w:rsid w:val="469DEDC0"/>
    <w:rsid w:val="469EDF96"/>
    <w:rsid w:val="469FCD95"/>
    <w:rsid w:val="469FEB40"/>
    <w:rsid w:val="46A08436"/>
    <w:rsid w:val="46A24104"/>
    <w:rsid w:val="46A2EC77"/>
    <w:rsid w:val="46A41052"/>
    <w:rsid w:val="46A6E479"/>
    <w:rsid w:val="46A88873"/>
    <w:rsid w:val="46AA0D3D"/>
    <w:rsid w:val="46AAEB24"/>
    <w:rsid w:val="46ABBB74"/>
    <w:rsid w:val="46ABCDD9"/>
    <w:rsid w:val="46ACC5F7"/>
    <w:rsid w:val="46AD6F85"/>
    <w:rsid w:val="46B046E7"/>
    <w:rsid w:val="46B0CC95"/>
    <w:rsid w:val="46B1A248"/>
    <w:rsid w:val="46B53228"/>
    <w:rsid w:val="46B54865"/>
    <w:rsid w:val="46BC3E7D"/>
    <w:rsid w:val="46BD1C61"/>
    <w:rsid w:val="46BD6A7B"/>
    <w:rsid w:val="46BF6EC9"/>
    <w:rsid w:val="46C04CC7"/>
    <w:rsid w:val="46C2CB11"/>
    <w:rsid w:val="46C37DA0"/>
    <w:rsid w:val="46C3E80C"/>
    <w:rsid w:val="46C43412"/>
    <w:rsid w:val="46C5468E"/>
    <w:rsid w:val="46C5A0D8"/>
    <w:rsid w:val="46C6BBE6"/>
    <w:rsid w:val="46C770E6"/>
    <w:rsid w:val="46C8933A"/>
    <w:rsid w:val="46C90600"/>
    <w:rsid w:val="46CB3942"/>
    <w:rsid w:val="46CBDE38"/>
    <w:rsid w:val="46CD1574"/>
    <w:rsid w:val="46CD5366"/>
    <w:rsid w:val="46CEEEA5"/>
    <w:rsid w:val="46D21301"/>
    <w:rsid w:val="46D3F42D"/>
    <w:rsid w:val="46D5E936"/>
    <w:rsid w:val="46D65C50"/>
    <w:rsid w:val="46D7C461"/>
    <w:rsid w:val="46D81CA5"/>
    <w:rsid w:val="46D888E8"/>
    <w:rsid w:val="46D92584"/>
    <w:rsid w:val="46D9F522"/>
    <w:rsid w:val="46DB2FDB"/>
    <w:rsid w:val="46DB68DB"/>
    <w:rsid w:val="46DB8F10"/>
    <w:rsid w:val="46DC49A0"/>
    <w:rsid w:val="46DC58B4"/>
    <w:rsid w:val="46DC6C23"/>
    <w:rsid w:val="46DCE51F"/>
    <w:rsid w:val="46DD3D27"/>
    <w:rsid w:val="46DEF90F"/>
    <w:rsid w:val="46E152EA"/>
    <w:rsid w:val="46E35BD6"/>
    <w:rsid w:val="46E39554"/>
    <w:rsid w:val="46E4DFFA"/>
    <w:rsid w:val="46E4F2A6"/>
    <w:rsid w:val="46E5CF44"/>
    <w:rsid w:val="46E6447A"/>
    <w:rsid w:val="46E6DA56"/>
    <w:rsid w:val="46E6DD1B"/>
    <w:rsid w:val="46E9D767"/>
    <w:rsid w:val="46EA973F"/>
    <w:rsid w:val="46EB934E"/>
    <w:rsid w:val="46EF4671"/>
    <w:rsid w:val="46F467DB"/>
    <w:rsid w:val="46F48CD4"/>
    <w:rsid w:val="46F4A728"/>
    <w:rsid w:val="46F74F61"/>
    <w:rsid w:val="46F841DA"/>
    <w:rsid w:val="46F87959"/>
    <w:rsid w:val="46F9B6E8"/>
    <w:rsid w:val="46FA7249"/>
    <w:rsid w:val="46FA8929"/>
    <w:rsid w:val="46FA9241"/>
    <w:rsid w:val="46FC29D3"/>
    <w:rsid w:val="46FC37D6"/>
    <w:rsid w:val="46FE8A5E"/>
    <w:rsid w:val="470091E6"/>
    <w:rsid w:val="47014007"/>
    <w:rsid w:val="47036D77"/>
    <w:rsid w:val="47039816"/>
    <w:rsid w:val="4707CF80"/>
    <w:rsid w:val="470A7769"/>
    <w:rsid w:val="470A9683"/>
    <w:rsid w:val="470D3B4E"/>
    <w:rsid w:val="470D78B7"/>
    <w:rsid w:val="470DCB68"/>
    <w:rsid w:val="470FED4A"/>
    <w:rsid w:val="471711E8"/>
    <w:rsid w:val="4717F3A9"/>
    <w:rsid w:val="4718615F"/>
    <w:rsid w:val="47191EA9"/>
    <w:rsid w:val="472147A7"/>
    <w:rsid w:val="47217488"/>
    <w:rsid w:val="4721D104"/>
    <w:rsid w:val="4724DC28"/>
    <w:rsid w:val="4724E19D"/>
    <w:rsid w:val="4726B308"/>
    <w:rsid w:val="4727EE11"/>
    <w:rsid w:val="47283E86"/>
    <w:rsid w:val="472AD30C"/>
    <w:rsid w:val="472AE2DE"/>
    <w:rsid w:val="472CA816"/>
    <w:rsid w:val="472DA5D2"/>
    <w:rsid w:val="472F0F59"/>
    <w:rsid w:val="472F3C22"/>
    <w:rsid w:val="472FB20B"/>
    <w:rsid w:val="473091DD"/>
    <w:rsid w:val="4732E6DA"/>
    <w:rsid w:val="4733E510"/>
    <w:rsid w:val="473537E2"/>
    <w:rsid w:val="47359E17"/>
    <w:rsid w:val="47367C14"/>
    <w:rsid w:val="47371E21"/>
    <w:rsid w:val="4737503D"/>
    <w:rsid w:val="4737BB62"/>
    <w:rsid w:val="473A6380"/>
    <w:rsid w:val="473B8232"/>
    <w:rsid w:val="473BA019"/>
    <w:rsid w:val="473DEE47"/>
    <w:rsid w:val="473E9270"/>
    <w:rsid w:val="473EC946"/>
    <w:rsid w:val="474106C3"/>
    <w:rsid w:val="474143EA"/>
    <w:rsid w:val="47422CDB"/>
    <w:rsid w:val="47426FB0"/>
    <w:rsid w:val="4745ECDA"/>
    <w:rsid w:val="4745FAB5"/>
    <w:rsid w:val="4746CCC9"/>
    <w:rsid w:val="47473892"/>
    <w:rsid w:val="474C69D1"/>
    <w:rsid w:val="474D2645"/>
    <w:rsid w:val="47504075"/>
    <w:rsid w:val="47507127"/>
    <w:rsid w:val="475279D6"/>
    <w:rsid w:val="4752EF3D"/>
    <w:rsid w:val="4753A94D"/>
    <w:rsid w:val="4757206D"/>
    <w:rsid w:val="475955F3"/>
    <w:rsid w:val="475A5D52"/>
    <w:rsid w:val="475B2FDC"/>
    <w:rsid w:val="475D2996"/>
    <w:rsid w:val="475DAC9E"/>
    <w:rsid w:val="4760AA95"/>
    <w:rsid w:val="476225E1"/>
    <w:rsid w:val="47627925"/>
    <w:rsid w:val="4762FE3D"/>
    <w:rsid w:val="4764ECF3"/>
    <w:rsid w:val="476524D8"/>
    <w:rsid w:val="4766BA17"/>
    <w:rsid w:val="4767AF0F"/>
    <w:rsid w:val="47693402"/>
    <w:rsid w:val="476AE88B"/>
    <w:rsid w:val="476B48B8"/>
    <w:rsid w:val="476B5FB3"/>
    <w:rsid w:val="476C7296"/>
    <w:rsid w:val="476D5AD4"/>
    <w:rsid w:val="476D6D92"/>
    <w:rsid w:val="476FC848"/>
    <w:rsid w:val="47702B97"/>
    <w:rsid w:val="4770C989"/>
    <w:rsid w:val="4772731D"/>
    <w:rsid w:val="477274A3"/>
    <w:rsid w:val="4773BCD6"/>
    <w:rsid w:val="47756A4E"/>
    <w:rsid w:val="47769640"/>
    <w:rsid w:val="4777B668"/>
    <w:rsid w:val="477920A9"/>
    <w:rsid w:val="477ADF21"/>
    <w:rsid w:val="4781AEE1"/>
    <w:rsid w:val="47852E21"/>
    <w:rsid w:val="4786DC2C"/>
    <w:rsid w:val="4787BFD9"/>
    <w:rsid w:val="4787E36D"/>
    <w:rsid w:val="47881F40"/>
    <w:rsid w:val="478892E0"/>
    <w:rsid w:val="478AD015"/>
    <w:rsid w:val="478C3323"/>
    <w:rsid w:val="478D91F4"/>
    <w:rsid w:val="478F2901"/>
    <w:rsid w:val="478F442B"/>
    <w:rsid w:val="478FD711"/>
    <w:rsid w:val="47907960"/>
    <w:rsid w:val="47908AA9"/>
    <w:rsid w:val="4790D8C4"/>
    <w:rsid w:val="4793AC92"/>
    <w:rsid w:val="47961B1F"/>
    <w:rsid w:val="47974205"/>
    <w:rsid w:val="479AD874"/>
    <w:rsid w:val="479B474D"/>
    <w:rsid w:val="479B5A2C"/>
    <w:rsid w:val="479B666D"/>
    <w:rsid w:val="479B767E"/>
    <w:rsid w:val="479E2187"/>
    <w:rsid w:val="479E7991"/>
    <w:rsid w:val="479F7002"/>
    <w:rsid w:val="479FD80E"/>
    <w:rsid w:val="47A1CC1F"/>
    <w:rsid w:val="47A54F40"/>
    <w:rsid w:val="47A6583E"/>
    <w:rsid w:val="47A6BE7A"/>
    <w:rsid w:val="47A83AD9"/>
    <w:rsid w:val="47A86053"/>
    <w:rsid w:val="47A8D97D"/>
    <w:rsid w:val="47AB9388"/>
    <w:rsid w:val="47AD9D24"/>
    <w:rsid w:val="47ADA230"/>
    <w:rsid w:val="47ADD418"/>
    <w:rsid w:val="47B035E6"/>
    <w:rsid w:val="47B1499F"/>
    <w:rsid w:val="47B287E5"/>
    <w:rsid w:val="47B3BAB8"/>
    <w:rsid w:val="47B4672B"/>
    <w:rsid w:val="47B7EA40"/>
    <w:rsid w:val="47BA05AA"/>
    <w:rsid w:val="47BA3660"/>
    <w:rsid w:val="47BB36AA"/>
    <w:rsid w:val="47BC4E95"/>
    <w:rsid w:val="47BCCB0F"/>
    <w:rsid w:val="47BFC135"/>
    <w:rsid w:val="47C1B2E5"/>
    <w:rsid w:val="47C34800"/>
    <w:rsid w:val="47C546CE"/>
    <w:rsid w:val="47C6127C"/>
    <w:rsid w:val="47C6A7C0"/>
    <w:rsid w:val="47C77EB1"/>
    <w:rsid w:val="47C85E46"/>
    <w:rsid w:val="47C93266"/>
    <w:rsid w:val="47CC5A87"/>
    <w:rsid w:val="47CDC692"/>
    <w:rsid w:val="47CDE62A"/>
    <w:rsid w:val="47CEBE6B"/>
    <w:rsid w:val="47CF9E8B"/>
    <w:rsid w:val="47D244D5"/>
    <w:rsid w:val="47D4EFBC"/>
    <w:rsid w:val="47D55747"/>
    <w:rsid w:val="47D7A4E4"/>
    <w:rsid w:val="47D8E566"/>
    <w:rsid w:val="47DACA25"/>
    <w:rsid w:val="47DDEBA5"/>
    <w:rsid w:val="47DE5EA2"/>
    <w:rsid w:val="47DE6691"/>
    <w:rsid w:val="47E13FB4"/>
    <w:rsid w:val="47E32D79"/>
    <w:rsid w:val="47E3AFF9"/>
    <w:rsid w:val="47E50F5E"/>
    <w:rsid w:val="47EAAD23"/>
    <w:rsid w:val="47EE7C78"/>
    <w:rsid w:val="47EEE1A7"/>
    <w:rsid w:val="47F85B17"/>
    <w:rsid w:val="47F8A9C1"/>
    <w:rsid w:val="47FEEB6C"/>
    <w:rsid w:val="47FF9784"/>
    <w:rsid w:val="48000D43"/>
    <w:rsid w:val="4800A572"/>
    <w:rsid w:val="4800BE5A"/>
    <w:rsid w:val="4800D887"/>
    <w:rsid w:val="480316AF"/>
    <w:rsid w:val="4803EFD8"/>
    <w:rsid w:val="4804EAFD"/>
    <w:rsid w:val="4806A62B"/>
    <w:rsid w:val="480B2137"/>
    <w:rsid w:val="480C4822"/>
    <w:rsid w:val="480C95EB"/>
    <w:rsid w:val="480D248A"/>
    <w:rsid w:val="480D9022"/>
    <w:rsid w:val="480E5510"/>
    <w:rsid w:val="481097D6"/>
    <w:rsid w:val="4810E267"/>
    <w:rsid w:val="4811699D"/>
    <w:rsid w:val="4812C170"/>
    <w:rsid w:val="48131769"/>
    <w:rsid w:val="48176F1C"/>
    <w:rsid w:val="481AEFB4"/>
    <w:rsid w:val="481B5493"/>
    <w:rsid w:val="481C047F"/>
    <w:rsid w:val="481D6064"/>
    <w:rsid w:val="481E4D52"/>
    <w:rsid w:val="4820024A"/>
    <w:rsid w:val="48211737"/>
    <w:rsid w:val="4821CD62"/>
    <w:rsid w:val="4824210D"/>
    <w:rsid w:val="48262035"/>
    <w:rsid w:val="482D234E"/>
    <w:rsid w:val="482E3062"/>
    <w:rsid w:val="482F959F"/>
    <w:rsid w:val="48331A44"/>
    <w:rsid w:val="48352915"/>
    <w:rsid w:val="4836DBD8"/>
    <w:rsid w:val="4837C42C"/>
    <w:rsid w:val="483E2DC2"/>
    <w:rsid w:val="483F2A0D"/>
    <w:rsid w:val="483F6152"/>
    <w:rsid w:val="484218A4"/>
    <w:rsid w:val="484350E4"/>
    <w:rsid w:val="48438667"/>
    <w:rsid w:val="4843B070"/>
    <w:rsid w:val="48476C21"/>
    <w:rsid w:val="4848E428"/>
    <w:rsid w:val="484AF48C"/>
    <w:rsid w:val="484CB8A7"/>
    <w:rsid w:val="484DDAF0"/>
    <w:rsid w:val="485253B6"/>
    <w:rsid w:val="4853CB88"/>
    <w:rsid w:val="4854B802"/>
    <w:rsid w:val="4854E7CF"/>
    <w:rsid w:val="485547CA"/>
    <w:rsid w:val="4856DCCD"/>
    <w:rsid w:val="485708BE"/>
    <w:rsid w:val="4857A12B"/>
    <w:rsid w:val="485A2D27"/>
    <w:rsid w:val="485BDA87"/>
    <w:rsid w:val="485CAABE"/>
    <w:rsid w:val="485E7BBE"/>
    <w:rsid w:val="485EF373"/>
    <w:rsid w:val="485FB5EC"/>
    <w:rsid w:val="48610CDC"/>
    <w:rsid w:val="4861C2B6"/>
    <w:rsid w:val="48654B0D"/>
    <w:rsid w:val="4868F774"/>
    <w:rsid w:val="486A44A1"/>
    <w:rsid w:val="486B3DAF"/>
    <w:rsid w:val="486C053D"/>
    <w:rsid w:val="486D7CB5"/>
    <w:rsid w:val="4871893D"/>
    <w:rsid w:val="487361F4"/>
    <w:rsid w:val="487742D9"/>
    <w:rsid w:val="48777DDD"/>
    <w:rsid w:val="4878F6F1"/>
    <w:rsid w:val="487B3AFD"/>
    <w:rsid w:val="487BCC21"/>
    <w:rsid w:val="487E0CF8"/>
    <w:rsid w:val="48818174"/>
    <w:rsid w:val="4882CA3C"/>
    <w:rsid w:val="48848370"/>
    <w:rsid w:val="48851ED2"/>
    <w:rsid w:val="48878C68"/>
    <w:rsid w:val="48881B36"/>
    <w:rsid w:val="488A06CA"/>
    <w:rsid w:val="488A9D99"/>
    <w:rsid w:val="488F180C"/>
    <w:rsid w:val="4890F7C0"/>
    <w:rsid w:val="489443BC"/>
    <w:rsid w:val="4894E9D4"/>
    <w:rsid w:val="4896E3B2"/>
    <w:rsid w:val="489A2986"/>
    <w:rsid w:val="489AB83F"/>
    <w:rsid w:val="489BF295"/>
    <w:rsid w:val="489D0E98"/>
    <w:rsid w:val="489E6ABB"/>
    <w:rsid w:val="489EB5A9"/>
    <w:rsid w:val="48A1839D"/>
    <w:rsid w:val="48A29C03"/>
    <w:rsid w:val="48A4440A"/>
    <w:rsid w:val="48A53982"/>
    <w:rsid w:val="48A75D49"/>
    <w:rsid w:val="48A805C1"/>
    <w:rsid w:val="48A8476C"/>
    <w:rsid w:val="48A84DD2"/>
    <w:rsid w:val="48AAF59F"/>
    <w:rsid w:val="48AD1998"/>
    <w:rsid w:val="48AF4EB1"/>
    <w:rsid w:val="48AFA48D"/>
    <w:rsid w:val="48B1657F"/>
    <w:rsid w:val="48B1942B"/>
    <w:rsid w:val="48B24C93"/>
    <w:rsid w:val="48B2BF07"/>
    <w:rsid w:val="48B71478"/>
    <w:rsid w:val="48B82187"/>
    <w:rsid w:val="48B888A3"/>
    <w:rsid w:val="48BCC495"/>
    <w:rsid w:val="48BD1808"/>
    <w:rsid w:val="48BD9B81"/>
    <w:rsid w:val="48BE2DC3"/>
    <w:rsid w:val="48BEC6AC"/>
    <w:rsid w:val="48C38886"/>
    <w:rsid w:val="48C3F205"/>
    <w:rsid w:val="48C520FF"/>
    <w:rsid w:val="48C5EFE1"/>
    <w:rsid w:val="48C79DE6"/>
    <w:rsid w:val="48C828C6"/>
    <w:rsid w:val="48CA15D0"/>
    <w:rsid w:val="48CD0E20"/>
    <w:rsid w:val="48CD53E0"/>
    <w:rsid w:val="48CF24BC"/>
    <w:rsid w:val="48CF36DB"/>
    <w:rsid w:val="48D02071"/>
    <w:rsid w:val="48D06DE5"/>
    <w:rsid w:val="48D0767A"/>
    <w:rsid w:val="48D0B14A"/>
    <w:rsid w:val="48D176CF"/>
    <w:rsid w:val="48D48F6F"/>
    <w:rsid w:val="48D4D38A"/>
    <w:rsid w:val="48D626CD"/>
    <w:rsid w:val="48D6CCC0"/>
    <w:rsid w:val="48D900C0"/>
    <w:rsid w:val="48DAD636"/>
    <w:rsid w:val="48DB2AFC"/>
    <w:rsid w:val="48DECEA6"/>
    <w:rsid w:val="48E286E9"/>
    <w:rsid w:val="48E37AC1"/>
    <w:rsid w:val="48E39D6F"/>
    <w:rsid w:val="48E45342"/>
    <w:rsid w:val="48E613FF"/>
    <w:rsid w:val="48E88E45"/>
    <w:rsid w:val="48ED43E8"/>
    <w:rsid w:val="48ED4F3A"/>
    <w:rsid w:val="48EE5E18"/>
    <w:rsid w:val="48F064D1"/>
    <w:rsid w:val="48F0FF3E"/>
    <w:rsid w:val="48F2991D"/>
    <w:rsid w:val="48F3F9B2"/>
    <w:rsid w:val="48F45E17"/>
    <w:rsid w:val="48F66668"/>
    <w:rsid w:val="48F690F6"/>
    <w:rsid w:val="48F8137A"/>
    <w:rsid w:val="48F81863"/>
    <w:rsid w:val="48F87949"/>
    <w:rsid w:val="48F8B567"/>
    <w:rsid w:val="48FA6934"/>
    <w:rsid w:val="48FE10FC"/>
    <w:rsid w:val="48FE1145"/>
    <w:rsid w:val="49001ECA"/>
    <w:rsid w:val="4903C21D"/>
    <w:rsid w:val="49041444"/>
    <w:rsid w:val="49048BFF"/>
    <w:rsid w:val="4904C42C"/>
    <w:rsid w:val="4904F843"/>
    <w:rsid w:val="4907F1EB"/>
    <w:rsid w:val="490D9889"/>
    <w:rsid w:val="491085E4"/>
    <w:rsid w:val="49114553"/>
    <w:rsid w:val="4912A6B9"/>
    <w:rsid w:val="491388B4"/>
    <w:rsid w:val="491566FD"/>
    <w:rsid w:val="4915CAC2"/>
    <w:rsid w:val="49177C5E"/>
    <w:rsid w:val="49182154"/>
    <w:rsid w:val="491A1A63"/>
    <w:rsid w:val="491AF02E"/>
    <w:rsid w:val="491B8F46"/>
    <w:rsid w:val="491D1204"/>
    <w:rsid w:val="491EAD76"/>
    <w:rsid w:val="4920A8BC"/>
    <w:rsid w:val="4922552C"/>
    <w:rsid w:val="4928C97E"/>
    <w:rsid w:val="492A5534"/>
    <w:rsid w:val="492ACFBF"/>
    <w:rsid w:val="492BAF41"/>
    <w:rsid w:val="492C3596"/>
    <w:rsid w:val="492DDC26"/>
    <w:rsid w:val="492ECCCB"/>
    <w:rsid w:val="49316801"/>
    <w:rsid w:val="493318FE"/>
    <w:rsid w:val="493347AA"/>
    <w:rsid w:val="4934B492"/>
    <w:rsid w:val="4936B76B"/>
    <w:rsid w:val="49373293"/>
    <w:rsid w:val="49389A8C"/>
    <w:rsid w:val="493C40B8"/>
    <w:rsid w:val="493DF2F4"/>
    <w:rsid w:val="493ED319"/>
    <w:rsid w:val="493F9D2E"/>
    <w:rsid w:val="49414AA2"/>
    <w:rsid w:val="49417BF4"/>
    <w:rsid w:val="4941CC67"/>
    <w:rsid w:val="4941DFD4"/>
    <w:rsid w:val="494265B9"/>
    <w:rsid w:val="4944F108"/>
    <w:rsid w:val="4945C626"/>
    <w:rsid w:val="4948E5F4"/>
    <w:rsid w:val="494C4BB3"/>
    <w:rsid w:val="494D1E76"/>
    <w:rsid w:val="494D46FE"/>
    <w:rsid w:val="494F00D2"/>
    <w:rsid w:val="494F3EC7"/>
    <w:rsid w:val="49510BFA"/>
    <w:rsid w:val="49548874"/>
    <w:rsid w:val="4956063C"/>
    <w:rsid w:val="49564193"/>
    <w:rsid w:val="4958010F"/>
    <w:rsid w:val="4958F0DB"/>
    <w:rsid w:val="495AB0CD"/>
    <w:rsid w:val="495B1B8A"/>
    <w:rsid w:val="495BBDE8"/>
    <w:rsid w:val="495DDC58"/>
    <w:rsid w:val="495E506B"/>
    <w:rsid w:val="495EADE0"/>
    <w:rsid w:val="495FFD74"/>
    <w:rsid w:val="496059E1"/>
    <w:rsid w:val="49628AD2"/>
    <w:rsid w:val="49632A4C"/>
    <w:rsid w:val="49662907"/>
    <w:rsid w:val="496D83EE"/>
    <w:rsid w:val="496DE4F6"/>
    <w:rsid w:val="496E4649"/>
    <w:rsid w:val="496EB1A9"/>
    <w:rsid w:val="497271B4"/>
    <w:rsid w:val="4973D5EF"/>
    <w:rsid w:val="497414D9"/>
    <w:rsid w:val="49744762"/>
    <w:rsid w:val="497B5E59"/>
    <w:rsid w:val="497D8EE0"/>
    <w:rsid w:val="497F5B4F"/>
    <w:rsid w:val="497F6989"/>
    <w:rsid w:val="497FF69C"/>
    <w:rsid w:val="4980C8D3"/>
    <w:rsid w:val="4983F8CF"/>
    <w:rsid w:val="4985D6D9"/>
    <w:rsid w:val="49861D66"/>
    <w:rsid w:val="49874318"/>
    <w:rsid w:val="498878AE"/>
    <w:rsid w:val="49887E41"/>
    <w:rsid w:val="498AB982"/>
    <w:rsid w:val="498B2301"/>
    <w:rsid w:val="498B73E8"/>
    <w:rsid w:val="498C6F11"/>
    <w:rsid w:val="498C738A"/>
    <w:rsid w:val="49939E15"/>
    <w:rsid w:val="499522E8"/>
    <w:rsid w:val="49983B0F"/>
    <w:rsid w:val="4998B8BA"/>
    <w:rsid w:val="4999E520"/>
    <w:rsid w:val="499C9CCF"/>
    <w:rsid w:val="49A4989F"/>
    <w:rsid w:val="49A54FAB"/>
    <w:rsid w:val="49A8178B"/>
    <w:rsid w:val="49AA3EDF"/>
    <w:rsid w:val="49AB592A"/>
    <w:rsid w:val="49AB794B"/>
    <w:rsid w:val="49AD411E"/>
    <w:rsid w:val="49ADBDC8"/>
    <w:rsid w:val="49AE1968"/>
    <w:rsid w:val="49B136DF"/>
    <w:rsid w:val="49B3D88A"/>
    <w:rsid w:val="49BF486D"/>
    <w:rsid w:val="49BFD2AC"/>
    <w:rsid w:val="49C023CC"/>
    <w:rsid w:val="49C08C10"/>
    <w:rsid w:val="49C4BFB6"/>
    <w:rsid w:val="49C6B65D"/>
    <w:rsid w:val="49C6BED4"/>
    <w:rsid w:val="49CA4E89"/>
    <w:rsid w:val="49CB2FE6"/>
    <w:rsid w:val="49CDA57F"/>
    <w:rsid w:val="49CDB82A"/>
    <w:rsid w:val="49CDB98E"/>
    <w:rsid w:val="49CF9F29"/>
    <w:rsid w:val="49D5EEC0"/>
    <w:rsid w:val="49D614F7"/>
    <w:rsid w:val="49D7ED1F"/>
    <w:rsid w:val="49DA58F4"/>
    <w:rsid w:val="49DDE058"/>
    <w:rsid w:val="49E137D7"/>
    <w:rsid w:val="49E36D85"/>
    <w:rsid w:val="49E3BD66"/>
    <w:rsid w:val="49E6CF18"/>
    <w:rsid w:val="49E87457"/>
    <w:rsid w:val="49ED14E6"/>
    <w:rsid w:val="49ED25EB"/>
    <w:rsid w:val="49EEE576"/>
    <w:rsid w:val="49F02A2F"/>
    <w:rsid w:val="49F1B62E"/>
    <w:rsid w:val="49F51BB1"/>
    <w:rsid w:val="49F92C5A"/>
    <w:rsid w:val="49FECA50"/>
    <w:rsid w:val="4A003280"/>
    <w:rsid w:val="4A011AB2"/>
    <w:rsid w:val="4A04446E"/>
    <w:rsid w:val="4A0689C3"/>
    <w:rsid w:val="4A08DE1C"/>
    <w:rsid w:val="4A094D16"/>
    <w:rsid w:val="4A09708E"/>
    <w:rsid w:val="4A09988A"/>
    <w:rsid w:val="4A09EBDF"/>
    <w:rsid w:val="4A0CA4D5"/>
    <w:rsid w:val="4A0CBBAE"/>
    <w:rsid w:val="4A10404A"/>
    <w:rsid w:val="4A136D8C"/>
    <w:rsid w:val="4A14075F"/>
    <w:rsid w:val="4A142C82"/>
    <w:rsid w:val="4A149109"/>
    <w:rsid w:val="4A14D5AF"/>
    <w:rsid w:val="4A15FD12"/>
    <w:rsid w:val="4A186FB5"/>
    <w:rsid w:val="4A190565"/>
    <w:rsid w:val="4A1B434E"/>
    <w:rsid w:val="4A1C6034"/>
    <w:rsid w:val="4A1EC423"/>
    <w:rsid w:val="4A1EEABE"/>
    <w:rsid w:val="4A1FB6E5"/>
    <w:rsid w:val="4A20366D"/>
    <w:rsid w:val="4A219A79"/>
    <w:rsid w:val="4A22B903"/>
    <w:rsid w:val="4A26C153"/>
    <w:rsid w:val="4A2779B9"/>
    <w:rsid w:val="4A286A8C"/>
    <w:rsid w:val="4A2A9EF5"/>
    <w:rsid w:val="4A2AB903"/>
    <w:rsid w:val="4A2B4FE5"/>
    <w:rsid w:val="4A2C004D"/>
    <w:rsid w:val="4A2C901B"/>
    <w:rsid w:val="4A2DBBBF"/>
    <w:rsid w:val="4A2F426F"/>
    <w:rsid w:val="4A2FC594"/>
    <w:rsid w:val="4A339DE5"/>
    <w:rsid w:val="4A358C3D"/>
    <w:rsid w:val="4A35CE67"/>
    <w:rsid w:val="4A37BF20"/>
    <w:rsid w:val="4A399B75"/>
    <w:rsid w:val="4A40699C"/>
    <w:rsid w:val="4A41269A"/>
    <w:rsid w:val="4A43F2CF"/>
    <w:rsid w:val="4A44069B"/>
    <w:rsid w:val="4A47152F"/>
    <w:rsid w:val="4A49F21F"/>
    <w:rsid w:val="4A4AA403"/>
    <w:rsid w:val="4A4D50B1"/>
    <w:rsid w:val="4A503E5B"/>
    <w:rsid w:val="4A5077BD"/>
    <w:rsid w:val="4A54B795"/>
    <w:rsid w:val="4A54CB94"/>
    <w:rsid w:val="4A5607C0"/>
    <w:rsid w:val="4A56C7FA"/>
    <w:rsid w:val="4A584D02"/>
    <w:rsid w:val="4A5B5BBB"/>
    <w:rsid w:val="4A5BF8AA"/>
    <w:rsid w:val="4A5C4566"/>
    <w:rsid w:val="4A5CAE8B"/>
    <w:rsid w:val="4A601772"/>
    <w:rsid w:val="4A641335"/>
    <w:rsid w:val="4A6458D4"/>
    <w:rsid w:val="4A64960E"/>
    <w:rsid w:val="4A66C097"/>
    <w:rsid w:val="4A673A39"/>
    <w:rsid w:val="4A67B47D"/>
    <w:rsid w:val="4A6A86EB"/>
    <w:rsid w:val="4A6CDA9B"/>
    <w:rsid w:val="4A6D8023"/>
    <w:rsid w:val="4A6DAB6A"/>
    <w:rsid w:val="4A6F7338"/>
    <w:rsid w:val="4A7089AC"/>
    <w:rsid w:val="4A7114B8"/>
    <w:rsid w:val="4A73A276"/>
    <w:rsid w:val="4A754421"/>
    <w:rsid w:val="4A784FFE"/>
    <w:rsid w:val="4A799BD3"/>
    <w:rsid w:val="4A7A1BD9"/>
    <w:rsid w:val="4A7B15A3"/>
    <w:rsid w:val="4A7B2AB4"/>
    <w:rsid w:val="4A7BF3CC"/>
    <w:rsid w:val="4A7D534B"/>
    <w:rsid w:val="4A7D5AE7"/>
    <w:rsid w:val="4A7E65F3"/>
    <w:rsid w:val="4A822A81"/>
    <w:rsid w:val="4A824A33"/>
    <w:rsid w:val="4A877D72"/>
    <w:rsid w:val="4A87FB49"/>
    <w:rsid w:val="4A881FB8"/>
    <w:rsid w:val="4A8C4AB3"/>
    <w:rsid w:val="4A8D1C43"/>
    <w:rsid w:val="4A8D6D10"/>
    <w:rsid w:val="4A8F7F50"/>
    <w:rsid w:val="4A901E7A"/>
    <w:rsid w:val="4A911ACB"/>
    <w:rsid w:val="4A92C283"/>
    <w:rsid w:val="4A92FBF9"/>
    <w:rsid w:val="4A93809A"/>
    <w:rsid w:val="4A951513"/>
    <w:rsid w:val="4A98617A"/>
    <w:rsid w:val="4A9AB009"/>
    <w:rsid w:val="4A9BBC99"/>
    <w:rsid w:val="4A9E4D94"/>
    <w:rsid w:val="4AA2F63C"/>
    <w:rsid w:val="4AA35E97"/>
    <w:rsid w:val="4AA45333"/>
    <w:rsid w:val="4AA558C5"/>
    <w:rsid w:val="4AA75EAF"/>
    <w:rsid w:val="4AA797E6"/>
    <w:rsid w:val="4AA8DA1D"/>
    <w:rsid w:val="4AA9062F"/>
    <w:rsid w:val="4AAAB5EB"/>
    <w:rsid w:val="4AAC32F2"/>
    <w:rsid w:val="4AAD3426"/>
    <w:rsid w:val="4AAEC347"/>
    <w:rsid w:val="4AB0BB5B"/>
    <w:rsid w:val="4AB1921C"/>
    <w:rsid w:val="4AB2EEA8"/>
    <w:rsid w:val="4AB3B355"/>
    <w:rsid w:val="4AB424A4"/>
    <w:rsid w:val="4AB7628D"/>
    <w:rsid w:val="4AB92AD5"/>
    <w:rsid w:val="4ABA1591"/>
    <w:rsid w:val="4ABCDAD4"/>
    <w:rsid w:val="4ABCE8B0"/>
    <w:rsid w:val="4ABD0AD1"/>
    <w:rsid w:val="4ABD3BF0"/>
    <w:rsid w:val="4ABDC809"/>
    <w:rsid w:val="4ABF23FF"/>
    <w:rsid w:val="4AC17E6A"/>
    <w:rsid w:val="4AC2BAC2"/>
    <w:rsid w:val="4AC35BC9"/>
    <w:rsid w:val="4AC48536"/>
    <w:rsid w:val="4AC5A658"/>
    <w:rsid w:val="4AC5B09B"/>
    <w:rsid w:val="4ACA6257"/>
    <w:rsid w:val="4ACB1235"/>
    <w:rsid w:val="4ACCA1C6"/>
    <w:rsid w:val="4ACD7662"/>
    <w:rsid w:val="4ACEAB06"/>
    <w:rsid w:val="4AD224CD"/>
    <w:rsid w:val="4AD24A00"/>
    <w:rsid w:val="4AD255E0"/>
    <w:rsid w:val="4AD380C1"/>
    <w:rsid w:val="4AD38244"/>
    <w:rsid w:val="4AD539A9"/>
    <w:rsid w:val="4AD57934"/>
    <w:rsid w:val="4AD69AC7"/>
    <w:rsid w:val="4AD7BDF4"/>
    <w:rsid w:val="4AD951F8"/>
    <w:rsid w:val="4AD96491"/>
    <w:rsid w:val="4ADBCE6F"/>
    <w:rsid w:val="4ADDFEA9"/>
    <w:rsid w:val="4ADE2D0A"/>
    <w:rsid w:val="4ADFE671"/>
    <w:rsid w:val="4AE1A4AA"/>
    <w:rsid w:val="4AE1E784"/>
    <w:rsid w:val="4AE2205E"/>
    <w:rsid w:val="4AE29706"/>
    <w:rsid w:val="4AE2E9A0"/>
    <w:rsid w:val="4AE7F073"/>
    <w:rsid w:val="4AEAB30D"/>
    <w:rsid w:val="4AED47FF"/>
    <w:rsid w:val="4AED8404"/>
    <w:rsid w:val="4AF0938E"/>
    <w:rsid w:val="4AF272DB"/>
    <w:rsid w:val="4AF3494F"/>
    <w:rsid w:val="4AF4FBCE"/>
    <w:rsid w:val="4AF51459"/>
    <w:rsid w:val="4AF69AD5"/>
    <w:rsid w:val="4AF7F1D1"/>
    <w:rsid w:val="4AF84426"/>
    <w:rsid w:val="4AF8E393"/>
    <w:rsid w:val="4AF9BA69"/>
    <w:rsid w:val="4AFBF296"/>
    <w:rsid w:val="4AFC9712"/>
    <w:rsid w:val="4AFD6F51"/>
    <w:rsid w:val="4AFDBE0C"/>
    <w:rsid w:val="4AFEAA43"/>
    <w:rsid w:val="4AFFAF38"/>
    <w:rsid w:val="4B00C971"/>
    <w:rsid w:val="4B01DA22"/>
    <w:rsid w:val="4B03B0F8"/>
    <w:rsid w:val="4B044058"/>
    <w:rsid w:val="4B05D4C2"/>
    <w:rsid w:val="4B0645CF"/>
    <w:rsid w:val="4B06C7A2"/>
    <w:rsid w:val="4B071AB0"/>
    <w:rsid w:val="4B07E8FD"/>
    <w:rsid w:val="4B095311"/>
    <w:rsid w:val="4B09A4B4"/>
    <w:rsid w:val="4B0A3782"/>
    <w:rsid w:val="4B0A7ACD"/>
    <w:rsid w:val="4B0A94AE"/>
    <w:rsid w:val="4B0C2ECE"/>
    <w:rsid w:val="4B0C85DC"/>
    <w:rsid w:val="4B0CD17E"/>
    <w:rsid w:val="4B1242FF"/>
    <w:rsid w:val="4B129A70"/>
    <w:rsid w:val="4B12A40F"/>
    <w:rsid w:val="4B14F632"/>
    <w:rsid w:val="4B15AD47"/>
    <w:rsid w:val="4B16EA49"/>
    <w:rsid w:val="4B17498C"/>
    <w:rsid w:val="4B17DD99"/>
    <w:rsid w:val="4B1B7B6D"/>
    <w:rsid w:val="4B1EEFED"/>
    <w:rsid w:val="4B1EFD23"/>
    <w:rsid w:val="4B2078A0"/>
    <w:rsid w:val="4B20AE4F"/>
    <w:rsid w:val="4B274449"/>
    <w:rsid w:val="4B2829AA"/>
    <w:rsid w:val="4B283F72"/>
    <w:rsid w:val="4B28CD4C"/>
    <w:rsid w:val="4B2A6A93"/>
    <w:rsid w:val="4B2A9EFD"/>
    <w:rsid w:val="4B2E0B24"/>
    <w:rsid w:val="4B2FD5DE"/>
    <w:rsid w:val="4B308113"/>
    <w:rsid w:val="4B34F855"/>
    <w:rsid w:val="4B34F970"/>
    <w:rsid w:val="4B36023D"/>
    <w:rsid w:val="4B372C06"/>
    <w:rsid w:val="4B37B318"/>
    <w:rsid w:val="4B37C3CE"/>
    <w:rsid w:val="4B385FC5"/>
    <w:rsid w:val="4B39D70B"/>
    <w:rsid w:val="4B3A03DD"/>
    <w:rsid w:val="4B3A8499"/>
    <w:rsid w:val="4B3B9044"/>
    <w:rsid w:val="4B404E9B"/>
    <w:rsid w:val="4B41C6F1"/>
    <w:rsid w:val="4B43315D"/>
    <w:rsid w:val="4B434D38"/>
    <w:rsid w:val="4B438A6D"/>
    <w:rsid w:val="4B4436AD"/>
    <w:rsid w:val="4B44EDAC"/>
    <w:rsid w:val="4B477969"/>
    <w:rsid w:val="4B49D296"/>
    <w:rsid w:val="4B4A5793"/>
    <w:rsid w:val="4B4B70DA"/>
    <w:rsid w:val="4B4C39A3"/>
    <w:rsid w:val="4B4C78BA"/>
    <w:rsid w:val="4B4E82E0"/>
    <w:rsid w:val="4B4FFD8E"/>
    <w:rsid w:val="4B50AD9C"/>
    <w:rsid w:val="4B512460"/>
    <w:rsid w:val="4B5421F5"/>
    <w:rsid w:val="4B54E9FB"/>
    <w:rsid w:val="4B557924"/>
    <w:rsid w:val="4B594374"/>
    <w:rsid w:val="4B5956DD"/>
    <w:rsid w:val="4B5A8E11"/>
    <w:rsid w:val="4B5C5B91"/>
    <w:rsid w:val="4B5EB429"/>
    <w:rsid w:val="4B5FB897"/>
    <w:rsid w:val="4B64917E"/>
    <w:rsid w:val="4B656BD0"/>
    <w:rsid w:val="4B65AA1A"/>
    <w:rsid w:val="4B673BDA"/>
    <w:rsid w:val="4B67F420"/>
    <w:rsid w:val="4B687802"/>
    <w:rsid w:val="4B687AD3"/>
    <w:rsid w:val="4B68D0A9"/>
    <w:rsid w:val="4B6A38CF"/>
    <w:rsid w:val="4B6E3D31"/>
    <w:rsid w:val="4B6F7902"/>
    <w:rsid w:val="4B703AB0"/>
    <w:rsid w:val="4B70C24C"/>
    <w:rsid w:val="4B716C08"/>
    <w:rsid w:val="4B721755"/>
    <w:rsid w:val="4B74FFA1"/>
    <w:rsid w:val="4B75B53C"/>
    <w:rsid w:val="4B7765F2"/>
    <w:rsid w:val="4B77D32A"/>
    <w:rsid w:val="4B78A565"/>
    <w:rsid w:val="4B78A7D9"/>
    <w:rsid w:val="4B7981D7"/>
    <w:rsid w:val="4B7A9820"/>
    <w:rsid w:val="4B7AC4F7"/>
    <w:rsid w:val="4B7AF327"/>
    <w:rsid w:val="4B7B5562"/>
    <w:rsid w:val="4B7C27C4"/>
    <w:rsid w:val="4B7CC27D"/>
    <w:rsid w:val="4B7EE453"/>
    <w:rsid w:val="4B84FDF3"/>
    <w:rsid w:val="4B891EF5"/>
    <w:rsid w:val="4B8DDBD8"/>
    <w:rsid w:val="4B907F2E"/>
    <w:rsid w:val="4B920CD8"/>
    <w:rsid w:val="4B94265E"/>
    <w:rsid w:val="4B9657F2"/>
    <w:rsid w:val="4B96BEB3"/>
    <w:rsid w:val="4B978820"/>
    <w:rsid w:val="4B9ACF67"/>
    <w:rsid w:val="4B9BE611"/>
    <w:rsid w:val="4B9F2F9D"/>
    <w:rsid w:val="4BA02A23"/>
    <w:rsid w:val="4BA13FCF"/>
    <w:rsid w:val="4BA22DD3"/>
    <w:rsid w:val="4BA27B89"/>
    <w:rsid w:val="4BA43674"/>
    <w:rsid w:val="4BA5D17F"/>
    <w:rsid w:val="4BA617B6"/>
    <w:rsid w:val="4BAD0E50"/>
    <w:rsid w:val="4BAE7E43"/>
    <w:rsid w:val="4BB0FD06"/>
    <w:rsid w:val="4BB2378D"/>
    <w:rsid w:val="4BB248AE"/>
    <w:rsid w:val="4BB554E3"/>
    <w:rsid w:val="4BB73227"/>
    <w:rsid w:val="4BBBF70E"/>
    <w:rsid w:val="4BBD77A9"/>
    <w:rsid w:val="4BC22FD7"/>
    <w:rsid w:val="4BC31880"/>
    <w:rsid w:val="4BC4EA89"/>
    <w:rsid w:val="4BC9CC8E"/>
    <w:rsid w:val="4BCDFAB7"/>
    <w:rsid w:val="4BCEAC96"/>
    <w:rsid w:val="4BCF5442"/>
    <w:rsid w:val="4BCF6316"/>
    <w:rsid w:val="4BCFB09C"/>
    <w:rsid w:val="4BD14BB2"/>
    <w:rsid w:val="4BD4E869"/>
    <w:rsid w:val="4BD58640"/>
    <w:rsid w:val="4BD68C76"/>
    <w:rsid w:val="4BDAA0C3"/>
    <w:rsid w:val="4BDB3974"/>
    <w:rsid w:val="4BDCCCC8"/>
    <w:rsid w:val="4BDEAA44"/>
    <w:rsid w:val="4BDEB3EE"/>
    <w:rsid w:val="4BDF51F8"/>
    <w:rsid w:val="4BE0B25A"/>
    <w:rsid w:val="4BE3108C"/>
    <w:rsid w:val="4BE698A6"/>
    <w:rsid w:val="4BE69CE0"/>
    <w:rsid w:val="4BE6B5BF"/>
    <w:rsid w:val="4BE839CF"/>
    <w:rsid w:val="4BEBFF5D"/>
    <w:rsid w:val="4BEC6DD0"/>
    <w:rsid w:val="4BEECC2D"/>
    <w:rsid w:val="4BEF62CD"/>
    <w:rsid w:val="4BF01D71"/>
    <w:rsid w:val="4BF13922"/>
    <w:rsid w:val="4BF78996"/>
    <w:rsid w:val="4BF7BA9C"/>
    <w:rsid w:val="4BF7F650"/>
    <w:rsid w:val="4BF84ECB"/>
    <w:rsid w:val="4BFB8796"/>
    <w:rsid w:val="4BFBE0ED"/>
    <w:rsid w:val="4C020EC7"/>
    <w:rsid w:val="4C02230D"/>
    <w:rsid w:val="4C028A4B"/>
    <w:rsid w:val="4C032F05"/>
    <w:rsid w:val="4C044C56"/>
    <w:rsid w:val="4C0601C7"/>
    <w:rsid w:val="4C06F3E8"/>
    <w:rsid w:val="4C074EEE"/>
    <w:rsid w:val="4C07F28C"/>
    <w:rsid w:val="4C0CC571"/>
    <w:rsid w:val="4C0D934E"/>
    <w:rsid w:val="4C11347F"/>
    <w:rsid w:val="4C13E33C"/>
    <w:rsid w:val="4C1582B4"/>
    <w:rsid w:val="4C18C9AC"/>
    <w:rsid w:val="4C1A416C"/>
    <w:rsid w:val="4C1D0F7B"/>
    <w:rsid w:val="4C1E96AC"/>
    <w:rsid w:val="4C1EB8A6"/>
    <w:rsid w:val="4C1FC2FD"/>
    <w:rsid w:val="4C2070CA"/>
    <w:rsid w:val="4C21ACD5"/>
    <w:rsid w:val="4C24E30B"/>
    <w:rsid w:val="4C2596E5"/>
    <w:rsid w:val="4C261665"/>
    <w:rsid w:val="4C26BEC9"/>
    <w:rsid w:val="4C280C8A"/>
    <w:rsid w:val="4C29BFEF"/>
    <w:rsid w:val="4C29F0AA"/>
    <w:rsid w:val="4C29FB4C"/>
    <w:rsid w:val="4C2A28CC"/>
    <w:rsid w:val="4C2AC52A"/>
    <w:rsid w:val="4C2B760B"/>
    <w:rsid w:val="4C2C2FAB"/>
    <w:rsid w:val="4C2C4C60"/>
    <w:rsid w:val="4C2C7923"/>
    <w:rsid w:val="4C2E6E15"/>
    <w:rsid w:val="4C3134AD"/>
    <w:rsid w:val="4C38CB21"/>
    <w:rsid w:val="4C3B09FA"/>
    <w:rsid w:val="4C3BD2FB"/>
    <w:rsid w:val="4C3E5FE2"/>
    <w:rsid w:val="4C40A375"/>
    <w:rsid w:val="4C4171A3"/>
    <w:rsid w:val="4C42B7AA"/>
    <w:rsid w:val="4C430A75"/>
    <w:rsid w:val="4C450691"/>
    <w:rsid w:val="4C457AB5"/>
    <w:rsid w:val="4C494B8A"/>
    <w:rsid w:val="4C4A4CE0"/>
    <w:rsid w:val="4C4BBDC4"/>
    <w:rsid w:val="4C4EAD2E"/>
    <w:rsid w:val="4C502FEE"/>
    <w:rsid w:val="4C55186B"/>
    <w:rsid w:val="4C55200E"/>
    <w:rsid w:val="4C5AAC9E"/>
    <w:rsid w:val="4C5AED97"/>
    <w:rsid w:val="4C5BD520"/>
    <w:rsid w:val="4C5DFD38"/>
    <w:rsid w:val="4C5E4291"/>
    <w:rsid w:val="4C605FBE"/>
    <w:rsid w:val="4C615282"/>
    <w:rsid w:val="4C62F1FC"/>
    <w:rsid w:val="4C63841A"/>
    <w:rsid w:val="4C6C0C87"/>
    <w:rsid w:val="4C6C639B"/>
    <w:rsid w:val="4C6D00AC"/>
    <w:rsid w:val="4C6D341C"/>
    <w:rsid w:val="4C71A8D6"/>
    <w:rsid w:val="4C72920A"/>
    <w:rsid w:val="4C730DA1"/>
    <w:rsid w:val="4C74990F"/>
    <w:rsid w:val="4C774797"/>
    <w:rsid w:val="4C78A664"/>
    <w:rsid w:val="4C7925E9"/>
    <w:rsid w:val="4C79EFCF"/>
    <w:rsid w:val="4C8207E0"/>
    <w:rsid w:val="4C866FFE"/>
    <w:rsid w:val="4C86C31D"/>
    <w:rsid w:val="4C8BD960"/>
    <w:rsid w:val="4C8C79BA"/>
    <w:rsid w:val="4C8DFA97"/>
    <w:rsid w:val="4C8EE07A"/>
    <w:rsid w:val="4C90097C"/>
    <w:rsid w:val="4C91992A"/>
    <w:rsid w:val="4C939683"/>
    <w:rsid w:val="4C93CE29"/>
    <w:rsid w:val="4C94F9D9"/>
    <w:rsid w:val="4C967B89"/>
    <w:rsid w:val="4C976EDA"/>
    <w:rsid w:val="4C99475E"/>
    <w:rsid w:val="4C9CDA14"/>
    <w:rsid w:val="4C9D5DCC"/>
    <w:rsid w:val="4C9DE185"/>
    <w:rsid w:val="4C9E5176"/>
    <w:rsid w:val="4CA22620"/>
    <w:rsid w:val="4CA3BC68"/>
    <w:rsid w:val="4CA4846D"/>
    <w:rsid w:val="4CA57515"/>
    <w:rsid w:val="4CA8676F"/>
    <w:rsid w:val="4CA8F492"/>
    <w:rsid w:val="4CAA942F"/>
    <w:rsid w:val="4CABCFB4"/>
    <w:rsid w:val="4CABCFC2"/>
    <w:rsid w:val="4CAFE21A"/>
    <w:rsid w:val="4CB21F23"/>
    <w:rsid w:val="4CB264A3"/>
    <w:rsid w:val="4CB7DF5C"/>
    <w:rsid w:val="4CB86E21"/>
    <w:rsid w:val="4CB95A82"/>
    <w:rsid w:val="4CBB1E7A"/>
    <w:rsid w:val="4CBB9195"/>
    <w:rsid w:val="4CBFE8D8"/>
    <w:rsid w:val="4CC07E60"/>
    <w:rsid w:val="4CC1D8E2"/>
    <w:rsid w:val="4CC4E47C"/>
    <w:rsid w:val="4CC5653A"/>
    <w:rsid w:val="4CC6C19E"/>
    <w:rsid w:val="4CC9D43B"/>
    <w:rsid w:val="4CC9DBAA"/>
    <w:rsid w:val="4CCA01F7"/>
    <w:rsid w:val="4CCBEFC1"/>
    <w:rsid w:val="4CCC5685"/>
    <w:rsid w:val="4CD0B128"/>
    <w:rsid w:val="4CD38379"/>
    <w:rsid w:val="4CD3F57D"/>
    <w:rsid w:val="4CD74CA0"/>
    <w:rsid w:val="4CD7CA4E"/>
    <w:rsid w:val="4CD86BB0"/>
    <w:rsid w:val="4CDD74C6"/>
    <w:rsid w:val="4CDD88BC"/>
    <w:rsid w:val="4CDD9004"/>
    <w:rsid w:val="4CDD99F0"/>
    <w:rsid w:val="4CDE1790"/>
    <w:rsid w:val="4CDE2CAC"/>
    <w:rsid w:val="4CE020C6"/>
    <w:rsid w:val="4CE02E1F"/>
    <w:rsid w:val="4CE2F58F"/>
    <w:rsid w:val="4CE48956"/>
    <w:rsid w:val="4CE4C3AB"/>
    <w:rsid w:val="4CE53CCF"/>
    <w:rsid w:val="4CE616E3"/>
    <w:rsid w:val="4CE63643"/>
    <w:rsid w:val="4CE790FD"/>
    <w:rsid w:val="4CE882FA"/>
    <w:rsid w:val="4CE92BF7"/>
    <w:rsid w:val="4CE9517D"/>
    <w:rsid w:val="4CECBE70"/>
    <w:rsid w:val="4CED5458"/>
    <w:rsid w:val="4CEF37B1"/>
    <w:rsid w:val="4CF22F4D"/>
    <w:rsid w:val="4CF83105"/>
    <w:rsid w:val="4CF889FF"/>
    <w:rsid w:val="4CFA78F4"/>
    <w:rsid w:val="4CFAEEE9"/>
    <w:rsid w:val="4CFEBA89"/>
    <w:rsid w:val="4D02B51B"/>
    <w:rsid w:val="4D03606B"/>
    <w:rsid w:val="4D04F6E6"/>
    <w:rsid w:val="4D055EAA"/>
    <w:rsid w:val="4D0594A7"/>
    <w:rsid w:val="4D06F8DC"/>
    <w:rsid w:val="4D07D08C"/>
    <w:rsid w:val="4D08EC7E"/>
    <w:rsid w:val="4D095A77"/>
    <w:rsid w:val="4D0B6EAF"/>
    <w:rsid w:val="4D0BC730"/>
    <w:rsid w:val="4D0D4CFE"/>
    <w:rsid w:val="4D0E275F"/>
    <w:rsid w:val="4D0EFC98"/>
    <w:rsid w:val="4D132B37"/>
    <w:rsid w:val="4D14172A"/>
    <w:rsid w:val="4D159A51"/>
    <w:rsid w:val="4D1612E7"/>
    <w:rsid w:val="4D17AC8E"/>
    <w:rsid w:val="4D1852F3"/>
    <w:rsid w:val="4D1A4DFB"/>
    <w:rsid w:val="4D1D4CE1"/>
    <w:rsid w:val="4D1D5738"/>
    <w:rsid w:val="4D1E2588"/>
    <w:rsid w:val="4D1F2A53"/>
    <w:rsid w:val="4D1F368A"/>
    <w:rsid w:val="4D208E3F"/>
    <w:rsid w:val="4D20CE54"/>
    <w:rsid w:val="4D2340E0"/>
    <w:rsid w:val="4D24E484"/>
    <w:rsid w:val="4D254009"/>
    <w:rsid w:val="4D2645CD"/>
    <w:rsid w:val="4D27347B"/>
    <w:rsid w:val="4D2A330E"/>
    <w:rsid w:val="4D2F622B"/>
    <w:rsid w:val="4D338C23"/>
    <w:rsid w:val="4D34BBDE"/>
    <w:rsid w:val="4D35B451"/>
    <w:rsid w:val="4D37D342"/>
    <w:rsid w:val="4D3A224F"/>
    <w:rsid w:val="4D3A5BFE"/>
    <w:rsid w:val="4D3C45A4"/>
    <w:rsid w:val="4D3D0F80"/>
    <w:rsid w:val="4D3D588E"/>
    <w:rsid w:val="4D3E3AE2"/>
    <w:rsid w:val="4D3F37E2"/>
    <w:rsid w:val="4D410FD5"/>
    <w:rsid w:val="4D422569"/>
    <w:rsid w:val="4D43D9BB"/>
    <w:rsid w:val="4D4489D0"/>
    <w:rsid w:val="4D46708B"/>
    <w:rsid w:val="4D46D317"/>
    <w:rsid w:val="4D46F3D7"/>
    <w:rsid w:val="4D47198C"/>
    <w:rsid w:val="4D474970"/>
    <w:rsid w:val="4D48537D"/>
    <w:rsid w:val="4D4ACF26"/>
    <w:rsid w:val="4D4B87B8"/>
    <w:rsid w:val="4D4CAD13"/>
    <w:rsid w:val="4D4CF560"/>
    <w:rsid w:val="4D4F0057"/>
    <w:rsid w:val="4D507AF9"/>
    <w:rsid w:val="4D528AA4"/>
    <w:rsid w:val="4D54E7E1"/>
    <w:rsid w:val="4D55AAC8"/>
    <w:rsid w:val="4D5747AB"/>
    <w:rsid w:val="4D5AAE05"/>
    <w:rsid w:val="4D5B0C8B"/>
    <w:rsid w:val="4D5F409F"/>
    <w:rsid w:val="4D601FE8"/>
    <w:rsid w:val="4D63D4CC"/>
    <w:rsid w:val="4D64C033"/>
    <w:rsid w:val="4D659C24"/>
    <w:rsid w:val="4D67C8CE"/>
    <w:rsid w:val="4D6A0528"/>
    <w:rsid w:val="4D6A6DE6"/>
    <w:rsid w:val="4D6BF233"/>
    <w:rsid w:val="4D6DD0B1"/>
    <w:rsid w:val="4D6EE56C"/>
    <w:rsid w:val="4D6FBEBB"/>
    <w:rsid w:val="4D70F611"/>
    <w:rsid w:val="4D73F1B3"/>
    <w:rsid w:val="4D792D27"/>
    <w:rsid w:val="4D7C0F0F"/>
    <w:rsid w:val="4D7EA7E1"/>
    <w:rsid w:val="4D7F5D60"/>
    <w:rsid w:val="4D7F8B43"/>
    <w:rsid w:val="4D7F97EA"/>
    <w:rsid w:val="4D827262"/>
    <w:rsid w:val="4D831E5B"/>
    <w:rsid w:val="4D834C42"/>
    <w:rsid w:val="4D837B41"/>
    <w:rsid w:val="4D84FC6F"/>
    <w:rsid w:val="4D8547C8"/>
    <w:rsid w:val="4D85C948"/>
    <w:rsid w:val="4D8B2775"/>
    <w:rsid w:val="4D8B7E9D"/>
    <w:rsid w:val="4D8E076F"/>
    <w:rsid w:val="4D8ECCCD"/>
    <w:rsid w:val="4D9312A9"/>
    <w:rsid w:val="4D93147E"/>
    <w:rsid w:val="4D94A1B1"/>
    <w:rsid w:val="4D95B295"/>
    <w:rsid w:val="4D95CE89"/>
    <w:rsid w:val="4D98F127"/>
    <w:rsid w:val="4D99A046"/>
    <w:rsid w:val="4D9BB1D9"/>
    <w:rsid w:val="4D9FF298"/>
    <w:rsid w:val="4DA3199B"/>
    <w:rsid w:val="4DA88953"/>
    <w:rsid w:val="4DAA73CB"/>
    <w:rsid w:val="4DAB42C1"/>
    <w:rsid w:val="4DABB9A6"/>
    <w:rsid w:val="4DAD33BB"/>
    <w:rsid w:val="4DAD5508"/>
    <w:rsid w:val="4DAFFB84"/>
    <w:rsid w:val="4DB0D244"/>
    <w:rsid w:val="4DB2EC54"/>
    <w:rsid w:val="4DB50E7D"/>
    <w:rsid w:val="4DB525EB"/>
    <w:rsid w:val="4DBB4A22"/>
    <w:rsid w:val="4DBF8863"/>
    <w:rsid w:val="4DC2EDC5"/>
    <w:rsid w:val="4DC605BE"/>
    <w:rsid w:val="4DC608C4"/>
    <w:rsid w:val="4DC672BC"/>
    <w:rsid w:val="4DC9BB7B"/>
    <w:rsid w:val="4DCA5AFB"/>
    <w:rsid w:val="4DCA8C53"/>
    <w:rsid w:val="4DCB73CA"/>
    <w:rsid w:val="4DCBCFE3"/>
    <w:rsid w:val="4DCD9F6C"/>
    <w:rsid w:val="4DCF5EAF"/>
    <w:rsid w:val="4DD01505"/>
    <w:rsid w:val="4DD0D0EC"/>
    <w:rsid w:val="4DD17081"/>
    <w:rsid w:val="4DD31F6C"/>
    <w:rsid w:val="4DD31F82"/>
    <w:rsid w:val="4DD35333"/>
    <w:rsid w:val="4DD4F859"/>
    <w:rsid w:val="4DD5E1DF"/>
    <w:rsid w:val="4DD7AD84"/>
    <w:rsid w:val="4DD7F641"/>
    <w:rsid w:val="4DDCD91C"/>
    <w:rsid w:val="4DDDA8A8"/>
    <w:rsid w:val="4DDE8CDE"/>
    <w:rsid w:val="4DDF29AE"/>
    <w:rsid w:val="4DDFF083"/>
    <w:rsid w:val="4DE4B1C7"/>
    <w:rsid w:val="4DE6A3D0"/>
    <w:rsid w:val="4DE82FE0"/>
    <w:rsid w:val="4DE9F824"/>
    <w:rsid w:val="4DECCDDC"/>
    <w:rsid w:val="4DEE7FE6"/>
    <w:rsid w:val="4DEEDA23"/>
    <w:rsid w:val="4DEFD70B"/>
    <w:rsid w:val="4DF053A4"/>
    <w:rsid w:val="4DF3837B"/>
    <w:rsid w:val="4DF45965"/>
    <w:rsid w:val="4DF49455"/>
    <w:rsid w:val="4DF4C3FF"/>
    <w:rsid w:val="4DF5CCB1"/>
    <w:rsid w:val="4DF718F0"/>
    <w:rsid w:val="4DF76F86"/>
    <w:rsid w:val="4DF7951C"/>
    <w:rsid w:val="4DF8AEA2"/>
    <w:rsid w:val="4DF8DDF2"/>
    <w:rsid w:val="4DFFCF2E"/>
    <w:rsid w:val="4E032C81"/>
    <w:rsid w:val="4E08384C"/>
    <w:rsid w:val="4E08E921"/>
    <w:rsid w:val="4E09287E"/>
    <w:rsid w:val="4E09FC64"/>
    <w:rsid w:val="4E0BAB0F"/>
    <w:rsid w:val="4E0C2BE9"/>
    <w:rsid w:val="4E0CB454"/>
    <w:rsid w:val="4E0D3CEF"/>
    <w:rsid w:val="4E13C13B"/>
    <w:rsid w:val="4E1584BE"/>
    <w:rsid w:val="4E16D99E"/>
    <w:rsid w:val="4E180138"/>
    <w:rsid w:val="4E18DAD5"/>
    <w:rsid w:val="4E18E3F7"/>
    <w:rsid w:val="4E19AB1A"/>
    <w:rsid w:val="4E1AD33E"/>
    <w:rsid w:val="4E1F1A19"/>
    <w:rsid w:val="4E1FA5C8"/>
    <w:rsid w:val="4E20606F"/>
    <w:rsid w:val="4E22FEEE"/>
    <w:rsid w:val="4E23848F"/>
    <w:rsid w:val="4E2396E1"/>
    <w:rsid w:val="4E254EFA"/>
    <w:rsid w:val="4E26008B"/>
    <w:rsid w:val="4E27CE8B"/>
    <w:rsid w:val="4E27DACA"/>
    <w:rsid w:val="4E29CAF8"/>
    <w:rsid w:val="4E2A1635"/>
    <w:rsid w:val="4E2A676C"/>
    <w:rsid w:val="4E2B1114"/>
    <w:rsid w:val="4E2C7AED"/>
    <w:rsid w:val="4E2EF59B"/>
    <w:rsid w:val="4E2F733B"/>
    <w:rsid w:val="4E32EF90"/>
    <w:rsid w:val="4E34407D"/>
    <w:rsid w:val="4E348A19"/>
    <w:rsid w:val="4E354AED"/>
    <w:rsid w:val="4E36CE50"/>
    <w:rsid w:val="4E37912E"/>
    <w:rsid w:val="4E3BBE15"/>
    <w:rsid w:val="4E3BF4A1"/>
    <w:rsid w:val="4E3CF642"/>
    <w:rsid w:val="4E3E883A"/>
    <w:rsid w:val="4E409985"/>
    <w:rsid w:val="4E440FC6"/>
    <w:rsid w:val="4E457FD6"/>
    <w:rsid w:val="4E49798D"/>
    <w:rsid w:val="4E4AA46F"/>
    <w:rsid w:val="4E4E303A"/>
    <w:rsid w:val="4E53751C"/>
    <w:rsid w:val="4E553277"/>
    <w:rsid w:val="4E5536A4"/>
    <w:rsid w:val="4E562036"/>
    <w:rsid w:val="4E569026"/>
    <w:rsid w:val="4E56F22D"/>
    <w:rsid w:val="4E5E3851"/>
    <w:rsid w:val="4E5E89DE"/>
    <w:rsid w:val="4E5F5D9A"/>
    <w:rsid w:val="4E633A29"/>
    <w:rsid w:val="4E63ECCD"/>
    <w:rsid w:val="4E643588"/>
    <w:rsid w:val="4E64BA1A"/>
    <w:rsid w:val="4E67710E"/>
    <w:rsid w:val="4E6A4641"/>
    <w:rsid w:val="4E6C718B"/>
    <w:rsid w:val="4E6DB2A4"/>
    <w:rsid w:val="4E707D31"/>
    <w:rsid w:val="4E71470A"/>
    <w:rsid w:val="4E73D055"/>
    <w:rsid w:val="4E7628C2"/>
    <w:rsid w:val="4E78185C"/>
    <w:rsid w:val="4E78A49A"/>
    <w:rsid w:val="4E7A77A8"/>
    <w:rsid w:val="4E7C0F1B"/>
    <w:rsid w:val="4E7F249F"/>
    <w:rsid w:val="4E836C3D"/>
    <w:rsid w:val="4E83E007"/>
    <w:rsid w:val="4E843DA9"/>
    <w:rsid w:val="4E844D9A"/>
    <w:rsid w:val="4E855682"/>
    <w:rsid w:val="4E874997"/>
    <w:rsid w:val="4E8B70AA"/>
    <w:rsid w:val="4E8BC4F1"/>
    <w:rsid w:val="4E8CA855"/>
    <w:rsid w:val="4E8D6339"/>
    <w:rsid w:val="4E8EE60E"/>
    <w:rsid w:val="4E8F174C"/>
    <w:rsid w:val="4E8F26FC"/>
    <w:rsid w:val="4E8FBEEC"/>
    <w:rsid w:val="4E9138E7"/>
    <w:rsid w:val="4E9272D1"/>
    <w:rsid w:val="4E92BC69"/>
    <w:rsid w:val="4E95751E"/>
    <w:rsid w:val="4E97340B"/>
    <w:rsid w:val="4E9769B2"/>
    <w:rsid w:val="4E989581"/>
    <w:rsid w:val="4E99F8A0"/>
    <w:rsid w:val="4E9BD556"/>
    <w:rsid w:val="4E9D4B75"/>
    <w:rsid w:val="4E9E2D50"/>
    <w:rsid w:val="4E9EE144"/>
    <w:rsid w:val="4E9EF8CB"/>
    <w:rsid w:val="4EA0B131"/>
    <w:rsid w:val="4EA0CD6C"/>
    <w:rsid w:val="4EA3C8E2"/>
    <w:rsid w:val="4EA40F35"/>
    <w:rsid w:val="4EA49682"/>
    <w:rsid w:val="4EA59448"/>
    <w:rsid w:val="4EA69B6A"/>
    <w:rsid w:val="4EA78DA5"/>
    <w:rsid w:val="4EA7EAB9"/>
    <w:rsid w:val="4EA92C35"/>
    <w:rsid w:val="4EAACB2D"/>
    <w:rsid w:val="4EAB2D49"/>
    <w:rsid w:val="4EAEDCFE"/>
    <w:rsid w:val="4EB02ABC"/>
    <w:rsid w:val="4EB0489B"/>
    <w:rsid w:val="4EB289A0"/>
    <w:rsid w:val="4EB31AE4"/>
    <w:rsid w:val="4EB3648F"/>
    <w:rsid w:val="4EB43120"/>
    <w:rsid w:val="4EB54CD5"/>
    <w:rsid w:val="4EB596A2"/>
    <w:rsid w:val="4EB69D0F"/>
    <w:rsid w:val="4EB7174E"/>
    <w:rsid w:val="4EB79A2D"/>
    <w:rsid w:val="4EB98B9F"/>
    <w:rsid w:val="4EBA62D6"/>
    <w:rsid w:val="4EBC54AC"/>
    <w:rsid w:val="4EBCA4A0"/>
    <w:rsid w:val="4EBD92BC"/>
    <w:rsid w:val="4EBF0811"/>
    <w:rsid w:val="4EBFBC3E"/>
    <w:rsid w:val="4EC0C0EE"/>
    <w:rsid w:val="4EC6946C"/>
    <w:rsid w:val="4EC7B27A"/>
    <w:rsid w:val="4EC923C7"/>
    <w:rsid w:val="4EC9D985"/>
    <w:rsid w:val="4ECAE39C"/>
    <w:rsid w:val="4ECCD1C9"/>
    <w:rsid w:val="4ECD9779"/>
    <w:rsid w:val="4ECDB21B"/>
    <w:rsid w:val="4ECE6473"/>
    <w:rsid w:val="4ED046D2"/>
    <w:rsid w:val="4ED1AED3"/>
    <w:rsid w:val="4ED1C4AF"/>
    <w:rsid w:val="4ED238F6"/>
    <w:rsid w:val="4ED3E6AD"/>
    <w:rsid w:val="4ED45D75"/>
    <w:rsid w:val="4ED45F19"/>
    <w:rsid w:val="4ED4B34C"/>
    <w:rsid w:val="4ED5E365"/>
    <w:rsid w:val="4ED6D8F6"/>
    <w:rsid w:val="4ED80C4B"/>
    <w:rsid w:val="4ED89E8A"/>
    <w:rsid w:val="4EDA7E20"/>
    <w:rsid w:val="4EDC1692"/>
    <w:rsid w:val="4EDDEA44"/>
    <w:rsid w:val="4EDF2859"/>
    <w:rsid w:val="4EE20866"/>
    <w:rsid w:val="4EE28A86"/>
    <w:rsid w:val="4EE5EA46"/>
    <w:rsid w:val="4EE91DA5"/>
    <w:rsid w:val="4EEA3EB6"/>
    <w:rsid w:val="4EEBB8FE"/>
    <w:rsid w:val="4EECB467"/>
    <w:rsid w:val="4EED4827"/>
    <w:rsid w:val="4EED6A01"/>
    <w:rsid w:val="4EEE0E9C"/>
    <w:rsid w:val="4EF10870"/>
    <w:rsid w:val="4EF1265D"/>
    <w:rsid w:val="4EF1FA1C"/>
    <w:rsid w:val="4EF28550"/>
    <w:rsid w:val="4EF3BF37"/>
    <w:rsid w:val="4EF70596"/>
    <w:rsid w:val="4EF8A5A3"/>
    <w:rsid w:val="4EFACA20"/>
    <w:rsid w:val="4EFB452D"/>
    <w:rsid w:val="4EFD389C"/>
    <w:rsid w:val="4F02F440"/>
    <w:rsid w:val="4F07F678"/>
    <w:rsid w:val="4F0940EC"/>
    <w:rsid w:val="4F09EDD9"/>
    <w:rsid w:val="4F0C0223"/>
    <w:rsid w:val="4F0D4E0E"/>
    <w:rsid w:val="4F101AB4"/>
    <w:rsid w:val="4F1105DC"/>
    <w:rsid w:val="4F11F40A"/>
    <w:rsid w:val="4F17A61D"/>
    <w:rsid w:val="4F1815C2"/>
    <w:rsid w:val="4F18236A"/>
    <w:rsid w:val="4F1F6FDC"/>
    <w:rsid w:val="4F1FCE50"/>
    <w:rsid w:val="4F1FE67D"/>
    <w:rsid w:val="4F21B396"/>
    <w:rsid w:val="4F21F3A5"/>
    <w:rsid w:val="4F27D033"/>
    <w:rsid w:val="4F28F6E1"/>
    <w:rsid w:val="4F2B880B"/>
    <w:rsid w:val="4F2DB7CC"/>
    <w:rsid w:val="4F2DFC63"/>
    <w:rsid w:val="4F304D68"/>
    <w:rsid w:val="4F3278E2"/>
    <w:rsid w:val="4F35D484"/>
    <w:rsid w:val="4F38A5D5"/>
    <w:rsid w:val="4F38A5EA"/>
    <w:rsid w:val="4F3B4F3E"/>
    <w:rsid w:val="4F3B5683"/>
    <w:rsid w:val="4F4BB0C8"/>
    <w:rsid w:val="4F4FD6F6"/>
    <w:rsid w:val="4F5069AD"/>
    <w:rsid w:val="4F511583"/>
    <w:rsid w:val="4F5373E6"/>
    <w:rsid w:val="4F541033"/>
    <w:rsid w:val="4F54F387"/>
    <w:rsid w:val="4F576922"/>
    <w:rsid w:val="4F59D041"/>
    <w:rsid w:val="4F5AFD34"/>
    <w:rsid w:val="4F5C110F"/>
    <w:rsid w:val="4F5CDBF8"/>
    <w:rsid w:val="4F5E393E"/>
    <w:rsid w:val="4F61734E"/>
    <w:rsid w:val="4F63985D"/>
    <w:rsid w:val="4F66AACC"/>
    <w:rsid w:val="4F66C9C5"/>
    <w:rsid w:val="4F67B707"/>
    <w:rsid w:val="4F6BE6A3"/>
    <w:rsid w:val="4F6C1FAE"/>
    <w:rsid w:val="4F6E552B"/>
    <w:rsid w:val="4F739D3F"/>
    <w:rsid w:val="4F749520"/>
    <w:rsid w:val="4F750B44"/>
    <w:rsid w:val="4F7A07F4"/>
    <w:rsid w:val="4F7B1F85"/>
    <w:rsid w:val="4F7B8F38"/>
    <w:rsid w:val="4F7BD612"/>
    <w:rsid w:val="4F7CCA96"/>
    <w:rsid w:val="4F7EE5FB"/>
    <w:rsid w:val="4F7FB75E"/>
    <w:rsid w:val="4F8100F1"/>
    <w:rsid w:val="4F82D8D3"/>
    <w:rsid w:val="4F82FCC4"/>
    <w:rsid w:val="4F845CFC"/>
    <w:rsid w:val="4F874FEB"/>
    <w:rsid w:val="4F89AA9A"/>
    <w:rsid w:val="4F89BA09"/>
    <w:rsid w:val="4F8A9608"/>
    <w:rsid w:val="4F901B81"/>
    <w:rsid w:val="4F908181"/>
    <w:rsid w:val="4F922B1E"/>
    <w:rsid w:val="4F937752"/>
    <w:rsid w:val="4F93B0AD"/>
    <w:rsid w:val="4F999D7C"/>
    <w:rsid w:val="4F9BD5F9"/>
    <w:rsid w:val="4F9EE5B7"/>
    <w:rsid w:val="4F9FB9A0"/>
    <w:rsid w:val="4FA12EA0"/>
    <w:rsid w:val="4FA1D1B1"/>
    <w:rsid w:val="4FA433B1"/>
    <w:rsid w:val="4FA54E9D"/>
    <w:rsid w:val="4FA626D4"/>
    <w:rsid w:val="4FA80FC7"/>
    <w:rsid w:val="4FA87852"/>
    <w:rsid w:val="4FA9AB47"/>
    <w:rsid w:val="4FAC35D9"/>
    <w:rsid w:val="4FAD38BB"/>
    <w:rsid w:val="4FAD4F9C"/>
    <w:rsid w:val="4FAD7383"/>
    <w:rsid w:val="4FAF805C"/>
    <w:rsid w:val="4FAFA624"/>
    <w:rsid w:val="4FAFC3B5"/>
    <w:rsid w:val="4FB0537B"/>
    <w:rsid w:val="4FB1767A"/>
    <w:rsid w:val="4FB409E3"/>
    <w:rsid w:val="4FB4D6E1"/>
    <w:rsid w:val="4FB8A85F"/>
    <w:rsid w:val="4FB908CC"/>
    <w:rsid w:val="4FB9DC35"/>
    <w:rsid w:val="4FBA619B"/>
    <w:rsid w:val="4FBA7FB6"/>
    <w:rsid w:val="4FBBB5F7"/>
    <w:rsid w:val="4FBBC465"/>
    <w:rsid w:val="4FBC77C9"/>
    <w:rsid w:val="4FBCAAF7"/>
    <w:rsid w:val="4FBF6CF8"/>
    <w:rsid w:val="4FC1585A"/>
    <w:rsid w:val="4FC45C54"/>
    <w:rsid w:val="4FC6DE72"/>
    <w:rsid w:val="4FC783E3"/>
    <w:rsid w:val="4FC958F3"/>
    <w:rsid w:val="4FC9D9A6"/>
    <w:rsid w:val="4FCA5E08"/>
    <w:rsid w:val="4FCACEEE"/>
    <w:rsid w:val="4FCBE92F"/>
    <w:rsid w:val="4FCCD804"/>
    <w:rsid w:val="4FCE315A"/>
    <w:rsid w:val="4FD043EE"/>
    <w:rsid w:val="4FD077E9"/>
    <w:rsid w:val="4FD1AE8A"/>
    <w:rsid w:val="4FD487FE"/>
    <w:rsid w:val="4FD6C86D"/>
    <w:rsid w:val="4FD6F924"/>
    <w:rsid w:val="4FD94041"/>
    <w:rsid w:val="4FD9544A"/>
    <w:rsid w:val="4FDB05C4"/>
    <w:rsid w:val="4FDCA4C0"/>
    <w:rsid w:val="4FDCCAB7"/>
    <w:rsid w:val="4FDCEDA7"/>
    <w:rsid w:val="4FE06C59"/>
    <w:rsid w:val="4FE09AEA"/>
    <w:rsid w:val="4FE14E43"/>
    <w:rsid w:val="4FE78DE6"/>
    <w:rsid w:val="4FE7F79E"/>
    <w:rsid w:val="4FE9FC01"/>
    <w:rsid w:val="4FEA176A"/>
    <w:rsid w:val="4FEA3E47"/>
    <w:rsid w:val="4FEA5CC5"/>
    <w:rsid w:val="4FEF1A2B"/>
    <w:rsid w:val="4FF04B48"/>
    <w:rsid w:val="4FF540C9"/>
    <w:rsid w:val="4FF6B7E1"/>
    <w:rsid w:val="4FF88498"/>
    <w:rsid w:val="4FF89DB1"/>
    <w:rsid w:val="5000475C"/>
    <w:rsid w:val="500063AB"/>
    <w:rsid w:val="50010AB2"/>
    <w:rsid w:val="500515E7"/>
    <w:rsid w:val="5008AA87"/>
    <w:rsid w:val="500ABBB5"/>
    <w:rsid w:val="500AFDDF"/>
    <w:rsid w:val="500D2DBD"/>
    <w:rsid w:val="500EA468"/>
    <w:rsid w:val="50116E34"/>
    <w:rsid w:val="5011836D"/>
    <w:rsid w:val="50118C85"/>
    <w:rsid w:val="50130F2E"/>
    <w:rsid w:val="5015D5C4"/>
    <w:rsid w:val="50160DBA"/>
    <w:rsid w:val="5016E057"/>
    <w:rsid w:val="501AFC5D"/>
    <w:rsid w:val="501E22BE"/>
    <w:rsid w:val="50202355"/>
    <w:rsid w:val="502322A4"/>
    <w:rsid w:val="502400CE"/>
    <w:rsid w:val="5027AAEC"/>
    <w:rsid w:val="5027C35E"/>
    <w:rsid w:val="50291C33"/>
    <w:rsid w:val="502BFBBA"/>
    <w:rsid w:val="502C37D1"/>
    <w:rsid w:val="502CD973"/>
    <w:rsid w:val="502ED91C"/>
    <w:rsid w:val="50330F02"/>
    <w:rsid w:val="5035AA23"/>
    <w:rsid w:val="50369342"/>
    <w:rsid w:val="5036ABD6"/>
    <w:rsid w:val="5037C866"/>
    <w:rsid w:val="5039F7D1"/>
    <w:rsid w:val="503ACC64"/>
    <w:rsid w:val="503C1649"/>
    <w:rsid w:val="503DD695"/>
    <w:rsid w:val="503E5A64"/>
    <w:rsid w:val="50404C47"/>
    <w:rsid w:val="50406496"/>
    <w:rsid w:val="5040F286"/>
    <w:rsid w:val="50411EA4"/>
    <w:rsid w:val="50419E81"/>
    <w:rsid w:val="504238CC"/>
    <w:rsid w:val="504443DF"/>
    <w:rsid w:val="504529AF"/>
    <w:rsid w:val="5045700C"/>
    <w:rsid w:val="50472692"/>
    <w:rsid w:val="5047548F"/>
    <w:rsid w:val="50488D5C"/>
    <w:rsid w:val="504932E3"/>
    <w:rsid w:val="50494ED3"/>
    <w:rsid w:val="504CDAC0"/>
    <w:rsid w:val="504FBAD4"/>
    <w:rsid w:val="50563337"/>
    <w:rsid w:val="505777C6"/>
    <w:rsid w:val="505C700D"/>
    <w:rsid w:val="505C96B4"/>
    <w:rsid w:val="505D12EC"/>
    <w:rsid w:val="505D1689"/>
    <w:rsid w:val="505D7B54"/>
    <w:rsid w:val="505DB5EC"/>
    <w:rsid w:val="505DB6FE"/>
    <w:rsid w:val="505DBA65"/>
    <w:rsid w:val="505DF94F"/>
    <w:rsid w:val="505FFCC9"/>
    <w:rsid w:val="506118CB"/>
    <w:rsid w:val="50636A39"/>
    <w:rsid w:val="506457F3"/>
    <w:rsid w:val="5064EB18"/>
    <w:rsid w:val="5065C73A"/>
    <w:rsid w:val="50666B86"/>
    <w:rsid w:val="50667C75"/>
    <w:rsid w:val="50690EA3"/>
    <w:rsid w:val="5069EC6E"/>
    <w:rsid w:val="506CB925"/>
    <w:rsid w:val="506E4FA9"/>
    <w:rsid w:val="507175E1"/>
    <w:rsid w:val="5071B19A"/>
    <w:rsid w:val="5072E08C"/>
    <w:rsid w:val="5074D47C"/>
    <w:rsid w:val="5076242C"/>
    <w:rsid w:val="5076ABAF"/>
    <w:rsid w:val="5078914B"/>
    <w:rsid w:val="50789D8D"/>
    <w:rsid w:val="5079D485"/>
    <w:rsid w:val="5079F230"/>
    <w:rsid w:val="507DFF3C"/>
    <w:rsid w:val="50819F92"/>
    <w:rsid w:val="5081B013"/>
    <w:rsid w:val="50838136"/>
    <w:rsid w:val="5083A795"/>
    <w:rsid w:val="5083C567"/>
    <w:rsid w:val="50893A62"/>
    <w:rsid w:val="50899B05"/>
    <w:rsid w:val="5089A1C1"/>
    <w:rsid w:val="508AABEA"/>
    <w:rsid w:val="508C1287"/>
    <w:rsid w:val="508D318E"/>
    <w:rsid w:val="5090F58A"/>
    <w:rsid w:val="50998804"/>
    <w:rsid w:val="509B805A"/>
    <w:rsid w:val="509E4F00"/>
    <w:rsid w:val="50A03631"/>
    <w:rsid w:val="50A221C6"/>
    <w:rsid w:val="50A3A548"/>
    <w:rsid w:val="50A3CFCA"/>
    <w:rsid w:val="50A45A61"/>
    <w:rsid w:val="50A5F1A8"/>
    <w:rsid w:val="50A6AFFF"/>
    <w:rsid w:val="50A6CFD1"/>
    <w:rsid w:val="50A805C1"/>
    <w:rsid w:val="50AA3AD1"/>
    <w:rsid w:val="50AA4681"/>
    <w:rsid w:val="50AAA681"/>
    <w:rsid w:val="50AC6CF4"/>
    <w:rsid w:val="50AFA1CD"/>
    <w:rsid w:val="50B61A08"/>
    <w:rsid w:val="50B964E0"/>
    <w:rsid w:val="50B9A881"/>
    <w:rsid w:val="50BA2315"/>
    <w:rsid w:val="50BC1C02"/>
    <w:rsid w:val="50BEAD91"/>
    <w:rsid w:val="50BF040D"/>
    <w:rsid w:val="50C1829E"/>
    <w:rsid w:val="50C3D511"/>
    <w:rsid w:val="50C5E70D"/>
    <w:rsid w:val="50C80143"/>
    <w:rsid w:val="50C83FB9"/>
    <w:rsid w:val="50C94D79"/>
    <w:rsid w:val="50C95676"/>
    <w:rsid w:val="50CA9FB7"/>
    <w:rsid w:val="50CB3869"/>
    <w:rsid w:val="50CB83D3"/>
    <w:rsid w:val="50D00B46"/>
    <w:rsid w:val="50D0FF50"/>
    <w:rsid w:val="50D1C01D"/>
    <w:rsid w:val="50D4F7B4"/>
    <w:rsid w:val="50D7F138"/>
    <w:rsid w:val="50D814FE"/>
    <w:rsid w:val="50DB2038"/>
    <w:rsid w:val="50DE2A2F"/>
    <w:rsid w:val="50E135C9"/>
    <w:rsid w:val="50E259C3"/>
    <w:rsid w:val="50E30D0D"/>
    <w:rsid w:val="50E37EB1"/>
    <w:rsid w:val="50E44E56"/>
    <w:rsid w:val="50E778C9"/>
    <w:rsid w:val="50E7E6AC"/>
    <w:rsid w:val="50E88769"/>
    <w:rsid w:val="50E9DCDE"/>
    <w:rsid w:val="50EAA5CA"/>
    <w:rsid w:val="50EB0B07"/>
    <w:rsid w:val="50EF019B"/>
    <w:rsid w:val="50F0771C"/>
    <w:rsid w:val="50F2F853"/>
    <w:rsid w:val="50F64E15"/>
    <w:rsid w:val="50F700D5"/>
    <w:rsid w:val="50F91E3E"/>
    <w:rsid w:val="50FC217C"/>
    <w:rsid w:val="50FC7EF9"/>
    <w:rsid w:val="50FD20E0"/>
    <w:rsid w:val="50FD2822"/>
    <w:rsid w:val="50FD4E87"/>
    <w:rsid w:val="50FF9357"/>
    <w:rsid w:val="50FF9B80"/>
    <w:rsid w:val="51010C0A"/>
    <w:rsid w:val="5101D453"/>
    <w:rsid w:val="51062754"/>
    <w:rsid w:val="51081418"/>
    <w:rsid w:val="510A212A"/>
    <w:rsid w:val="510A453F"/>
    <w:rsid w:val="510BAD0F"/>
    <w:rsid w:val="510BFF46"/>
    <w:rsid w:val="510E1A24"/>
    <w:rsid w:val="510F1C9F"/>
    <w:rsid w:val="511088D8"/>
    <w:rsid w:val="5110AD0D"/>
    <w:rsid w:val="5111217B"/>
    <w:rsid w:val="51113748"/>
    <w:rsid w:val="5111B59C"/>
    <w:rsid w:val="51186B56"/>
    <w:rsid w:val="51190BED"/>
    <w:rsid w:val="5119E80C"/>
    <w:rsid w:val="511BF4B6"/>
    <w:rsid w:val="511C88EB"/>
    <w:rsid w:val="511E16B6"/>
    <w:rsid w:val="511E4121"/>
    <w:rsid w:val="511FEC0F"/>
    <w:rsid w:val="5123E616"/>
    <w:rsid w:val="5124D070"/>
    <w:rsid w:val="5128B611"/>
    <w:rsid w:val="5128F8D7"/>
    <w:rsid w:val="51290CD2"/>
    <w:rsid w:val="512AC8EB"/>
    <w:rsid w:val="512CC04F"/>
    <w:rsid w:val="512CEF5A"/>
    <w:rsid w:val="512D9CBE"/>
    <w:rsid w:val="512DAEEB"/>
    <w:rsid w:val="512E1AA0"/>
    <w:rsid w:val="5131EB64"/>
    <w:rsid w:val="5135F4AF"/>
    <w:rsid w:val="5136C3EF"/>
    <w:rsid w:val="5136FC05"/>
    <w:rsid w:val="513A84A0"/>
    <w:rsid w:val="513BC0A0"/>
    <w:rsid w:val="513D63CF"/>
    <w:rsid w:val="513F539B"/>
    <w:rsid w:val="51406A62"/>
    <w:rsid w:val="51445C65"/>
    <w:rsid w:val="5144CCEA"/>
    <w:rsid w:val="514A40E9"/>
    <w:rsid w:val="514E3E14"/>
    <w:rsid w:val="514EE82B"/>
    <w:rsid w:val="51504F07"/>
    <w:rsid w:val="51541819"/>
    <w:rsid w:val="51543E1E"/>
    <w:rsid w:val="51562F87"/>
    <w:rsid w:val="5156D7DC"/>
    <w:rsid w:val="5159E32B"/>
    <w:rsid w:val="515A3449"/>
    <w:rsid w:val="515B17C2"/>
    <w:rsid w:val="515DB240"/>
    <w:rsid w:val="515E8251"/>
    <w:rsid w:val="515EDF30"/>
    <w:rsid w:val="515EE480"/>
    <w:rsid w:val="515FE5B2"/>
    <w:rsid w:val="5160F802"/>
    <w:rsid w:val="516132D5"/>
    <w:rsid w:val="51624F0F"/>
    <w:rsid w:val="516384A7"/>
    <w:rsid w:val="516551C3"/>
    <w:rsid w:val="5168B16E"/>
    <w:rsid w:val="516A197B"/>
    <w:rsid w:val="516A37AE"/>
    <w:rsid w:val="516FCB40"/>
    <w:rsid w:val="51707ED2"/>
    <w:rsid w:val="51716F33"/>
    <w:rsid w:val="5175751D"/>
    <w:rsid w:val="51764C42"/>
    <w:rsid w:val="5176A67C"/>
    <w:rsid w:val="5176CFD5"/>
    <w:rsid w:val="5177367E"/>
    <w:rsid w:val="51791AB8"/>
    <w:rsid w:val="51791DB7"/>
    <w:rsid w:val="517B26AD"/>
    <w:rsid w:val="517E2CF0"/>
    <w:rsid w:val="5180A832"/>
    <w:rsid w:val="51817D34"/>
    <w:rsid w:val="5183230E"/>
    <w:rsid w:val="5183624C"/>
    <w:rsid w:val="5185F331"/>
    <w:rsid w:val="51863C23"/>
    <w:rsid w:val="5186C0DB"/>
    <w:rsid w:val="5188C38B"/>
    <w:rsid w:val="518E78EC"/>
    <w:rsid w:val="518E8115"/>
    <w:rsid w:val="518EF658"/>
    <w:rsid w:val="5192958C"/>
    <w:rsid w:val="5194D79D"/>
    <w:rsid w:val="5198EB8E"/>
    <w:rsid w:val="519C23CA"/>
    <w:rsid w:val="519CDB13"/>
    <w:rsid w:val="519CF362"/>
    <w:rsid w:val="519F963D"/>
    <w:rsid w:val="51A2F369"/>
    <w:rsid w:val="51A3BDA1"/>
    <w:rsid w:val="51A3EFDC"/>
    <w:rsid w:val="51A57CC2"/>
    <w:rsid w:val="51A60254"/>
    <w:rsid w:val="51AB10E8"/>
    <w:rsid w:val="51AB8843"/>
    <w:rsid w:val="51AC24C9"/>
    <w:rsid w:val="51ADAA17"/>
    <w:rsid w:val="51AF7814"/>
    <w:rsid w:val="51AF7E7E"/>
    <w:rsid w:val="51B336BB"/>
    <w:rsid w:val="51B845B1"/>
    <w:rsid w:val="51B8AC69"/>
    <w:rsid w:val="51B90E90"/>
    <w:rsid w:val="51BB9B27"/>
    <w:rsid w:val="51C0EFAA"/>
    <w:rsid w:val="51C25B06"/>
    <w:rsid w:val="51C31F44"/>
    <w:rsid w:val="51C37FA8"/>
    <w:rsid w:val="51C423FC"/>
    <w:rsid w:val="51C447D1"/>
    <w:rsid w:val="51C5225E"/>
    <w:rsid w:val="51C5C07D"/>
    <w:rsid w:val="51C77998"/>
    <w:rsid w:val="51C7CC1B"/>
    <w:rsid w:val="51CDFD63"/>
    <w:rsid w:val="51D0DCFB"/>
    <w:rsid w:val="51D307C0"/>
    <w:rsid w:val="51D3B2B0"/>
    <w:rsid w:val="51D4D2BA"/>
    <w:rsid w:val="51D54E81"/>
    <w:rsid w:val="51D5D27F"/>
    <w:rsid w:val="51D66570"/>
    <w:rsid w:val="51D71479"/>
    <w:rsid w:val="51D8B5E4"/>
    <w:rsid w:val="51D997D5"/>
    <w:rsid w:val="51DC27BF"/>
    <w:rsid w:val="51DD6BC1"/>
    <w:rsid w:val="51DDD7A9"/>
    <w:rsid w:val="51DF3DAF"/>
    <w:rsid w:val="51DF94CE"/>
    <w:rsid w:val="51DFAF88"/>
    <w:rsid w:val="51E003D0"/>
    <w:rsid w:val="51E0A2EB"/>
    <w:rsid w:val="51E0D4F3"/>
    <w:rsid w:val="51E1651F"/>
    <w:rsid w:val="51E26C49"/>
    <w:rsid w:val="51E29000"/>
    <w:rsid w:val="51E2E787"/>
    <w:rsid w:val="51E32D45"/>
    <w:rsid w:val="51E49029"/>
    <w:rsid w:val="51E6F69A"/>
    <w:rsid w:val="51E74E96"/>
    <w:rsid w:val="51E7E926"/>
    <w:rsid w:val="51E8C42A"/>
    <w:rsid w:val="51EB264C"/>
    <w:rsid w:val="51EBC547"/>
    <w:rsid w:val="51EBFBE9"/>
    <w:rsid w:val="51ED2E18"/>
    <w:rsid w:val="51ED3764"/>
    <w:rsid w:val="51ED3BDA"/>
    <w:rsid w:val="51EE3891"/>
    <w:rsid w:val="51EE4A03"/>
    <w:rsid w:val="51EEA50C"/>
    <w:rsid w:val="51EF6AC1"/>
    <w:rsid w:val="51EFD2C0"/>
    <w:rsid w:val="51F051CC"/>
    <w:rsid w:val="51F430A6"/>
    <w:rsid w:val="51F44B34"/>
    <w:rsid w:val="51F51B1E"/>
    <w:rsid w:val="51FABA94"/>
    <w:rsid w:val="51FC1D1D"/>
    <w:rsid w:val="51FD6BF5"/>
    <w:rsid w:val="51FF6BD6"/>
    <w:rsid w:val="52000B3A"/>
    <w:rsid w:val="52025799"/>
    <w:rsid w:val="5204DDFC"/>
    <w:rsid w:val="52079F78"/>
    <w:rsid w:val="52082950"/>
    <w:rsid w:val="520891BC"/>
    <w:rsid w:val="52092F4F"/>
    <w:rsid w:val="5209BE6E"/>
    <w:rsid w:val="520A3362"/>
    <w:rsid w:val="520EE0C7"/>
    <w:rsid w:val="520F0D3F"/>
    <w:rsid w:val="5212702A"/>
    <w:rsid w:val="5215F772"/>
    <w:rsid w:val="5216602C"/>
    <w:rsid w:val="52193428"/>
    <w:rsid w:val="5219B5F1"/>
    <w:rsid w:val="521AAA5F"/>
    <w:rsid w:val="521B0137"/>
    <w:rsid w:val="521B5E27"/>
    <w:rsid w:val="521FCB43"/>
    <w:rsid w:val="52272A80"/>
    <w:rsid w:val="52287A27"/>
    <w:rsid w:val="522AFF99"/>
    <w:rsid w:val="522DEB2C"/>
    <w:rsid w:val="522F093A"/>
    <w:rsid w:val="522F8300"/>
    <w:rsid w:val="5233A745"/>
    <w:rsid w:val="5234996E"/>
    <w:rsid w:val="5234DCCA"/>
    <w:rsid w:val="5234F1E9"/>
    <w:rsid w:val="5236CA9A"/>
    <w:rsid w:val="52373FED"/>
    <w:rsid w:val="52389012"/>
    <w:rsid w:val="5239897F"/>
    <w:rsid w:val="523D1113"/>
    <w:rsid w:val="523D58FB"/>
    <w:rsid w:val="523E2542"/>
    <w:rsid w:val="523F1FE0"/>
    <w:rsid w:val="524179EF"/>
    <w:rsid w:val="5241901A"/>
    <w:rsid w:val="5241F68E"/>
    <w:rsid w:val="5242E03E"/>
    <w:rsid w:val="5243F595"/>
    <w:rsid w:val="52447E98"/>
    <w:rsid w:val="5247A747"/>
    <w:rsid w:val="5247DC85"/>
    <w:rsid w:val="5249B0CE"/>
    <w:rsid w:val="524D8ECC"/>
    <w:rsid w:val="525A4C1D"/>
    <w:rsid w:val="525B9D0A"/>
    <w:rsid w:val="525DA9AD"/>
    <w:rsid w:val="52635B77"/>
    <w:rsid w:val="5265FA11"/>
    <w:rsid w:val="5266F8CB"/>
    <w:rsid w:val="52675E65"/>
    <w:rsid w:val="526A305C"/>
    <w:rsid w:val="526AD610"/>
    <w:rsid w:val="526FB24B"/>
    <w:rsid w:val="52705112"/>
    <w:rsid w:val="5270B743"/>
    <w:rsid w:val="52710FA0"/>
    <w:rsid w:val="52721B8C"/>
    <w:rsid w:val="5272CCDC"/>
    <w:rsid w:val="5272E70B"/>
    <w:rsid w:val="5274E7C7"/>
    <w:rsid w:val="52773583"/>
    <w:rsid w:val="52778FF7"/>
    <w:rsid w:val="5277FFDF"/>
    <w:rsid w:val="5278A38A"/>
    <w:rsid w:val="527BCDF7"/>
    <w:rsid w:val="527CAC38"/>
    <w:rsid w:val="527D0D62"/>
    <w:rsid w:val="527D3294"/>
    <w:rsid w:val="527D46B3"/>
    <w:rsid w:val="5283075E"/>
    <w:rsid w:val="52840247"/>
    <w:rsid w:val="528657E5"/>
    <w:rsid w:val="528812D3"/>
    <w:rsid w:val="528982F0"/>
    <w:rsid w:val="528B09B7"/>
    <w:rsid w:val="528CFFF2"/>
    <w:rsid w:val="528D6991"/>
    <w:rsid w:val="528DA4ED"/>
    <w:rsid w:val="528EC378"/>
    <w:rsid w:val="528ED659"/>
    <w:rsid w:val="52900893"/>
    <w:rsid w:val="5297FB14"/>
    <w:rsid w:val="52996E59"/>
    <w:rsid w:val="52999C1A"/>
    <w:rsid w:val="529B166D"/>
    <w:rsid w:val="529C7A32"/>
    <w:rsid w:val="529F041D"/>
    <w:rsid w:val="52A0C353"/>
    <w:rsid w:val="52A0C6FE"/>
    <w:rsid w:val="52A1FCF4"/>
    <w:rsid w:val="52A30527"/>
    <w:rsid w:val="52A45E21"/>
    <w:rsid w:val="52A4E736"/>
    <w:rsid w:val="52A57C59"/>
    <w:rsid w:val="52A60CF1"/>
    <w:rsid w:val="52A78514"/>
    <w:rsid w:val="52A8BCEA"/>
    <w:rsid w:val="52AB1035"/>
    <w:rsid w:val="52AD0F31"/>
    <w:rsid w:val="52AF5F63"/>
    <w:rsid w:val="52B021BF"/>
    <w:rsid w:val="52B026B1"/>
    <w:rsid w:val="52B0C8FE"/>
    <w:rsid w:val="52B18483"/>
    <w:rsid w:val="52B2C4E6"/>
    <w:rsid w:val="52B3A805"/>
    <w:rsid w:val="52B4135A"/>
    <w:rsid w:val="52B45186"/>
    <w:rsid w:val="52B5339D"/>
    <w:rsid w:val="52B6CFB6"/>
    <w:rsid w:val="52B84414"/>
    <w:rsid w:val="52B8DE8E"/>
    <w:rsid w:val="52BBA9D9"/>
    <w:rsid w:val="52BE3685"/>
    <w:rsid w:val="52BE96BD"/>
    <w:rsid w:val="52BFA78B"/>
    <w:rsid w:val="52C22FD5"/>
    <w:rsid w:val="52C4FD27"/>
    <w:rsid w:val="52C6DF73"/>
    <w:rsid w:val="52C73E2A"/>
    <w:rsid w:val="52C887C0"/>
    <w:rsid w:val="52C964CC"/>
    <w:rsid w:val="52CA3F2E"/>
    <w:rsid w:val="52CBD69F"/>
    <w:rsid w:val="52CD07C1"/>
    <w:rsid w:val="52CDCC0C"/>
    <w:rsid w:val="52CE1E00"/>
    <w:rsid w:val="52D0EA19"/>
    <w:rsid w:val="52D1530F"/>
    <w:rsid w:val="52D6CDAF"/>
    <w:rsid w:val="52DCA37D"/>
    <w:rsid w:val="52E04800"/>
    <w:rsid w:val="52E2FF9E"/>
    <w:rsid w:val="52E4270B"/>
    <w:rsid w:val="52E473EE"/>
    <w:rsid w:val="52E9484A"/>
    <w:rsid w:val="52E94DDC"/>
    <w:rsid w:val="52E9CFBD"/>
    <w:rsid w:val="52EAECCE"/>
    <w:rsid w:val="52EBE27D"/>
    <w:rsid w:val="52EF6E71"/>
    <w:rsid w:val="52F045DE"/>
    <w:rsid w:val="52F08A13"/>
    <w:rsid w:val="52F60392"/>
    <w:rsid w:val="52F699BC"/>
    <w:rsid w:val="52F9442F"/>
    <w:rsid w:val="52FBD969"/>
    <w:rsid w:val="52FDCC1F"/>
    <w:rsid w:val="52FE5251"/>
    <w:rsid w:val="52FE849F"/>
    <w:rsid w:val="53005E23"/>
    <w:rsid w:val="530125A5"/>
    <w:rsid w:val="53024702"/>
    <w:rsid w:val="5302AEA7"/>
    <w:rsid w:val="5304DB8F"/>
    <w:rsid w:val="530649E7"/>
    <w:rsid w:val="5306E932"/>
    <w:rsid w:val="5308D0E3"/>
    <w:rsid w:val="530B7933"/>
    <w:rsid w:val="530BE9CA"/>
    <w:rsid w:val="530BF832"/>
    <w:rsid w:val="530DC020"/>
    <w:rsid w:val="531009DA"/>
    <w:rsid w:val="5310D8EC"/>
    <w:rsid w:val="531138DC"/>
    <w:rsid w:val="53125D45"/>
    <w:rsid w:val="531B062E"/>
    <w:rsid w:val="531E68E1"/>
    <w:rsid w:val="531EEFBB"/>
    <w:rsid w:val="531FA8A8"/>
    <w:rsid w:val="532175B3"/>
    <w:rsid w:val="532381ED"/>
    <w:rsid w:val="5326C1A4"/>
    <w:rsid w:val="5327096C"/>
    <w:rsid w:val="532C7A53"/>
    <w:rsid w:val="532D907A"/>
    <w:rsid w:val="532E75AD"/>
    <w:rsid w:val="53316B4E"/>
    <w:rsid w:val="5333C8BC"/>
    <w:rsid w:val="53341CD6"/>
    <w:rsid w:val="53352B30"/>
    <w:rsid w:val="5335DECC"/>
    <w:rsid w:val="533637C5"/>
    <w:rsid w:val="5337055A"/>
    <w:rsid w:val="53370F69"/>
    <w:rsid w:val="53376576"/>
    <w:rsid w:val="5339D026"/>
    <w:rsid w:val="533D0F15"/>
    <w:rsid w:val="53430ECC"/>
    <w:rsid w:val="53462009"/>
    <w:rsid w:val="5347A0CE"/>
    <w:rsid w:val="534952DD"/>
    <w:rsid w:val="534B1C93"/>
    <w:rsid w:val="534CC76D"/>
    <w:rsid w:val="534EB00B"/>
    <w:rsid w:val="534ECFBF"/>
    <w:rsid w:val="534EE44F"/>
    <w:rsid w:val="534FD731"/>
    <w:rsid w:val="5350D29C"/>
    <w:rsid w:val="5351DC54"/>
    <w:rsid w:val="53522BDC"/>
    <w:rsid w:val="53533B38"/>
    <w:rsid w:val="5353AD67"/>
    <w:rsid w:val="5357E7A3"/>
    <w:rsid w:val="53583EB5"/>
    <w:rsid w:val="535CE2EB"/>
    <w:rsid w:val="535D0DA2"/>
    <w:rsid w:val="5360025C"/>
    <w:rsid w:val="5366B426"/>
    <w:rsid w:val="5367D868"/>
    <w:rsid w:val="5368967F"/>
    <w:rsid w:val="536C66D4"/>
    <w:rsid w:val="536CD837"/>
    <w:rsid w:val="536DA0EC"/>
    <w:rsid w:val="536DEFC0"/>
    <w:rsid w:val="536F522E"/>
    <w:rsid w:val="53708667"/>
    <w:rsid w:val="5370EF5C"/>
    <w:rsid w:val="5371914D"/>
    <w:rsid w:val="5372E273"/>
    <w:rsid w:val="53738B9C"/>
    <w:rsid w:val="537571C9"/>
    <w:rsid w:val="53771956"/>
    <w:rsid w:val="537825D2"/>
    <w:rsid w:val="537BF89C"/>
    <w:rsid w:val="537D8A0C"/>
    <w:rsid w:val="53809A88"/>
    <w:rsid w:val="5382AE8E"/>
    <w:rsid w:val="5384AECD"/>
    <w:rsid w:val="5385C457"/>
    <w:rsid w:val="53861E10"/>
    <w:rsid w:val="5388DBE8"/>
    <w:rsid w:val="538A3997"/>
    <w:rsid w:val="538CBE03"/>
    <w:rsid w:val="53902A6B"/>
    <w:rsid w:val="53947D3C"/>
    <w:rsid w:val="5396A6D2"/>
    <w:rsid w:val="53979F56"/>
    <w:rsid w:val="5398A417"/>
    <w:rsid w:val="53A16FBE"/>
    <w:rsid w:val="53A2005F"/>
    <w:rsid w:val="53A3A997"/>
    <w:rsid w:val="53A3BC5C"/>
    <w:rsid w:val="53A4763C"/>
    <w:rsid w:val="53A5D923"/>
    <w:rsid w:val="53A73D14"/>
    <w:rsid w:val="53A8FEBC"/>
    <w:rsid w:val="53AA49B0"/>
    <w:rsid w:val="53AAA705"/>
    <w:rsid w:val="53AB5592"/>
    <w:rsid w:val="53ABF90B"/>
    <w:rsid w:val="53AE62EE"/>
    <w:rsid w:val="53B08A30"/>
    <w:rsid w:val="53B14327"/>
    <w:rsid w:val="53B17EEB"/>
    <w:rsid w:val="53B504AF"/>
    <w:rsid w:val="53B6B26F"/>
    <w:rsid w:val="53B7AB90"/>
    <w:rsid w:val="53B7AFEF"/>
    <w:rsid w:val="53B8589B"/>
    <w:rsid w:val="53BAAC82"/>
    <w:rsid w:val="53BB98C6"/>
    <w:rsid w:val="53BD8BC2"/>
    <w:rsid w:val="53BE9348"/>
    <w:rsid w:val="53C0B966"/>
    <w:rsid w:val="53C19338"/>
    <w:rsid w:val="53C2CDE0"/>
    <w:rsid w:val="53C3222A"/>
    <w:rsid w:val="53C3A57B"/>
    <w:rsid w:val="53C44DDB"/>
    <w:rsid w:val="53C5B2C8"/>
    <w:rsid w:val="53C78282"/>
    <w:rsid w:val="53CA74AC"/>
    <w:rsid w:val="53CAF4BC"/>
    <w:rsid w:val="53CBB01E"/>
    <w:rsid w:val="53CD1C11"/>
    <w:rsid w:val="53CD4F71"/>
    <w:rsid w:val="53CD6F03"/>
    <w:rsid w:val="53CD9FD7"/>
    <w:rsid w:val="53D1A7AB"/>
    <w:rsid w:val="53D256BB"/>
    <w:rsid w:val="53D280CE"/>
    <w:rsid w:val="53D69451"/>
    <w:rsid w:val="53D6A3E0"/>
    <w:rsid w:val="53D6A7DA"/>
    <w:rsid w:val="53D80EF1"/>
    <w:rsid w:val="53D83D19"/>
    <w:rsid w:val="53D8C9E9"/>
    <w:rsid w:val="53D9143D"/>
    <w:rsid w:val="53D959BD"/>
    <w:rsid w:val="53DF8311"/>
    <w:rsid w:val="53DF9407"/>
    <w:rsid w:val="53E13C43"/>
    <w:rsid w:val="53E1EB8E"/>
    <w:rsid w:val="53E2ACA8"/>
    <w:rsid w:val="53E3A091"/>
    <w:rsid w:val="53E3C2D9"/>
    <w:rsid w:val="53E3DA76"/>
    <w:rsid w:val="53E417CA"/>
    <w:rsid w:val="53E69BDC"/>
    <w:rsid w:val="53E74968"/>
    <w:rsid w:val="53E810DF"/>
    <w:rsid w:val="53E86C89"/>
    <w:rsid w:val="53E90E23"/>
    <w:rsid w:val="53E946F3"/>
    <w:rsid w:val="53EDD429"/>
    <w:rsid w:val="53EE7662"/>
    <w:rsid w:val="53F03256"/>
    <w:rsid w:val="53F28083"/>
    <w:rsid w:val="53F54BC1"/>
    <w:rsid w:val="53F87775"/>
    <w:rsid w:val="53F90EE3"/>
    <w:rsid w:val="53F9B00F"/>
    <w:rsid w:val="53FD94DE"/>
    <w:rsid w:val="53FE3BA6"/>
    <w:rsid w:val="53FE48FF"/>
    <w:rsid w:val="53FFC14F"/>
    <w:rsid w:val="5400CFBD"/>
    <w:rsid w:val="540199FD"/>
    <w:rsid w:val="5401CE98"/>
    <w:rsid w:val="5406EF1E"/>
    <w:rsid w:val="54070001"/>
    <w:rsid w:val="54084215"/>
    <w:rsid w:val="540A0213"/>
    <w:rsid w:val="540A5032"/>
    <w:rsid w:val="540A855A"/>
    <w:rsid w:val="540C846E"/>
    <w:rsid w:val="540C9CDD"/>
    <w:rsid w:val="540D37CF"/>
    <w:rsid w:val="540D9E22"/>
    <w:rsid w:val="54128CF0"/>
    <w:rsid w:val="5414836A"/>
    <w:rsid w:val="5415DF7B"/>
    <w:rsid w:val="5417398C"/>
    <w:rsid w:val="541B32A7"/>
    <w:rsid w:val="541BA9CD"/>
    <w:rsid w:val="541C4B9C"/>
    <w:rsid w:val="541CB9A9"/>
    <w:rsid w:val="541EA864"/>
    <w:rsid w:val="541F4E5E"/>
    <w:rsid w:val="54201749"/>
    <w:rsid w:val="542430D0"/>
    <w:rsid w:val="5424F050"/>
    <w:rsid w:val="5429EFCC"/>
    <w:rsid w:val="542A4740"/>
    <w:rsid w:val="542A47A2"/>
    <w:rsid w:val="542B4011"/>
    <w:rsid w:val="542C3C1A"/>
    <w:rsid w:val="542C96A7"/>
    <w:rsid w:val="542D1CF6"/>
    <w:rsid w:val="542DE64A"/>
    <w:rsid w:val="542F7C44"/>
    <w:rsid w:val="5432785C"/>
    <w:rsid w:val="5432FEE9"/>
    <w:rsid w:val="54346CF9"/>
    <w:rsid w:val="5434FE8D"/>
    <w:rsid w:val="543510BC"/>
    <w:rsid w:val="54354663"/>
    <w:rsid w:val="5435A7E1"/>
    <w:rsid w:val="5435B21E"/>
    <w:rsid w:val="54370E3C"/>
    <w:rsid w:val="54379A4F"/>
    <w:rsid w:val="54385967"/>
    <w:rsid w:val="543AAB42"/>
    <w:rsid w:val="543C6676"/>
    <w:rsid w:val="543D49BD"/>
    <w:rsid w:val="543D96ED"/>
    <w:rsid w:val="543E3165"/>
    <w:rsid w:val="54409505"/>
    <w:rsid w:val="544286F5"/>
    <w:rsid w:val="5445855F"/>
    <w:rsid w:val="54460896"/>
    <w:rsid w:val="54467152"/>
    <w:rsid w:val="5448C3EF"/>
    <w:rsid w:val="54497F74"/>
    <w:rsid w:val="544A657E"/>
    <w:rsid w:val="544D9A5A"/>
    <w:rsid w:val="544EC7C9"/>
    <w:rsid w:val="5455FF99"/>
    <w:rsid w:val="5456EA47"/>
    <w:rsid w:val="5457F278"/>
    <w:rsid w:val="5459E05A"/>
    <w:rsid w:val="545A3417"/>
    <w:rsid w:val="545B1904"/>
    <w:rsid w:val="545D9353"/>
    <w:rsid w:val="545F7C27"/>
    <w:rsid w:val="5460AD75"/>
    <w:rsid w:val="54657E7F"/>
    <w:rsid w:val="546754D8"/>
    <w:rsid w:val="5468F628"/>
    <w:rsid w:val="54695212"/>
    <w:rsid w:val="546A2A40"/>
    <w:rsid w:val="546B52D4"/>
    <w:rsid w:val="546B93E6"/>
    <w:rsid w:val="546BCE53"/>
    <w:rsid w:val="546D3282"/>
    <w:rsid w:val="546FDA7C"/>
    <w:rsid w:val="547185D1"/>
    <w:rsid w:val="547188E7"/>
    <w:rsid w:val="5471CAA2"/>
    <w:rsid w:val="54727394"/>
    <w:rsid w:val="54731105"/>
    <w:rsid w:val="54755B60"/>
    <w:rsid w:val="5475BC7B"/>
    <w:rsid w:val="5476BB55"/>
    <w:rsid w:val="54799E8B"/>
    <w:rsid w:val="547C45DE"/>
    <w:rsid w:val="547DAA04"/>
    <w:rsid w:val="547EA4C4"/>
    <w:rsid w:val="5480B3D3"/>
    <w:rsid w:val="54810163"/>
    <w:rsid w:val="5481133E"/>
    <w:rsid w:val="54848D76"/>
    <w:rsid w:val="54854C25"/>
    <w:rsid w:val="548872D8"/>
    <w:rsid w:val="548875AC"/>
    <w:rsid w:val="54893EA0"/>
    <w:rsid w:val="548C9508"/>
    <w:rsid w:val="548D08F9"/>
    <w:rsid w:val="548D7EBF"/>
    <w:rsid w:val="548E12BA"/>
    <w:rsid w:val="548F91F9"/>
    <w:rsid w:val="54907AA5"/>
    <w:rsid w:val="54916B9A"/>
    <w:rsid w:val="54929916"/>
    <w:rsid w:val="5494E178"/>
    <w:rsid w:val="54953361"/>
    <w:rsid w:val="54963F53"/>
    <w:rsid w:val="549944CF"/>
    <w:rsid w:val="549A3DA5"/>
    <w:rsid w:val="549C086E"/>
    <w:rsid w:val="549C127A"/>
    <w:rsid w:val="549C65F5"/>
    <w:rsid w:val="54A068F3"/>
    <w:rsid w:val="54A1221F"/>
    <w:rsid w:val="54A24F01"/>
    <w:rsid w:val="54A41A34"/>
    <w:rsid w:val="54A50FFC"/>
    <w:rsid w:val="54A608A0"/>
    <w:rsid w:val="54A769A9"/>
    <w:rsid w:val="54A95927"/>
    <w:rsid w:val="54A9BC0D"/>
    <w:rsid w:val="54A9E911"/>
    <w:rsid w:val="54AAAC58"/>
    <w:rsid w:val="54AADD08"/>
    <w:rsid w:val="54AB04D5"/>
    <w:rsid w:val="54AE10B6"/>
    <w:rsid w:val="54AF0946"/>
    <w:rsid w:val="54AF7AE8"/>
    <w:rsid w:val="54B09EA9"/>
    <w:rsid w:val="54B0D8B0"/>
    <w:rsid w:val="54B10E99"/>
    <w:rsid w:val="54B11DA9"/>
    <w:rsid w:val="54B2BF9B"/>
    <w:rsid w:val="54B4FCCF"/>
    <w:rsid w:val="54B65FCC"/>
    <w:rsid w:val="54BA6C68"/>
    <w:rsid w:val="54BC5750"/>
    <w:rsid w:val="54BC8290"/>
    <w:rsid w:val="54BE98D7"/>
    <w:rsid w:val="54C0541B"/>
    <w:rsid w:val="54C0B4CF"/>
    <w:rsid w:val="54C1DD81"/>
    <w:rsid w:val="54C32D14"/>
    <w:rsid w:val="54C35CEF"/>
    <w:rsid w:val="54C434C2"/>
    <w:rsid w:val="54C55BE1"/>
    <w:rsid w:val="54C59C7E"/>
    <w:rsid w:val="54C5D50A"/>
    <w:rsid w:val="54C6A426"/>
    <w:rsid w:val="54C7209B"/>
    <w:rsid w:val="54CCE66C"/>
    <w:rsid w:val="54CE07BA"/>
    <w:rsid w:val="54D27555"/>
    <w:rsid w:val="54D2FFB7"/>
    <w:rsid w:val="54D3A347"/>
    <w:rsid w:val="54D44FB9"/>
    <w:rsid w:val="54D5A7CD"/>
    <w:rsid w:val="54D661ED"/>
    <w:rsid w:val="54DA0FC5"/>
    <w:rsid w:val="54DA266F"/>
    <w:rsid w:val="54DB9DEB"/>
    <w:rsid w:val="54DE2F51"/>
    <w:rsid w:val="54E02C79"/>
    <w:rsid w:val="54E0480F"/>
    <w:rsid w:val="54E47008"/>
    <w:rsid w:val="54E7B635"/>
    <w:rsid w:val="54EB9369"/>
    <w:rsid w:val="54EBC6CE"/>
    <w:rsid w:val="54EDD35A"/>
    <w:rsid w:val="54EE66AC"/>
    <w:rsid w:val="54EEBAA7"/>
    <w:rsid w:val="54F18CB8"/>
    <w:rsid w:val="54F341D5"/>
    <w:rsid w:val="54F523A6"/>
    <w:rsid w:val="54F8A21A"/>
    <w:rsid w:val="54FA1D7D"/>
    <w:rsid w:val="54FA7831"/>
    <w:rsid w:val="54FCE9F9"/>
    <w:rsid w:val="54FDDECB"/>
    <w:rsid w:val="54FEC2BD"/>
    <w:rsid w:val="5503B141"/>
    <w:rsid w:val="5503DB81"/>
    <w:rsid w:val="550661C2"/>
    <w:rsid w:val="55075F1C"/>
    <w:rsid w:val="55078221"/>
    <w:rsid w:val="55085209"/>
    <w:rsid w:val="55085E10"/>
    <w:rsid w:val="55088182"/>
    <w:rsid w:val="5508BD2B"/>
    <w:rsid w:val="5509E1AD"/>
    <w:rsid w:val="550BF0F6"/>
    <w:rsid w:val="550CBE4F"/>
    <w:rsid w:val="550D3E8D"/>
    <w:rsid w:val="550E3B24"/>
    <w:rsid w:val="550F1C77"/>
    <w:rsid w:val="55130CAE"/>
    <w:rsid w:val="55142D6A"/>
    <w:rsid w:val="55145C05"/>
    <w:rsid w:val="5514C086"/>
    <w:rsid w:val="55167F3A"/>
    <w:rsid w:val="55171BEB"/>
    <w:rsid w:val="551735E0"/>
    <w:rsid w:val="5517A492"/>
    <w:rsid w:val="551AB11F"/>
    <w:rsid w:val="551D0765"/>
    <w:rsid w:val="551D7508"/>
    <w:rsid w:val="551E5831"/>
    <w:rsid w:val="5520023F"/>
    <w:rsid w:val="55223CD2"/>
    <w:rsid w:val="5523151A"/>
    <w:rsid w:val="5525B772"/>
    <w:rsid w:val="55267270"/>
    <w:rsid w:val="552745C3"/>
    <w:rsid w:val="5528EE7A"/>
    <w:rsid w:val="5529C576"/>
    <w:rsid w:val="5529E1D6"/>
    <w:rsid w:val="552B91B1"/>
    <w:rsid w:val="552EF8AF"/>
    <w:rsid w:val="552F1E65"/>
    <w:rsid w:val="5533D97C"/>
    <w:rsid w:val="55344E8E"/>
    <w:rsid w:val="5536203E"/>
    <w:rsid w:val="55374AC3"/>
    <w:rsid w:val="55392B5B"/>
    <w:rsid w:val="55393810"/>
    <w:rsid w:val="553AB090"/>
    <w:rsid w:val="553BD9D4"/>
    <w:rsid w:val="55410705"/>
    <w:rsid w:val="5541334E"/>
    <w:rsid w:val="55414AB1"/>
    <w:rsid w:val="5542DE7A"/>
    <w:rsid w:val="554900B9"/>
    <w:rsid w:val="554A042E"/>
    <w:rsid w:val="554BB5E9"/>
    <w:rsid w:val="554D120A"/>
    <w:rsid w:val="554DD552"/>
    <w:rsid w:val="554F05CD"/>
    <w:rsid w:val="555057F9"/>
    <w:rsid w:val="55550E94"/>
    <w:rsid w:val="5557490B"/>
    <w:rsid w:val="555B543C"/>
    <w:rsid w:val="555C53AB"/>
    <w:rsid w:val="555C9ED2"/>
    <w:rsid w:val="555F4976"/>
    <w:rsid w:val="55605A94"/>
    <w:rsid w:val="5564A7A5"/>
    <w:rsid w:val="55662868"/>
    <w:rsid w:val="5568E47F"/>
    <w:rsid w:val="556952DB"/>
    <w:rsid w:val="55696260"/>
    <w:rsid w:val="556C5D51"/>
    <w:rsid w:val="556F904E"/>
    <w:rsid w:val="55733EEB"/>
    <w:rsid w:val="5575AFB8"/>
    <w:rsid w:val="55784DB0"/>
    <w:rsid w:val="557CC58E"/>
    <w:rsid w:val="557D50F9"/>
    <w:rsid w:val="557E1160"/>
    <w:rsid w:val="557F8332"/>
    <w:rsid w:val="5580C761"/>
    <w:rsid w:val="55818BE8"/>
    <w:rsid w:val="55862152"/>
    <w:rsid w:val="5588CE94"/>
    <w:rsid w:val="5588E74F"/>
    <w:rsid w:val="55895FB7"/>
    <w:rsid w:val="558B05B0"/>
    <w:rsid w:val="558BD4C6"/>
    <w:rsid w:val="558C0C8C"/>
    <w:rsid w:val="558C9C05"/>
    <w:rsid w:val="558CCBEA"/>
    <w:rsid w:val="558D8791"/>
    <w:rsid w:val="558E3CAF"/>
    <w:rsid w:val="55900905"/>
    <w:rsid w:val="5592C0F1"/>
    <w:rsid w:val="559339E7"/>
    <w:rsid w:val="5594435C"/>
    <w:rsid w:val="5594A680"/>
    <w:rsid w:val="559570F7"/>
    <w:rsid w:val="559898F4"/>
    <w:rsid w:val="5598A42B"/>
    <w:rsid w:val="5598E004"/>
    <w:rsid w:val="559A64F4"/>
    <w:rsid w:val="559B0F0F"/>
    <w:rsid w:val="559FFEF5"/>
    <w:rsid w:val="55A1F5C1"/>
    <w:rsid w:val="55A57119"/>
    <w:rsid w:val="55A6E45E"/>
    <w:rsid w:val="55A868D7"/>
    <w:rsid w:val="55A89584"/>
    <w:rsid w:val="55AB77A0"/>
    <w:rsid w:val="55AD44B9"/>
    <w:rsid w:val="55AD9C27"/>
    <w:rsid w:val="55AEE2E8"/>
    <w:rsid w:val="55B0C6EE"/>
    <w:rsid w:val="55B3D3BE"/>
    <w:rsid w:val="55B4F619"/>
    <w:rsid w:val="55B6733E"/>
    <w:rsid w:val="55B73361"/>
    <w:rsid w:val="55B951FC"/>
    <w:rsid w:val="55BAE2A5"/>
    <w:rsid w:val="55BBDD74"/>
    <w:rsid w:val="55BE5C63"/>
    <w:rsid w:val="55C0DAD1"/>
    <w:rsid w:val="55C75998"/>
    <w:rsid w:val="55C83C97"/>
    <w:rsid w:val="55CA253E"/>
    <w:rsid w:val="55D09E2C"/>
    <w:rsid w:val="55D1DC68"/>
    <w:rsid w:val="55D30DD1"/>
    <w:rsid w:val="55D3C6C9"/>
    <w:rsid w:val="55D46863"/>
    <w:rsid w:val="55D51675"/>
    <w:rsid w:val="55D7CB9A"/>
    <w:rsid w:val="55D97BEA"/>
    <w:rsid w:val="55DB0113"/>
    <w:rsid w:val="55DB2548"/>
    <w:rsid w:val="55DBC545"/>
    <w:rsid w:val="55DC7EDC"/>
    <w:rsid w:val="55DEBE47"/>
    <w:rsid w:val="55E05A31"/>
    <w:rsid w:val="55E70579"/>
    <w:rsid w:val="55E7A0E0"/>
    <w:rsid w:val="55EB765B"/>
    <w:rsid w:val="55EB8D8A"/>
    <w:rsid w:val="55F27675"/>
    <w:rsid w:val="55F2EF99"/>
    <w:rsid w:val="55F30BC3"/>
    <w:rsid w:val="55F5937E"/>
    <w:rsid w:val="55F9472F"/>
    <w:rsid w:val="55FC7E89"/>
    <w:rsid w:val="55FD9639"/>
    <w:rsid w:val="55FDC092"/>
    <w:rsid w:val="55FDC6F8"/>
    <w:rsid w:val="55FE6A5F"/>
    <w:rsid w:val="56022E34"/>
    <w:rsid w:val="56034967"/>
    <w:rsid w:val="56037761"/>
    <w:rsid w:val="56079016"/>
    <w:rsid w:val="56083BD7"/>
    <w:rsid w:val="560886AD"/>
    <w:rsid w:val="560ADE12"/>
    <w:rsid w:val="560FCF22"/>
    <w:rsid w:val="5611C996"/>
    <w:rsid w:val="561356D8"/>
    <w:rsid w:val="56146482"/>
    <w:rsid w:val="5614EE62"/>
    <w:rsid w:val="561540BA"/>
    <w:rsid w:val="5616BF25"/>
    <w:rsid w:val="5617CA76"/>
    <w:rsid w:val="56184B94"/>
    <w:rsid w:val="561A998C"/>
    <w:rsid w:val="561CFB80"/>
    <w:rsid w:val="561E2AA7"/>
    <w:rsid w:val="562105B2"/>
    <w:rsid w:val="5621646F"/>
    <w:rsid w:val="5626C459"/>
    <w:rsid w:val="5627E7F8"/>
    <w:rsid w:val="562851CD"/>
    <w:rsid w:val="5629C739"/>
    <w:rsid w:val="562A0F59"/>
    <w:rsid w:val="562BFB9D"/>
    <w:rsid w:val="562CA6CD"/>
    <w:rsid w:val="562EA88B"/>
    <w:rsid w:val="56306C0D"/>
    <w:rsid w:val="56341B78"/>
    <w:rsid w:val="563575C8"/>
    <w:rsid w:val="5635D4F8"/>
    <w:rsid w:val="5636BE1B"/>
    <w:rsid w:val="563AD5A3"/>
    <w:rsid w:val="563C7D05"/>
    <w:rsid w:val="5643B175"/>
    <w:rsid w:val="5644CCF9"/>
    <w:rsid w:val="56459B7F"/>
    <w:rsid w:val="5645D86E"/>
    <w:rsid w:val="5645FA26"/>
    <w:rsid w:val="5646CDFF"/>
    <w:rsid w:val="564940F4"/>
    <w:rsid w:val="564BD74D"/>
    <w:rsid w:val="564D5179"/>
    <w:rsid w:val="564D570E"/>
    <w:rsid w:val="564FD212"/>
    <w:rsid w:val="5650BDA0"/>
    <w:rsid w:val="56533241"/>
    <w:rsid w:val="56539080"/>
    <w:rsid w:val="5653BEDA"/>
    <w:rsid w:val="5656707D"/>
    <w:rsid w:val="56567F48"/>
    <w:rsid w:val="5658D06C"/>
    <w:rsid w:val="5659623B"/>
    <w:rsid w:val="56597A24"/>
    <w:rsid w:val="565B2291"/>
    <w:rsid w:val="565E94F8"/>
    <w:rsid w:val="565ECD8F"/>
    <w:rsid w:val="565EF952"/>
    <w:rsid w:val="56617CB0"/>
    <w:rsid w:val="5661CD69"/>
    <w:rsid w:val="566252A9"/>
    <w:rsid w:val="5662C655"/>
    <w:rsid w:val="5662E34A"/>
    <w:rsid w:val="5662F470"/>
    <w:rsid w:val="56652161"/>
    <w:rsid w:val="56663B2E"/>
    <w:rsid w:val="566860FB"/>
    <w:rsid w:val="5668BFA9"/>
    <w:rsid w:val="5669E95B"/>
    <w:rsid w:val="566C77C9"/>
    <w:rsid w:val="566CB1C0"/>
    <w:rsid w:val="5670A7EE"/>
    <w:rsid w:val="5671DF2E"/>
    <w:rsid w:val="56722460"/>
    <w:rsid w:val="5674398D"/>
    <w:rsid w:val="56758876"/>
    <w:rsid w:val="5675C73B"/>
    <w:rsid w:val="567621AC"/>
    <w:rsid w:val="56765464"/>
    <w:rsid w:val="56771408"/>
    <w:rsid w:val="5679B472"/>
    <w:rsid w:val="5679C8D5"/>
    <w:rsid w:val="567AB036"/>
    <w:rsid w:val="567AF2F9"/>
    <w:rsid w:val="567BB762"/>
    <w:rsid w:val="567CC4BF"/>
    <w:rsid w:val="567DE09E"/>
    <w:rsid w:val="56802045"/>
    <w:rsid w:val="568340C6"/>
    <w:rsid w:val="5685DE96"/>
    <w:rsid w:val="568BC1E7"/>
    <w:rsid w:val="568C7D5A"/>
    <w:rsid w:val="568C7F00"/>
    <w:rsid w:val="568E92D7"/>
    <w:rsid w:val="5691C7B8"/>
    <w:rsid w:val="5691FA16"/>
    <w:rsid w:val="5693B8F1"/>
    <w:rsid w:val="56943042"/>
    <w:rsid w:val="5694FFBF"/>
    <w:rsid w:val="56955F70"/>
    <w:rsid w:val="5696173F"/>
    <w:rsid w:val="5697B1DB"/>
    <w:rsid w:val="56982F13"/>
    <w:rsid w:val="56985A31"/>
    <w:rsid w:val="569ABD65"/>
    <w:rsid w:val="569D1E63"/>
    <w:rsid w:val="56A0AEDF"/>
    <w:rsid w:val="56A2B994"/>
    <w:rsid w:val="56A340D6"/>
    <w:rsid w:val="56A6D5C3"/>
    <w:rsid w:val="56A7C751"/>
    <w:rsid w:val="56A89F87"/>
    <w:rsid w:val="56AC1B5C"/>
    <w:rsid w:val="56ADF11D"/>
    <w:rsid w:val="56B00E44"/>
    <w:rsid w:val="56B3284A"/>
    <w:rsid w:val="56B51B9C"/>
    <w:rsid w:val="56B5D572"/>
    <w:rsid w:val="56B70F6B"/>
    <w:rsid w:val="56B8727B"/>
    <w:rsid w:val="56BBB6EB"/>
    <w:rsid w:val="56BC2199"/>
    <w:rsid w:val="56BCE937"/>
    <w:rsid w:val="56BCEDDA"/>
    <w:rsid w:val="56C0B3B9"/>
    <w:rsid w:val="56C11A53"/>
    <w:rsid w:val="56C2822A"/>
    <w:rsid w:val="56C2A379"/>
    <w:rsid w:val="56C32DDC"/>
    <w:rsid w:val="56C76311"/>
    <w:rsid w:val="56C81E2D"/>
    <w:rsid w:val="56C9F634"/>
    <w:rsid w:val="56CC34FD"/>
    <w:rsid w:val="56CC5CAA"/>
    <w:rsid w:val="56D15676"/>
    <w:rsid w:val="56D700C5"/>
    <w:rsid w:val="56DB483C"/>
    <w:rsid w:val="56DB5500"/>
    <w:rsid w:val="56DD1A38"/>
    <w:rsid w:val="56DEF437"/>
    <w:rsid w:val="56DF0930"/>
    <w:rsid w:val="56E01AAC"/>
    <w:rsid w:val="56E0D10E"/>
    <w:rsid w:val="56E554E2"/>
    <w:rsid w:val="56E78910"/>
    <w:rsid w:val="56EB69A4"/>
    <w:rsid w:val="56EB87C3"/>
    <w:rsid w:val="56EBBB87"/>
    <w:rsid w:val="56ECF15D"/>
    <w:rsid w:val="56EE71CF"/>
    <w:rsid w:val="56EEEBED"/>
    <w:rsid w:val="56EF87F4"/>
    <w:rsid w:val="56F026F7"/>
    <w:rsid w:val="56F0C37D"/>
    <w:rsid w:val="56F19374"/>
    <w:rsid w:val="56F44C09"/>
    <w:rsid w:val="56F717D6"/>
    <w:rsid w:val="56FB3D4B"/>
    <w:rsid w:val="56FDE16B"/>
    <w:rsid w:val="56FFB351"/>
    <w:rsid w:val="570175B4"/>
    <w:rsid w:val="5701A502"/>
    <w:rsid w:val="5704D235"/>
    <w:rsid w:val="57069E69"/>
    <w:rsid w:val="57073C7E"/>
    <w:rsid w:val="570B7B29"/>
    <w:rsid w:val="570F9A73"/>
    <w:rsid w:val="570FC1EB"/>
    <w:rsid w:val="57103A6C"/>
    <w:rsid w:val="5710D749"/>
    <w:rsid w:val="57163622"/>
    <w:rsid w:val="57163DF6"/>
    <w:rsid w:val="5718A2E7"/>
    <w:rsid w:val="571A5FE9"/>
    <w:rsid w:val="571BA2D7"/>
    <w:rsid w:val="571E4A8A"/>
    <w:rsid w:val="571F5FFB"/>
    <w:rsid w:val="57204943"/>
    <w:rsid w:val="5720E0F0"/>
    <w:rsid w:val="5721207A"/>
    <w:rsid w:val="5726F760"/>
    <w:rsid w:val="5728A664"/>
    <w:rsid w:val="5728AA77"/>
    <w:rsid w:val="5728D89A"/>
    <w:rsid w:val="57295917"/>
    <w:rsid w:val="572BAB0E"/>
    <w:rsid w:val="572D4CD3"/>
    <w:rsid w:val="572DD0D7"/>
    <w:rsid w:val="572ED25D"/>
    <w:rsid w:val="573087E4"/>
    <w:rsid w:val="5732261D"/>
    <w:rsid w:val="57336F89"/>
    <w:rsid w:val="5733DE62"/>
    <w:rsid w:val="573680A4"/>
    <w:rsid w:val="5737D553"/>
    <w:rsid w:val="57386B99"/>
    <w:rsid w:val="5739F494"/>
    <w:rsid w:val="573A2271"/>
    <w:rsid w:val="573C11BB"/>
    <w:rsid w:val="573FE254"/>
    <w:rsid w:val="57414139"/>
    <w:rsid w:val="5742BB73"/>
    <w:rsid w:val="5743CC0C"/>
    <w:rsid w:val="5743CE86"/>
    <w:rsid w:val="5745AF63"/>
    <w:rsid w:val="5745FE9F"/>
    <w:rsid w:val="5746892A"/>
    <w:rsid w:val="574746B8"/>
    <w:rsid w:val="574791CF"/>
    <w:rsid w:val="574911FA"/>
    <w:rsid w:val="57494303"/>
    <w:rsid w:val="574959D1"/>
    <w:rsid w:val="574B6BCC"/>
    <w:rsid w:val="574BB3FB"/>
    <w:rsid w:val="574D4AC9"/>
    <w:rsid w:val="574D7C28"/>
    <w:rsid w:val="575095B4"/>
    <w:rsid w:val="575222A7"/>
    <w:rsid w:val="57527313"/>
    <w:rsid w:val="57538DC6"/>
    <w:rsid w:val="5758ED23"/>
    <w:rsid w:val="5758FB1D"/>
    <w:rsid w:val="575C3B61"/>
    <w:rsid w:val="575D2F15"/>
    <w:rsid w:val="575D3B98"/>
    <w:rsid w:val="575E02F0"/>
    <w:rsid w:val="575EC771"/>
    <w:rsid w:val="575F693E"/>
    <w:rsid w:val="57612B8F"/>
    <w:rsid w:val="57653528"/>
    <w:rsid w:val="57689E67"/>
    <w:rsid w:val="576B065D"/>
    <w:rsid w:val="576C049E"/>
    <w:rsid w:val="576FDF62"/>
    <w:rsid w:val="57717F01"/>
    <w:rsid w:val="57720535"/>
    <w:rsid w:val="5772A4D2"/>
    <w:rsid w:val="57748EA9"/>
    <w:rsid w:val="5775455B"/>
    <w:rsid w:val="577828E5"/>
    <w:rsid w:val="57783326"/>
    <w:rsid w:val="577A35C2"/>
    <w:rsid w:val="577B5CF8"/>
    <w:rsid w:val="577CFB72"/>
    <w:rsid w:val="577D51A2"/>
    <w:rsid w:val="577EBD00"/>
    <w:rsid w:val="577ECC9A"/>
    <w:rsid w:val="577FC218"/>
    <w:rsid w:val="577FED46"/>
    <w:rsid w:val="5781639A"/>
    <w:rsid w:val="578384D1"/>
    <w:rsid w:val="57846E08"/>
    <w:rsid w:val="57848652"/>
    <w:rsid w:val="57861E6F"/>
    <w:rsid w:val="5786AA86"/>
    <w:rsid w:val="5787989D"/>
    <w:rsid w:val="57884D88"/>
    <w:rsid w:val="5789F075"/>
    <w:rsid w:val="578BC094"/>
    <w:rsid w:val="578C9B49"/>
    <w:rsid w:val="578CB82D"/>
    <w:rsid w:val="578D68D9"/>
    <w:rsid w:val="578D8616"/>
    <w:rsid w:val="578F2D93"/>
    <w:rsid w:val="57952E4D"/>
    <w:rsid w:val="579736FA"/>
    <w:rsid w:val="5799EB9A"/>
    <w:rsid w:val="579A3E7B"/>
    <w:rsid w:val="579B4D17"/>
    <w:rsid w:val="579CC807"/>
    <w:rsid w:val="57A02CF5"/>
    <w:rsid w:val="57A12E08"/>
    <w:rsid w:val="57A33F71"/>
    <w:rsid w:val="57A4FAAC"/>
    <w:rsid w:val="57A72868"/>
    <w:rsid w:val="57A84E9A"/>
    <w:rsid w:val="57AAD2C4"/>
    <w:rsid w:val="57AE9859"/>
    <w:rsid w:val="57B0B7AD"/>
    <w:rsid w:val="57B0EED0"/>
    <w:rsid w:val="57B2BD24"/>
    <w:rsid w:val="57B32784"/>
    <w:rsid w:val="57B4DF42"/>
    <w:rsid w:val="57B730BF"/>
    <w:rsid w:val="57B78BFF"/>
    <w:rsid w:val="57B97541"/>
    <w:rsid w:val="57BBE47D"/>
    <w:rsid w:val="57BDF8BB"/>
    <w:rsid w:val="57BE0CA4"/>
    <w:rsid w:val="57BEC8F9"/>
    <w:rsid w:val="57C05A06"/>
    <w:rsid w:val="57C2F6A8"/>
    <w:rsid w:val="57C342DE"/>
    <w:rsid w:val="57C3AB99"/>
    <w:rsid w:val="57C8EBB0"/>
    <w:rsid w:val="57CA8620"/>
    <w:rsid w:val="57CB4EFB"/>
    <w:rsid w:val="57CEA883"/>
    <w:rsid w:val="57CF6C24"/>
    <w:rsid w:val="57D0035E"/>
    <w:rsid w:val="57D16D5F"/>
    <w:rsid w:val="57D25614"/>
    <w:rsid w:val="57D28394"/>
    <w:rsid w:val="57D33DD3"/>
    <w:rsid w:val="57D6B6EB"/>
    <w:rsid w:val="57D781D7"/>
    <w:rsid w:val="57D882F0"/>
    <w:rsid w:val="57DC5F46"/>
    <w:rsid w:val="57DC6E90"/>
    <w:rsid w:val="57DD6058"/>
    <w:rsid w:val="57DD79E9"/>
    <w:rsid w:val="57DD9D46"/>
    <w:rsid w:val="57E0A4E7"/>
    <w:rsid w:val="57E168FC"/>
    <w:rsid w:val="57E16BE0"/>
    <w:rsid w:val="57E2576D"/>
    <w:rsid w:val="57E3F8B2"/>
    <w:rsid w:val="57E4270C"/>
    <w:rsid w:val="57E533E5"/>
    <w:rsid w:val="57E6A7D7"/>
    <w:rsid w:val="57E74CCD"/>
    <w:rsid w:val="57E781E6"/>
    <w:rsid w:val="57E8B5A8"/>
    <w:rsid w:val="57E8D4BE"/>
    <w:rsid w:val="57EA3376"/>
    <w:rsid w:val="57EC728A"/>
    <w:rsid w:val="57F045F3"/>
    <w:rsid w:val="57F15E07"/>
    <w:rsid w:val="57F16BE5"/>
    <w:rsid w:val="57F350A7"/>
    <w:rsid w:val="57F3793A"/>
    <w:rsid w:val="57F587A3"/>
    <w:rsid w:val="57F7E8E5"/>
    <w:rsid w:val="57F842EF"/>
    <w:rsid w:val="57F844C4"/>
    <w:rsid w:val="57F8F0B5"/>
    <w:rsid w:val="57FB8E63"/>
    <w:rsid w:val="57FEDC0A"/>
    <w:rsid w:val="57FFE1F2"/>
    <w:rsid w:val="580078E9"/>
    <w:rsid w:val="58009A58"/>
    <w:rsid w:val="5800D890"/>
    <w:rsid w:val="5801550A"/>
    <w:rsid w:val="58028A24"/>
    <w:rsid w:val="580359CF"/>
    <w:rsid w:val="5805EFED"/>
    <w:rsid w:val="58075E92"/>
    <w:rsid w:val="5809A533"/>
    <w:rsid w:val="5810E4DE"/>
    <w:rsid w:val="58117EDE"/>
    <w:rsid w:val="581540D6"/>
    <w:rsid w:val="5815A645"/>
    <w:rsid w:val="58168CB1"/>
    <w:rsid w:val="5817C13A"/>
    <w:rsid w:val="5819FD8B"/>
    <w:rsid w:val="581A86A2"/>
    <w:rsid w:val="581B875E"/>
    <w:rsid w:val="581BC5C6"/>
    <w:rsid w:val="581CC195"/>
    <w:rsid w:val="58210B66"/>
    <w:rsid w:val="58219BD8"/>
    <w:rsid w:val="5822518B"/>
    <w:rsid w:val="582379B7"/>
    <w:rsid w:val="5825B11B"/>
    <w:rsid w:val="582B70B3"/>
    <w:rsid w:val="582BB252"/>
    <w:rsid w:val="582E9B0F"/>
    <w:rsid w:val="582EA094"/>
    <w:rsid w:val="582F1289"/>
    <w:rsid w:val="5831FAE9"/>
    <w:rsid w:val="5832DCF7"/>
    <w:rsid w:val="5835B771"/>
    <w:rsid w:val="58370446"/>
    <w:rsid w:val="58378B4A"/>
    <w:rsid w:val="58396FF8"/>
    <w:rsid w:val="583AACFB"/>
    <w:rsid w:val="583AC063"/>
    <w:rsid w:val="58403CB7"/>
    <w:rsid w:val="58425ABF"/>
    <w:rsid w:val="58435D8D"/>
    <w:rsid w:val="58454452"/>
    <w:rsid w:val="5845CB3B"/>
    <w:rsid w:val="5845FC4C"/>
    <w:rsid w:val="584603D7"/>
    <w:rsid w:val="5849848B"/>
    <w:rsid w:val="58499C53"/>
    <w:rsid w:val="5849EE9E"/>
    <w:rsid w:val="584AE005"/>
    <w:rsid w:val="584C7D96"/>
    <w:rsid w:val="584D0662"/>
    <w:rsid w:val="584D32DF"/>
    <w:rsid w:val="584E4508"/>
    <w:rsid w:val="584EE0F3"/>
    <w:rsid w:val="58514FF8"/>
    <w:rsid w:val="5851E944"/>
    <w:rsid w:val="5857081F"/>
    <w:rsid w:val="585739D3"/>
    <w:rsid w:val="58589A35"/>
    <w:rsid w:val="5858D2B2"/>
    <w:rsid w:val="5858F1AC"/>
    <w:rsid w:val="585941FD"/>
    <w:rsid w:val="585ABB16"/>
    <w:rsid w:val="585D5834"/>
    <w:rsid w:val="585D97F3"/>
    <w:rsid w:val="58640B34"/>
    <w:rsid w:val="5864784F"/>
    <w:rsid w:val="5864E0A1"/>
    <w:rsid w:val="5865826E"/>
    <w:rsid w:val="58672DF3"/>
    <w:rsid w:val="5867600A"/>
    <w:rsid w:val="5867C974"/>
    <w:rsid w:val="5869DE68"/>
    <w:rsid w:val="586A6AEA"/>
    <w:rsid w:val="586A719D"/>
    <w:rsid w:val="586E569A"/>
    <w:rsid w:val="587034C0"/>
    <w:rsid w:val="587237F8"/>
    <w:rsid w:val="587418F6"/>
    <w:rsid w:val="5874AA01"/>
    <w:rsid w:val="5879F816"/>
    <w:rsid w:val="587B9824"/>
    <w:rsid w:val="587BB27D"/>
    <w:rsid w:val="587C138B"/>
    <w:rsid w:val="587CA252"/>
    <w:rsid w:val="587FA6A4"/>
    <w:rsid w:val="588152C1"/>
    <w:rsid w:val="5881678D"/>
    <w:rsid w:val="5884A397"/>
    <w:rsid w:val="5884B2CC"/>
    <w:rsid w:val="58860F70"/>
    <w:rsid w:val="5886B23A"/>
    <w:rsid w:val="58892924"/>
    <w:rsid w:val="588A5EF5"/>
    <w:rsid w:val="588A931F"/>
    <w:rsid w:val="588D76BA"/>
    <w:rsid w:val="588F2E73"/>
    <w:rsid w:val="58922CF8"/>
    <w:rsid w:val="589292CE"/>
    <w:rsid w:val="589563BD"/>
    <w:rsid w:val="5897D19A"/>
    <w:rsid w:val="5899B211"/>
    <w:rsid w:val="5899C40E"/>
    <w:rsid w:val="5899CBA9"/>
    <w:rsid w:val="589C4F80"/>
    <w:rsid w:val="589C9ED6"/>
    <w:rsid w:val="589CDE3D"/>
    <w:rsid w:val="589D1C39"/>
    <w:rsid w:val="589E534B"/>
    <w:rsid w:val="589EEB98"/>
    <w:rsid w:val="589F0844"/>
    <w:rsid w:val="58A5F540"/>
    <w:rsid w:val="58AA1B18"/>
    <w:rsid w:val="58AB0399"/>
    <w:rsid w:val="58AD4E6F"/>
    <w:rsid w:val="58AE1DC6"/>
    <w:rsid w:val="58AFB285"/>
    <w:rsid w:val="58AFB8EF"/>
    <w:rsid w:val="58B0C7F5"/>
    <w:rsid w:val="58B2393B"/>
    <w:rsid w:val="58B27489"/>
    <w:rsid w:val="58B4A547"/>
    <w:rsid w:val="58B4D2E9"/>
    <w:rsid w:val="58B74003"/>
    <w:rsid w:val="58B75903"/>
    <w:rsid w:val="58B8348D"/>
    <w:rsid w:val="58BA7314"/>
    <w:rsid w:val="58BECDE0"/>
    <w:rsid w:val="58BF6E56"/>
    <w:rsid w:val="58C08914"/>
    <w:rsid w:val="58C1BA30"/>
    <w:rsid w:val="58C2AE2D"/>
    <w:rsid w:val="58C64480"/>
    <w:rsid w:val="58C8705B"/>
    <w:rsid w:val="58C9C5C2"/>
    <w:rsid w:val="58C9DE65"/>
    <w:rsid w:val="58CA6A3F"/>
    <w:rsid w:val="58CBB586"/>
    <w:rsid w:val="58CF9E28"/>
    <w:rsid w:val="58D25717"/>
    <w:rsid w:val="58D396B1"/>
    <w:rsid w:val="58D4DEA9"/>
    <w:rsid w:val="58DE5A95"/>
    <w:rsid w:val="58DF7EAF"/>
    <w:rsid w:val="58E51513"/>
    <w:rsid w:val="58E53702"/>
    <w:rsid w:val="58E6761A"/>
    <w:rsid w:val="58E6C0B9"/>
    <w:rsid w:val="58E7324B"/>
    <w:rsid w:val="58E74467"/>
    <w:rsid w:val="58EA6B92"/>
    <w:rsid w:val="58EB1A0F"/>
    <w:rsid w:val="58EB4C10"/>
    <w:rsid w:val="58EBF194"/>
    <w:rsid w:val="58EC3992"/>
    <w:rsid w:val="58ECE9DF"/>
    <w:rsid w:val="58EE5182"/>
    <w:rsid w:val="58EF47DA"/>
    <w:rsid w:val="58F00F72"/>
    <w:rsid w:val="58F01F64"/>
    <w:rsid w:val="58F08C0A"/>
    <w:rsid w:val="58F18530"/>
    <w:rsid w:val="58F343CB"/>
    <w:rsid w:val="58F3E94D"/>
    <w:rsid w:val="58F468E7"/>
    <w:rsid w:val="58F825EB"/>
    <w:rsid w:val="58F9544C"/>
    <w:rsid w:val="58F97C7A"/>
    <w:rsid w:val="58F9E4AF"/>
    <w:rsid w:val="58FAD799"/>
    <w:rsid w:val="58FDB8A8"/>
    <w:rsid w:val="58FDD275"/>
    <w:rsid w:val="58FEC3B0"/>
    <w:rsid w:val="59003F40"/>
    <w:rsid w:val="590041A6"/>
    <w:rsid w:val="5900D7EA"/>
    <w:rsid w:val="59010501"/>
    <w:rsid w:val="5901EA70"/>
    <w:rsid w:val="590301DD"/>
    <w:rsid w:val="5903D009"/>
    <w:rsid w:val="5905CC21"/>
    <w:rsid w:val="590DD1DC"/>
    <w:rsid w:val="590EEC6C"/>
    <w:rsid w:val="59115A0A"/>
    <w:rsid w:val="5913EE6F"/>
    <w:rsid w:val="59163865"/>
    <w:rsid w:val="5916536A"/>
    <w:rsid w:val="59172D59"/>
    <w:rsid w:val="59183B63"/>
    <w:rsid w:val="591C507E"/>
    <w:rsid w:val="591D472C"/>
    <w:rsid w:val="591D967B"/>
    <w:rsid w:val="591FAC49"/>
    <w:rsid w:val="5922B9A5"/>
    <w:rsid w:val="592738EF"/>
    <w:rsid w:val="59276C6F"/>
    <w:rsid w:val="59290B64"/>
    <w:rsid w:val="59292793"/>
    <w:rsid w:val="592937A6"/>
    <w:rsid w:val="592AABAF"/>
    <w:rsid w:val="592AFDF4"/>
    <w:rsid w:val="592BC633"/>
    <w:rsid w:val="592CCFEA"/>
    <w:rsid w:val="592D1E23"/>
    <w:rsid w:val="592E9F55"/>
    <w:rsid w:val="592EFC2A"/>
    <w:rsid w:val="592F4773"/>
    <w:rsid w:val="592F97C4"/>
    <w:rsid w:val="59310476"/>
    <w:rsid w:val="59352394"/>
    <w:rsid w:val="59365373"/>
    <w:rsid w:val="5937D032"/>
    <w:rsid w:val="59391AAF"/>
    <w:rsid w:val="59396F99"/>
    <w:rsid w:val="5939CA50"/>
    <w:rsid w:val="593A5E1F"/>
    <w:rsid w:val="593CE69A"/>
    <w:rsid w:val="593E1C73"/>
    <w:rsid w:val="594289FC"/>
    <w:rsid w:val="5945E15D"/>
    <w:rsid w:val="59494720"/>
    <w:rsid w:val="594A97B2"/>
    <w:rsid w:val="594B6E87"/>
    <w:rsid w:val="594C18AA"/>
    <w:rsid w:val="594CFF29"/>
    <w:rsid w:val="594E8407"/>
    <w:rsid w:val="595279A8"/>
    <w:rsid w:val="59529C3B"/>
    <w:rsid w:val="5952C216"/>
    <w:rsid w:val="5952ED70"/>
    <w:rsid w:val="5954037D"/>
    <w:rsid w:val="59545A3E"/>
    <w:rsid w:val="5957CCEC"/>
    <w:rsid w:val="5957F171"/>
    <w:rsid w:val="59583198"/>
    <w:rsid w:val="59598988"/>
    <w:rsid w:val="595A8B7B"/>
    <w:rsid w:val="595C1937"/>
    <w:rsid w:val="595CE3BA"/>
    <w:rsid w:val="595E0225"/>
    <w:rsid w:val="595E03C0"/>
    <w:rsid w:val="595EDB82"/>
    <w:rsid w:val="5960D105"/>
    <w:rsid w:val="5962C4AE"/>
    <w:rsid w:val="5962DA19"/>
    <w:rsid w:val="59635F9D"/>
    <w:rsid w:val="59656B64"/>
    <w:rsid w:val="596B233C"/>
    <w:rsid w:val="596C009E"/>
    <w:rsid w:val="596D40D7"/>
    <w:rsid w:val="5970E9A2"/>
    <w:rsid w:val="59711292"/>
    <w:rsid w:val="59717DCA"/>
    <w:rsid w:val="5979EEC1"/>
    <w:rsid w:val="597AFE44"/>
    <w:rsid w:val="597BAB05"/>
    <w:rsid w:val="5980538D"/>
    <w:rsid w:val="59812466"/>
    <w:rsid w:val="598129E5"/>
    <w:rsid w:val="59815AC4"/>
    <w:rsid w:val="5982A16D"/>
    <w:rsid w:val="59842461"/>
    <w:rsid w:val="59878C12"/>
    <w:rsid w:val="5987E0F7"/>
    <w:rsid w:val="5987EF9F"/>
    <w:rsid w:val="598BE10E"/>
    <w:rsid w:val="598E118E"/>
    <w:rsid w:val="598ED892"/>
    <w:rsid w:val="5992E52B"/>
    <w:rsid w:val="59954578"/>
    <w:rsid w:val="59982727"/>
    <w:rsid w:val="599AAE50"/>
    <w:rsid w:val="599D8611"/>
    <w:rsid w:val="599D9A27"/>
    <w:rsid w:val="599E688D"/>
    <w:rsid w:val="599FEDC3"/>
    <w:rsid w:val="59A026DC"/>
    <w:rsid w:val="59A065EA"/>
    <w:rsid w:val="59A06A09"/>
    <w:rsid w:val="59A2CE92"/>
    <w:rsid w:val="59A41413"/>
    <w:rsid w:val="59A47665"/>
    <w:rsid w:val="59A542A1"/>
    <w:rsid w:val="59A712AC"/>
    <w:rsid w:val="59A9BB52"/>
    <w:rsid w:val="59AA1E56"/>
    <w:rsid w:val="59AC6956"/>
    <w:rsid w:val="59AD4A07"/>
    <w:rsid w:val="59AD7842"/>
    <w:rsid w:val="59AD8686"/>
    <w:rsid w:val="59AE9A0C"/>
    <w:rsid w:val="59AF500F"/>
    <w:rsid w:val="59AFF66F"/>
    <w:rsid w:val="59B0EECA"/>
    <w:rsid w:val="59B250C9"/>
    <w:rsid w:val="59B4EA67"/>
    <w:rsid w:val="59B6AB13"/>
    <w:rsid w:val="59BC58CF"/>
    <w:rsid w:val="59BCAF7D"/>
    <w:rsid w:val="59BD233F"/>
    <w:rsid w:val="59C1A4BF"/>
    <w:rsid w:val="59C3242E"/>
    <w:rsid w:val="59C35309"/>
    <w:rsid w:val="59C44505"/>
    <w:rsid w:val="59C53AB8"/>
    <w:rsid w:val="59C5DF87"/>
    <w:rsid w:val="59C61A0A"/>
    <w:rsid w:val="59C7A22C"/>
    <w:rsid w:val="59C7F06A"/>
    <w:rsid w:val="59C90EC0"/>
    <w:rsid w:val="59D0F1F8"/>
    <w:rsid w:val="59D10CFD"/>
    <w:rsid w:val="59D1F6A4"/>
    <w:rsid w:val="59D21DEC"/>
    <w:rsid w:val="59D463E0"/>
    <w:rsid w:val="59DA60AA"/>
    <w:rsid w:val="59DCCC03"/>
    <w:rsid w:val="59DD5AF9"/>
    <w:rsid w:val="59DE0F0F"/>
    <w:rsid w:val="59E1B85B"/>
    <w:rsid w:val="59E5990F"/>
    <w:rsid w:val="59E69EDD"/>
    <w:rsid w:val="59E77299"/>
    <w:rsid w:val="59E8FD53"/>
    <w:rsid w:val="59EB4EA7"/>
    <w:rsid w:val="59ECF655"/>
    <w:rsid w:val="59EE13CD"/>
    <w:rsid w:val="59EF84A6"/>
    <w:rsid w:val="59EF92C6"/>
    <w:rsid w:val="59EFBB79"/>
    <w:rsid w:val="59F0E7D5"/>
    <w:rsid w:val="59F1548E"/>
    <w:rsid w:val="59F1D560"/>
    <w:rsid w:val="59F1EE54"/>
    <w:rsid w:val="59F2E098"/>
    <w:rsid w:val="59F4EB89"/>
    <w:rsid w:val="59F4ED63"/>
    <w:rsid w:val="59F8274A"/>
    <w:rsid w:val="59F892DC"/>
    <w:rsid w:val="59F977E9"/>
    <w:rsid w:val="59FCD78B"/>
    <w:rsid w:val="59FDACBD"/>
    <w:rsid w:val="59FE5471"/>
    <w:rsid w:val="59FFBEEF"/>
    <w:rsid w:val="5A01B6D4"/>
    <w:rsid w:val="5A021B49"/>
    <w:rsid w:val="5A046C7C"/>
    <w:rsid w:val="5A053189"/>
    <w:rsid w:val="5A054096"/>
    <w:rsid w:val="5A07330F"/>
    <w:rsid w:val="5A09F6D3"/>
    <w:rsid w:val="5A0B336A"/>
    <w:rsid w:val="5A0B762D"/>
    <w:rsid w:val="5A0BACE7"/>
    <w:rsid w:val="5A0BD5DA"/>
    <w:rsid w:val="5A0C2ACC"/>
    <w:rsid w:val="5A0D2B06"/>
    <w:rsid w:val="5A0EDB82"/>
    <w:rsid w:val="5A11F227"/>
    <w:rsid w:val="5A127E72"/>
    <w:rsid w:val="5A1612B6"/>
    <w:rsid w:val="5A16DA1C"/>
    <w:rsid w:val="5A18B3E5"/>
    <w:rsid w:val="5A195758"/>
    <w:rsid w:val="5A19ABCD"/>
    <w:rsid w:val="5A1C85A1"/>
    <w:rsid w:val="5A1CF11D"/>
    <w:rsid w:val="5A21BB43"/>
    <w:rsid w:val="5A2417EB"/>
    <w:rsid w:val="5A255842"/>
    <w:rsid w:val="5A2930E2"/>
    <w:rsid w:val="5A2B35FD"/>
    <w:rsid w:val="5A2CDA41"/>
    <w:rsid w:val="5A2FC5F6"/>
    <w:rsid w:val="5A331B09"/>
    <w:rsid w:val="5A3352ED"/>
    <w:rsid w:val="5A35D07E"/>
    <w:rsid w:val="5A37FC87"/>
    <w:rsid w:val="5A3A6703"/>
    <w:rsid w:val="5A3D2F19"/>
    <w:rsid w:val="5A3F0EF0"/>
    <w:rsid w:val="5A42E801"/>
    <w:rsid w:val="5A436536"/>
    <w:rsid w:val="5A44B627"/>
    <w:rsid w:val="5A48013E"/>
    <w:rsid w:val="5A4961D1"/>
    <w:rsid w:val="5A4D0696"/>
    <w:rsid w:val="5A4F907D"/>
    <w:rsid w:val="5A4FA8EE"/>
    <w:rsid w:val="5A4FC1E3"/>
    <w:rsid w:val="5A501381"/>
    <w:rsid w:val="5A517927"/>
    <w:rsid w:val="5A554BC5"/>
    <w:rsid w:val="5A55A839"/>
    <w:rsid w:val="5A5662E5"/>
    <w:rsid w:val="5A566979"/>
    <w:rsid w:val="5A57649E"/>
    <w:rsid w:val="5A5C5B69"/>
    <w:rsid w:val="5A61719A"/>
    <w:rsid w:val="5A61AF01"/>
    <w:rsid w:val="5A62DC55"/>
    <w:rsid w:val="5A65CAAF"/>
    <w:rsid w:val="5A66C48A"/>
    <w:rsid w:val="5A6A7B48"/>
    <w:rsid w:val="5A6BFA20"/>
    <w:rsid w:val="5A6C5D1E"/>
    <w:rsid w:val="5A6D678E"/>
    <w:rsid w:val="5A6D8E40"/>
    <w:rsid w:val="5A6E6FFB"/>
    <w:rsid w:val="5A6E868E"/>
    <w:rsid w:val="5A6FCFED"/>
    <w:rsid w:val="5A72D340"/>
    <w:rsid w:val="5A73D638"/>
    <w:rsid w:val="5A748967"/>
    <w:rsid w:val="5A74D780"/>
    <w:rsid w:val="5A74E038"/>
    <w:rsid w:val="5A755391"/>
    <w:rsid w:val="5A75F5C6"/>
    <w:rsid w:val="5A77D9D2"/>
    <w:rsid w:val="5A782B02"/>
    <w:rsid w:val="5A7BCFED"/>
    <w:rsid w:val="5A7DC5E2"/>
    <w:rsid w:val="5A819852"/>
    <w:rsid w:val="5A83B6AE"/>
    <w:rsid w:val="5A849793"/>
    <w:rsid w:val="5A85173B"/>
    <w:rsid w:val="5A8562BC"/>
    <w:rsid w:val="5A86DF64"/>
    <w:rsid w:val="5A877C8F"/>
    <w:rsid w:val="5A87DDF6"/>
    <w:rsid w:val="5A888F68"/>
    <w:rsid w:val="5A8AA1BB"/>
    <w:rsid w:val="5A8ADA86"/>
    <w:rsid w:val="5A8C1203"/>
    <w:rsid w:val="5A8C4A05"/>
    <w:rsid w:val="5A8E289A"/>
    <w:rsid w:val="5A8F782D"/>
    <w:rsid w:val="5A904AF2"/>
    <w:rsid w:val="5A90CA70"/>
    <w:rsid w:val="5A91D8DC"/>
    <w:rsid w:val="5A929480"/>
    <w:rsid w:val="5A9369B2"/>
    <w:rsid w:val="5A955CCC"/>
    <w:rsid w:val="5A962462"/>
    <w:rsid w:val="5A963A1E"/>
    <w:rsid w:val="5A9784C0"/>
    <w:rsid w:val="5A997953"/>
    <w:rsid w:val="5A99F8BB"/>
    <w:rsid w:val="5A9AF7DD"/>
    <w:rsid w:val="5A9D2AFA"/>
    <w:rsid w:val="5A9FD7D0"/>
    <w:rsid w:val="5AA8DA1D"/>
    <w:rsid w:val="5AA983BF"/>
    <w:rsid w:val="5AAB32DF"/>
    <w:rsid w:val="5AAB71A0"/>
    <w:rsid w:val="5AABDCA3"/>
    <w:rsid w:val="5AAC4D5B"/>
    <w:rsid w:val="5AAD111A"/>
    <w:rsid w:val="5AB1AB0A"/>
    <w:rsid w:val="5AB341C1"/>
    <w:rsid w:val="5AB4A05F"/>
    <w:rsid w:val="5AB5870F"/>
    <w:rsid w:val="5AB5DA6A"/>
    <w:rsid w:val="5AB79C5A"/>
    <w:rsid w:val="5ABA62ED"/>
    <w:rsid w:val="5ABE4B61"/>
    <w:rsid w:val="5ABE7B65"/>
    <w:rsid w:val="5ABF4E52"/>
    <w:rsid w:val="5AC15CD1"/>
    <w:rsid w:val="5AC39823"/>
    <w:rsid w:val="5AC44F77"/>
    <w:rsid w:val="5AC479C3"/>
    <w:rsid w:val="5AC526D8"/>
    <w:rsid w:val="5AC5CF02"/>
    <w:rsid w:val="5AC70FE3"/>
    <w:rsid w:val="5AC97771"/>
    <w:rsid w:val="5ACAC9D6"/>
    <w:rsid w:val="5ACC7705"/>
    <w:rsid w:val="5ACDCFD4"/>
    <w:rsid w:val="5AD18184"/>
    <w:rsid w:val="5AD277AE"/>
    <w:rsid w:val="5AD42507"/>
    <w:rsid w:val="5AD8D216"/>
    <w:rsid w:val="5AD8FE8D"/>
    <w:rsid w:val="5AD9116D"/>
    <w:rsid w:val="5AD97023"/>
    <w:rsid w:val="5ADA4738"/>
    <w:rsid w:val="5ADCD6E9"/>
    <w:rsid w:val="5ADFCA60"/>
    <w:rsid w:val="5AE17C8C"/>
    <w:rsid w:val="5AE2C181"/>
    <w:rsid w:val="5AE4BF3F"/>
    <w:rsid w:val="5AE52909"/>
    <w:rsid w:val="5AE733EF"/>
    <w:rsid w:val="5AE8DF43"/>
    <w:rsid w:val="5AEE863E"/>
    <w:rsid w:val="5AEE9277"/>
    <w:rsid w:val="5AEF7657"/>
    <w:rsid w:val="5AF40FFB"/>
    <w:rsid w:val="5AF82F6A"/>
    <w:rsid w:val="5AF9A9BA"/>
    <w:rsid w:val="5AFA4A31"/>
    <w:rsid w:val="5AFCB587"/>
    <w:rsid w:val="5B00F42D"/>
    <w:rsid w:val="5B03B8DC"/>
    <w:rsid w:val="5B073FE4"/>
    <w:rsid w:val="5B0AF695"/>
    <w:rsid w:val="5B0C392A"/>
    <w:rsid w:val="5B0EE7DD"/>
    <w:rsid w:val="5B0F8A79"/>
    <w:rsid w:val="5B1006CA"/>
    <w:rsid w:val="5B116CFE"/>
    <w:rsid w:val="5B129A9E"/>
    <w:rsid w:val="5B12D7D1"/>
    <w:rsid w:val="5B13FA7C"/>
    <w:rsid w:val="5B157C21"/>
    <w:rsid w:val="5B163FAD"/>
    <w:rsid w:val="5B1668F9"/>
    <w:rsid w:val="5B17E255"/>
    <w:rsid w:val="5B17F0B2"/>
    <w:rsid w:val="5B207406"/>
    <w:rsid w:val="5B22A850"/>
    <w:rsid w:val="5B22E58D"/>
    <w:rsid w:val="5B237CB6"/>
    <w:rsid w:val="5B24EBDA"/>
    <w:rsid w:val="5B2615CB"/>
    <w:rsid w:val="5B2734E6"/>
    <w:rsid w:val="5B276F23"/>
    <w:rsid w:val="5B2ABC4D"/>
    <w:rsid w:val="5B2D940A"/>
    <w:rsid w:val="5B2DEDAF"/>
    <w:rsid w:val="5B300B3E"/>
    <w:rsid w:val="5B30881B"/>
    <w:rsid w:val="5B31A495"/>
    <w:rsid w:val="5B31B907"/>
    <w:rsid w:val="5B36896F"/>
    <w:rsid w:val="5B378061"/>
    <w:rsid w:val="5B3786B0"/>
    <w:rsid w:val="5B381D04"/>
    <w:rsid w:val="5B39C758"/>
    <w:rsid w:val="5B3B258E"/>
    <w:rsid w:val="5B3E1437"/>
    <w:rsid w:val="5B424DB8"/>
    <w:rsid w:val="5B42538E"/>
    <w:rsid w:val="5B435450"/>
    <w:rsid w:val="5B4435B7"/>
    <w:rsid w:val="5B444E9A"/>
    <w:rsid w:val="5B44B8BD"/>
    <w:rsid w:val="5B44E103"/>
    <w:rsid w:val="5B460F07"/>
    <w:rsid w:val="5B47AA2B"/>
    <w:rsid w:val="5B489D71"/>
    <w:rsid w:val="5B497817"/>
    <w:rsid w:val="5B49B4C1"/>
    <w:rsid w:val="5B4A7A1E"/>
    <w:rsid w:val="5B4A7A21"/>
    <w:rsid w:val="5B4B3F23"/>
    <w:rsid w:val="5B4B52E4"/>
    <w:rsid w:val="5B4D7F4D"/>
    <w:rsid w:val="5B4FB4C3"/>
    <w:rsid w:val="5B51F39E"/>
    <w:rsid w:val="5B525757"/>
    <w:rsid w:val="5B52A901"/>
    <w:rsid w:val="5B52AB53"/>
    <w:rsid w:val="5B548BE5"/>
    <w:rsid w:val="5B563130"/>
    <w:rsid w:val="5B5720D9"/>
    <w:rsid w:val="5B581364"/>
    <w:rsid w:val="5B58F535"/>
    <w:rsid w:val="5B5B8646"/>
    <w:rsid w:val="5B5C1B36"/>
    <w:rsid w:val="5B5F9CC1"/>
    <w:rsid w:val="5B62F43F"/>
    <w:rsid w:val="5B63FD10"/>
    <w:rsid w:val="5B680185"/>
    <w:rsid w:val="5B69582B"/>
    <w:rsid w:val="5B6AF425"/>
    <w:rsid w:val="5B6AF9DD"/>
    <w:rsid w:val="5B6CD511"/>
    <w:rsid w:val="5B6D6EE4"/>
    <w:rsid w:val="5B71F361"/>
    <w:rsid w:val="5B73A73E"/>
    <w:rsid w:val="5B73BCFA"/>
    <w:rsid w:val="5B741AC8"/>
    <w:rsid w:val="5B74DA20"/>
    <w:rsid w:val="5B758870"/>
    <w:rsid w:val="5B76764E"/>
    <w:rsid w:val="5B776822"/>
    <w:rsid w:val="5B77F73E"/>
    <w:rsid w:val="5B7967B1"/>
    <w:rsid w:val="5B7EB6D2"/>
    <w:rsid w:val="5B7EF375"/>
    <w:rsid w:val="5B822DC2"/>
    <w:rsid w:val="5B82B5CD"/>
    <w:rsid w:val="5B849284"/>
    <w:rsid w:val="5B84C625"/>
    <w:rsid w:val="5B85D1AA"/>
    <w:rsid w:val="5B87B78A"/>
    <w:rsid w:val="5B8857C8"/>
    <w:rsid w:val="5B88A25D"/>
    <w:rsid w:val="5B89D753"/>
    <w:rsid w:val="5B8B800E"/>
    <w:rsid w:val="5B8EAB23"/>
    <w:rsid w:val="5B8EB4AF"/>
    <w:rsid w:val="5B919353"/>
    <w:rsid w:val="5B9300E5"/>
    <w:rsid w:val="5B933592"/>
    <w:rsid w:val="5B95FB62"/>
    <w:rsid w:val="5B9815B9"/>
    <w:rsid w:val="5B983F6C"/>
    <w:rsid w:val="5B98A7EC"/>
    <w:rsid w:val="5B99E6CB"/>
    <w:rsid w:val="5B9A4107"/>
    <w:rsid w:val="5B9C983B"/>
    <w:rsid w:val="5B9D28C0"/>
    <w:rsid w:val="5B9D6757"/>
    <w:rsid w:val="5BA023A6"/>
    <w:rsid w:val="5BA100C0"/>
    <w:rsid w:val="5BA453FF"/>
    <w:rsid w:val="5BA50121"/>
    <w:rsid w:val="5BA7F0AD"/>
    <w:rsid w:val="5BA86C35"/>
    <w:rsid w:val="5BA886C9"/>
    <w:rsid w:val="5BAA3849"/>
    <w:rsid w:val="5BAA90A8"/>
    <w:rsid w:val="5BAAAEC1"/>
    <w:rsid w:val="5BADCA4B"/>
    <w:rsid w:val="5BADED15"/>
    <w:rsid w:val="5BAEBB45"/>
    <w:rsid w:val="5BAF1A11"/>
    <w:rsid w:val="5BAF4C0E"/>
    <w:rsid w:val="5BB08287"/>
    <w:rsid w:val="5BB13E6A"/>
    <w:rsid w:val="5BB36E35"/>
    <w:rsid w:val="5BB5576F"/>
    <w:rsid w:val="5BB5E454"/>
    <w:rsid w:val="5BB6C42E"/>
    <w:rsid w:val="5BB83075"/>
    <w:rsid w:val="5BBCC5CC"/>
    <w:rsid w:val="5BBE1700"/>
    <w:rsid w:val="5BBF0A4D"/>
    <w:rsid w:val="5BC0322B"/>
    <w:rsid w:val="5BC12680"/>
    <w:rsid w:val="5BC18F09"/>
    <w:rsid w:val="5BC3B557"/>
    <w:rsid w:val="5BC3D54A"/>
    <w:rsid w:val="5BC4F017"/>
    <w:rsid w:val="5BC80798"/>
    <w:rsid w:val="5BC845A5"/>
    <w:rsid w:val="5BC89DC7"/>
    <w:rsid w:val="5BCB7AAA"/>
    <w:rsid w:val="5BCD3DB5"/>
    <w:rsid w:val="5BD07EE8"/>
    <w:rsid w:val="5BD0B080"/>
    <w:rsid w:val="5BD3E1F4"/>
    <w:rsid w:val="5BD64361"/>
    <w:rsid w:val="5BD67F5C"/>
    <w:rsid w:val="5BD720D9"/>
    <w:rsid w:val="5BD8E6E1"/>
    <w:rsid w:val="5BD9727F"/>
    <w:rsid w:val="5BD9AC9B"/>
    <w:rsid w:val="5BDD1DD1"/>
    <w:rsid w:val="5BDD9FFF"/>
    <w:rsid w:val="5BE08533"/>
    <w:rsid w:val="5BE09977"/>
    <w:rsid w:val="5BE1411A"/>
    <w:rsid w:val="5BE27D71"/>
    <w:rsid w:val="5BE3F788"/>
    <w:rsid w:val="5BE40B16"/>
    <w:rsid w:val="5BE62BB2"/>
    <w:rsid w:val="5BE63E7C"/>
    <w:rsid w:val="5BE8B5A7"/>
    <w:rsid w:val="5BE9D270"/>
    <w:rsid w:val="5BEA26ED"/>
    <w:rsid w:val="5BEA8F4D"/>
    <w:rsid w:val="5BEA93F4"/>
    <w:rsid w:val="5BEAEAE0"/>
    <w:rsid w:val="5BEAF0D0"/>
    <w:rsid w:val="5BEB5605"/>
    <w:rsid w:val="5BEB8DCE"/>
    <w:rsid w:val="5BEC69F3"/>
    <w:rsid w:val="5BED3FC6"/>
    <w:rsid w:val="5BEEF3E0"/>
    <w:rsid w:val="5BF01D22"/>
    <w:rsid w:val="5BF0EFDD"/>
    <w:rsid w:val="5BF190EC"/>
    <w:rsid w:val="5BF37157"/>
    <w:rsid w:val="5BF4C454"/>
    <w:rsid w:val="5BF56DC3"/>
    <w:rsid w:val="5BF57F58"/>
    <w:rsid w:val="5BF5D05F"/>
    <w:rsid w:val="5BF6A9DD"/>
    <w:rsid w:val="5BF6B043"/>
    <w:rsid w:val="5BF75172"/>
    <w:rsid w:val="5BF9DAB4"/>
    <w:rsid w:val="5BFA9281"/>
    <w:rsid w:val="5BFBB168"/>
    <w:rsid w:val="5BFCF312"/>
    <w:rsid w:val="5BFDA6BF"/>
    <w:rsid w:val="5BFEE063"/>
    <w:rsid w:val="5C029606"/>
    <w:rsid w:val="5C089674"/>
    <w:rsid w:val="5C093C43"/>
    <w:rsid w:val="5C0C31EA"/>
    <w:rsid w:val="5C0D988D"/>
    <w:rsid w:val="5C13D3AB"/>
    <w:rsid w:val="5C156236"/>
    <w:rsid w:val="5C16CE48"/>
    <w:rsid w:val="5C17A59D"/>
    <w:rsid w:val="5C184B02"/>
    <w:rsid w:val="5C18FDD2"/>
    <w:rsid w:val="5C1C2E81"/>
    <w:rsid w:val="5C1D6AF3"/>
    <w:rsid w:val="5C1F98BF"/>
    <w:rsid w:val="5C1FC04D"/>
    <w:rsid w:val="5C21BA6B"/>
    <w:rsid w:val="5C228B0E"/>
    <w:rsid w:val="5C23098D"/>
    <w:rsid w:val="5C25C85F"/>
    <w:rsid w:val="5C286539"/>
    <w:rsid w:val="5C289743"/>
    <w:rsid w:val="5C2A5B2C"/>
    <w:rsid w:val="5C2A7B8D"/>
    <w:rsid w:val="5C2B26C0"/>
    <w:rsid w:val="5C2E2012"/>
    <w:rsid w:val="5C2F1D0D"/>
    <w:rsid w:val="5C2FDE44"/>
    <w:rsid w:val="5C31607A"/>
    <w:rsid w:val="5C34CE0B"/>
    <w:rsid w:val="5C3524B7"/>
    <w:rsid w:val="5C35BA9A"/>
    <w:rsid w:val="5C381E78"/>
    <w:rsid w:val="5C39851A"/>
    <w:rsid w:val="5C39C3DF"/>
    <w:rsid w:val="5C3A3E3E"/>
    <w:rsid w:val="5C3AD31B"/>
    <w:rsid w:val="5C3BC0D9"/>
    <w:rsid w:val="5C3C4CF0"/>
    <w:rsid w:val="5C404F5E"/>
    <w:rsid w:val="5C406F97"/>
    <w:rsid w:val="5C411D93"/>
    <w:rsid w:val="5C42F5E1"/>
    <w:rsid w:val="5C44EF13"/>
    <w:rsid w:val="5C4743A4"/>
    <w:rsid w:val="5C48214A"/>
    <w:rsid w:val="5C4B1DBA"/>
    <w:rsid w:val="5C4E4D81"/>
    <w:rsid w:val="5C4E8B84"/>
    <w:rsid w:val="5C4E8E3E"/>
    <w:rsid w:val="5C4F0F2F"/>
    <w:rsid w:val="5C504C92"/>
    <w:rsid w:val="5C50DDC4"/>
    <w:rsid w:val="5C522E23"/>
    <w:rsid w:val="5C541CE7"/>
    <w:rsid w:val="5C54DF45"/>
    <w:rsid w:val="5C57E196"/>
    <w:rsid w:val="5C5A1BA9"/>
    <w:rsid w:val="5C5AE418"/>
    <w:rsid w:val="5C5D7C7B"/>
    <w:rsid w:val="5C5E1DBE"/>
    <w:rsid w:val="5C5F25BD"/>
    <w:rsid w:val="5C60B49D"/>
    <w:rsid w:val="5C61CACE"/>
    <w:rsid w:val="5C6390DC"/>
    <w:rsid w:val="5C677972"/>
    <w:rsid w:val="5C678022"/>
    <w:rsid w:val="5C68AA88"/>
    <w:rsid w:val="5C6AC5C3"/>
    <w:rsid w:val="5C6D6ECA"/>
    <w:rsid w:val="5C6F9B8A"/>
    <w:rsid w:val="5C716CD0"/>
    <w:rsid w:val="5C71FA9C"/>
    <w:rsid w:val="5C73C2EB"/>
    <w:rsid w:val="5C74868C"/>
    <w:rsid w:val="5C74E6EB"/>
    <w:rsid w:val="5C755805"/>
    <w:rsid w:val="5C7680D2"/>
    <w:rsid w:val="5C790EBB"/>
    <w:rsid w:val="5C7BEDB3"/>
    <w:rsid w:val="5C7DD003"/>
    <w:rsid w:val="5C812430"/>
    <w:rsid w:val="5C834E03"/>
    <w:rsid w:val="5C8564BE"/>
    <w:rsid w:val="5C890DDB"/>
    <w:rsid w:val="5C8C7C0B"/>
    <w:rsid w:val="5C8CB818"/>
    <w:rsid w:val="5C8E65B9"/>
    <w:rsid w:val="5C8F63CE"/>
    <w:rsid w:val="5C9193E7"/>
    <w:rsid w:val="5C9644C8"/>
    <w:rsid w:val="5C980C94"/>
    <w:rsid w:val="5C987069"/>
    <w:rsid w:val="5C9B597A"/>
    <w:rsid w:val="5C9BB485"/>
    <w:rsid w:val="5C9BC116"/>
    <w:rsid w:val="5C9C64E7"/>
    <w:rsid w:val="5C9C937B"/>
    <w:rsid w:val="5C9F3E10"/>
    <w:rsid w:val="5CA069A5"/>
    <w:rsid w:val="5CA32A9C"/>
    <w:rsid w:val="5CA4DF5B"/>
    <w:rsid w:val="5CA5F23B"/>
    <w:rsid w:val="5CA7F927"/>
    <w:rsid w:val="5CA87073"/>
    <w:rsid w:val="5CA88109"/>
    <w:rsid w:val="5CAA1C92"/>
    <w:rsid w:val="5CAA2076"/>
    <w:rsid w:val="5CAA59B7"/>
    <w:rsid w:val="5CACB637"/>
    <w:rsid w:val="5CAD5E87"/>
    <w:rsid w:val="5CB01F01"/>
    <w:rsid w:val="5CB11BBC"/>
    <w:rsid w:val="5CB27012"/>
    <w:rsid w:val="5CB2C6B4"/>
    <w:rsid w:val="5CB45601"/>
    <w:rsid w:val="5CB5DCE8"/>
    <w:rsid w:val="5CB7308F"/>
    <w:rsid w:val="5CBA8CCD"/>
    <w:rsid w:val="5CBAA1C4"/>
    <w:rsid w:val="5CBB564D"/>
    <w:rsid w:val="5CBC14C8"/>
    <w:rsid w:val="5CBD72A0"/>
    <w:rsid w:val="5CBDD92D"/>
    <w:rsid w:val="5CBE2677"/>
    <w:rsid w:val="5CC2500D"/>
    <w:rsid w:val="5CC36EF3"/>
    <w:rsid w:val="5CC5BB87"/>
    <w:rsid w:val="5CC5BD64"/>
    <w:rsid w:val="5CC60673"/>
    <w:rsid w:val="5CC8DFA6"/>
    <w:rsid w:val="5CCD63A7"/>
    <w:rsid w:val="5CCED6A5"/>
    <w:rsid w:val="5CCF53EC"/>
    <w:rsid w:val="5CD163A5"/>
    <w:rsid w:val="5CD40E1F"/>
    <w:rsid w:val="5CD465DB"/>
    <w:rsid w:val="5CD4902A"/>
    <w:rsid w:val="5CD571E4"/>
    <w:rsid w:val="5CD6036C"/>
    <w:rsid w:val="5CD72EC4"/>
    <w:rsid w:val="5CD75126"/>
    <w:rsid w:val="5CD9FB79"/>
    <w:rsid w:val="5CDA1120"/>
    <w:rsid w:val="5CDA8C3D"/>
    <w:rsid w:val="5CE125FA"/>
    <w:rsid w:val="5CE40EDF"/>
    <w:rsid w:val="5CE4A2A1"/>
    <w:rsid w:val="5CE5649B"/>
    <w:rsid w:val="5CE69610"/>
    <w:rsid w:val="5CE93FAA"/>
    <w:rsid w:val="5CE9945A"/>
    <w:rsid w:val="5CEDCFA8"/>
    <w:rsid w:val="5CEEEC19"/>
    <w:rsid w:val="5CEF7CE9"/>
    <w:rsid w:val="5CF0F475"/>
    <w:rsid w:val="5CF23547"/>
    <w:rsid w:val="5CF29ACB"/>
    <w:rsid w:val="5CF45C22"/>
    <w:rsid w:val="5CF491F8"/>
    <w:rsid w:val="5CF5A4B6"/>
    <w:rsid w:val="5CF7E61D"/>
    <w:rsid w:val="5CF85615"/>
    <w:rsid w:val="5CFD88DE"/>
    <w:rsid w:val="5CFDE3BD"/>
    <w:rsid w:val="5CFEE8CC"/>
    <w:rsid w:val="5CFF8963"/>
    <w:rsid w:val="5D00AE37"/>
    <w:rsid w:val="5D011410"/>
    <w:rsid w:val="5D03159E"/>
    <w:rsid w:val="5D03748C"/>
    <w:rsid w:val="5D038260"/>
    <w:rsid w:val="5D03B068"/>
    <w:rsid w:val="5D0AB4E4"/>
    <w:rsid w:val="5D0D9A06"/>
    <w:rsid w:val="5D123A54"/>
    <w:rsid w:val="5D13A7DE"/>
    <w:rsid w:val="5D14954C"/>
    <w:rsid w:val="5D168AA1"/>
    <w:rsid w:val="5D1A7A1C"/>
    <w:rsid w:val="5D1CABBA"/>
    <w:rsid w:val="5D224083"/>
    <w:rsid w:val="5D2471A6"/>
    <w:rsid w:val="5D269605"/>
    <w:rsid w:val="5D26D691"/>
    <w:rsid w:val="5D2EE01B"/>
    <w:rsid w:val="5D325040"/>
    <w:rsid w:val="5D3474D7"/>
    <w:rsid w:val="5D37038F"/>
    <w:rsid w:val="5D3836DA"/>
    <w:rsid w:val="5D39F1EA"/>
    <w:rsid w:val="5D3AE7F8"/>
    <w:rsid w:val="5D3B43D9"/>
    <w:rsid w:val="5D3CF026"/>
    <w:rsid w:val="5D3EAC7B"/>
    <w:rsid w:val="5D3FF2D9"/>
    <w:rsid w:val="5D3FF4D0"/>
    <w:rsid w:val="5D4892F3"/>
    <w:rsid w:val="5D48E964"/>
    <w:rsid w:val="5D4A6B03"/>
    <w:rsid w:val="5D4AF5CD"/>
    <w:rsid w:val="5D4BF95A"/>
    <w:rsid w:val="5D4D4D16"/>
    <w:rsid w:val="5D4E6C29"/>
    <w:rsid w:val="5D4E97B8"/>
    <w:rsid w:val="5D517ACE"/>
    <w:rsid w:val="5D531837"/>
    <w:rsid w:val="5D548532"/>
    <w:rsid w:val="5D558D78"/>
    <w:rsid w:val="5D55B0AE"/>
    <w:rsid w:val="5D56F12B"/>
    <w:rsid w:val="5D57A7AE"/>
    <w:rsid w:val="5D5AD5FA"/>
    <w:rsid w:val="5D5C646A"/>
    <w:rsid w:val="5D5EDBBE"/>
    <w:rsid w:val="5D637519"/>
    <w:rsid w:val="5D65D1E6"/>
    <w:rsid w:val="5D67CFA5"/>
    <w:rsid w:val="5D68911C"/>
    <w:rsid w:val="5D696069"/>
    <w:rsid w:val="5D6AEDFD"/>
    <w:rsid w:val="5D6B3E73"/>
    <w:rsid w:val="5D6C8C4D"/>
    <w:rsid w:val="5D6D3989"/>
    <w:rsid w:val="5D6E099C"/>
    <w:rsid w:val="5D6E24D6"/>
    <w:rsid w:val="5D6EA2C6"/>
    <w:rsid w:val="5D72F767"/>
    <w:rsid w:val="5D75A693"/>
    <w:rsid w:val="5D75C9C9"/>
    <w:rsid w:val="5D7781FF"/>
    <w:rsid w:val="5D77D3A6"/>
    <w:rsid w:val="5D77E523"/>
    <w:rsid w:val="5D78E6A3"/>
    <w:rsid w:val="5D7CE790"/>
    <w:rsid w:val="5D7DCCEA"/>
    <w:rsid w:val="5D824756"/>
    <w:rsid w:val="5D834707"/>
    <w:rsid w:val="5D83ADAE"/>
    <w:rsid w:val="5D8658FA"/>
    <w:rsid w:val="5D86DA3E"/>
    <w:rsid w:val="5D8907BB"/>
    <w:rsid w:val="5D892DFA"/>
    <w:rsid w:val="5D8BFCD4"/>
    <w:rsid w:val="5D8D1112"/>
    <w:rsid w:val="5D8E4908"/>
    <w:rsid w:val="5D8EE314"/>
    <w:rsid w:val="5D8F6695"/>
    <w:rsid w:val="5D8FC178"/>
    <w:rsid w:val="5D8FE079"/>
    <w:rsid w:val="5D8FF069"/>
    <w:rsid w:val="5D921339"/>
    <w:rsid w:val="5D93E9C7"/>
    <w:rsid w:val="5D93FD8D"/>
    <w:rsid w:val="5D9413B9"/>
    <w:rsid w:val="5D95718A"/>
    <w:rsid w:val="5D99888E"/>
    <w:rsid w:val="5D9C56C1"/>
    <w:rsid w:val="5D9EB10A"/>
    <w:rsid w:val="5D9F0621"/>
    <w:rsid w:val="5DA4085E"/>
    <w:rsid w:val="5DA40F67"/>
    <w:rsid w:val="5DA511ED"/>
    <w:rsid w:val="5DA5CCC9"/>
    <w:rsid w:val="5DA668C2"/>
    <w:rsid w:val="5DA72ACE"/>
    <w:rsid w:val="5DA73D94"/>
    <w:rsid w:val="5DA76F55"/>
    <w:rsid w:val="5DA85B5A"/>
    <w:rsid w:val="5DAF8CF8"/>
    <w:rsid w:val="5DB3D001"/>
    <w:rsid w:val="5DB633F5"/>
    <w:rsid w:val="5DB67336"/>
    <w:rsid w:val="5DB691A7"/>
    <w:rsid w:val="5DB6DD27"/>
    <w:rsid w:val="5DB6F0AC"/>
    <w:rsid w:val="5DBA04D9"/>
    <w:rsid w:val="5DBA217C"/>
    <w:rsid w:val="5DBB9920"/>
    <w:rsid w:val="5DC06BBD"/>
    <w:rsid w:val="5DC38192"/>
    <w:rsid w:val="5DC61857"/>
    <w:rsid w:val="5DC661B7"/>
    <w:rsid w:val="5DC79BEE"/>
    <w:rsid w:val="5DCBAD75"/>
    <w:rsid w:val="5DCCE25E"/>
    <w:rsid w:val="5DCDB3AA"/>
    <w:rsid w:val="5DCE4B97"/>
    <w:rsid w:val="5DD074F4"/>
    <w:rsid w:val="5DD0D59B"/>
    <w:rsid w:val="5DD59B41"/>
    <w:rsid w:val="5DD70F97"/>
    <w:rsid w:val="5DD75421"/>
    <w:rsid w:val="5DDCE240"/>
    <w:rsid w:val="5DDDE726"/>
    <w:rsid w:val="5DDE5DB6"/>
    <w:rsid w:val="5DDF1B9B"/>
    <w:rsid w:val="5DDFC52D"/>
    <w:rsid w:val="5DE17286"/>
    <w:rsid w:val="5DE17C6D"/>
    <w:rsid w:val="5DE387FE"/>
    <w:rsid w:val="5DE6D628"/>
    <w:rsid w:val="5DE8B2C4"/>
    <w:rsid w:val="5DE9231E"/>
    <w:rsid w:val="5DEC7414"/>
    <w:rsid w:val="5DEE6B8F"/>
    <w:rsid w:val="5DF04C82"/>
    <w:rsid w:val="5DF1D662"/>
    <w:rsid w:val="5DF3913A"/>
    <w:rsid w:val="5DF3D8B5"/>
    <w:rsid w:val="5DF50C9B"/>
    <w:rsid w:val="5DF59464"/>
    <w:rsid w:val="5DF93A5D"/>
    <w:rsid w:val="5DF9E0C5"/>
    <w:rsid w:val="5DFA1C02"/>
    <w:rsid w:val="5DFC2CB1"/>
    <w:rsid w:val="5E000189"/>
    <w:rsid w:val="5E009033"/>
    <w:rsid w:val="5E017C23"/>
    <w:rsid w:val="5E0210F3"/>
    <w:rsid w:val="5E049670"/>
    <w:rsid w:val="5E06EA3E"/>
    <w:rsid w:val="5E0725F5"/>
    <w:rsid w:val="5E073F05"/>
    <w:rsid w:val="5E07B562"/>
    <w:rsid w:val="5E0976EF"/>
    <w:rsid w:val="5E099D6B"/>
    <w:rsid w:val="5E09BAF1"/>
    <w:rsid w:val="5E0AFB0B"/>
    <w:rsid w:val="5E0B1FCF"/>
    <w:rsid w:val="5E0BAB3E"/>
    <w:rsid w:val="5E0C272F"/>
    <w:rsid w:val="5E0D9290"/>
    <w:rsid w:val="5E0E3142"/>
    <w:rsid w:val="5E11FF32"/>
    <w:rsid w:val="5E154A7A"/>
    <w:rsid w:val="5E1622D9"/>
    <w:rsid w:val="5E172E80"/>
    <w:rsid w:val="5E19BA2C"/>
    <w:rsid w:val="5E19C366"/>
    <w:rsid w:val="5E1CAE8C"/>
    <w:rsid w:val="5E208BAC"/>
    <w:rsid w:val="5E21B4EA"/>
    <w:rsid w:val="5E22215E"/>
    <w:rsid w:val="5E233125"/>
    <w:rsid w:val="5E257B8D"/>
    <w:rsid w:val="5E263339"/>
    <w:rsid w:val="5E29A629"/>
    <w:rsid w:val="5E2B460E"/>
    <w:rsid w:val="5E2CAC2C"/>
    <w:rsid w:val="5E2FF119"/>
    <w:rsid w:val="5E389383"/>
    <w:rsid w:val="5E38DC87"/>
    <w:rsid w:val="5E3A59F3"/>
    <w:rsid w:val="5E40D06F"/>
    <w:rsid w:val="5E41BB21"/>
    <w:rsid w:val="5E41F06D"/>
    <w:rsid w:val="5E42B6B8"/>
    <w:rsid w:val="5E43126D"/>
    <w:rsid w:val="5E44A4AB"/>
    <w:rsid w:val="5E44DFBE"/>
    <w:rsid w:val="5E46CD8C"/>
    <w:rsid w:val="5E4985AE"/>
    <w:rsid w:val="5E4C1AAB"/>
    <w:rsid w:val="5E4DC57F"/>
    <w:rsid w:val="5E4E5B92"/>
    <w:rsid w:val="5E4E9715"/>
    <w:rsid w:val="5E4F5035"/>
    <w:rsid w:val="5E4F6928"/>
    <w:rsid w:val="5E57A18C"/>
    <w:rsid w:val="5E598FAC"/>
    <w:rsid w:val="5E59986A"/>
    <w:rsid w:val="5E5A1055"/>
    <w:rsid w:val="5E5C9081"/>
    <w:rsid w:val="5E5DC169"/>
    <w:rsid w:val="5E5ED04C"/>
    <w:rsid w:val="5E61F610"/>
    <w:rsid w:val="5E631CC7"/>
    <w:rsid w:val="5E6421BE"/>
    <w:rsid w:val="5E647EDE"/>
    <w:rsid w:val="5E648FF4"/>
    <w:rsid w:val="5E66DE35"/>
    <w:rsid w:val="5E673044"/>
    <w:rsid w:val="5E6822F4"/>
    <w:rsid w:val="5E68F4C4"/>
    <w:rsid w:val="5E6A325C"/>
    <w:rsid w:val="5E6CF47D"/>
    <w:rsid w:val="5E705D5C"/>
    <w:rsid w:val="5E714A9B"/>
    <w:rsid w:val="5E733C40"/>
    <w:rsid w:val="5E736E73"/>
    <w:rsid w:val="5E76A401"/>
    <w:rsid w:val="5E77A876"/>
    <w:rsid w:val="5E77CE53"/>
    <w:rsid w:val="5E7AC9F9"/>
    <w:rsid w:val="5E7CC734"/>
    <w:rsid w:val="5E7F4AED"/>
    <w:rsid w:val="5E800EBD"/>
    <w:rsid w:val="5E81C6A1"/>
    <w:rsid w:val="5E83A782"/>
    <w:rsid w:val="5E8419A5"/>
    <w:rsid w:val="5E856112"/>
    <w:rsid w:val="5E85CE80"/>
    <w:rsid w:val="5E85CFC3"/>
    <w:rsid w:val="5E85E8CE"/>
    <w:rsid w:val="5E86A0B5"/>
    <w:rsid w:val="5E8D3E2F"/>
    <w:rsid w:val="5E8E5BDA"/>
    <w:rsid w:val="5E8FC9F2"/>
    <w:rsid w:val="5E975105"/>
    <w:rsid w:val="5E9961FE"/>
    <w:rsid w:val="5E99621A"/>
    <w:rsid w:val="5E9A0C3D"/>
    <w:rsid w:val="5E9C54DF"/>
    <w:rsid w:val="5E9D650C"/>
    <w:rsid w:val="5E9E0410"/>
    <w:rsid w:val="5EA01EC8"/>
    <w:rsid w:val="5EA21C0F"/>
    <w:rsid w:val="5EA30BE9"/>
    <w:rsid w:val="5EA40446"/>
    <w:rsid w:val="5EA44048"/>
    <w:rsid w:val="5EA6D808"/>
    <w:rsid w:val="5EA8C7B3"/>
    <w:rsid w:val="5EAAA5C1"/>
    <w:rsid w:val="5EAC203D"/>
    <w:rsid w:val="5EAC3A50"/>
    <w:rsid w:val="5EB1D5F8"/>
    <w:rsid w:val="5EB27C71"/>
    <w:rsid w:val="5EB2B326"/>
    <w:rsid w:val="5EB2C27A"/>
    <w:rsid w:val="5EB3E9CA"/>
    <w:rsid w:val="5EB62478"/>
    <w:rsid w:val="5EB8FC10"/>
    <w:rsid w:val="5EB98B5C"/>
    <w:rsid w:val="5EBED48F"/>
    <w:rsid w:val="5EBF7275"/>
    <w:rsid w:val="5EC2D7C7"/>
    <w:rsid w:val="5EC2F02A"/>
    <w:rsid w:val="5EC54DD5"/>
    <w:rsid w:val="5EC8DD2A"/>
    <w:rsid w:val="5EC9755D"/>
    <w:rsid w:val="5ECA3A4E"/>
    <w:rsid w:val="5ECB6AB2"/>
    <w:rsid w:val="5ECBD3B7"/>
    <w:rsid w:val="5ECDC42F"/>
    <w:rsid w:val="5ECF7029"/>
    <w:rsid w:val="5ED3023E"/>
    <w:rsid w:val="5ED334B8"/>
    <w:rsid w:val="5ED47CEB"/>
    <w:rsid w:val="5ED4AB7C"/>
    <w:rsid w:val="5ED5A138"/>
    <w:rsid w:val="5ED67EA5"/>
    <w:rsid w:val="5ED71801"/>
    <w:rsid w:val="5ED7A13E"/>
    <w:rsid w:val="5ED7CF9A"/>
    <w:rsid w:val="5ED9D8AB"/>
    <w:rsid w:val="5EDA85ED"/>
    <w:rsid w:val="5EDABB71"/>
    <w:rsid w:val="5EDB48B6"/>
    <w:rsid w:val="5EDC83E9"/>
    <w:rsid w:val="5EDD9FD2"/>
    <w:rsid w:val="5EDFF8C4"/>
    <w:rsid w:val="5EE08C02"/>
    <w:rsid w:val="5EE344C1"/>
    <w:rsid w:val="5EE56D86"/>
    <w:rsid w:val="5EE5C5B7"/>
    <w:rsid w:val="5EE78B85"/>
    <w:rsid w:val="5EE94597"/>
    <w:rsid w:val="5EE96B1F"/>
    <w:rsid w:val="5EEDD1BF"/>
    <w:rsid w:val="5EEE335A"/>
    <w:rsid w:val="5EEE9884"/>
    <w:rsid w:val="5EEF6B4F"/>
    <w:rsid w:val="5EF25332"/>
    <w:rsid w:val="5EF3981C"/>
    <w:rsid w:val="5EF79775"/>
    <w:rsid w:val="5EF79A94"/>
    <w:rsid w:val="5EF86AA8"/>
    <w:rsid w:val="5EF9BE0A"/>
    <w:rsid w:val="5EFB94AE"/>
    <w:rsid w:val="5EFCAABF"/>
    <w:rsid w:val="5EFEFEED"/>
    <w:rsid w:val="5F02A313"/>
    <w:rsid w:val="5F0396DA"/>
    <w:rsid w:val="5F063EF5"/>
    <w:rsid w:val="5F06983C"/>
    <w:rsid w:val="5F06A723"/>
    <w:rsid w:val="5F0C6770"/>
    <w:rsid w:val="5F0CC5ED"/>
    <w:rsid w:val="5F0F2788"/>
    <w:rsid w:val="5F1049A5"/>
    <w:rsid w:val="5F15E4BC"/>
    <w:rsid w:val="5F1C942A"/>
    <w:rsid w:val="5F1F4F43"/>
    <w:rsid w:val="5F206B33"/>
    <w:rsid w:val="5F217875"/>
    <w:rsid w:val="5F226503"/>
    <w:rsid w:val="5F2301A0"/>
    <w:rsid w:val="5F233DBD"/>
    <w:rsid w:val="5F258976"/>
    <w:rsid w:val="5F276B13"/>
    <w:rsid w:val="5F29936E"/>
    <w:rsid w:val="5F29EF44"/>
    <w:rsid w:val="5F2AB8BD"/>
    <w:rsid w:val="5F2B0BA7"/>
    <w:rsid w:val="5F2BA513"/>
    <w:rsid w:val="5F2CF668"/>
    <w:rsid w:val="5F301CEE"/>
    <w:rsid w:val="5F302A4A"/>
    <w:rsid w:val="5F30B2CB"/>
    <w:rsid w:val="5F30C7AE"/>
    <w:rsid w:val="5F30EC52"/>
    <w:rsid w:val="5F31340A"/>
    <w:rsid w:val="5F31D3E9"/>
    <w:rsid w:val="5F32897B"/>
    <w:rsid w:val="5F34F0D2"/>
    <w:rsid w:val="5F35A24A"/>
    <w:rsid w:val="5F36B7B3"/>
    <w:rsid w:val="5F39C0BF"/>
    <w:rsid w:val="5F3E80AC"/>
    <w:rsid w:val="5F3EF0BF"/>
    <w:rsid w:val="5F40117F"/>
    <w:rsid w:val="5F403736"/>
    <w:rsid w:val="5F423CF2"/>
    <w:rsid w:val="5F427A5E"/>
    <w:rsid w:val="5F431571"/>
    <w:rsid w:val="5F444A7C"/>
    <w:rsid w:val="5F44F3E6"/>
    <w:rsid w:val="5F4526FA"/>
    <w:rsid w:val="5F457E8C"/>
    <w:rsid w:val="5F4B5D80"/>
    <w:rsid w:val="5F4FCA85"/>
    <w:rsid w:val="5F51B5DA"/>
    <w:rsid w:val="5F51EFC6"/>
    <w:rsid w:val="5F52A4C4"/>
    <w:rsid w:val="5F55FDE0"/>
    <w:rsid w:val="5F576547"/>
    <w:rsid w:val="5F5833C9"/>
    <w:rsid w:val="5F585F01"/>
    <w:rsid w:val="5F587127"/>
    <w:rsid w:val="5F59BD1E"/>
    <w:rsid w:val="5F5B0095"/>
    <w:rsid w:val="5F5CF57F"/>
    <w:rsid w:val="5F5D1149"/>
    <w:rsid w:val="5F5D6B8A"/>
    <w:rsid w:val="5F5D743B"/>
    <w:rsid w:val="5F5F3304"/>
    <w:rsid w:val="5F65258F"/>
    <w:rsid w:val="5F659872"/>
    <w:rsid w:val="5F6702A8"/>
    <w:rsid w:val="5F676096"/>
    <w:rsid w:val="5F68B168"/>
    <w:rsid w:val="5F6C4D02"/>
    <w:rsid w:val="5F6FD038"/>
    <w:rsid w:val="5F70F714"/>
    <w:rsid w:val="5F70FB3B"/>
    <w:rsid w:val="5F747709"/>
    <w:rsid w:val="5F750DA5"/>
    <w:rsid w:val="5F76C050"/>
    <w:rsid w:val="5F782F56"/>
    <w:rsid w:val="5F790DD0"/>
    <w:rsid w:val="5F797A0C"/>
    <w:rsid w:val="5F7BB47B"/>
    <w:rsid w:val="5F7D84D6"/>
    <w:rsid w:val="5F84A6BB"/>
    <w:rsid w:val="5F8517C0"/>
    <w:rsid w:val="5F891313"/>
    <w:rsid w:val="5F8BCB85"/>
    <w:rsid w:val="5F8D8B0F"/>
    <w:rsid w:val="5F90227F"/>
    <w:rsid w:val="5F93185E"/>
    <w:rsid w:val="5F94AE83"/>
    <w:rsid w:val="5F97B6F0"/>
    <w:rsid w:val="5F980406"/>
    <w:rsid w:val="5F9A5D36"/>
    <w:rsid w:val="5F9AC896"/>
    <w:rsid w:val="5F9EDD8B"/>
    <w:rsid w:val="5F9F9CA2"/>
    <w:rsid w:val="5FA09DF1"/>
    <w:rsid w:val="5FA0A89E"/>
    <w:rsid w:val="5FA379A0"/>
    <w:rsid w:val="5FA58267"/>
    <w:rsid w:val="5FA5E5E1"/>
    <w:rsid w:val="5FA629BC"/>
    <w:rsid w:val="5FA86C50"/>
    <w:rsid w:val="5FA94C3F"/>
    <w:rsid w:val="5FADB9D6"/>
    <w:rsid w:val="5FAFFDCA"/>
    <w:rsid w:val="5FB01C1E"/>
    <w:rsid w:val="5FB05EB0"/>
    <w:rsid w:val="5FB18AB1"/>
    <w:rsid w:val="5FB61AC5"/>
    <w:rsid w:val="5FB6C70A"/>
    <w:rsid w:val="5FB70771"/>
    <w:rsid w:val="5FB715E9"/>
    <w:rsid w:val="5FB76352"/>
    <w:rsid w:val="5FB7DC96"/>
    <w:rsid w:val="5FB8FEF0"/>
    <w:rsid w:val="5FBA2193"/>
    <w:rsid w:val="5FBA5C7B"/>
    <w:rsid w:val="5FBA7C34"/>
    <w:rsid w:val="5FBB6040"/>
    <w:rsid w:val="5FBC5C0D"/>
    <w:rsid w:val="5FBCBFFE"/>
    <w:rsid w:val="5FC0714A"/>
    <w:rsid w:val="5FC28050"/>
    <w:rsid w:val="5FC3C129"/>
    <w:rsid w:val="5FC3D4A1"/>
    <w:rsid w:val="5FC5E70C"/>
    <w:rsid w:val="5FC7B6D0"/>
    <w:rsid w:val="5FC7C3C9"/>
    <w:rsid w:val="5FC8223E"/>
    <w:rsid w:val="5FC8369F"/>
    <w:rsid w:val="5FC9D6DB"/>
    <w:rsid w:val="5FC9F4FD"/>
    <w:rsid w:val="5FCAC1A9"/>
    <w:rsid w:val="5FCEF8A5"/>
    <w:rsid w:val="5FCFEF0E"/>
    <w:rsid w:val="5FD120B4"/>
    <w:rsid w:val="5FD23169"/>
    <w:rsid w:val="5FD368C8"/>
    <w:rsid w:val="5FD87E7B"/>
    <w:rsid w:val="5FD8BA5D"/>
    <w:rsid w:val="5FD99BF7"/>
    <w:rsid w:val="5FD9FC66"/>
    <w:rsid w:val="5FDC2984"/>
    <w:rsid w:val="5FDE4CC2"/>
    <w:rsid w:val="5FDEAA47"/>
    <w:rsid w:val="5FE134B4"/>
    <w:rsid w:val="5FE39649"/>
    <w:rsid w:val="5FE4A9D0"/>
    <w:rsid w:val="5FE4FBA5"/>
    <w:rsid w:val="5FE5DC26"/>
    <w:rsid w:val="5FE836DA"/>
    <w:rsid w:val="5FE8E379"/>
    <w:rsid w:val="5FE9208B"/>
    <w:rsid w:val="5FE9DDA9"/>
    <w:rsid w:val="5FF2817C"/>
    <w:rsid w:val="5FF2A21D"/>
    <w:rsid w:val="5FF3E550"/>
    <w:rsid w:val="5FF41BE9"/>
    <w:rsid w:val="5FF481B4"/>
    <w:rsid w:val="5FF70941"/>
    <w:rsid w:val="5FF8C463"/>
    <w:rsid w:val="5FF9A750"/>
    <w:rsid w:val="5FF9BC31"/>
    <w:rsid w:val="5FF9DC14"/>
    <w:rsid w:val="5FFBC238"/>
    <w:rsid w:val="5FFD8072"/>
    <w:rsid w:val="5FFDF7C7"/>
    <w:rsid w:val="5FFF845D"/>
    <w:rsid w:val="5FFFD00F"/>
    <w:rsid w:val="6001305E"/>
    <w:rsid w:val="60048C67"/>
    <w:rsid w:val="6005C437"/>
    <w:rsid w:val="600742A9"/>
    <w:rsid w:val="6007CCC8"/>
    <w:rsid w:val="6009A3DF"/>
    <w:rsid w:val="600B4CE3"/>
    <w:rsid w:val="600BEE92"/>
    <w:rsid w:val="600C069D"/>
    <w:rsid w:val="600CC145"/>
    <w:rsid w:val="600DA308"/>
    <w:rsid w:val="600FB61C"/>
    <w:rsid w:val="601052A4"/>
    <w:rsid w:val="6011E3FE"/>
    <w:rsid w:val="601248F5"/>
    <w:rsid w:val="601271F6"/>
    <w:rsid w:val="6013D149"/>
    <w:rsid w:val="601738C6"/>
    <w:rsid w:val="601761C5"/>
    <w:rsid w:val="6018BFBB"/>
    <w:rsid w:val="601ABDA7"/>
    <w:rsid w:val="601CB0ED"/>
    <w:rsid w:val="601D79ED"/>
    <w:rsid w:val="601F5678"/>
    <w:rsid w:val="60229D3D"/>
    <w:rsid w:val="6022FE70"/>
    <w:rsid w:val="60239809"/>
    <w:rsid w:val="6024087F"/>
    <w:rsid w:val="60283B75"/>
    <w:rsid w:val="60288E91"/>
    <w:rsid w:val="60290DAE"/>
    <w:rsid w:val="60290E90"/>
    <w:rsid w:val="602A6B26"/>
    <w:rsid w:val="602A902F"/>
    <w:rsid w:val="602B392A"/>
    <w:rsid w:val="602B6B32"/>
    <w:rsid w:val="602BDC5C"/>
    <w:rsid w:val="602D374F"/>
    <w:rsid w:val="60302342"/>
    <w:rsid w:val="60326EF8"/>
    <w:rsid w:val="60330C4B"/>
    <w:rsid w:val="6038478C"/>
    <w:rsid w:val="603B68C7"/>
    <w:rsid w:val="603BEEB9"/>
    <w:rsid w:val="603D1B6C"/>
    <w:rsid w:val="603E2D03"/>
    <w:rsid w:val="6040F27F"/>
    <w:rsid w:val="6040F2DC"/>
    <w:rsid w:val="604521A6"/>
    <w:rsid w:val="6046C8C1"/>
    <w:rsid w:val="604EB750"/>
    <w:rsid w:val="604F5B3B"/>
    <w:rsid w:val="60521ADE"/>
    <w:rsid w:val="6052A0F5"/>
    <w:rsid w:val="6054C701"/>
    <w:rsid w:val="6058A3FB"/>
    <w:rsid w:val="6059D1C8"/>
    <w:rsid w:val="605F5F44"/>
    <w:rsid w:val="60605F20"/>
    <w:rsid w:val="60627171"/>
    <w:rsid w:val="60628372"/>
    <w:rsid w:val="606334F2"/>
    <w:rsid w:val="606345DB"/>
    <w:rsid w:val="606568F1"/>
    <w:rsid w:val="6068A134"/>
    <w:rsid w:val="60699915"/>
    <w:rsid w:val="606D2F1A"/>
    <w:rsid w:val="606E38A0"/>
    <w:rsid w:val="606E4D6F"/>
    <w:rsid w:val="60706A90"/>
    <w:rsid w:val="6070E381"/>
    <w:rsid w:val="6071131C"/>
    <w:rsid w:val="60718F3D"/>
    <w:rsid w:val="607201F3"/>
    <w:rsid w:val="60747D4D"/>
    <w:rsid w:val="6075458C"/>
    <w:rsid w:val="6075CCBB"/>
    <w:rsid w:val="607861AA"/>
    <w:rsid w:val="607D0CB7"/>
    <w:rsid w:val="607D5330"/>
    <w:rsid w:val="607D8A7B"/>
    <w:rsid w:val="607DA6BC"/>
    <w:rsid w:val="6083E951"/>
    <w:rsid w:val="60847A47"/>
    <w:rsid w:val="60881498"/>
    <w:rsid w:val="6088DA2A"/>
    <w:rsid w:val="608A00D7"/>
    <w:rsid w:val="608A64ED"/>
    <w:rsid w:val="608BA1EC"/>
    <w:rsid w:val="608BFF1A"/>
    <w:rsid w:val="608DA288"/>
    <w:rsid w:val="608DD9EF"/>
    <w:rsid w:val="608E253A"/>
    <w:rsid w:val="608F94DD"/>
    <w:rsid w:val="60915E42"/>
    <w:rsid w:val="609318E2"/>
    <w:rsid w:val="60969FEA"/>
    <w:rsid w:val="6096BA35"/>
    <w:rsid w:val="609734CC"/>
    <w:rsid w:val="6098AB80"/>
    <w:rsid w:val="609A16E0"/>
    <w:rsid w:val="609ACF4E"/>
    <w:rsid w:val="609AE82C"/>
    <w:rsid w:val="609B4DE6"/>
    <w:rsid w:val="609CE977"/>
    <w:rsid w:val="609D31D1"/>
    <w:rsid w:val="609DCB9B"/>
    <w:rsid w:val="60A25C8D"/>
    <w:rsid w:val="60A26642"/>
    <w:rsid w:val="60A4D431"/>
    <w:rsid w:val="60A983FD"/>
    <w:rsid w:val="60ABC4D9"/>
    <w:rsid w:val="60AD7AFC"/>
    <w:rsid w:val="60AFE455"/>
    <w:rsid w:val="60B31575"/>
    <w:rsid w:val="60B51810"/>
    <w:rsid w:val="60B6571D"/>
    <w:rsid w:val="60B9113E"/>
    <w:rsid w:val="60BCD1A7"/>
    <w:rsid w:val="60BF014A"/>
    <w:rsid w:val="60C208C1"/>
    <w:rsid w:val="60C30541"/>
    <w:rsid w:val="60C526BF"/>
    <w:rsid w:val="60C62582"/>
    <w:rsid w:val="60C6F3D8"/>
    <w:rsid w:val="60C750F8"/>
    <w:rsid w:val="60C77324"/>
    <w:rsid w:val="60C778D1"/>
    <w:rsid w:val="60C87A63"/>
    <w:rsid w:val="60C92E1E"/>
    <w:rsid w:val="60CBB5FF"/>
    <w:rsid w:val="60CBD671"/>
    <w:rsid w:val="60D17C2E"/>
    <w:rsid w:val="60D2DAF4"/>
    <w:rsid w:val="60D30A42"/>
    <w:rsid w:val="60D3177B"/>
    <w:rsid w:val="60D3F384"/>
    <w:rsid w:val="60D484D2"/>
    <w:rsid w:val="60D57773"/>
    <w:rsid w:val="60D62000"/>
    <w:rsid w:val="60D7D427"/>
    <w:rsid w:val="60D99458"/>
    <w:rsid w:val="60DD7B1E"/>
    <w:rsid w:val="60DF49EC"/>
    <w:rsid w:val="60E131BC"/>
    <w:rsid w:val="60E3ACC0"/>
    <w:rsid w:val="60E4F0EE"/>
    <w:rsid w:val="60E505B9"/>
    <w:rsid w:val="60E6E781"/>
    <w:rsid w:val="60E8BC14"/>
    <w:rsid w:val="60EAE26C"/>
    <w:rsid w:val="60EB9035"/>
    <w:rsid w:val="60EC91EC"/>
    <w:rsid w:val="60ED68F9"/>
    <w:rsid w:val="60ED9602"/>
    <w:rsid w:val="60F10695"/>
    <w:rsid w:val="60F142AF"/>
    <w:rsid w:val="60F4CC3D"/>
    <w:rsid w:val="60F5BC63"/>
    <w:rsid w:val="60F764E5"/>
    <w:rsid w:val="60F7E53F"/>
    <w:rsid w:val="60F80F08"/>
    <w:rsid w:val="60F89BE8"/>
    <w:rsid w:val="60FA8F12"/>
    <w:rsid w:val="60FF70A6"/>
    <w:rsid w:val="6102BA34"/>
    <w:rsid w:val="610322C1"/>
    <w:rsid w:val="610454E1"/>
    <w:rsid w:val="61048E78"/>
    <w:rsid w:val="6105AF3C"/>
    <w:rsid w:val="610683D7"/>
    <w:rsid w:val="6108DBEF"/>
    <w:rsid w:val="6109BB4F"/>
    <w:rsid w:val="610C41A1"/>
    <w:rsid w:val="610E0B29"/>
    <w:rsid w:val="610E72D8"/>
    <w:rsid w:val="610ED676"/>
    <w:rsid w:val="610F28FC"/>
    <w:rsid w:val="610F5223"/>
    <w:rsid w:val="610F98A9"/>
    <w:rsid w:val="6110BC4E"/>
    <w:rsid w:val="6112AB01"/>
    <w:rsid w:val="611372FB"/>
    <w:rsid w:val="6113AA99"/>
    <w:rsid w:val="6114646F"/>
    <w:rsid w:val="611512A3"/>
    <w:rsid w:val="6115D4E6"/>
    <w:rsid w:val="6117BEEB"/>
    <w:rsid w:val="611AAED5"/>
    <w:rsid w:val="611BFD68"/>
    <w:rsid w:val="611DA491"/>
    <w:rsid w:val="611EC083"/>
    <w:rsid w:val="611ECB10"/>
    <w:rsid w:val="61205654"/>
    <w:rsid w:val="612181E2"/>
    <w:rsid w:val="6122EDFE"/>
    <w:rsid w:val="6126FC0A"/>
    <w:rsid w:val="6127349A"/>
    <w:rsid w:val="61273CD2"/>
    <w:rsid w:val="612836B9"/>
    <w:rsid w:val="612A5DE4"/>
    <w:rsid w:val="612A93B8"/>
    <w:rsid w:val="612B3078"/>
    <w:rsid w:val="612C3E68"/>
    <w:rsid w:val="612C5D9D"/>
    <w:rsid w:val="61368F7B"/>
    <w:rsid w:val="6136EF40"/>
    <w:rsid w:val="6136F58A"/>
    <w:rsid w:val="6138ECFA"/>
    <w:rsid w:val="61391332"/>
    <w:rsid w:val="61391684"/>
    <w:rsid w:val="61397CB9"/>
    <w:rsid w:val="6139F3B9"/>
    <w:rsid w:val="613B1D77"/>
    <w:rsid w:val="613BCF76"/>
    <w:rsid w:val="613CCEA6"/>
    <w:rsid w:val="613D6FED"/>
    <w:rsid w:val="613EC7A3"/>
    <w:rsid w:val="61400F43"/>
    <w:rsid w:val="61425069"/>
    <w:rsid w:val="61492A7E"/>
    <w:rsid w:val="614A0F7D"/>
    <w:rsid w:val="614BFE2C"/>
    <w:rsid w:val="614E2C98"/>
    <w:rsid w:val="6150A441"/>
    <w:rsid w:val="6150F64E"/>
    <w:rsid w:val="615109D0"/>
    <w:rsid w:val="61518F9A"/>
    <w:rsid w:val="6151DC74"/>
    <w:rsid w:val="61529975"/>
    <w:rsid w:val="61533F24"/>
    <w:rsid w:val="61548E69"/>
    <w:rsid w:val="615582C9"/>
    <w:rsid w:val="61559B86"/>
    <w:rsid w:val="6156F05E"/>
    <w:rsid w:val="615BBC0F"/>
    <w:rsid w:val="615CC04E"/>
    <w:rsid w:val="615D25DD"/>
    <w:rsid w:val="615E086D"/>
    <w:rsid w:val="615EF8B0"/>
    <w:rsid w:val="616216B0"/>
    <w:rsid w:val="61628723"/>
    <w:rsid w:val="61630E58"/>
    <w:rsid w:val="61634EA2"/>
    <w:rsid w:val="616836A8"/>
    <w:rsid w:val="616C159D"/>
    <w:rsid w:val="616F1880"/>
    <w:rsid w:val="616F5DC2"/>
    <w:rsid w:val="6171F21F"/>
    <w:rsid w:val="6172577E"/>
    <w:rsid w:val="617396E7"/>
    <w:rsid w:val="6174263F"/>
    <w:rsid w:val="617643DA"/>
    <w:rsid w:val="6176EC7E"/>
    <w:rsid w:val="6178D2DD"/>
    <w:rsid w:val="6178ED4D"/>
    <w:rsid w:val="61797C77"/>
    <w:rsid w:val="617AF352"/>
    <w:rsid w:val="617BB704"/>
    <w:rsid w:val="617C7F70"/>
    <w:rsid w:val="617D6F2A"/>
    <w:rsid w:val="617DB133"/>
    <w:rsid w:val="617DC09E"/>
    <w:rsid w:val="617DE662"/>
    <w:rsid w:val="617F81C8"/>
    <w:rsid w:val="618082A1"/>
    <w:rsid w:val="6180D720"/>
    <w:rsid w:val="61894035"/>
    <w:rsid w:val="61896798"/>
    <w:rsid w:val="618D2AE0"/>
    <w:rsid w:val="618F2A46"/>
    <w:rsid w:val="6190624B"/>
    <w:rsid w:val="619319DB"/>
    <w:rsid w:val="6195004A"/>
    <w:rsid w:val="61962590"/>
    <w:rsid w:val="6196D7E5"/>
    <w:rsid w:val="619910A6"/>
    <w:rsid w:val="61992CC3"/>
    <w:rsid w:val="619C9A05"/>
    <w:rsid w:val="619DF0C3"/>
    <w:rsid w:val="61A01EAB"/>
    <w:rsid w:val="61A08714"/>
    <w:rsid w:val="61A0FC4B"/>
    <w:rsid w:val="61A36140"/>
    <w:rsid w:val="61A41CFB"/>
    <w:rsid w:val="61A7366E"/>
    <w:rsid w:val="61A9504D"/>
    <w:rsid w:val="61AA065E"/>
    <w:rsid w:val="61AADB3D"/>
    <w:rsid w:val="61AC9494"/>
    <w:rsid w:val="61AD259F"/>
    <w:rsid w:val="61ADBDCF"/>
    <w:rsid w:val="61B0588D"/>
    <w:rsid w:val="61B362AD"/>
    <w:rsid w:val="61B39E09"/>
    <w:rsid w:val="61B42241"/>
    <w:rsid w:val="61B9F554"/>
    <w:rsid w:val="61B9FCFE"/>
    <w:rsid w:val="61BA7E18"/>
    <w:rsid w:val="61BE3E16"/>
    <w:rsid w:val="61BE4D1C"/>
    <w:rsid w:val="61BF8C39"/>
    <w:rsid w:val="61BFB3C5"/>
    <w:rsid w:val="61BFBC15"/>
    <w:rsid w:val="61C07E3E"/>
    <w:rsid w:val="61C244DF"/>
    <w:rsid w:val="61C2B19A"/>
    <w:rsid w:val="61C2CBE1"/>
    <w:rsid w:val="61C6BE9E"/>
    <w:rsid w:val="61CB753B"/>
    <w:rsid w:val="61CCD2B1"/>
    <w:rsid w:val="61CE98CB"/>
    <w:rsid w:val="61CEE060"/>
    <w:rsid w:val="61CF765C"/>
    <w:rsid w:val="61D003CD"/>
    <w:rsid w:val="61D045CE"/>
    <w:rsid w:val="61D0E7AF"/>
    <w:rsid w:val="61D19285"/>
    <w:rsid w:val="61D2D76F"/>
    <w:rsid w:val="61D32B7A"/>
    <w:rsid w:val="61D4BA1F"/>
    <w:rsid w:val="61D53683"/>
    <w:rsid w:val="61D5F5C6"/>
    <w:rsid w:val="61DAA18F"/>
    <w:rsid w:val="61DFA065"/>
    <w:rsid w:val="61E08751"/>
    <w:rsid w:val="61E3A36F"/>
    <w:rsid w:val="61E5970F"/>
    <w:rsid w:val="61E5D25E"/>
    <w:rsid w:val="61E62881"/>
    <w:rsid w:val="61E7EEDD"/>
    <w:rsid w:val="61E84369"/>
    <w:rsid w:val="61EACB67"/>
    <w:rsid w:val="61EBD4C8"/>
    <w:rsid w:val="61F061B6"/>
    <w:rsid w:val="61F49D8F"/>
    <w:rsid w:val="61F70809"/>
    <w:rsid w:val="61F72B7E"/>
    <w:rsid w:val="61FBBF31"/>
    <w:rsid w:val="61FBCA78"/>
    <w:rsid w:val="61FEFCB9"/>
    <w:rsid w:val="62001FD7"/>
    <w:rsid w:val="6203632C"/>
    <w:rsid w:val="6203C9D3"/>
    <w:rsid w:val="6206445D"/>
    <w:rsid w:val="62085BEB"/>
    <w:rsid w:val="620DC5EF"/>
    <w:rsid w:val="620E8792"/>
    <w:rsid w:val="620F0F7A"/>
    <w:rsid w:val="62101350"/>
    <w:rsid w:val="6210F943"/>
    <w:rsid w:val="621225CE"/>
    <w:rsid w:val="6213C331"/>
    <w:rsid w:val="62148915"/>
    <w:rsid w:val="62149DA5"/>
    <w:rsid w:val="62158866"/>
    <w:rsid w:val="62165EF0"/>
    <w:rsid w:val="62186B83"/>
    <w:rsid w:val="6219591A"/>
    <w:rsid w:val="62196239"/>
    <w:rsid w:val="621AB85B"/>
    <w:rsid w:val="621B66A1"/>
    <w:rsid w:val="621C2C9F"/>
    <w:rsid w:val="621D6A37"/>
    <w:rsid w:val="622154F1"/>
    <w:rsid w:val="62219063"/>
    <w:rsid w:val="6224CE1F"/>
    <w:rsid w:val="62270C03"/>
    <w:rsid w:val="62271CB2"/>
    <w:rsid w:val="6227AEEB"/>
    <w:rsid w:val="62280B20"/>
    <w:rsid w:val="622BC7CA"/>
    <w:rsid w:val="622C9CDE"/>
    <w:rsid w:val="622DBCEB"/>
    <w:rsid w:val="622E88D5"/>
    <w:rsid w:val="622FCE5D"/>
    <w:rsid w:val="622FD97B"/>
    <w:rsid w:val="623010A5"/>
    <w:rsid w:val="6231095B"/>
    <w:rsid w:val="62329B10"/>
    <w:rsid w:val="62335A88"/>
    <w:rsid w:val="623558F4"/>
    <w:rsid w:val="6237995E"/>
    <w:rsid w:val="6239488A"/>
    <w:rsid w:val="6239EE88"/>
    <w:rsid w:val="623AB9AB"/>
    <w:rsid w:val="623B66D5"/>
    <w:rsid w:val="62405C4A"/>
    <w:rsid w:val="624253DA"/>
    <w:rsid w:val="624450E4"/>
    <w:rsid w:val="6245D1D9"/>
    <w:rsid w:val="62463C9A"/>
    <w:rsid w:val="62463DF8"/>
    <w:rsid w:val="62466A96"/>
    <w:rsid w:val="624B3947"/>
    <w:rsid w:val="624CC3FF"/>
    <w:rsid w:val="624D4FB9"/>
    <w:rsid w:val="624D5469"/>
    <w:rsid w:val="624D7046"/>
    <w:rsid w:val="62569DCA"/>
    <w:rsid w:val="62578BE8"/>
    <w:rsid w:val="6259E929"/>
    <w:rsid w:val="625AA262"/>
    <w:rsid w:val="625BCD4F"/>
    <w:rsid w:val="625D16A9"/>
    <w:rsid w:val="625D6375"/>
    <w:rsid w:val="625DBEE2"/>
    <w:rsid w:val="625DFED6"/>
    <w:rsid w:val="6260228B"/>
    <w:rsid w:val="626463A2"/>
    <w:rsid w:val="626469EA"/>
    <w:rsid w:val="62654491"/>
    <w:rsid w:val="62658DE0"/>
    <w:rsid w:val="62661DD2"/>
    <w:rsid w:val="626D0CE7"/>
    <w:rsid w:val="626D6149"/>
    <w:rsid w:val="626E1E30"/>
    <w:rsid w:val="6270CE94"/>
    <w:rsid w:val="6270EA40"/>
    <w:rsid w:val="62731D32"/>
    <w:rsid w:val="627415CB"/>
    <w:rsid w:val="62751C88"/>
    <w:rsid w:val="6275EE24"/>
    <w:rsid w:val="6276F5D8"/>
    <w:rsid w:val="627A5596"/>
    <w:rsid w:val="627BCDCC"/>
    <w:rsid w:val="627D34F8"/>
    <w:rsid w:val="62801FED"/>
    <w:rsid w:val="6281D3CF"/>
    <w:rsid w:val="628410E7"/>
    <w:rsid w:val="6284AA62"/>
    <w:rsid w:val="6286E0FD"/>
    <w:rsid w:val="62873B83"/>
    <w:rsid w:val="628995DD"/>
    <w:rsid w:val="628DC042"/>
    <w:rsid w:val="62909E96"/>
    <w:rsid w:val="62915FF3"/>
    <w:rsid w:val="6292FBBA"/>
    <w:rsid w:val="62930188"/>
    <w:rsid w:val="6293D6B1"/>
    <w:rsid w:val="6294CEA8"/>
    <w:rsid w:val="6295845A"/>
    <w:rsid w:val="6296196E"/>
    <w:rsid w:val="62969F4F"/>
    <w:rsid w:val="629766DE"/>
    <w:rsid w:val="6297F23D"/>
    <w:rsid w:val="6298BA49"/>
    <w:rsid w:val="629C416D"/>
    <w:rsid w:val="629C946E"/>
    <w:rsid w:val="629CBA7E"/>
    <w:rsid w:val="629F49B1"/>
    <w:rsid w:val="629F8433"/>
    <w:rsid w:val="629FD1BE"/>
    <w:rsid w:val="62A08D72"/>
    <w:rsid w:val="62A1B274"/>
    <w:rsid w:val="62A1D8E8"/>
    <w:rsid w:val="62A24F7E"/>
    <w:rsid w:val="62A287A0"/>
    <w:rsid w:val="62A346DF"/>
    <w:rsid w:val="62A6340C"/>
    <w:rsid w:val="62A6AD51"/>
    <w:rsid w:val="62A89192"/>
    <w:rsid w:val="62AB8423"/>
    <w:rsid w:val="62ACA062"/>
    <w:rsid w:val="62AD9F0C"/>
    <w:rsid w:val="62AF4DFA"/>
    <w:rsid w:val="62B09C71"/>
    <w:rsid w:val="62B25AC8"/>
    <w:rsid w:val="62B54504"/>
    <w:rsid w:val="62B5568C"/>
    <w:rsid w:val="62B8F63C"/>
    <w:rsid w:val="62BF32AA"/>
    <w:rsid w:val="62BF4378"/>
    <w:rsid w:val="62C207CF"/>
    <w:rsid w:val="62C326E5"/>
    <w:rsid w:val="62C703DC"/>
    <w:rsid w:val="62C7D0F6"/>
    <w:rsid w:val="62C7D2D9"/>
    <w:rsid w:val="62C99ABA"/>
    <w:rsid w:val="62CA4C4D"/>
    <w:rsid w:val="62CA5F81"/>
    <w:rsid w:val="62CE63FC"/>
    <w:rsid w:val="62CFDD79"/>
    <w:rsid w:val="62CFE1D5"/>
    <w:rsid w:val="62D23A9A"/>
    <w:rsid w:val="62D2430C"/>
    <w:rsid w:val="62D4CB4E"/>
    <w:rsid w:val="62D8539F"/>
    <w:rsid w:val="62DD7C3E"/>
    <w:rsid w:val="62DDA4E3"/>
    <w:rsid w:val="62E2CA2F"/>
    <w:rsid w:val="62E507AE"/>
    <w:rsid w:val="62E52F54"/>
    <w:rsid w:val="62E55E4E"/>
    <w:rsid w:val="62E5C629"/>
    <w:rsid w:val="62E6BFEF"/>
    <w:rsid w:val="62E7FF72"/>
    <w:rsid w:val="62E9EFA8"/>
    <w:rsid w:val="62EA8FBB"/>
    <w:rsid w:val="62EF6CF0"/>
    <w:rsid w:val="62EFE741"/>
    <w:rsid w:val="62EFF61C"/>
    <w:rsid w:val="62F07517"/>
    <w:rsid w:val="62F0A5A0"/>
    <w:rsid w:val="62F27C8B"/>
    <w:rsid w:val="62F5A1D2"/>
    <w:rsid w:val="62F5F390"/>
    <w:rsid w:val="62F76288"/>
    <w:rsid w:val="62F936B2"/>
    <w:rsid w:val="62F95644"/>
    <w:rsid w:val="62F9A45C"/>
    <w:rsid w:val="62FC15A7"/>
    <w:rsid w:val="62FCD29D"/>
    <w:rsid w:val="62FFCB9F"/>
    <w:rsid w:val="630049A6"/>
    <w:rsid w:val="63064F4B"/>
    <w:rsid w:val="63080293"/>
    <w:rsid w:val="630B1873"/>
    <w:rsid w:val="630BBEB7"/>
    <w:rsid w:val="630EECA0"/>
    <w:rsid w:val="630FD6A4"/>
    <w:rsid w:val="63129386"/>
    <w:rsid w:val="63178807"/>
    <w:rsid w:val="631A25CB"/>
    <w:rsid w:val="631D214C"/>
    <w:rsid w:val="631D4927"/>
    <w:rsid w:val="631DF309"/>
    <w:rsid w:val="631ECA7E"/>
    <w:rsid w:val="6320513C"/>
    <w:rsid w:val="6320F5A8"/>
    <w:rsid w:val="63213466"/>
    <w:rsid w:val="6324F944"/>
    <w:rsid w:val="6325E9B9"/>
    <w:rsid w:val="632A43A9"/>
    <w:rsid w:val="632A6B4B"/>
    <w:rsid w:val="632D6B3E"/>
    <w:rsid w:val="632DAF72"/>
    <w:rsid w:val="632E1463"/>
    <w:rsid w:val="632F9ADA"/>
    <w:rsid w:val="6330B033"/>
    <w:rsid w:val="6331C2E8"/>
    <w:rsid w:val="6332299F"/>
    <w:rsid w:val="633244DC"/>
    <w:rsid w:val="63348451"/>
    <w:rsid w:val="63357066"/>
    <w:rsid w:val="6338445C"/>
    <w:rsid w:val="633C427E"/>
    <w:rsid w:val="633C449E"/>
    <w:rsid w:val="633F4E9D"/>
    <w:rsid w:val="6340D16A"/>
    <w:rsid w:val="6340D302"/>
    <w:rsid w:val="6344079E"/>
    <w:rsid w:val="6344D88F"/>
    <w:rsid w:val="63462999"/>
    <w:rsid w:val="6346CF05"/>
    <w:rsid w:val="634E7A08"/>
    <w:rsid w:val="634EA8F9"/>
    <w:rsid w:val="635149D7"/>
    <w:rsid w:val="63517935"/>
    <w:rsid w:val="6351DDAE"/>
    <w:rsid w:val="635250D6"/>
    <w:rsid w:val="6352A7BD"/>
    <w:rsid w:val="635655D2"/>
    <w:rsid w:val="63574891"/>
    <w:rsid w:val="6357F355"/>
    <w:rsid w:val="635C69E4"/>
    <w:rsid w:val="635F40E1"/>
    <w:rsid w:val="63600E4F"/>
    <w:rsid w:val="6360FA51"/>
    <w:rsid w:val="6361B4E6"/>
    <w:rsid w:val="6361CF23"/>
    <w:rsid w:val="6362067E"/>
    <w:rsid w:val="6362535D"/>
    <w:rsid w:val="6369DBAA"/>
    <w:rsid w:val="636B5271"/>
    <w:rsid w:val="636C306C"/>
    <w:rsid w:val="636D4B5C"/>
    <w:rsid w:val="636DCE04"/>
    <w:rsid w:val="636E4D32"/>
    <w:rsid w:val="636E9449"/>
    <w:rsid w:val="636EBC13"/>
    <w:rsid w:val="636F08F7"/>
    <w:rsid w:val="637056D5"/>
    <w:rsid w:val="6370BFB2"/>
    <w:rsid w:val="63713A97"/>
    <w:rsid w:val="637394F4"/>
    <w:rsid w:val="637437BA"/>
    <w:rsid w:val="63750CF4"/>
    <w:rsid w:val="63757030"/>
    <w:rsid w:val="63764FDB"/>
    <w:rsid w:val="63769AA2"/>
    <w:rsid w:val="637740E9"/>
    <w:rsid w:val="6378773E"/>
    <w:rsid w:val="6378CD00"/>
    <w:rsid w:val="637B569E"/>
    <w:rsid w:val="637D576A"/>
    <w:rsid w:val="637E2656"/>
    <w:rsid w:val="638165C6"/>
    <w:rsid w:val="6381E9E3"/>
    <w:rsid w:val="63830388"/>
    <w:rsid w:val="63853E35"/>
    <w:rsid w:val="638670DA"/>
    <w:rsid w:val="6386C9E9"/>
    <w:rsid w:val="63883B68"/>
    <w:rsid w:val="63885323"/>
    <w:rsid w:val="638DA36B"/>
    <w:rsid w:val="638F5EA3"/>
    <w:rsid w:val="638F86EF"/>
    <w:rsid w:val="6390A49B"/>
    <w:rsid w:val="63920E03"/>
    <w:rsid w:val="639339FB"/>
    <w:rsid w:val="6395EDFC"/>
    <w:rsid w:val="639657F1"/>
    <w:rsid w:val="63966A17"/>
    <w:rsid w:val="63969A2E"/>
    <w:rsid w:val="6396BACE"/>
    <w:rsid w:val="63976B32"/>
    <w:rsid w:val="6397E821"/>
    <w:rsid w:val="6397F984"/>
    <w:rsid w:val="63991B18"/>
    <w:rsid w:val="6399B890"/>
    <w:rsid w:val="639A6738"/>
    <w:rsid w:val="639C9327"/>
    <w:rsid w:val="639CE78C"/>
    <w:rsid w:val="639D0C8C"/>
    <w:rsid w:val="639E3EE7"/>
    <w:rsid w:val="639EABBE"/>
    <w:rsid w:val="639EF0EA"/>
    <w:rsid w:val="639F3048"/>
    <w:rsid w:val="63A04F2B"/>
    <w:rsid w:val="63A09B12"/>
    <w:rsid w:val="63A33C2B"/>
    <w:rsid w:val="63A52498"/>
    <w:rsid w:val="63A557EC"/>
    <w:rsid w:val="63A58307"/>
    <w:rsid w:val="63A68EC8"/>
    <w:rsid w:val="63A710E1"/>
    <w:rsid w:val="63A75294"/>
    <w:rsid w:val="63A89DEC"/>
    <w:rsid w:val="63AB95EF"/>
    <w:rsid w:val="63ADF76A"/>
    <w:rsid w:val="63AF8C5B"/>
    <w:rsid w:val="63B1E663"/>
    <w:rsid w:val="63B21E36"/>
    <w:rsid w:val="63B38B7C"/>
    <w:rsid w:val="63B446D0"/>
    <w:rsid w:val="63B45712"/>
    <w:rsid w:val="63B63D0A"/>
    <w:rsid w:val="63B69D6B"/>
    <w:rsid w:val="63B7BAEF"/>
    <w:rsid w:val="63B86387"/>
    <w:rsid w:val="63BA7285"/>
    <w:rsid w:val="63BEA493"/>
    <w:rsid w:val="63BEA9E3"/>
    <w:rsid w:val="63BF33E1"/>
    <w:rsid w:val="63C02B44"/>
    <w:rsid w:val="63C1D844"/>
    <w:rsid w:val="63C1F486"/>
    <w:rsid w:val="63C34818"/>
    <w:rsid w:val="63C44C44"/>
    <w:rsid w:val="63C4E997"/>
    <w:rsid w:val="63C813C6"/>
    <w:rsid w:val="63C88006"/>
    <w:rsid w:val="63C89B7A"/>
    <w:rsid w:val="63C9B236"/>
    <w:rsid w:val="63C9FFE3"/>
    <w:rsid w:val="63CA1E7D"/>
    <w:rsid w:val="63CB9EBE"/>
    <w:rsid w:val="63CD1FD6"/>
    <w:rsid w:val="63CFE5DF"/>
    <w:rsid w:val="63D84765"/>
    <w:rsid w:val="63DB8988"/>
    <w:rsid w:val="63E029BD"/>
    <w:rsid w:val="63E20FCF"/>
    <w:rsid w:val="63E27530"/>
    <w:rsid w:val="63E2BCB9"/>
    <w:rsid w:val="63E2C28C"/>
    <w:rsid w:val="63E32616"/>
    <w:rsid w:val="63EB9ABC"/>
    <w:rsid w:val="63F00CAB"/>
    <w:rsid w:val="63F1A996"/>
    <w:rsid w:val="63F2565E"/>
    <w:rsid w:val="63F33D56"/>
    <w:rsid w:val="63F75A19"/>
    <w:rsid w:val="63FB18B1"/>
    <w:rsid w:val="63FB97BC"/>
    <w:rsid w:val="63FBAD26"/>
    <w:rsid w:val="63FD47F4"/>
    <w:rsid w:val="63FD5C83"/>
    <w:rsid w:val="63FE0D57"/>
    <w:rsid w:val="63FEFF1C"/>
    <w:rsid w:val="63FF1220"/>
    <w:rsid w:val="63FF6DD9"/>
    <w:rsid w:val="640302F5"/>
    <w:rsid w:val="640314E5"/>
    <w:rsid w:val="640317C8"/>
    <w:rsid w:val="64039135"/>
    <w:rsid w:val="640637CB"/>
    <w:rsid w:val="640644DB"/>
    <w:rsid w:val="64071E05"/>
    <w:rsid w:val="64072BCC"/>
    <w:rsid w:val="64096EC3"/>
    <w:rsid w:val="640B94D6"/>
    <w:rsid w:val="640C0A6B"/>
    <w:rsid w:val="641388BB"/>
    <w:rsid w:val="6415DB00"/>
    <w:rsid w:val="6415DC1C"/>
    <w:rsid w:val="6415F999"/>
    <w:rsid w:val="641747BE"/>
    <w:rsid w:val="64189970"/>
    <w:rsid w:val="6418FB8C"/>
    <w:rsid w:val="6419689F"/>
    <w:rsid w:val="641ABC24"/>
    <w:rsid w:val="641B0483"/>
    <w:rsid w:val="641CCF7D"/>
    <w:rsid w:val="641EAFFF"/>
    <w:rsid w:val="64212ECB"/>
    <w:rsid w:val="64214D21"/>
    <w:rsid w:val="6421E6D0"/>
    <w:rsid w:val="6422880B"/>
    <w:rsid w:val="6422924F"/>
    <w:rsid w:val="642536C4"/>
    <w:rsid w:val="64253FA8"/>
    <w:rsid w:val="6425A9A3"/>
    <w:rsid w:val="64272E36"/>
    <w:rsid w:val="6427710F"/>
    <w:rsid w:val="6428031A"/>
    <w:rsid w:val="642934D2"/>
    <w:rsid w:val="642B743A"/>
    <w:rsid w:val="642C537F"/>
    <w:rsid w:val="643197F7"/>
    <w:rsid w:val="64336626"/>
    <w:rsid w:val="64342320"/>
    <w:rsid w:val="6434C52C"/>
    <w:rsid w:val="6439309B"/>
    <w:rsid w:val="6439AC13"/>
    <w:rsid w:val="643A909E"/>
    <w:rsid w:val="643B9CD5"/>
    <w:rsid w:val="643CCE91"/>
    <w:rsid w:val="643D4470"/>
    <w:rsid w:val="64407A7D"/>
    <w:rsid w:val="6441319A"/>
    <w:rsid w:val="64413BCC"/>
    <w:rsid w:val="644164C1"/>
    <w:rsid w:val="6441A61D"/>
    <w:rsid w:val="644218BF"/>
    <w:rsid w:val="64444295"/>
    <w:rsid w:val="6446E12D"/>
    <w:rsid w:val="64481671"/>
    <w:rsid w:val="644D5C38"/>
    <w:rsid w:val="644F2CCB"/>
    <w:rsid w:val="6450635D"/>
    <w:rsid w:val="64517B55"/>
    <w:rsid w:val="64525927"/>
    <w:rsid w:val="6452E17C"/>
    <w:rsid w:val="6453B235"/>
    <w:rsid w:val="6453BD52"/>
    <w:rsid w:val="64540645"/>
    <w:rsid w:val="6454C69D"/>
    <w:rsid w:val="6454DC22"/>
    <w:rsid w:val="645534BC"/>
    <w:rsid w:val="64556265"/>
    <w:rsid w:val="6456E92C"/>
    <w:rsid w:val="645D94A8"/>
    <w:rsid w:val="645DE47F"/>
    <w:rsid w:val="64611532"/>
    <w:rsid w:val="64630AFC"/>
    <w:rsid w:val="6469BF99"/>
    <w:rsid w:val="646B5ECE"/>
    <w:rsid w:val="646CAE0D"/>
    <w:rsid w:val="646D435D"/>
    <w:rsid w:val="6479715A"/>
    <w:rsid w:val="647B57E4"/>
    <w:rsid w:val="647BFA93"/>
    <w:rsid w:val="647C08B4"/>
    <w:rsid w:val="647E9BE6"/>
    <w:rsid w:val="6480BF01"/>
    <w:rsid w:val="6480E21D"/>
    <w:rsid w:val="64823AEA"/>
    <w:rsid w:val="6483A26E"/>
    <w:rsid w:val="64845019"/>
    <w:rsid w:val="648B2B8E"/>
    <w:rsid w:val="648CB25A"/>
    <w:rsid w:val="648E8910"/>
    <w:rsid w:val="648FCD30"/>
    <w:rsid w:val="6490CDF5"/>
    <w:rsid w:val="64964300"/>
    <w:rsid w:val="64965696"/>
    <w:rsid w:val="6496A810"/>
    <w:rsid w:val="649A9522"/>
    <w:rsid w:val="649C9659"/>
    <w:rsid w:val="649CF0C0"/>
    <w:rsid w:val="64A1656E"/>
    <w:rsid w:val="64A2AE63"/>
    <w:rsid w:val="64A37EE6"/>
    <w:rsid w:val="64A3ACFF"/>
    <w:rsid w:val="64A44708"/>
    <w:rsid w:val="64A5AFE1"/>
    <w:rsid w:val="64A5B9D4"/>
    <w:rsid w:val="64AACCA7"/>
    <w:rsid w:val="64AB47AD"/>
    <w:rsid w:val="64AEBEF5"/>
    <w:rsid w:val="64B3B411"/>
    <w:rsid w:val="64B41326"/>
    <w:rsid w:val="64B4CEFD"/>
    <w:rsid w:val="64B5A52A"/>
    <w:rsid w:val="64B5E0B7"/>
    <w:rsid w:val="64B6919B"/>
    <w:rsid w:val="64B72599"/>
    <w:rsid w:val="64B81082"/>
    <w:rsid w:val="64B83E78"/>
    <w:rsid w:val="64B89E46"/>
    <w:rsid w:val="64B907BE"/>
    <w:rsid w:val="64B9B50D"/>
    <w:rsid w:val="64B9BB84"/>
    <w:rsid w:val="64BC87D2"/>
    <w:rsid w:val="64C008D4"/>
    <w:rsid w:val="64C091A8"/>
    <w:rsid w:val="64C0C16B"/>
    <w:rsid w:val="64C20C4C"/>
    <w:rsid w:val="64C228FB"/>
    <w:rsid w:val="64C56D76"/>
    <w:rsid w:val="64C7796B"/>
    <w:rsid w:val="64C89954"/>
    <w:rsid w:val="64CBC506"/>
    <w:rsid w:val="64CE8D3A"/>
    <w:rsid w:val="64CF3C7B"/>
    <w:rsid w:val="64CF48E2"/>
    <w:rsid w:val="64D0FDA3"/>
    <w:rsid w:val="64D1483D"/>
    <w:rsid w:val="64D1E447"/>
    <w:rsid w:val="64D1EC25"/>
    <w:rsid w:val="64D33A51"/>
    <w:rsid w:val="64D3535F"/>
    <w:rsid w:val="64D4F270"/>
    <w:rsid w:val="64D6C14C"/>
    <w:rsid w:val="64D78A1E"/>
    <w:rsid w:val="64D8E4D7"/>
    <w:rsid w:val="64DA0D0B"/>
    <w:rsid w:val="64DAE3DD"/>
    <w:rsid w:val="64DBDBED"/>
    <w:rsid w:val="64E3C5F8"/>
    <w:rsid w:val="64E454B4"/>
    <w:rsid w:val="64EA35B6"/>
    <w:rsid w:val="64ECAA95"/>
    <w:rsid w:val="64ED7167"/>
    <w:rsid w:val="64ED8FA4"/>
    <w:rsid w:val="64ED9F83"/>
    <w:rsid w:val="64EE2549"/>
    <w:rsid w:val="64EE9333"/>
    <w:rsid w:val="64EF70E9"/>
    <w:rsid w:val="64EFC25D"/>
    <w:rsid w:val="64F01DA9"/>
    <w:rsid w:val="64F03A8F"/>
    <w:rsid w:val="64F0A53F"/>
    <w:rsid w:val="64F25C6E"/>
    <w:rsid w:val="64F3DE75"/>
    <w:rsid w:val="64F4F577"/>
    <w:rsid w:val="64F5AD23"/>
    <w:rsid w:val="64F67E36"/>
    <w:rsid w:val="64F8F57B"/>
    <w:rsid w:val="64FAE5CB"/>
    <w:rsid w:val="64FD35DF"/>
    <w:rsid w:val="64FE02FB"/>
    <w:rsid w:val="6500E00D"/>
    <w:rsid w:val="6501FF95"/>
    <w:rsid w:val="65066561"/>
    <w:rsid w:val="6506A975"/>
    <w:rsid w:val="6507653C"/>
    <w:rsid w:val="6507CE1D"/>
    <w:rsid w:val="650A14D8"/>
    <w:rsid w:val="650B9ADA"/>
    <w:rsid w:val="651167BE"/>
    <w:rsid w:val="651168B9"/>
    <w:rsid w:val="65118841"/>
    <w:rsid w:val="6512A520"/>
    <w:rsid w:val="65134314"/>
    <w:rsid w:val="65149C6B"/>
    <w:rsid w:val="6514E687"/>
    <w:rsid w:val="6515FAEC"/>
    <w:rsid w:val="65173D95"/>
    <w:rsid w:val="651788D2"/>
    <w:rsid w:val="6517B77B"/>
    <w:rsid w:val="651B9514"/>
    <w:rsid w:val="651F25B3"/>
    <w:rsid w:val="6521170E"/>
    <w:rsid w:val="65222413"/>
    <w:rsid w:val="6523543F"/>
    <w:rsid w:val="6525A0D3"/>
    <w:rsid w:val="652829CD"/>
    <w:rsid w:val="6528F48C"/>
    <w:rsid w:val="6529AC3A"/>
    <w:rsid w:val="652CB5B9"/>
    <w:rsid w:val="652DA5EA"/>
    <w:rsid w:val="652DEAE6"/>
    <w:rsid w:val="652F7528"/>
    <w:rsid w:val="652FDDE9"/>
    <w:rsid w:val="6535BD94"/>
    <w:rsid w:val="6537324C"/>
    <w:rsid w:val="65377BDA"/>
    <w:rsid w:val="6539295E"/>
    <w:rsid w:val="653B2006"/>
    <w:rsid w:val="6540799A"/>
    <w:rsid w:val="6541C869"/>
    <w:rsid w:val="654256FD"/>
    <w:rsid w:val="6543DA8D"/>
    <w:rsid w:val="6547DA41"/>
    <w:rsid w:val="654A4AC0"/>
    <w:rsid w:val="654AE26C"/>
    <w:rsid w:val="654C0192"/>
    <w:rsid w:val="654C4C89"/>
    <w:rsid w:val="654DC073"/>
    <w:rsid w:val="65520F3A"/>
    <w:rsid w:val="6553673D"/>
    <w:rsid w:val="6553A807"/>
    <w:rsid w:val="6553E186"/>
    <w:rsid w:val="6555F043"/>
    <w:rsid w:val="6557025A"/>
    <w:rsid w:val="6559AA28"/>
    <w:rsid w:val="655A870E"/>
    <w:rsid w:val="655C6962"/>
    <w:rsid w:val="655CEE09"/>
    <w:rsid w:val="655EF0CD"/>
    <w:rsid w:val="65602FAC"/>
    <w:rsid w:val="65638B9A"/>
    <w:rsid w:val="6568F349"/>
    <w:rsid w:val="6569B344"/>
    <w:rsid w:val="656B20A0"/>
    <w:rsid w:val="656B332B"/>
    <w:rsid w:val="656B7B0A"/>
    <w:rsid w:val="656C9CD0"/>
    <w:rsid w:val="656DBA90"/>
    <w:rsid w:val="656E7977"/>
    <w:rsid w:val="656EB083"/>
    <w:rsid w:val="65702604"/>
    <w:rsid w:val="6570E0FA"/>
    <w:rsid w:val="6571CC64"/>
    <w:rsid w:val="65735ECF"/>
    <w:rsid w:val="657383CC"/>
    <w:rsid w:val="65755A4C"/>
    <w:rsid w:val="65762CBC"/>
    <w:rsid w:val="657B9A6B"/>
    <w:rsid w:val="657C8A7F"/>
    <w:rsid w:val="657D1771"/>
    <w:rsid w:val="657D2E79"/>
    <w:rsid w:val="6580449B"/>
    <w:rsid w:val="65850241"/>
    <w:rsid w:val="65859DC3"/>
    <w:rsid w:val="6586A6B4"/>
    <w:rsid w:val="65885AF7"/>
    <w:rsid w:val="658937B0"/>
    <w:rsid w:val="6589EC7E"/>
    <w:rsid w:val="658B957A"/>
    <w:rsid w:val="658DFFFC"/>
    <w:rsid w:val="658E5B1E"/>
    <w:rsid w:val="658F39FC"/>
    <w:rsid w:val="658FDA96"/>
    <w:rsid w:val="65900C1E"/>
    <w:rsid w:val="65901A30"/>
    <w:rsid w:val="65929054"/>
    <w:rsid w:val="6595338D"/>
    <w:rsid w:val="659539A2"/>
    <w:rsid w:val="65963735"/>
    <w:rsid w:val="65970D78"/>
    <w:rsid w:val="659AB8DF"/>
    <w:rsid w:val="659B2634"/>
    <w:rsid w:val="659B92AB"/>
    <w:rsid w:val="65A074D6"/>
    <w:rsid w:val="65A0EDF0"/>
    <w:rsid w:val="65A6607F"/>
    <w:rsid w:val="65AA7B7B"/>
    <w:rsid w:val="65AE6DCA"/>
    <w:rsid w:val="65AFC159"/>
    <w:rsid w:val="65B13C1D"/>
    <w:rsid w:val="65B17382"/>
    <w:rsid w:val="65B1C677"/>
    <w:rsid w:val="65B27CE9"/>
    <w:rsid w:val="65B3058A"/>
    <w:rsid w:val="65B5E643"/>
    <w:rsid w:val="65B6770D"/>
    <w:rsid w:val="65B69798"/>
    <w:rsid w:val="65B6DFDB"/>
    <w:rsid w:val="65B7BA9A"/>
    <w:rsid w:val="65B94D6B"/>
    <w:rsid w:val="65BA2490"/>
    <w:rsid w:val="65BB893D"/>
    <w:rsid w:val="65BCD918"/>
    <w:rsid w:val="65BD7E99"/>
    <w:rsid w:val="65BE0919"/>
    <w:rsid w:val="65BE4A98"/>
    <w:rsid w:val="65BF4F74"/>
    <w:rsid w:val="65C069D6"/>
    <w:rsid w:val="65C10725"/>
    <w:rsid w:val="65C5D961"/>
    <w:rsid w:val="65C91241"/>
    <w:rsid w:val="65C935A5"/>
    <w:rsid w:val="65C99B5B"/>
    <w:rsid w:val="65CB2916"/>
    <w:rsid w:val="65D25906"/>
    <w:rsid w:val="65D2C7F7"/>
    <w:rsid w:val="65D30CF7"/>
    <w:rsid w:val="65D65CC9"/>
    <w:rsid w:val="65D7640E"/>
    <w:rsid w:val="65D923CE"/>
    <w:rsid w:val="65D99AB1"/>
    <w:rsid w:val="65DCEEDC"/>
    <w:rsid w:val="65DF1CAE"/>
    <w:rsid w:val="65DF8F74"/>
    <w:rsid w:val="65E029AE"/>
    <w:rsid w:val="65E03B9B"/>
    <w:rsid w:val="65E13AFF"/>
    <w:rsid w:val="65E21631"/>
    <w:rsid w:val="65E3D4A1"/>
    <w:rsid w:val="65E6CCAB"/>
    <w:rsid w:val="65E97399"/>
    <w:rsid w:val="65E990D7"/>
    <w:rsid w:val="65EB15C4"/>
    <w:rsid w:val="65EB6941"/>
    <w:rsid w:val="65EB7173"/>
    <w:rsid w:val="65EBA38A"/>
    <w:rsid w:val="65EC0F5B"/>
    <w:rsid w:val="65EF529B"/>
    <w:rsid w:val="65F1FA94"/>
    <w:rsid w:val="65F2A055"/>
    <w:rsid w:val="65F55DC0"/>
    <w:rsid w:val="65F7CA8A"/>
    <w:rsid w:val="65F7D88C"/>
    <w:rsid w:val="65FF5107"/>
    <w:rsid w:val="66020AE3"/>
    <w:rsid w:val="66039FEC"/>
    <w:rsid w:val="6604A8C9"/>
    <w:rsid w:val="6604DAFA"/>
    <w:rsid w:val="6605A449"/>
    <w:rsid w:val="66066016"/>
    <w:rsid w:val="660862F2"/>
    <w:rsid w:val="6608A97A"/>
    <w:rsid w:val="660C16A7"/>
    <w:rsid w:val="660CCE53"/>
    <w:rsid w:val="660CE646"/>
    <w:rsid w:val="660F2452"/>
    <w:rsid w:val="660FE14A"/>
    <w:rsid w:val="660FEF5A"/>
    <w:rsid w:val="661272EF"/>
    <w:rsid w:val="66137CCC"/>
    <w:rsid w:val="6614B9F2"/>
    <w:rsid w:val="6616F557"/>
    <w:rsid w:val="661725E7"/>
    <w:rsid w:val="66185BE3"/>
    <w:rsid w:val="661A41A3"/>
    <w:rsid w:val="661BA97C"/>
    <w:rsid w:val="661DC3E4"/>
    <w:rsid w:val="662129BF"/>
    <w:rsid w:val="66222D53"/>
    <w:rsid w:val="66246D34"/>
    <w:rsid w:val="662497DC"/>
    <w:rsid w:val="662770F8"/>
    <w:rsid w:val="662C2BF2"/>
    <w:rsid w:val="662CC5C4"/>
    <w:rsid w:val="662D5DDB"/>
    <w:rsid w:val="662E7F8B"/>
    <w:rsid w:val="6631D377"/>
    <w:rsid w:val="66320A22"/>
    <w:rsid w:val="6633517A"/>
    <w:rsid w:val="6633732D"/>
    <w:rsid w:val="6634450A"/>
    <w:rsid w:val="6634C513"/>
    <w:rsid w:val="6635D03E"/>
    <w:rsid w:val="6637B063"/>
    <w:rsid w:val="663BB288"/>
    <w:rsid w:val="663C9CFE"/>
    <w:rsid w:val="663CC8F7"/>
    <w:rsid w:val="663D2B18"/>
    <w:rsid w:val="663E033D"/>
    <w:rsid w:val="663FD1F0"/>
    <w:rsid w:val="664109A7"/>
    <w:rsid w:val="664246C2"/>
    <w:rsid w:val="6643778A"/>
    <w:rsid w:val="664575BC"/>
    <w:rsid w:val="664A5684"/>
    <w:rsid w:val="664A5755"/>
    <w:rsid w:val="664AA347"/>
    <w:rsid w:val="664B1B2E"/>
    <w:rsid w:val="664B8FB1"/>
    <w:rsid w:val="664D69E5"/>
    <w:rsid w:val="664F9E1F"/>
    <w:rsid w:val="664FB1C1"/>
    <w:rsid w:val="66509592"/>
    <w:rsid w:val="66535DFA"/>
    <w:rsid w:val="66548E88"/>
    <w:rsid w:val="66554B5C"/>
    <w:rsid w:val="66558FBB"/>
    <w:rsid w:val="6655DEF6"/>
    <w:rsid w:val="6656D563"/>
    <w:rsid w:val="665A7BD1"/>
    <w:rsid w:val="665BE77A"/>
    <w:rsid w:val="665C2A27"/>
    <w:rsid w:val="665E9EBE"/>
    <w:rsid w:val="6662E9D2"/>
    <w:rsid w:val="66636880"/>
    <w:rsid w:val="666406BD"/>
    <w:rsid w:val="6664AACC"/>
    <w:rsid w:val="6664CEFB"/>
    <w:rsid w:val="66658484"/>
    <w:rsid w:val="66666059"/>
    <w:rsid w:val="6666B132"/>
    <w:rsid w:val="6666E7E9"/>
    <w:rsid w:val="6667DBDF"/>
    <w:rsid w:val="6667F325"/>
    <w:rsid w:val="66689507"/>
    <w:rsid w:val="666C3D12"/>
    <w:rsid w:val="666FF3D1"/>
    <w:rsid w:val="6671D685"/>
    <w:rsid w:val="667226C3"/>
    <w:rsid w:val="6672B174"/>
    <w:rsid w:val="66750827"/>
    <w:rsid w:val="6675B591"/>
    <w:rsid w:val="667A20B5"/>
    <w:rsid w:val="667A4A6D"/>
    <w:rsid w:val="667DE4CD"/>
    <w:rsid w:val="667E8291"/>
    <w:rsid w:val="667ED3E0"/>
    <w:rsid w:val="667EF23C"/>
    <w:rsid w:val="667F0699"/>
    <w:rsid w:val="667FBA32"/>
    <w:rsid w:val="6680088B"/>
    <w:rsid w:val="66804855"/>
    <w:rsid w:val="66822854"/>
    <w:rsid w:val="66827EA2"/>
    <w:rsid w:val="6684919F"/>
    <w:rsid w:val="66897B25"/>
    <w:rsid w:val="668A16BB"/>
    <w:rsid w:val="668BEF17"/>
    <w:rsid w:val="66905491"/>
    <w:rsid w:val="6692CBBC"/>
    <w:rsid w:val="6693EFCA"/>
    <w:rsid w:val="669457BE"/>
    <w:rsid w:val="66951CBB"/>
    <w:rsid w:val="669BBD2A"/>
    <w:rsid w:val="669CAEF2"/>
    <w:rsid w:val="669D4DFF"/>
    <w:rsid w:val="66A23250"/>
    <w:rsid w:val="66A30CB0"/>
    <w:rsid w:val="66A658AB"/>
    <w:rsid w:val="66A822AC"/>
    <w:rsid w:val="66AC6803"/>
    <w:rsid w:val="66B26C0C"/>
    <w:rsid w:val="66B5E516"/>
    <w:rsid w:val="66B64311"/>
    <w:rsid w:val="66B677C7"/>
    <w:rsid w:val="66B6C471"/>
    <w:rsid w:val="66B98613"/>
    <w:rsid w:val="66B9B2EF"/>
    <w:rsid w:val="66BA8EFE"/>
    <w:rsid w:val="66BAAA45"/>
    <w:rsid w:val="66BCA263"/>
    <w:rsid w:val="66BD230A"/>
    <w:rsid w:val="66BDAB53"/>
    <w:rsid w:val="66C2ED41"/>
    <w:rsid w:val="66C8EA81"/>
    <w:rsid w:val="66C98817"/>
    <w:rsid w:val="66CED8A0"/>
    <w:rsid w:val="66D11C35"/>
    <w:rsid w:val="66D13739"/>
    <w:rsid w:val="66D433E9"/>
    <w:rsid w:val="66D68A85"/>
    <w:rsid w:val="66D709C8"/>
    <w:rsid w:val="66D7E2B8"/>
    <w:rsid w:val="66D8EBBA"/>
    <w:rsid w:val="66D93F34"/>
    <w:rsid w:val="66DB0C6E"/>
    <w:rsid w:val="66DB6127"/>
    <w:rsid w:val="66DCEF2E"/>
    <w:rsid w:val="66DE53F9"/>
    <w:rsid w:val="66DF1187"/>
    <w:rsid w:val="66DF8901"/>
    <w:rsid w:val="66E315A4"/>
    <w:rsid w:val="66E33919"/>
    <w:rsid w:val="66E37A78"/>
    <w:rsid w:val="66E5069B"/>
    <w:rsid w:val="66E7BAD6"/>
    <w:rsid w:val="66EA5562"/>
    <w:rsid w:val="66EAB120"/>
    <w:rsid w:val="66EB549B"/>
    <w:rsid w:val="66ECB911"/>
    <w:rsid w:val="66EDD60F"/>
    <w:rsid w:val="66EE7477"/>
    <w:rsid w:val="66EEF222"/>
    <w:rsid w:val="66F27244"/>
    <w:rsid w:val="66F51FA2"/>
    <w:rsid w:val="66F6523A"/>
    <w:rsid w:val="66F889DD"/>
    <w:rsid w:val="66F908D2"/>
    <w:rsid w:val="66F90FEB"/>
    <w:rsid w:val="66FA42F0"/>
    <w:rsid w:val="66FB287B"/>
    <w:rsid w:val="66FBF52F"/>
    <w:rsid w:val="66FC48E5"/>
    <w:rsid w:val="66FD169D"/>
    <w:rsid w:val="670542C6"/>
    <w:rsid w:val="6705AFAE"/>
    <w:rsid w:val="67070DE7"/>
    <w:rsid w:val="6707EE07"/>
    <w:rsid w:val="6708DC9D"/>
    <w:rsid w:val="67094616"/>
    <w:rsid w:val="670A8CF7"/>
    <w:rsid w:val="670ADDA0"/>
    <w:rsid w:val="670D58E7"/>
    <w:rsid w:val="670E945D"/>
    <w:rsid w:val="670EF69A"/>
    <w:rsid w:val="6710846C"/>
    <w:rsid w:val="6713B733"/>
    <w:rsid w:val="67187827"/>
    <w:rsid w:val="6719F9AD"/>
    <w:rsid w:val="671A31AD"/>
    <w:rsid w:val="671AA432"/>
    <w:rsid w:val="671CA4EA"/>
    <w:rsid w:val="6721A61D"/>
    <w:rsid w:val="6722A4DE"/>
    <w:rsid w:val="6722EF5A"/>
    <w:rsid w:val="672579D1"/>
    <w:rsid w:val="67272144"/>
    <w:rsid w:val="672765DE"/>
    <w:rsid w:val="67279916"/>
    <w:rsid w:val="6727B011"/>
    <w:rsid w:val="6729063E"/>
    <w:rsid w:val="672B472F"/>
    <w:rsid w:val="672B8D5B"/>
    <w:rsid w:val="672E5D48"/>
    <w:rsid w:val="672EE5F4"/>
    <w:rsid w:val="673159F7"/>
    <w:rsid w:val="6732B74E"/>
    <w:rsid w:val="673327D6"/>
    <w:rsid w:val="67340473"/>
    <w:rsid w:val="673505C6"/>
    <w:rsid w:val="67360AFE"/>
    <w:rsid w:val="673943A1"/>
    <w:rsid w:val="67398CF7"/>
    <w:rsid w:val="673BB907"/>
    <w:rsid w:val="673BEBDA"/>
    <w:rsid w:val="673ED951"/>
    <w:rsid w:val="673F45E0"/>
    <w:rsid w:val="673F9A92"/>
    <w:rsid w:val="6740B9C3"/>
    <w:rsid w:val="6740ED4D"/>
    <w:rsid w:val="6740F639"/>
    <w:rsid w:val="6742C703"/>
    <w:rsid w:val="67431037"/>
    <w:rsid w:val="67469CED"/>
    <w:rsid w:val="6746E918"/>
    <w:rsid w:val="67475291"/>
    <w:rsid w:val="674859FE"/>
    <w:rsid w:val="67490F7F"/>
    <w:rsid w:val="674A8648"/>
    <w:rsid w:val="674AC2D0"/>
    <w:rsid w:val="674C3C8C"/>
    <w:rsid w:val="674FB2D9"/>
    <w:rsid w:val="6751FA8B"/>
    <w:rsid w:val="6752D3BA"/>
    <w:rsid w:val="6754FEDB"/>
    <w:rsid w:val="675516B3"/>
    <w:rsid w:val="6755C490"/>
    <w:rsid w:val="67560297"/>
    <w:rsid w:val="675727D3"/>
    <w:rsid w:val="67576E22"/>
    <w:rsid w:val="6758EC30"/>
    <w:rsid w:val="675AAA8B"/>
    <w:rsid w:val="675ABC27"/>
    <w:rsid w:val="675CD786"/>
    <w:rsid w:val="675DE663"/>
    <w:rsid w:val="675E772C"/>
    <w:rsid w:val="675EE714"/>
    <w:rsid w:val="676292FF"/>
    <w:rsid w:val="676451CD"/>
    <w:rsid w:val="6764F35D"/>
    <w:rsid w:val="67665CBD"/>
    <w:rsid w:val="676B2D5D"/>
    <w:rsid w:val="676C47E7"/>
    <w:rsid w:val="676D762B"/>
    <w:rsid w:val="676F4781"/>
    <w:rsid w:val="677236A1"/>
    <w:rsid w:val="6772829D"/>
    <w:rsid w:val="67784230"/>
    <w:rsid w:val="6779AB81"/>
    <w:rsid w:val="677A19EF"/>
    <w:rsid w:val="677BC01E"/>
    <w:rsid w:val="677C939D"/>
    <w:rsid w:val="677FEBE2"/>
    <w:rsid w:val="677FECCF"/>
    <w:rsid w:val="67816929"/>
    <w:rsid w:val="6782DC5F"/>
    <w:rsid w:val="67834027"/>
    <w:rsid w:val="67837181"/>
    <w:rsid w:val="6789ACD4"/>
    <w:rsid w:val="678CBF34"/>
    <w:rsid w:val="678DD504"/>
    <w:rsid w:val="678DD85B"/>
    <w:rsid w:val="678F56C7"/>
    <w:rsid w:val="678FC0F0"/>
    <w:rsid w:val="67922F42"/>
    <w:rsid w:val="67947BB5"/>
    <w:rsid w:val="6794E0CA"/>
    <w:rsid w:val="6795AE1F"/>
    <w:rsid w:val="679CAFD1"/>
    <w:rsid w:val="679D7954"/>
    <w:rsid w:val="679F84B6"/>
    <w:rsid w:val="679FD902"/>
    <w:rsid w:val="67A67465"/>
    <w:rsid w:val="67A72353"/>
    <w:rsid w:val="67A77332"/>
    <w:rsid w:val="67A81EA6"/>
    <w:rsid w:val="67AA101C"/>
    <w:rsid w:val="67AAFFA2"/>
    <w:rsid w:val="67AB9BF0"/>
    <w:rsid w:val="67AC9393"/>
    <w:rsid w:val="67ACA497"/>
    <w:rsid w:val="67ADB23F"/>
    <w:rsid w:val="67B02609"/>
    <w:rsid w:val="67B0D5B1"/>
    <w:rsid w:val="67B0F14D"/>
    <w:rsid w:val="67B2AE02"/>
    <w:rsid w:val="67B5A9B0"/>
    <w:rsid w:val="67B60145"/>
    <w:rsid w:val="67B6D661"/>
    <w:rsid w:val="67B6E390"/>
    <w:rsid w:val="67BFB171"/>
    <w:rsid w:val="67BFDCBE"/>
    <w:rsid w:val="67C17744"/>
    <w:rsid w:val="67C1A046"/>
    <w:rsid w:val="67C1AB75"/>
    <w:rsid w:val="67C4B578"/>
    <w:rsid w:val="67C963B5"/>
    <w:rsid w:val="67CAD3AB"/>
    <w:rsid w:val="67CAF452"/>
    <w:rsid w:val="67CB2DE7"/>
    <w:rsid w:val="67CEABB4"/>
    <w:rsid w:val="67D023AE"/>
    <w:rsid w:val="67D80259"/>
    <w:rsid w:val="67D91DD3"/>
    <w:rsid w:val="67D99551"/>
    <w:rsid w:val="67D9DE1D"/>
    <w:rsid w:val="67DB3784"/>
    <w:rsid w:val="67DB9C5B"/>
    <w:rsid w:val="67DCEC23"/>
    <w:rsid w:val="67DE6469"/>
    <w:rsid w:val="67DEA30F"/>
    <w:rsid w:val="67E12908"/>
    <w:rsid w:val="67E1432C"/>
    <w:rsid w:val="67E85A30"/>
    <w:rsid w:val="67E8840F"/>
    <w:rsid w:val="67EA1E96"/>
    <w:rsid w:val="67EAF8BA"/>
    <w:rsid w:val="67F019E6"/>
    <w:rsid w:val="67F0FF6B"/>
    <w:rsid w:val="67F179B6"/>
    <w:rsid w:val="67F4657F"/>
    <w:rsid w:val="67F6ADD3"/>
    <w:rsid w:val="67F90514"/>
    <w:rsid w:val="67F9AB55"/>
    <w:rsid w:val="67FB3FA9"/>
    <w:rsid w:val="67FBB90F"/>
    <w:rsid w:val="67FFC651"/>
    <w:rsid w:val="68054235"/>
    <w:rsid w:val="6807FBD5"/>
    <w:rsid w:val="6808270E"/>
    <w:rsid w:val="68087A11"/>
    <w:rsid w:val="680BA089"/>
    <w:rsid w:val="680EB20F"/>
    <w:rsid w:val="680F0F06"/>
    <w:rsid w:val="680F2E23"/>
    <w:rsid w:val="6811A4B6"/>
    <w:rsid w:val="6813881E"/>
    <w:rsid w:val="68146B40"/>
    <w:rsid w:val="6815B426"/>
    <w:rsid w:val="681762E4"/>
    <w:rsid w:val="6817A45C"/>
    <w:rsid w:val="68185237"/>
    <w:rsid w:val="6818A3AD"/>
    <w:rsid w:val="6818F0B2"/>
    <w:rsid w:val="681B2E3D"/>
    <w:rsid w:val="681C384B"/>
    <w:rsid w:val="681D50BC"/>
    <w:rsid w:val="681EDC8C"/>
    <w:rsid w:val="681EF24F"/>
    <w:rsid w:val="68209E50"/>
    <w:rsid w:val="68230223"/>
    <w:rsid w:val="68242C85"/>
    <w:rsid w:val="68262E98"/>
    <w:rsid w:val="6828258B"/>
    <w:rsid w:val="68299758"/>
    <w:rsid w:val="682997DA"/>
    <w:rsid w:val="682AE72C"/>
    <w:rsid w:val="682B90F6"/>
    <w:rsid w:val="682DC531"/>
    <w:rsid w:val="682DF806"/>
    <w:rsid w:val="683303A1"/>
    <w:rsid w:val="68335162"/>
    <w:rsid w:val="6835058C"/>
    <w:rsid w:val="6835B040"/>
    <w:rsid w:val="6836038A"/>
    <w:rsid w:val="68395E9F"/>
    <w:rsid w:val="683B0D92"/>
    <w:rsid w:val="683EE04D"/>
    <w:rsid w:val="68422ED6"/>
    <w:rsid w:val="6842FF44"/>
    <w:rsid w:val="6845BD8D"/>
    <w:rsid w:val="6845D68B"/>
    <w:rsid w:val="6847B39F"/>
    <w:rsid w:val="6847F789"/>
    <w:rsid w:val="6848CFC4"/>
    <w:rsid w:val="68493C02"/>
    <w:rsid w:val="6849529F"/>
    <w:rsid w:val="684966F6"/>
    <w:rsid w:val="684A208E"/>
    <w:rsid w:val="684AA73F"/>
    <w:rsid w:val="684D96C1"/>
    <w:rsid w:val="684F7B99"/>
    <w:rsid w:val="68558E90"/>
    <w:rsid w:val="6856CC9B"/>
    <w:rsid w:val="6856D213"/>
    <w:rsid w:val="68590D0F"/>
    <w:rsid w:val="6859EBDB"/>
    <w:rsid w:val="685A0A2B"/>
    <w:rsid w:val="685B5143"/>
    <w:rsid w:val="685C0A78"/>
    <w:rsid w:val="685C7191"/>
    <w:rsid w:val="685D582A"/>
    <w:rsid w:val="685E30F2"/>
    <w:rsid w:val="68626F50"/>
    <w:rsid w:val="686270BA"/>
    <w:rsid w:val="68641462"/>
    <w:rsid w:val="686680E2"/>
    <w:rsid w:val="68684987"/>
    <w:rsid w:val="686A0BAF"/>
    <w:rsid w:val="686A4572"/>
    <w:rsid w:val="686B3B86"/>
    <w:rsid w:val="686B93A4"/>
    <w:rsid w:val="686CCB53"/>
    <w:rsid w:val="686E44BC"/>
    <w:rsid w:val="687269E1"/>
    <w:rsid w:val="68737706"/>
    <w:rsid w:val="6876A0D8"/>
    <w:rsid w:val="6876E95C"/>
    <w:rsid w:val="68799FE2"/>
    <w:rsid w:val="687B5418"/>
    <w:rsid w:val="687C526D"/>
    <w:rsid w:val="687E9D33"/>
    <w:rsid w:val="688059F9"/>
    <w:rsid w:val="6880DF0F"/>
    <w:rsid w:val="6885B1E8"/>
    <w:rsid w:val="6885C432"/>
    <w:rsid w:val="6885FC64"/>
    <w:rsid w:val="6889B47C"/>
    <w:rsid w:val="688FAA6D"/>
    <w:rsid w:val="689316FD"/>
    <w:rsid w:val="68932575"/>
    <w:rsid w:val="6893C4F1"/>
    <w:rsid w:val="6893D74D"/>
    <w:rsid w:val="6895A5E5"/>
    <w:rsid w:val="6896AA23"/>
    <w:rsid w:val="68984747"/>
    <w:rsid w:val="68996D70"/>
    <w:rsid w:val="689978DD"/>
    <w:rsid w:val="6899AF21"/>
    <w:rsid w:val="689CDA39"/>
    <w:rsid w:val="689E4163"/>
    <w:rsid w:val="68A1BAB3"/>
    <w:rsid w:val="68A2FFB6"/>
    <w:rsid w:val="68A5E133"/>
    <w:rsid w:val="68A61092"/>
    <w:rsid w:val="68A69D37"/>
    <w:rsid w:val="68A9C649"/>
    <w:rsid w:val="68A9D155"/>
    <w:rsid w:val="68AA0D0E"/>
    <w:rsid w:val="68AB3CFB"/>
    <w:rsid w:val="68AC7C6D"/>
    <w:rsid w:val="68AD628E"/>
    <w:rsid w:val="68AD889B"/>
    <w:rsid w:val="68B09D67"/>
    <w:rsid w:val="68B7589D"/>
    <w:rsid w:val="68B778E6"/>
    <w:rsid w:val="68B969F1"/>
    <w:rsid w:val="68C56E4E"/>
    <w:rsid w:val="68C5CBC3"/>
    <w:rsid w:val="68C80442"/>
    <w:rsid w:val="68C86271"/>
    <w:rsid w:val="68C91B56"/>
    <w:rsid w:val="68CE0654"/>
    <w:rsid w:val="68CE1B25"/>
    <w:rsid w:val="68CF20F0"/>
    <w:rsid w:val="68CF8A33"/>
    <w:rsid w:val="68D07F42"/>
    <w:rsid w:val="68D1F4A5"/>
    <w:rsid w:val="68D23B95"/>
    <w:rsid w:val="68D70B07"/>
    <w:rsid w:val="68DB46E8"/>
    <w:rsid w:val="68DE8248"/>
    <w:rsid w:val="68E1984B"/>
    <w:rsid w:val="68E322F2"/>
    <w:rsid w:val="68E3B79F"/>
    <w:rsid w:val="68E438BF"/>
    <w:rsid w:val="68E489C6"/>
    <w:rsid w:val="68E4BBB3"/>
    <w:rsid w:val="68EC7DEF"/>
    <w:rsid w:val="68EEC6DF"/>
    <w:rsid w:val="68F0AB8D"/>
    <w:rsid w:val="68F2D44C"/>
    <w:rsid w:val="68F3211A"/>
    <w:rsid w:val="68F5B60F"/>
    <w:rsid w:val="68F5C6E0"/>
    <w:rsid w:val="68F64EB2"/>
    <w:rsid w:val="68F692D9"/>
    <w:rsid w:val="68F6A1A6"/>
    <w:rsid w:val="68F6F833"/>
    <w:rsid w:val="68F7C64B"/>
    <w:rsid w:val="68FAC3EA"/>
    <w:rsid w:val="68FDC937"/>
    <w:rsid w:val="69012979"/>
    <w:rsid w:val="69037714"/>
    <w:rsid w:val="69038698"/>
    <w:rsid w:val="69041972"/>
    <w:rsid w:val="69045791"/>
    <w:rsid w:val="69053FA4"/>
    <w:rsid w:val="690567A9"/>
    <w:rsid w:val="6907B307"/>
    <w:rsid w:val="69086B34"/>
    <w:rsid w:val="690B1AF6"/>
    <w:rsid w:val="690B683B"/>
    <w:rsid w:val="690BEBFB"/>
    <w:rsid w:val="690CB774"/>
    <w:rsid w:val="690DE446"/>
    <w:rsid w:val="690DFDCE"/>
    <w:rsid w:val="690EED95"/>
    <w:rsid w:val="69107D21"/>
    <w:rsid w:val="691110C9"/>
    <w:rsid w:val="69119FDD"/>
    <w:rsid w:val="69139CB5"/>
    <w:rsid w:val="6913A10C"/>
    <w:rsid w:val="6915831A"/>
    <w:rsid w:val="69180349"/>
    <w:rsid w:val="69196C35"/>
    <w:rsid w:val="6919C737"/>
    <w:rsid w:val="6919E71D"/>
    <w:rsid w:val="691A040C"/>
    <w:rsid w:val="691B2B27"/>
    <w:rsid w:val="691C5E37"/>
    <w:rsid w:val="691C98C4"/>
    <w:rsid w:val="691CEB2A"/>
    <w:rsid w:val="6920ABBB"/>
    <w:rsid w:val="69225D1E"/>
    <w:rsid w:val="6925673C"/>
    <w:rsid w:val="6925BEB2"/>
    <w:rsid w:val="6928717E"/>
    <w:rsid w:val="69299FE1"/>
    <w:rsid w:val="6929F28C"/>
    <w:rsid w:val="692B25BB"/>
    <w:rsid w:val="692C07EB"/>
    <w:rsid w:val="692CD89B"/>
    <w:rsid w:val="692D4AF1"/>
    <w:rsid w:val="692EF2D2"/>
    <w:rsid w:val="692F2A8D"/>
    <w:rsid w:val="6930D4D2"/>
    <w:rsid w:val="6930F354"/>
    <w:rsid w:val="6931C6B6"/>
    <w:rsid w:val="69326C9D"/>
    <w:rsid w:val="69331A22"/>
    <w:rsid w:val="693328A7"/>
    <w:rsid w:val="69351BDF"/>
    <w:rsid w:val="69362517"/>
    <w:rsid w:val="6938852F"/>
    <w:rsid w:val="6939AE4C"/>
    <w:rsid w:val="693AAAEF"/>
    <w:rsid w:val="693CF27D"/>
    <w:rsid w:val="693D0423"/>
    <w:rsid w:val="693D230E"/>
    <w:rsid w:val="693D376D"/>
    <w:rsid w:val="693F1E76"/>
    <w:rsid w:val="69427580"/>
    <w:rsid w:val="69435F15"/>
    <w:rsid w:val="69453773"/>
    <w:rsid w:val="69475CF0"/>
    <w:rsid w:val="6947B23E"/>
    <w:rsid w:val="69491184"/>
    <w:rsid w:val="694F12A4"/>
    <w:rsid w:val="695023C3"/>
    <w:rsid w:val="6951AE19"/>
    <w:rsid w:val="69562B4D"/>
    <w:rsid w:val="69593613"/>
    <w:rsid w:val="69596B59"/>
    <w:rsid w:val="695B9111"/>
    <w:rsid w:val="695E494F"/>
    <w:rsid w:val="695E7393"/>
    <w:rsid w:val="695F0C51"/>
    <w:rsid w:val="696321D8"/>
    <w:rsid w:val="69658DEC"/>
    <w:rsid w:val="696790F1"/>
    <w:rsid w:val="6967DFF2"/>
    <w:rsid w:val="696BBBD4"/>
    <w:rsid w:val="696F2AF4"/>
    <w:rsid w:val="696F8373"/>
    <w:rsid w:val="697218D0"/>
    <w:rsid w:val="69722A54"/>
    <w:rsid w:val="6973929F"/>
    <w:rsid w:val="6973DA3C"/>
    <w:rsid w:val="69740DD8"/>
    <w:rsid w:val="6976480C"/>
    <w:rsid w:val="69766DA4"/>
    <w:rsid w:val="6976CAA3"/>
    <w:rsid w:val="6977611F"/>
    <w:rsid w:val="6977DEE6"/>
    <w:rsid w:val="6978F359"/>
    <w:rsid w:val="697C6207"/>
    <w:rsid w:val="697F2701"/>
    <w:rsid w:val="6980A3B7"/>
    <w:rsid w:val="6982F8C3"/>
    <w:rsid w:val="69850EE6"/>
    <w:rsid w:val="6986B995"/>
    <w:rsid w:val="69897015"/>
    <w:rsid w:val="6989FD6C"/>
    <w:rsid w:val="698A46EB"/>
    <w:rsid w:val="698AE910"/>
    <w:rsid w:val="698C4508"/>
    <w:rsid w:val="698C624D"/>
    <w:rsid w:val="698CC599"/>
    <w:rsid w:val="698CE84B"/>
    <w:rsid w:val="69934B64"/>
    <w:rsid w:val="699520CD"/>
    <w:rsid w:val="6998A5E9"/>
    <w:rsid w:val="6998CC07"/>
    <w:rsid w:val="69997E67"/>
    <w:rsid w:val="6999E508"/>
    <w:rsid w:val="699D1DB7"/>
    <w:rsid w:val="699EE848"/>
    <w:rsid w:val="69A06CE1"/>
    <w:rsid w:val="69A1F91B"/>
    <w:rsid w:val="69A3CF33"/>
    <w:rsid w:val="69A44A72"/>
    <w:rsid w:val="69A5DEE7"/>
    <w:rsid w:val="69A81763"/>
    <w:rsid w:val="69B00649"/>
    <w:rsid w:val="69B05C6B"/>
    <w:rsid w:val="69B0C422"/>
    <w:rsid w:val="69B2605C"/>
    <w:rsid w:val="69B4B4ED"/>
    <w:rsid w:val="69B66062"/>
    <w:rsid w:val="69B7D5CD"/>
    <w:rsid w:val="69B8546D"/>
    <w:rsid w:val="69B94A88"/>
    <w:rsid w:val="69BB9CAF"/>
    <w:rsid w:val="69C083B5"/>
    <w:rsid w:val="69C1357C"/>
    <w:rsid w:val="69C25D86"/>
    <w:rsid w:val="69C2E636"/>
    <w:rsid w:val="69C2F976"/>
    <w:rsid w:val="69C37309"/>
    <w:rsid w:val="69C39E34"/>
    <w:rsid w:val="69C3C2DF"/>
    <w:rsid w:val="69C3DD4A"/>
    <w:rsid w:val="69C47121"/>
    <w:rsid w:val="69C69A24"/>
    <w:rsid w:val="69C71998"/>
    <w:rsid w:val="69C7BF85"/>
    <w:rsid w:val="69C9260F"/>
    <w:rsid w:val="69CA2821"/>
    <w:rsid w:val="69CC323F"/>
    <w:rsid w:val="69CEF02A"/>
    <w:rsid w:val="69CF4D1D"/>
    <w:rsid w:val="69CFC662"/>
    <w:rsid w:val="69CFDE04"/>
    <w:rsid w:val="69D08DBC"/>
    <w:rsid w:val="69D365EB"/>
    <w:rsid w:val="69D400D1"/>
    <w:rsid w:val="69D46738"/>
    <w:rsid w:val="69D619B3"/>
    <w:rsid w:val="69D91070"/>
    <w:rsid w:val="69DA5543"/>
    <w:rsid w:val="69DCD7D4"/>
    <w:rsid w:val="69DD1843"/>
    <w:rsid w:val="69DD8E0F"/>
    <w:rsid w:val="69DE270F"/>
    <w:rsid w:val="69DE67D1"/>
    <w:rsid w:val="69DE89DF"/>
    <w:rsid w:val="69DFFEC4"/>
    <w:rsid w:val="69E12658"/>
    <w:rsid w:val="69E1A53F"/>
    <w:rsid w:val="69E1A99F"/>
    <w:rsid w:val="69E2F322"/>
    <w:rsid w:val="69E477DD"/>
    <w:rsid w:val="69E9248B"/>
    <w:rsid w:val="69E94444"/>
    <w:rsid w:val="69E9CE1F"/>
    <w:rsid w:val="69EC942D"/>
    <w:rsid w:val="69ECD16C"/>
    <w:rsid w:val="69F12B91"/>
    <w:rsid w:val="69F20C57"/>
    <w:rsid w:val="69F21306"/>
    <w:rsid w:val="69F25F8A"/>
    <w:rsid w:val="69F6812F"/>
    <w:rsid w:val="69F68932"/>
    <w:rsid w:val="69F8AE9B"/>
    <w:rsid w:val="69F9D1F6"/>
    <w:rsid w:val="69FA8C07"/>
    <w:rsid w:val="69FB6BED"/>
    <w:rsid w:val="69FB9DF0"/>
    <w:rsid w:val="69FCA694"/>
    <w:rsid w:val="69FCFCB6"/>
    <w:rsid w:val="69FEEEE7"/>
    <w:rsid w:val="69FF69B4"/>
    <w:rsid w:val="6A01D1AA"/>
    <w:rsid w:val="6A059FBA"/>
    <w:rsid w:val="6A0D0CF4"/>
    <w:rsid w:val="6A0EC145"/>
    <w:rsid w:val="6A100DFA"/>
    <w:rsid w:val="6A119226"/>
    <w:rsid w:val="6A142159"/>
    <w:rsid w:val="6A1498D8"/>
    <w:rsid w:val="6A14B1B3"/>
    <w:rsid w:val="6A1705A7"/>
    <w:rsid w:val="6A190BD3"/>
    <w:rsid w:val="6A19FBDB"/>
    <w:rsid w:val="6A1D8017"/>
    <w:rsid w:val="6A200961"/>
    <w:rsid w:val="6A26F370"/>
    <w:rsid w:val="6A2765AD"/>
    <w:rsid w:val="6A289682"/>
    <w:rsid w:val="6A28DF35"/>
    <w:rsid w:val="6A2938F4"/>
    <w:rsid w:val="6A29712E"/>
    <w:rsid w:val="6A29769F"/>
    <w:rsid w:val="6A2AEC7B"/>
    <w:rsid w:val="6A2B6E5C"/>
    <w:rsid w:val="6A2BC45E"/>
    <w:rsid w:val="6A2D252B"/>
    <w:rsid w:val="6A2DF6DD"/>
    <w:rsid w:val="6A3153E8"/>
    <w:rsid w:val="6A335A0F"/>
    <w:rsid w:val="6A338CD8"/>
    <w:rsid w:val="6A37DEC0"/>
    <w:rsid w:val="6A38287A"/>
    <w:rsid w:val="6A3A54DE"/>
    <w:rsid w:val="6A3CB311"/>
    <w:rsid w:val="6A3D16AF"/>
    <w:rsid w:val="6A3D6CD1"/>
    <w:rsid w:val="6A40348E"/>
    <w:rsid w:val="6A40953A"/>
    <w:rsid w:val="6A438337"/>
    <w:rsid w:val="6A43C4F6"/>
    <w:rsid w:val="6A4564CA"/>
    <w:rsid w:val="6A475187"/>
    <w:rsid w:val="6A47AF16"/>
    <w:rsid w:val="6A483704"/>
    <w:rsid w:val="6A49FF31"/>
    <w:rsid w:val="6A4CC68B"/>
    <w:rsid w:val="6A4D5835"/>
    <w:rsid w:val="6A4E23B9"/>
    <w:rsid w:val="6A4ECBD5"/>
    <w:rsid w:val="6A5050A1"/>
    <w:rsid w:val="6A50F840"/>
    <w:rsid w:val="6A523995"/>
    <w:rsid w:val="6A5364B2"/>
    <w:rsid w:val="6A53CD23"/>
    <w:rsid w:val="6A5539F1"/>
    <w:rsid w:val="6A55A356"/>
    <w:rsid w:val="6A564A65"/>
    <w:rsid w:val="6A5684AB"/>
    <w:rsid w:val="6A58838B"/>
    <w:rsid w:val="6A58E6EF"/>
    <w:rsid w:val="6A608A39"/>
    <w:rsid w:val="6A644F4E"/>
    <w:rsid w:val="6A649823"/>
    <w:rsid w:val="6A67030E"/>
    <w:rsid w:val="6A67CEF5"/>
    <w:rsid w:val="6A68AD26"/>
    <w:rsid w:val="6A69AAD7"/>
    <w:rsid w:val="6A6B1FEA"/>
    <w:rsid w:val="6A6B33AF"/>
    <w:rsid w:val="6A6B9F8B"/>
    <w:rsid w:val="6A6C672A"/>
    <w:rsid w:val="6A6CB793"/>
    <w:rsid w:val="6A72012F"/>
    <w:rsid w:val="6A75FCD1"/>
    <w:rsid w:val="6A762B52"/>
    <w:rsid w:val="6A7B1F62"/>
    <w:rsid w:val="6A7B945C"/>
    <w:rsid w:val="6A7CFE39"/>
    <w:rsid w:val="6A7D4937"/>
    <w:rsid w:val="6A7F0687"/>
    <w:rsid w:val="6A7FFA8E"/>
    <w:rsid w:val="6A826E53"/>
    <w:rsid w:val="6A838B7A"/>
    <w:rsid w:val="6A8497E4"/>
    <w:rsid w:val="6A84C6E9"/>
    <w:rsid w:val="6A877322"/>
    <w:rsid w:val="6A8AE461"/>
    <w:rsid w:val="6A8B7D09"/>
    <w:rsid w:val="6A8C259C"/>
    <w:rsid w:val="6A8DBB8C"/>
    <w:rsid w:val="6A8ED39B"/>
    <w:rsid w:val="6A91EC66"/>
    <w:rsid w:val="6A93D8D0"/>
    <w:rsid w:val="6A94824B"/>
    <w:rsid w:val="6A963211"/>
    <w:rsid w:val="6A98D83E"/>
    <w:rsid w:val="6A9A83F4"/>
    <w:rsid w:val="6A9B7D7A"/>
    <w:rsid w:val="6A9BEB39"/>
    <w:rsid w:val="6AA0FCEF"/>
    <w:rsid w:val="6AA2E04A"/>
    <w:rsid w:val="6AA4DB7D"/>
    <w:rsid w:val="6AA576E5"/>
    <w:rsid w:val="6AA690A3"/>
    <w:rsid w:val="6AA8009F"/>
    <w:rsid w:val="6AA8F818"/>
    <w:rsid w:val="6AAE9751"/>
    <w:rsid w:val="6AB11B30"/>
    <w:rsid w:val="6AB2B7F1"/>
    <w:rsid w:val="6AB34BB7"/>
    <w:rsid w:val="6AB7541E"/>
    <w:rsid w:val="6AB7E306"/>
    <w:rsid w:val="6AB87936"/>
    <w:rsid w:val="6AB8A0BD"/>
    <w:rsid w:val="6AB95137"/>
    <w:rsid w:val="6ABBE50B"/>
    <w:rsid w:val="6ABC4A8C"/>
    <w:rsid w:val="6AC2BD2A"/>
    <w:rsid w:val="6AC3E133"/>
    <w:rsid w:val="6AC4ABD6"/>
    <w:rsid w:val="6AC4E662"/>
    <w:rsid w:val="6AC573C4"/>
    <w:rsid w:val="6AC59BB8"/>
    <w:rsid w:val="6AC7049D"/>
    <w:rsid w:val="6AC8DBBC"/>
    <w:rsid w:val="6AC9BB55"/>
    <w:rsid w:val="6ACA42DC"/>
    <w:rsid w:val="6ACBAD60"/>
    <w:rsid w:val="6ACDEABE"/>
    <w:rsid w:val="6ACE0712"/>
    <w:rsid w:val="6ACE85C6"/>
    <w:rsid w:val="6ACFE04A"/>
    <w:rsid w:val="6AD2BFF3"/>
    <w:rsid w:val="6AD3A154"/>
    <w:rsid w:val="6AD6E467"/>
    <w:rsid w:val="6AD74559"/>
    <w:rsid w:val="6AD7A97A"/>
    <w:rsid w:val="6AD7D403"/>
    <w:rsid w:val="6AD8CBFC"/>
    <w:rsid w:val="6AD9B0CB"/>
    <w:rsid w:val="6ADBF013"/>
    <w:rsid w:val="6ADD2AD0"/>
    <w:rsid w:val="6ADE873F"/>
    <w:rsid w:val="6AE13D94"/>
    <w:rsid w:val="6AE3F0F7"/>
    <w:rsid w:val="6AE611CB"/>
    <w:rsid w:val="6AE9EFA1"/>
    <w:rsid w:val="6AEB1F7D"/>
    <w:rsid w:val="6AEBF1EF"/>
    <w:rsid w:val="6AEC999F"/>
    <w:rsid w:val="6AECBA92"/>
    <w:rsid w:val="6AEE0923"/>
    <w:rsid w:val="6AEF53A4"/>
    <w:rsid w:val="6AF1210A"/>
    <w:rsid w:val="6AF294D6"/>
    <w:rsid w:val="6AF2F0C6"/>
    <w:rsid w:val="6AF6941F"/>
    <w:rsid w:val="6AF73722"/>
    <w:rsid w:val="6AF74574"/>
    <w:rsid w:val="6AF827C0"/>
    <w:rsid w:val="6AF8EB74"/>
    <w:rsid w:val="6AF970E6"/>
    <w:rsid w:val="6AF9AD4E"/>
    <w:rsid w:val="6AFBD406"/>
    <w:rsid w:val="6AFC3DE4"/>
    <w:rsid w:val="6AFD4C92"/>
    <w:rsid w:val="6AFD6AD3"/>
    <w:rsid w:val="6AFFF154"/>
    <w:rsid w:val="6B011C3A"/>
    <w:rsid w:val="6B043769"/>
    <w:rsid w:val="6B046B2F"/>
    <w:rsid w:val="6B09297F"/>
    <w:rsid w:val="6B094C7E"/>
    <w:rsid w:val="6B096102"/>
    <w:rsid w:val="6B09A3BE"/>
    <w:rsid w:val="6B09B63C"/>
    <w:rsid w:val="6B0A1C40"/>
    <w:rsid w:val="6B0A99CC"/>
    <w:rsid w:val="6B0CA3C7"/>
    <w:rsid w:val="6B0F01EA"/>
    <w:rsid w:val="6B0FEB48"/>
    <w:rsid w:val="6B1221DA"/>
    <w:rsid w:val="6B1689A9"/>
    <w:rsid w:val="6B16DCE7"/>
    <w:rsid w:val="6B180641"/>
    <w:rsid w:val="6B18842E"/>
    <w:rsid w:val="6B18C57F"/>
    <w:rsid w:val="6B1963E6"/>
    <w:rsid w:val="6B199367"/>
    <w:rsid w:val="6B1A33AD"/>
    <w:rsid w:val="6B1A49E9"/>
    <w:rsid w:val="6B1AA102"/>
    <w:rsid w:val="6B1BDB99"/>
    <w:rsid w:val="6B1C98B6"/>
    <w:rsid w:val="6B1D2D27"/>
    <w:rsid w:val="6B21B260"/>
    <w:rsid w:val="6B235ED7"/>
    <w:rsid w:val="6B254432"/>
    <w:rsid w:val="6B287742"/>
    <w:rsid w:val="6B2A3A80"/>
    <w:rsid w:val="6B2B4788"/>
    <w:rsid w:val="6B31AA04"/>
    <w:rsid w:val="6B347B5C"/>
    <w:rsid w:val="6B39DF99"/>
    <w:rsid w:val="6B3AD475"/>
    <w:rsid w:val="6B3C04FB"/>
    <w:rsid w:val="6B3CFBAA"/>
    <w:rsid w:val="6B3ECB7D"/>
    <w:rsid w:val="6B3ECF3D"/>
    <w:rsid w:val="6B432DEC"/>
    <w:rsid w:val="6B439FA4"/>
    <w:rsid w:val="6B482C59"/>
    <w:rsid w:val="6B4AC032"/>
    <w:rsid w:val="6B4B28E0"/>
    <w:rsid w:val="6B4B86E2"/>
    <w:rsid w:val="6B4C7E6C"/>
    <w:rsid w:val="6B4E3F72"/>
    <w:rsid w:val="6B50B275"/>
    <w:rsid w:val="6B537EA8"/>
    <w:rsid w:val="6B53E935"/>
    <w:rsid w:val="6B5A8FD1"/>
    <w:rsid w:val="6B5B0AE8"/>
    <w:rsid w:val="6B5CE738"/>
    <w:rsid w:val="6B5D0DB8"/>
    <w:rsid w:val="6B60B422"/>
    <w:rsid w:val="6B6469D4"/>
    <w:rsid w:val="6B64F18A"/>
    <w:rsid w:val="6B6A4931"/>
    <w:rsid w:val="6B6AAC47"/>
    <w:rsid w:val="6B6C5F2A"/>
    <w:rsid w:val="6B6E4B33"/>
    <w:rsid w:val="6B6E6886"/>
    <w:rsid w:val="6B743EE5"/>
    <w:rsid w:val="6B75B115"/>
    <w:rsid w:val="6B786034"/>
    <w:rsid w:val="6B7ADA5E"/>
    <w:rsid w:val="6B7B3143"/>
    <w:rsid w:val="6B7B3790"/>
    <w:rsid w:val="6B7C2231"/>
    <w:rsid w:val="6B7F2C29"/>
    <w:rsid w:val="6B7F57B5"/>
    <w:rsid w:val="6B822B78"/>
    <w:rsid w:val="6B83830F"/>
    <w:rsid w:val="6B89A15C"/>
    <w:rsid w:val="6B8A0119"/>
    <w:rsid w:val="6B8B6983"/>
    <w:rsid w:val="6B8DC849"/>
    <w:rsid w:val="6B8E8BD7"/>
    <w:rsid w:val="6B8EF0DF"/>
    <w:rsid w:val="6B9046E5"/>
    <w:rsid w:val="6B92294C"/>
    <w:rsid w:val="6B940BA2"/>
    <w:rsid w:val="6B9630C2"/>
    <w:rsid w:val="6B9838C3"/>
    <w:rsid w:val="6B9B971B"/>
    <w:rsid w:val="6B9E3276"/>
    <w:rsid w:val="6B9F7B5E"/>
    <w:rsid w:val="6BA20649"/>
    <w:rsid w:val="6BA46637"/>
    <w:rsid w:val="6BA4BA53"/>
    <w:rsid w:val="6BA4F818"/>
    <w:rsid w:val="6BA5AC48"/>
    <w:rsid w:val="6BAAA12F"/>
    <w:rsid w:val="6BAE126C"/>
    <w:rsid w:val="6BAE126F"/>
    <w:rsid w:val="6BB0A2B2"/>
    <w:rsid w:val="6BB0ED46"/>
    <w:rsid w:val="6BB19C96"/>
    <w:rsid w:val="6BB2E0FE"/>
    <w:rsid w:val="6BB487D8"/>
    <w:rsid w:val="6BB512BE"/>
    <w:rsid w:val="6BB58489"/>
    <w:rsid w:val="6BB78CB5"/>
    <w:rsid w:val="6BB7DA25"/>
    <w:rsid w:val="6BB91B23"/>
    <w:rsid w:val="6BB92D7E"/>
    <w:rsid w:val="6BB97C7A"/>
    <w:rsid w:val="6BBAA06F"/>
    <w:rsid w:val="6BBC94B9"/>
    <w:rsid w:val="6BBCBF27"/>
    <w:rsid w:val="6BBD1A69"/>
    <w:rsid w:val="6BBF8BC8"/>
    <w:rsid w:val="6BBFD057"/>
    <w:rsid w:val="6BC0D46C"/>
    <w:rsid w:val="6BC13963"/>
    <w:rsid w:val="6BC1A4A8"/>
    <w:rsid w:val="6BC1BD5B"/>
    <w:rsid w:val="6BC1F67B"/>
    <w:rsid w:val="6BC4F5C9"/>
    <w:rsid w:val="6BC88C82"/>
    <w:rsid w:val="6BC97F87"/>
    <w:rsid w:val="6BC9F70E"/>
    <w:rsid w:val="6BCBE733"/>
    <w:rsid w:val="6BCC26B7"/>
    <w:rsid w:val="6BD02D45"/>
    <w:rsid w:val="6BD64F90"/>
    <w:rsid w:val="6BD6BB94"/>
    <w:rsid w:val="6BD90BF9"/>
    <w:rsid w:val="6BDF544F"/>
    <w:rsid w:val="6BE01965"/>
    <w:rsid w:val="6BE0476F"/>
    <w:rsid w:val="6BE3944C"/>
    <w:rsid w:val="6BE75387"/>
    <w:rsid w:val="6BE7B8D2"/>
    <w:rsid w:val="6BE7E56C"/>
    <w:rsid w:val="6BE8E9D3"/>
    <w:rsid w:val="6BEACA68"/>
    <w:rsid w:val="6BEAD2C3"/>
    <w:rsid w:val="6BEB026C"/>
    <w:rsid w:val="6BEB2470"/>
    <w:rsid w:val="6BEBDEC4"/>
    <w:rsid w:val="6BEC9F8B"/>
    <w:rsid w:val="6BED55B2"/>
    <w:rsid w:val="6BED8D42"/>
    <w:rsid w:val="6BEE45DB"/>
    <w:rsid w:val="6BEEB582"/>
    <w:rsid w:val="6BEF4004"/>
    <w:rsid w:val="6BF0DC6D"/>
    <w:rsid w:val="6BF19E63"/>
    <w:rsid w:val="6BF6F831"/>
    <w:rsid w:val="6BF79848"/>
    <w:rsid w:val="6BF8FB6C"/>
    <w:rsid w:val="6BF9899D"/>
    <w:rsid w:val="6BFA5336"/>
    <w:rsid w:val="6BFA6CB9"/>
    <w:rsid w:val="6BFCE9C5"/>
    <w:rsid w:val="6BFE77C6"/>
    <w:rsid w:val="6C0121D2"/>
    <w:rsid w:val="6C03AADE"/>
    <w:rsid w:val="6C06EE27"/>
    <w:rsid w:val="6C079494"/>
    <w:rsid w:val="6C0A25C4"/>
    <w:rsid w:val="6C0A387C"/>
    <w:rsid w:val="6C0B1789"/>
    <w:rsid w:val="6C0DDF62"/>
    <w:rsid w:val="6C0EF5AC"/>
    <w:rsid w:val="6C135E34"/>
    <w:rsid w:val="6C154550"/>
    <w:rsid w:val="6C15D8EC"/>
    <w:rsid w:val="6C1870B9"/>
    <w:rsid w:val="6C19F443"/>
    <w:rsid w:val="6C1B7DDE"/>
    <w:rsid w:val="6C1C7E0E"/>
    <w:rsid w:val="6C1CCEF6"/>
    <w:rsid w:val="6C1E071B"/>
    <w:rsid w:val="6C1E90A2"/>
    <w:rsid w:val="6C20669E"/>
    <w:rsid w:val="6C21A56B"/>
    <w:rsid w:val="6C22BDF1"/>
    <w:rsid w:val="6C2367C7"/>
    <w:rsid w:val="6C2492E8"/>
    <w:rsid w:val="6C2515F1"/>
    <w:rsid w:val="6C256091"/>
    <w:rsid w:val="6C26BFDF"/>
    <w:rsid w:val="6C27C935"/>
    <w:rsid w:val="6C2A3BA3"/>
    <w:rsid w:val="6C2B0430"/>
    <w:rsid w:val="6C2B299D"/>
    <w:rsid w:val="6C2BB5E6"/>
    <w:rsid w:val="6C2C21D1"/>
    <w:rsid w:val="6C2C7017"/>
    <w:rsid w:val="6C2F6B68"/>
    <w:rsid w:val="6C301F4D"/>
    <w:rsid w:val="6C304467"/>
    <w:rsid w:val="6C313A7E"/>
    <w:rsid w:val="6C31E66C"/>
    <w:rsid w:val="6C338F69"/>
    <w:rsid w:val="6C3652CF"/>
    <w:rsid w:val="6C36E48D"/>
    <w:rsid w:val="6C3709D8"/>
    <w:rsid w:val="6C397DD0"/>
    <w:rsid w:val="6C39DE00"/>
    <w:rsid w:val="6C3B12A3"/>
    <w:rsid w:val="6C3F7BFE"/>
    <w:rsid w:val="6C3FAA89"/>
    <w:rsid w:val="6C4023C3"/>
    <w:rsid w:val="6C4368EC"/>
    <w:rsid w:val="6C441481"/>
    <w:rsid w:val="6C4423EF"/>
    <w:rsid w:val="6C451CCA"/>
    <w:rsid w:val="6C478170"/>
    <w:rsid w:val="6C4D44FD"/>
    <w:rsid w:val="6C4E943B"/>
    <w:rsid w:val="6C4F646F"/>
    <w:rsid w:val="6C4F8223"/>
    <w:rsid w:val="6C4FC79F"/>
    <w:rsid w:val="6C500984"/>
    <w:rsid w:val="6C52A48C"/>
    <w:rsid w:val="6C5357BA"/>
    <w:rsid w:val="6C5486D7"/>
    <w:rsid w:val="6C553BEB"/>
    <w:rsid w:val="6C55B42D"/>
    <w:rsid w:val="6C5848A7"/>
    <w:rsid w:val="6C58D41D"/>
    <w:rsid w:val="6C59C9AA"/>
    <w:rsid w:val="6C5BF3C3"/>
    <w:rsid w:val="6C5C6605"/>
    <w:rsid w:val="6C5CC9B5"/>
    <w:rsid w:val="6C5CCC38"/>
    <w:rsid w:val="6C5D9945"/>
    <w:rsid w:val="6C5E40A1"/>
    <w:rsid w:val="6C61976D"/>
    <w:rsid w:val="6C61F737"/>
    <w:rsid w:val="6C622D9A"/>
    <w:rsid w:val="6C6328C9"/>
    <w:rsid w:val="6C632A23"/>
    <w:rsid w:val="6C656B51"/>
    <w:rsid w:val="6C672353"/>
    <w:rsid w:val="6C6CA150"/>
    <w:rsid w:val="6C6CBD93"/>
    <w:rsid w:val="6C6FD6D9"/>
    <w:rsid w:val="6C702552"/>
    <w:rsid w:val="6C70358E"/>
    <w:rsid w:val="6C71E02E"/>
    <w:rsid w:val="6C72B8B6"/>
    <w:rsid w:val="6C73494F"/>
    <w:rsid w:val="6C74BAB4"/>
    <w:rsid w:val="6C79311A"/>
    <w:rsid w:val="6C7A1DDA"/>
    <w:rsid w:val="6C7A860B"/>
    <w:rsid w:val="6C7BC525"/>
    <w:rsid w:val="6C7BDF0D"/>
    <w:rsid w:val="6C7C5671"/>
    <w:rsid w:val="6C7C66A7"/>
    <w:rsid w:val="6C7D7D8E"/>
    <w:rsid w:val="6C7E56B0"/>
    <w:rsid w:val="6C8092A5"/>
    <w:rsid w:val="6C8119D8"/>
    <w:rsid w:val="6C866834"/>
    <w:rsid w:val="6C8976F7"/>
    <w:rsid w:val="6C89A4DD"/>
    <w:rsid w:val="6C8AFAAC"/>
    <w:rsid w:val="6C8C229E"/>
    <w:rsid w:val="6C8D0C96"/>
    <w:rsid w:val="6C8D60A4"/>
    <w:rsid w:val="6C8D8FE7"/>
    <w:rsid w:val="6C8EA5E7"/>
    <w:rsid w:val="6C8F8FC8"/>
    <w:rsid w:val="6C90C3C1"/>
    <w:rsid w:val="6C92B574"/>
    <w:rsid w:val="6C92F5F1"/>
    <w:rsid w:val="6C951E27"/>
    <w:rsid w:val="6C960079"/>
    <w:rsid w:val="6C9B6BF5"/>
    <w:rsid w:val="6C9BE930"/>
    <w:rsid w:val="6CA7A90F"/>
    <w:rsid w:val="6CA7D4B4"/>
    <w:rsid w:val="6CA8D6F2"/>
    <w:rsid w:val="6CA95A35"/>
    <w:rsid w:val="6CAB785F"/>
    <w:rsid w:val="6CAD4300"/>
    <w:rsid w:val="6CAD7BAD"/>
    <w:rsid w:val="6CADC5EF"/>
    <w:rsid w:val="6CAE5FBF"/>
    <w:rsid w:val="6CAF78D1"/>
    <w:rsid w:val="6CAFE451"/>
    <w:rsid w:val="6CB04E6A"/>
    <w:rsid w:val="6CB0C923"/>
    <w:rsid w:val="6CB178FF"/>
    <w:rsid w:val="6CB22C26"/>
    <w:rsid w:val="6CB2B8DB"/>
    <w:rsid w:val="6CB3C243"/>
    <w:rsid w:val="6CB4E091"/>
    <w:rsid w:val="6CB53ACF"/>
    <w:rsid w:val="6CB6CD8A"/>
    <w:rsid w:val="6CB90B17"/>
    <w:rsid w:val="6CBAEAA9"/>
    <w:rsid w:val="6CBBCC09"/>
    <w:rsid w:val="6CBD7B97"/>
    <w:rsid w:val="6CBD9B5C"/>
    <w:rsid w:val="6CBE61C7"/>
    <w:rsid w:val="6CBF01A5"/>
    <w:rsid w:val="6CC1C5C8"/>
    <w:rsid w:val="6CC53CA8"/>
    <w:rsid w:val="6CC5624A"/>
    <w:rsid w:val="6CC7D6E5"/>
    <w:rsid w:val="6CCB0792"/>
    <w:rsid w:val="6CCB7835"/>
    <w:rsid w:val="6CCCAD35"/>
    <w:rsid w:val="6CCCF90B"/>
    <w:rsid w:val="6CCD271C"/>
    <w:rsid w:val="6CCD78E7"/>
    <w:rsid w:val="6CCE6D28"/>
    <w:rsid w:val="6CD16148"/>
    <w:rsid w:val="6CD29CE8"/>
    <w:rsid w:val="6CD47530"/>
    <w:rsid w:val="6CD9C324"/>
    <w:rsid w:val="6CD9DE23"/>
    <w:rsid w:val="6CDB629A"/>
    <w:rsid w:val="6CDBB199"/>
    <w:rsid w:val="6CDCE889"/>
    <w:rsid w:val="6CDEEEC2"/>
    <w:rsid w:val="6CE25254"/>
    <w:rsid w:val="6CE38E6F"/>
    <w:rsid w:val="6CE407F5"/>
    <w:rsid w:val="6CE65F13"/>
    <w:rsid w:val="6CE68193"/>
    <w:rsid w:val="6CEB5430"/>
    <w:rsid w:val="6CEBA57B"/>
    <w:rsid w:val="6CEBCC9A"/>
    <w:rsid w:val="6CF0731D"/>
    <w:rsid w:val="6CF2EFB3"/>
    <w:rsid w:val="6CF45B13"/>
    <w:rsid w:val="6CF4CF3E"/>
    <w:rsid w:val="6CF78490"/>
    <w:rsid w:val="6CF8B22E"/>
    <w:rsid w:val="6CF94034"/>
    <w:rsid w:val="6CFA5A54"/>
    <w:rsid w:val="6CFA7A94"/>
    <w:rsid w:val="6CFB1AE2"/>
    <w:rsid w:val="6CFB511B"/>
    <w:rsid w:val="6CFD3DE9"/>
    <w:rsid w:val="6CFE10BE"/>
    <w:rsid w:val="6CFE33B1"/>
    <w:rsid w:val="6CFEBC68"/>
    <w:rsid w:val="6CFF30E0"/>
    <w:rsid w:val="6CFF36C4"/>
    <w:rsid w:val="6D01FC69"/>
    <w:rsid w:val="6D03D293"/>
    <w:rsid w:val="6D06CA2F"/>
    <w:rsid w:val="6D0AD394"/>
    <w:rsid w:val="6D0FFADC"/>
    <w:rsid w:val="6D1170A4"/>
    <w:rsid w:val="6D130AFD"/>
    <w:rsid w:val="6D142964"/>
    <w:rsid w:val="6D143729"/>
    <w:rsid w:val="6D163940"/>
    <w:rsid w:val="6D192EE4"/>
    <w:rsid w:val="6D19C63D"/>
    <w:rsid w:val="6D19DE17"/>
    <w:rsid w:val="6D1BBAEF"/>
    <w:rsid w:val="6D1EA543"/>
    <w:rsid w:val="6D1F57F1"/>
    <w:rsid w:val="6D2050E1"/>
    <w:rsid w:val="6D210E0C"/>
    <w:rsid w:val="6D210F71"/>
    <w:rsid w:val="6D21170C"/>
    <w:rsid w:val="6D236E74"/>
    <w:rsid w:val="6D258020"/>
    <w:rsid w:val="6D25BB9E"/>
    <w:rsid w:val="6D298553"/>
    <w:rsid w:val="6D2AABF7"/>
    <w:rsid w:val="6D2D392E"/>
    <w:rsid w:val="6D2DD69D"/>
    <w:rsid w:val="6D31CF15"/>
    <w:rsid w:val="6D31E9EE"/>
    <w:rsid w:val="6D340844"/>
    <w:rsid w:val="6D351BF2"/>
    <w:rsid w:val="6D372250"/>
    <w:rsid w:val="6D37F4BA"/>
    <w:rsid w:val="6D3AD7CF"/>
    <w:rsid w:val="6D3ECF31"/>
    <w:rsid w:val="6D3F1927"/>
    <w:rsid w:val="6D3F8C7B"/>
    <w:rsid w:val="6D3FC02E"/>
    <w:rsid w:val="6D434718"/>
    <w:rsid w:val="6D446243"/>
    <w:rsid w:val="6D45E9A5"/>
    <w:rsid w:val="6D46AD41"/>
    <w:rsid w:val="6D470FC5"/>
    <w:rsid w:val="6D49A6CE"/>
    <w:rsid w:val="6D4A7589"/>
    <w:rsid w:val="6D4BED9F"/>
    <w:rsid w:val="6D4EA7BA"/>
    <w:rsid w:val="6D4F8B9B"/>
    <w:rsid w:val="6D4FD829"/>
    <w:rsid w:val="6D5139D4"/>
    <w:rsid w:val="6D5243DB"/>
    <w:rsid w:val="6D52BBFC"/>
    <w:rsid w:val="6D53A15A"/>
    <w:rsid w:val="6D53DCB8"/>
    <w:rsid w:val="6D560D14"/>
    <w:rsid w:val="6D58840C"/>
    <w:rsid w:val="6D59D1F1"/>
    <w:rsid w:val="6D5A6B61"/>
    <w:rsid w:val="6D5AD10D"/>
    <w:rsid w:val="6D6184F4"/>
    <w:rsid w:val="6D646940"/>
    <w:rsid w:val="6D649202"/>
    <w:rsid w:val="6D655C6B"/>
    <w:rsid w:val="6D66728D"/>
    <w:rsid w:val="6D66F1F8"/>
    <w:rsid w:val="6D678A8C"/>
    <w:rsid w:val="6D67F718"/>
    <w:rsid w:val="6D6F6094"/>
    <w:rsid w:val="6D70D246"/>
    <w:rsid w:val="6D70DA01"/>
    <w:rsid w:val="6D719E61"/>
    <w:rsid w:val="6D73CFD8"/>
    <w:rsid w:val="6D758488"/>
    <w:rsid w:val="6D762865"/>
    <w:rsid w:val="6D77D3C6"/>
    <w:rsid w:val="6D780385"/>
    <w:rsid w:val="6D7A3C0D"/>
    <w:rsid w:val="6D7B343D"/>
    <w:rsid w:val="6D7E6632"/>
    <w:rsid w:val="6D7F0887"/>
    <w:rsid w:val="6D7F5F68"/>
    <w:rsid w:val="6D7F8A7B"/>
    <w:rsid w:val="6D80360C"/>
    <w:rsid w:val="6D81748F"/>
    <w:rsid w:val="6D84AD70"/>
    <w:rsid w:val="6D856BD5"/>
    <w:rsid w:val="6D87AF25"/>
    <w:rsid w:val="6D89A19B"/>
    <w:rsid w:val="6D8B6200"/>
    <w:rsid w:val="6D8FE6E8"/>
    <w:rsid w:val="6D90DF08"/>
    <w:rsid w:val="6D920C78"/>
    <w:rsid w:val="6D937D38"/>
    <w:rsid w:val="6D95A231"/>
    <w:rsid w:val="6D9764BE"/>
    <w:rsid w:val="6D9773C8"/>
    <w:rsid w:val="6D977A83"/>
    <w:rsid w:val="6D9809A2"/>
    <w:rsid w:val="6D989EE7"/>
    <w:rsid w:val="6D9948C4"/>
    <w:rsid w:val="6D99BC88"/>
    <w:rsid w:val="6D9B232D"/>
    <w:rsid w:val="6D9B3F81"/>
    <w:rsid w:val="6D9C052F"/>
    <w:rsid w:val="6D9CF211"/>
    <w:rsid w:val="6D9DD7AB"/>
    <w:rsid w:val="6D9EEDF6"/>
    <w:rsid w:val="6D9FFE2A"/>
    <w:rsid w:val="6DA0DE2F"/>
    <w:rsid w:val="6DA4EF12"/>
    <w:rsid w:val="6DA62A37"/>
    <w:rsid w:val="6DA6A119"/>
    <w:rsid w:val="6DA745DF"/>
    <w:rsid w:val="6DA8884C"/>
    <w:rsid w:val="6DAC6607"/>
    <w:rsid w:val="6DAD33BF"/>
    <w:rsid w:val="6DADD71C"/>
    <w:rsid w:val="6DADF4C9"/>
    <w:rsid w:val="6DAE9A86"/>
    <w:rsid w:val="6DAEDC3A"/>
    <w:rsid w:val="6DAF0957"/>
    <w:rsid w:val="6DAF7274"/>
    <w:rsid w:val="6DB2AF83"/>
    <w:rsid w:val="6DB3F57D"/>
    <w:rsid w:val="6DB567CB"/>
    <w:rsid w:val="6DB68F54"/>
    <w:rsid w:val="6DB786C5"/>
    <w:rsid w:val="6DB7EE8F"/>
    <w:rsid w:val="6DB9D7C0"/>
    <w:rsid w:val="6DBB26EC"/>
    <w:rsid w:val="6DBBCB84"/>
    <w:rsid w:val="6DBDDCCE"/>
    <w:rsid w:val="6DBF39E0"/>
    <w:rsid w:val="6DBF9505"/>
    <w:rsid w:val="6DC06E5C"/>
    <w:rsid w:val="6DC2B081"/>
    <w:rsid w:val="6DC2CC3F"/>
    <w:rsid w:val="6DC6A541"/>
    <w:rsid w:val="6DCB22CF"/>
    <w:rsid w:val="6DD08821"/>
    <w:rsid w:val="6DD0DC5F"/>
    <w:rsid w:val="6DD10F4F"/>
    <w:rsid w:val="6DD210B2"/>
    <w:rsid w:val="6DD32707"/>
    <w:rsid w:val="6DD39F88"/>
    <w:rsid w:val="6DD4F3DA"/>
    <w:rsid w:val="6DD74FEB"/>
    <w:rsid w:val="6DD95950"/>
    <w:rsid w:val="6DDA4B44"/>
    <w:rsid w:val="6DDE4EC6"/>
    <w:rsid w:val="6DE098DA"/>
    <w:rsid w:val="6DE1AD3F"/>
    <w:rsid w:val="6DE2A097"/>
    <w:rsid w:val="6DE3BC26"/>
    <w:rsid w:val="6DE57C36"/>
    <w:rsid w:val="6DE81390"/>
    <w:rsid w:val="6DEA2D88"/>
    <w:rsid w:val="6DEBEC0D"/>
    <w:rsid w:val="6DEE5407"/>
    <w:rsid w:val="6DEEF484"/>
    <w:rsid w:val="6DEF7AB7"/>
    <w:rsid w:val="6DEFB1F6"/>
    <w:rsid w:val="6DF006EC"/>
    <w:rsid w:val="6DF0DE47"/>
    <w:rsid w:val="6DF2A1A3"/>
    <w:rsid w:val="6DF56227"/>
    <w:rsid w:val="6DF7ED95"/>
    <w:rsid w:val="6DF8CE8B"/>
    <w:rsid w:val="6DF8D6BE"/>
    <w:rsid w:val="6DFA64CC"/>
    <w:rsid w:val="6DFAC8D9"/>
    <w:rsid w:val="6DFB0338"/>
    <w:rsid w:val="6DFC4748"/>
    <w:rsid w:val="6DFCAF28"/>
    <w:rsid w:val="6DFD3C7A"/>
    <w:rsid w:val="6DFD4A52"/>
    <w:rsid w:val="6DFDBE33"/>
    <w:rsid w:val="6E001ECE"/>
    <w:rsid w:val="6E004B21"/>
    <w:rsid w:val="6E0360A2"/>
    <w:rsid w:val="6E03EB86"/>
    <w:rsid w:val="6E07B2DF"/>
    <w:rsid w:val="6E091D46"/>
    <w:rsid w:val="6E0B2013"/>
    <w:rsid w:val="6E10441D"/>
    <w:rsid w:val="6E10597C"/>
    <w:rsid w:val="6E106930"/>
    <w:rsid w:val="6E12389B"/>
    <w:rsid w:val="6E12EC05"/>
    <w:rsid w:val="6E13AE70"/>
    <w:rsid w:val="6E14D626"/>
    <w:rsid w:val="6E14DC64"/>
    <w:rsid w:val="6E14EC83"/>
    <w:rsid w:val="6E15700D"/>
    <w:rsid w:val="6E168421"/>
    <w:rsid w:val="6E1B99E2"/>
    <w:rsid w:val="6E1C54B0"/>
    <w:rsid w:val="6E1F11D9"/>
    <w:rsid w:val="6E1F533C"/>
    <w:rsid w:val="6E1F7B5F"/>
    <w:rsid w:val="6E223374"/>
    <w:rsid w:val="6E236BFB"/>
    <w:rsid w:val="6E2402B9"/>
    <w:rsid w:val="6E2461BB"/>
    <w:rsid w:val="6E258D9D"/>
    <w:rsid w:val="6E2715C8"/>
    <w:rsid w:val="6E27325D"/>
    <w:rsid w:val="6E287720"/>
    <w:rsid w:val="6E28E6C0"/>
    <w:rsid w:val="6E291FF1"/>
    <w:rsid w:val="6E30050C"/>
    <w:rsid w:val="6E31B91B"/>
    <w:rsid w:val="6E31DD01"/>
    <w:rsid w:val="6E32B799"/>
    <w:rsid w:val="6E341DC9"/>
    <w:rsid w:val="6E3493D4"/>
    <w:rsid w:val="6E35C40C"/>
    <w:rsid w:val="6E3A4C10"/>
    <w:rsid w:val="6E3CD137"/>
    <w:rsid w:val="6E3CF2C5"/>
    <w:rsid w:val="6E3DAE9C"/>
    <w:rsid w:val="6E3DE2A4"/>
    <w:rsid w:val="6E3E10E5"/>
    <w:rsid w:val="6E3E117B"/>
    <w:rsid w:val="6E3FCC0B"/>
    <w:rsid w:val="6E418391"/>
    <w:rsid w:val="6E4199AC"/>
    <w:rsid w:val="6E4282B7"/>
    <w:rsid w:val="6E429F35"/>
    <w:rsid w:val="6E431DDA"/>
    <w:rsid w:val="6E444F3A"/>
    <w:rsid w:val="6E449D7C"/>
    <w:rsid w:val="6E4B6CC6"/>
    <w:rsid w:val="6E535DF6"/>
    <w:rsid w:val="6E5551BB"/>
    <w:rsid w:val="6E55BCF6"/>
    <w:rsid w:val="6E56405B"/>
    <w:rsid w:val="6E573A38"/>
    <w:rsid w:val="6E5818E5"/>
    <w:rsid w:val="6E59C0F2"/>
    <w:rsid w:val="6E5B9F23"/>
    <w:rsid w:val="6E5C062C"/>
    <w:rsid w:val="6E5DA4D1"/>
    <w:rsid w:val="6E5E7D26"/>
    <w:rsid w:val="6E6277D7"/>
    <w:rsid w:val="6E627F42"/>
    <w:rsid w:val="6E669E5D"/>
    <w:rsid w:val="6E6AACCE"/>
    <w:rsid w:val="6E6B3AD7"/>
    <w:rsid w:val="6E6C2D83"/>
    <w:rsid w:val="6E6E5573"/>
    <w:rsid w:val="6E6FB0E6"/>
    <w:rsid w:val="6E7073AA"/>
    <w:rsid w:val="6E729494"/>
    <w:rsid w:val="6E7321AD"/>
    <w:rsid w:val="6E73AAB0"/>
    <w:rsid w:val="6E74F3B5"/>
    <w:rsid w:val="6E75F43D"/>
    <w:rsid w:val="6E76764F"/>
    <w:rsid w:val="6E77DF12"/>
    <w:rsid w:val="6E789E43"/>
    <w:rsid w:val="6E798EE0"/>
    <w:rsid w:val="6E7A74EA"/>
    <w:rsid w:val="6E7A7A47"/>
    <w:rsid w:val="6E7B6DB8"/>
    <w:rsid w:val="6E7B74A9"/>
    <w:rsid w:val="6E7B8886"/>
    <w:rsid w:val="6E7B8955"/>
    <w:rsid w:val="6E7C4755"/>
    <w:rsid w:val="6E7C9866"/>
    <w:rsid w:val="6E7CB248"/>
    <w:rsid w:val="6E7F559E"/>
    <w:rsid w:val="6E802894"/>
    <w:rsid w:val="6E812B3F"/>
    <w:rsid w:val="6E83146F"/>
    <w:rsid w:val="6E841A38"/>
    <w:rsid w:val="6E84CD1A"/>
    <w:rsid w:val="6E84D0AF"/>
    <w:rsid w:val="6E85AEE7"/>
    <w:rsid w:val="6E85D2D2"/>
    <w:rsid w:val="6E8858BB"/>
    <w:rsid w:val="6E8904B6"/>
    <w:rsid w:val="6E8982B0"/>
    <w:rsid w:val="6E8A1A5A"/>
    <w:rsid w:val="6E8B698F"/>
    <w:rsid w:val="6E8BF14A"/>
    <w:rsid w:val="6E8CF4DC"/>
    <w:rsid w:val="6E8CFAB9"/>
    <w:rsid w:val="6E8D41D5"/>
    <w:rsid w:val="6E8DE838"/>
    <w:rsid w:val="6E8F5E63"/>
    <w:rsid w:val="6E90E1F1"/>
    <w:rsid w:val="6E95E069"/>
    <w:rsid w:val="6E9740FA"/>
    <w:rsid w:val="6E97501A"/>
    <w:rsid w:val="6E97B03C"/>
    <w:rsid w:val="6E97DE54"/>
    <w:rsid w:val="6E98A618"/>
    <w:rsid w:val="6E9AE617"/>
    <w:rsid w:val="6E9B6ADE"/>
    <w:rsid w:val="6E9C8B76"/>
    <w:rsid w:val="6E9DC67D"/>
    <w:rsid w:val="6E9E22A6"/>
    <w:rsid w:val="6EA1CD09"/>
    <w:rsid w:val="6EA2F837"/>
    <w:rsid w:val="6EA3BC27"/>
    <w:rsid w:val="6EA3CE6A"/>
    <w:rsid w:val="6EA58C93"/>
    <w:rsid w:val="6EA904B6"/>
    <w:rsid w:val="6EA9C857"/>
    <w:rsid w:val="6EAA39F2"/>
    <w:rsid w:val="6EAABD67"/>
    <w:rsid w:val="6EAB26A3"/>
    <w:rsid w:val="6EAB3FC0"/>
    <w:rsid w:val="6EAD138F"/>
    <w:rsid w:val="6EAD9707"/>
    <w:rsid w:val="6EAEF517"/>
    <w:rsid w:val="6EB1CA3F"/>
    <w:rsid w:val="6EB32D88"/>
    <w:rsid w:val="6EB39B65"/>
    <w:rsid w:val="6EB3B77C"/>
    <w:rsid w:val="6EB45B5E"/>
    <w:rsid w:val="6EB6FE7C"/>
    <w:rsid w:val="6EB71D32"/>
    <w:rsid w:val="6EB839B8"/>
    <w:rsid w:val="6EB9E911"/>
    <w:rsid w:val="6EBBC78E"/>
    <w:rsid w:val="6EBC1626"/>
    <w:rsid w:val="6EBDC494"/>
    <w:rsid w:val="6EBE59A0"/>
    <w:rsid w:val="6EBFCBB0"/>
    <w:rsid w:val="6EC074C1"/>
    <w:rsid w:val="6EC935C0"/>
    <w:rsid w:val="6ECA5DFE"/>
    <w:rsid w:val="6ECBC374"/>
    <w:rsid w:val="6ECBF872"/>
    <w:rsid w:val="6ECC1853"/>
    <w:rsid w:val="6ECC9FA2"/>
    <w:rsid w:val="6ECE5C6D"/>
    <w:rsid w:val="6ECEA0C0"/>
    <w:rsid w:val="6ECF0398"/>
    <w:rsid w:val="6ED17EE5"/>
    <w:rsid w:val="6ED26C4F"/>
    <w:rsid w:val="6ED2812F"/>
    <w:rsid w:val="6ED2BEC4"/>
    <w:rsid w:val="6ED2FD50"/>
    <w:rsid w:val="6ED38CFB"/>
    <w:rsid w:val="6ED513C7"/>
    <w:rsid w:val="6ED562BF"/>
    <w:rsid w:val="6ED659A1"/>
    <w:rsid w:val="6ED735B5"/>
    <w:rsid w:val="6ED76768"/>
    <w:rsid w:val="6ED7DF4B"/>
    <w:rsid w:val="6ED7EC45"/>
    <w:rsid w:val="6ED84A2E"/>
    <w:rsid w:val="6EDA5936"/>
    <w:rsid w:val="6EDB3094"/>
    <w:rsid w:val="6EDB84E5"/>
    <w:rsid w:val="6EDE0A44"/>
    <w:rsid w:val="6EE018AF"/>
    <w:rsid w:val="6EE3A112"/>
    <w:rsid w:val="6EE63EEC"/>
    <w:rsid w:val="6EE69968"/>
    <w:rsid w:val="6EE6E498"/>
    <w:rsid w:val="6EEAC6E0"/>
    <w:rsid w:val="6EEE80D8"/>
    <w:rsid w:val="6EEF7EA0"/>
    <w:rsid w:val="6EF0C47B"/>
    <w:rsid w:val="6EF1ED60"/>
    <w:rsid w:val="6EF35970"/>
    <w:rsid w:val="6EF3D329"/>
    <w:rsid w:val="6EF72E67"/>
    <w:rsid w:val="6EF9C1D3"/>
    <w:rsid w:val="6EFA5123"/>
    <w:rsid w:val="6EFE20D9"/>
    <w:rsid w:val="6EFEBB4E"/>
    <w:rsid w:val="6F012C73"/>
    <w:rsid w:val="6F012F12"/>
    <w:rsid w:val="6F03921D"/>
    <w:rsid w:val="6F0468D6"/>
    <w:rsid w:val="6F054167"/>
    <w:rsid w:val="6F05931B"/>
    <w:rsid w:val="6F07268A"/>
    <w:rsid w:val="6F07DAFD"/>
    <w:rsid w:val="6F0874E8"/>
    <w:rsid w:val="6F0C2D5B"/>
    <w:rsid w:val="6F118388"/>
    <w:rsid w:val="6F129D42"/>
    <w:rsid w:val="6F19F0AC"/>
    <w:rsid w:val="6F1A1D4C"/>
    <w:rsid w:val="6F1A2FB0"/>
    <w:rsid w:val="6F1A7480"/>
    <w:rsid w:val="6F1B0B8E"/>
    <w:rsid w:val="6F1C70A4"/>
    <w:rsid w:val="6F1D73D0"/>
    <w:rsid w:val="6F1F429B"/>
    <w:rsid w:val="6F1F8789"/>
    <w:rsid w:val="6F1FB221"/>
    <w:rsid w:val="6F1FFD0D"/>
    <w:rsid w:val="6F22513F"/>
    <w:rsid w:val="6F22DE2B"/>
    <w:rsid w:val="6F231827"/>
    <w:rsid w:val="6F24FC6C"/>
    <w:rsid w:val="6F25E633"/>
    <w:rsid w:val="6F26B2BD"/>
    <w:rsid w:val="6F28AC87"/>
    <w:rsid w:val="6F28CB48"/>
    <w:rsid w:val="6F2AD710"/>
    <w:rsid w:val="6F2CFC43"/>
    <w:rsid w:val="6F2D7766"/>
    <w:rsid w:val="6F2DFA32"/>
    <w:rsid w:val="6F34AF7C"/>
    <w:rsid w:val="6F359E8B"/>
    <w:rsid w:val="6F35D7B0"/>
    <w:rsid w:val="6F360081"/>
    <w:rsid w:val="6F368402"/>
    <w:rsid w:val="6F36E4FF"/>
    <w:rsid w:val="6F3ABB0C"/>
    <w:rsid w:val="6F3D40E6"/>
    <w:rsid w:val="6F3EAA04"/>
    <w:rsid w:val="6F40BF73"/>
    <w:rsid w:val="6F4129E2"/>
    <w:rsid w:val="6F439907"/>
    <w:rsid w:val="6F447567"/>
    <w:rsid w:val="6F471A33"/>
    <w:rsid w:val="6F4A455A"/>
    <w:rsid w:val="6F4F7436"/>
    <w:rsid w:val="6F4FCE45"/>
    <w:rsid w:val="6F4FFB91"/>
    <w:rsid w:val="6F51B513"/>
    <w:rsid w:val="6F520607"/>
    <w:rsid w:val="6F52DD76"/>
    <w:rsid w:val="6F535398"/>
    <w:rsid w:val="6F5579EF"/>
    <w:rsid w:val="6F562AE5"/>
    <w:rsid w:val="6F5A00DE"/>
    <w:rsid w:val="6F5A78AA"/>
    <w:rsid w:val="6F5B4C83"/>
    <w:rsid w:val="6F5D1674"/>
    <w:rsid w:val="6F5E34D5"/>
    <w:rsid w:val="6F5E41E6"/>
    <w:rsid w:val="6F5EABC6"/>
    <w:rsid w:val="6F5F0D44"/>
    <w:rsid w:val="6F609277"/>
    <w:rsid w:val="6F609ABC"/>
    <w:rsid w:val="6F6181A9"/>
    <w:rsid w:val="6F625753"/>
    <w:rsid w:val="6F65FD0F"/>
    <w:rsid w:val="6F6800D2"/>
    <w:rsid w:val="6F68F1BA"/>
    <w:rsid w:val="6F68F805"/>
    <w:rsid w:val="6F692174"/>
    <w:rsid w:val="6F69E04C"/>
    <w:rsid w:val="6F6A57EB"/>
    <w:rsid w:val="6F6B6876"/>
    <w:rsid w:val="6F6BFAAC"/>
    <w:rsid w:val="6F6C3EBD"/>
    <w:rsid w:val="6F6D0F5F"/>
    <w:rsid w:val="6F6DCCAD"/>
    <w:rsid w:val="6F6F46BA"/>
    <w:rsid w:val="6F72FCCA"/>
    <w:rsid w:val="6F746BD2"/>
    <w:rsid w:val="6F74BFC8"/>
    <w:rsid w:val="6F767090"/>
    <w:rsid w:val="6F787D83"/>
    <w:rsid w:val="6F79C622"/>
    <w:rsid w:val="6F7AE7F9"/>
    <w:rsid w:val="6F7B5060"/>
    <w:rsid w:val="6F7EACBD"/>
    <w:rsid w:val="6F80DD2F"/>
    <w:rsid w:val="6F8143E8"/>
    <w:rsid w:val="6F81629E"/>
    <w:rsid w:val="6F840B3A"/>
    <w:rsid w:val="6F8656A8"/>
    <w:rsid w:val="6F87F561"/>
    <w:rsid w:val="6F88A212"/>
    <w:rsid w:val="6F88E8BF"/>
    <w:rsid w:val="6F89F398"/>
    <w:rsid w:val="6F8DDD54"/>
    <w:rsid w:val="6F8F5738"/>
    <w:rsid w:val="6F8FE969"/>
    <w:rsid w:val="6F9015ED"/>
    <w:rsid w:val="6F9586B4"/>
    <w:rsid w:val="6F9722EA"/>
    <w:rsid w:val="6F97240A"/>
    <w:rsid w:val="6F9CAEBC"/>
    <w:rsid w:val="6FA19904"/>
    <w:rsid w:val="6FA1D8B7"/>
    <w:rsid w:val="6FA2E7F7"/>
    <w:rsid w:val="6FA30E8F"/>
    <w:rsid w:val="6FA49A9C"/>
    <w:rsid w:val="6FA610AA"/>
    <w:rsid w:val="6FABFCAB"/>
    <w:rsid w:val="6FAD6DC0"/>
    <w:rsid w:val="6FB01708"/>
    <w:rsid w:val="6FB23EEF"/>
    <w:rsid w:val="6FB3819F"/>
    <w:rsid w:val="6FB50912"/>
    <w:rsid w:val="6FB6B12E"/>
    <w:rsid w:val="6FB702F2"/>
    <w:rsid w:val="6FB70CE6"/>
    <w:rsid w:val="6FB7B399"/>
    <w:rsid w:val="6FB87C13"/>
    <w:rsid w:val="6FBA2BA5"/>
    <w:rsid w:val="6FBABA24"/>
    <w:rsid w:val="6FBBBB3C"/>
    <w:rsid w:val="6FBC606F"/>
    <w:rsid w:val="6FBC73DF"/>
    <w:rsid w:val="6FBC8DC9"/>
    <w:rsid w:val="6FBD8D01"/>
    <w:rsid w:val="6FBDA880"/>
    <w:rsid w:val="6FBDB248"/>
    <w:rsid w:val="6FBE5450"/>
    <w:rsid w:val="6FC284FE"/>
    <w:rsid w:val="6FC288CF"/>
    <w:rsid w:val="6FC3E7FB"/>
    <w:rsid w:val="6FC4AF85"/>
    <w:rsid w:val="6FC51699"/>
    <w:rsid w:val="6FC58735"/>
    <w:rsid w:val="6FC6BB34"/>
    <w:rsid w:val="6FC8397A"/>
    <w:rsid w:val="6FC8E102"/>
    <w:rsid w:val="6FC8E67D"/>
    <w:rsid w:val="6FCA464D"/>
    <w:rsid w:val="6FCA7391"/>
    <w:rsid w:val="6FCAD74A"/>
    <w:rsid w:val="6FCD217E"/>
    <w:rsid w:val="6FCD4EFC"/>
    <w:rsid w:val="6FD3ACAC"/>
    <w:rsid w:val="6FD496A6"/>
    <w:rsid w:val="6FD794EA"/>
    <w:rsid w:val="6FD8C699"/>
    <w:rsid w:val="6FD9C827"/>
    <w:rsid w:val="6FDCF7E7"/>
    <w:rsid w:val="6FDE5D85"/>
    <w:rsid w:val="6FE0E244"/>
    <w:rsid w:val="6FE38E1A"/>
    <w:rsid w:val="6FE3FDE6"/>
    <w:rsid w:val="6FE5463B"/>
    <w:rsid w:val="6FE58116"/>
    <w:rsid w:val="6FE6F972"/>
    <w:rsid w:val="6FE8FB87"/>
    <w:rsid w:val="6FE905EC"/>
    <w:rsid w:val="6FE9DBAD"/>
    <w:rsid w:val="6FEEB20D"/>
    <w:rsid w:val="6FEEFDE5"/>
    <w:rsid w:val="6FEF2E57"/>
    <w:rsid w:val="6FF04445"/>
    <w:rsid w:val="6FF2434D"/>
    <w:rsid w:val="6FF2B9DA"/>
    <w:rsid w:val="6FF39078"/>
    <w:rsid w:val="6FF3DC5E"/>
    <w:rsid w:val="6FF45033"/>
    <w:rsid w:val="6FF4B992"/>
    <w:rsid w:val="6FF705CE"/>
    <w:rsid w:val="6FF75B73"/>
    <w:rsid w:val="6FF8A251"/>
    <w:rsid w:val="6FFA704E"/>
    <w:rsid w:val="6FFB60E0"/>
    <w:rsid w:val="6FFD9333"/>
    <w:rsid w:val="6FFEBDC3"/>
    <w:rsid w:val="6FFF556B"/>
    <w:rsid w:val="6FFF6F2A"/>
    <w:rsid w:val="700112C9"/>
    <w:rsid w:val="7001EBA4"/>
    <w:rsid w:val="7002AD37"/>
    <w:rsid w:val="70059B53"/>
    <w:rsid w:val="7006FF4C"/>
    <w:rsid w:val="700B4549"/>
    <w:rsid w:val="700BA922"/>
    <w:rsid w:val="700C431E"/>
    <w:rsid w:val="700C7CB6"/>
    <w:rsid w:val="700F9EF3"/>
    <w:rsid w:val="701403A4"/>
    <w:rsid w:val="7015EAF6"/>
    <w:rsid w:val="70184F11"/>
    <w:rsid w:val="701A1605"/>
    <w:rsid w:val="701AAB2B"/>
    <w:rsid w:val="701B7E79"/>
    <w:rsid w:val="701BE0F4"/>
    <w:rsid w:val="701C6B43"/>
    <w:rsid w:val="701D31C8"/>
    <w:rsid w:val="701E9786"/>
    <w:rsid w:val="701EBC97"/>
    <w:rsid w:val="701F69DD"/>
    <w:rsid w:val="70225E2A"/>
    <w:rsid w:val="7023A75B"/>
    <w:rsid w:val="70244F5E"/>
    <w:rsid w:val="7024828E"/>
    <w:rsid w:val="7024B399"/>
    <w:rsid w:val="7025E0B0"/>
    <w:rsid w:val="70264A80"/>
    <w:rsid w:val="702B4FF1"/>
    <w:rsid w:val="702D5C3A"/>
    <w:rsid w:val="702D6C35"/>
    <w:rsid w:val="702D8F51"/>
    <w:rsid w:val="70303E0D"/>
    <w:rsid w:val="7030BE85"/>
    <w:rsid w:val="70327D9F"/>
    <w:rsid w:val="70384AF1"/>
    <w:rsid w:val="7039400F"/>
    <w:rsid w:val="70394BD6"/>
    <w:rsid w:val="703B829F"/>
    <w:rsid w:val="7042FD9A"/>
    <w:rsid w:val="70430011"/>
    <w:rsid w:val="704416B8"/>
    <w:rsid w:val="70463587"/>
    <w:rsid w:val="70468C67"/>
    <w:rsid w:val="7047A2A6"/>
    <w:rsid w:val="704A5B09"/>
    <w:rsid w:val="704B52E6"/>
    <w:rsid w:val="704F14CC"/>
    <w:rsid w:val="7052912D"/>
    <w:rsid w:val="70532765"/>
    <w:rsid w:val="7054E303"/>
    <w:rsid w:val="70587B88"/>
    <w:rsid w:val="705AD980"/>
    <w:rsid w:val="705DDDFB"/>
    <w:rsid w:val="705E1936"/>
    <w:rsid w:val="705F70B9"/>
    <w:rsid w:val="7060186D"/>
    <w:rsid w:val="7060A489"/>
    <w:rsid w:val="70611A6F"/>
    <w:rsid w:val="7062632A"/>
    <w:rsid w:val="7063D3B0"/>
    <w:rsid w:val="70646DD2"/>
    <w:rsid w:val="70662564"/>
    <w:rsid w:val="7066F91D"/>
    <w:rsid w:val="70675D2F"/>
    <w:rsid w:val="70684CAB"/>
    <w:rsid w:val="7068C900"/>
    <w:rsid w:val="706AA94F"/>
    <w:rsid w:val="706AFA53"/>
    <w:rsid w:val="706B319A"/>
    <w:rsid w:val="706DAD54"/>
    <w:rsid w:val="706E62AC"/>
    <w:rsid w:val="706F8BCF"/>
    <w:rsid w:val="707086BB"/>
    <w:rsid w:val="7070B33F"/>
    <w:rsid w:val="7071C3D9"/>
    <w:rsid w:val="70730D86"/>
    <w:rsid w:val="707414BA"/>
    <w:rsid w:val="707821F8"/>
    <w:rsid w:val="7078BE09"/>
    <w:rsid w:val="707A3B86"/>
    <w:rsid w:val="707BDB6C"/>
    <w:rsid w:val="707CD994"/>
    <w:rsid w:val="708004CC"/>
    <w:rsid w:val="70810FDA"/>
    <w:rsid w:val="7082B7EF"/>
    <w:rsid w:val="7084ACB1"/>
    <w:rsid w:val="7085F967"/>
    <w:rsid w:val="708AEAD4"/>
    <w:rsid w:val="708C8C46"/>
    <w:rsid w:val="708CA80E"/>
    <w:rsid w:val="708CAFED"/>
    <w:rsid w:val="708D333E"/>
    <w:rsid w:val="709153FE"/>
    <w:rsid w:val="70936CBF"/>
    <w:rsid w:val="709389E4"/>
    <w:rsid w:val="70943B80"/>
    <w:rsid w:val="7094E1C4"/>
    <w:rsid w:val="709515CB"/>
    <w:rsid w:val="7096A731"/>
    <w:rsid w:val="70978FDC"/>
    <w:rsid w:val="7097AA54"/>
    <w:rsid w:val="70987AB2"/>
    <w:rsid w:val="709967CA"/>
    <w:rsid w:val="709C610F"/>
    <w:rsid w:val="709D45BD"/>
    <w:rsid w:val="709E35E9"/>
    <w:rsid w:val="709F6769"/>
    <w:rsid w:val="70A287B4"/>
    <w:rsid w:val="70A38B09"/>
    <w:rsid w:val="70A3C03E"/>
    <w:rsid w:val="70A3E551"/>
    <w:rsid w:val="70A3EFD2"/>
    <w:rsid w:val="70A4A5D7"/>
    <w:rsid w:val="70A7972B"/>
    <w:rsid w:val="70A86DF9"/>
    <w:rsid w:val="70A99CE2"/>
    <w:rsid w:val="70AB1439"/>
    <w:rsid w:val="70AB66C5"/>
    <w:rsid w:val="70AD8E27"/>
    <w:rsid w:val="70ADBCD7"/>
    <w:rsid w:val="70B12544"/>
    <w:rsid w:val="70B1A74F"/>
    <w:rsid w:val="70B606F6"/>
    <w:rsid w:val="70B7028C"/>
    <w:rsid w:val="70B7AFC5"/>
    <w:rsid w:val="70B7ED77"/>
    <w:rsid w:val="70B977AD"/>
    <w:rsid w:val="70BB6C47"/>
    <w:rsid w:val="70BD7151"/>
    <w:rsid w:val="70BD8130"/>
    <w:rsid w:val="70BE386F"/>
    <w:rsid w:val="70C03F35"/>
    <w:rsid w:val="70C1A38B"/>
    <w:rsid w:val="70C240DF"/>
    <w:rsid w:val="70C3EC1C"/>
    <w:rsid w:val="70C41891"/>
    <w:rsid w:val="70C4DE7E"/>
    <w:rsid w:val="70C7FA56"/>
    <w:rsid w:val="70CC119F"/>
    <w:rsid w:val="70CCC307"/>
    <w:rsid w:val="70CE17AB"/>
    <w:rsid w:val="70CE27E8"/>
    <w:rsid w:val="70CF035F"/>
    <w:rsid w:val="70CF1347"/>
    <w:rsid w:val="70CF8BE7"/>
    <w:rsid w:val="70D04319"/>
    <w:rsid w:val="70D0E986"/>
    <w:rsid w:val="70D23A55"/>
    <w:rsid w:val="70D2DCE1"/>
    <w:rsid w:val="70D4FE35"/>
    <w:rsid w:val="70D5B11A"/>
    <w:rsid w:val="70D84C1B"/>
    <w:rsid w:val="70D84FE1"/>
    <w:rsid w:val="70D9A0BE"/>
    <w:rsid w:val="70DA1450"/>
    <w:rsid w:val="70DA48EC"/>
    <w:rsid w:val="70DC36CE"/>
    <w:rsid w:val="70DC9AAB"/>
    <w:rsid w:val="70DD8943"/>
    <w:rsid w:val="70DF85BE"/>
    <w:rsid w:val="70DFA439"/>
    <w:rsid w:val="70E0A40E"/>
    <w:rsid w:val="70E1241D"/>
    <w:rsid w:val="70E1638F"/>
    <w:rsid w:val="70E1DDA7"/>
    <w:rsid w:val="70E2167B"/>
    <w:rsid w:val="70E4464A"/>
    <w:rsid w:val="70E47D81"/>
    <w:rsid w:val="70E6CD71"/>
    <w:rsid w:val="70E6E6A1"/>
    <w:rsid w:val="70E7EA2D"/>
    <w:rsid w:val="70EAD27D"/>
    <w:rsid w:val="70EB9EA6"/>
    <w:rsid w:val="70EFF39F"/>
    <w:rsid w:val="70F0D2C8"/>
    <w:rsid w:val="70F113A5"/>
    <w:rsid w:val="70F410A0"/>
    <w:rsid w:val="70F5FBB9"/>
    <w:rsid w:val="70FAAC4F"/>
    <w:rsid w:val="70FB34BA"/>
    <w:rsid w:val="70FC2649"/>
    <w:rsid w:val="70FCC1A5"/>
    <w:rsid w:val="70FFF04B"/>
    <w:rsid w:val="71007B55"/>
    <w:rsid w:val="71062C10"/>
    <w:rsid w:val="710638F0"/>
    <w:rsid w:val="71065393"/>
    <w:rsid w:val="710740AE"/>
    <w:rsid w:val="710C0360"/>
    <w:rsid w:val="710F8F95"/>
    <w:rsid w:val="710FE616"/>
    <w:rsid w:val="71109BA3"/>
    <w:rsid w:val="711463A1"/>
    <w:rsid w:val="7114CE7A"/>
    <w:rsid w:val="71155952"/>
    <w:rsid w:val="71158206"/>
    <w:rsid w:val="7115BC5E"/>
    <w:rsid w:val="71164AB9"/>
    <w:rsid w:val="71165C3B"/>
    <w:rsid w:val="71186D77"/>
    <w:rsid w:val="7119D12B"/>
    <w:rsid w:val="711C58B3"/>
    <w:rsid w:val="711D032A"/>
    <w:rsid w:val="711E9A12"/>
    <w:rsid w:val="711F7F00"/>
    <w:rsid w:val="712074CB"/>
    <w:rsid w:val="712174B2"/>
    <w:rsid w:val="71229530"/>
    <w:rsid w:val="7124A2AC"/>
    <w:rsid w:val="7125F13C"/>
    <w:rsid w:val="71266AA3"/>
    <w:rsid w:val="71285C62"/>
    <w:rsid w:val="71294B96"/>
    <w:rsid w:val="71295195"/>
    <w:rsid w:val="712A49AF"/>
    <w:rsid w:val="712B6F67"/>
    <w:rsid w:val="712C7A9B"/>
    <w:rsid w:val="712CC1ED"/>
    <w:rsid w:val="71309A4D"/>
    <w:rsid w:val="71322D6D"/>
    <w:rsid w:val="71336ED2"/>
    <w:rsid w:val="71362A91"/>
    <w:rsid w:val="713696E9"/>
    <w:rsid w:val="713B2603"/>
    <w:rsid w:val="713DF9FF"/>
    <w:rsid w:val="713E70F8"/>
    <w:rsid w:val="71416C37"/>
    <w:rsid w:val="71476659"/>
    <w:rsid w:val="714AC6C4"/>
    <w:rsid w:val="714CA479"/>
    <w:rsid w:val="714E40E7"/>
    <w:rsid w:val="714E58EA"/>
    <w:rsid w:val="714EAF46"/>
    <w:rsid w:val="714F194D"/>
    <w:rsid w:val="71502AF6"/>
    <w:rsid w:val="715A36CB"/>
    <w:rsid w:val="715E7A96"/>
    <w:rsid w:val="715F5A2A"/>
    <w:rsid w:val="7160A584"/>
    <w:rsid w:val="71611F2B"/>
    <w:rsid w:val="7161719E"/>
    <w:rsid w:val="71622DA2"/>
    <w:rsid w:val="7165C3DF"/>
    <w:rsid w:val="71672B50"/>
    <w:rsid w:val="71691F6F"/>
    <w:rsid w:val="716B28E0"/>
    <w:rsid w:val="716B9365"/>
    <w:rsid w:val="716BEC40"/>
    <w:rsid w:val="716C75EF"/>
    <w:rsid w:val="71707CF0"/>
    <w:rsid w:val="7170CC21"/>
    <w:rsid w:val="7170F4FC"/>
    <w:rsid w:val="71728EDE"/>
    <w:rsid w:val="717460FE"/>
    <w:rsid w:val="71780D6F"/>
    <w:rsid w:val="7179D9F0"/>
    <w:rsid w:val="717A8863"/>
    <w:rsid w:val="717B8385"/>
    <w:rsid w:val="717EBC8A"/>
    <w:rsid w:val="718004BF"/>
    <w:rsid w:val="71804CA7"/>
    <w:rsid w:val="71813DF4"/>
    <w:rsid w:val="7183B132"/>
    <w:rsid w:val="7184923D"/>
    <w:rsid w:val="7184CDDA"/>
    <w:rsid w:val="718A3D2B"/>
    <w:rsid w:val="718B53DE"/>
    <w:rsid w:val="718C4295"/>
    <w:rsid w:val="718D3B02"/>
    <w:rsid w:val="718E2F30"/>
    <w:rsid w:val="71906F9A"/>
    <w:rsid w:val="719139AA"/>
    <w:rsid w:val="71956199"/>
    <w:rsid w:val="719B4D8C"/>
    <w:rsid w:val="719DB2B3"/>
    <w:rsid w:val="719F1B81"/>
    <w:rsid w:val="719F3075"/>
    <w:rsid w:val="719F4473"/>
    <w:rsid w:val="719FB86E"/>
    <w:rsid w:val="71A09FCC"/>
    <w:rsid w:val="71A0BBDF"/>
    <w:rsid w:val="71A14EA8"/>
    <w:rsid w:val="71A1783C"/>
    <w:rsid w:val="71A22E5F"/>
    <w:rsid w:val="71A34440"/>
    <w:rsid w:val="71A4BD68"/>
    <w:rsid w:val="71A53F58"/>
    <w:rsid w:val="71A8041B"/>
    <w:rsid w:val="71AD1AA7"/>
    <w:rsid w:val="71AE2934"/>
    <w:rsid w:val="71AEAF39"/>
    <w:rsid w:val="71AED01A"/>
    <w:rsid w:val="71B20979"/>
    <w:rsid w:val="71B4BE6A"/>
    <w:rsid w:val="71B4D5D6"/>
    <w:rsid w:val="71B5BDA6"/>
    <w:rsid w:val="71B742E0"/>
    <w:rsid w:val="71B979A6"/>
    <w:rsid w:val="71BA3F96"/>
    <w:rsid w:val="71BA4850"/>
    <w:rsid w:val="71BB016A"/>
    <w:rsid w:val="71BB78B8"/>
    <w:rsid w:val="71BC5B5B"/>
    <w:rsid w:val="71BC5F1E"/>
    <w:rsid w:val="71BEF51D"/>
    <w:rsid w:val="71BF6159"/>
    <w:rsid w:val="71C63606"/>
    <w:rsid w:val="71C8D669"/>
    <w:rsid w:val="71CAA202"/>
    <w:rsid w:val="71CB3076"/>
    <w:rsid w:val="71CC3FAD"/>
    <w:rsid w:val="71CCAE2A"/>
    <w:rsid w:val="71CF3AE1"/>
    <w:rsid w:val="71D12AC8"/>
    <w:rsid w:val="71D12EC6"/>
    <w:rsid w:val="71D1ED1C"/>
    <w:rsid w:val="71D3DD47"/>
    <w:rsid w:val="71D3FDB7"/>
    <w:rsid w:val="71D4A765"/>
    <w:rsid w:val="71D512CE"/>
    <w:rsid w:val="71D53660"/>
    <w:rsid w:val="71D55826"/>
    <w:rsid w:val="71D970B9"/>
    <w:rsid w:val="71D9AFF5"/>
    <w:rsid w:val="71DBCEAB"/>
    <w:rsid w:val="71DC3389"/>
    <w:rsid w:val="71E17AB9"/>
    <w:rsid w:val="71E277AA"/>
    <w:rsid w:val="71E33C5C"/>
    <w:rsid w:val="71E4CDBE"/>
    <w:rsid w:val="71E57339"/>
    <w:rsid w:val="71E590DC"/>
    <w:rsid w:val="71E6E853"/>
    <w:rsid w:val="71E87579"/>
    <w:rsid w:val="71EA6D5D"/>
    <w:rsid w:val="71ECED40"/>
    <w:rsid w:val="71EDF7C9"/>
    <w:rsid w:val="71F03AB7"/>
    <w:rsid w:val="71F29289"/>
    <w:rsid w:val="71F56619"/>
    <w:rsid w:val="71F61E19"/>
    <w:rsid w:val="71F7EEF8"/>
    <w:rsid w:val="71FCD616"/>
    <w:rsid w:val="720093AE"/>
    <w:rsid w:val="72036B50"/>
    <w:rsid w:val="7207F5BD"/>
    <w:rsid w:val="72091FA7"/>
    <w:rsid w:val="72095589"/>
    <w:rsid w:val="720AB944"/>
    <w:rsid w:val="720C8023"/>
    <w:rsid w:val="720E4B19"/>
    <w:rsid w:val="72108483"/>
    <w:rsid w:val="7212B7ED"/>
    <w:rsid w:val="7218FC04"/>
    <w:rsid w:val="72198A92"/>
    <w:rsid w:val="7219C315"/>
    <w:rsid w:val="721EFD2F"/>
    <w:rsid w:val="721FFECA"/>
    <w:rsid w:val="72228F74"/>
    <w:rsid w:val="72232942"/>
    <w:rsid w:val="72232998"/>
    <w:rsid w:val="722408E4"/>
    <w:rsid w:val="722873C2"/>
    <w:rsid w:val="72292B5E"/>
    <w:rsid w:val="722CD469"/>
    <w:rsid w:val="72306122"/>
    <w:rsid w:val="7230FB1C"/>
    <w:rsid w:val="7236A397"/>
    <w:rsid w:val="723765CE"/>
    <w:rsid w:val="7237A66E"/>
    <w:rsid w:val="723853EF"/>
    <w:rsid w:val="7238F60F"/>
    <w:rsid w:val="723A84B3"/>
    <w:rsid w:val="723D99C5"/>
    <w:rsid w:val="7242B170"/>
    <w:rsid w:val="724751E4"/>
    <w:rsid w:val="7247B281"/>
    <w:rsid w:val="724A252F"/>
    <w:rsid w:val="724A4BD9"/>
    <w:rsid w:val="724A9634"/>
    <w:rsid w:val="724CBCB8"/>
    <w:rsid w:val="725173D5"/>
    <w:rsid w:val="72521213"/>
    <w:rsid w:val="7258C325"/>
    <w:rsid w:val="7259D6B4"/>
    <w:rsid w:val="725B3566"/>
    <w:rsid w:val="725DD1BC"/>
    <w:rsid w:val="725FEA1C"/>
    <w:rsid w:val="72605913"/>
    <w:rsid w:val="726162E5"/>
    <w:rsid w:val="72631AC8"/>
    <w:rsid w:val="72634A12"/>
    <w:rsid w:val="7263B616"/>
    <w:rsid w:val="72653A72"/>
    <w:rsid w:val="72669BF7"/>
    <w:rsid w:val="72671500"/>
    <w:rsid w:val="7267A5F8"/>
    <w:rsid w:val="7268C8ED"/>
    <w:rsid w:val="72692302"/>
    <w:rsid w:val="726D85EA"/>
    <w:rsid w:val="726F31A7"/>
    <w:rsid w:val="726FB80C"/>
    <w:rsid w:val="7274D5EF"/>
    <w:rsid w:val="727574CE"/>
    <w:rsid w:val="727662E9"/>
    <w:rsid w:val="7277468A"/>
    <w:rsid w:val="72789739"/>
    <w:rsid w:val="72794C4E"/>
    <w:rsid w:val="727B1F4C"/>
    <w:rsid w:val="727BD0E2"/>
    <w:rsid w:val="727FF764"/>
    <w:rsid w:val="72818D75"/>
    <w:rsid w:val="728287C2"/>
    <w:rsid w:val="7283A036"/>
    <w:rsid w:val="728447CA"/>
    <w:rsid w:val="7285AD18"/>
    <w:rsid w:val="7286DD72"/>
    <w:rsid w:val="7287DBB6"/>
    <w:rsid w:val="7287DE32"/>
    <w:rsid w:val="72894554"/>
    <w:rsid w:val="7289F20A"/>
    <w:rsid w:val="728A6AD0"/>
    <w:rsid w:val="728C899A"/>
    <w:rsid w:val="72917696"/>
    <w:rsid w:val="72921DB8"/>
    <w:rsid w:val="7292E757"/>
    <w:rsid w:val="72932DE0"/>
    <w:rsid w:val="729336EE"/>
    <w:rsid w:val="7295CE31"/>
    <w:rsid w:val="72963B67"/>
    <w:rsid w:val="7297E4AD"/>
    <w:rsid w:val="729914F2"/>
    <w:rsid w:val="72996AAB"/>
    <w:rsid w:val="729B16B3"/>
    <w:rsid w:val="729BE033"/>
    <w:rsid w:val="729CBAE3"/>
    <w:rsid w:val="729D0098"/>
    <w:rsid w:val="72A081A5"/>
    <w:rsid w:val="72A245A5"/>
    <w:rsid w:val="72A4E8FF"/>
    <w:rsid w:val="72A53DCD"/>
    <w:rsid w:val="72A556A2"/>
    <w:rsid w:val="72AB62AD"/>
    <w:rsid w:val="72AC3188"/>
    <w:rsid w:val="72ADEB48"/>
    <w:rsid w:val="72B29808"/>
    <w:rsid w:val="72B32D30"/>
    <w:rsid w:val="72B50D64"/>
    <w:rsid w:val="72B7EF53"/>
    <w:rsid w:val="72B9512C"/>
    <w:rsid w:val="72BB24A8"/>
    <w:rsid w:val="72BFEE61"/>
    <w:rsid w:val="72C2F48D"/>
    <w:rsid w:val="72C757E0"/>
    <w:rsid w:val="72C77DDD"/>
    <w:rsid w:val="72C8493A"/>
    <w:rsid w:val="72C8F82A"/>
    <w:rsid w:val="72C980F4"/>
    <w:rsid w:val="72CA3939"/>
    <w:rsid w:val="72CB5E30"/>
    <w:rsid w:val="72CE1B3B"/>
    <w:rsid w:val="72CF53AB"/>
    <w:rsid w:val="72D8A734"/>
    <w:rsid w:val="72DA5B61"/>
    <w:rsid w:val="72DC8E00"/>
    <w:rsid w:val="72DE0644"/>
    <w:rsid w:val="72E06D27"/>
    <w:rsid w:val="72E0EEFC"/>
    <w:rsid w:val="72E21DE6"/>
    <w:rsid w:val="72E240DD"/>
    <w:rsid w:val="72E41D69"/>
    <w:rsid w:val="72E428F8"/>
    <w:rsid w:val="72E4D818"/>
    <w:rsid w:val="72E5DAD3"/>
    <w:rsid w:val="72E79592"/>
    <w:rsid w:val="72E7E169"/>
    <w:rsid w:val="72E919E2"/>
    <w:rsid w:val="72E9EFF4"/>
    <w:rsid w:val="72EA7FA7"/>
    <w:rsid w:val="72EB2B72"/>
    <w:rsid w:val="72EB5602"/>
    <w:rsid w:val="72EC0C5D"/>
    <w:rsid w:val="72EC7346"/>
    <w:rsid w:val="72ECEBD8"/>
    <w:rsid w:val="72EDAE08"/>
    <w:rsid w:val="72EEADA8"/>
    <w:rsid w:val="72EF8737"/>
    <w:rsid w:val="72F45402"/>
    <w:rsid w:val="72F49CE7"/>
    <w:rsid w:val="72F62EEE"/>
    <w:rsid w:val="72F6F5EA"/>
    <w:rsid w:val="72F73BF2"/>
    <w:rsid w:val="72FAFC76"/>
    <w:rsid w:val="72FDB70B"/>
    <w:rsid w:val="72FDB83C"/>
    <w:rsid w:val="72FDDA2E"/>
    <w:rsid w:val="7302FF26"/>
    <w:rsid w:val="7303302D"/>
    <w:rsid w:val="7303C137"/>
    <w:rsid w:val="730498F1"/>
    <w:rsid w:val="7305A3D7"/>
    <w:rsid w:val="73066250"/>
    <w:rsid w:val="7308F7FD"/>
    <w:rsid w:val="7308F8C1"/>
    <w:rsid w:val="73093030"/>
    <w:rsid w:val="7309AC5B"/>
    <w:rsid w:val="7309CB46"/>
    <w:rsid w:val="730ADD3A"/>
    <w:rsid w:val="730AF192"/>
    <w:rsid w:val="730B1DE9"/>
    <w:rsid w:val="730B3300"/>
    <w:rsid w:val="730B8CBA"/>
    <w:rsid w:val="730B9ACA"/>
    <w:rsid w:val="7311369D"/>
    <w:rsid w:val="73120AB2"/>
    <w:rsid w:val="73146E41"/>
    <w:rsid w:val="7315620B"/>
    <w:rsid w:val="7316AF4C"/>
    <w:rsid w:val="7317C38F"/>
    <w:rsid w:val="7319F012"/>
    <w:rsid w:val="731BBE55"/>
    <w:rsid w:val="731D92B7"/>
    <w:rsid w:val="731EFE4F"/>
    <w:rsid w:val="732124F9"/>
    <w:rsid w:val="73218D2B"/>
    <w:rsid w:val="73252510"/>
    <w:rsid w:val="7325DD55"/>
    <w:rsid w:val="732732B9"/>
    <w:rsid w:val="73274010"/>
    <w:rsid w:val="7327AE68"/>
    <w:rsid w:val="73282667"/>
    <w:rsid w:val="7329077A"/>
    <w:rsid w:val="732B6D0E"/>
    <w:rsid w:val="732C36A4"/>
    <w:rsid w:val="732E90CA"/>
    <w:rsid w:val="732EE31A"/>
    <w:rsid w:val="732FA495"/>
    <w:rsid w:val="7332600A"/>
    <w:rsid w:val="733412E0"/>
    <w:rsid w:val="73342A7B"/>
    <w:rsid w:val="7335AC42"/>
    <w:rsid w:val="73364687"/>
    <w:rsid w:val="73386C52"/>
    <w:rsid w:val="733AAB62"/>
    <w:rsid w:val="733BCBA4"/>
    <w:rsid w:val="7340E408"/>
    <w:rsid w:val="73415837"/>
    <w:rsid w:val="7341D165"/>
    <w:rsid w:val="73443DF6"/>
    <w:rsid w:val="7345560A"/>
    <w:rsid w:val="73455F69"/>
    <w:rsid w:val="734B7D7E"/>
    <w:rsid w:val="734E7B3C"/>
    <w:rsid w:val="734EFCF0"/>
    <w:rsid w:val="734FBFD0"/>
    <w:rsid w:val="734FD922"/>
    <w:rsid w:val="73527470"/>
    <w:rsid w:val="7355D61E"/>
    <w:rsid w:val="7355FF1E"/>
    <w:rsid w:val="735C2979"/>
    <w:rsid w:val="735D34A9"/>
    <w:rsid w:val="735E8EED"/>
    <w:rsid w:val="735ECF6B"/>
    <w:rsid w:val="735F9EAC"/>
    <w:rsid w:val="735FD345"/>
    <w:rsid w:val="73646C87"/>
    <w:rsid w:val="73648C00"/>
    <w:rsid w:val="7364BB29"/>
    <w:rsid w:val="7368E9C8"/>
    <w:rsid w:val="7368F477"/>
    <w:rsid w:val="736ADB8C"/>
    <w:rsid w:val="736D9BC9"/>
    <w:rsid w:val="7371FA18"/>
    <w:rsid w:val="73730B22"/>
    <w:rsid w:val="73751765"/>
    <w:rsid w:val="73780DAD"/>
    <w:rsid w:val="7378FDB6"/>
    <w:rsid w:val="73791B14"/>
    <w:rsid w:val="737C4322"/>
    <w:rsid w:val="737D30BC"/>
    <w:rsid w:val="738031F5"/>
    <w:rsid w:val="73819962"/>
    <w:rsid w:val="7381FC29"/>
    <w:rsid w:val="7383BA1A"/>
    <w:rsid w:val="7383EE80"/>
    <w:rsid w:val="73880A33"/>
    <w:rsid w:val="738B4A94"/>
    <w:rsid w:val="738C26E6"/>
    <w:rsid w:val="738DE684"/>
    <w:rsid w:val="7394B341"/>
    <w:rsid w:val="7395C41D"/>
    <w:rsid w:val="7396F681"/>
    <w:rsid w:val="73998216"/>
    <w:rsid w:val="739C4877"/>
    <w:rsid w:val="739D1286"/>
    <w:rsid w:val="739FC413"/>
    <w:rsid w:val="73A0258B"/>
    <w:rsid w:val="73A2B267"/>
    <w:rsid w:val="73A3C2D9"/>
    <w:rsid w:val="73A44A68"/>
    <w:rsid w:val="73A61F0F"/>
    <w:rsid w:val="73A773B3"/>
    <w:rsid w:val="73A84635"/>
    <w:rsid w:val="73AE570D"/>
    <w:rsid w:val="73AF39E7"/>
    <w:rsid w:val="73AF60D4"/>
    <w:rsid w:val="73B1850E"/>
    <w:rsid w:val="73B2C8A6"/>
    <w:rsid w:val="73B82D93"/>
    <w:rsid w:val="73B84A67"/>
    <w:rsid w:val="73B861C9"/>
    <w:rsid w:val="73B865FE"/>
    <w:rsid w:val="73BD8146"/>
    <w:rsid w:val="73BE563B"/>
    <w:rsid w:val="73BEEE0C"/>
    <w:rsid w:val="73BF1F3C"/>
    <w:rsid w:val="73C23E15"/>
    <w:rsid w:val="73C3346D"/>
    <w:rsid w:val="73C66600"/>
    <w:rsid w:val="73C7A712"/>
    <w:rsid w:val="73C87243"/>
    <w:rsid w:val="73CB0E22"/>
    <w:rsid w:val="73CB3E22"/>
    <w:rsid w:val="73CC9EA6"/>
    <w:rsid w:val="73CDA327"/>
    <w:rsid w:val="73D4DC4E"/>
    <w:rsid w:val="73D610C6"/>
    <w:rsid w:val="73D674FA"/>
    <w:rsid w:val="73D6C118"/>
    <w:rsid w:val="73D6D10F"/>
    <w:rsid w:val="73D9C892"/>
    <w:rsid w:val="73DBABD7"/>
    <w:rsid w:val="73DF5B64"/>
    <w:rsid w:val="73DFDCAC"/>
    <w:rsid w:val="73E07591"/>
    <w:rsid w:val="73E15C9B"/>
    <w:rsid w:val="73E1FF95"/>
    <w:rsid w:val="73E28E7A"/>
    <w:rsid w:val="73E34F63"/>
    <w:rsid w:val="73E4AF9F"/>
    <w:rsid w:val="73E4C4B5"/>
    <w:rsid w:val="73E52EE8"/>
    <w:rsid w:val="73E56D32"/>
    <w:rsid w:val="73E86746"/>
    <w:rsid w:val="73E9A571"/>
    <w:rsid w:val="73EA120E"/>
    <w:rsid w:val="73EFF145"/>
    <w:rsid w:val="73F23041"/>
    <w:rsid w:val="73F3805D"/>
    <w:rsid w:val="73F6B293"/>
    <w:rsid w:val="73F73FDA"/>
    <w:rsid w:val="73F75DE2"/>
    <w:rsid w:val="73F816B1"/>
    <w:rsid w:val="73FA741A"/>
    <w:rsid w:val="73FC3FAB"/>
    <w:rsid w:val="73FD18C2"/>
    <w:rsid w:val="73FE4DC0"/>
    <w:rsid w:val="73FE915D"/>
    <w:rsid w:val="7402B3FD"/>
    <w:rsid w:val="7403FFDC"/>
    <w:rsid w:val="74077613"/>
    <w:rsid w:val="740B3DC1"/>
    <w:rsid w:val="740C5057"/>
    <w:rsid w:val="740E52FA"/>
    <w:rsid w:val="740F5322"/>
    <w:rsid w:val="74103EF2"/>
    <w:rsid w:val="741110A7"/>
    <w:rsid w:val="741155C2"/>
    <w:rsid w:val="74122DD5"/>
    <w:rsid w:val="7412841F"/>
    <w:rsid w:val="74137BD3"/>
    <w:rsid w:val="74158D28"/>
    <w:rsid w:val="7417CFC8"/>
    <w:rsid w:val="7418D87D"/>
    <w:rsid w:val="7419BE7D"/>
    <w:rsid w:val="741A1EA2"/>
    <w:rsid w:val="741A4C59"/>
    <w:rsid w:val="741BD794"/>
    <w:rsid w:val="741E5DC1"/>
    <w:rsid w:val="741F84EE"/>
    <w:rsid w:val="742120E2"/>
    <w:rsid w:val="74216EC4"/>
    <w:rsid w:val="7422698E"/>
    <w:rsid w:val="7422BB6A"/>
    <w:rsid w:val="742340AC"/>
    <w:rsid w:val="74252D74"/>
    <w:rsid w:val="7426D04A"/>
    <w:rsid w:val="74288E61"/>
    <w:rsid w:val="7428FE74"/>
    <w:rsid w:val="742939A9"/>
    <w:rsid w:val="742DC460"/>
    <w:rsid w:val="742E436F"/>
    <w:rsid w:val="7430E240"/>
    <w:rsid w:val="743228E9"/>
    <w:rsid w:val="7432A0F2"/>
    <w:rsid w:val="7432D643"/>
    <w:rsid w:val="74336BF4"/>
    <w:rsid w:val="7434D272"/>
    <w:rsid w:val="74380046"/>
    <w:rsid w:val="74384405"/>
    <w:rsid w:val="74385D30"/>
    <w:rsid w:val="743BC6C6"/>
    <w:rsid w:val="7442C8E5"/>
    <w:rsid w:val="74433608"/>
    <w:rsid w:val="7444D301"/>
    <w:rsid w:val="744534EC"/>
    <w:rsid w:val="74461335"/>
    <w:rsid w:val="7446AA5F"/>
    <w:rsid w:val="744D3B8A"/>
    <w:rsid w:val="744DCA94"/>
    <w:rsid w:val="744F7E48"/>
    <w:rsid w:val="744FA763"/>
    <w:rsid w:val="7450FDC6"/>
    <w:rsid w:val="745194AD"/>
    <w:rsid w:val="74524776"/>
    <w:rsid w:val="7455EEDA"/>
    <w:rsid w:val="7456A276"/>
    <w:rsid w:val="74575C5F"/>
    <w:rsid w:val="74579A8A"/>
    <w:rsid w:val="7458079B"/>
    <w:rsid w:val="74596749"/>
    <w:rsid w:val="745B0414"/>
    <w:rsid w:val="745BB59A"/>
    <w:rsid w:val="745D608A"/>
    <w:rsid w:val="745E2F50"/>
    <w:rsid w:val="745EF8C3"/>
    <w:rsid w:val="745FD1AF"/>
    <w:rsid w:val="74604AA4"/>
    <w:rsid w:val="7460E24E"/>
    <w:rsid w:val="74618F1D"/>
    <w:rsid w:val="74622A55"/>
    <w:rsid w:val="74658BA2"/>
    <w:rsid w:val="74660606"/>
    <w:rsid w:val="746613C3"/>
    <w:rsid w:val="7466DFF5"/>
    <w:rsid w:val="7467C7F5"/>
    <w:rsid w:val="7467DED9"/>
    <w:rsid w:val="7468CECF"/>
    <w:rsid w:val="746BA23A"/>
    <w:rsid w:val="746C0BBA"/>
    <w:rsid w:val="746C2F26"/>
    <w:rsid w:val="746D22BC"/>
    <w:rsid w:val="746E03ED"/>
    <w:rsid w:val="746E350F"/>
    <w:rsid w:val="746F3006"/>
    <w:rsid w:val="7472FDC7"/>
    <w:rsid w:val="7474C933"/>
    <w:rsid w:val="7478AC5E"/>
    <w:rsid w:val="747DE825"/>
    <w:rsid w:val="747E44B2"/>
    <w:rsid w:val="747E50A6"/>
    <w:rsid w:val="748011AC"/>
    <w:rsid w:val="7480568C"/>
    <w:rsid w:val="74827DCE"/>
    <w:rsid w:val="7484276D"/>
    <w:rsid w:val="7484A92A"/>
    <w:rsid w:val="7484C34C"/>
    <w:rsid w:val="74868B4F"/>
    <w:rsid w:val="7486F3B0"/>
    <w:rsid w:val="7489F87C"/>
    <w:rsid w:val="748A0130"/>
    <w:rsid w:val="748A1A6E"/>
    <w:rsid w:val="748A2B63"/>
    <w:rsid w:val="748C2671"/>
    <w:rsid w:val="7491573B"/>
    <w:rsid w:val="74937E9D"/>
    <w:rsid w:val="74942A22"/>
    <w:rsid w:val="7496334C"/>
    <w:rsid w:val="749715F0"/>
    <w:rsid w:val="749851A8"/>
    <w:rsid w:val="74999680"/>
    <w:rsid w:val="749B8521"/>
    <w:rsid w:val="749CBBB7"/>
    <w:rsid w:val="749D27EA"/>
    <w:rsid w:val="749EE45E"/>
    <w:rsid w:val="749EF6A1"/>
    <w:rsid w:val="749EFF61"/>
    <w:rsid w:val="74A1C4FD"/>
    <w:rsid w:val="74A2F852"/>
    <w:rsid w:val="74A34B02"/>
    <w:rsid w:val="74A44206"/>
    <w:rsid w:val="74A49427"/>
    <w:rsid w:val="74AA5421"/>
    <w:rsid w:val="74ACC7F9"/>
    <w:rsid w:val="74B2C8E9"/>
    <w:rsid w:val="74B37AFB"/>
    <w:rsid w:val="74B59D8E"/>
    <w:rsid w:val="74B602F9"/>
    <w:rsid w:val="74B80AF0"/>
    <w:rsid w:val="74BD09DB"/>
    <w:rsid w:val="74BE1630"/>
    <w:rsid w:val="74BED4F6"/>
    <w:rsid w:val="74BF6E37"/>
    <w:rsid w:val="74BFFE72"/>
    <w:rsid w:val="74C2565C"/>
    <w:rsid w:val="74C3A331"/>
    <w:rsid w:val="74CAEF03"/>
    <w:rsid w:val="74CE5493"/>
    <w:rsid w:val="74D02A79"/>
    <w:rsid w:val="74D0D4AC"/>
    <w:rsid w:val="74D278CB"/>
    <w:rsid w:val="74D362E7"/>
    <w:rsid w:val="74D3B726"/>
    <w:rsid w:val="74D4935D"/>
    <w:rsid w:val="74D65981"/>
    <w:rsid w:val="74D724B8"/>
    <w:rsid w:val="74D743A8"/>
    <w:rsid w:val="74D7B693"/>
    <w:rsid w:val="74DBE3F0"/>
    <w:rsid w:val="74DE9B40"/>
    <w:rsid w:val="74E2E825"/>
    <w:rsid w:val="74E31734"/>
    <w:rsid w:val="74E353FB"/>
    <w:rsid w:val="74E4274E"/>
    <w:rsid w:val="74E668C8"/>
    <w:rsid w:val="74E6FE9E"/>
    <w:rsid w:val="74E72A68"/>
    <w:rsid w:val="74E84B09"/>
    <w:rsid w:val="74E9F915"/>
    <w:rsid w:val="74EA8FFA"/>
    <w:rsid w:val="74EAE5CE"/>
    <w:rsid w:val="74EC1B9E"/>
    <w:rsid w:val="74ECDAF0"/>
    <w:rsid w:val="74ED3C47"/>
    <w:rsid w:val="74ED684A"/>
    <w:rsid w:val="74EEBB32"/>
    <w:rsid w:val="74EF05DD"/>
    <w:rsid w:val="74EF3B3A"/>
    <w:rsid w:val="74F0CA5D"/>
    <w:rsid w:val="74F0F658"/>
    <w:rsid w:val="74F4D040"/>
    <w:rsid w:val="74F61296"/>
    <w:rsid w:val="74F71F33"/>
    <w:rsid w:val="74F86BDA"/>
    <w:rsid w:val="74F8C434"/>
    <w:rsid w:val="74F9983B"/>
    <w:rsid w:val="74FAD0DF"/>
    <w:rsid w:val="74FE0A5B"/>
    <w:rsid w:val="74FE912A"/>
    <w:rsid w:val="7501BE20"/>
    <w:rsid w:val="75024F4A"/>
    <w:rsid w:val="7504FFDC"/>
    <w:rsid w:val="750620B1"/>
    <w:rsid w:val="750784E1"/>
    <w:rsid w:val="750833D6"/>
    <w:rsid w:val="75098E6B"/>
    <w:rsid w:val="750A01B8"/>
    <w:rsid w:val="750DD948"/>
    <w:rsid w:val="750E0A2C"/>
    <w:rsid w:val="751036E0"/>
    <w:rsid w:val="75110A76"/>
    <w:rsid w:val="75111E7D"/>
    <w:rsid w:val="75123B66"/>
    <w:rsid w:val="751336F9"/>
    <w:rsid w:val="75134114"/>
    <w:rsid w:val="75145650"/>
    <w:rsid w:val="7514A7AB"/>
    <w:rsid w:val="751C44FE"/>
    <w:rsid w:val="751EE96F"/>
    <w:rsid w:val="75211461"/>
    <w:rsid w:val="752329DA"/>
    <w:rsid w:val="7523E15F"/>
    <w:rsid w:val="7524B7BD"/>
    <w:rsid w:val="7524CCDE"/>
    <w:rsid w:val="752B1214"/>
    <w:rsid w:val="752C6AAA"/>
    <w:rsid w:val="752EF991"/>
    <w:rsid w:val="7530BA74"/>
    <w:rsid w:val="7530FE86"/>
    <w:rsid w:val="75337C78"/>
    <w:rsid w:val="7536EEA4"/>
    <w:rsid w:val="75374110"/>
    <w:rsid w:val="75386FC7"/>
    <w:rsid w:val="75397D79"/>
    <w:rsid w:val="753ADB0E"/>
    <w:rsid w:val="753D84B4"/>
    <w:rsid w:val="753EAF35"/>
    <w:rsid w:val="75440EC4"/>
    <w:rsid w:val="75456B59"/>
    <w:rsid w:val="7548C8D1"/>
    <w:rsid w:val="754B42CE"/>
    <w:rsid w:val="754CB32F"/>
    <w:rsid w:val="754D2D97"/>
    <w:rsid w:val="754DBF9C"/>
    <w:rsid w:val="754E15A3"/>
    <w:rsid w:val="754F1146"/>
    <w:rsid w:val="7550162E"/>
    <w:rsid w:val="755088C7"/>
    <w:rsid w:val="7550DD12"/>
    <w:rsid w:val="755411A5"/>
    <w:rsid w:val="75579028"/>
    <w:rsid w:val="75581A24"/>
    <w:rsid w:val="755870AD"/>
    <w:rsid w:val="755943C4"/>
    <w:rsid w:val="755BF5E1"/>
    <w:rsid w:val="755D034F"/>
    <w:rsid w:val="755DA4B2"/>
    <w:rsid w:val="755E34B4"/>
    <w:rsid w:val="755E7DAA"/>
    <w:rsid w:val="7565395B"/>
    <w:rsid w:val="75673263"/>
    <w:rsid w:val="756BD84B"/>
    <w:rsid w:val="756C897F"/>
    <w:rsid w:val="756E63AB"/>
    <w:rsid w:val="7570FCB2"/>
    <w:rsid w:val="757274B6"/>
    <w:rsid w:val="75785478"/>
    <w:rsid w:val="757AB6A3"/>
    <w:rsid w:val="757B1742"/>
    <w:rsid w:val="757C3580"/>
    <w:rsid w:val="757E4622"/>
    <w:rsid w:val="757EA7CC"/>
    <w:rsid w:val="757EAE43"/>
    <w:rsid w:val="758119DD"/>
    <w:rsid w:val="7581F577"/>
    <w:rsid w:val="758423EE"/>
    <w:rsid w:val="7586992F"/>
    <w:rsid w:val="75883F54"/>
    <w:rsid w:val="7588837D"/>
    <w:rsid w:val="7588CC96"/>
    <w:rsid w:val="7589624F"/>
    <w:rsid w:val="758B8136"/>
    <w:rsid w:val="758BAED9"/>
    <w:rsid w:val="758BC36C"/>
    <w:rsid w:val="758E2840"/>
    <w:rsid w:val="758EFE04"/>
    <w:rsid w:val="75924C89"/>
    <w:rsid w:val="7594F70A"/>
    <w:rsid w:val="7595C548"/>
    <w:rsid w:val="75996F13"/>
    <w:rsid w:val="759CADC8"/>
    <w:rsid w:val="759D2846"/>
    <w:rsid w:val="759F6C7F"/>
    <w:rsid w:val="759FA482"/>
    <w:rsid w:val="75A07686"/>
    <w:rsid w:val="75A33BB1"/>
    <w:rsid w:val="75A64180"/>
    <w:rsid w:val="75A8A199"/>
    <w:rsid w:val="75AA753E"/>
    <w:rsid w:val="75AB1BC7"/>
    <w:rsid w:val="75AB6440"/>
    <w:rsid w:val="75AD73F0"/>
    <w:rsid w:val="75AD77FF"/>
    <w:rsid w:val="75AED51F"/>
    <w:rsid w:val="75AF5F54"/>
    <w:rsid w:val="75B461D9"/>
    <w:rsid w:val="75B5A58C"/>
    <w:rsid w:val="75B6D0FC"/>
    <w:rsid w:val="75B6E150"/>
    <w:rsid w:val="75B793C8"/>
    <w:rsid w:val="75BAFE29"/>
    <w:rsid w:val="75BC729E"/>
    <w:rsid w:val="75BE83AC"/>
    <w:rsid w:val="75BFC912"/>
    <w:rsid w:val="75C3A863"/>
    <w:rsid w:val="75C4FC72"/>
    <w:rsid w:val="75C5AF79"/>
    <w:rsid w:val="75C7623C"/>
    <w:rsid w:val="75C7BE3C"/>
    <w:rsid w:val="75C915F1"/>
    <w:rsid w:val="75CBE1B4"/>
    <w:rsid w:val="75CDDF54"/>
    <w:rsid w:val="75D5DF34"/>
    <w:rsid w:val="75D83ADE"/>
    <w:rsid w:val="75D92ACD"/>
    <w:rsid w:val="75D98E0F"/>
    <w:rsid w:val="75E06F14"/>
    <w:rsid w:val="75E27AAC"/>
    <w:rsid w:val="75E2B5FC"/>
    <w:rsid w:val="75E5DB9D"/>
    <w:rsid w:val="75E76442"/>
    <w:rsid w:val="75E79E34"/>
    <w:rsid w:val="75E8CB68"/>
    <w:rsid w:val="75EA954B"/>
    <w:rsid w:val="75EC159E"/>
    <w:rsid w:val="75EDBA3E"/>
    <w:rsid w:val="75EE3D93"/>
    <w:rsid w:val="75EF8845"/>
    <w:rsid w:val="75F1B5CB"/>
    <w:rsid w:val="75F1C86D"/>
    <w:rsid w:val="75F54473"/>
    <w:rsid w:val="75F6ACD2"/>
    <w:rsid w:val="75F7381D"/>
    <w:rsid w:val="75FEC2B2"/>
    <w:rsid w:val="7601EA88"/>
    <w:rsid w:val="7604A1CF"/>
    <w:rsid w:val="7606261A"/>
    <w:rsid w:val="7606746F"/>
    <w:rsid w:val="7607250A"/>
    <w:rsid w:val="76077AAC"/>
    <w:rsid w:val="7607BD4B"/>
    <w:rsid w:val="7608514F"/>
    <w:rsid w:val="760882FA"/>
    <w:rsid w:val="760E2EF5"/>
    <w:rsid w:val="7611B3A1"/>
    <w:rsid w:val="7611D402"/>
    <w:rsid w:val="7614129F"/>
    <w:rsid w:val="7614A563"/>
    <w:rsid w:val="761763B8"/>
    <w:rsid w:val="76188E00"/>
    <w:rsid w:val="76189DF0"/>
    <w:rsid w:val="761B4A6F"/>
    <w:rsid w:val="761B9C93"/>
    <w:rsid w:val="761C8939"/>
    <w:rsid w:val="761D10D7"/>
    <w:rsid w:val="761F3D43"/>
    <w:rsid w:val="762219D2"/>
    <w:rsid w:val="7622DFDD"/>
    <w:rsid w:val="7622EA40"/>
    <w:rsid w:val="76270AC0"/>
    <w:rsid w:val="7628F970"/>
    <w:rsid w:val="762CC202"/>
    <w:rsid w:val="762CEEA9"/>
    <w:rsid w:val="762F279F"/>
    <w:rsid w:val="762F3178"/>
    <w:rsid w:val="762FE891"/>
    <w:rsid w:val="7633AF37"/>
    <w:rsid w:val="763400BA"/>
    <w:rsid w:val="763638C2"/>
    <w:rsid w:val="7638ADB0"/>
    <w:rsid w:val="763A3312"/>
    <w:rsid w:val="763C42B1"/>
    <w:rsid w:val="763CD36E"/>
    <w:rsid w:val="763E8600"/>
    <w:rsid w:val="763F4FF6"/>
    <w:rsid w:val="763FE847"/>
    <w:rsid w:val="7644F41C"/>
    <w:rsid w:val="7645880A"/>
    <w:rsid w:val="7645F161"/>
    <w:rsid w:val="76475590"/>
    <w:rsid w:val="764865B8"/>
    <w:rsid w:val="7648F637"/>
    <w:rsid w:val="764A608B"/>
    <w:rsid w:val="764C4CE6"/>
    <w:rsid w:val="764CBF8B"/>
    <w:rsid w:val="764F6142"/>
    <w:rsid w:val="764FA262"/>
    <w:rsid w:val="764FB340"/>
    <w:rsid w:val="76561B1C"/>
    <w:rsid w:val="76571C18"/>
    <w:rsid w:val="76577160"/>
    <w:rsid w:val="765C82B0"/>
    <w:rsid w:val="765CDAC9"/>
    <w:rsid w:val="765E1720"/>
    <w:rsid w:val="765FB142"/>
    <w:rsid w:val="76616125"/>
    <w:rsid w:val="76717059"/>
    <w:rsid w:val="7672226F"/>
    <w:rsid w:val="7672B596"/>
    <w:rsid w:val="7672DB12"/>
    <w:rsid w:val="76730F21"/>
    <w:rsid w:val="7676A3B7"/>
    <w:rsid w:val="7676A65D"/>
    <w:rsid w:val="767700EF"/>
    <w:rsid w:val="7677C8B9"/>
    <w:rsid w:val="76784C81"/>
    <w:rsid w:val="76788923"/>
    <w:rsid w:val="767E4AF5"/>
    <w:rsid w:val="767F652D"/>
    <w:rsid w:val="76806480"/>
    <w:rsid w:val="76827628"/>
    <w:rsid w:val="768A4333"/>
    <w:rsid w:val="768B2CA0"/>
    <w:rsid w:val="768CA624"/>
    <w:rsid w:val="768F0E39"/>
    <w:rsid w:val="768F6F77"/>
    <w:rsid w:val="76921DEF"/>
    <w:rsid w:val="76952B4E"/>
    <w:rsid w:val="7696B797"/>
    <w:rsid w:val="769A86EC"/>
    <w:rsid w:val="769A95C5"/>
    <w:rsid w:val="769B0222"/>
    <w:rsid w:val="769EFD30"/>
    <w:rsid w:val="769F0508"/>
    <w:rsid w:val="769F1624"/>
    <w:rsid w:val="769F4661"/>
    <w:rsid w:val="769F9965"/>
    <w:rsid w:val="76A1F728"/>
    <w:rsid w:val="76A266E5"/>
    <w:rsid w:val="76A3ACAC"/>
    <w:rsid w:val="76A42011"/>
    <w:rsid w:val="76A47832"/>
    <w:rsid w:val="76A711FF"/>
    <w:rsid w:val="76AC2C5D"/>
    <w:rsid w:val="76AEE04F"/>
    <w:rsid w:val="76B10786"/>
    <w:rsid w:val="76B2D725"/>
    <w:rsid w:val="76B394C6"/>
    <w:rsid w:val="76B4CD00"/>
    <w:rsid w:val="76B55DA6"/>
    <w:rsid w:val="76B7E24D"/>
    <w:rsid w:val="76BAE259"/>
    <w:rsid w:val="76BCF15D"/>
    <w:rsid w:val="76BD613E"/>
    <w:rsid w:val="76C37797"/>
    <w:rsid w:val="76C44043"/>
    <w:rsid w:val="76C4A08F"/>
    <w:rsid w:val="76CBC6B7"/>
    <w:rsid w:val="76CBF15E"/>
    <w:rsid w:val="76CD38E8"/>
    <w:rsid w:val="76CFD89A"/>
    <w:rsid w:val="76D0AC44"/>
    <w:rsid w:val="76D53248"/>
    <w:rsid w:val="76D77D2C"/>
    <w:rsid w:val="76D77FD4"/>
    <w:rsid w:val="76D89D89"/>
    <w:rsid w:val="76D91380"/>
    <w:rsid w:val="76D94A26"/>
    <w:rsid w:val="76DC959C"/>
    <w:rsid w:val="76E04386"/>
    <w:rsid w:val="76E1C06C"/>
    <w:rsid w:val="76E4FB9A"/>
    <w:rsid w:val="76E8E6E3"/>
    <w:rsid w:val="76E98FFD"/>
    <w:rsid w:val="76E9F8FF"/>
    <w:rsid w:val="76ED55C7"/>
    <w:rsid w:val="76EE94AE"/>
    <w:rsid w:val="76F0B7C0"/>
    <w:rsid w:val="76F166EC"/>
    <w:rsid w:val="76F48984"/>
    <w:rsid w:val="76F4B7DC"/>
    <w:rsid w:val="76F519A6"/>
    <w:rsid w:val="76F55881"/>
    <w:rsid w:val="76F5686B"/>
    <w:rsid w:val="76F73E3B"/>
    <w:rsid w:val="76F931C3"/>
    <w:rsid w:val="76FA2791"/>
    <w:rsid w:val="76FBF260"/>
    <w:rsid w:val="76FCDFFC"/>
    <w:rsid w:val="76FD2798"/>
    <w:rsid w:val="77007E63"/>
    <w:rsid w:val="7703AC98"/>
    <w:rsid w:val="7704574F"/>
    <w:rsid w:val="7704C4CC"/>
    <w:rsid w:val="770A046C"/>
    <w:rsid w:val="770D0E3C"/>
    <w:rsid w:val="770F05BA"/>
    <w:rsid w:val="770F2B00"/>
    <w:rsid w:val="770FC0DD"/>
    <w:rsid w:val="7711FD06"/>
    <w:rsid w:val="7712404D"/>
    <w:rsid w:val="7714759B"/>
    <w:rsid w:val="7714BDAB"/>
    <w:rsid w:val="77180BF9"/>
    <w:rsid w:val="7719C428"/>
    <w:rsid w:val="771AB40B"/>
    <w:rsid w:val="771AEE07"/>
    <w:rsid w:val="771BA28A"/>
    <w:rsid w:val="771CA20A"/>
    <w:rsid w:val="771DB734"/>
    <w:rsid w:val="771DC5D8"/>
    <w:rsid w:val="771E4C2B"/>
    <w:rsid w:val="771EFB5A"/>
    <w:rsid w:val="772029AF"/>
    <w:rsid w:val="77205C8F"/>
    <w:rsid w:val="7722B13E"/>
    <w:rsid w:val="77261519"/>
    <w:rsid w:val="77270991"/>
    <w:rsid w:val="77294F64"/>
    <w:rsid w:val="772AAF40"/>
    <w:rsid w:val="772C7625"/>
    <w:rsid w:val="77305899"/>
    <w:rsid w:val="7731DF40"/>
    <w:rsid w:val="7736B288"/>
    <w:rsid w:val="77397784"/>
    <w:rsid w:val="773C84AD"/>
    <w:rsid w:val="7742E25B"/>
    <w:rsid w:val="77441977"/>
    <w:rsid w:val="77452040"/>
    <w:rsid w:val="7747DA07"/>
    <w:rsid w:val="77486CDC"/>
    <w:rsid w:val="774984F0"/>
    <w:rsid w:val="774999D1"/>
    <w:rsid w:val="7749A553"/>
    <w:rsid w:val="7749C04E"/>
    <w:rsid w:val="774A4273"/>
    <w:rsid w:val="774B6D37"/>
    <w:rsid w:val="774D7161"/>
    <w:rsid w:val="774DADEA"/>
    <w:rsid w:val="774E6AEB"/>
    <w:rsid w:val="77507189"/>
    <w:rsid w:val="77524201"/>
    <w:rsid w:val="775261D9"/>
    <w:rsid w:val="77533E09"/>
    <w:rsid w:val="77545773"/>
    <w:rsid w:val="7754C2C6"/>
    <w:rsid w:val="77568109"/>
    <w:rsid w:val="7757DD17"/>
    <w:rsid w:val="775924B6"/>
    <w:rsid w:val="775AE6C0"/>
    <w:rsid w:val="775E1153"/>
    <w:rsid w:val="77609873"/>
    <w:rsid w:val="7763918F"/>
    <w:rsid w:val="77654C3C"/>
    <w:rsid w:val="77663BD7"/>
    <w:rsid w:val="776699DF"/>
    <w:rsid w:val="776711B9"/>
    <w:rsid w:val="776ACCD0"/>
    <w:rsid w:val="776BAE66"/>
    <w:rsid w:val="776EB6C7"/>
    <w:rsid w:val="776EC821"/>
    <w:rsid w:val="776FF28D"/>
    <w:rsid w:val="7771C94F"/>
    <w:rsid w:val="7774D839"/>
    <w:rsid w:val="7777264C"/>
    <w:rsid w:val="77791064"/>
    <w:rsid w:val="77793192"/>
    <w:rsid w:val="77793F57"/>
    <w:rsid w:val="7779CDE3"/>
    <w:rsid w:val="77836E95"/>
    <w:rsid w:val="7784AD32"/>
    <w:rsid w:val="7784B13B"/>
    <w:rsid w:val="77850FB1"/>
    <w:rsid w:val="778605B7"/>
    <w:rsid w:val="7786A7C9"/>
    <w:rsid w:val="778727A5"/>
    <w:rsid w:val="77877D1A"/>
    <w:rsid w:val="778915CD"/>
    <w:rsid w:val="778B2535"/>
    <w:rsid w:val="778B3527"/>
    <w:rsid w:val="778DA5EC"/>
    <w:rsid w:val="77903A04"/>
    <w:rsid w:val="7790CFA4"/>
    <w:rsid w:val="7791741B"/>
    <w:rsid w:val="77934B04"/>
    <w:rsid w:val="77941AA0"/>
    <w:rsid w:val="7798DFA8"/>
    <w:rsid w:val="77998C7A"/>
    <w:rsid w:val="7799925F"/>
    <w:rsid w:val="779C50F9"/>
    <w:rsid w:val="779CA4EA"/>
    <w:rsid w:val="779D7AED"/>
    <w:rsid w:val="779E3AA9"/>
    <w:rsid w:val="779E9995"/>
    <w:rsid w:val="779EBF1D"/>
    <w:rsid w:val="77A107F4"/>
    <w:rsid w:val="77A562E4"/>
    <w:rsid w:val="77A5AE6A"/>
    <w:rsid w:val="77A7D972"/>
    <w:rsid w:val="77A7E637"/>
    <w:rsid w:val="77A8EAC2"/>
    <w:rsid w:val="77A90783"/>
    <w:rsid w:val="77A9A854"/>
    <w:rsid w:val="77AD0033"/>
    <w:rsid w:val="77AF58A8"/>
    <w:rsid w:val="77AFBF9C"/>
    <w:rsid w:val="77B00166"/>
    <w:rsid w:val="77B245EE"/>
    <w:rsid w:val="77B29099"/>
    <w:rsid w:val="77B30BE7"/>
    <w:rsid w:val="77B6B481"/>
    <w:rsid w:val="77B86741"/>
    <w:rsid w:val="77BA547F"/>
    <w:rsid w:val="77BA5D45"/>
    <w:rsid w:val="77BC42F8"/>
    <w:rsid w:val="77BD6F21"/>
    <w:rsid w:val="77BDEE69"/>
    <w:rsid w:val="77BF138D"/>
    <w:rsid w:val="77BF49F5"/>
    <w:rsid w:val="77C05531"/>
    <w:rsid w:val="77C07EC0"/>
    <w:rsid w:val="77C34495"/>
    <w:rsid w:val="77C42240"/>
    <w:rsid w:val="77C53EC1"/>
    <w:rsid w:val="77C7C3FB"/>
    <w:rsid w:val="77C9535B"/>
    <w:rsid w:val="77CEDE59"/>
    <w:rsid w:val="77CEF372"/>
    <w:rsid w:val="77CF368D"/>
    <w:rsid w:val="77D056E7"/>
    <w:rsid w:val="77D0EFE8"/>
    <w:rsid w:val="77D42E4E"/>
    <w:rsid w:val="77D642BA"/>
    <w:rsid w:val="77D76128"/>
    <w:rsid w:val="77D89895"/>
    <w:rsid w:val="77DD5806"/>
    <w:rsid w:val="77DEFBD0"/>
    <w:rsid w:val="77DFCD07"/>
    <w:rsid w:val="77E02F0F"/>
    <w:rsid w:val="77E10DB1"/>
    <w:rsid w:val="77E2B788"/>
    <w:rsid w:val="77E331FC"/>
    <w:rsid w:val="77E3762C"/>
    <w:rsid w:val="77E3B493"/>
    <w:rsid w:val="77E60CCF"/>
    <w:rsid w:val="77E66069"/>
    <w:rsid w:val="77E8C33A"/>
    <w:rsid w:val="77EC2CBF"/>
    <w:rsid w:val="77ED01A4"/>
    <w:rsid w:val="77EE8C57"/>
    <w:rsid w:val="77EEFA89"/>
    <w:rsid w:val="77EFEE42"/>
    <w:rsid w:val="77F80982"/>
    <w:rsid w:val="77FAF08B"/>
    <w:rsid w:val="77FB2B48"/>
    <w:rsid w:val="77FB8699"/>
    <w:rsid w:val="77FBBDBE"/>
    <w:rsid w:val="77FDF7A8"/>
    <w:rsid w:val="77FEECA0"/>
    <w:rsid w:val="77FF9734"/>
    <w:rsid w:val="7805F3D9"/>
    <w:rsid w:val="780693DC"/>
    <w:rsid w:val="78071C6E"/>
    <w:rsid w:val="7807E5D8"/>
    <w:rsid w:val="78084536"/>
    <w:rsid w:val="78087653"/>
    <w:rsid w:val="7808783E"/>
    <w:rsid w:val="7808D332"/>
    <w:rsid w:val="780BF4E9"/>
    <w:rsid w:val="780C62F2"/>
    <w:rsid w:val="780DFE45"/>
    <w:rsid w:val="780E8DC1"/>
    <w:rsid w:val="781162A0"/>
    <w:rsid w:val="781362A9"/>
    <w:rsid w:val="7815B7CD"/>
    <w:rsid w:val="7815DB5C"/>
    <w:rsid w:val="78177C1D"/>
    <w:rsid w:val="78193918"/>
    <w:rsid w:val="7819510D"/>
    <w:rsid w:val="781AC372"/>
    <w:rsid w:val="781B6D26"/>
    <w:rsid w:val="781BA3C4"/>
    <w:rsid w:val="781E5887"/>
    <w:rsid w:val="781EA30A"/>
    <w:rsid w:val="781F2EB9"/>
    <w:rsid w:val="78202BED"/>
    <w:rsid w:val="78204808"/>
    <w:rsid w:val="78204876"/>
    <w:rsid w:val="78228B92"/>
    <w:rsid w:val="78238398"/>
    <w:rsid w:val="7823A661"/>
    <w:rsid w:val="7824FC84"/>
    <w:rsid w:val="7825BEF0"/>
    <w:rsid w:val="7827BC49"/>
    <w:rsid w:val="782A4BBC"/>
    <w:rsid w:val="782BCCBF"/>
    <w:rsid w:val="782DA15F"/>
    <w:rsid w:val="782DBDDD"/>
    <w:rsid w:val="782F1DDD"/>
    <w:rsid w:val="782F3082"/>
    <w:rsid w:val="7830B6FE"/>
    <w:rsid w:val="78315399"/>
    <w:rsid w:val="7832C08B"/>
    <w:rsid w:val="78334A27"/>
    <w:rsid w:val="7835555A"/>
    <w:rsid w:val="7836D3F1"/>
    <w:rsid w:val="783A39D1"/>
    <w:rsid w:val="783B91C1"/>
    <w:rsid w:val="783BA0DD"/>
    <w:rsid w:val="783E30EB"/>
    <w:rsid w:val="783E7886"/>
    <w:rsid w:val="783F25A3"/>
    <w:rsid w:val="78409989"/>
    <w:rsid w:val="78420AEA"/>
    <w:rsid w:val="78434668"/>
    <w:rsid w:val="7844BD58"/>
    <w:rsid w:val="78452D37"/>
    <w:rsid w:val="7846F739"/>
    <w:rsid w:val="78489AC0"/>
    <w:rsid w:val="7848B0EB"/>
    <w:rsid w:val="7851FE80"/>
    <w:rsid w:val="7852C395"/>
    <w:rsid w:val="7852CADD"/>
    <w:rsid w:val="78541F7B"/>
    <w:rsid w:val="7854B5CF"/>
    <w:rsid w:val="7856B192"/>
    <w:rsid w:val="785D61D9"/>
    <w:rsid w:val="785E98D9"/>
    <w:rsid w:val="78615C68"/>
    <w:rsid w:val="78620932"/>
    <w:rsid w:val="7863CCD4"/>
    <w:rsid w:val="78655777"/>
    <w:rsid w:val="78662374"/>
    <w:rsid w:val="786689A0"/>
    <w:rsid w:val="78681F6F"/>
    <w:rsid w:val="786B05D6"/>
    <w:rsid w:val="786BFBD2"/>
    <w:rsid w:val="786CA19A"/>
    <w:rsid w:val="786DA2DB"/>
    <w:rsid w:val="786FF80F"/>
    <w:rsid w:val="7872B18E"/>
    <w:rsid w:val="787390D4"/>
    <w:rsid w:val="787424E8"/>
    <w:rsid w:val="7875F109"/>
    <w:rsid w:val="787897BC"/>
    <w:rsid w:val="787DDD04"/>
    <w:rsid w:val="787FEC99"/>
    <w:rsid w:val="7881137E"/>
    <w:rsid w:val="788124C4"/>
    <w:rsid w:val="7883900B"/>
    <w:rsid w:val="7883B412"/>
    <w:rsid w:val="7883F978"/>
    <w:rsid w:val="78849211"/>
    <w:rsid w:val="7886D940"/>
    <w:rsid w:val="78878504"/>
    <w:rsid w:val="78888EE3"/>
    <w:rsid w:val="788AF867"/>
    <w:rsid w:val="788D4344"/>
    <w:rsid w:val="788DA857"/>
    <w:rsid w:val="788EF9EF"/>
    <w:rsid w:val="788F9D66"/>
    <w:rsid w:val="78920E29"/>
    <w:rsid w:val="7894F773"/>
    <w:rsid w:val="7895B30E"/>
    <w:rsid w:val="7895E757"/>
    <w:rsid w:val="78964958"/>
    <w:rsid w:val="7897A22F"/>
    <w:rsid w:val="78992F08"/>
    <w:rsid w:val="789D8171"/>
    <w:rsid w:val="789E6070"/>
    <w:rsid w:val="789EC787"/>
    <w:rsid w:val="789F7A31"/>
    <w:rsid w:val="78A1520A"/>
    <w:rsid w:val="78A3A434"/>
    <w:rsid w:val="78A526CA"/>
    <w:rsid w:val="78A7779A"/>
    <w:rsid w:val="78AD0DE9"/>
    <w:rsid w:val="78ADD097"/>
    <w:rsid w:val="78AF0A68"/>
    <w:rsid w:val="78AF20C7"/>
    <w:rsid w:val="78AF51C0"/>
    <w:rsid w:val="78B00B32"/>
    <w:rsid w:val="78B49D85"/>
    <w:rsid w:val="78B53383"/>
    <w:rsid w:val="78B8C344"/>
    <w:rsid w:val="78B8CE6D"/>
    <w:rsid w:val="78BA1140"/>
    <w:rsid w:val="78BA2942"/>
    <w:rsid w:val="78BC8681"/>
    <w:rsid w:val="78BD5D8E"/>
    <w:rsid w:val="78BEF8F9"/>
    <w:rsid w:val="78BF9389"/>
    <w:rsid w:val="78C0287D"/>
    <w:rsid w:val="78C0D729"/>
    <w:rsid w:val="78C16E89"/>
    <w:rsid w:val="78C18C3F"/>
    <w:rsid w:val="78C2835A"/>
    <w:rsid w:val="78C3CD99"/>
    <w:rsid w:val="78C662A9"/>
    <w:rsid w:val="78C725D8"/>
    <w:rsid w:val="78C9DCA5"/>
    <w:rsid w:val="78CB15CC"/>
    <w:rsid w:val="78CF3963"/>
    <w:rsid w:val="78D0E99B"/>
    <w:rsid w:val="78D18ACD"/>
    <w:rsid w:val="78D3A3EC"/>
    <w:rsid w:val="78D617F9"/>
    <w:rsid w:val="78D7A63A"/>
    <w:rsid w:val="78D8A4EF"/>
    <w:rsid w:val="78D936A2"/>
    <w:rsid w:val="78DB8C2E"/>
    <w:rsid w:val="78DBD500"/>
    <w:rsid w:val="78DD2BE6"/>
    <w:rsid w:val="78DE33A3"/>
    <w:rsid w:val="78E371A4"/>
    <w:rsid w:val="78E3DF39"/>
    <w:rsid w:val="78E576AA"/>
    <w:rsid w:val="78E6D822"/>
    <w:rsid w:val="78E71E8A"/>
    <w:rsid w:val="78E74B31"/>
    <w:rsid w:val="78EA1A82"/>
    <w:rsid w:val="78EA8422"/>
    <w:rsid w:val="78EB3260"/>
    <w:rsid w:val="78ECC7DA"/>
    <w:rsid w:val="78ED24C5"/>
    <w:rsid w:val="78EE15EC"/>
    <w:rsid w:val="78EF48B7"/>
    <w:rsid w:val="78F0F2F7"/>
    <w:rsid w:val="78F0F5CD"/>
    <w:rsid w:val="78F11FEC"/>
    <w:rsid w:val="78F21409"/>
    <w:rsid w:val="78F32A02"/>
    <w:rsid w:val="78F3D1B1"/>
    <w:rsid w:val="78F5049F"/>
    <w:rsid w:val="78F564CF"/>
    <w:rsid w:val="78F6B08B"/>
    <w:rsid w:val="78F7AB6E"/>
    <w:rsid w:val="78F8CFED"/>
    <w:rsid w:val="78F98CE6"/>
    <w:rsid w:val="78FA6FF3"/>
    <w:rsid w:val="78FAE9A7"/>
    <w:rsid w:val="78FC5F35"/>
    <w:rsid w:val="78FD467B"/>
    <w:rsid w:val="78FD86D7"/>
    <w:rsid w:val="79040F9B"/>
    <w:rsid w:val="7904D4BE"/>
    <w:rsid w:val="7904F53F"/>
    <w:rsid w:val="79075C0D"/>
    <w:rsid w:val="79088376"/>
    <w:rsid w:val="79094E48"/>
    <w:rsid w:val="79099B2F"/>
    <w:rsid w:val="790AD912"/>
    <w:rsid w:val="790AFB00"/>
    <w:rsid w:val="790BC74D"/>
    <w:rsid w:val="791374D6"/>
    <w:rsid w:val="7917E617"/>
    <w:rsid w:val="791A0492"/>
    <w:rsid w:val="791AB242"/>
    <w:rsid w:val="791DA352"/>
    <w:rsid w:val="791E24B9"/>
    <w:rsid w:val="791F3983"/>
    <w:rsid w:val="79200651"/>
    <w:rsid w:val="79211909"/>
    <w:rsid w:val="79229466"/>
    <w:rsid w:val="79237941"/>
    <w:rsid w:val="7924DCF1"/>
    <w:rsid w:val="79266682"/>
    <w:rsid w:val="792A2393"/>
    <w:rsid w:val="792AB867"/>
    <w:rsid w:val="792AE6F7"/>
    <w:rsid w:val="792D38CC"/>
    <w:rsid w:val="79307525"/>
    <w:rsid w:val="7934340A"/>
    <w:rsid w:val="79349311"/>
    <w:rsid w:val="793632E2"/>
    <w:rsid w:val="7936ADBA"/>
    <w:rsid w:val="7936F4C5"/>
    <w:rsid w:val="7937BADE"/>
    <w:rsid w:val="793B6AA2"/>
    <w:rsid w:val="793EEA62"/>
    <w:rsid w:val="79409F6A"/>
    <w:rsid w:val="794123D6"/>
    <w:rsid w:val="794227BC"/>
    <w:rsid w:val="79447CF8"/>
    <w:rsid w:val="79459F49"/>
    <w:rsid w:val="79465A28"/>
    <w:rsid w:val="7946D4F5"/>
    <w:rsid w:val="794751B0"/>
    <w:rsid w:val="794ABD34"/>
    <w:rsid w:val="794C0E75"/>
    <w:rsid w:val="794CE843"/>
    <w:rsid w:val="794D29B5"/>
    <w:rsid w:val="794D562C"/>
    <w:rsid w:val="7952E823"/>
    <w:rsid w:val="7953E92B"/>
    <w:rsid w:val="79581B6C"/>
    <w:rsid w:val="795830CB"/>
    <w:rsid w:val="7959CCF5"/>
    <w:rsid w:val="795B8221"/>
    <w:rsid w:val="795B8F07"/>
    <w:rsid w:val="795BAA23"/>
    <w:rsid w:val="795F0F86"/>
    <w:rsid w:val="79665847"/>
    <w:rsid w:val="79680B3F"/>
    <w:rsid w:val="796A5D1C"/>
    <w:rsid w:val="796AA5A6"/>
    <w:rsid w:val="796B516A"/>
    <w:rsid w:val="796DF4E5"/>
    <w:rsid w:val="796E3554"/>
    <w:rsid w:val="796EF304"/>
    <w:rsid w:val="796FC630"/>
    <w:rsid w:val="7970BD94"/>
    <w:rsid w:val="79728DE7"/>
    <w:rsid w:val="79747FA5"/>
    <w:rsid w:val="7974EB55"/>
    <w:rsid w:val="79753587"/>
    <w:rsid w:val="79754802"/>
    <w:rsid w:val="79773A4B"/>
    <w:rsid w:val="797816C8"/>
    <w:rsid w:val="7978DA0E"/>
    <w:rsid w:val="797A01E2"/>
    <w:rsid w:val="797B6610"/>
    <w:rsid w:val="797BD444"/>
    <w:rsid w:val="7982E555"/>
    <w:rsid w:val="79854184"/>
    <w:rsid w:val="79878589"/>
    <w:rsid w:val="798B5FF6"/>
    <w:rsid w:val="7990F8EA"/>
    <w:rsid w:val="79924E8A"/>
    <w:rsid w:val="79947D89"/>
    <w:rsid w:val="7994FA93"/>
    <w:rsid w:val="799562D1"/>
    <w:rsid w:val="79974627"/>
    <w:rsid w:val="7998A4B7"/>
    <w:rsid w:val="799A45D0"/>
    <w:rsid w:val="799A8164"/>
    <w:rsid w:val="799D9B1F"/>
    <w:rsid w:val="799DA75D"/>
    <w:rsid w:val="799F8EE2"/>
    <w:rsid w:val="799F8FED"/>
    <w:rsid w:val="79A1224C"/>
    <w:rsid w:val="79A2AD55"/>
    <w:rsid w:val="79A4EB31"/>
    <w:rsid w:val="79A55227"/>
    <w:rsid w:val="79A76E41"/>
    <w:rsid w:val="79A9DB08"/>
    <w:rsid w:val="79AA452D"/>
    <w:rsid w:val="79AAEA54"/>
    <w:rsid w:val="79ABBFB8"/>
    <w:rsid w:val="79AC0915"/>
    <w:rsid w:val="79AC2B00"/>
    <w:rsid w:val="79AD319D"/>
    <w:rsid w:val="79ADFCF8"/>
    <w:rsid w:val="79AFEC1D"/>
    <w:rsid w:val="79B0DA9E"/>
    <w:rsid w:val="79B2A2AC"/>
    <w:rsid w:val="79B3A530"/>
    <w:rsid w:val="79B4A805"/>
    <w:rsid w:val="79B4C733"/>
    <w:rsid w:val="79B643AB"/>
    <w:rsid w:val="79B734E8"/>
    <w:rsid w:val="79B88994"/>
    <w:rsid w:val="79BAA246"/>
    <w:rsid w:val="79BC2A7F"/>
    <w:rsid w:val="79BC74A1"/>
    <w:rsid w:val="79BE7441"/>
    <w:rsid w:val="79C1C91A"/>
    <w:rsid w:val="79C32ED8"/>
    <w:rsid w:val="79C79660"/>
    <w:rsid w:val="79CAF527"/>
    <w:rsid w:val="79CB720C"/>
    <w:rsid w:val="79CDD830"/>
    <w:rsid w:val="79CFDD22"/>
    <w:rsid w:val="79D0485A"/>
    <w:rsid w:val="79D09F99"/>
    <w:rsid w:val="79D2403E"/>
    <w:rsid w:val="79D4369C"/>
    <w:rsid w:val="79D8DD4B"/>
    <w:rsid w:val="79D9B65A"/>
    <w:rsid w:val="79D9DD2D"/>
    <w:rsid w:val="79DA07A7"/>
    <w:rsid w:val="79DBF5EC"/>
    <w:rsid w:val="79DBF92E"/>
    <w:rsid w:val="79DE82A5"/>
    <w:rsid w:val="79DEFD8E"/>
    <w:rsid w:val="79E0DC3D"/>
    <w:rsid w:val="79E3D6AA"/>
    <w:rsid w:val="79E46F9A"/>
    <w:rsid w:val="79E4AB5A"/>
    <w:rsid w:val="79E6C109"/>
    <w:rsid w:val="79E82188"/>
    <w:rsid w:val="79E90EF0"/>
    <w:rsid w:val="79E93FC5"/>
    <w:rsid w:val="79EBF3AF"/>
    <w:rsid w:val="79EC7CE6"/>
    <w:rsid w:val="79ED607A"/>
    <w:rsid w:val="79EF1E0F"/>
    <w:rsid w:val="79F57FE8"/>
    <w:rsid w:val="79FA80D3"/>
    <w:rsid w:val="79FAF00E"/>
    <w:rsid w:val="79FC3BFD"/>
    <w:rsid w:val="79FD39D9"/>
    <w:rsid w:val="79FDE7C5"/>
    <w:rsid w:val="7A021915"/>
    <w:rsid w:val="7A028AED"/>
    <w:rsid w:val="7A03D63F"/>
    <w:rsid w:val="7A047001"/>
    <w:rsid w:val="7A05A10C"/>
    <w:rsid w:val="7A05A136"/>
    <w:rsid w:val="7A087ADB"/>
    <w:rsid w:val="7A08A618"/>
    <w:rsid w:val="7A0BF788"/>
    <w:rsid w:val="7A0C059A"/>
    <w:rsid w:val="7A0E5022"/>
    <w:rsid w:val="7A1034AF"/>
    <w:rsid w:val="7A10B5B8"/>
    <w:rsid w:val="7A10DDFF"/>
    <w:rsid w:val="7A115575"/>
    <w:rsid w:val="7A11891F"/>
    <w:rsid w:val="7A131055"/>
    <w:rsid w:val="7A13130F"/>
    <w:rsid w:val="7A13DA40"/>
    <w:rsid w:val="7A164848"/>
    <w:rsid w:val="7A17C6BC"/>
    <w:rsid w:val="7A180AF2"/>
    <w:rsid w:val="7A181D0E"/>
    <w:rsid w:val="7A19275C"/>
    <w:rsid w:val="7A197351"/>
    <w:rsid w:val="7A1AE852"/>
    <w:rsid w:val="7A1D4CDA"/>
    <w:rsid w:val="7A1D57B5"/>
    <w:rsid w:val="7A20B01F"/>
    <w:rsid w:val="7A213B46"/>
    <w:rsid w:val="7A226400"/>
    <w:rsid w:val="7A229C1F"/>
    <w:rsid w:val="7A23EF86"/>
    <w:rsid w:val="7A2422D4"/>
    <w:rsid w:val="7A242ED9"/>
    <w:rsid w:val="7A249817"/>
    <w:rsid w:val="7A2650C4"/>
    <w:rsid w:val="7A265CDE"/>
    <w:rsid w:val="7A28DF2A"/>
    <w:rsid w:val="7A29583C"/>
    <w:rsid w:val="7A2A29DC"/>
    <w:rsid w:val="7A2A3B57"/>
    <w:rsid w:val="7A2BB442"/>
    <w:rsid w:val="7A2BD239"/>
    <w:rsid w:val="7A30B752"/>
    <w:rsid w:val="7A314EDD"/>
    <w:rsid w:val="7A320D27"/>
    <w:rsid w:val="7A33D7FD"/>
    <w:rsid w:val="7A340A8B"/>
    <w:rsid w:val="7A34C0D0"/>
    <w:rsid w:val="7A353F0C"/>
    <w:rsid w:val="7A372179"/>
    <w:rsid w:val="7A398F56"/>
    <w:rsid w:val="7A3AE746"/>
    <w:rsid w:val="7A3B342A"/>
    <w:rsid w:val="7A3C5E50"/>
    <w:rsid w:val="7A3DF7BE"/>
    <w:rsid w:val="7A3E308F"/>
    <w:rsid w:val="7A3E8558"/>
    <w:rsid w:val="7A438123"/>
    <w:rsid w:val="7A43BED9"/>
    <w:rsid w:val="7A452962"/>
    <w:rsid w:val="7A475A20"/>
    <w:rsid w:val="7A4ADA4C"/>
    <w:rsid w:val="7A4E1E39"/>
    <w:rsid w:val="7A4F6CDC"/>
    <w:rsid w:val="7A4F9E15"/>
    <w:rsid w:val="7A5014EF"/>
    <w:rsid w:val="7A503211"/>
    <w:rsid w:val="7A507D76"/>
    <w:rsid w:val="7A5193C1"/>
    <w:rsid w:val="7A53DA04"/>
    <w:rsid w:val="7A550DC4"/>
    <w:rsid w:val="7A55303A"/>
    <w:rsid w:val="7A55C4ED"/>
    <w:rsid w:val="7A571E05"/>
    <w:rsid w:val="7A582E0C"/>
    <w:rsid w:val="7A591F09"/>
    <w:rsid w:val="7A5B3FC1"/>
    <w:rsid w:val="7A5DEC59"/>
    <w:rsid w:val="7A62DC50"/>
    <w:rsid w:val="7A642A99"/>
    <w:rsid w:val="7A645A0F"/>
    <w:rsid w:val="7A6523BF"/>
    <w:rsid w:val="7A69EEF4"/>
    <w:rsid w:val="7A6A04A7"/>
    <w:rsid w:val="7A6B4542"/>
    <w:rsid w:val="7A6C6A8A"/>
    <w:rsid w:val="7A6C9EB3"/>
    <w:rsid w:val="7A725CB8"/>
    <w:rsid w:val="7A727ACC"/>
    <w:rsid w:val="7A748DAD"/>
    <w:rsid w:val="7A762AB9"/>
    <w:rsid w:val="7A7722CD"/>
    <w:rsid w:val="7A78BE05"/>
    <w:rsid w:val="7A78E9EC"/>
    <w:rsid w:val="7A79221D"/>
    <w:rsid w:val="7A7966DA"/>
    <w:rsid w:val="7A7A376B"/>
    <w:rsid w:val="7A7E68A6"/>
    <w:rsid w:val="7A81545E"/>
    <w:rsid w:val="7A835D49"/>
    <w:rsid w:val="7A8528BD"/>
    <w:rsid w:val="7A8651A2"/>
    <w:rsid w:val="7A895B73"/>
    <w:rsid w:val="7A8A1F21"/>
    <w:rsid w:val="7A8B1918"/>
    <w:rsid w:val="7A8D6B22"/>
    <w:rsid w:val="7A8EA503"/>
    <w:rsid w:val="7A8F4CDE"/>
    <w:rsid w:val="7A918B8B"/>
    <w:rsid w:val="7A9277E9"/>
    <w:rsid w:val="7A9278B2"/>
    <w:rsid w:val="7A96F6EA"/>
    <w:rsid w:val="7A9760EC"/>
    <w:rsid w:val="7A982F96"/>
    <w:rsid w:val="7A9A6097"/>
    <w:rsid w:val="7A9CA645"/>
    <w:rsid w:val="7A9D48CA"/>
    <w:rsid w:val="7A9D6682"/>
    <w:rsid w:val="7A9FDDD3"/>
    <w:rsid w:val="7AA11134"/>
    <w:rsid w:val="7AA22389"/>
    <w:rsid w:val="7AA4FDFA"/>
    <w:rsid w:val="7AA941BA"/>
    <w:rsid w:val="7AAA5699"/>
    <w:rsid w:val="7AAC49B0"/>
    <w:rsid w:val="7AAD3332"/>
    <w:rsid w:val="7AAE21E5"/>
    <w:rsid w:val="7AAE7929"/>
    <w:rsid w:val="7AB3F06C"/>
    <w:rsid w:val="7AB60819"/>
    <w:rsid w:val="7AB89ABD"/>
    <w:rsid w:val="7ABA341D"/>
    <w:rsid w:val="7ABA53C2"/>
    <w:rsid w:val="7ABCA93F"/>
    <w:rsid w:val="7ABDB1B1"/>
    <w:rsid w:val="7ABE516C"/>
    <w:rsid w:val="7ABEAA5A"/>
    <w:rsid w:val="7AC04A4C"/>
    <w:rsid w:val="7AC28DAF"/>
    <w:rsid w:val="7AC54DBE"/>
    <w:rsid w:val="7AC5CE88"/>
    <w:rsid w:val="7AC6556D"/>
    <w:rsid w:val="7AC6FD03"/>
    <w:rsid w:val="7AC7B671"/>
    <w:rsid w:val="7AC8B2B5"/>
    <w:rsid w:val="7ACE6B91"/>
    <w:rsid w:val="7ACFB91C"/>
    <w:rsid w:val="7AD0D775"/>
    <w:rsid w:val="7AD1AE8C"/>
    <w:rsid w:val="7AD20DC7"/>
    <w:rsid w:val="7AD3B049"/>
    <w:rsid w:val="7AD5332E"/>
    <w:rsid w:val="7AD5504C"/>
    <w:rsid w:val="7AD572C2"/>
    <w:rsid w:val="7AD66A14"/>
    <w:rsid w:val="7AD7D6B5"/>
    <w:rsid w:val="7ADB52BC"/>
    <w:rsid w:val="7ADCC94C"/>
    <w:rsid w:val="7AE0D663"/>
    <w:rsid w:val="7AE167F6"/>
    <w:rsid w:val="7AE18CA7"/>
    <w:rsid w:val="7AE8A403"/>
    <w:rsid w:val="7AE8B662"/>
    <w:rsid w:val="7AE98FE6"/>
    <w:rsid w:val="7AE9F6DF"/>
    <w:rsid w:val="7AEA4F8B"/>
    <w:rsid w:val="7AEA5F0B"/>
    <w:rsid w:val="7AEC13F1"/>
    <w:rsid w:val="7AED1AC8"/>
    <w:rsid w:val="7AED532E"/>
    <w:rsid w:val="7AEE241A"/>
    <w:rsid w:val="7AEE5A85"/>
    <w:rsid w:val="7AF053B7"/>
    <w:rsid w:val="7AF0E53C"/>
    <w:rsid w:val="7AF4251B"/>
    <w:rsid w:val="7AFA4C11"/>
    <w:rsid w:val="7AFADD5C"/>
    <w:rsid w:val="7AFD8997"/>
    <w:rsid w:val="7AFF55AF"/>
    <w:rsid w:val="7AFFDB14"/>
    <w:rsid w:val="7B019DE9"/>
    <w:rsid w:val="7B03F04C"/>
    <w:rsid w:val="7B05918A"/>
    <w:rsid w:val="7B07AB61"/>
    <w:rsid w:val="7B082782"/>
    <w:rsid w:val="7B091B0F"/>
    <w:rsid w:val="7B09F1C5"/>
    <w:rsid w:val="7B0B9358"/>
    <w:rsid w:val="7B0E22D5"/>
    <w:rsid w:val="7B100A1D"/>
    <w:rsid w:val="7B11428F"/>
    <w:rsid w:val="7B11863F"/>
    <w:rsid w:val="7B163FCE"/>
    <w:rsid w:val="7B1CE9B8"/>
    <w:rsid w:val="7B1D74F1"/>
    <w:rsid w:val="7B1E2113"/>
    <w:rsid w:val="7B1EC2EF"/>
    <w:rsid w:val="7B219FD6"/>
    <w:rsid w:val="7B248173"/>
    <w:rsid w:val="7B2AC7BD"/>
    <w:rsid w:val="7B2B4BC1"/>
    <w:rsid w:val="7B2B6335"/>
    <w:rsid w:val="7B2BE5F4"/>
    <w:rsid w:val="7B2DEBC6"/>
    <w:rsid w:val="7B2F2595"/>
    <w:rsid w:val="7B302768"/>
    <w:rsid w:val="7B38F41B"/>
    <w:rsid w:val="7B392E0E"/>
    <w:rsid w:val="7B39C929"/>
    <w:rsid w:val="7B3CA847"/>
    <w:rsid w:val="7B3EF8C3"/>
    <w:rsid w:val="7B40C692"/>
    <w:rsid w:val="7B417147"/>
    <w:rsid w:val="7B460E31"/>
    <w:rsid w:val="7B466E7B"/>
    <w:rsid w:val="7B46BFA4"/>
    <w:rsid w:val="7B47380D"/>
    <w:rsid w:val="7B48450A"/>
    <w:rsid w:val="7B4ABBAC"/>
    <w:rsid w:val="7B4AF560"/>
    <w:rsid w:val="7B4AFEA8"/>
    <w:rsid w:val="7B4C488C"/>
    <w:rsid w:val="7B4D68D5"/>
    <w:rsid w:val="7B4E3549"/>
    <w:rsid w:val="7B4F9A2B"/>
    <w:rsid w:val="7B4FEDBF"/>
    <w:rsid w:val="7B50CD0E"/>
    <w:rsid w:val="7B5426A7"/>
    <w:rsid w:val="7B547745"/>
    <w:rsid w:val="7B54EABD"/>
    <w:rsid w:val="7B5606FF"/>
    <w:rsid w:val="7B5920DE"/>
    <w:rsid w:val="7B5AA766"/>
    <w:rsid w:val="7B5AD21D"/>
    <w:rsid w:val="7B5BD098"/>
    <w:rsid w:val="7B5FCA10"/>
    <w:rsid w:val="7B603BDA"/>
    <w:rsid w:val="7B60DA7F"/>
    <w:rsid w:val="7B612C73"/>
    <w:rsid w:val="7B629D21"/>
    <w:rsid w:val="7B631211"/>
    <w:rsid w:val="7B6367D1"/>
    <w:rsid w:val="7B642C5D"/>
    <w:rsid w:val="7B66EC2A"/>
    <w:rsid w:val="7B69E61B"/>
    <w:rsid w:val="7B6A0D27"/>
    <w:rsid w:val="7B6C0E25"/>
    <w:rsid w:val="7B6C3998"/>
    <w:rsid w:val="7B6CC5A1"/>
    <w:rsid w:val="7B6EB34A"/>
    <w:rsid w:val="7B6FCC1C"/>
    <w:rsid w:val="7B7256AD"/>
    <w:rsid w:val="7B73E1D9"/>
    <w:rsid w:val="7B74DB5B"/>
    <w:rsid w:val="7B74F73D"/>
    <w:rsid w:val="7B750908"/>
    <w:rsid w:val="7B75D447"/>
    <w:rsid w:val="7B75D808"/>
    <w:rsid w:val="7B765518"/>
    <w:rsid w:val="7B77C8AF"/>
    <w:rsid w:val="7B788066"/>
    <w:rsid w:val="7B79D757"/>
    <w:rsid w:val="7B7D20B3"/>
    <w:rsid w:val="7B7F0673"/>
    <w:rsid w:val="7B8463D5"/>
    <w:rsid w:val="7B846797"/>
    <w:rsid w:val="7B84E4F7"/>
    <w:rsid w:val="7B854A48"/>
    <w:rsid w:val="7B8709D9"/>
    <w:rsid w:val="7B874E9F"/>
    <w:rsid w:val="7B88EF70"/>
    <w:rsid w:val="7B899E8B"/>
    <w:rsid w:val="7B8B5557"/>
    <w:rsid w:val="7B8C9874"/>
    <w:rsid w:val="7B8D3236"/>
    <w:rsid w:val="7B8DC466"/>
    <w:rsid w:val="7B8F058B"/>
    <w:rsid w:val="7B8F681E"/>
    <w:rsid w:val="7B9466B2"/>
    <w:rsid w:val="7B997971"/>
    <w:rsid w:val="7B99A46C"/>
    <w:rsid w:val="7B99FFC1"/>
    <w:rsid w:val="7B9B7C8F"/>
    <w:rsid w:val="7B9BD435"/>
    <w:rsid w:val="7BA12B58"/>
    <w:rsid w:val="7BA22BEA"/>
    <w:rsid w:val="7BA2E9AF"/>
    <w:rsid w:val="7BA39363"/>
    <w:rsid w:val="7BA3BFD3"/>
    <w:rsid w:val="7BA496E7"/>
    <w:rsid w:val="7BA4E192"/>
    <w:rsid w:val="7BA6093E"/>
    <w:rsid w:val="7BA675DE"/>
    <w:rsid w:val="7BA7E8AB"/>
    <w:rsid w:val="7BA874B3"/>
    <w:rsid w:val="7BAB4423"/>
    <w:rsid w:val="7BABC832"/>
    <w:rsid w:val="7BB04A78"/>
    <w:rsid w:val="7BB075EB"/>
    <w:rsid w:val="7BB178B1"/>
    <w:rsid w:val="7BB1A96A"/>
    <w:rsid w:val="7BB21E04"/>
    <w:rsid w:val="7BB462C8"/>
    <w:rsid w:val="7BB70518"/>
    <w:rsid w:val="7BBC5F50"/>
    <w:rsid w:val="7BBCA2B1"/>
    <w:rsid w:val="7BBCC5ED"/>
    <w:rsid w:val="7BBCCF31"/>
    <w:rsid w:val="7BBD5AFA"/>
    <w:rsid w:val="7BC0072F"/>
    <w:rsid w:val="7BC52D72"/>
    <w:rsid w:val="7BC599CD"/>
    <w:rsid w:val="7BC5ADC8"/>
    <w:rsid w:val="7BC80D90"/>
    <w:rsid w:val="7BC8B072"/>
    <w:rsid w:val="7BC8CD65"/>
    <w:rsid w:val="7BCB61F6"/>
    <w:rsid w:val="7BCCF40E"/>
    <w:rsid w:val="7BD1479D"/>
    <w:rsid w:val="7BD17941"/>
    <w:rsid w:val="7BD1F990"/>
    <w:rsid w:val="7BD49DFE"/>
    <w:rsid w:val="7BD75E8C"/>
    <w:rsid w:val="7BD9C605"/>
    <w:rsid w:val="7BDF696E"/>
    <w:rsid w:val="7BE12ACD"/>
    <w:rsid w:val="7BE222AA"/>
    <w:rsid w:val="7BE2DAB4"/>
    <w:rsid w:val="7BE37BE0"/>
    <w:rsid w:val="7BE42D01"/>
    <w:rsid w:val="7BE463E4"/>
    <w:rsid w:val="7BE509FA"/>
    <w:rsid w:val="7BE60C6B"/>
    <w:rsid w:val="7BE6DE83"/>
    <w:rsid w:val="7BE7DE40"/>
    <w:rsid w:val="7BEAD637"/>
    <w:rsid w:val="7BEC6EC8"/>
    <w:rsid w:val="7BECE4BA"/>
    <w:rsid w:val="7BED404E"/>
    <w:rsid w:val="7BEDDC06"/>
    <w:rsid w:val="7BF16837"/>
    <w:rsid w:val="7BF214A5"/>
    <w:rsid w:val="7BF4903E"/>
    <w:rsid w:val="7BF89BFC"/>
    <w:rsid w:val="7BFAE7F5"/>
    <w:rsid w:val="7BFB67EA"/>
    <w:rsid w:val="7BFB9345"/>
    <w:rsid w:val="7BFEA4A3"/>
    <w:rsid w:val="7C010D0B"/>
    <w:rsid w:val="7C0158C7"/>
    <w:rsid w:val="7C029FB8"/>
    <w:rsid w:val="7C03C8B0"/>
    <w:rsid w:val="7C045EF2"/>
    <w:rsid w:val="7C06072C"/>
    <w:rsid w:val="7C093908"/>
    <w:rsid w:val="7C095EF2"/>
    <w:rsid w:val="7C09DFFB"/>
    <w:rsid w:val="7C0A9E6E"/>
    <w:rsid w:val="7C0C5B2A"/>
    <w:rsid w:val="7C0D4973"/>
    <w:rsid w:val="7C0DBC61"/>
    <w:rsid w:val="7C0E85AB"/>
    <w:rsid w:val="7C0EA020"/>
    <w:rsid w:val="7C0ED95A"/>
    <w:rsid w:val="7C0F84CD"/>
    <w:rsid w:val="7C111DA3"/>
    <w:rsid w:val="7C114844"/>
    <w:rsid w:val="7C11C191"/>
    <w:rsid w:val="7C13014E"/>
    <w:rsid w:val="7C130AF0"/>
    <w:rsid w:val="7C135B73"/>
    <w:rsid w:val="7C153097"/>
    <w:rsid w:val="7C15653B"/>
    <w:rsid w:val="7C1585E0"/>
    <w:rsid w:val="7C198339"/>
    <w:rsid w:val="7C1B1505"/>
    <w:rsid w:val="7C1BDDD6"/>
    <w:rsid w:val="7C1C8C3B"/>
    <w:rsid w:val="7C1CD930"/>
    <w:rsid w:val="7C1D51EA"/>
    <w:rsid w:val="7C1E6AD5"/>
    <w:rsid w:val="7C1F80C8"/>
    <w:rsid w:val="7C20C14F"/>
    <w:rsid w:val="7C25DD24"/>
    <w:rsid w:val="7C26BA98"/>
    <w:rsid w:val="7C26E14E"/>
    <w:rsid w:val="7C29887C"/>
    <w:rsid w:val="7C2BE29C"/>
    <w:rsid w:val="7C2C34DC"/>
    <w:rsid w:val="7C2D2382"/>
    <w:rsid w:val="7C2DEC33"/>
    <w:rsid w:val="7C2FDD14"/>
    <w:rsid w:val="7C3016D0"/>
    <w:rsid w:val="7C30349F"/>
    <w:rsid w:val="7C3137C0"/>
    <w:rsid w:val="7C3502B9"/>
    <w:rsid w:val="7C36BAC5"/>
    <w:rsid w:val="7C375603"/>
    <w:rsid w:val="7C37E952"/>
    <w:rsid w:val="7C38433B"/>
    <w:rsid w:val="7C3A3BD8"/>
    <w:rsid w:val="7C3A5DA7"/>
    <w:rsid w:val="7C3C5964"/>
    <w:rsid w:val="7C3CFA32"/>
    <w:rsid w:val="7C42BDB9"/>
    <w:rsid w:val="7C449A6A"/>
    <w:rsid w:val="7C44ABE5"/>
    <w:rsid w:val="7C45A9DB"/>
    <w:rsid w:val="7C461E41"/>
    <w:rsid w:val="7C49073F"/>
    <w:rsid w:val="7C4D2217"/>
    <w:rsid w:val="7C5001CA"/>
    <w:rsid w:val="7C549211"/>
    <w:rsid w:val="7C5497EF"/>
    <w:rsid w:val="7C556728"/>
    <w:rsid w:val="7C5586D4"/>
    <w:rsid w:val="7C598C2A"/>
    <w:rsid w:val="7C599BDF"/>
    <w:rsid w:val="7C59C4A2"/>
    <w:rsid w:val="7C5AEC43"/>
    <w:rsid w:val="7C5BFC20"/>
    <w:rsid w:val="7C5C7F97"/>
    <w:rsid w:val="7C5F9CDD"/>
    <w:rsid w:val="7C60F9EB"/>
    <w:rsid w:val="7C63A3BD"/>
    <w:rsid w:val="7C693E66"/>
    <w:rsid w:val="7C698896"/>
    <w:rsid w:val="7C69D3C3"/>
    <w:rsid w:val="7C6B09F5"/>
    <w:rsid w:val="7C6BA354"/>
    <w:rsid w:val="7C6DF275"/>
    <w:rsid w:val="7C6E9292"/>
    <w:rsid w:val="7C715315"/>
    <w:rsid w:val="7C742E76"/>
    <w:rsid w:val="7C7533FE"/>
    <w:rsid w:val="7C777A0C"/>
    <w:rsid w:val="7C79C140"/>
    <w:rsid w:val="7C7B94B0"/>
    <w:rsid w:val="7C7D0655"/>
    <w:rsid w:val="7C7D9A7C"/>
    <w:rsid w:val="7C7F748C"/>
    <w:rsid w:val="7C803C1F"/>
    <w:rsid w:val="7C8170DA"/>
    <w:rsid w:val="7C839A9D"/>
    <w:rsid w:val="7C854043"/>
    <w:rsid w:val="7C85767B"/>
    <w:rsid w:val="7C890271"/>
    <w:rsid w:val="7C8A94AA"/>
    <w:rsid w:val="7C8DB4B0"/>
    <w:rsid w:val="7C8F03A8"/>
    <w:rsid w:val="7C905EB6"/>
    <w:rsid w:val="7C95691D"/>
    <w:rsid w:val="7C96F3AA"/>
    <w:rsid w:val="7C988E89"/>
    <w:rsid w:val="7C993639"/>
    <w:rsid w:val="7C9C087F"/>
    <w:rsid w:val="7C9C3980"/>
    <w:rsid w:val="7C9CF6A6"/>
    <w:rsid w:val="7C9D95BA"/>
    <w:rsid w:val="7C9F3FAC"/>
    <w:rsid w:val="7C9F5AAD"/>
    <w:rsid w:val="7CA00507"/>
    <w:rsid w:val="7CA37503"/>
    <w:rsid w:val="7CA57A46"/>
    <w:rsid w:val="7CA61EA5"/>
    <w:rsid w:val="7CA65ACB"/>
    <w:rsid w:val="7CA87051"/>
    <w:rsid w:val="7CAACB02"/>
    <w:rsid w:val="7CACED29"/>
    <w:rsid w:val="7CACFD7C"/>
    <w:rsid w:val="7CAD3C37"/>
    <w:rsid w:val="7CAD65F4"/>
    <w:rsid w:val="7CAEC748"/>
    <w:rsid w:val="7CB308A5"/>
    <w:rsid w:val="7CB42598"/>
    <w:rsid w:val="7CB5A6C3"/>
    <w:rsid w:val="7CB9EDB6"/>
    <w:rsid w:val="7CBA2BFB"/>
    <w:rsid w:val="7CBA759D"/>
    <w:rsid w:val="7CBDE07C"/>
    <w:rsid w:val="7CBE6A4D"/>
    <w:rsid w:val="7CBE7C5B"/>
    <w:rsid w:val="7CC051D4"/>
    <w:rsid w:val="7CC0F58C"/>
    <w:rsid w:val="7CC22F4D"/>
    <w:rsid w:val="7CC2606F"/>
    <w:rsid w:val="7CC2FAB2"/>
    <w:rsid w:val="7CC337A9"/>
    <w:rsid w:val="7CC3D8FC"/>
    <w:rsid w:val="7CC450D0"/>
    <w:rsid w:val="7CC549DB"/>
    <w:rsid w:val="7CC762BF"/>
    <w:rsid w:val="7CC7BEBC"/>
    <w:rsid w:val="7CC953F8"/>
    <w:rsid w:val="7CCD36C1"/>
    <w:rsid w:val="7CCE0512"/>
    <w:rsid w:val="7CCFB50C"/>
    <w:rsid w:val="7CD0F5B9"/>
    <w:rsid w:val="7CD0F5E3"/>
    <w:rsid w:val="7CD3AAE2"/>
    <w:rsid w:val="7CD47624"/>
    <w:rsid w:val="7CD5003C"/>
    <w:rsid w:val="7CD5B4F4"/>
    <w:rsid w:val="7CDACDB4"/>
    <w:rsid w:val="7CDAEB0A"/>
    <w:rsid w:val="7CDC5CE7"/>
    <w:rsid w:val="7CDC6FA1"/>
    <w:rsid w:val="7CDDCC30"/>
    <w:rsid w:val="7CDE990A"/>
    <w:rsid w:val="7CDEBFFE"/>
    <w:rsid w:val="7CDF71C8"/>
    <w:rsid w:val="7CE3861F"/>
    <w:rsid w:val="7CE5568C"/>
    <w:rsid w:val="7CE6FF9A"/>
    <w:rsid w:val="7CE71CF9"/>
    <w:rsid w:val="7CE7A52B"/>
    <w:rsid w:val="7CEBA092"/>
    <w:rsid w:val="7CEF0F04"/>
    <w:rsid w:val="7CEFAB38"/>
    <w:rsid w:val="7CF11468"/>
    <w:rsid w:val="7CF29B42"/>
    <w:rsid w:val="7CF2F99B"/>
    <w:rsid w:val="7CF386FE"/>
    <w:rsid w:val="7CF3B110"/>
    <w:rsid w:val="7CF4B6B1"/>
    <w:rsid w:val="7CF508C9"/>
    <w:rsid w:val="7CF668FA"/>
    <w:rsid w:val="7CFCB8D4"/>
    <w:rsid w:val="7CFDE739"/>
    <w:rsid w:val="7CFE94C1"/>
    <w:rsid w:val="7D005EE3"/>
    <w:rsid w:val="7D0185FA"/>
    <w:rsid w:val="7D01968D"/>
    <w:rsid w:val="7D0335D6"/>
    <w:rsid w:val="7D0366C3"/>
    <w:rsid w:val="7D051DD4"/>
    <w:rsid w:val="7D0903AA"/>
    <w:rsid w:val="7D091E94"/>
    <w:rsid w:val="7D09C28A"/>
    <w:rsid w:val="7D09F6F6"/>
    <w:rsid w:val="7D0BD2F6"/>
    <w:rsid w:val="7D0C46C5"/>
    <w:rsid w:val="7D0D0D25"/>
    <w:rsid w:val="7D0DDCBB"/>
    <w:rsid w:val="7D11EA38"/>
    <w:rsid w:val="7D12FB19"/>
    <w:rsid w:val="7D17840F"/>
    <w:rsid w:val="7D18882A"/>
    <w:rsid w:val="7D1B9DC5"/>
    <w:rsid w:val="7D1BC416"/>
    <w:rsid w:val="7D1E50E2"/>
    <w:rsid w:val="7D1F3377"/>
    <w:rsid w:val="7D1F45ED"/>
    <w:rsid w:val="7D20B2CB"/>
    <w:rsid w:val="7D220EBA"/>
    <w:rsid w:val="7D2300FA"/>
    <w:rsid w:val="7D262640"/>
    <w:rsid w:val="7D29845D"/>
    <w:rsid w:val="7D29B034"/>
    <w:rsid w:val="7D2A89DE"/>
    <w:rsid w:val="7D2C7803"/>
    <w:rsid w:val="7D2D0AB6"/>
    <w:rsid w:val="7D2F3AA0"/>
    <w:rsid w:val="7D2FEB07"/>
    <w:rsid w:val="7D300D09"/>
    <w:rsid w:val="7D303713"/>
    <w:rsid w:val="7D34EC2C"/>
    <w:rsid w:val="7D363ED9"/>
    <w:rsid w:val="7D372508"/>
    <w:rsid w:val="7D375912"/>
    <w:rsid w:val="7D3918FF"/>
    <w:rsid w:val="7D399AE1"/>
    <w:rsid w:val="7D3B3CE1"/>
    <w:rsid w:val="7D3B8442"/>
    <w:rsid w:val="7D3C65D6"/>
    <w:rsid w:val="7D3C786A"/>
    <w:rsid w:val="7D3F1DAC"/>
    <w:rsid w:val="7D426D47"/>
    <w:rsid w:val="7D47C202"/>
    <w:rsid w:val="7D497FB6"/>
    <w:rsid w:val="7D4B5E96"/>
    <w:rsid w:val="7D4C8DCD"/>
    <w:rsid w:val="7D4D0644"/>
    <w:rsid w:val="7D4F850A"/>
    <w:rsid w:val="7D55479E"/>
    <w:rsid w:val="7D56BBF1"/>
    <w:rsid w:val="7D5752BF"/>
    <w:rsid w:val="7D57F00D"/>
    <w:rsid w:val="7D5B2B1F"/>
    <w:rsid w:val="7D5BCECD"/>
    <w:rsid w:val="7D5EB9CE"/>
    <w:rsid w:val="7D601307"/>
    <w:rsid w:val="7D616FCD"/>
    <w:rsid w:val="7D617A64"/>
    <w:rsid w:val="7D629385"/>
    <w:rsid w:val="7D62C2E1"/>
    <w:rsid w:val="7D633B61"/>
    <w:rsid w:val="7D68EA4B"/>
    <w:rsid w:val="7D69EDAD"/>
    <w:rsid w:val="7D6A7734"/>
    <w:rsid w:val="7D6DE98C"/>
    <w:rsid w:val="7D71224C"/>
    <w:rsid w:val="7D732EED"/>
    <w:rsid w:val="7D74F0A7"/>
    <w:rsid w:val="7D75FCB9"/>
    <w:rsid w:val="7D79CED8"/>
    <w:rsid w:val="7D7A1ED3"/>
    <w:rsid w:val="7D7A30C8"/>
    <w:rsid w:val="7D7D4953"/>
    <w:rsid w:val="7D7DEE16"/>
    <w:rsid w:val="7D80CEB8"/>
    <w:rsid w:val="7D80EF85"/>
    <w:rsid w:val="7D820C0F"/>
    <w:rsid w:val="7D823F0C"/>
    <w:rsid w:val="7D8269AF"/>
    <w:rsid w:val="7D8435E6"/>
    <w:rsid w:val="7D850D60"/>
    <w:rsid w:val="7D87CEAA"/>
    <w:rsid w:val="7D88FC87"/>
    <w:rsid w:val="7D89616C"/>
    <w:rsid w:val="7D8A7BC5"/>
    <w:rsid w:val="7D8B7A51"/>
    <w:rsid w:val="7D8B926A"/>
    <w:rsid w:val="7D8BB772"/>
    <w:rsid w:val="7D8CBBDA"/>
    <w:rsid w:val="7D8F9E13"/>
    <w:rsid w:val="7D90458B"/>
    <w:rsid w:val="7D935BA1"/>
    <w:rsid w:val="7D9377C4"/>
    <w:rsid w:val="7D969BF8"/>
    <w:rsid w:val="7D9740FC"/>
    <w:rsid w:val="7D9A418A"/>
    <w:rsid w:val="7D9C367E"/>
    <w:rsid w:val="7D9E2534"/>
    <w:rsid w:val="7DA1BF3B"/>
    <w:rsid w:val="7DA451C9"/>
    <w:rsid w:val="7DA676E0"/>
    <w:rsid w:val="7DA77866"/>
    <w:rsid w:val="7DA7F5F2"/>
    <w:rsid w:val="7DAAE93E"/>
    <w:rsid w:val="7DABEE92"/>
    <w:rsid w:val="7DAC2E2F"/>
    <w:rsid w:val="7DAC36E5"/>
    <w:rsid w:val="7DAE0148"/>
    <w:rsid w:val="7DAF450D"/>
    <w:rsid w:val="7DAFBBC9"/>
    <w:rsid w:val="7DB141F1"/>
    <w:rsid w:val="7DB16774"/>
    <w:rsid w:val="7DB1A3C9"/>
    <w:rsid w:val="7DB23ADB"/>
    <w:rsid w:val="7DB24260"/>
    <w:rsid w:val="7DB3EDAF"/>
    <w:rsid w:val="7DB4C088"/>
    <w:rsid w:val="7DB689EF"/>
    <w:rsid w:val="7DB78921"/>
    <w:rsid w:val="7DBA2019"/>
    <w:rsid w:val="7DBF6F03"/>
    <w:rsid w:val="7DC1FF41"/>
    <w:rsid w:val="7DC58411"/>
    <w:rsid w:val="7DC5D339"/>
    <w:rsid w:val="7DC73B80"/>
    <w:rsid w:val="7DC7E97C"/>
    <w:rsid w:val="7DC817AB"/>
    <w:rsid w:val="7DC82286"/>
    <w:rsid w:val="7DC85A5B"/>
    <w:rsid w:val="7DCB7257"/>
    <w:rsid w:val="7DCD04AA"/>
    <w:rsid w:val="7DCF2D04"/>
    <w:rsid w:val="7DCF3875"/>
    <w:rsid w:val="7DCFA087"/>
    <w:rsid w:val="7DCFFDA4"/>
    <w:rsid w:val="7DD3D675"/>
    <w:rsid w:val="7DD6A028"/>
    <w:rsid w:val="7DD6DA9C"/>
    <w:rsid w:val="7DD79A38"/>
    <w:rsid w:val="7DDA669E"/>
    <w:rsid w:val="7DDB0467"/>
    <w:rsid w:val="7DDBF789"/>
    <w:rsid w:val="7DDEBF07"/>
    <w:rsid w:val="7DDEF672"/>
    <w:rsid w:val="7DE21E49"/>
    <w:rsid w:val="7DE2A4E5"/>
    <w:rsid w:val="7DE7D0FA"/>
    <w:rsid w:val="7DE8F67A"/>
    <w:rsid w:val="7DEA7122"/>
    <w:rsid w:val="7DEBC413"/>
    <w:rsid w:val="7DF1084D"/>
    <w:rsid w:val="7DF6DDBC"/>
    <w:rsid w:val="7DF7BC1A"/>
    <w:rsid w:val="7DFA2880"/>
    <w:rsid w:val="7DFBB072"/>
    <w:rsid w:val="7DFC498D"/>
    <w:rsid w:val="7DFCD626"/>
    <w:rsid w:val="7DFE6A68"/>
    <w:rsid w:val="7DFE9758"/>
    <w:rsid w:val="7DFF35D1"/>
    <w:rsid w:val="7DFF90CD"/>
    <w:rsid w:val="7E02291E"/>
    <w:rsid w:val="7E03FB21"/>
    <w:rsid w:val="7E042968"/>
    <w:rsid w:val="7E064889"/>
    <w:rsid w:val="7E085106"/>
    <w:rsid w:val="7E094CF8"/>
    <w:rsid w:val="7E0A00A4"/>
    <w:rsid w:val="7E0A8E7A"/>
    <w:rsid w:val="7E0BBCCF"/>
    <w:rsid w:val="7E0BE247"/>
    <w:rsid w:val="7E0C49A6"/>
    <w:rsid w:val="7E0CFC13"/>
    <w:rsid w:val="7E0D61B8"/>
    <w:rsid w:val="7E0F797A"/>
    <w:rsid w:val="7E119B33"/>
    <w:rsid w:val="7E12F2F8"/>
    <w:rsid w:val="7E131841"/>
    <w:rsid w:val="7E14EC3D"/>
    <w:rsid w:val="7E16076B"/>
    <w:rsid w:val="7E17BB9B"/>
    <w:rsid w:val="7E17C4B1"/>
    <w:rsid w:val="7E1DF828"/>
    <w:rsid w:val="7E20E630"/>
    <w:rsid w:val="7E214E3E"/>
    <w:rsid w:val="7E235CB0"/>
    <w:rsid w:val="7E24D44C"/>
    <w:rsid w:val="7E24EF72"/>
    <w:rsid w:val="7E2597F3"/>
    <w:rsid w:val="7E2625C5"/>
    <w:rsid w:val="7E274DD8"/>
    <w:rsid w:val="7E29708E"/>
    <w:rsid w:val="7E2991A3"/>
    <w:rsid w:val="7E2CAEE9"/>
    <w:rsid w:val="7E2D871B"/>
    <w:rsid w:val="7E2EBC07"/>
    <w:rsid w:val="7E30F98C"/>
    <w:rsid w:val="7E3168A2"/>
    <w:rsid w:val="7E3974B7"/>
    <w:rsid w:val="7E39B6E5"/>
    <w:rsid w:val="7E3A995A"/>
    <w:rsid w:val="7E3C57FA"/>
    <w:rsid w:val="7E3E12BD"/>
    <w:rsid w:val="7E3E3359"/>
    <w:rsid w:val="7E4072DF"/>
    <w:rsid w:val="7E411C72"/>
    <w:rsid w:val="7E413BA3"/>
    <w:rsid w:val="7E418AF4"/>
    <w:rsid w:val="7E42FEC5"/>
    <w:rsid w:val="7E43BFD5"/>
    <w:rsid w:val="7E48EB3E"/>
    <w:rsid w:val="7E493888"/>
    <w:rsid w:val="7E4A4A69"/>
    <w:rsid w:val="7E4B5874"/>
    <w:rsid w:val="7E4D69EB"/>
    <w:rsid w:val="7E4E2A16"/>
    <w:rsid w:val="7E505D10"/>
    <w:rsid w:val="7E526CC8"/>
    <w:rsid w:val="7E5275DD"/>
    <w:rsid w:val="7E535A34"/>
    <w:rsid w:val="7E5438BF"/>
    <w:rsid w:val="7E545FE3"/>
    <w:rsid w:val="7E5650B4"/>
    <w:rsid w:val="7E566872"/>
    <w:rsid w:val="7E5DC265"/>
    <w:rsid w:val="7E5E74DB"/>
    <w:rsid w:val="7E648C60"/>
    <w:rsid w:val="7E6505B3"/>
    <w:rsid w:val="7E652605"/>
    <w:rsid w:val="7E6930CC"/>
    <w:rsid w:val="7E6C1176"/>
    <w:rsid w:val="7E6C2AA0"/>
    <w:rsid w:val="7E6C9243"/>
    <w:rsid w:val="7E6CADF5"/>
    <w:rsid w:val="7E6F1AC9"/>
    <w:rsid w:val="7E7169EB"/>
    <w:rsid w:val="7E71A027"/>
    <w:rsid w:val="7E75AFA5"/>
    <w:rsid w:val="7E7A6462"/>
    <w:rsid w:val="7E7B858E"/>
    <w:rsid w:val="7E7BA6D2"/>
    <w:rsid w:val="7E7BF4CD"/>
    <w:rsid w:val="7E7C3E19"/>
    <w:rsid w:val="7E7C6593"/>
    <w:rsid w:val="7E7EF357"/>
    <w:rsid w:val="7E85BDD5"/>
    <w:rsid w:val="7E87E530"/>
    <w:rsid w:val="7E8C4CBE"/>
    <w:rsid w:val="7E8E0BE2"/>
    <w:rsid w:val="7E8EF278"/>
    <w:rsid w:val="7E8F0386"/>
    <w:rsid w:val="7E8F36AD"/>
    <w:rsid w:val="7E904606"/>
    <w:rsid w:val="7E90CE01"/>
    <w:rsid w:val="7E90FAB3"/>
    <w:rsid w:val="7E912FE9"/>
    <w:rsid w:val="7E916271"/>
    <w:rsid w:val="7E919BC4"/>
    <w:rsid w:val="7E91FAFB"/>
    <w:rsid w:val="7E9321AC"/>
    <w:rsid w:val="7E94519A"/>
    <w:rsid w:val="7E945F7F"/>
    <w:rsid w:val="7E9DD4E4"/>
    <w:rsid w:val="7E9E8FB8"/>
    <w:rsid w:val="7EA44E86"/>
    <w:rsid w:val="7EA5B67F"/>
    <w:rsid w:val="7EA645C0"/>
    <w:rsid w:val="7EA72BC4"/>
    <w:rsid w:val="7EA9AAE0"/>
    <w:rsid w:val="7EAAD69F"/>
    <w:rsid w:val="7EACFA61"/>
    <w:rsid w:val="7EAED96F"/>
    <w:rsid w:val="7EB0EC47"/>
    <w:rsid w:val="7EB57E90"/>
    <w:rsid w:val="7EB71A22"/>
    <w:rsid w:val="7EB77BE1"/>
    <w:rsid w:val="7EB982E0"/>
    <w:rsid w:val="7EBA9306"/>
    <w:rsid w:val="7EBBF149"/>
    <w:rsid w:val="7EBC34A7"/>
    <w:rsid w:val="7EBD8A50"/>
    <w:rsid w:val="7EBE4346"/>
    <w:rsid w:val="7EBF8ABD"/>
    <w:rsid w:val="7EC01C63"/>
    <w:rsid w:val="7EC0A051"/>
    <w:rsid w:val="7EC15BE0"/>
    <w:rsid w:val="7EC190D7"/>
    <w:rsid w:val="7EC4F75F"/>
    <w:rsid w:val="7EC5B0A9"/>
    <w:rsid w:val="7EC5B8DB"/>
    <w:rsid w:val="7ECBA981"/>
    <w:rsid w:val="7ECD4E40"/>
    <w:rsid w:val="7ECD6C55"/>
    <w:rsid w:val="7ECDE18A"/>
    <w:rsid w:val="7ECE70A4"/>
    <w:rsid w:val="7ED22735"/>
    <w:rsid w:val="7ED2CF1C"/>
    <w:rsid w:val="7ED65E76"/>
    <w:rsid w:val="7ED6D049"/>
    <w:rsid w:val="7ED8A8C8"/>
    <w:rsid w:val="7EDB8972"/>
    <w:rsid w:val="7EE24859"/>
    <w:rsid w:val="7EE2E2B6"/>
    <w:rsid w:val="7EEABECD"/>
    <w:rsid w:val="7EEAC37B"/>
    <w:rsid w:val="7EEC0758"/>
    <w:rsid w:val="7EECD9C2"/>
    <w:rsid w:val="7EEDC4E0"/>
    <w:rsid w:val="7EEDDAF9"/>
    <w:rsid w:val="7EEE792F"/>
    <w:rsid w:val="7EF1FC2B"/>
    <w:rsid w:val="7EF21CC7"/>
    <w:rsid w:val="7EF2CD9D"/>
    <w:rsid w:val="7EFBEFA2"/>
    <w:rsid w:val="7EFE7C8E"/>
    <w:rsid w:val="7EFEC9F5"/>
    <w:rsid w:val="7F00BD44"/>
    <w:rsid w:val="7F02CA89"/>
    <w:rsid w:val="7F02D2B7"/>
    <w:rsid w:val="7F078CDD"/>
    <w:rsid w:val="7F07C0DA"/>
    <w:rsid w:val="7F09C26C"/>
    <w:rsid w:val="7F0BF8C0"/>
    <w:rsid w:val="7F0C0EE2"/>
    <w:rsid w:val="7F0EBC6C"/>
    <w:rsid w:val="7F0F878E"/>
    <w:rsid w:val="7F0FB54A"/>
    <w:rsid w:val="7F11F067"/>
    <w:rsid w:val="7F121BA7"/>
    <w:rsid w:val="7F15D4D9"/>
    <w:rsid w:val="7F174B86"/>
    <w:rsid w:val="7F1799A2"/>
    <w:rsid w:val="7F17A70E"/>
    <w:rsid w:val="7F17B43E"/>
    <w:rsid w:val="7F1827E7"/>
    <w:rsid w:val="7F18BFB3"/>
    <w:rsid w:val="7F199CEC"/>
    <w:rsid w:val="7F1E26BD"/>
    <w:rsid w:val="7F235F46"/>
    <w:rsid w:val="7F259830"/>
    <w:rsid w:val="7F2896E4"/>
    <w:rsid w:val="7F29DA3B"/>
    <w:rsid w:val="7F2A85DC"/>
    <w:rsid w:val="7F2D38E0"/>
    <w:rsid w:val="7F309FEB"/>
    <w:rsid w:val="7F30A86B"/>
    <w:rsid w:val="7F322C7B"/>
    <w:rsid w:val="7F330187"/>
    <w:rsid w:val="7F359E31"/>
    <w:rsid w:val="7F35B629"/>
    <w:rsid w:val="7F35E502"/>
    <w:rsid w:val="7F36D3A9"/>
    <w:rsid w:val="7F37277D"/>
    <w:rsid w:val="7F3803A5"/>
    <w:rsid w:val="7F3B9B49"/>
    <w:rsid w:val="7F3C1A26"/>
    <w:rsid w:val="7F3D540E"/>
    <w:rsid w:val="7F3E5904"/>
    <w:rsid w:val="7F41B062"/>
    <w:rsid w:val="7F41E5E6"/>
    <w:rsid w:val="7F43574C"/>
    <w:rsid w:val="7F445423"/>
    <w:rsid w:val="7F47DBE9"/>
    <w:rsid w:val="7F47FA44"/>
    <w:rsid w:val="7F4869E3"/>
    <w:rsid w:val="7F486A91"/>
    <w:rsid w:val="7F4948F9"/>
    <w:rsid w:val="7F49E212"/>
    <w:rsid w:val="7F4B5F94"/>
    <w:rsid w:val="7F4CDA98"/>
    <w:rsid w:val="7F4D891D"/>
    <w:rsid w:val="7F5064C4"/>
    <w:rsid w:val="7F50CA10"/>
    <w:rsid w:val="7F519CAF"/>
    <w:rsid w:val="7F53E8D8"/>
    <w:rsid w:val="7F56588E"/>
    <w:rsid w:val="7F5A78C5"/>
    <w:rsid w:val="7F5DC85E"/>
    <w:rsid w:val="7F5E831D"/>
    <w:rsid w:val="7F5F622D"/>
    <w:rsid w:val="7F611E72"/>
    <w:rsid w:val="7F62FE47"/>
    <w:rsid w:val="7F64580C"/>
    <w:rsid w:val="7F6777F5"/>
    <w:rsid w:val="7F690312"/>
    <w:rsid w:val="7F6A59A2"/>
    <w:rsid w:val="7F6C82CB"/>
    <w:rsid w:val="7F6C8CFE"/>
    <w:rsid w:val="7F6CA201"/>
    <w:rsid w:val="7F71677D"/>
    <w:rsid w:val="7F71B976"/>
    <w:rsid w:val="7F71C123"/>
    <w:rsid w:val="7F7208CD"/>
    <w:rsid w:val="7F738802"/>
    <w:rsid w:val="7F750A34"/>
    <w:rsid w:val="7F759BC6"/>
    <w:rsid w:val="7F762BE1"/>
    <w:rsid w:val="7F76867F"/>
    <w:rsid w:val="7F78A497"/>
    <w:rsid w:val="7F78F819"/>
    <w:rsid w:val="7F79A88C"/>
    <w:rsid w:val="7F7A1819"/>
    <w:rsid w:val="7F7FBD3B"/>
    <w:rsid w:val="7F807F0F"/>
    <w:rsid w:val="7F830329"/>
    <w:rsid w:val="7F846976"/>
    <w:rsid w:val="7F85B24C"/>
    <w:rsid w:val="7F876331"/>
    <w:rsid w:val="7F8A7A2C"/>
    <w:rsid w:val="7F8AEEE6"/>
    <w:rsid w:val="7F8B10BD"/>
    <w:rsid w:val="7F8B8806"/>
    <w:rsid w:val="7F8EF001"/>
    <w:rsid w:val="7F91E35E"/>
    <w:rsid w:val="7F944E71"/>
    <w:rsid w:val="7F954CBB"/>
    <w:rsid w:val="7F983AF8"/>
    <w:rsid w:val="7F987937"/>
    <w:rsid w:val="7F998EB3"/>
    <w:rsid w:val="7F9A2047"/>
    <w:rsid w:val="7F9A5FE4"/>
    <w:rsid w:val="7F9CF1D5"/>
    <w:rsid w:val="7FA22495"/>
    <w:rsid w:val="7FA2B425"/>
    <w:rsid w:val="7FA3D12A"/>
    <w:rsid w:val="7FA4D8F1"/>
    <w:rsid w:val="7FA65EEF"/>
    <w:rsid w:val="7FA92A99"/>
    <w:rsid w:val="7FA9E2F7"/>
    <w:rsid w:val="7FABF1D0"/>
    <w:rsid w:val="7FAC3D11"/>
    <w:rsid w:val="7FAC3E07"/>
    <w:rsid w:val="7FACBE18"/>
    <w:rsid w:val="7FADF66C"/>
    <w:rsid w:val="7FAE43DF"/>
    <w:rsid w:val="7FAECE26"/>
    <w:rsid w:val="7FAFF79A"/>
    <w:rsid w:val="7FB054DA"/>
    <w:rsid w:val="7FB12999"/>
    <w:rsid w:val="7FB149F0"/>
    <w:rsid w:val="7FB20AA3"/>
    <w:rsid w:val="7FB27B08"/>
    <w:rsid w:val="7FB2D233"/>
    <w:rsid w:val="7FB7932F"/>
    <w:rsid w:val="7FB7CA01"/>
    <w:rsid w:val="7FB8B7E2"/>
    <w:rsid w:val="7FBA53E3"/>
    <w:rsid w:val="7FBBAF93"/>
    <w:rsid w:val="7FBEAADE"/>
    <w:rsid w:val="7FBFFA88"/>
    <w:rsid w:val="7FC04ED9"/>
    <w:rsid w:val="7FC13258"/>
    <w:rsid w:val="7FC37A23"/>
    <w:rsid w:val="7FC44242"/>
    <w:rsid w:val="7FC6DF70"/>
    <w:rsid w:val="7FC9FB00"/>
    <w:rsid w:val="7FCA0DFB"/>
    <w:rsid w:val="7FCBD2A8"/>
    <w:rsid w:val="7FCCA079"/>
    <w:rsid w:val="7FCF1189"/>
    <w:rsid w:val="7FD49814"/>
    <w:rsid w:val="7FD8C8F3"/>
    <w:rsid w:val="7FDB2FA4"/>
    <w:rsid w:val="7FDDF6A6"/>
    <w:rsid w:val="7FDF6EC0"/>
    <w:rsid w:val="7FE06252"/>
    <w:rsid w:val="7FE0CD4D"/>
    <w:rsid w:val="7FE2C875"/>
    <w:rsid w:val="7FE2EE92"/>
    <w:rsid w:val="7FE32DBF"/>
    <w:rsid w:val="7FE5B76A"/>
    <w:rsid w:val="7FE92C8E"/>
    <w:rsid w:val="7FEC37C1"/>
    <w:rsid w:val="7FED90F4"/>
    <w:rsid w:val="7FEFAB1A"/>
    <w:rsid w:val="7FEFDF7E"/>
    <w:rsid w:val="7FF03BC6"/>
    <w:rsid w:val="7FF063BF"/>
    <w:rsid w:val="7FF08FE6"/>
    <w:rsid w:val="7FF1B608"/>
    <w:rsid w:val="7FF2EE81"/>
    <w:rsid w:val="7FF32242"/>
    <w:rsid w:val="7FF499FC"/>
    <w:rsid w:val="7FF5FFD2"/>
    <w:rsid w:val="7FF64A12"/>
    <w:rsid w:val="7FF6AA01"/>
    <w:rsid w:val="7FFA4A0C"/>
    <w:rsid w:val="7FFF1A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3AADFD4"/>
  <w15:docId w15:val="{15D3F1E5-5EF9-4CCF-B54C-AA5D5A57C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lang w:val="de"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26FEB"/>
  </w:style>
  <w:style w:type="paragraph" w:styleId="Heading1">
    <w:name w:val="heading 1"/>
    <w:basedOn w:val="Normal"/>
    <w:next w:val="Normal"/>
    <w:qFormat/>
    <w:pPr>
      <w:keepNext/>
      <w:spacing w:before="360" w:after="120" w:line="240" w:lineRule="auto"/>
      <w:ind w:left="850" w:hanging="850"/>
      <w:jc w:val="both"/>
      <w:outlineLvl w:val="0"/>
    </w:pPr>
    <w:rPr>
      <w:rFonts w:ascii="Times New Roman" w:eastAsia="Times New Roman" w:hAnsi="Times New Roman" w:cs="Times New Roman"/>
      <w:b/>
      <w:smallCaps/>
      <w:sz w:val="24"/>
    </w:rPr>
  </w:style>
  <w:style w:type="paragraph" w:styleId="Heading2">
    <w:name w:val="heading 2"/>
    <w:basedOn w:val="Normal"/>
    <w:next w:val="Normal"/>
    <w:qFormat/>
    <w:pPr>
      <w:keepNext/>
      <w:spacing w:before="120" w:after="120" w:line="240" w:lineRule="auto"/>
      <w:ind w:left="850" w:hanging="850"/>
      <w:jc w:val="both"/>
      <w:outlineLvl w:val="1"/>
    </w:pPr>
    <w:rPr>
      <w:rFonts w:ascii="Times New Roman" w:eastAsia="Times New Roman" w:hAnsi="Times New Roman" w:cs="Times New Roman"/>
      <w:b/>
      <w:sz w:val="24"/>
    </w:rPr>
  </w:style>
  <w:style w:type="paragraph" w:styleId="Heading3">
    <w:name w:val="heading 3"/>
    <w:basedOn w:val="Normal"/>
    <w:next w:val="Normal"/>
    <w:qFormat/>
    <w:pPr>
      <w:keepNext/>
      <w:spacing w:before="120" w:after="120" w:line="240" w:lineRule="auto"/>
      <w:ind w:left="850" w:hanging="850"/>
      <w:jc w:val="both"/>
      <w:outlineLvl w:val="2"/>
    </w:pPr>
    <w:rPr>
      <w:rFonts w:ascii="Times New Roman" w:eastAsia="Times New Roman" w:hAnsi="Times New Roman" w:cs="Times New Roman"/>
      <w:i/>
      <w:sz w:val="24"/>
    </w:rPr>
  </w:style>
  <w:style w:type="paragraph" w:styleId="Heading4">
    <w:name w:val="heading 4"/>
    <w:basedOn w:val="Normal"/>
    <w:next w:val="Normal"/>
    <w:pPr>
      <w:keepNext/>
      <w:spacing w:before="120" w:after="120" w:line="240" w:lineRule="auto"/>
      <w:ind w:left="850" w:hanging="850"/>
      <w:jc w:val="both"/>
      <w:outlineLvl w:val="3"/>
    </w:pPr>
    <w:rPr>
      <w:rFonts w:ascii="Times New Roman" w:eastAsia="Times New Roman" w:hAnsi="Times New Roman" w:cs="Times New Roman"/>
      <w:sz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customStyle="1" w:styleId="Normal0">
    <w:name w:val="Normal0"/>
  </w:style>
  <w:style w:type="paragraph" w:customStyle="1" w:styleId="heading10">
    <w:name w:val="heading 10"/>
    <w:basedOn w:val="Normal0"/>
    <w:next w:val="Normal0"/>
    <w:pPr>
      <w:keepNext/>
      <w:spacing w:before="360" w:after="120" w:line="240" w:lineRule="auto"/>
      <w:ind w:left="850" w:hanging="850"/>
      <w:jc w:val="both"/>
      <w:outlineLvl w:val="0"/>
    </w:pPr>
    <w:rPr>
      <w:rFonts w:ascii="Times New Roman" w:eastAsia="Times New Roman" w:hAnsi="Times New Roman" w:cs="Times New Roman"/>
      <w:b/>
      <w:smallCaps/>
      <w:sz w:val="24"/>
    </w:rPr>
  </w:style>
  <w:style w:type="paragraph" w:customStyle="1" w:styleId="heading20">
    <w:name w:val="heading 20"/>
    <w:basedOn w:val="Normal0"/>
    <w:next w:val="Normal0"/>
    <w:pPr>
      <w:keepNext/>
      <w:spacing w:before="120" w:after="120" w:line="240" w:lineRule="auto"/>
      <w:ind w:left="850" w:hanging="850"/>
      <w:jc w:val="both"/>
      <w:outlineLvl w:val="1"/>
    </w:pPr>
    <w:rPr>
      <w:rFonts w:ascii="Times New Roman" w:eastAsia="Times New Roman" w:hAnsi="Times New Roman" w:cs="Times New Roman"/>
      <w:b/>
      <w:sz w:val="24"/>
    </w:rPr>
  </w:style>
  <w:style w:type="paragraph" w:customStyle="1" w:styleId="heading30">
    <w:name w:val="heading 30"/>
    <w:basedOn w:val="Normal0"/>
    <w:next w:val="Normal0"/>
    <w:pPr>
      <w:keepNext/>
      <w:spacing w:before="120" w:after="120" w:line="240" w:lineRule="auto"/>
      <w:ind w:left="850" w:hanging="850"/>
      <w:jc w:val="both"/>
      <w:outlineLvl w:val="2"/>
    </w:pPr>
    <w:rPr>
      <w:rFonts w:ascii="Times New Roman" w:eastAsia="Times New Roman" w:hAnsi="Times New Roman" w:cs="Times New Roman"/>
      <w:i/>
      <w:sz w:val="24"/>
    </w:rPr>
  </w:style>
  <w:style w:type="paragraph" w:customStyle="1" w:styleId="heading40">
    <w:name w:val="heading 40"/>
    <w:basedOn w:val="Normal0"/>
    <w:next w:val="Normal0"/>
    <w:pPr>
      <w:keepNext/>
      <w:spacing w:before="120" w:after="120" w:line="240" w:lineRule="auto"/>
      <w:ind w:left="850" w:hanging="850"/>
      <w:jc w:val="both"/>
      <w:outlineLvl w:val="3"/>
    </w:pPr>
    <w:rPr>
      <w:rFonts w:ascii="Times New Roman" w:eastAsia="Times New Roman" w:hAnsi="Times New Roman" w:cs="Times New Roman"/>
      <w:sz w:val="24"/>
    </w:rPr>
  </w:style>
  <w:style w:type="paragraph" w:customStyle="1" w:styleId="heading50">
    <w:name w:val="heading 50"/>
    <w:basedOn w:val="Normal0"/>
    <w:next w:val="Normal0"/>
    <w:pPr>
      <w:keepNext/>
      <w:keepLines/>
      <w:spacing w:before="220" w:after="40"/>
      <w:outlineLvl w:val="4"/>
    </w:pPr>
    <w:rPr>
      <w:b/>
    </w:rPr>
  </w:style>
  <w:style w:type="paragraph" w:customStyle="1" w:styleId="heading60">
    <w:name w:val="heading 60"/>
    <w:basedOn w:val="Normal0"/>
    <w:next w:val="Normal0"/>
    <w:pPr>
      <w:keepNext/>
      <w:keepLines/>
      <w:spacing w:before="200" w:after="40"/>
      <w:outlineLvl w:val="5"/>
    </w:pPr>
    <w:rPr>
      <w:b/>
      <w:sz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pPr>
      <w:keepNext/>
      <w:keepLines/>
      <w:spacing w:before="480" w:after="120"/>
    </w:pPr>
    <w:rPr>
      <w:b/>
      <w:sz w:val="72"/>
    </w:rPr>
  </w:style>
  <w:style w:type="paragraph" w:customStyle="1" w:styleId="Normal00">
    <w:name w:val="Normal00"/>
    <w:qFormat/>
  </w:style>
  <w:style w:type="paragraph" w:customStyle="1" w:styleId="heading100">
    <w:name w:val="heading 100"/>
    <w:basedOn w:val="Normal00"/>
    <w:next w:val="Text1"/>
    <w:link w:val="Heading1Char"/>
    <w:uiPriority w:val="9"/>
    <w:qFormat/>
    <w:pPr>
      <w:keepNext/>
      <w:tabs>
        <w:tab w:val="num" w:pos="720"/>
      </w:tabs>
      <w:spacing w:before="360" w:after="120" w:line="240" w:lineRule="auto"/>
      <w:ind w:left="720" w:hanging="720"/>
      <w:jc w:val="both"/>
      <w:outlineLvl w:val="0"/>
    </w:pPr>
    <w:rPr>
      <w:rFonts w:ascii="Times New Roman" w:eastAsiaTheme="majorEastAsia" w:hAnsi="Times New Roman" w:cs="Times New Roman"/>
      <w:b/>
      <w:smallCaps/>
      <w:sz w:val="24"/>
    </w:rPr>
  </w:style>
  <w:style w:type="paragraph" w:customStyle="1" w:styleId="heading200">
    <w:name w:val="heading 200"/>
    <w:basedOn w:val="Normal00"/>
    <w:next w:val="Text1"/>
    <w:link w:val="Heading2Char"/>
    <w:uiPriority w:val="9"/>
    <w:semiHidden/>
    <w:unhideWhenUsed/>
    <w:qFormat/>
    <w:pPr>
      <w:keepNext/>
      <w:tabs>
        <w:tab w:val="num" w:pos="1440"/>
      </w:tabs>
      <w:spacing w:before="120" w:after="120" w:line="240" w:lineRule="auto"/>
      <w:ind w:left="1440" w:hanging="720"/>
      <w:jc w:val="both"/>
      <w:outlineLvl w:val="1"/>
    </w:pPr>
    <w:rPr>
      <w:rFonts w:ascii="Times New Roman" w:eastAsiaTheme="majorEastAsia" w:hAnsi="Times New Roman" w:cs="Times New Roman"/>
      <w:b/>
      <w:sz w:val="24"/>
    </w:rPr>
  </w:style>
  <w:style w:type="paragraph" w:customStyle="1" w:styleId="heading300">
    <w:name w:val="heading 300"/>
    <w:basedOn w:val="Normal00"/>
    <w:next w:val="Text1"/>
    <w:link w:val="Heading3Char"/>
    <w:uiPriority w:val="9"/>
    <w:semiHidden/>
    <w:unhideWhenUsed/>
    <w:qFormat/>
    <w:pPr>
      <w:keepNext/>
      <w:tabs>
        <w:tab w:val="num" w:pos="2160"/>
      </w:tabs>
      <w:spacing w:before="120" w:after="120" w:line="240" w:lineRule="auto"/>
      <w:ind w:left="2160" w:hanging="720"/>
      <w:jc w:val="both"/>
      <w:outlineLvl w:val="2"/>
    </w:pPr>
    <w:rPr>
      <w:rFonts w:ascii="Times New Roman" w:eastAsiaTheme="majorEastAsia" w:hAnsi="Times New Roman" w:cs="Times New Roman"/>
      <w:i/>
      <w:sz w:val="24"/>
    </w:rPr>
  </w:style>
  <w:style w:type="paragraph" w:customStyle="1" w:styleId="heading400">
    <w:name w:val="heading 400"/>
    <w:basedOn w:val="Normal00"/>
    <w:next w:val="Text1"/>
    <w:link w:val="Heading4Char"/>
    <w:uiPriority w:val="9"/>
    <w:semiHidden/>
    <w:unhideWhenUsed/>
    <w:qFormat/>
    <w:pPr>
      <w:keepNext/>
      <w:tabs>
        <w:tab w:val="num" w:pos="2880"/>
      </w:tabs>
      <w:spacing w:before="120" w:after="120" w:line="240" w:lineRule="auto"/>
      <w:ind w:left="2880" w:hanging="720"/>
      <w:jc w:val="both"/>
      <w:outlineLvl w:val="3"/>
    </w:pPr>
    <w:rPr>
      <w:rFonts w:ascii="Times New Roman" w:eastAsiaTheme="majorEastAsia" w:hAnsi="Times New Roman" w:cs="Times New Roman"/>
      <w:sz w:val="24"/>
    </w:rPr>
  </w:style>
  <w:style w:type="table" w:customStyle="1" w:styleId="NormalTable00">
    <w:name w:val="Normal Table00"/>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00"/>
    <w:uiPriority w:val="9"/>
    <w:rPr>
      <w:rFonts w:ascii="Times New Roman" w:eastAsiaTheme="majorEastAsia" w:hAnsi="Times New Roman" w:cs="Times New Roman"/>
      <w:b/>
      <w:smallCaps/>
      <w:sz w:val="24"/>
    </w:rPr>
  </w:style>
  <w:style w:type="character" w:customStyle="1" w:styleId="Heading2Char">
    <w:name w:val="Heading 2 Char"/>
    <w:basedOn w:val="DefaultParagraphFont"/>
    <w:link w:val="heading200"/>
    <w:uiPriority w:val="9"/>
    <w:rPr>
      <w:rFonts w:ascii="Times New Roman" w:eastAsiaTheme="majorEastAsia" w:hAnsi="Times New Roman" w:cs="Times New Roman"/>
      <w:b/>
      <w:sz w:val="24"/>
    </w:rPr>
  </w:style>
  <w:style w:type="character" w:customStyle="1" w:styleId="Heading3Char">
    <w:name w:val="Heading 3 Char"/>
    <w:basedOn w:val="DefaultParagraphFont"/>
    <w:link w:val="heading300"/>
    <w:uiPriority w:val="9"/>
    <w:rPr>
      <w:rFonts w:ascii="Times New Roman" w:eastAsiaTheme="majorEastAsia" w:hAnsi="Times New Roman" w:cs="Times New Roman"/>
      <w:i/>
      <w:sz w:val="24"/>
    </w:rPr>
  </w:style>
  <w:style w:type="character" w:customStyle="1" w:styleId="Heading4Char">
    <w:name w:val="Heading 4 Char"/>
    <w:basedOn w:val="DefaultParagraphFont"/>
    <w:link w:val="heading400"/>
    <w:uiPriority w:val="9"/>
    <w:semiHidden/>
    <w:rPr>
      <w:rFonts w:ascii="Times New Roman" w:eastAsiaTheme="majorEastAsia" w:hAnsi="Times New Roman" w:cs="Times New Roman"/>
      <w:sz w:val="24"/>
    </w:rPr>
  </w:style>
  <w:style w:type="numbering" w:customStyle="1" w:styleId="NoList1">
    <w:name w:val="No List1"/>
    <w:next w:val="NoList"/>
    <w:uiPriority w:val="99"/>
    <w:semiHidden/>
    <w:unhideWhenUsed/>
  </w:style>
  <w:style w:type="character" w:styleId="CommentReference">
    <w:name w:val="annotation reference"/>
    <w:basedOn w:val="DefaultParagraphFont"/>
    <w:uiPriority w:val="99"/>
    <w:unhideWhenUsed/>
    <w:rPr>
      <w:sz w:val="16"/>
    </w:rPr>
  </w:style>
  <w:style w:type="paragraph" w:styleId="CommentText">
    <w:name w:val="annotation text"/>
    <w:basedOn w:val="Normal00"/>
    <w:link w:val="CommentTextChar"/>
    <w:uiPriority w:val="99"/>
    <w:unhideWhenUsed/>
    <w:pPr>
      <w:spacing w:before="120" w:after="120" w:line="240" w:lineRule="auto"/>
      <w:jc w:val="both"/>
    </w:pPr>
    <w:rPr>
      <w:rFonts w:ascii="Times New Roman" w:hAnsi="Times New Roman" w:cs="Times New Roman"/>
      <w:sz w:val="20"/>
    </w:rPr>
  </w:style>
  <w:style w:type="character" w:customStyle="1" w:styleId="CommentTextChar">
    <w:name w:val="Comment Text Char"/>
    <w:basedOn w:val="DefaultParagraphFont"/>
    <w:link w:val="CommentText"/>
    <w:uiPriority w:val="99"/>
    <w:rPr>
      <w:rFonts w:ascii="Times New Roman" w:hAnsi="Times New Roman" w:cs="Times New Roman"/>
      <w:sz w:val="20"/>
    </w:rPr>
  </w:style>
  <w:style w:type="paragraph" w:styleId="ListParagraph">
    <w:name w:val="List Paragraph"/>
    <w:aliases w:val="numbered list,2,OBC Bullet,Normal 1,Task Body,Viñetas (Inicio Parrafo),Paragrafo elenco,3 Txt tabla,Zerrenda-paragrafoa,Fiche List Paragraph,Dot pt,F5 List Paragraph,List Paragraph1,No Spacing1,List Paragraph Char Char Char,Indicator Text"/>
    <w:basedOn w:val="Normal00"/>
    <w:link w:val="ListParagraphChar"/>
    <w:uiPriority w:val="34"/>
    <w:qFormat/>
    <w:pPr>
      <w:spacing w:after="160" w:line="259" w:lineRule="auto"/>
      <w:ind w:left="720"/>
      <w:contextualSpacing/>
    </w:p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basedOn w:val="DefaultParagraphFont"/>
    <w:link w:val="ListParagraph"/>
    <w:uiPriority w:val="34"/>
    <w:qFormat/>
    <w:locked/>
  </w:style>
  <w:style w:type="character" w:styleId="IntenseEmphasis">
    <w:name w:val="Intense Emphasis"/>
    <w:basedOn w:val="DefaultParagraphFont"/>
    <w:uiPriority w:val="21"/>
    <w:qFormat/>
    <w:rPr>
      <w:i/>
      <w:color w:val="4F81BD" w:themeColor="accent1"/>
    </w:rPr>
  </w:style>
  <w:style w:type="paragraph" w:styleId="BalloonText">
    <w:name w:val="Balloon Text"/>
    <w:basedOn w:val="Normal00"/>
    <w:link w:val="BalloonTextChar"/>
    <w:uiPriority w:val="99"/>
    <w:semiHidden/>
    <w:unhideWhenUsed/>
    <w:pPr>
      <w:spacing w:after="0" w:line="240" w:lineRule="auto"/>
      <w:jc w:val="both"/>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ListBullet">
    <w:name w:val="List Bullet"/>
    <w:basedOn w:val="Normal00"/>
    <w:uiPriority w:val="99"/>
    <w:semiHidden/>
    <w:unhideWhenUsed/>
    <w:pPr>
      <w:tabs>
        <w:tab w:val="num" w:pos="720"/>
      </w:tabs>
      <w:spacing w:before="120" w:after="120" w:line="240" w:lineRule="auto"/>
      <w:ind w:left="720" w:hanging="720"/>
      <w:contextualSpacing/>
      <w:jc w:val="both"/>
    </w:pPr>
    <w:rPr>
      <w:rFonts w:ascii="Times New Roman" w:hAnsi="Times New Roman" w:cs="Times New Roman"/>
      <w:sz w:val="24"/>
    </w:rPr>
  </w:style>
  <w:style w:type="paragraph" w:styleId="ListBullet2">
    <w:name w:val="List Bullet 2"/>
    <w:basedOn w:val="Normal00"/>
    <w:uiPriority w:val="99"/>
    <w:unhideWhenUsed/>
    <w:pPr>
      <w:tabs>
        <w:tab w:val="num" w:pos="720"/>
      </w:tabs>
      <w:spacing w:before="120" w:after="120" w:line="240" w:lineRule="auto"/>
      <w:ind w:left="720" w:hanging="720"/>
      <w:contextualSpacing/>
      <w:jc w:val="both"/>
    </w:pPr>
    <w:rPr>
      <w:rFonts w:ascii="Times New Roman" w:hAnsi="Times New Roman" w:cs="Times New Roman"/>
      <w:sz w:val="24"/>
    </w:rPr>
  </w:style>
  <w:style w:type="paragraph" w:styleId="ListBullet3">
    <w:name w:val="List Bullet 3"/>
    <w:basedOn w:val="Normal00"/>
    <w:uiPriority w:val="99"/>
    <w:semiHidden/>
    <w:unhideWhenUsed/>
    <w:pPr>
      <w:tabs>
        <w:tab w:val="num" w:pos="720"/>
      </w:tabs>
      <w:spacing w:before="120" w:after="120" w:line="240" w:lineRule="auto"/>
      <w:ind w:left="720" w:hanging="720"/>
      <w:contextualSpacing/>
      <w:jc w:val="both"/>
    </w:pPr>
    <w:rPr>
      <w:rFonts w:ascii="Times New Roman" w:hAnsi="Times New Roman" w:cs="Times New Roman"/>
      <w:sz w:val="24"/>
    </w:rPr>
  </w:style>
  <w:style w:type="paragraph" w:styleId="ListBullet4">
    <w:name w:val="List Bullet 4"/>
    <w:basedOn w:val="Normal00"/>
    <w:uiPriority w:val="99"/>
    <w:semiHidden/>
    <w:unhideWhenUsed/>
    <w:pPr>
      <w:tabs>
        <w:tab w:val="num" w:pos="720"/>
      </w:tabs>
      <w:spacing w:before="120" w:after="120" w:line="240" w:lineRule="auto"/>
      <w:ind w:left="720" w:hanging="720"/>
      <w:contextualSpacing/>
      <w:jc w:val="both"/>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Pr>
      <w:b/>
    </w:rPr>
  </w:style>
  <w:style w:type="character" w:customStyle="1" w:styleId="CommentSubjectChar">
    <w:name w:val="Comment Subject Char"/>
    <w:basedOn w:val="CommentTextChar"/>
    <w:link w:val="CommentSubject"/>
    <w:uiPriority w:val="99"/>
    <w:semiHidden/>
    <w:rPr>
      <w:rFonts w:ascii="Times New Roman" w:hAnsi="Times New Roman" w:cs="Times New Roman"/>
      <w:b/>
      <w:sz w:val="20"/>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00"/>
    <w:next w:val="Normal00"/>
    <w:uiPriority w:val="35"/>
    <w:semiHidden/>
    <w:unhideWhenUsed/>
    <w:qFormat/>
    <w:pPr>
      <w:spacing w:line="240" w:lineRule="auto"/>
      <w:jc w:val="both"/>
    </w:pPr>
    <w:rPr>
      <w:rFonts w:ascii="Times New Roman" w:hAnsi="Times New Roman" w:cs="Times New Roman"/>
      <w:i/>
      <w:color w:val="1F497D" w:themeColor="text2"/>
      <w:sz w:val="18"/>
    </w:rPr>
  </w:style>
  <w:style w:type="paragraph" w:styleId="TableofFigures">
    <w:name w:val="table of figures"/>
    <w:basedOn w:val="Normal00"/>
    <w:next w:val="Normal00"/>
    <w:uiPriority w:val="99"/>
    <w:semiHidden/>
    <w:unhideWhenUsed/>
    <w:pPr>
      <w:spacing w:before="120" w:after="0" w:line="240" w:lineRule="auto"/>
      <w:jc w:val="both"/>
    </w:pPr>
    <w:rPr>
      <w:rFonts w:ascii="Times New Roman" w:hAnsi="Times New Roman" w:cs="Times New Roman"/>
      <w:sz w:val="24"/>
    </w:rPr>
  </w:style>
  <w:style w:type="paragraph" w:styleId="ListNumber">
    <w:name w:val="List Number"/>
    <w:basedOn w:val="Normal00"/>
    <w:uiPriority w:val="99"/>
    <w:semiHidden/>
    <w:unhideWhenUsed/>
    <w:pPr>
      <w:tabs>
        <w:tab w:val="num" w:pos="720"/>
      </w:tabs>
      <w:spacing w:before="120" w:after="120" w:line="240" w:lineRule="auto"/>
      <w:ind w:left="720" w:hanging="720"/>
      <w:contextualSpacing/>
      <w:jc w:val="both"/>
    </w:pPr>
    <w:rPr>
      <w:rFonts w:ascii="Times New Roman" w:hAnsi="Times New Roman" w:cs="Times New Roman"/>
      <w:sz w:val="24"/>
    </w:rPr>
  </w:style>
  <w:style w:type="paragraph" w:styleId="ListNumber2">
    <w:name w:val="List Number 2"/>
    <w:basedOn w:val="Normal00"/>
    <w:uiPriority w:val="99"/>
    <w:semiHidden/>
    <w:unhideWhenUsed/>
    <w:pPr>
      <w:tabs>
        <w:tab w:val="num" w:pos="720"/>
      </w:tabs>
      <w:spacing w:before="120" w:after="120" w:line="240" w:lineRule="auto"/>
      <w:ind w:left="720" w:hanging="720"/>
      <w:contextualSpacing/>
      <w:jc w:val="both"/>
    </w:pPr>
    <w:rPr>
      <w:rFonts w:ascii="Times New Roman" w:hAnsi="Times New Roman" w:cs="Times New Roman"/>
      <w:sz w:val="24"/>
    </w:rPr>
  </w:style>
  <w:style w:type="paragraph" w:styleId="ListNumber3">
    <w:name w:val="List Number 3"/>
    <w:basedOn w:val="Normal00"/>
    <w:uiPriority w:val="99"/>
    <w:semiHidden/>
    <w:unhideWhenUsed/>
    <w:pPr>
      <w:tabs>
        <w:tab w:val="num" w:pos="720"/>
      </w:tabs>
      <w:spacing w:before="120" w:after="120" w:line="240" w:lineRule="auto"/>
      <w:ind w:left="720" w:hanging="720"/>
      <w:contextualSpacing/>
      <w:jc w:val="both"/>
    </w:pPr>
    <w:rPr>
      <w:rFonts w:ascii="Times New Roman" w:hAnsi="Times New Roman" w:cs="Times New Roman"/>
      <w:sz w:val="24"/>
    </w:rPr>
  </w:style>
  <w:style w:type="paragraph" w:styleId="ListNumber4">
    <w:name w:val="List Number 4"/>
    <w:basedOn w:val="Normal00"/>
    <w:uiPriority w:val="99"/>
    <w:semiHidden/>
    <w:unhideWhenUsed/>
    <w:pPr>
      <w:tabs>
        <w:tab w:val="num" w:pos="720"/>
      </w:tabs>
      <w:spacing w:before="120" w:after="120" w:line="240" w:lineRule="auto"/>
      <w:ind w:left="720" w:hanging="720"/>
      <w:contextualSpacing/>
      <w:jc w:val="both"/>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00"/>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00"/>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00"/>
    <w:link w:val="FootnoteTextChar"/>
    <w:uiPriority w:val="99"/>
    <w:unhideWhenUsed/>
    <w:pPr>
      <w:spacing w:after="0" w:line="240" w:lineRule="auto"/>
      <w:ind w:left="720" w:hanging="720"/>
      <w:jc w:val="both"/>
    </w:pPr>
    <w:rPr>
      <w:rFonts w:ascii="Times New Roman" w:hAnsi="Times New Roman" w:cs="Times New Roman"/>
      <w:sz w:val="20"/>
    </w:rPr>
  </w:style>
  <w:style w:type="character" w:customStyle="1" w:styleId="FootnoteTextChar">
    <w:name w:val="Footnote Text Char"/>
    <w:basedOn w:val="DefaultParagraphFont"/>
    <w:link w:val="FootnoteText"/>
    <w:uiPriority w:val="99"/>
    <w:rPr>
      <w:rFonts w:ascii="Times New Roman" w:hAnsi="Times New Roman" w:cs="Times New Roman"/>
      <w:sz w:val="20"/>
    </w:rPr>
  </w:style>
  <w:style w:type="paragraph" w:styleId="TOCHeading">
    <w:name w:val="TOC Heading"/>
    <w:basedOn w:val="Normal00"/>
    <w:next w:val="Normal00"/>
    <w:uiPriority w:val="39"/>
    <w:semiHidden/>
    <w:unhideWhenUsed/>
    <w:qFormat/>
    <w:pPr>
      <w:spacing w:before="120" w:after="240" w:line="240" w:lineRule="auto"/>
      <w:jc w:val="center"/>
    </w:pPr>
    <w:rPr>
      <w:rFonts w:ascii="Times New Roman" w:hAnsi="Times New Roman" w:cs="Times New Roman"/>
      <w:b/>
      <w:sz w:val="28"/>
    </w:rPr>
  </w:style>
  <w:style w:type="paragraph" w:styleId="TOC1">
    <w:name w:val="toc 1"/>
    <w:basedOn w:val="Normal00"/>
    <w:next w:val="Normal00"/>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2">
    <w:name w:val="toc 2"/>
    <w:basedOn w:val="Normal00"/>
    <w:next w:val="Normal00"/>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3">
    <w:name w:val="toc 3"/>
    <w:basedOn w:val="Normal00"/>
    <w:next w:val="Normal00"/>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4">
    <w:name w:val="toc 4"/>
    <w:basedOn w:val="Normal00"/>
    <w:next w:val="Normal00"/>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5">
    <w:name w:val="toc 5"/>
    <w:basedOn w:val="Normal00"/>
    <w:next w:val="Normal00"/>
    <w:uiPriority w:val="39"/>
    <w:semiHidden/>
    <w:unhideWhenUsed/>
    <w:pPr>
      <w:tabs>
        <w:tab w:val="right" w:leader="dot" w:pos="9071"/>
      </w:tabs>
      <w:spacing w:before="300" w:after="120" w:line="240" w:lineRule="auto"/>
    </w:pPr>
    <w:rPr>
      <w:rFonts w:ascii="Times New Roman" w:hAnsi="Times New Roman" w:cs="Times New Roman"/>
      <w:sz w:val="24"/>
    </w:rPr>
  </w:style>
  <w:style w:type="paragraph" w:styleId="TOC6">
    <w:name w:val="toc 6"/>
    <w:basedOn w:val="Normal00"/>
    <w:next w:val="Normal00"/>
    <w:uiPriority w:val="39"/>
    <w:semiHidden/>
    <w:unhideWhenUsed/>
    <w:pPr>
      <w:tabs>
        <w:tab w:val="right" w:leader="dot" w:pos="9071"/>
      </w:tabs>
      <w:spacing w:before="240" w:after="120" w:line="240" w:lineRule="auto"/>
    </w:pPr>
    <w:rPr>
      <w:rFonts w:ascii="Times New Roman" w:hAnsi="Times New Roman" w:cs="Times New Roman"/>
      <w:sz w:val="24"/>
    </w:rPr>
  </w:style>
  <w:style w:type="paragraph" w:styleId="TOC7">
    <w:name w:val="toc 7"/>
    <w:basedOn w:val="Normal00"/>
    <w:next w:val="Normal00"/>
    <w:uiPriority w:val="39"/>
    <w:semiHidden/>
    <w:unhideWhenUsed/>
    <w:pPr>
      <w:tabs>
        <w:tab w:val="right" w:leader="dot" w:pos="9071"/>
      </w:tabs>
      <w:spacing w:before="180" w:after="120" w:line="240" w:lineRule="auto"/>
    </w:pPr>
    <w:rPr>
      <w:rFonts w:ascii="Times New Roman" w:hAnsi="Times New Roman" w:cs="Times New Roman"/>
      <w:sz w:val="24"/>
    </w:rPr>
  </w:style>
  <w:style w:type="paragraph" w:styleId="TOC8">
    <w:name w:val="toc 8"/>
    <w:basedOn w:val="Normal00"/>
    <w:next w:val="Normal00"/>
    <w:uiPriority w:val="39"/>
    <w:semiHidden/>
    <w:unhideWhenUsed/>
    <w:pPr>
      <w:tabs>
        <w:tab w:val="right" w:leader="dot" w:pos="9071"/>
      </w:tabs>
      <w:spacing w:before="120" w:after="120" w:line="240" w:lineRule="auto"/>
    </w:pPr>
    <w:rPr>
      <w:rFonts w:ascii="Times New Roman" w:hAnsi="Times New Roman" w:cs="Times New Roman"/>
      <w:sz w:val="24"/>
    </w:rPr>
  </w:style>
  <w:style w:type="paragraph" w:styleId="TOC9">
    <w:name w:val="toc 9"/>
    <w:basedOn w:val="Normal00"/>
    <w:next w:val="Normal00"/>
    <w:uiPriority w:val="39"/>
    <w:semiHidden/>
    <w:unhideWhenUsed/>
    <w:pPr>
      <w:tabs>
        <w:tab w:val="right" w:leader="dot" w:pos="9071"/>
      </w:tabs>
      <w:spacing w:before="120" w:after="120" w:line="240" w:lineRule="auto"/>
      <w:jc w:val="both"/>
    </w:pPr>
    <w:rPr>
      <w:rFonts w:ascii="Times New Roman" w:hAnsi="Times New Roman" w:cs="Times New Roman"/>
      <w:sz w:val="24"/>
    </w:rPr>
  </w:style>
  <w:style w:type="paragraph" w:customStyle="1" w:styleId="HeaderLandscape">
    <w:name w:val="HeaderLandscape"/>
    <w:basedOn w:val="Normal00"/>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00"/>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basedOn w:val="DefaultParagraphFont"/>
    <w:uiPriority w:val="99"/>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rsid w:val="00952C3C"/>
    <w:pPr>
      <w:spacing w:after="120" w:line="240" w:lineRule="auto"/>
      <w:jc w:val="right"/>
    </w:pPr>
    <w:rPr>
      <w:rFonts w:ascii="Times New Roman" w:hAnsi="Times New Roman" w:cs="Times New Roman"/>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Text1">
    <w:name w:val="Text 1"/>
    <w:basedOn w:val="Normal00"/>
    <w:pPr>
      <w:spacing w:before="120" w:after="120" w:line="240" w:lineRule="auto"/>
      <w:ind w:left="850"/>
      <w:jc w:val="both"/>
    </w:pPr>
    <w:rPr>
      <w:rFonts w:ascii="Times New Roman" w:hAnsi="Times New Roman" w:cs="Times New Roman"/>
      <w:sz w:val="24"/>
    </w:rPr>
  </w:style>
  <w:style w:type="paragraph" w:customStyle="1" w:styleId="Text2">
    <w:name w:val="Text 2"/>
    <w:basedOn w:val="Normal00"/>
    <w:pPr>
      <w:spacing w:before="120" w:after="120" w:line="240" w:lineRule="auto"/>
      <w:ind w:left="1417"/>
      <w:jc w:val="both"/>
    </w:pPr>
    <w:rPr>
      <w:rFonts w:ascii="Times New Roman" w:hAnsi="Times New Roman" w:cs="Times New Roman"/>
      <w:sz w:val="24"/>
    </w:rPr>
  </w:style>
  <w:style w:type="paragraph" w:customStyle="1" w:styleId="Text3">
    <w:name w:val="Text 3"/>
    <w:basedOn w:val="Normal00"/>
    <w:pPr>
      <w:spacing w:before="120" w:after="120" w:line="240" w:lineRule="auto"/>
      <w:ind w:left="1984"/>
      <w:jc w:val="both"/>
    </w:pPr>
    <w:rPr>
      <w:rFonts w:ascii="Times New Roman" w:hAnsi="Times New Roman" w:cs="Times New Roman"/>
      <w:sz w:val="24"/>
    </w:rPr>
  </w:style>
  <w:style w:type="paragraph" w:customStyle="1" w:styleId="Text4">
    <w:name w:val="Text 4"/>
    <w:basedOn w:val="Normal00"/>
    <w:pPr>
      <w:spacing w:before="120" w:after="120" w:line="240" w:lineRule="auto"/>
      <w:ind w:left="2551"/>
      <w:jc w:val="both"/>
    </w:pPr>
    <w:rPr>
      <w:rFonts w:ascii="Times New Roman" w:hAnsi="Times New Roman" w:cs="Times New Roman"/>
      <w:sz w:val="24"/>
    </w:rPr>
  </w:style>
  <w:style w:type="paragraph" w:customStyle="1" w:styleId="NormalCentered">
    <w:name w:val="Normal Centered"/>
    <w:basedOn w:val="Normal00"/>
    <w:pPr>
      <w:spacing w:before="120" w:after="120" w:line="240" w:lineRule="auto"/>
      <w:jc w:val="center"/>
    </w:pPr>
    <w:rPr>
      <w:rFonts w:ascii="Times New Roman" w:hAnsi="Times New Roman" w:cs="Times New Roman"/>
      <w:sz w:val="24"/>
    </w:rPr>
  </w:style>
  <w:style w:type="paragraph" w:customStyle="1" w:styleId="NormalLeft">
    <w:name w:val="Normal Left"/>
    <w:basedOn w:val="Normal00"/>
    <w:pPr>
      <w:spacing w:before="120" w:after="120" w:line="240" w:lineRule="auto"/>
    </w:pPr>
    <w:rPr>
      <w:rFonts w:ascii="Times New Roman" w:hAnsi="Times New Roman" w:cs="Times New Roman"/>
      <w:sz w:val="24"/>
    </w:rPr>
  </w:style>
  <w:style w:type="paragraph" w:customStyle="1" w:styleId="NormalRight">
    <w:name w:val="Normal Right"/>
    <w:basedOn w:val="Normal00"/>
    <w:pPr>
      <w:spacing w:before="120" w:after="120" w:line="240" w:lineRule="auto"/>
      <w:jc w:val="right"/>
    </w:pPr>
    <w:rPr>
      <w:rFonts w:ascii="Times New Roman" w:hAnsi="Times New Roman" w:cs="Times New Roman"/>
      <w:sz w:val="24"/>
    </w:rPr>
  </w:style>
  <w:style w:type="paragraph" w:customStyle="1" w:styleId="QuotedText">
    <w:name w:val="Quoted Text"/>
    <w:basedOn w:val="Normal00"/>
    <w:pPr>
      <w:spacing w:before="120" w:after="120" w:line="240" w:lineRule="auto"/>
      <w:ind w:left="1417"/>
      <w:jc w:val="both"/>
    </w:pPr>
    <w:rPr>
      <w:rFonts w:ascii="Times New Roman" w:hAnsi="Times New Roman" w:cs="Times New Roman"/>
      <w:sz w:val="24"/>
    </w:rPr>
  </w:style>
  <w:style w:type="paragraph" w:customStyle="1" w:styleId="Point0">
    <w:name w:val="Point 0"/>
    <w:basedOn w:val="Normal00"/>
    <w:pPr>
      <w:spacing w:before="120" w:after="120" w:line="240" w:lineRule="auto"/>
      <w:ind w:left="850" w:hanging="850"/>
      <w:jc w:val="both"/>
    </w:pPr>
    <w:rPr>
      <w:rFonts w:ascii="Times New Roman" w:hAnsi="Times New Roman" w:cs="Times New Roman"/>
      <w:sz w:val="24"/>
    </w:rPr>
  </w:style>
  <w:style w:type="paragraph" w:customStyle="1" w:styleId="Point1">
    <w:name w:val="Point 1"/>
    <w:basedOn w:val="Normal00"/>
    <w:pPr>
      <w:spacing w:before="120" w:after="120" w:line="240" w:lineRule="auto"/>
      <w:ind w:left="1417" w:hanging="567"/>
      <w:jc w:val="both"/>
    </w:pPr>
    <w:rPr>
      <w:rFonts w:ascii="Times New Roman" w:hAnsi="Times New Roman" w:cs="Times New Roman"/>
      <w:sz w:val="24"/>
    </w:rPr>
  </w:style>
  <w:style w:type="paragraph" w:customStyle="1" w:styleId="Point2">
    <w:name w:val="Point 2"/>
    <w:basedOn w:val="Normal00"/>
    <w:pPr>
      <w:spacing w:before="120" w:after="120" w:line="240" w:lineRule="auto"/>
      <w:ind w:left="1984" w:hanging="567"/>
      <w:jc w:val="both"/>
    </w:pPr>
    <w:rPr>
      <w:rFonts w:ascii="Times New Roman" w:hAnsi="Times New Roman" w:cs="Times New Roman"/>
      <w:sz w:val="24"/>
    </w:rPr>
  </w:style>
  <w:style w:type="paragraph" w:customStyle="1" w:styleId="Point3">
    <w:name w:val="Point 3"/>
    <w:basedOn w:val="Normal00"/>
    <w:pPr>
      <w:spacing w:before="120" w:after="120" w:line="240" w:lineRule="auto"/>
      <w:ind w:left="2551" w:hanging="567"/>
      <w:jc w:val="both"/>
    </w:pPr>
    <w:rPr>
      <w:rFonts w:ascii="Times New Roman" w:hAnsi="Times New Roman" w:cs="Times New Roman"/>
      <w:sz w:val="24"/>
    </w:rPr>
  </w:style>
  <w:style w:type="paragraph" w:customStyle="1" w:styleId="Point4">
    <w:name w:val="Point 4"/>
    <w:basedOn w:val="Normal00"/>
    <w:pPr>
      <w:spacing w:before="120" w:after="120" w:line="240" w:lineRule="auto"/>
      <w:ind w:left="3118" w:hanging="567"/>
      <w:jc w:val="both"/>
    </w:pPr>
    <w:rPr>
      <w:rFonts w:ascii="Times New Roman" w:hAnsi="Times New Roman" w:cs="Times New Roman"/>
      <w:sz w:val="24"/>
    </w:rPr>
  </w:style>
  <w:style w:type="paragraph" w:customStyle="1" w:styleId="Tiret0">
    <w:name w:val="Tiret 0"/>
    <w:basedOn w:val="Point0"/>
    <w:pPr>
      <w:tabs>
        <w:tab w:val="num" w:pos="720"/>
      </w:tabs>
      <w:ind w:left="720" w:hanging="720"/>
    </w:pPr>
  </w:style>
  <w:style w:type="paragraph" w:customStyle="1" w:styleId="Tiret1">
    <w:name w:val="Tiret 1"/>
    <w:basedOn w:val="Point1"/>
    <w:pPr>
      <w:tabs>
        <w:tab w:val="num" w:pos="720"/>
      </w:tabs>
      <w:ind w:left="720" w:hanging="720"/>
    </w:pPr>
  </w:style>
  <w:style w:type="paragraph" w:customStyle="1" w:styleId="Tiret2">
    <w:name w:val="Tiret 2"/>
    <w:basedOn w:val="Point2"/>
    <w:pPr>
      <w:tabs>
        <w:tab w:val="num" w:pos="720"/>
      </w:tabs>
      <w:ind w:left="720" w:hanging="720"/>
    </w:pPr>
  </w:style>
  <w:style w:type="paragraph" w:customStyle="1" w:styleId="Tiret3">
    <w:name w:val="Tiret 3"/>
    <w:basedOn w:val="Point3"/>
    <w:pPr>
      <w:tabs>
        <w:tab w:val="num" w:pos="720"/>
      </w:tabs>
      <w:ind w:left="720" w:hanging="720"/>
    </w:pPr>
  </w:style>
  <w:style w:type="paragraph" w:customStyle="1" w:styleId="Tiret4">
    <w:name w:val="Tiret 4"/>
    <w:basedOn w:val="Point4"/>
    <w:pPr>
      <w:tabs>
        <w:tab w:val="num" w:pos="720"/>
      </w:tabs>
      <w:ind w:left="720" w:hanging="720"/>
    </w:pPr>
  </w:style>
  <w:style w:type="paragraph" w:customStyle="1" w:styleId="PointDouble0">
    <w:name w:val="PointDouble 0"/>
    <w:basedOn w:val="Normal00"/>
    <w:pPr>
      <w:tabs>
        <w:tab w:val="left" w:pos="850"/>
      </w:tabs>
      <w:spacing w:before="120" w:after="120" w:line="240" w:lineRule="auto"/>
      <w:ind w:left="1417" w:hanging="1417"/>
      <w:jc w:val="both"/>
    </w:pPr>
    <w:rPr>
      <w:rFonts w:ascii="Times New Roman" w:hAnsi="Times New Roman" w:cs="Times New Roman"/>
      <w:sz w:val="24"/>
    </w:rPr>
  </w:style>
  <w:style w:type="paragraph" w:customStyle="1" w:styleId="PointDouble1">
    <w:name w:val="PointDouble 1"/>
    <w:basedOn w:val="Normal00"/>
    <w:pPr>
      <w:tabs>
        <w:tab w:val="left" w:pos="1417"/>
      </w:tabs>
      <w:spacing w:before="120" w:after="120" w:line="240" w:lineRule="auto"/>
      <w:ind w:left="1984" w:hanging="1134"/>
      <w:jc w:val="both"/>
    </w:pPr>
    <w:rPr>
      <w:rFonts w:ascii="Times New Roman" w:hAnsi="Times New Roman" w:cs="Times New Roman"/>
      <w:sz w:val="24"/>
    </w:rPr>
  </w:style>
  <w:style w:type="paragraph" w:customStyle="1" w:styleId="PointDouble2">
    <w:name w:val="PointDouble 2"/>
    <w:basedOn w:val="Normal00"/>
    <w:pPr>
      <w:tabs>
        <w:tab w:val="left" w:pos="1984"/>
      </w:tabs>
      <w:spacing w:before="120" w:after="120" w:line="240" w:lineRule="auto"/>
      <w:ind w:left="2551" w:hanging="1134"/>
      <w:jc w:val="both"/>
    </w:pPr>
    <w:rPr>
      <w:rFonts w:ascii="Times New Roman" w:hAnsi="Times New Roman" w:cs="Times New Roman"/>
      <w:sz w:val="24"/>
    </w:rPr>
  </w:style>
  <w:style w:type="paragraph" w:customStyle="1" w:styleId="PointDouble3">
    <w:name w:val="PointDouble 3"/>
    <w:basedOn w:val="Normal00"/>
    <w:pPr>
      <w:tabs>
        <w:tab w:val="left" w:pos="2551"/>
      </w:tabs>
      <w:spacing w:before="120" w:after="120" w:line="240" w:lineRule="auto"/>
      <w:ind w:left="3118" w:hanging="1134"/>
      <w:jc w:val="both"/>
    </w:pPr>
    <w:rPr>
      <w:rFonts w:ascii="Times New Roman" w:hAnsi="Times New Roman" w:cs="Times New Roman"/>
      <w:sz w:val="24"/>
    </w:rPr>
  </w:style>
  <w:style w:type="paragraph" w:customStyle="1" w:styleId="PointDouble4">
    <w:name w:val="PointDouble 4"/>
    <w:basedOn w:val="Normal00"/>
    <w:pPr>
      <w:tabs>
        <w:tab w:val="left" w:pos="3118"/>
      </w:tabs>
      <w:spacing w:before="120" w:after="120" w:line="240" w:lineRule="auto"/>
      <w:ind w:left="3685" w:hanging="1134"/>
      <w:jc w:val="both"/>
    </w:pPr>
    <w:rPr>
      <w:rFonts w:ascii="Times New Roman" w:hAnsi="Times New Roman" w:cs="Times New Roman"/>
      <w:sz w:val="24"/>
    </w:rPr>
  </w:style>
  <w:style w:type="paragraph" w:customStyle="1" w:styleId="PointTriple0">
    <w:name w:val="PointTriple 0"/>
    <w:basedOn w:val="Normal00"/>
    <w:pPr>
      <w:tabs>
        <w:tab w:val="left" w:pos="850"/>
        <w:tab w:val="left" w:pos="1417"/>
      </w:tabs>
      <w:spacing w:before="120" w:after="120" w:line="240" w:lineRule="auto"/>
      <w:ind w:left="1984" w:hanging="1984"/>
      <w:jc w:val="both"/>
    </w:pPr>
    <w:rPr>
      <w:rFonts w:ascii="Times New Roman" w:hAnsi="Times New Roman" w:cs="Times New Roman"/>
      <w:sz w:val="24"/>
    </w:rPr>
  </w:style>
  <w:style w:type="paragraph" w:customStyle="1" w:styleId="PointTriple1">
    <w:name w:val="PointTriple 1"/>
    <w:basedOn w:val="Normal00"/>
    <w:pPr>
      <w:tabs>
        <w:tab w:val="left" w:pos="1417"/>
        <w:tab w:val="left" w:pos="1984"/>
      </w:tabs>
      <w:spacing w:before="120" w:after="120" w:line="240" w:lineRule="auto"/>
      <w:ind w:left="2551" w:hanging="1701"/>
      <w:jc w:val="both"/>
    </w:pPr>
    <w:rPr>
      <w:rFonts w:ascii="Times New Roman" w:hAnsi="Times New Roman" w:cs="Times New Roman"/>
      <w:sz w:val="24"/>
    </w:rPr>
  </w:style>
  <w:style w:type="paragraph" w:customStyle="1" w:styleId="PointTriple2">
    <w:name w:val="PointTriple 2"/>
    <w:basedOn w:val="Normal00"/>
    <w:pPr>
      <w:tabs>
        <w:tab w:val="left" w:pos="1984"/>
        <w:tab w:val="left" w:pos="2551"/>
      </w:tabs>
      <w:spacing w:before="120" w:after="120" w:line="240" w:lineRule="auto"/>
      <w:ind w:left="3118" w:hanging="1701"/>
      <w:jc w:val="both"/>
    </w:pPr>
    <w:rPr>
      <w:rFonts w:ascii="Times New Roman" w:hAnsi="Times New Roman" w:cs="Times New Roman"/>
      <w:sz w:val="24"/>
    </w:rPr>
  </w:style>
  <w:style w:type="paragraph" w:customStyle="1" w:styleId="PointTriple3">
    <w:name w:val="PointTriple 3"/>
    <w:basedOn w:val="Normal00"/>
    <w:pPr>
      <w:tabs>
        <w:tab w:val="left" w:pos="2551"/>
        <w:tab w:val="left" w:pos="3118"/>
      </w:tabs>
      <w:spacing w:before="120" w:after="120" w:line="240" w:lineRule="auto"/>
      <w:ind w:left="3685" w:hanging="1701"/>
      <w:jc w:val="both"/>
    </w:pPr>
    <w:rPr>
      <w:rFonts w:ascii="Times New Roman" w:hAnsi="Times New Roman" w:cs="Times New Roman"/>
      <w:sz w:val="24"/>
    </w:rPr>
  </w:style>
  <w:style w:type="paragraph" w:customStyle="1" w:styleId="PointTriple4">
    <w:name w:val="PointTriple 4"/>
    <w:basedOn w:val="Normal00"/>
    <w:pPr>
      <w:tabs>
        <w:tab w:val="left" w:pos="3118"/>
        <w:tab w:val="left" w:pos="3685"/>
      </w:tabs>
      <w:spacing w:before="120" w:after="120" w:line="240" w:lineRule="auto"/>
      <w:ind w:left="4252" w:hanging="1701"/>
      <w:jc w:val="both"/>
    </w:pPr>
    <w:rPr>
      <w:rFonts w:ascii="Times New Roman" w:hAnsi="Times New Roman" w:cs="Times New Roman"/>
      <w:sz w:val="24"/>
    </w:rPr>
  </w:style>
  <w:style w:type="paragraph" w:customStyle="1" w:styleId="NumPar1">
    <w:name w:val="NumPar 1"/>
    <w:basedOn w:val="Normal00"/>
    <w:next w:val="Text1"/>
    <w:pPr>
      <w:tabs>
        <w:tab w:val="num" w:pos="720"/>
      </w:tabs>
      <w:spacing w:before="120" w:after="120" w:line="240" w:lineRule="auto"/>
      <w:ind w:left="720" w:hanging="720"/>
      <w:jc w:val="both"/>
    </w:pPr>
    <w:rPr>
      <w:rFonts w:ascii="Times New Roman" w:hAnsi="Times New Roman" w:cs="Times New Roman"/>
      <w:sz w:val="24"/>
    </w:rPr>
  </w:style>
  <w:style w:type="paragraph" w:customStyle="1" w:styleId="NumPar2">
    <w:name w:val="NumPar 2"/>
    <w:basedOn w:val="Normal00"/>
    <w:next w:val="Text1"/>
    <w:pPr>
      <w:tabs>
        <w:tab w:val="num" w:pos="1440"/>
      </w:tabs>
      <w:spacing w:before="120" w:after="120" w:line="240" w:lineRule="auto"/>
      <w:ind w:left="1440" w:hanging="720"/>
      <w:jc w:val="both"/>
    </w:pPr>
    <w:rPr>
      <w:rFonts w:ascii="Times New Roman" w:hAnsi="Times New Roman" w:cs="Times New Roman"/>
      <w:sz w:val="24"/>
    </w:rPr>
  </w:style>
  <w:style w:type="paragraph" w:customStyle="1" w:styleId="NumPar3">
    <w:name w:val="NumPar 3"/>
    <w:basedOn w:val="Normal00"/>
    <w:next w:val="Text1"/>
    <w:pPr>
      <w:tabs>
        <w:tab w:val="num" w:pos="2160"/>
      </w:tabs>
      <w:spacing w:before="120" w:after="120" w:line="240" w:lineRule="auto"/>
      <w:ind w:left="2160" w:hanging="720"/>
      <w:jc w:val="both"/>
    </w:pPr>
    <w:rPr>
      <w:rFonts w:ascii="Times New Roman" w:hAnsi="Times New Roman" w:cs="Times New Roman"/>
      <w:sz w:val="24"/>
    </w:rPr>
  </w:style>
  <w:style w:type="paragraph" w:customStyle="1" w:styleId="NumPar4">
    <w:name w:val="NumPar 4"/>
    <w:basedOn w:val="Normal00"/>
    <w:next w:val="Text1"/>
    <w:pPr>
      <w:tabs>
        <w:tab w:val="num" w:pos="2880"/>
      </w:tabs>
      <w:spacing w:before="120" w:after="120" w:line="240" w:lineRule="auto"/>
      <w:ind w:left="2880" w:hanging="720"/>
      <w:jc w:val="both"/>
    </w:pPr>
    <w:rPr>
      <w:rFonts w:ascii="Times New Roman" w:hAnsi="Times New Roman" w:cs="Times New Roman"/>
      <w:sz w:val="24"/>
    </w:rPr>
  </w:style>
  <w:style w:type="paragraph" w:customStyle="1" w:styleId="ManualNumPar1">
    <w:name w:val="Manual NumPar 1"/>
    <w:basedOn w:val="Normal00"/>
    <w:next w:val="Text1"/>
    <w:pPr>
      <w:spacing w:before="120" w:after="120" w:line="240" w:lineRule="auto"/>
      <w:ind w:left="850" w:hanging="850"/>
      <w:jc w:val="both"/>
    </w:pPr>
    <w:rPr>
      <w:rFonts w:ascii="Times New Roman" w:hAnsi="Times New Roman" w:cs="Times New Roman"/>
      <w:sz w:val="24"/>
    </w:rPr>
  </w:style>
  <w:style w:type="paragraph" w:customStyle="1" w:styleId="ManualNumPar2">
    <w:name w:val="Manual NumPar 2"/>
    <w:basedOn w:val="Normal00"/>
    <w:next w:val="Text1"/>
    <w:pPr>
      <w:spacing w:before="120" w:after="120" w:line="240" w:lineRule="auto"/>
      <w:ind w:left="850" w:hanging="850"/>
      <w:jc w:val="both"/>
    </w:pPr>
    <w:rPr>
      <w:rFonts w:ascii="Times New Roman" w:hAnsi="Times New Roman" w:cs="Times New Roman"/>
      <w:sz w:val="24"/>
    </w:rPr>
  </w:style>
  <w:style w:type="paragraph" w:customStyle="1" w:styleId="ManualNumPar3">
    <w:name w:val="Manual NumPar 3"/>
    <w:basedOn w:val="Normal00"/>
    <w:next w:val="Text1"/>
    <w:pPr>
      <w:spacing w:before="120" w:after="120" w:line="240" w:lineRule="auto"/>
      <w:ind w:left="850" w:hanging="850"/>
      <w:jc w:val="both"/>
    </w:pPr>
    <w:rPr>
      <w:rFonts w:ascii="Times New Roman" w:hAnsi="Times New Roman" w:cs="Times New Roman"/>
      <w:sz w:val="24"/>
    </w:rPr>
  </w:style>
  <w:style w:type="paragraph" w:customStyle="1" w:styleId="ManualNumPar4">
    <w:name w:val="Manual NumPar 4"/>
    <w:basedOn w:val="Normal00"/>
    <w:next w:val="Text1"/>
    <w:pPr>
      <w:spacing w:before="120" w:after="120" w:line="240" w:lineRule="auto"/>
      <w:ind w:left="850" w:hanging="850"/>
      <w:jc w:val="both"/>
    </w:pPr>
    <w:rPr>
      <w:rFonts w:ascii="Times New Roman" w:hAnsi="Times New Roman" w:cs="Times New Roman"/>
      <w:sz w:val="24"/>
    </w:rPr>
  </w:style>
  <w:style w:type="paragraph" w:customStyle="1" w:styleId="QuotedNumPar">
    <w:name w:val="Quoted NumPar"/>
    <w:basedOn w:val="Normal00"/>
    <w:pPr>
      <w:spacing w:before="120" w:after="120" w:line="240" w:lineRule="auto"/>
      <w:ind w:left="1417" w:hanging="567"/>
      <w:jc w:val="both"/>
    </w:pPr>
    <w:rPr>
      <w:rFonts w:ascii="Times New Roman" w:hAnsi="Times New Roman" w:cs="Times New Roman"/>
      <w:sz w:val="24"/>
    </w:rPr>
  </w:style>
  <w:style w:type="paragraph" w:customStyle="1" w:styleId="ManualHeading1">
    <w:name w:val="Manual Heading 1"/>
    <w:basedOn w:val="Normal00"/>
    <w:next w:val="Text1"/>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customStyle="1" w:styleId="ManualHeading2">
    <w:name w:val="Manual Heading 2"/>
    <w:basedOn w:val="Normal00"/>
    <w:next w:val="Text1"/>
    <w:pPr>
      <w:keepNext/>
      <w:tabs>
        <w:tab w:val="left" w:pos="850"/>
      </w:tabs>
      <w:spacing w:before="120" w:after="120" w:line="240" w:lineRule="auto"/>
      <w:ind w:left="850" w:hanging="850"/>
      <w:jc w:val="both"/>
      <w:outlineLvl w:val="1"/>
    </w:pPr>
    <w:rPr>
      <w:rFonts w:ascii="Times New Roman" w:hAnsi="Times New Roman" w:cs="Times New Roman"/>
      <w:b/>
      <w:sz w:val="24"/>
    </w:rPr>
  </w:style>
  <w:style w:type="paragraph" w:customStyle="1" w:styleId="ManualHeading3">
    <w:name w:val="Manual Heading 3"/>
    <w:basedOn w:val="Normal00"/>
    <w:next w:val="Text1"/>
    <w:pPr>
      <w:keepNext/>
      <w:tabs>
        <w:tab w:val="left" w:pos="850"/>
      </w:tabs>
      <w:spacing w:before="120" w:after="120" w:line="240" w:lineRule="auto"/>
      <w:ind w:left="850" w:hanging="850"/>
      <w:jc w:val="both"/>
      <w:outlineLvl w:val="2"/>
    </w:pPr>
    <w:rPr>
      <w:rFonts w:ascii="Times New Roman" w:hAnsi="Times New Roman" w:cs="Times New Roman"/>
      <w:i/>
      <w:sz w:val="24"/>
    </w:rPr>
  </w:style>
  <w:style w:type="paragraph" w:customStyle="1" w:styleId="ManualHeading4">
    <w:name w:val="Manual Heading 4"/>
    <w:basedOn w:val="Normal00"/>
    <w:next w:val="Text1"/>
    <w:pPr>
      <w:keepNext/>
      <w:tabs>
        <w:tab w:val="left" w:pos="850"/>
      </w:tabs>
      <w:spacing w:before="120" w:after="120" w:line="240" w:lineRule="auto"/>
      <w:ind w:left="850" w:hanging="850"/>
      <w:jc w:val="both"/>
      <w:outlineLvl w:val="3"/>
    </w:pPr>
    <w:rPr>
      <w:rFonts w:ascii="Times New Roman" w:hAnsi="Times New Roman" w:cs="Times New Roman"/>
      <w:sz w:val="24"/>
    </w:rPr>
  </w:style>
  <w:style w:type="paragraph" w:customStyle="1" w:styleId="ChapterTitle">
    <w:name w:val="ChapterTitle"/>
    <w:basedOn w:val="Normal00"/>
    <w:next w:val="Normal00"/>
    <w:pPr>
      <w:keepNext/>
      <w:spacing w:before="120" w:after="360" w:line="240" w:lineRule="auto"/>
      <w:jc w:val="center"/>
    </w:pPr>
    <w:rPr>
      <w:rFonts w:ascii="Times New Roman" w:hAnsi="Times New Roman" w:cs="Times New Roman"/>
      <w:b/>
      <w:sz w:val="32"/>
    </w:rPr>
  </w:style>
  <w:style w:type="paragraph" w:customStyle="1" w:styleId="PartTitle">
    <w:name w:val="PartTitle"/>
    <w:basedOn w:val="Normal00"/>
    <w:next w:val="ChapterTitle"/>
    <w:pPr>
      <w:keepNext/>
      <w:pageBreakBefore/>
      <w:spacing w:before="120" w:after="360" w:line="240" w:lineRule="auto"/>
      <w:jc w:val="center"/>
    </w:pPr>
    <w:rPr>
      <w:rFonts w:ascii="Times New Roman" w:hAnsi="Times New Roman" w:cs="Times New Roman"/>
      <w:b/>
      <w:sz w:val="36"/>
    </w:rPr>
  </w:style>
  <w:style w:type="paragraph" w:customStyle="1" w:styleId="SectionTitle">
    <w:name w:val="SectionTitle"/>
    <w:basedOn w:val="Normal00"/>
    <w:next w:val="heading100"/>
    <w:pPr>
      <w:keepNext/>
      <w:spacing w:before="120" w:after="360" w:line="240" w:lineRule="auto"/>
      <w:jc w:val="center"/>
    </w:pPr>
    <w:rPr>
      <w:rFonts w:ascii="Times New Roman" w:hAnsi="Times New Roman" w:cs="Times New Roman"/>
      <w:b/>
      <w:smallCaps/>
      <w:sz w:val="28"/>
    </w:rPr>
  </w:style>
  <w:style w:type="paragraph" w:customStyle="1" w:styleId="TableTitle">
    <w:name w:val="Table Title"/>
    <w:basedOn w:val="Normal00"/>
    <w:next w:val="Normal00"/>
    <w:pPr>
      <w:spacing w:before="120" w:after="120" w:line="240" w:lineRule="auto"/>
      <w:jc w:val="center"/>
    </w:pPr>
    <w:rPr>
      <w:rFonts w:ascii="Times New Roman" w:hAnsi="Times New Roman" w:cs="Times New Roman"/>
      <w:b/>
      <w:sz w:val="24"/>
    </w:rPr>
  </w:style>
  <w:style w:type="character" w:customStyle="1" w:styleId="Marker">
    <w:name w:val="Marker"/>
    <w:basedOn w:val="DefaultParagraphFont"/>
    <w:rsid w:val="005E6922"/>
    <w:rPr>
      <w:color w:val="0000FF"/>
      <w:bdr w:val="none" w:sz="0" w:space="0" w:color="auto"/>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00"/>
    <w:pPr>
      <w:tabs>
        <w:tab w:val="num" w:pos="850"/>
      </w:tabs>
      <w:spacing w:before="120" w:after="120" w:line="240" w:lineRule="auto"/>
      <w:ind w:left="850" w:hanging="850"/>
      <w:jc w:val="both"/>
    </w:pPr>
    <w:rPr>
      <w:rFonts w:ascii="Times New Roman" w:hAnsi="Times New Roman" w:cs="Times New Roman"/>
      <w:sz w:val="24"/>
    </w:rPr>
  </w:style>
  <w:style w:type="paragraph" w:customStyle="1" w:styleId="Point1number">
    <w:name w:val="Point 1 (number)"/>
    <w:basedOn w:val="Normal00"/>
    <w:pPr>
      <w:tabs>
        <w:tab w:val="num" w:pos="2160"/>
      </w:tabs>
      <w:spacing w:before="120" w:after="120" w:line="240" w:lineRule="auto"/>
      <w:ind w:left="2160" w:hanging="720"/>
      <w:jc w:val="both"/>
    </w:pPr>
    <w:rPr>
      <w:rFonts w:ascii="Times New Roman" w:hAnsi="Times New Roman" w:cs="Times New Roman"/>
      <w:sz w:val="24"/>
    </w:rPr>
  </w:style>
  <w:style w:type="paragraph" w:customStyle="1" w:styleId="Point2number">
    <w:name w:val="Point 2 (number)"/>
    <w:basedOn w:val="Normal00"/>
    <w:pPr>
      <w:tabs>
        <w:tab w:val="num" w:pos="3600"/>
      </w:tabs>
      <w:spacing w:before="120" w:after="120" w:line="240" w:lineRule="auto"/>
      <w:ind w:left="3600" w:hanging="720"/>
      <w:jc w:val="both"/>
    </w:pPr>
    <w:rPr>
      <w:rFonts w:ascii="Times New Roman" w:hAnsi="Times New Roman" w:cs="Times New Roman"/>
      <w:sz w:val="24"/>
    </w:rPr>
  </w:style>
  <w:style w:type="paragraph" w:customStyle="1" w:styleId="Point3number">
    <w:name w:val="Point 3 (number)"/>
    <w:basedOn w:val="Normal00"/>
    <w:pPr>
      <w:tabs>
        <w:tab w:val="num" w:pos="5040"/>
      </w:tabs>
      <w:spacing w:before="120" w:after="120" w:line="240" w:lineRule="auto"/>
      <w:ind w:left="5040" w:hanging="720"/>
      <w:jc w:val="both"/>
    </w:pPr>
    <w:rPr>
      <w:rFonts w:ascii="Times New Roman" w:hAnsi="Times New Roman" w:cs="Times New Roman"/>
      <w:sz w:val="24"/>
    </w:rPr>
  </w:style>
  <w:style w:type="paragraph" w:customStyle="1" w:styleId="Point0letter">
    <w:name w:val="Point 0 (letter)"/>
    <w:basedOn w:val="Normal00"/>
    <w:pPr>
      <w:tabs>
        <w:tab w:val="num" w:pos="1440"/>
      </w:tabs>
      <w:spacing w:before="120" w:after="120" w:line="240" w:lineRule="auto"/>
      <w:ind w:left="1440" w:hanging="720"/>
      <w:jc w:val="both"/>
    </w:pPr>
    <w:rPr>
      <w:rFonts w:ascii="Times New Roman" w:hAnsi="Times New Roman" w:cs="Times New Roman"/>
      <w:sz w:val="24"/>
    </w:rPr>
  </w:style>
  <w:style w:type="paragraph" w:customStyle="1" w:styleId="Point1letter">
    <w:name w:val="Point 1 (letter)"/>
    <w:basedOn w:val="Normal00"/>
    <w:pPr>
      <w:tabs>
        <w:tab w:val="num" w:pos="2880"/>
      </w:tabs>
      <w:spacing w:before="120" w:after="120" w:line="240" w:lineRule="auto"/>
      <w:ind w:left="2880" w:hanging="720"/>
      <w:jc w:val="both"/>
    </w:pPr>
    <w:rPr>
      <w:rFonts w:ascii="Times New Roman" w:hAnsi="Times New Roman" w:cs="Times New Roman"/>
      <w:sz w:val="24"/>
    </w:rPr>
  </w:style>
  <w:style w:type="paragraph" w:customStyle="1" w:styleId="Point2letter">
    <w:name w:val="Point 2 (letter)"/>
    <w:basedOn w:val="Normal00"/>
    <w:pPr>
      <w:tabs>
        <w:tab w:val="num" w:pos="4320"/>
      </w:tabs>
      <w:spacing w:before="120" w:after="120" w:line="240" w:lineRule="auto"/>
      <w:ind w:left="4320" w:hanging="720"/>
      <w:jc w:val="both"/>
    </w:pPr>
    <w:rPr>
      <w:rFonts w:ascii="Times New Roman" w:hAnsi="Times New Roman" w:cs="Times New Roman"/>
      <w:sz w:val="24"/>
    </w:rPr>
  </w:style>
  <w:style w:type="paragraph" w:customStyle="1" w:styleId="Point3letter">
    <w:name w:val="Point 3 (letter)"/>
    <w:basedOn w:val="Normal00"/>
    <w:pPr>
      <w:tabs>
        <w:tab w:val="num" w:pos="5760"/>
      </w:tabs>
      <w:spacing w:before="120" w:after="120" w:line="240" w:lineRule="auto"/>
      <w:ind w:left="5760" w:hanging="720"/>
      <w:jc w:val="both"/>
    </w:pPr>
    <w:rPr>
      <w:rFonts w:ascii="Times New Roman" w:hAnsi="Times New Roman" w:cs="Times New Roman"/>
      <w:sz w:val="24"/>
    </w:rPr>
  </w:style>
  <w:style w:type="paragraph" w:customStyle="1" w:styleId="Point4letter">
    <w:name w:val="Point 4 (letter)"/>
    <w:basedOn w:val="Normal00"/>
    <w:pPr>
      <w:tabs>
        <w:tab w:val="num" w:pos="6480"/>
      </w:tabs>
      <w:spacing w:before="120" w:after="120" w:line="240" w:lineRule="auto"/>
      <w:ind w:left="6480" w:hanging="720"/>
      <w:jc w:val="both"/>
    </w:pPr>
    <w:rPr>
      <w:rFonts w:ascii="Times New Roman" w:hAnsi="Times New Roman" w:cs="Times New Roman"/>
      <w:sz w:val="24"/>
    </w:rPr>
  </w:style>
  <w:style w:type="paragraph" w:customStyle="1" w:styleId="Bullet0">
    <w:name w:val="Bullet 0"/>
    <w:basedOn w:val="Normal00"/>
    <w:pPr>
      <w:tabs>
        <w:tab w:val="num" w:pos="720"/>
      </w:tabs>
      <w:spacing w:before="120" w:after="120" w:line="240" w:lineRule="auto"/>
      <w:ind w:left="720" w:hanging="720"/>
      <w:jc w:val="both"/>
    </w:pPr>
    <w:rPr>
      <w:rFonts w:ascii="Times New Roman" w:hAnsi="Times New Roman" w:cs="Times New Roman"/>
      <w:sz w:val="24"/>
    </w:rPr>
  </w:style>
  <w:style w:type="paragraph" w:customStyle="1" w:styleId="Bullet1">
    <w:name w:val="Bullet 1"/>
    <w:basedOn w:val="Normal00"/>
    <w:pPr>
      <w:tabs>
        <w:tab w:val="num" w:pos="720"/>
      </w:tabs>
      <w:spacing w:before="120" w:after="120" w:line="240" w:lineRule="auto"/>
      <w:ind w:left="720" w:hanging="720"/>
      <w:jc w:val="both"/>
    </w:pPr>
    <w:rPr>
      <w:rFonts w:ascii="Times New Roman" w:hAnsi="Times New Roman" w:cs="Times New Roman"/>
      <w:sz w:val="24"/>
    </w:rPr>
  </w:style>
  <w:style w:type="paragraph" w:customStyle="1" w:styleId="Bullet2">
    <w:name w:val="Bullet 2"/>
    <w:basedOn w:val="Normal00"/>
    <w:pPr>
      <w:tabs>
        <w:tab w:val="num" w:pos="720"/>
      </w:tabs>
      <w:spacing w:before="120" w:after="120" w:line="240" w:lineRule="auto"/>
      <w:ind w:left="720" w:hanging="720"/>
      <w:jc w:val="both"/>
    </w:pPr>
    <w:rPr>
      <w:rFonts w:ascii="Times New Roman" w:hAnsi="Times New Roman" w:cs="Times New Roman"/>
      <w:sz w:val="24"/>
    </w:rPr>
  </w:style>
  <w:style w:type="paragraph" w:customStyle="1" w:styleId="Bullet3">
    <w:name w:val="Bullet 3"/>
    <w:basedOn w:val="Normal00"/>
    <w:pPr>
      <w:tabs>
        <w:tab w:val="num" w:pos="720"/>
      </w:tabs>
      <w:spacing w:before="120" w:after="120" w:line="240" w:lineRule="auto"/>
      <w:ind w:left="720" w:hanging="720"/>
      <w:jc w:val="both"/>
    </w:pPr>
    <w:rPr>
      <w:rFonts w:ascii="Times New Roman" w:hAnsi="Times New Roman" w:cs="Times New Roman"/>
      <w:sz w:val="24"/>
    </w:rPr>
  </w:style>
  <w:style w:type="paragraph" w:customStyle="1" w:styleId="Bullet4">
    <w:name w:val="Bullet 4"/>
    <w:basedOn w:val="Normal00"/>
    <w:pPr>
      <w:tabs>
        <w:tab w:val="num" w:pos="720"/>
      </w:tabs>
      <w:spacing w:before="120" w:after="120" w:line="240" w:lineRule="auto"/>
      <w:ind w:left="720" w:hanging="720"/>
      <w:jc w:val="both"/>
    </w:pPr>
    <w:rPr>
      <w:rFonts w:ascii="Times New Roman" w:hAnsi="Times New Roman" w:cs="Times New Roman"/>
      <w:sz w:val="24"/>
    </w:rPr>
  </w:style>
  <w:style w:type="paragraph" w:customStyle="1" w:styleId="Langue">
    <w:name w:val="Langue"/>
    <w:basedOn w:val="Normal00"/>
    <w:next w:val="Rfrenceinterne"/>
    <w:pPr>
      <w:framePr w:wrap="around" w:vAnchor="page" w:hAnchor="text" w:xAlign="center" w:y="14741"/>
      <w:spacing w:after="600" w:line="240" w:lineRule="auto"/>
      <w:jc w:val="center"/>
    </w:pPr>
    <w:rPr>
      <w:rFonts w:ascii="Times New Roman" w:hAnsi="Times New Roman" w:cs="Times New Roman"/>
      <w:b/>
      <w:caps/>
      <w:sz w:val="24"/>
    </w:rPr>
  </w:style>
  <w:style w:type="paragraph" w:customStyle="1" w:styleId="Nomdelinstitution">
    <w:name w:val="Nom de l'institution"/>
    <w:basedOn w:val="Normal00"/>
    <w:next w:val="Emission"/>
    <w:pPr>
      <w:spacing w:after="0" w:line="240" w:lineRule="auto"/>
    </w:pPr>
    <w:rPr>
      <w:rFonts w:ascii="Arial" w:hAnsi="Arial" w:cs="Arial"/>
      <w:sz w:val="24"/>
    </w:rPr>
  </w:style>
  <w:style w:type="paragraph" w:customStyle="1" w:styleId="Emission">
    <w:name w:val="Emission"/>
    <w:basedOn w:val="Normal00"/>
    <w:next w:val="Rfrenceinstitutionnelle"/>
    <w:pPr>
      <w:spacing w:after="0" w:line="240" w:lineRule="auto"/>
      <w:ind w:left="5103"/>
    </w:pPr>
    <w:rPr>
      <w:rFonts w:ascii="Times New Roman" w:hAnsi="Times New Roman" w:cs="Times New Roman"/>
      <w:sz w:val="24"/>
    </w:rPr>
  </w:style>
  <w:style w:type="paragraph" w:customStyle="1" w:styleId="Rfrenceinstitutionnelle">
    <w:name w:val="Référence institutionnelle"/>
    <w:basedOn w:val="Normal00"/>
    <w:next w:val="Confidentialit"/>
    <w:pPr>
      <w:spacing w:after="240" w:line="240" w:lineRule="auto"/>
      <w:ind w:left="5103"/>
    </w:pPr>
    <w:rPr>
      <w:rFonts w:ascii="Times New Roman" w:hAnsi="Times New Roman" w:cs="Times New Roman"/>
      <w:sz w:val="24"/>
    </w:rPr>
  </w:style>
  <w:style w:type="paragraph" w:customStyle="1" w:styleId="Pagedecouverture">
    <w:name w:val="Page de couverture"/>
    <w:basedOn w:val="Normal00"/>
    <w:next w:val="Normal00"/>
    <w:pPr>
      <w:spacing w:after="0" w:line="240" w:lineRule="auto"/>
      <w:jc w:val="both"/>
    </w:pPr>
    <w:rPr>
      <w:rFonts w:ascii="Times New Roman" w:hAnsi="Times New Roman" w:cs="Times New Roman"/>
      <w:sz w:val="24"/>
    </w:rPr>
  </w:style>
  <w:style w:type="paragraph" w:customStyle="1" w:styleId="Declassification">
    <w:name w:val="Declassification"/>
    <w:basedOn w:val="Normal00"/>
    <w:next w:val="Normal00"/>
    <w:pPr>
      <w:spacing w:after="0" w:line="240" w:lineRule="auto"/>
      <w:jc w:val="both"/>
    </w:pPr>
    <w:rPr>
      <w:rFonts w:ascii="Times New Roman" w:hAnsi="Times New Roman" w:cs="Times New Roman"/>
      <w:sz w:val="24"/>
    </w:rPr>
  </w:style>
  <w:style w:type="paragraph" w:customStyle="1" w:styleId="Disclaimer">
    <w:name w:val="Disclaimer"/>
    <w:basedOn w:val="Normal00"/>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952C3C"/>
    <w:pPr>
      <w:spacing w:after="0"/>
      <w:ind w:left="5103"/>
    </w:pPr>
    <w:rPr>
      <w:rFonts w:ascii="Times New Roman" w:eastAsiaTheme="minorHAnsi" w:hAnsi="Times New Roman" w:cs="Times New Roman"/>
      <w:sz w:val="28"/>
    </w:rPr>
  </w:style>
  <w:style w:type="paragraph" w:customStyle="1" w:styleId="DateMarking">
    <w:name w:val="DateMarking"/>
    <w:basedOn w:val="Normal"/>
    <w:rsid w:val="00952C3C"/>
    <w:pPr>
      <w:spacing w:after="0"/>
      <w:ind w:left="5103"/>
    </w:pPr>
    <w:rPr>
      <w:rFonts w:ascii="Times New Roman" w:eastAsiaTheme="minorHAnsi" w:hAnsi="Times New Roman" w:cs="Times New Roman"/>
      <w:i/>
      <w:sz w:val="28"/>
    </w:rPr>
  </w:style>
  <w:style w:type="paragraph" w:customStyle="1" w:styleId="ReleasableTo">
    <w:name w:val="ReleasableTo"/>
    <w:basedOn w:val="Normal"/>
    <w:rsid w:val="00952C3C"/>
    <w:pPr>
      <w:spacing w:after="0"/>
      <w:ind w:left="5103"/>
    </w:pPr>
    <w:rPr>
      <w:rFonts w:ascii="Times New Roman" w:eastAsiaTheme="minorHAnsi" w:hAnsi="Times New Roman" w:cs="Times New Roman"/>
      <w:i/>
      <w:sz w:val="28"/>
    </w:rPr>
  </w:style>
  <w:style w:type="paragraph" w:customStyle="1" w:styleId="Annexetitreexpos">
    <w:name w:val="Annexe titre (exposé)"/>
    <w:basedOn w:val="Normal00"/>
    <w:next w:val="Normal00"/>
    <w:pPr>
      <w:spacing w:before="120" w:after="120" w:line="240" w:lineRule="auto"/>
      <w:jc w:val="center"/>
    </w:pPr>
    <w:rPr>
      <w:rFonts w:ascii="Times New Roman" w:hAnsi="Times New Roman" w:cs="Times New Roman"/>
      <w:b/>
      <w:sz w:val="24"/>
      <w:u w:val="single"/>
    </w:rPr>
  </w:style>
  <w:style w:type="paragraph" w:customStyle="1" w:styleId="Annexetitre">
    <w:name w:val="Annexe titre"/>
    <w:basedOn w:val="Normal00"/>
    <w:next w:val="Normal00"/>
    <w:pPr>
      <w:spacing w:before="120" w:after="120" w:line="240" w:lineRule="auto"/>
      <w:jc w:val="center"/>
    </w:pPr>
    <w:rPr>
      <w:rFonts w:ascii="Times New Roman" w:hAnsi="Times New Roman" w:cs="Times New Roman"/>
      <w:b/>
      <w:sz w:val="24"/>
      <w:u w:val="single"/>
    </w:rPr>
  </w:style>
  <w:style w:type="paragraph" w:customStyle="1" w:styleId="Annexetitrefichefinancire">
    <w:name w:val="Annexe titre (fiche financière)"/>
    <w:basedOn w:val="Normal00"/>
    <w:next w:val="Normal00"/>
    <w:pPr>
      <w:spacing w:before="120" w:after="120" w:line="240" w:lineRule="auto"/>
      <w:jc w:val="center"/>
    </w:pPr>
    <w:rPr>
      <w:rFonts w:ascii="Times New Roman" w:hAnsi="Times New Roman" w:cs="Times New Roman"/>
      <w:b/>
      <w:sz w:val="24"/>
      <w:u w:val="single"/>
    </w:rPr>
  </w:style>
  <w:style w:type="paragraph" w:customStyle="1" w:styleId="Applicationdirecte">
    <w:name w:val="Application directe"/>
    <w:basedOn w:val="Normal00"/>
    <w:next w:val="Fait"/>
    <w:pPr>
      <w:spacing w:before="480" w:after="120" w:line="240" w:lineRule="auto"/>
      <w:jc w:val="both"/>
    </w:pPr>
    <w:rPr>
      <w:rFonts w:ascii="Times New Roman" w:hAnsi="Times New Roman" w:cs="Times New Roman"/>
      <w:sz w:val="24"/>
    </w:rPr>
  </w:style>
  <w:style w:type="paragraph" w:customStyle="1" w:styleId="Avertissementtitre">
    <w:name w:val="Avertissement titre"/>
    <w:basedOn w:val="Normal00"/>
    <w:next w:val="Normal00"/>
    <w:pPr>
      <w:keepNext/>
      <w:spacing w:before="480" w:after="120" w:line="240" w:lineRule="auto"/>
      <w:jc w:val="both"/>
    </w:pPr>
    <w:rPr>
      <w:rFonts w:ascii="Times New Roman" w:hAnsi="Times New Roman" w:cs="Times New Roman"/>
      <w:sz w:val="24"/>
      <w:u w:val="single"/>
    </w:rPr>
  </w:style>
  <w:style w:type="paragraph" w:customStyle="1" w:styleId="Confidence">
    <w:name w:val="Confidence"/>
    <w:basedOn w:val="Normal00"/>
    <w:next w:val="Normal00"/>
    <w:pPr>
      <w:spacing w:before="360" w:after="120" w:line="240" w:lineRule="auto"/>
      <w:jc w:val="center"/>
    </w:pPr>
    <w:rPr>
      <w:rFonts w:ascii="Times New Roman" w:hAnsi="Times New Roman" w:cs="Times New Roman"/>
      <w:sz w:val="24"/>
    </w:rPr>
  </w:style>
  <w:style w:type="paragraph" w:customStyle="1" w:styleId="Confidentialit">
    <w:name w:val="Confidentialité"/>
    <w:basedOn w:val="Normal00"/>
    <w:next w:val="TypedudocumentPagedecouverture"/>
    <w:pPr>
      <w:spacing w:before="240" w:after="240" w:line="240" w:lineRule="auto"/>
      <w:ind w:left="5103"/>
    </w:pPr>
    <w:rPr>
      <w:rFonts w:ascii="Times New Roman" w:hAnsi="Times New Roman" w:cs="Times New Roman"/>
      <w:i/>
      <w:sz w:val="32"/>
    </w:rPr>
  </w:style>
  <w:style w:type="paragraph" w:customStyle="1" w:styleId="Considrant">
    <w:name w:val="Considérant"/>
    <w:basedOn w:val="Normal00"/>
    <w:pPr>
      <w:tabs>
        <w:tab w:val="num" w:pos="720"/>
      </w:tabs>
      <w:spacing w:before="120" w:after="120" w:line="240" w:lineRule="auto"/>
      <w:ind w:left="720" w:hanging="720"/>
      <w:jc w:val="both"/>
    </w:pPr>
    <w:rPr>
      <w:rFonts w:ascii="Times New Roman" w:hAnsi="Times New Roman" w:cs="Times New Roman"/>
      <w:sz w:val="24"/>
    </w:rPr>
  </w:style>
  <w:style w:type="paragraph" w:customStyle="1" w:styleId="Corrigendum">
    <w:name w:val="Corrigendum"/>
    <w:basedOn w:val="Normal00"/>
    <w:next w:val="Normal00"/>
    <w:pPr>
      <w:spacing w:after="240" w:line="240" w:lineRule="auto"/>
    </w:pPr>
    <w:rPr>
      <w:rFonts w:ascii="Times New Roman" w:hAnsi="Times New Roman" w:cs="Times New Roman"/>
      <w:sz w:val="24"/>
    </w:rPr>
  </w:style>
  <w:style w:type="paragraph" w:customStyle="1" w:styleId="Datedadoption">
    <w:name w:val="Date d'adoption"/>
    <w:basedOn w:val="Normal00"/>
    <w:next w:val="IntrtEEE"/>
    <w:pPr>
      <w:spacing w:before="360" w:after="0" w:line="240" w:lineRule="auto"/>
      <w:jc w:val="center"/>
    </w:pPr>
    <w:rPr>
      <w:rFonts w:ascii="Times New Roman" w:hAnsi="Times New Roman" w:cs="Times New Roman"/>
      <w:b/>
      <w:sz w:val="24"/>
    </w:rPr>
  </w:style>
  <w:style w:type="paragraph" w:customStyle="1" w:styleId="Exposdesmotifstitre">
    <w:name w:val="Exposé des motifs titre"/>
    <w:basedOn w:val="Normal00"/>
    <w:next w:val="Normal00"/>
    <w:pPr>
      <w:spacing w:before="120" w:after="120" w:line="240" w:lineRule="auto"/>
      <w:jc w:val="center"/>
    </w:pPr>
    <w:rPr>
      <w:rFonts w:ascii="Times New Roman" w:hAnsi="Times New Roman" w:cs="Times New Roman"/>
      <w:b/>
      <w:sz w:val="24"/>
      <w:u w:val="single"/>
    </w:rPr>
  </w:style>
  <w:style w:type="paragraph" w:customStyle="1" w:styleId="Fait">
    <w:name w:val="Fait à"/>
    <w:basedOn w:val="Normal00"/>
    <w:next w:val="Institutionquisigne"/>
    <w:pPr>
      <w:keepNext/>
      <w:spacing w:before="120" w:after="0" w:line="240" w:lineRule="auto"/>
      <w:jc w:val="both"/>
    </w:pPr>
    <w:rPr>
      <w:rFonts w:ascii="Times New Roman" w:hAnsi="Times New Roman" w:cs="Times New Roman"/>
      <w:sz w:val="24"/>
    </w:rPr>
  </w:style>
  <w:style w:type="paragraph" w:customStyle="1" w:styleId="Formuledadoption">
    <w:name w:val="Formule d'adoption"/>
    <w:basedOn w:val="Normal00"/>
    <w:next w:val="Titrearticle"/>
    <w:pPr>
      <w:keepNext/>
      <w:spacing w:before="120" w:after="120" w:line="240" w:lineRule="auto"/>
      <w:jc w:val="both"/>
    </w:pPr>
    <w:rPr>
      <w:rFonts w:ascii="Times New Roman" w:hAnsi="Times New Roman" w:cs="Times New Roman"/>
      <w:sz w:val="24"/>
    </w:rPr>
  </w:style>
  <w:style w:type="paragraph" w:customStyle="1" w:styleId="Institutionquiagit">
    <w:name w:val="Institution qui agit"/>
    <w:basedOn w:val="Normal00"/>
    <w:next w:val="Normal00"/>
    <w:pPr>
      <w:keepNext/>
      <w:spacing w:before="600" w:after="120" w:line="240" w:lineRule="auto"/>
      <w:jc w:val="both"/>
    </w:pPr>
    <w:rPr>
      <w:rFonts w:ascii="Times New Roman" w:hAnsi="Times New Roman" w:cs="Times New Roman"/>
      <w:sz w:val="24"/>
    </w:rPr>
  </w:style>
  <w:style w:type="paragraph" w:customStyle="1" w:styleId="Institutionquisigne">
    <w:name w:val="Institution qui signe"/>
    <w:basedOn w:val="Normal00"/>
    <w:next w:val="Personnequisigne"/>
    <w:pPr>
      <w:keepNext/>
      <w:tabs>
        <w:tab w:val="left" w:pos="4252"/>
      </w:tabs>
      <w:spacing w:before="720" w:after="0" w:line="240" w:lineRule="auto"/>
      <w:jc w:val="both"/>
    </w:pPr>
    <w:rPr>
      <w:rFonts w:ascii="Times New Roman" w:hAnsi="Times New Roman" w:cs="Times New Roman"/>
      <w:i/>
      <w:sz w:val="24"/>
    </w:rPr>
  </w:style>
  <w:style w:type="paragraph" w:customStyle="1" w:styleId="ManualConsidrant">
    <w:name w:val="Manual Considérant"/>
    <w:basedOn w:val="Normal00"/>
    <w:pPr>
      <w:spacing w:before="120" w:after="120" w:line="240" w:lineRule="auto"/>
      <w:ind w:left="709" w:hanging="709"/>
      <w:jc w:val="both"/>
    </w:pPr>
    <w:rPr>
      <w:rFonts w:ascii="Times New Roman" w:hAnsi="Times New Roman" w:cs="Times New Roman"/>
      <w:sz w:val="24"/>
    </w:rPr>
  </w:style>
  <w:style w:type="paragraph" w:customStyle="1" w:styleId="Personnequisigne">
    <w:name w:val="Personne qui signe"/>
    <w:basedOn w:val="Normal00"/>
    <w:next w:val="Institutionquisigne"/>
    <w:pPr>
      <w:tabs>
        <w:tab w:val="left" w:pos="4252"/>
      </w:tabs>
      <w:spacing w:after="0" w:line="240" w:lineRule="auto"/>
    </w:pPr>
    <w:rPr>
      <w:rFonts w:ascii="Times New Roman" w:hAnsi="Times New Roman" w:cs="Times New Roman"/>
      <w:i/>
      <w:sz w:val="24"/>
    </w:rPr>
  </w:style>
  <w:style w:type="paragraph" w:customStyle="1" w:styleId="Rfrenceinterinstitutionnelle">
    <w:name w:val="Référence interinstitutionnelle"/>
    <w:basedOn w:val="Normal00"/>
    <w:next w:val="Statut"/>
    <w:pPr>
      <w:spacing w:after="0" w:line="240" w:lineRule="auto"/>
      <w:ind w:left="5103"/>
    </w:pPr>
    <w:rPr>
      <w:rFonts w:ascii="Times New Roman" w:hAnsi="Times New Roman" w:cs="Times New Roman"/>
      <w:sz w:val="24"/>
    </w:rPr>
  </w:style>
  <w:style w:type="paragraph" w:customStyle="1" w:styleId="Rfrenceinterne">
    <w:name w:val="Référence interne"/>
    <w:basedOn w:val="Normal00"/>
    <w:next w:val="Rfrenceinterinstitutionnelle"/>
    <w:pPr>
      <w:spacing w:after="0" w:line="240" w:lineRule="auto"/>
      <w:ind w:left="5103"/>
    </w:pPr>
    <w:rPr>
      <w:rFonts w:ascii="Times New Roman" w:hAnsi="Times New Roman" w:cs="Times New Roman"/>
      <w:sz w:val="24"/>
    </w:rPr>
  </w:style>
  <w:style w:type="paragraph" w:customStyle="1" w:styleId="Statut">
    <w:name w:val="Statut"/>
    <w:basedOn w:val="Normal00"/>
    <w:next w:val="Typedudocument"/>
    <w:pPr>
      <w:spacing w:after="240" w:line="240" w:lineRule="auto"/>
      <w:jc w:val="center"/>
    </w:pPr>
    <w:rPr>
      <w:rFonts w:ascii="Times New Roman" w:hAnsi="Times New Roman" w:cs="Times New Roman"/>
      <w:sz w:val="24"/>
    </w:rPr>
  </w:style>
  <w:style w:type="paragraph" w:customStyle="1" w:styleId="Titrearticle">
    <w:name w:val="Titre article"/>
    <w:basedOn w:val="Normal00"/>
    <w:next w:val="Normal00"/>
    <w:pPr>
      <w:keepNext/>
      <w:spacing w:before="360" w:after="120" w:line="240" w:lineRule="auto"/>
      <w:jc w:val="center"/>
    </w:pPr>
    <w:rPr>
      <w:rFonts w:ascii="Times New Roman" w:hAnsi="Times New Roman" w:cs="Times New Roman"/>
      <w:i/>
      <w:sz w:val="24"/>
    </w:rPr>
  </w:style>
  <w:style w:type="paragraph" w:customStyle="1" w:styleId="Typedudocument">
    <w:name w:val="Type du document"/>
    <w:basedOn w:val="Normal00"/>
    <w:next w:val="Accompagnant"/>
    <w:pPr>
      <w:spacing w:before="360" w:after="180" w:line="240" w:lineRule="auto"/>
      <w:jc w:val="center"/>
    </w:pPr>
    <w:rPr>
      <w:rFonts w:ascii="Times New Roman" w:hAnsi="Times New Roman" w:cs="Times New Roman"/>
      <w:b/>
      <w:sz w:val="24"/>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00"/>
    <w:next w:val="Normal00"/>
    <w:pPr>
      <w:keepLines/>
      <w:spacing w:before="120" w:after="120" w:line="360" w:lineRule="auto"/>
      <w:ind w:left="3402"/>
    </w:pPr>
    <w:rPr>
      <w:rFonts w:ascii="Times New Roman" w:hAnsi="Times New Roman" w:cs="Times New Roman"/>
      <w:sz w:val="24"/>
    </w:rPr>
  </w:style>
  <w:style w:type="paragraph" w:customStyle="1" w:styleId="Objetexterne">
    <w:name w:val="Objet externe"/>
    <w:basedOn w:val="Normal00"/>
    <w:next w:val="Normal00"/>
    <w:pPr>
      <w:spacing w:before="120" w:after="120" w:line="240" w:lineRule="auto"/>
      <w:jc w:val="both"/>
    </w:pPr>
    <w:rPr>
      <w:rFonts w:ascii="Times New Roman" w:hAnsi="Times New Roman" w:cs="Times New Roman"/>
      <w:i/>
      <w:caps/>
      <w:sz w:val="24"/>
    </w:rPr>
  </w:style>
  <w:style w:type="paragraph" w:customStyle="1" w:styleId="Supertitre">
    <w:name w:val="Supertitre"/>
    <w:basedOn w:val="Normal00"/>
    <w:next w:val="Normal00"/>
    <w:pPr>
      <w:spacing w:after="600" w:line="240" w:lineRule="auto"/>
      <w:jc w:val="center"/>
    </w:pPr>
    <w:rPr>
      <w:rFonts w:ascii="Times New Roman" w:hAnsi="Times New Roman" w:cs="Times New Roman"/>
      <w:b/>
      <w:sz w:val="24"/>
    </w:rPr>
  </w:style>
  <w:style w:type="paragraph" w:customStyle="1" w:styleId="Languesfaisantfoi">
    <w:name w:val="Langues faisant foi"/>
    <w:basedOn w:val="Normal00"/>
    <w:next w:val="Normal00"/>
    <w:pPr>
      <w:spacing w:before="360" w:after="0" w:line="240" w:lineRule="auto"/>
      <w:jc w:val="center"/>
    </w:pPr>
    <w:rPr>
      <w:rFonts w:ascii="Times New Roman" w:hAnsi="Times New Roman" w:cs="Times New Roman"/>
      <w:sz w:val="24"/>
    </w:rPr>
  </w:style>
  <w:style w:type="paragraph" w:customStyle="1" w:styleId="Rfrencecroise">
    <w:name w:val="Référence croisée"/>
    <w:basedOn w:val="Normal00"/>
    <w:pPr>
      <w:spacing w:after="0" w:line="240" w:lineRule="auto"/>
      <w:jc w:val="center"/>
    </w:pPr>
    <w:rPr>
      <w:rFonts w:ascii="Times New Roman" w:hAnsi="Times New Roman" w:cs="Times New Roman"/>
      <w:sz w:val="24"/>
    </w:rPr>
  </w:style>
  <w:style w:type="paragraph" w:customStyle="1" w:styleId="Fichefinanciretitre">
    <w:name w:val="Fiche financière titre"/>
    <w:basedOn w:val="Normal00"/>
    <w:next w:val="Normal00"/>
    <w:pPr>
      <w:spacing w:before="120" w:after="120" w:line="240" w:lineRule="auto"/>
      <w:jc w:val="center"/>
    </w:pPr>
    <w:rPr>
      <w:rFonts w:ascii="Times New Roman" w:hAnsi="Times New Roman" w:cs="Times New Roman"/>
      <w:b/>
      <w:sz w:val="24"/>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00"/>
    <w:next w:val="Confidentialit"/>
    <w:pPr>
      <w:spacing w:after="240" w:line="240" w:lineRule="auto"/>
      <w:ind w:left="5103"/>
    </w:pPr>
    <w:rPr>
      <w:rFonts w:ascii="Times New Roman" w:hAnsi="Times New Roman" w:cs="Times New Roman"/>
      <w:sz w:val="24"/>
    </w:rPr>
  </w:style>
  <w:style w:type="paragraph" w:customStyle="1" w:styleId="IntrtEEE">
    <w:name w:val="Intérêt EEE"/>
    <w:basedOn w:val="Languesfaisantfoi"/>
    <w:next w:val="Normal00"/>
    <w:pPr>
      <w:spacing w:after="240"/>
    </w:pPr>
  </w:style>
  <w:style w:type="paragraph" w:customStyle="1" w:styleId="Accompagnant">
    <w:name w:val="Accompagnant"/>
    <w:basedOn w:val="Normal00"/>
    <w:next w:val="Typeacteprincipal"/>
    <w:pPr>
      <w:spacing w:before="180" w:after="240" w:line="240" w:lineRule="auto"/>
      <w:jc w:val="center"/>
    </w:pPr>
    <w:rPr>
      <w:rFonts w:ascii="Times New Roman" w:hAnsi="Times New Roman" w:cs="Times New Roman"/>
      <w:b/>
      <w:sz w:val="24"/>
    </w:rPr>
  </w:style>
  <w:style w:type="paragraph" w:customStyle="1" w:styleId="Typeacteprincipal">
    <w:name w:val="Type acte principal"/>
    <w:basedOn w:val="Normal00"/>
    <w:next w:val="Objetacteprincip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00"/>
    <w:next w:val="Titrearticle"/>
    <w:pPr>
      <w:spacing w:after="360" w:line="240" w:lineRule="auto"/>
      <w:jc w:val="center"/>
    </w:pPr>
    <w:rPr>
      <w:rFonts w:ascii="Times New Roman" w:hAnsi="Times New Roman" w:cs="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00"/>
    <w:next w:val="Normal00"/>
    <w:pPr>
      <w:spacing w:before="360" w:after="0" w:line="240" w:lineRule="auto"/>
      <w:jc w:val="center"/>
    </w:pPr>
    <w:rPr>
      <w:rFonts w:ascii="Times New Roman" w:hAnsi="Times New Roman" w:cs="Times New Roman"/>
      <w:sz w:val="24"/>
    </w:rPr>
  </w:style>
  <w:style w:type="table" w:styleId="TableGrid">
    <w:name w:val="Table Grid"/>
    <w:basedOn w:val="NormalTable00"/>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1">
    <w:name w:val="Mention1"/>
    <w:basedOn w:val="DefaultParagraphFont"/>
    <w:uiPriority w:val="99"/>
    <w:unhideWhenUsed/>
    <w:rPr>
      <w:color w:val="2B579A"/>
      <w:shd w:val="clear" w:color="auto" w:fill="E6E6E6"/>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Subtitle">
    <w:name w:val="Subtitle"/>
    <w:basedOn w:val="Normal00"/>
    <w:next w:val="Normal00"/>
    <w:pPr>
      <w:keepNext/>
      <w:keepLines/>
      <w:spacing w:before="360" w:after="80"/>
    </w:pPr>
    <w:rPr>
      <w:rFonts w:ascii="Georgia" w:eastAsia="Georgia" w:hAnsi="Georgia" w:cs="Georgia"/>
      <w:i/>
      <w:color w:val="666666"/>
      <w:sz w:val="48"/>
    </w:rPr>
  </w:style>
  <w:style w:type="table" w:customStyle="1" w:styleId="39">
    <w:name w:val="39"/>
    <w:basedOn w:val="NormalTable00"/>
    <w:tblPr>
      <w:tblStyleRowBandSize w:val="1"/>
      <w:tblStyleColBandSize w:val="1"/>
      <w:tblCellMar>
        <w:left w:w="115" w:type="dxa"/>
        <w:right w:w="115" w:type="dxa"/>
      </w:tblCellMar>
    </w:tblPr>
  </w:style>
  <w:style w:type="table" w:customStyle="1" w:styleId="38">
    <w:name w:val="38"/>
    <w:basedOn w:val="NormalTable00"/>
    <w:tblPr>
      <w:tblStyleRowBandSize w:val="1"/>
      <w:tblStyleColBandSize w:val="1"/>
      <w:tblCellMar>
        <w:left w:w="115" w:type="dxa"/>
        <w:right w:w="115" w:type="dxa"/>
      </w:tblCellMar>
    </w:tblPr>
  </w:style>
  <w:style w:type="table" w:customStyle="1" w:styleId="37">
    <w:name w:val="37"/>
    <w:basedOn w:val="NormalTable00"/>
    <w:tblPr>
      <w:tblStyleRowBandSize w:val="1"/>
      <w:tblStyleColBandSize w:val="1"/>
      <w:tblCellMar>
        <w:left w:w="115" w:type="dxa"/>
        <w:right w:w="115" w:type="dxa"/>
      </w:tblCellMar>
    </w:tblPr>
  </w:style>
  <w:style w:type="table" w:customStyle="1" w:styleId="36">
    <w:name w:val="36"/>
    <w:basedOn w:val="NormalTable00"/>
    <w:tblPr>
      <w:tblStyleRowBandSize w:val="1"/>
      <w:tblStyleColBandSize w:val="1"/>
      <w:tblCellMar>
        <w:left w:w="115" w:type="dxa"/>
        <w:right w:w="115" w:type="dxa"/>
      </w:tblCellMar>
    </w:tblPr>
  </w:style>
  <w:style w:type="table" w:customStyle="1" w:styleId="35">
    <w:name w:val="35"/>
    <w:basedOn w:val="NormalTable00"/>
    <w:tblPr>
      <w:tblStyleRowBandSize w:val="1"/>
      <w:tblStyleColBandSize w:val="1"/>
      <w:tblCellMar>
        <w:left w:w="115" w:type="dxa"/>
        <w:right w:w="115" w:type="dxa"/>
      </w:tblCellMar>
    </w:tblPr>
  </w:style>
  <w:style w:type="table" w:customStyle="1" w:styleId="34">
    <w:name w:val="34"/>
    <w:basedOn w:val="NormalTable00"/>
    <w:tblPr>
      <w:tblStyleRowBandSize w:val="1"/>
      <w:tblStyleColBandSize w:val="1"/>
      <w:tblCellMar>
        <w:left w:w="115" w:type="dxa"/>
        <w:right w:w="115" w:type="dxa"/>
      </w:tblCellMar>
    </w:tblPr>
  </w:style>
  <w:style w:type="table" w:customStyle="1" w:styleId="33">
    <w:name w:val="33"/>
    <w:basedOn w:val="NormalTable00"/>
    <w:tblPr>
      <w:tblStyleRowBandSize w:val="1"/>
      <w:tblStyleColBandSize w:val="1"/>
      <w:tblCellMar>
        <w:left w:w="115" w:type="dxa"/>
        <w:right w:w="115" w:type="dxa"/>
      </w:tblCellMar>
    </w:tblPr>
  </w:style>
  <w:style w:type="table" w:customStyle="1" w:styleId="32">
    <w:name w:val="32"/>
    <w:basedOn w:val="NormalTable00"/>
    <w:tblPr>
      <w:tblStyleRowBandSize w:val="1"/>
      <w:tblStyleColBandSize w:val="1"/>
      <w:tblCellMar>
        <w:left w:w="115" w:type="dxa"/>
        <w:right w:w="115" w:type="dxa"/>
      </w:tblCellMar>
    </w:tblPr>
  </w:style>
  <w:style w:type="table" w:customStyle="1" w:styleId="31">
    <w:name w:val="31"/>
    <w:basedOn w:val="NormalTable00"/>
    <w:tblPr>
      <w:tblStyleRowBandSize w:val="1"/>
      <w:tblStyleColBandSize w:val="1"/>
      <w:tblCellMar>
        <w:left w:w="115" w:type="dxa"/>
        <w:right w:w="115" w:type="dxa"/>
      </w:tblCellMar>
    </w:tblPr>
  </w:style>
  <w:style w:type="table" w:customStyle="1" w:styleId="30">
    <w:name w:val="30"/>
    <w:basedOn w:val="NormalTable00"/>
    <w:tblPr>
      <w:tblStyleRowBandSize w:val="1"/>
      <w:tblStyleColBandSize w:val="1"/>
      <w:tblCellMar>
        <w:left w:w="115" w:type="dxa"/>
        <w:right w:w="115" w:type="dxa"/>
      </w:tblCellMar>
    </w:tblPr>
  </w:style>
  <w:style w:type="table" w:customStyle="1" w:styleId="29">
    <w:name w:val="29"/>
    <w:basedOn w:val="NormalTable00"/>
    <w:tblPr>
      <w:tblStyleRowBandSize w:val="1"/>
      <w:tblStyleColBandSize w:val="1"/>
      <w:tblCellMar>
        <w:left w:w="115" w:type="dxa"/>
        <w:right w:w="115" w:type="dxa"/>
      </w:tblCellMar>
    </w:tblPr>
  </w:style>
  <w:style w:type="table" w:customStyle="1" w:styleId="28">
    <w:name w:val="28"/>
    <w:basedOn w:val="NormalTable00"/>
    <w:tblPr>
      <w:tblStyleRowBandSize w:val="1"/>
      <w:tblStyleColBandSize w:val="1"/>
      <w:tblCellMar>
        <w:left w:w="115" w:type="dxa"/>
        <w:right w:w="115" w:type="dxa"/>
      </w:tblCellMar>
    </w:tblPr>
  </w:style>
  <w:style w:type="table" w:customStyle="1" w:styleId="27">
    <w:name w:val="27"/>
    <w:basedOn w:val="NormalTable00"/>
    <w:tblPr>
      <w:tblStyleRowBandSize w:val="1"/>
      <w:tblStyleColBandSize w:val="1"/>
      <w:tblCellMar>
        <w:left w:w="115" w:type="dxa"/>
        <w:right w:w="115" w:type="dxa"/>
      </w:tblCellMar>
    </w:tblPr>
  </w:style>
  <w:style w:type="table" w:customStyle="1" w:styleId="26">
    <w:name w:val="26"/>
    <w:basedOn w:val="NormalTable00"/>
    <w:tblPr>
      <w:tblStyleRowBandSize w:val="1"/>
      <w:tblStyleColBandSize w:val="1"/>
      <w:tblCellMar>
        <w:left w:w="115" w:type="dxa"/>
        <w:right w:w="115" w:type="dxa"/>
      </w:tblCellMar>
    </w:tblPr>
  </w:style>
  <w:style w:type="table" w:customStyle="1" w:styleId="25">
    <w:name w:val="25"/>
    <w:basedOn w:val="NormalTable00"/>
    <w:tblPr>
      <w:tblStyleRowBandSize w:val="1"/>
      <w:tblStyleColBandSize w:val="1"/>
      <w:tblCellMar>
        <w:left w:w="115" w:type="dxa"/>
        <w:right w:w="115" w:type="dxa"/>
      </w:tblCellMar>
    </w:tblPr>
  </w:style>
  <w:style w:type="table" w:customStyle="1" w:styleId="24">
    <w:name w:val="24"/>
    <w:basedOn w:val="NormalTable00"/>
    <w:tblPr>
      <w:tblStyleRowBandSize w:val="1"/>
      <w:tblStyleColBandSize w:val="1"/>
      <w:tblCellMar>
        <w:left w:w="115" w:type="dxa"/>
        <w:right w:w="115" w:type="dxa"/>
      </w:tblCellMar>
    </w:tblPr>
  </w:style>
  <w:style w:type="table" w:customStyle="1" w:styleId="23">
    <w:name w:val="23"/>
    <w:basedOn w:val="NormalTable00"/>
    <w:tblPr>
      <w:tblStyleRowBandSize w:val="1"/>
      <w:tblStyleColBandSize w:val="1"/>
      <w:tblCellMar>
        <w:left w:w="115" w:type="dxa"/>
        <w:right w:w="115" w:type="dxa"/>
      </w:tblCellMar>
    </w:tblPr>
  </w:style>
  <w:style w:type="table" w:customStyle="1" w:styleId="22">
    <w:name w:val="22"/>
    <w:basedOn w:val="NormalTable00"/>
    <w:tblPr>
      <w:tblStyleRowBandSize w:val="1"/>
      <w:tblStyleColBandSize w:val="1"/>
      <w:tblCellMar>
        <w:left w:w="115" w:type="dxa"/>
        <w:right w:w="115" w:type="dxa"/>
      </w:tblCellMar>
    </w:tblPr>
  </w:style>
  <w:style w:type="table" w:customStyle="1" w:styleId="21">
    <w:name w:val="21"/>
    <w:basedOn w:val="NormalTable00"/>
    <w:tblPr>
      <w:tblStyleRowBandSize w:val="1"/>
      <w:tblStyleColBandSize w:val="1"/>
      <w:tblCellMar>
        <w:left w:w="115" w:type="dxa"/>
        <w:right w:w="115" w:type="dxa"/>
      </w:tblCellMar>
    </w:tblPr>
  </w:style>
  <w:style w:type="paragraph" w:customStyle="1" w:styleId="Subtitle0">
    <w:name w:val="Subtitle0"/>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rPr>
  </w:style>
  <w:style w:type="table" w:customStyle="1" w:styleId="20">
    <w:name w:val="20"/>
    <w:basedOn w:val="NormalTable0"/>
    <w:tblPr>
      <w:tblStyleRowBandSize w:val="1"/>
      <w:tblStyleColBandSize w:val="1"/>
      <w:tblCellMar>
        <w:left w:w="115" w:type="dxa"/>
        <w:right w:w="115" w:type="dxa"/>
      </w:tblCellMar>
    </w:tblPr>
  </w:style>
  <w:style w:type="table" w:customStyle="1" w:styleId="19">
    <w:name w:val="19"/>
    <w:basedOn w:val="NormalTable0"/>
    <w:tblPr>
      <w:tblStyleRowBandSize w:val="1"/>
      <w:tblStyleColBandSize w:val="1"/>
      <w:tblCellMar>
        <w:left w:w="115" w:type="dxa"/>
        <w:right w:w="115" w:type="dxa"/>
      </w:tblCellMar>
    </w:tblPr>
  </w:style>
  <w:style w:type="table" w:customStyle="1" w:styleId="18">
    <w:name w:val="18"/>
    <w:basedOn w:val="NormalTable0"/>
    <w:tblPr>
      <w:tblStyleRowBandSize w:val="1"/>
      <w:tblStyleColBandSize w:val="1"/>
      <w:tblCellMar>
        <w:left w:w="115" w:type="dxa"/>
        <w:right w:w="115" w:type="dxa"/>
      </w:tblCellMar>
    </w:tblPr>
  </w:style>
  <w:style w:type="table" w:customStyle="1" w:styleId="17">
    <w:name w:val="17"/>
    <w:basedOn w:val="NormalTable0"/>
    <w:tblPr>
      <w:tblStyleRowBandSize w:val="1"/>
      <w:tblStyleColBandSize w:val="1"/>
      <w:tblCellMar>
        <w:left w:w="115" w:type="dxa"/>
        <w:right w:w="115" w:type="dxa"/>
      </w:tblCellMar>
    </w:tblPr>
  </w:style>
  <w:style w:type="table" w:customStyle="1" w:styleId="16">
    <w:name w:val="16"/>
    <w:basedOn w:val="NormalTable0"/>
    <w:tblPr>
      <w:tblStyleRowBandSize w:val="1"/>
      <w:tblStyleColBandSize w:val="1"/>
      <w:tblCellMar>
        <w:left w:w="115" w:type="dxa"/>
        <w:right w:w="115" w:type="dxa"/>
      </w:tblCellMar>
    </w:tblPr>
  </w:style>
  <w:style w:type="table" w:customStyle="1" w:styleId="15">
    <w:name w:val="15"/>
    <w:basedOn w:val="NormalTable0"/>
    <w:tblPr>
      <w:tblStyleRowBandSize w:val="1"/>
      <w:tblStyleColBandSize w:val="1"/>
      <w:tblCellMar>
        <w:left w:w="115" w:type="dxa"/>
        <w:right w:w="115" w:type="dxa"/>
      </w:tblCellMar>
    </w:tblPr>
  </w:style>
  <w:style w:type="table" w:customStyle="1" w:styleId="14">
    <w:name w:val="14"/>
    <w:basedOn w:val="NormalTable0"/>
    <w:tblPr>
      <w:tblStyleRowBandSize w:val="1"/>
      <w:tblStyleColBandSize w:val="1"/>
      <w:tblCellMar>
        <w:left w:w="115" w:type="dxa"/>
        <w:right w:w="115" w:type="dxa"/>
      </w:tblCellMar>
    </w:tblPr>
  </w:style>
  <w:style w:type="table" w:customStyle="1" w:styleId="13">
    <w:name w:val="13"/>
    <w:basedOn w:val="NormalTable0"/>
    <w:tblPr>
      <w:tblStyleRowBandSize w:val="1"/>
      <w:tblStyleColBandSize w:val="1"/>
      <w:tblCellMar>
        <w:left w:w="115" w:type="dxa"/>
        <w:right w:w="115" w:type="dxa"/>
      </w:tblCellMar>
    </w:tblPr>
  </w:style>
  <w:style w:type="table" w:customStyle="1" w:styleId="12">
    <w:name w:val="12"/>
    <w:basedOn w:val="NormalTable0"/>
    <w:tblPr>
      <w:tblStyleRowBandSize w:val="1"/>
      <w:tblStyleColBandSize w:val="1"/>
      <w:tblCellMar>
        <w:left w:w="115" w:type="dxa"/>
        <w:right w:w="115" w:type="dxa"/>
      </w:tblCellMar>
    </w:tblPr>
  </w:style>
  <w:style w:type="table" w:customStyle="1" w:styleId="11">
    <w:name w:val="11"/>
    <w:basedOn w:val="NormalTable0"/>
    <w:tblPr>
      <w:tblStyleRowBandSize w:val="1"/>
      <w:tblStyleColBandSize w:val="1"/>
      <w:tblCellMar>
        <w:left w:w="115" w:type="dxa"/>
        <w:right w:w="115" w:type="dxa"/>
      </w:tblCellMar>
    </w:tblPr>
  </w:style>
  <w:style w:type="table" w:customStyle="1" w:styleId="10">
    <w:name w:val="10"/>
    <w:basedOn w:val="NormalTable0"/>
    <w:tblPr>
      <w:tblStyleRowBandSize w:val="1"/>
      <w:tblStyleColBandSize w:val="1"/>
      <w:tblCellMar>
        <w:left w:w="115" w:type="dxa"/>
        <w:right w:w="115" w:type="dxa"/>
      </w:tblCellMar>
    </w:tblPr>
  </w:style>
  <w:style w:type="table" w:customStyle="1" w:styleId="9">
    <w:name w:val="9"/>
    <w:basedOn w:val="NormalTable0"/>
    <w:tblPr>
      <w:tblStyleRowBandSize w:val="1"/>
      <w:tblStyleColBandSize w:val="1"/>
      <w:tblCellMar>
        <w:left w:w="115" w:type="dxa"/>
        <w:right w:w="115" w:type="dxa"/>
      </w:tblCellMar>
    </w:tblPr>
  </w:style>
  <w:style w:type="table" w:customStyle="1" w:styleId="8">
    <w:name w:val="8"/>
    <w:basedOn w:val="NormalTable0"/>
    <w:tblPr>
      <w:tblStyleRowBandSize w:val="1"/>
      <w:tblStyleColBandSize w:val="1"/>
      <w:tblCellMar>
        <w:left w:w="115" w:type="dxa"/>
        <w:right w:w="115" w:type="dxa"/>
      </w:tblCellMar>
    </w:tblPr>
  </w:style>
  <w:style w:type="table" w:customStyle="1" w:styleId="7">
    <w:name w:val="7"/>
    <w:basedOn w:val="NormalTable0"/>
    <w:tblPr>
      <w:tblStyleRowBandSize w:val="1"/>
      <w:tblStyleColBandSize w:val="1"/>
      <w:tblCellMar>
        <w:left w:w="115" w:type="dxa"/>
        <w:right w:w="115" w:type="dxa"/>
      </w:tblCellMar>
    </w:tblPr>
  </w:style>
  <w:style w:type="table" w:customStyle="1" w:styleId="6">
    <w:name w:val="6"/>
    <w:basedOn w:val="NormalTable0"/>
    <w:tblPr>
      <w:tblStyleRowBandSize w:val="1"/>
      <w:tblStyleColBandSize w:val="1"/>
      <w:tblCellMar>
        <w:left w:w="115" w:type="dxa"/>
        <w:right w:w="115" w:type="dxa"/>
      </w:tblCellMar>
    </w:tblPr>
  </w:style>
  <w:style w:type="table" w:customStyle="1" w:styleId="5">
    <w:name w:val="5"/>
    <w:basedOn w:val="NormalTable0"/>
    <w:tblPr>
      <w:tblStyleRowBandSize w:val="1"/>
      <w:tblStyleColBandSize w:val="1"/>
      <w:tblCellMar>
        <w:left w:w="115" w:type="dxa"/>
        <w:right w:w="115" w:type="dxa"/>
      </w:tblCellMar>
    </w:tblPr>
  </w:style>
  <w:style w:type="table" w:customStyle="1" w:styleId="4">
    <w:name w:val="4"/>
    <w:basedOn w:val="NormalTable0"/>
    <w:tblPr>
      <w:tblStyleRowBandSize w:val="1"/>
      <w:tblStyleColBandSize w:val="1"/>
      <w:tblCellMar>
        <w:left w:w="115" w:type="dxa"/>
        <w:right w:w="115" w:type="dxa"/>
      </w:tblCellMar>
    </w:tblPr>
  </w:style>
  <w:style w:type="table" w:customStyle="1" w:styleId="3">
    <w:name w:val="3"/>
    <w:basedOn w:val="NormalTable0"/>
    <w:tblPr>
      <w:tblStyleRowBandSize w:val="1"/>
      <w:tblStyleColBandSize w:val="1"/>
      <w:tblCellMar>
        <w:left w:w="115" w:type="dxa"/>
        <w:right w:w="115" w:type="dxa"/>
      </w:tblCellMar>
    </w:tblPr>
  </w:style>
  <w:style w:type="table" w:customStyle="1" w:styleId="1">
    <w:name w:val="1"/>
    <w:basedOn w:val="NormalTable0"/>
    <w:tblPr>
      <w:tblStyleRowBandSize w:val="1"/>
      <w:tblStyleColBandSize w:val="1"/>
      <w:tblCellMar>
        <w:left w:w="115" w:type="dxa"/>
        <w:right w:w="115" w:type="dxa"/>
      </w:tblCellMar>
    </w:tblPr>
  </w:style>
  <w:style w:type="character" w:customStyle="1" w:styleId="FootnoteCharacters">
    <w:name w:val="Footnote Characters"/>
    <w:rsid w:val="00C612C5"/>
    <w:rPr>
      <w:vertAlign w:val="superscript"/>
    </w:rPr>
  </w:style>
  <w:style w:type="character" w:customStyle="1" w:styleId="WW8Num2z0">
    <w:name w:val="WW8Num2z0"/>
    <w:rsid w:val="00463240"/>
    <w:rPr>
      <w:rFonts w:ascii="Wingdings" w:hAnsi="Wingdings" w:cs="Wingdings"/>
    </w:rPr>
  </w:style>
  <w:style w:type="character" w:customStyle="1" w:styleId="WW8Num1z1">
    <w:name w:val="WW8Num1z1"/>
    <w:rsid w:val="00D33DF2"/>
    <w:rPr>
      <w:rFonts w:ascii="Courier New" w:hAnsi="Courier New" w:cs="Courier New"/>
    </w:rPr>
  </w:style>
  <w:style w:type="character" w:customStyle="1" w:styleId="Mention2">
    <w:name w:val="Mention2"/>
    <w:basedOn w:val="DefaultParagraphFont"/>
    <w:uiPriority w:val="99"/>
    <w:unhideWhenUsed/>
    <w:rPr>
      <w:color w:val="2B579A"/>
      <w:shd w:val="clear" w:color="auto" w:fill="E6E6E6"/>
    </w:rPr>
  </w:style>
  <w:style w:type="paragraph" w:customStyle="1" w:styleId="paragraph">
    <w:name w:val="paragraph"/>
    <w:basedOn w:val="Normal"/>
    <w:rsid w:val="00D23F6C"/>
    <w:pPr>
      <w:spacing w:before="100" w:beforeAutospacing="1" w:after="100" w:afterAutospacing="1" w:line="240" w:lineRule="auto"/>
    </w:pPr>
    <w:rPr>
      <w:rFonts w:ascii="Times New Roman" w:eastAsia="Times New Roman" w:hAnsi="Times New Roman" w:cs="Times New Roman"/>
      <w:sz w:val="24"/>
    </w:rPr>
  </w:style>
  <w:style w:type="character" w:customStyle="1" w:styleId="normaltextrun">
    <w:name w:val="normaltextrun"/>
    <w:basedOn w:val="DefaultParagraphFont"/>
    <w:rsid w:val="00D23F6C"/>
  </w:style>
  <w:style w:type="character" w:customStyle="1" w:styleId="scxw147420095">
    <w:name w:val="scxw147420095"/>
    <w:basedOn w:val="DefaultParagraphFont"/>
    <w:rsid w:val="00D23F6C"/>
  </w:style>
  <w:style w:type="character" w:customStyle="1" w:styleId="eop">
    <w:name w:val="eop"/>
    <w:basedOn w:val="DefaultParagraphFont"/>
    <w:rsid w:val="00D23F6C"/>
  </w:style>
  <w:style w:type="character" w:customStyle="1" w:styleId="scxw52418636">
    <w:name w:val="scxw52418636"/>
    <w:basedOn w:val="DefaultParagraphFont"/>
    <w:rsid w:val="00D23F6C"/>
  </w:style>
  <w:style w:type="character" w:customStyle="1" w:styleId="scxw256459143">
    <w:name w:val="scxw256459143"/>
    <w:basedOn w:val="DefaultParagraphFont"/>
    <w:rsid w:val="00D23F6C"/>
  </w:style>
  <w:style w:type="paragraph" w:customStyle="1" w:styleId="TechnicalBlock">
    <w:name w:val="Technical Block"/>
    <w:basedOn w:val="Normal"/>
    <w:link w:val="TechnicalBlockChar"/>
    <w:rsid w:val="00A96869"/>
    <w:pPr>
      <w:spacing w:after="240" w:line="240" w:lineRule="auto"/>
      <w:jc w:val="center"/>
    </w:pPr>
  </w:style>
  <w:style w:type="character" w:customStyle="1" w:styleId="TechnicalBlockChar">
    <w:name w:val="Technical Block Char"/>
    <w:basedOn w:val="DefaultParagraphFont"/>
    <w:link w:val="TechnicalBlock"/>
    <w:rsid w:val="00A96869"/>
  </w:style>
  <w:style w:type="paragraph" w:customStyle="1" w:styleId="EntText">
    <w:name w:val="EntText"/>
    <w:basedOn w:val="Normal"/>
    <w:rsid w:val="005E6922"/>
    <w:pPr>
      <w:spacing w:before="120" w:after="120" w:line="360" w:lineRule="auto"/>
    </w:pPr>
    <w:rPr>
      <w:rFonts w:ascii="Times New Roman" w:eastAsiaTheme="minorHAnsi" w:hAnsi="Times New Roman" w:cs="Times New Roman"/>
      <w:sz w:val="24"/>
    </w:rPr>
  </w:style>
  <w:style w:type="paragraph" w:customStyle="1" w:styleId="Lignefinal">
    <w:name w:val="Ligne final"/>
    <w:basedOn w:val="Normal"/>
    <w:next w:val="Normal"/>
    <w:rsid w:val="005E6922"/>
    <w:pPr>
      <w:pBdr>
        <w:bottom w:val="single" w:sz="4" w:space="0" w:color="000000"/>
      </w:pBdr>
      <w:spacing w:before="360" w:after="120" w:line="360" w:lineRule="auto"/>
      <w:ind w:left="3400" w:right="3400"/>
      <w:jc w:val="center"/>
    </w:pPr>
    <w:rPr>
      <w:rFonts w:ascii="Times New Roman" w:eastAsiaTheme="minorHAnsi" w:hAnsi="Times New Roman" w:cs="Times New Roman"/>
      <w:b/>
      <w:sz w:val="24"/>
    </w:rPr>
  </w:style>
  <w:style w:type="paragraph" w:customStyle="1" w:styleId="pj">
    <w:name w:val="p.j."/>
    <w:basedOn w:val="Normal"/>
    <w:link w:val="pjChar"/>
    <w:rsid w:val="00A96869"/>
    <w:pPr>
      <w:spacing w:before="1200" w:after="120" w:line="240" w:lineRule="auto"/>
      <w:ind w:left="1440" w:hanging="1440"/>
    </w:pPr>
    <w:rPr>
      <w:rFonts w:ascii="Times New Roman" w:hAnsi="Times New Roman" w:cs="Times New Roman"/>
      <w:sz w:val="24"/>
    </w:rPr>
  </w:style>
  <w:style w:type="character" w:customStyle="1" w:styleId="pjChar">
    <w:name w:val="p.j. Char"/>
    <w:basedOn w:val="TechnicalBlockChar"/>
    <w:link w:val="pj"/>
    <w:rsid w:val="00A96869"/>
    <w:rPr>
      <w:rFonts w:ascii="Times New Roman" w:hAnsi="Times New Roman" w:cs="Times New Roman"/>
      <w:sz w:val="24"/>
    </w:rPr>
  </w:style>
  <w:style w:type="paragraph" w:customStyle="1" w:styleId="nbbordered">
    <w:name w:val="nb bordered"/>
    <w:basedOn w:val="Normal"/>
    <w:link w:val="nbborderedChar"/>
    <w:rsid w:val="00A96869"/>
    <w:pPr>
      <w:pBdr>
        <w:top w:val="single" w:sz="4" w:space="1" w:color="auto"/>
        <w:left w:val="single" w:sz="4" w:space="4" w:color="auto"/>
        <w:bottom w:val="single" w:sz="4" w:space="1" w:color="auto"/>
        <w:right w:val="single" w:sz="4" w:space="4" w:color="auto"/>
        <w:between w:val="single" w:sz="4" w:space="0" w:color="auto"/>
      </w:pBdr>
      <w:spacing w:after="160" w:line="240" w:lineRule="auto"/>
      <w:ind w:left="480" w:hanging="480"/>
    </w:pPr>
    <w:rPr>
      <w:rFonts w:ascii="Times New Roman" w:hAnsi="Times New Roman" w:cs="Times New Roman"/>
      <w:b/>
      <w:sz w:val="24"/>
    </w:rPr>
  </w:style>
  <w:style w:type="character" w:customStyle="1" w:styleId="nbborderedChar">
    <w:name w:val="nb bordered Char"/>
    <w:basedOn w:val="TechnicalBlockChar"/>
    <w:link w:val="nbbordered"/>
    <w:rsid w:val="00A96869"/>
    <w:rPr>
      <w:rFonts w:ascii="Times New Roman" w:hAnsi="Times New Roman" w:cs="Times New Roman"/>
      <w:b/>
      <w:sz w:val="24"/>
    </w:rPr>
  </w:style>
  <w:style w:type="paragraph" w:customStyle="1" w:styleId="HeaderCouncil">
    <w:name w:val="Header Council"/>
    <w:basedOn w:val="Normal"/>
    <w:link w:val="HeaderCouncilChar"/>
    <w:rsid w:val="00A96869"/>
    <w:pPr>
      <w:spacing w:after="0"/>
    </w:pPr>
    <w:rPr>
      <w:sz w:val="2"/>
    </w:rPr>
  </w:style>
  <w:style w:type="character" w:customStyle="1" w:styleId="HeaderCouncilChar">
    <w:name w:val="Header Council Char"/>
    <w:basedOn w:val="DefaultParagraphFont"/>
    <w:link w:val="HeaderCouncil"/>
    <w:rsid w:val="00A96869"/>
    <w:rPr>
      <w:sz w:val="2"/>
    </w:rPr>
  </w:style>
  <w:style w:type="paragraph" w:customStyle="1" w:styleId="HeaderCouncilLarge">
    <w:name w:val="Header Council Large"/>
    <w:basedOn w:val="Normal"/>
    <w:link w:val="HeaderCouncilLargeChar"/>
    <w:rsid w:val="00A96869"/>
    <w:pPr>
      <w:spacing w:after="440"/>
    </w:pPr>
    <w:rPr>
      <w:sz w:val="2"/>
    </w:rPr>
  </w:style>
  <w:style w:type="character" w:customStyle="1" w:styleId="HeaderCouncilLargeChar">
    <w:name w:val="Header Council Large Char"/>
    <w:basedOn w:val="DefaultParagraphFont"/>
    <w:link w:val="HeaderCouncilLarge"/>
    <w:rsid w:val="00A96869"/>
    <w:rPr>
      <w:sz w:val="2"/>
    </w:rPr>
  </w:style>
  <w:style w:type="paragraph" w:customStyle="1" w:styleId="FooterCouncil">
    <w:name w:val="Footer Council"/>
    <w:basedOn w:val="Normal"/>
    <w:link w:val="FooterCouncilChar"/>
    <w:rsid w:val="00A96869"/>
    <w:pPr>
      <w:spacing w:after="0"/>
    </w:pPr>
    <w:rPr>
      <w:sz w:val="2"/>
    </w:rPr>
  </w:style>
  <w:style w:type="character" w:customStyle="1" w:styleId="FooterCouncilChar">
    <w:name w:val="Footer Council Char"/>
    <w:basedOn w:val="DefaultParagraphFont"/>
    <w:link w:val="FooterCouncil"/>
    <w:rsid w:val="00A96869"/>
    <w:rPr>
      <w:sz w:val="2"/>
    </w:rPr>
  </w:style>
  <w:style w:type="paragraph" w:customStyle="1" w:styleId="FooterText">
    <w:name w:val="Footer Text"/>
    <w:basedOn w:val="Normal"/>
    <w:rsid w:val="00A96869"/>
    <w:pPr>
      <w:spacing w:after="0" w:line="240" w:lineRule="auto"/>
    </w:pPr>
    <w:rPr>
      <w:rFonts w:ascii="Times New Roman" w:eastAsia="Times New Roman" w:hAnsi="Times New Roman" w:cs="Times New Roman"/>
      <w:sz w:val="24"/>
    </w:rPr>
  </w:style>
  <w:style w:type="character" w:styleId="PlaceholderText">
    <w:name w:val="Placeholder Text"/>
    <w:basedOn w:val="DefaultParagraphFont"/>
    <w:uiPriority w:val="99"/>
    <w:semiHidden/>
    <w:rsid w:val="00A96869"/>
    <w:rPr>
      <w:color w:val="808080"/>
    </w:rPr>
  </w:style>
  <w:style w:type="paragraph" w:customStyle="1" w:styleId="P68B1DB1-Normalny54">
    <w:name w:val="P68B1DB1-Normalny54"/>
    <w:basedOn w:val="Normal"/>
    <w:uiPriority w:val="1"/>
    <w:rsid w:val="1C567393"/>
    <w:pPr>
      <w:spacing w:after="160"/>
      <w:jc w:val="both"/>
    </w:pPr>
    <w:rPr>
      <w:rFonts w:ascii="Times New Roman" w:eastAsia="Times New Roman" w:hAnsi="Times New Roman" w:cs="Times New Roman"/>
      <w:color w:val="FF0000"/>
    </w:rPr>
  </w:style>
  <w:style w:type="paragraph" w:customStyle="1" w:styleId="P68B1DB1-Normalny51">
    <w:name w:val="P68B1DB1-Normalny51"/>
    <w:basedOn w:val="Normal"/>
    <w:uiPriority w:val="1"/>
    <w:rsid w:val="1C567393"/>
    <w:pPr>
      <w:spacing w:after="160"/>
      <w:jc w:val="both"/>
    </w:pPr>
    <w:rPr>
      <w:rFonts w:ascii="Times New Roman" w:eastAsia="Times New Roman" w:hAnsi="Times New Roman" w:cs="Times New Roman"/>
    </w:rPr>
  </w:style>
  <w:style w:type="character" w:customStyle="1" w:styleId="Mention3">
    <w:name w:val="Mention3"/>
    <w:basedOn w:val="DefaultParagraphFont"/>
    <w:uiPriority w:val="99"/>
    <w:unhideWhenUsed/>
    <w:rsid w:val="002912C0"/>
    <w:rPr>
      <w:color w:val="2B579A"/>
      <w:shd w:val="clear" w:color="auto" w:fill="E1DFDD"/>
    </w:rPr>
  </w:style>
  <w:style w:type="character" w:customStyle="1" w:styleId="superscript">
    <w:name w:val="superscript"/>
    <w:basedOn w:val="DefaultParagraphFont"/>
    <w:rsid w:val="00394B30"/>
  </w:style>
  <w:style w:type="paragraph" w:customStyle="1" w:styleId="LegalNumPar">
    <w:name w:val="LegalNumPar"/>
    <w:basedOn w:val="Normal"/>
    <w:rsid w:val="00597EF0"/>
    <w:pPr>
      <w:numPr>
        <w:numId w:val="56"/>
      </w:numPr>
      <w:spacing w:line="360" w:lineRule="auto"/>
    </w:pPr>
    <w:rPr>
      <w:sz w:val="24"/>
    </w:rPr>
  </w:style>
  <w:style w:type="paragraph" w:customStyle="1" w:styleId="LegalNumPar2">
    <w:name w:val="LegalNumPar2"/>
    <w:basedOn w:val="Normal"/>
    <w:rsid w:val="00597EF0"/>
    <w:pPr>
      <w:numPr>
        <w:ilvl w:val="1"/>
        <w:numId w:val="58"/>
      </w:numPr>
      <w:spacing w:line="360" w:lineRule="auto"/>
    </w:pPr>
    <w:rPr>
      <w:sz w:val="24"/>
    </w:rPr>
  </w:style>
  <w:style w:type="paragraph" w:customStyle="1" w:styleId="LegalNumPar3">
    <w:name w:val="LegalNumPar3"/>
    <w:basedOn w:val="Normal"/>
    <w:rsid w:val="00597EF0"/>
    <w:pPr>
      <w:numPr>
        <w:ilvl w:val="2"/>
        <w:numId w:val="58"/>
      </w:numPr>
      <w:spacing w:line="360" w:lineRule="auto"/>
    </w:pPr>
    <w:rPr>
      <w:sz w:val="24"/>
    </w:rPr>
  </w:style>
  <w:style w:type="paragraph" w:styleId="NormalWeb">
    <w:name w:val="Normal (Web)"/>
    <w:basedOn w:val="Normal"/>
    <w:uiPriority w:val="99"/>
    <w:semiHidden/>
    <w:unhideWhenUsed/>
    <w:rsid w:val="001C6B25"/>
    <w:pPr>
      <w:spacing w:before="100" w:beforeAutospacing="1" w:after="100" w:afterAutospacing="1" w:line="240" w:lineRule="auto"/>
    </w:pPr>
    <w:rPr>
      <w:rFonts w:ascii="Times New Roman" w:eastAsia="Times New Roman" w:hAnsi="Times New Roman" w:cs="Times New Roman"/>
      <w:sz w:val="24"/>
    </w:rPr>
  </w:style>
  <w:style w:type="character" w:customStyle="1" w:styleId="ui-provider">
    <w:name w:val="ui-provider"/>
    <w:basedOn w:val="DefaultParagraphFont"/>
    <w:rsid w:val="002F6D90"/>
  </w:style>
  <w:style w:type="paragraph" w:customStyle="1" w:styleId="P68B1DB1-Normal7">
    <w:name w:val="P68B1DB1-Normal7"/>
    <w:basedOn w:val="Normal"/>
    <w:uiPriority w:val="1"/>
    <w:rsid w:val="00B658E3"/>
    <w:pPr>
      <w:spacing w:after="160"/>
      <w:jc w:val="both"/>
    </w:pPr>
    <w:rPr>
      <w:rFonts w:ascii="Times New Roman" w:hAnsi="Times New Roman" w:cs="Times New Roman"/>
      <w:color w:val="202124"/>
      <w:sz w:val="24"/>
    </w:rPr>
  </w:style>
  <w:style w:type="paragraph" w:customStyle="1" w:styleId="P68B1DB1-Normal6">
    <w:name w:val="P68B1DB1-Normal6"/>
    <w:basedOn w:val="Normal"/>
    <w:uiPriority w:val="1"/>
    <w:rsid w:val="00B658E3"/>
    <w:pPr>
      <w:spacing w:after="160"/>
      <w:jc w:val="both"/>
    </w:pPr>
    <w:rPr>
      <w:rFonts w:ascii="Times New Roman" w:hAnsi="Times New Roman" w:cs="Times New Roman"/>
      <w:sz w:val="24"/>
    </w:rPr>
  </w:style>
  <w:style w:type="paragraph" w:customStyle="1" w:styleId="P68B1DB1-Normal8">
    <w:name w:val="P68B1DB1-Normal8"/>
    <w:basedOn w:val="Normal"/>
    <w:uiPriority w:val="1"/>
    <w:rsid w:val="00B658E3"/>
    <w:pPr>
      <w:spacing w:after="160"/>
      <w:jc w:val="both"/>
    </w:pPr>
    <w:rPr>
      <w:rFonts w:ascii="Times New Roman" w:hAnsi="Times New Roman" w:cs="Times New Roman"/>
      <w:color w:val="FF0000"/>
      <w:sz w:val="24"/>
    </w:rPr>
  </w:style>
  <w:style w:type="character" w:customStyle="1" w:styleId="Mention">
    <w:name w:val="Mention"/>
    <w:basedOn w:val="DefaultParagraphFont"/>
    <w:uiPriority w:val="99"/>
    <w:unhideWhenUsed/>
    <w:rPr>
      <w:color w:val="2B579A"/>
      <w:shd w:val="clear" w:color="auto" w:fill="E6E6E6"/>
    </w:rPr>
  </w:style>
  <w:style w:type="paragraph" w:customStyle="1" w:styleId="P68B1DB1-Normal12">
    <w:name w:val="P68B1DB1-Normal12"/>
    <w:basedOn w:val="Normal"/>
    <w:uiPriority w:val="1"/>
    <w:rsid w:val="521FCB43"/>
    <w:pPr>
      <w:spacing w:after="160"/>
      <w:jc w:val="both"/>
    </w:pPr>
    <w:rPr>
      <w:rFonts w:ascii="Times New Roman" w:eastAsia="Times New Roman" w:hAnsi="Times New Roman" w:cs="Times New Roman"/>
      <w:color w:val="FF0000"/>
      <w:sz w:val="24"/>
    </w:rPr>
  </w:style>
  <w:style w:type="paragraph" w:customStyle="1" w:styleId="P68B1DB1-Bezodstpw9">
    <w:name w:val="P68B1DB1-Bezodstpw9"/>
    <w:basedOn w:val="Normal"/>
    <w:uiPriority w:val="1"/>
    <w:rsid w:val="008E2D61"/>
    <w:pPr>
      <w:spacing w:after="0"/>
    </w:pPr>
  </w:style>
  <w:style w:type="paragraph" w:styleId="NoSpacing">
    <w:name w:val="No Spacing"/>
    <w:uiPriority w:val="1"/>
    <w:qFormat/>
    <w:rsid w:val="004226AB"/>
    <w:pPr>
      <w:spacing w:after="0" w:line="240" w:lineRule="auto"/>
    </w:pPr>
  </w:style>
  <w:style w:type="character" w:customStyle="1" w:styleId="UnresolvedMention">
    <w:name w:val="Unresolved Mention"/>
    <w:basedOn w:val="DefaultParagraphFont"/>
    <w:uiPriority w:val="99"/>
    <w:semiHidden/>
    <w:unhideWhenUsed/>
    <w:rsid w:val="00775AD6"/>
    <w:rPr>
      <w:color w:val="605E5C"/>
      <w:shd w:val="clear" w:color="auto" w:fill="E1DFDD"/>
    </w:rPr>
  </w:style>
  <w:style w:type="paragraph" w:customStyle="1" w:styleId="Default">
    <w:name w:val="Default"/>
    <w:rsid w:val="0061688C"/>
    <w:pPr>
      <w:autoSpaceDE w:val="0"/>
      <w:autoSpaceDN w:val="0"/>
      <w:adjustRightInd w:val="0"/>
      <w:spacing w:after="0" w:line="240" w:lineRule="auto"/>
    </w:pPr>
    <w:rPr>
      <w:rFonts w:ascii="Times New Roman" w:hAnsi="Times New Roman" w:cs="Times New Roman"/>
      <w:color w:val="000000"/>
      <w:sz w:val="24"/>
    </w:rPr>
  </w:style>
  <w:style w:type="character" w:customStyle="1" w:styleId="cf01">
    <w:name w:val="cf01"/>
    <w:basedOn w:val="DefaultParagraphFont"/>
    <w:rsid w:val="00305C68"/>
    <w:rPr>
      <w:rFonts w:ascii="Segoe UI" w:hAnsi="Segoe UI" w:cs="Segoe UI" w:hint="default"/>
      <w:sz w:val="18"/>
    </w:rPr>
  </w:style>
  <w:style w:type="paragraph" w:customStyle="1" w:styleId="footnotedescription">
    <w:name w:val="footnote description"/>
    <w:next w:val="Normal"/>
    <w:link w:val="footnotedescriptionChar"/>
    <w:hidden/>
    <w:rsid w:val="00F26353"/>
    <w:pPr>
      <w:spacing w:after="0" w:line="246" w:lineRule="auto"/>
      <w:ind w:right="3"/>
      <w:jc w:val="both"/>
    </w:pPr>
    <w:rPr>
      <w:rFonts w:ascii="Times New Roman" w:eastAsia="Times New Roman" w:hAnsi="Times New Roman" w:cs="Times New Roman"/>
      <w:color w:val="000000"/>
      <w:kern w:val="2"/>
      <w:sz w:val="18"/>
      <w14:ligatures w14:val="standardContextual"/>
    </w:rPr>
  </w:style>
  <w:style w:type="character" w:customStyle="1" w:styleId="footnotedescriptionChar">
    <w:name w:val="footnote description Char"/>
    <w:link w:val="footnotedescription"/>
    <w:rsid w:val="00F26353"/>
    <w:rPr>
      <w:rFonts w:ascii="Times New Roman" w:eastAsia="Times New Roman" w:hAnsi="Times New Roman" w:cs="Times New Roman"/>
      <w:color w:val="000000"/>
      <w:kern w:val="2"/>
      <w:sz w:val="18"/>
      <w14:ligatures w14:val="standardContextual"/>
    </w:rPr>
  </w:style>
  <w:style w:type="character" w:customStyle="1" w:styleId="footnotemark">
    <w:name w:val="footnote mark"/>
    <w:hidden/>
    <w:rsid w:val="00F26353"/>
    <w:rPr>
      <w:rFonts w:ascii="Times New Roman" w:eastAsia="Times New Roman" w:hAnsi="Times New Roman" w:cs="Times New Roman"/>
      <w:color w:val="000000"/>
      <w:sz w:val="18"/>
      <w:vertAlign w:val="superscript"/>
    </w:rPr>
  </w:style>
  <w:style w:type="table" w:customStyle="1" w:styleId="TableGrid0">
    <w:name w:val="TableGrid"/>
    <w:rsid w:val="00F26353"/>
    <w:pPr>
      <w:spacing w:after="0" w:line="240" w:lineRule="auto"/>
    </w:pPr>
    <w:rPr>
      <w:rFonts w:asciiTheme="minorHAnsi" w:eastAsiaTheme="minorEastAsia" w:hAnsiTheme="minorHAnsi" w:cstheme="minorBidi"/>
      <w:kern w:val="2"/>
      <w14:ligatures w14:val="standardContextual"/>
    </w:rPr>
    <w:tblPr>
      <w:tblCellMar>
        <w:top w:w="0" w:type="dxa"/>
        <w:left w:w="0" w:type="dxa"/>
        <w:bottom w:w="0" w:type="dxa"/>
        <w:right w:w="0" w:type="dxa"/>
      </w:tblCellMar>
    </w:tblPr>
  </w:style>
  <w:style w:type="character" w:customStyle="1" w:styleId="findhit">
    <w:name w:val="findhit"/>
    <w:basedOn w:val="DefaultParagraphFont"/>
    <w:rsid w:val="00CD7E10"/>
  </w:style>
  <w:style w:type="paragraph" w:customStyle="1" w:styleId="P68B1DB1-Normal1">
    <w:name w:val="P68B1DB1-Normal1"/>
    <w:basedOn w:val="Normal"/>
    <w:rPr>
      <w:rFonts w:ascii="Times New Roman" w:hAnsi="Times New Roman"/>
      <w:b/>
      <w:color w:val="000000" w:themeColor="text1"/>
      <w:sz w:val="24"/>
    </w:rPr>
  </w:style>
  <w:style w:type="paragraph" w:customStyle="1" w:styleId="P68B1DB1-Text12">
    <w:name w:val="P68B1DB1-Text12"/>
    <w:basedOn w:val="Text1"/>
    <w:rPr>
      <w:b/>
      <w:smallCaps/>
      <w:color w:val="000000"/>
    </w:rPr>
  </w:style>
  <w:style w:type="paragraph" w:customStyle="1" w:styleId="P68B1DB1-Text13">
    <w:name w:val="P68B1DB1-Text13"/>
    <w:basedOn w:val="Text1"/>
    <w:rPr>
      <w:color w:val="000000" w:themeColor="text1"/>
    </w:rPr>
  </w:style>
  <w:style w:type="paragraph" w:customStyle="1" w:styleId="P68B1DB1-Text14">
    <w:name w:val="P68B1DB1-Text14"/>
    <w:basedOn w:val="Text1"/>
    <w:rPr>
      <w:b/>
    </w:rPr>
  </w:style>
  <w:style w:type="paragraph" w:customStyle="1" w:styleId="P68B1DB1-Text15">
    <w:name w:val="P68B1DB1-Text15"/>
    <w:basedOn w:val="Text1"/>
    <w:rPr>
      <w:b/>
      <w:color w:val="000000"/>
      <w:u w:val="single"/>
    </w:rPr>
  </w:style>
  <w:style w:type="paragraph" w:customStyle="1" w:styleId="P68B1DB1-Normal06">
    <w:name w:val="P68B1DB1-Normal06"/>
    <w:basedOn w:val="Normal0"/>
    <w:rPr>
      <w:rFonts w:ascii="Times New Roman" w:hAnsi="Times New Roman"/>
      <w:color w:val="000000" w:themeColor="text1"/>
      <w:sz w:val="24"/>
    </w:rPr>
  </w:style>
  <w:style w:type="paragraph" w:customStyle="1" w:styleId="P68B1DB1-Text17">
    <w:name w:val="P68B1DB1-Text17"/>
    <w:basedOn w:val="Text1"/>
    <w:rPr>
      <w:b/>
      <w:color w:val="000000"/>
    </w:rPr>
  </w:style>
  <w:style w:type="paragraph" w:customStyle="1" w:styleId="P68B1DB1-Text18">
    <w:name w:val="P68B1DB1-Text18"/>
    <w:basedOn w:val="Text1"/>
    <w:rPr>
      <w:color w:val="000000"/>
      <w:u w:val="single"/>
    </w:rPr>
  </w:style>
  <w:style w:type="paragraph" w:customStyle="1" w:styleId="P68B1DB1-Normal09">
    <w:name w:val="P68B1DB1-Normal09"/>
    <w:basedOn w:val="Normal0"/>
    <w:rPr>
      <w:rFonts w:ascii="Times New Roman" w:hAnsi="Times New Roman"/>
      <w:b/>
      <w:color w:val="000000"/>
      <w:sz w:val="24"/>
    </w:rPr>
  </w:style>
  <w:style w:type="paragraph" w:customStyle="1" w:styleId="P68B1DB1-Normal010">
    <w:name w:val="P68B1DB1-Normal010"/>
    <w:basedOn w:val="Normal0"/>
    <w:rPr>
      <w:rFonts w:ascii="Times New Roman" w:hAnsi="Times New Roman"/>
      <w:b/>
      <w:color w:val="000000"/>
      <w:sz w:val="18"/>
    </w:rPr>
  </w:style>
  <w:style w:type="paragraph" w:customStyle="1" w:styleId="P68B1DB1-Normal011">
    <w:name w:val="P68B1DB1-Normal011"/>
    <w:basedOn w:val="Normal0"/>
    <w:rPr>
      <w:rFonts w:ascii="Times New Roman" w:hAnsi="Times New Roman"/>
      <w:sz w:val="18"/>
    </w:rPr>
  </w:style>
  <w:style w:type="paragraph" w:customStyle="1" w:styleId="P68B1DB1-Normal012">
    <w:name w:val="P68B1DB1-Normal012"/>
    <w:basedOn w:val="Normal0"/>
    <w:rPr>
      <w:rFonts w:ascii="Times New Roman" w:hAnsi="Times New Roman"/>
      <w:color w:val="000000"/>
      <w:sz w:val="18"/>
    </w:rPr>
  </w:style>
  <w:style w:type="paragraph" w:customStyle="1" w:styleId="P68B1DB1-Normal13">
    <w:name w:val="P68B1DB1-Normal13"/>
    <w:basedOn w:val="Normal"/>
    <w:rPr>
      <w:rFonts w:ascii="Times New Roman" w:hAnsi="Times New Roman"/>
      <w:color w:val="000000" w:themeColor="text1"/>
      <w:sz w:val="18"/>
    </w:rPr>
  </w:style>
  <w:style w:type="paragraph" w:customStyle="1" w:styleId="P68B1DB1-Normal14">
    <w:name w:val="P68B1DB1-Normal14"/>
    <w:basedOn w:val="Normal"/>
    <w:rPr>
      <w:rFonts w:ascii="Times New Roman" w:hAnsi="Times New Roman"/>
      <w:b/>
      <w:color w:val="000000"/>
      <w:sz w:val="24"/>
      <w:u w:val="single"/>
    </w:rPr>
  </w:style>
  <w:style w:type="paragraph" w:customStyle="1" w:styleId="P68B1DB1-Normal015">
    <w:name w:val="P68B1DB1-Normal015"/>
    <w:basedOn w:val="Normal0"/>
    <w:rPr>
      <w:rFonts w:ascii="Times New Roman" w:hAnsi="Times New Roman"/>
      <w:b/>
      <w:color w:val="000000" w:themeColor="text1"/>
      <w:sz w:val="24"/>
      <w:u w:val="single"/>
    </w:rPr>
  </w:style>
  <w:style w:type="paragraph" w:customStyle="1" w:styleId="P68B1DB1-Normal16">
    <w:name w:val="P68B1DB1-Normal16"/>
    <w:basedOn w:val="Normal"/>
    <w:rPr>
      <w:rFonts w:ascii="Times New Roman" w:hAnsi="Times New Roman"/>
      <w:color w:val="000000" w:themeColor="text1"/>
      <w:sz w:val="24"/>
    </w:rPr>
  </w:style>
  <w:style w:type="paragraph" w:customStyle="1" w:styleId="P68B1DB1-Normal017">
    <w:name w:val="P68B1DB1-Normal017"/>
    <w:basedOn w:val="Normal0"/>
    <w:rPr>
      <w:rFonts w:ascii="Times New Roman" w:hAnsi="Times New Roman"/>
      <w:color w:val="000000" w:themeColor="text1"/>
      <w:sz w:val="24"/>
      <w:u w:val="single"/>
    </w:rPr>
  </w:style>
  <w:style w:type="paragraph" w:customStyle="1" w:styleId="P68B1DB1-Normal018">
    <w:name w:val="P68B1DB1-Normal018"/>
    <w:basedOn w:val="Normal0"/>
    <w:rPr>
      <w:rFonts w:ascii="Times New Roman" w:hAnsi="Times New Roman"/>
      <w:sz w:val="24"/>
    </w:rPr>
  </w:style>
  <w:style w:type="paragraph" w:customStyle="1" w:styleId="P68B1DB1-Normal019">
    <w:name w:val="P68B1DB1-Normal019"/>
    <w:basedOn w:val="Normal0"/>
    <w:rPr>
      <w:rFonts w:ascii="Times New Roman" w:hAnsi="Times New Roman"/>
      <w:b/>
      <w:smallCaps/>
      <w:color w:val="000000"/>
      <w:sz w:val="24"/>
    </w:rPr>
  </w:style>
  <w:style w:type="paragraph" w:customStyle="1" w:styleId="P68B1DB1-Normal020">
    <w:name w:val="P68B1DB1-Normal020"/>
    <w:basedOn w:val="Normal0"/>
    <w:rPr>
      <w:rFonts w:ascii="Times New Roman" w:hAnsi="Times New Roman"/>
      <w:b/>
      <w:sz w:val="24"/>
      <w:u w:val="single"/>
    </w:rPr>
  </w:style>
  <w:style w:type="paragraph" w:customStyle="1" w:styleId="P68B1DB1-Normal021">
    <w:name w:val="P68B1DB1-Normal021"/>
    <w:basedOn w:val="Normal0"/>
    <w:rPr>
      <w:rFonts w:ascii="Times New Roman" w:hAnsi="Times New Roman"/>
    </w:rPr>
  </w:style>
  <w:style w:type="paragraph" w:customStyle="1" w:styleId="P68B1DB1-paragraph22">
    <w:name w:val="P68B1DB1-paragraph22"/>
    <w:basedOn w:val="paragraph"/>
    <w:rPr>
      <w:rFonts w:ascii="Times" w:hAnsi="Times"/>
    </w:rPr>
  </w:style>
  <w:style w:type="paragraph" w:customStyle="1" w:styleId="P68B1DB1-ListParagraph23">
    <w:name w:val="P68B1DB1-ListParagraph23"/>
    <w:basedOn w:val="ListParagraph"/>
    <w:rPr>
      <w:rFonts w:ascii="Times" w:hAnsi="Times"/>
      <w:sz w:val="24"/>
    </w:rPr>
  </w:style>
  <w:style w:type="paragraph" w:customStyle="1" w:styleId="P68B1DB1-Normal24">
    <w:name w:val="P68B1DB1-Normal24"/>
    <w:basedOn w:val="Normal"/>
    <w:rPr>
      <w:rFonts w:ascii="Times New Roman" w:hAnsi="Times New Roman"/>
      <w:sz w:val="24"/>
    </w:rPr>
  </w:style>
  <w:style w:type="paragraph" w:customStyle="1" w:styleId="P68B1DB1-Normal25">
    <w:name w:val="P68B1DB1-Normal25"/>
    <w:basedOn w:val="Normal"/>
    <w:rPr>
      <w:rFonts w:ascii="Times" w:hAnsi="Times"/>
      <w:sz w:val="24"/>
    </w:rPr>
  </w:style>
  <w:style w:type="paragraph" w:customStyle="1" w:styleId="P68B1DB1-Normal26">
    <w:name w:val="P68B1DB1-Normal26"/>
    <w:basedOn w:val="Normal"/>
    <w:rPr>
      <w:rFonts w:ascii="Times New Roman" w:hAnsi="Times New Roman"/>
      <w:sz w:val="18"/>
    </w:rPr>
  </w:style>
  <w:style w:type="paragraph" w:customStyle="1" w:styleId="P68B1DB1-Normal027">
    <w:name w:val="P68B1DB1-Normal027"/>
    <w:basedOn w:val="Normal0"/>
    <w:rPr>
      <w:rFonts w:ascii="Times New Roman" w:hAnsi="Times New Roman"/>
      <w:color w:val="000000" w:themeColor="text1"/>
    </w:rPr>
  </w:style>
  <w:style w:type="paragraph" w:customStyle="1" w:styleId="P68B1DB1-Normal028">
    <w:name w:val="P68B1DB1-Normal028"/>
    <w:basedOn w:val="Normal0"/>
    <w:rPr>
      <w:color w:val="000000" w:themeColor="text1"/>
    </w:rPr>
  </w:style>
  <w:style w:type="paragraph" w:customStyle="1" w:styleId="P68B1DB1-Normal029">
    <w:name w:val="P68B1DB1-Normal029"/>
    <w:basedOn w:val="Normal0"/>
    <w:rPr>
      <w:rFonts w:ascii="Times New Roman" w:hAnsi="Times New Roman"/>
      <w:color w:val="000000"/>
      <w:u w:val="single"/>
    </w:rPr>
  </w:style>
  <w:style w:type="paragraph" w:customStyle="1" w:styleId="P68B1DB1-NoSpacing30">
    <w:name w:val="P68B1DB1-NoSpacing30"/>
    <w:basedOn w:val="NoSpacing"/>
    <w:rPr>
      <w:rFonts w:ascii="Times New Roman" w:hAnsi="Times New Roman"/>
      <w:color w:val="000000" w:themeColor="text1"/>
      <w:sz w:val="18"/>
    </w:rPr>
  </w:style>
  <w:style w:type="paragraph" w:customStyle="1" w:styleId="P68B1DB1-ListParagraph31">
    <w:name w:val="P68B1DB1-ListParagraph31"/>
    <w:basedOn w:val="ListParagraph"/>
    <w:rPr>
      <w:rFonts w:ascii="Times New Roman" w:hAnsi="Times New Roman"/>
      <w:color w:val="000000" w:themeColor="text1"/>
      <w:sz w:val="24"/>
    </w:rPr>
  </w:style>
  <w:style w:type="paragraph" w:customStyle="1" w:styleId="P68B1DB1-paragraph32">
    <w:name w:val="P68B1DB1-paragraph32"/>
    <w:basedOn w:val="paragraph"/>
    <w:rPr>
      <w:color w:val="000000" w:themeColor="text1"/>
      <w:sz w:val="18"/>
    </w:rPr>
  </w:style>
  <w:style w:type="paragraph" w:customStyle="1" w:styleId="P68B1DB1-Default33">
    <w:name w:val="P68B1DB1-Default33"/>
    <w:basedOn w:val="Default"/>
    <w:rPr>
      <w:sz w:val="18"/>
    </w:rPr>
  </w:style>
  <w:style w:type="paragraph" w:customStyle="1" w:styleId="P68B1DB1-Normal34">
    <w:name w:val="P68B1DB1-Normal34"/>
    <w:basedOn w:val="Normal"/>
    <w:rPr>
      <w:sz w:val="18"/>
    </w:rPr>
  </w:style>
  <w:style w:type="paragraph" w:customStyle="1" w:styleId="P68B1DB1-Normal035">
    <w:name w:val="P68B1DB1-Normal035"/>
    <w:basedOn w:val="Normal0"/>
    <w:rPr>
      <w:rFonts w:ascii="Times New Roman" w:hAnsi="Times New Roman"/>
      <w:sz w:val="24"/>
      <w:u w:val="single"/>
    </w:rPr>
  </w:style>
  <w:style w:type="paragraph" w:customStyle="1" w:styleId="P68B1DB1-Normal36">
    <w:name w:val="P68B1DB1-Normal36"/>
    <w:basedOn w:val="Normal"/>
    <w:rPr>
      <w:rFonts w:ascii="Times New Roman" w:hAnsi="Times New Roman"/>
      <w:b/>
      <w:sz w:val="24"/>
      <w:u w:val="single"/>
    </w:rPr>
  </w:style>
  <w:style w:type="paragraph" w:customStyle="1" w:styleId="P68B1DB1-ListParagraph37">
    <w:name w:val="P68B1DB1-ListParagraph37"/>
    <w:basedOn w:val="ListParagraph"/>
    <w:rPr>
      <w:rFonts w:ascii="Times New Roman" w:hAnsi="Times New Roman"/>
      <w:sz w:val="18"/>
    </w:rPr>
  </w:style>
  <w:style w:type="paragraph" w:customStyle="1" w:styleId="P68B1DB1-Text138">
    <w:name w:val="P68B1DB1-Text138"/>
    <w:basedOn w:val="Text1"/>
    <w:rPr>
      <w:b/>
      <w:smallCaps/>
    </w:rPr>
  </w:style>
  <w:style w:type="paragraph" w:customStyle="1" w:styleId="P68B1DB1-Normal39">
    <w:name w:val="P68B1DB1-Normal39"/>
    <w:basedOn w:val="Normal"/>
    <w:rPr>
      <w:sz w:val="24"/>
    </w:rPr>
  </w:style>
  <w:style w:type="paragraph" w:customStyle="1" w:styleId="P68B1DB1-ListParagraph40">
    <w:name w:val="P68B1DB1-ListParagraph40"/>
    <w:basedOn w:val="ListParagraph"/>
    <w:rPr>
      <w:rFonts w:ascii="Times New Roman" w:hAnsi="Times New Roman"/>
      <w:sz w:val="24"/>
    </w:rPr>
  </w:style>
  <w:style w:type="paragraph" w:customStyle="1" w:styleId="P68B1DB1-Normal41">
    <w:name w:val="P68B1DB1-Normal41"/>
    <w:basedOn w:val="Normal"/>
    <w:rPr>
      <w:rFonts w:ascii="Times New Roman" w:hAnsi="Times New Roman"/>
      <w:b/>
      <w:sz w:val="18"/>
    </w:rPr>
  </w:style>
  <w:style w:type="paragraph" w:customStyle="1" w:styleId="P68B1DB1-Normal42">
    <w:name w:val="P68B1DB1-Normal42"/>
    <w:basedOn w:val="Normal"/>
    <w:rPr>
      <w:rFonts w:ascii="Times New Roman" w:hAnsi="Times New Roman"/>
      <w:b/>
      <w:color w:val="000000"/>
      <w:sz w:val="18"/>
    </w:rPr>
  </w:style>
  <w:style w:type="paragraph" w:customStyle="1" w:styleId="P68B1DB1-Normal43">
    <w:name w:val="P68B1DB1-Normal43"/>
    <w:basedOn w:val="Normal"/>
    <w:rPr>
      <w:rFonts w:ascii="Times New Roman" w:hAnsi="Times New Roman"/>
      <w:b/>
      <w:sz w:val="24"/>
    </w:rPr>
  </w:style>
  <w:style w:type="paragraph" w:customStyle="1" w:styleId="P68B1DB1-Normal44">
    <w:name w:val="P68B1DB1-Normal44"/>
    <w:basedOn w:val="Normal"/>
    <w:rPr>
      <w:rFonts w:ascii="Times New Roman" w:hAnsi="Times New Roman"/>
      <w:b/>
      <w:color w:val="000000" w:themeColor="text1"/>
    </w:rPr>
  </w:style>
  <w:style w:type="paragraph" w:customStyle="1" w:styleId="P68B1DB1-ListParagraph45">
    <w:name w:val="P68B1DB1-ListParagraph45"/>
    <w:basedOn w:val="ListParagraph"/>
    <w:rPr>
      <w:rFonts w:ascii="Times New Roman" w:hAnsi="Times New Roman"/>
      <w:b/>
      <w:color w:val="000000" w:themeColor="text1"/>
      <w:sz w:val="24"/>
    </w:rPr>
  </w:style>
  <w:style w:type="paragraph" w:customStyle="1" w:styleId="P68B1DB1-Normal46">
    <w:name w:val="P68B1DB1-Normal46"/>
    <w:basedOn w:val="Normal"/>
    <w:rPr>
      <w:rFonts w:ascii="Times New Roman" w:hAnsi="Times New Roman"/>
    </w:rPr>
  </w:style>
  <w:style w:type="paragraph" w:customStyle="1" w:styleId="P68B1DB1-paragraph47">
    <w:name w:val="P68B1DB1-paragraph47"/>
    <w:basedOn w:val="paragraph"/>
    <w:rPr>
      <w:sz w:val="22"/>
    </w:rPr>
  </w:style>
  <w:style w:type="paragraph" w:customStyle="1" w:styleId="P68B1DB1-ListParagraph48">
    <w:name w:val="P68B1DB1-ListParagraph48"/>
    <w:basedOn w:val="ListParagraph"/>
    <w:rPr>
      <w:rFonts w:ascii="Times New Roman" w:hAnsi="Times New Roman"/>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9587">
      <w:bodyDiv w:val="1"/>
      <w:marLeft w:val="0"/>
      <w:marRight w:val="0"/>
      <w:marTop w:val="0"/>
      <w:marBottom w:val="0"/>
      <w:divBdr>
        <w:top w:val="none" w:sz="0" w:space="0" w:color="auto"/>
        <w:left w:val="none" w:sz="0" w:space="0" w:color="auto"/>
        <w:bottom w:val="none" w:sz="0" w:space="0" w:color="auto"/>
        <w:right w:val="none" w:sz="0" w:space="0" w:color="auto"/>
      </w:divBdr>
    </w:div>
    <w:div w:id="10226823">
      <w:bodyDiv w:val="1"/>
      <w:marLeft w:val="0"/>
      <w:marRight w:val="0"/>
      <w:marTop w:val="0"/>
      <w:marBottom w:val="0"/>
      <w:divBdr>
        <w:top w:val="none" w:sz="0" w:space="0" w:color="auto"/>
        <w:left w:val="none" w:sz="0" w:space="0" w:color="auto"/>
        <w:bottom w:val="none" w:sz="0" w:space="0" w:color="auto"/>
        <w:right w:val="none" w:sz="0" w:space="0" w:color="auto"/>
      </w:divBdr>
    </w:div>
    <w:div w:id="12808792">
      <w:bodyDiv w:val="1"/>
      <w:marLeft w:val="0"/>
      <w:marRight w:val="0"/>
      <w:marTop w:val="0"/>
      <w:marBottom w:val="0"/>
      <w:divBdr>
        <w:top w:val="none" w:sz="0" w:space="0" w:color="auto"/>
        <w:left w:val="none" w:sz="0" w:space="0" w:color="auto"/>
        <w:bottom w:val="none" w:sz="0" w:space="0" w:color="auto"/>
        <w:right w:val="none" w:sz="0" w:space="0" w:color="auto"/>
      </w:divBdr>
    </w:div>
    <w:div w:id="45036434">
      <w:bodyDiv w:val="1"/>
      <w:marLeft w:val="0"/>
      <w:marRight w:val="0"/>
      <w:marTop w:val="0"/>
      <w:marBottom w:val="0"/>
      <w:divBdr>
        <w:top w:val="none" w:sz="0" w:space="0" w:color="auto"/>
        <w:left w:val="none" w:sz="0" w:space="0" w:color="auto"/>
        <w:bottom w:val="none" w:sz="0" w:space="0" w:color="auto"/>
        <w:right w:val="none" w:sz="0" w:space="0" w:color="auto"/>
      </w:divBdr>
      <w:divsChild>
        <w:div w:id="522328402">
          <w:marLeft w:val="0"/>
          <w:marRight w:val="0"/>
          <w:marTop w:val="0"/>
          <w:marBottom w:val="0"/>
          <w:divBdr>
            <w:top w:val="none" w:sz="0" w:space="0" w:color="auto"/>
            <w:left w:val="none" w:sz="0" w:space="0" w:color="auto"/>
            <w:bottom w:val="none" w:sz="0" w:space="0" w:color="auto"/>
            <w:right w:val="none" w:sz="0" w:space="0" w:color="auto"/>
          </w:divBdr>
        </w:div>
        <w:div w:id="1331443544">
          <w:marLeft w:val="0"/>
          <w:marRight w:val="0"/>
          <w:marTop w:val="0"/>
          <w:marBottom w:val="0"/>
          <w:divBdr>
            <w:top w:val="none" w:sz="0" w:space="0" w:color="auto"/>
            <w:left w:val="none" w:sz="0" w:space="0" w:color="auto"/>
            <w:bottom w:val="none" w:sz="0" w:space="0" w:color="auto"/>
            <w:right w:val="none" w:sz="0" w:space="0" w:color="auto"/>
          </w:divBdr>
        </w:div>
        <w:div w:id="1348604640">
          <w:marLeft w:val="0"/>
          <w:marRight w:val="0"/>
          <w:marTop w:val="0"/>
          <w:marBottom w:val="0"/>
          <w:divBdr>
            <w:top w:val="none" w:sz="0" w:space="0" w:color="auto"/>
            <w:left w:val="none" w:sz="0" w:space="0" w:color="auto"/>
            <w:bottom w:val="none" w:sz="0" w:space="0" w:color="auto"/>
            <w:right w:val="none" w:sz="0" w:space="0" w:color="auto"/>
          </w:divBdr>
        </w:div>
        <w:div w:id="1578786222">
          <w:marLeft w:val="0"/>
          <w:marRight w:val="0"/>
          <w:marTop w:val="0"/>
          <w:marBottom w:val="0"/>
          <w:divBdr>
            <w:top w:val="none" w:sz="0" w:space="0" w:color="auto"/>
            <w:left w:val="none" w:sz="0" w:space="0" w:color="auto"/>
            <w:bottom w:val="none" w:sz="0" w:space="0" w:color="auto"/>
            <w:right w:val="none" w:sz="0" w:space="0" w:color="auto"/>
          </w:divBdr>
        </w:div>
      </w:divsChild>
    </w:div>
    <w:div w:id="84158943">
      <w:bodyDiv w:val="1"/>
      <w:marLeft w:val="0"/>
      <w:marRight w:val="0"/>
      <w:marTop w:val="0"/>
      <w:marBottom w:val="0"/>
      <w:divBdr>
        <w:top w:val="none" w:sz="0" w:space="0" w:color="auto"/>
        <w:left w:val="none" w:sz="0" w:space="0" w:color="auto"/>
        <w:bottom w:val="none" w:sz="0" w:space="0" w:color="auto"/>
        <w:right w:val="none" w:sz="0" w:space="0" w:color="auto"/>
      </w:divBdr>
      <w:divsChild>
        <w:div w:id="682053157">
          <w:marLeft w:val="0"/>
          <w:marRight w:val="0"/>
          <w:marTop w:val="0"/>
          <w:marBottom w:val="0"/>
          <w:divBdr>
            <w:top w:val="none" w:sz="0" w:space="0" w:color="auto"/>
            <w:left w:val="none" w:sz="0" w:space="0" w:color="auto"/>
            <w:bottom w:val="none" w:sz="0" w:space="0" w:color="auto"/>
            <w:right w:val="none" w:sz="0" w:space="0" w:color="auto"/>
          </w:divBdr>
          <w:divsChild>
            <w:div w:id="37820263">
              <w:marLeft w:val="0"/>
              <w:marRight w:val="0"/>
              <w:marTop w:val="0"/>
              <w:marBottom w:val="0"/>
              <w:divBdr>
                <w:top w:val="none" w:sz="0" w:space="0" w:color="auto"/>
                <w:left w:val="none" w:sz="0" w:space="0" w:color="auto"/>
                <w:bottom w:val="none" w:sz="0" w:space="0" w:color="auto"/>
                <w:right w:val="none" w:sz="0" w:space="0" w:color="auto"/>
              </w:divBdr>
            </w:div>
            <w:div w:id="104621485">
              <w:marLeft w:val="0"/>
              <w:marRight w:val="0"/>
              <w:marTop w:val="0"/>
              <w:marBottom w:val="0"/>
              <w:divBdr>
                <w:top w:val="none" w:sz="0" w:space="0" w:color="auto"/>
                <w:left w:val="none" w:sz="0" w:space="0" w:color="auto"/>
                <w:bottom w:val="none" w:sz="0" w:space="0" w:color="auto"/>
                <w:right w:val="none" w:sz="0" w:space="0" w:color="auto"/>
              </w:divBdr>
            </w:div>
            <w:div w:id="284508718">
              <w:marLeft w:val="0"/>
              <w:marRight w:val="0"/>
              <w:marTop w:val="0"/>
              <w:marBottom w:val="0"/>
              <w:divBdr>
                <w:top w:val="none" w:sz="0" w:space="0" w:color="auto"/>
                <w:left w:val="none" w:sz="0" w:space="0" w:color="auto"/>
                <w:bottom w:val="none" w:sz="0" w:space="0" w:color="auto"/>
                <w:right w:val="none" w:sz="0" w:space="0" w:color="auto"/>
              </w:divBdr>
            </w:div>
            <w:div w:id="577327084">
              <w:marLeft w:val="0"/>
              <w:marRight w:val="0"/>
              <w:marTop w:val="0"/>
              <w:marBottom w:val="0"/>
              <w:divBdr>
                <w:top w:val="none" w:sz="0" w:space="0" w:color="auto"/>
                <w:left w:val="none" w:sz="0" w:space="0" w:color="auto"/>
                <w:bottom w:val="none" w:sz="0" w:space="0" w:color="auto"/>
                <w:right w:val="none" w:sz="0" w:space="0" w:color="auto"/>
              </w:divBdr>
            </w:div>
            <w:div w:id="631130706">
              <w:marLeft w:val="0"/>
              <w:marRight w:val="0"/>
              <w:marTop w:val="0"/>
              <w:marBottom w:val="0"/>
              <w:divBdr>
                <w:top w:val="none" w:sz="0" w:space="0" w:color="auto"/>
                <w:left w:val="none" w:sz="0" w:space="0" w:color="auto"/>
                <w:bottom w:val="none" w:sz="0" w:space="0" w:color="auto"/>
                <w:right w:val="none" w:sz="0" w:space="0" w:color="auto"/>
              </w:divBdr>
            </w:div>
            <w:div w:id="846165737">
              <w:marLeft w:val="0"/>
              <w:marRight w:val="0"/>
              <w:marTop w:val="0"/>
              <w:marBottom w:val="0"/>
              <w:divBdr>
                <w:top w:val="none" w:sz="0" w:space="0" w:color="auto"/>
                <w:left w:val="none" w:sz="0" w:space="0" w:color="auto"/>
                <w:bottom w:val="none" w:sz="0" w:space="0" w:color="auto"/>
                <w:right w:val="none" w:sz="0" w:space="0" w:color="auto"/>
              </w:divBdr>
            </w:div>
            <w:div w:id="1054424477">
              <w:marLeft w:val="0"/>
              <w:marRight w:val="0"/>
              <w:marTop w:val="0"/>
              <w:marBottom w:val="0"/>
              <w:divBdr>
                <w:top w:val="none" w:sz="0" w:space="0" w:color="auto"/>
                <w:left w:val="none" w:sz="0" w:space="0" w:color="auto"/>
                <w:bottom w:val="none" w:sz="0" w:space="0" w:color="auto"/>
                <w:right w:val="none" w:sz="0" w:space="0" w:color="auto"/>
              </w:divBdr>
            </w:div>
            <w:div w:id="1176112370">
              <w:marLeft w:val="0"/>
              <w:marRight w:val="0"/>
              <w:marTop w:val="0"/>
              <w:marBottom w:val="0"/>
              <w:divBdr>
                <w:top w:val="none" w:sz="0" w:space="0" w:color="auto"/>
                <w:left w:val="none" w:sz="0" w:space="0" w:color="auto"/>
                <w:bottom w:val="none" w:sz="0" w:space="0" w:color="auto"/>
                <w:right w:val="none" w:sz="0" w:space="0" w:color="auto"/>
              </w:divBdr>
            </w:div>
            <w:div w:id="1189493626">
              <w:marLeft w:val="0"/>
              <w:marRight w:val="0"/>
              <w:marTop w:val="0"/>
              <w:marBottom w:val="0"/>
              <w:divBdr>
                <w:top w:val="none" w:sz="0" w:space="0" w:color="auto"/>
                <w:left w:val="none" w:sz="0" w:space="0" w:color="auto"/>
                <w:bottom w:val="none" w:sz="0" w:space="0" w:color="auto"/>
                <w:right w:val="none" w:sz="0" w:space="0" w:color="auto"/>
              </w:divBdr>
            </w:div>
            <w:div w:id="1599635133">
              <w:marLeft w:val="0"/>
              <w:marRight w:val="0"/>
              <w:marTop w:val="0"/>
              <w:marBottom w:val="0"/>
              <w:divBdr>
                <w:top w:val="none" w:sz="0" w:space="0" w:color="auto"/>
                <w:left w:val="none" w:sz="0" w:space="0" w:color="auto"/>
                <w:bottom w:val="none" w:sz="0" w:space="0" w:color="auto"/>
                <w:right w:val="none" w:sz="0" w:space="0" w:color="auto"/>
              </w:divBdr>
            </w:div>
            <w:div w:id="1709186931">
              <w:marLeft w:val="0"/>
              <w:marRight w:val="0"/>
              <w:marTop w:val="0"/>
              <w:marBottom w:val="0"/>
              <w:divBdr>
                <w:top w:val="none" w:sz="0" w:space="0" w:color="auto"/>
                <w:left w:val="none" w:sz="0" w:space="0" w:color="auto"/>
                <w:bottom w:val="none" w:sz="0" w:space="0" w:color="auto"/>
                <w:right w:val="none" w:sz="0" w:space="0" w:color="auto"/>
              </w:divBdr>
            </w:div>
            <w:div w:id="1828863101">
              <w:marLeft w:val="0"/>
              <w:marRight w:val="0"/>
              <w:marTop w:val="0"/>
              <w:marBottom w:val="0"/>
              <w:divBdr>
                <w:top w:val="none" w:sz="0" w:space="0" w:color="auto"/>
                <w:left w:val="none" w:sz="0" w:space="0" w:color="auto"/>
                <w:bottom w:val="none" w:sz="0" w:space="0" w:color="auto"/>
                <w:right w:val="none" w:sz="0" w:space="0" w:color="auto"/>
              </w:divBdr>
            </w:div>
            <w:div w:id="1920091776">
              <w:marLeft w:val="0"/>
              <w:marRight w:val="0"/>
              <w:marTop w:val="0"/>
              <w:marBottom w:val="0"/>
              <w:divBdr>
                <w:top w:val="none" w:sz="0" w:space="0" w:color="auto"/>
                <w:left w:val="none" w:sz="0" w:space="0" w:color="auto"/>
                <w:bottom w:val="none" w:sz="0" w:space="0" w:color="auto"/>
                <w:right w:val="none" w:sz="0" w:space="0" w:color="auto"/>
              </w:divBdr>
            </w:div>
            <w:div w:id="2003657527">
              <w:marLeft w:val="0"/>
              <w:marRight w:val="0"/>
              <w:marTop w:val="0"/>
              <w:marBottom w:val="0"/>
              <w:divBdr>
                <w:top w:val="none" w:sz="0" w:space="0" w:color="auto"/>
                <w:left w:val="none" w:sz="0" w:space="0" w:color="auto"/>
                <w:bottom w:val="none" w:sz="0" w:space="0" w:color="auto"/>
                <w:right w:val="none" w:sz="0" w:space="0" w:color="auto"/>
              </w:divBdr>
            </w:div>
          </w:divsChild>
        </w:div>
        <w:div w:id="755177610">
          <w:marLeft w:val="0"/>
          <w:marRight w:val="0"/>
          <w:marTop w:val="0"/>
          <w:marBottom w:val="0"/>
          <w:divBdr>
            <w:top w:val="none" w:sz="0" w:space="0" w:color="auto"/>
            <w:left w:val="none" w:sz="0" w:space="0" w:color="auto"/>
            <w:bottom w:val="none" w:sz="0" w:space="0" w:color="auto"/>
            <w:right w:val="none" w:sz="0" w:space="0" w:color="auto"/>
          </w:divBdr>
          <w:divsChild>
            <w:div w:id="637996386">
              <w:marLeft w:val="0"/>
              <w:marRight w:val="0"/>
              <w:marTop w:val="0"/>
              <w:marBottom w:val="0"/>
              <w:divBdr>
                <w:top w:val="none" w:sz="0" w:space="0" w:color="auto"/>
                <w:left w:val="none" w:sz="0" w:space="0" w:color="auto"/>
                <w:bottom w:val="none" w:sz="0" w:space="0" w:color="auto"/>
                <w:right w:val="none" w:sz="0" w:space="0" w:color="auto"/>
              </w:divBdr>
            </w:div>
            <w:div w:id="1387752824">
              <w:marLeft w:val="0"/>
              <w:marRight w:val="0"/>
              <w:marTop w:val="0"/>
              <w:marBottom w:val="0"/>
              <w:divBdr>
                <w:top w:val="none" w:sz="0" w:space="0" w:color="auto"/>
                <w:left w:val="none" w:sz="0" w:space="0" w:color="auto"/>
                <w:bottom w:val="none" w:sz="0" w:space="0" w:color="auto"/>
                <w:right w:val="none" w:sz="0" w:space="0" w:color="auto"/>
              </w:divBdr>
            </w:div>
            <w:div w:id="1633319408">
              <w:marLeft w:val="0"/>
              <w:marRight w:val="0"/>
              <w:marTop w:val="0"/>
              <w:marBottom w:val="0"/>
              <w:divBdr>
                <w:top w:val="none" w:sz="0" w:space="0" w:color="auto"/>
                <w:left w:val="none" w:sz="0" w:space="0" w:color="auto"/>
                <w:bottom w:val="none" w:sz="0" w:space="0" w:color="auto"/>
                <w:right w:val="none" w:sz="0" w:space="0" w:color="auto"/>
              </w:divBdr>
            </w:div>
            <w:div w:id="1665015800">
              <w:marLeft w:val="0"/>
              <w:marRight w:val="0"/>
              <w:marTop w:val="0"/>
              <w:marBottom w:val="0"/>
              <w:divBdr>
                <w:top w:val="none" w:sz="0" w:space="0" w:color="auto"/>
                <w:left w:val="none" w:sz="0" w:space="0" w:color="auto"/>
                <w:bottom w:val="none" w:sz="0" w:space="0" w:color="auto"/>
                <w:right w:val="none" w:sz="0" w:space="0" w:color="auto"/>
              </w:divBdr>
            </w:div>
            <w:div w:id="169757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4797">
      <w:bodyDiv w:val="1"/>
      <w:marLeft w:val="0"/>
      <w:marRight w:val="0"/>
      <w:marTop w:val="0"/>
      <w:marBottom w:val="0"/>
      <w:divBdr>
        <w:top w:val="none" w:sz="0" w:space="0" w:color="auto"/>
        <w:left w:val="none" w:sz="0" w:space="0" w:color="auto"/>
        <w:bottom w:val="none" w:sz="0" w:space="0" w:color="auto"/>
        <w:right w:val="none" w:sz="0" w:space="0" w:color="auto"/>
      </w:divBdr>
    </w:div>
    <w:div w:id="136848799">
      <w:bodyDiv w:val="1"/>
      <w:marLeft w:val="0"/>
      <w:marRight w:val="0"/>
      <w:marTop w:val="0"/>
      <w:marBottom w:val="0"/>
      <w:divBdr>
        <w:top w:val="none" w:sz="0" w:space="0" w:color="auto"/>
        <w:left w:val="none" w:sz="0" w:space="0" w:color="auto"/>
        <w:bottom w:val="none" w:sz="0" w:space="0" w:color="auto"/>
        <w:right w:val="none" w:sz="0" w:space="0" w:color="auto"/>
      </w:divBdr>
    </w:div>
    <w:div w:id="175770122">
      <w:bodyDiv w:val="1"/>
      <w:marLeft w:val="0"/>
      <w:marRight w:val="0"/>
      <w:marTop w:val="0"/>
      <w:marBottom w:val="0"/>
      <w:divBdr>
        <w:top w:val="none" w:sz="0" w:space="0" w:color="auto"/>
        <w:left w:val="none" w:sz="0" w:space="0" w:color="auto"/>
        <w:bottom w:val="none" w:sz="0" w:space="0" w:color="auto"/>
        <w:right w:val="none" w:sz="0" w:space="0" w:color="auto"/>
      </w:divBdr>
    </w:div>
    <w:div w:id="244728840">
      <w:bodyDiv w:val="1"/>
      <w:marLeft w:val="0"/>
      <w:marRight w:val="0"/>
      <w:marTop w:val="0"/>
      <w:marBottom w:val="0"/>
      <w:divBdr>
        <w:top w:val="none" w:sz="0" w:space="0" w:color="auto"/>
        <w:left w:val="none" w:sz="0" w:space="0" w:color="auto"/>
        <w:bottom w:val="none" w:sz="0" w:space="0" w:color="auto"/>
        <w:right w:val="none" w:sz="0" w:space="0" w:color="auto"/>
      </w:divBdr>
    </w:div>
    <w:div w:id="266276359">
      <w:bodyDiv w:val="1"/>
      <w:marLeft w:val="0"/>
      <w:marRight w:val="0"/>
      <w:marTop w:val="0"/>
      <w:marBottom w:val="0"/>
      <w:divBdr>
        <w:top w:val="none" w:sz="0" w:space="0" w:color="auto"/>
        <w:left w:val="none" w:sz="0" w:space="0" w:color="auto"/>
        <w:bottom w:val="none" w:sz="0" w:space="0" w:color="auto"/>
        <w:right w:val="none" w:sz="0" w:space="0" w:color="auto"/>
      </w:divBdr>
      <w:divsChild>
        <w:div w:id="249043019">
          <w:marLeft w:val="0"/>
          <w:marRight w:val="0"/>
          <w:marTop w:val="0"/>
          <w:marBottom w:val="0"/>
          <w:divBdr>
            <w:top w:val="none" w:sz="0" w:space="0" w:color="auto"/>
            <w:left w:val="none" w:sz="0" w:space="0" w:color="auto"/>
            <w:bottom w:val="none" w:sz="0" w:space="0" w:color="auto"/>
            <w:right w:val="none" w:sz="0" w:space="0" w:color="auto"/>
          </w:divBdr>
        </w:div>
        <w:div w:id="937300388">
          <w:marLeft w:val="0"/>
          <w:marRight w:val="0"/>
          <w:marTop w:val="0"/>
          <w:marBottom w:val="0"/>
          <w:divBdr>
            <w:top w:val="none" w:sz="0" w:space="0" w:color="auto"/>
            <w:left w:val="none" w:sz="0" w:space="0" w:color="auto"/>
            <w:bottom w:val="none" w:sz="0" w:space="0" w:color="auto"/>
            <w:right w:val="none" w:sz="0" w:space="0" w:color="auto"/>
          </w:divBdr>
        </w:div>
        <w:div w:id="1189758315">
          <w:marLeft w:val="0"/>
          <w:marRight w:val="0"/>
          <w:marTop w:val="0"/>
          <w:marBottom w:val="0"/>
          <w:divBdr>
            <w:top w:val="none" w:sz="0" w:space="0" w:color="auto"/>
            <w:left w:val="none" w:sz="0" w:space="0" w:color="auto"/>
            <w:bottom w:val="none" w:sz="0" w:space="0" w:color="auto"/>
            <w:right w:val="none" w:sz="0" w:space="0" w:color="auto"/>
          </w:divBdr>
        </w:div>
        <w:div w:id="1450736098">
          <w:marLeft w:val="0"/>
          <w:marRight w:val="0"/>
          <w:marTop w:val="0"/>
          <w:marBottom w:val="0"/>
          <w:divBdr>
            <w:top w:val="none" w:sz="0" w:space="0" w:color="auto"/>
            <w:left w:val="none" w:sz="0" w:space="0" w:color="auto"/>
            <w:bottom w:val="none" w:sz="0" w:space="0" w:color="auto"/>
            <w:right w:val="none" w:sz="0" w:space="0" w:color="auto"/>
          </w:divBdr>
        </w:div>
      </w:divsChild>
    </w:div>
    <w:div w:id="311913799">
      <w:bodyDiv w:val="1"/>
      <w:marLeft w:val="0"/>
      <w:marRight w:val="0"/>
      <w:marTop w:val="0"/>
      <w:marBottom w:val="0"/>
      <w:divBdr>
        <w:top w:val="none" w:sz="0" w:space="0" w:color="auto"/>
        <w:left w:val="none" w:sz="0" w:space="0" w:color="auto"/>
        <w:bottom w:val="none" w:sz="0" w:space="0" w:color="auto"/>
        <w:right w:val="none" w:sz="0" w:space="0" w:color="auto"/>
      </w:divBdr>
    </w:div>
    <w:div w:id="322318414">
      <w:bodyDiv w:val="1"/>
      <w:marLeft w:val="0"/>
      <w:marRight w:val="0"/>
      <w:marTop w:val="0"/>
      <w:marBottom w:val="0"/>
      <w:divBdr>
        <w:top w:val="none" w:sz="0" w:space="0" w:color="auto"/>
        <w:left w:val="none" w:sz="0" w:space="0" w:color="auto"/>
        <w:bottom w:val="none" w:sz="0" w:space="0" w:color="auto"/>
        <w:right w:val="none" w:sz="0" w:space="0" w:color="auto"/>
      </w:divBdr>
    </w:div>
    <w:div w:id="325594118">
      <w:bodyDiv w:val="1"/>
      <w:marLeft w:val="0"/>
      <w:marRight w:val="0"/>
      <w:marTop w:val="0"/>
      <w:marBottom w:val="0"/>
      <w:divBdr>
        <w:top w:val="none" w:sz="0" w:space="0" w:color="auto"/>
        <w:left w:val="none" w:sz="0" w:space="0" w:color="auto"/>
        <w:bottom w:val="none" w:sz="0" w:space="0" w:color="auto"/>
        <w:right w:val="none" w:sz="0" w:space="0" w:color="auto"/>
      </w:divBdr>
      <w:divsChild>
        <w:div w:id="1622149549">
          <w:marLeft w:val="0"/>
          <w:marRight w:val="0"/>
          <w:marTop w:val="0"/>
          <w:marBottom w:val="0"/>
          <w:divBdr>
            <w:top w:val="none" w:sz="0" w:space="0" w:color="auto"/>
            <w:left w:val="none" w:sz="0" w:space="0" w:color="auto"/>
            <w:bottom w:val="none" w:sz="0" w:space="0" w:color="auto"/>
            <w:right w:val="none" w:sz="0" w:space="0" w:color="auto"/>
          </w:divBdr>
          <w:divsChild>
            <w:div w:id="15346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0931">
      <w:bodyDiv w:val="1"/>
      <w:marLeft w:val="0"/>
      <w:marRight w:val="0"/>
      <w:marTop w:val="0"/>
      <w:marBottom w:val="0"/>
      <w:divBdr>
        <w:top w:val="none" w:sz="0" w:space="0" w:color="auto"/>
        <w:left w:val="none" w:sz="0" w:space="0" w:color="auto"/>
        <w:bottom w:val="none" w:sz="0" w:space="0" w:color="auto"/>
        <w:right w:val="none" w:sz="0" w:space="0" w:color="auto"/>
      </w:divBdr>
    </w:div>
    <w:div w:id="371030676">
      <w:bodyDiv w:val="1"/>
      <w:marLeft w:val="0"/>
      <w:marRight w:val="0"/>
      <w:marTop w:val="0"/>
      <w:marBottom w:val="0"/>
      <w:divBdr>
        <w:top w:val="none" w:sz="0" w:space="0" w:color="auto"/>
        <w:left w:val="none" w:sz="0" w:space="0" w:color="auto"/>
        <w:bottom w:val="none" w:sz="0" w:space="0" w:color="auto"/>
        <w:right w:val="none" w:sz="0" w:space="0" w:color="auto"/>
      </w:divBdr>
    </w:div>
    <w:div w:id="381514880">
      <w:bodyDiv w:val="1"/>
      <w:marLeft w:val="0"/>
      <w:marRight w:val="0"/>
      <w:marTop w:val="0"/>
      <w:marBottom w:val="0"/>
      <w:divBdr>
        <w:top w:val="none" w:sz="0" w:space="0" w:color="auto"/>
        <w:left w:val="none" w:sz="0" w:space="0" w:color="auto"/>
        <w:bottom w:val="none" w:sz="0" w:space="0" w:color="auto"/>
        <w:right w:val="none" w:sz="0" w:space="0" w:color="auto"/>
      </w:divBdr>
    </w:div>
    <w:div w:id="398133505">
      <w:bodyDiv w:val="1"/>
      <w:marLeft w:val="0"/>
      <w:marRight w:val="0"/>
      <w:marTop w:val="0"/>
      <w:marBottom w:val="0"/>
      <w:divBdr>
        <w:top w:val="none" w:sz="0" w:space="0" w:color="auto"/>
        <w:left w:val="none" w:sz="0" w:space="0" w:color="auto"/>
        <w:bottom w:val="none" w:sz="0" w:space="0" w:color="auto"/>
        <w:right w:val="none" w:sz="0" w:space="0" w:color="auto"/>
      </w:divBdr>
      <w:divsChild>
        <w:div w:id="23142602">
          <w:marLeft w:val="0"/>
          <w:marRight w:val="0"/>
          <w:marTop w:val="0"/>
          <w:marBottom w:val="0"/>
          <w:divBdr>
            <w:top w:val="none" w:sz="0" w:space="0" w:color="auto"/>
            <w:left w:val="none" w:sz="0" w:space="0" w:color="auto"/>
            <w:bottom w:val="none" w:sz="0" w:space="0" w:color="auto"/>
            <w:right w:val="none" w:sz="0" w:space="0" w:color="auto"/>
          </w:divBdr>
        </w:div>
        <w:div w:id="44381186">
          <w:marLeft w:val="0"/>
          <w:marRight w:val="0"/>
          <w:marTop w:val="0"/>
          <w:marBottom w:val="0"/>
          <w:divBdr>
            <w:top w:val="none" w:sz="0" w:space="0" w:color="auto"/>
            <w:left w:val="none" w:sz="0" w:space="0" w:color="auto"/>
            <w:bottom w:val="none" w:sz="0" w:space="0" w:color="auto"/>
            <w:right w:val="none" w:sz="0" w:space="0" w:color="auto"/>
          </w:divBdr>
        </w:div>
        <w:div w:id="115026489">
          <w:marLeft w:val="0"/>
          <w:marRight w:val="0"/>
          <w:marTop w:val="0"/>
          <w:marBottom w:val="0"/>
          <w:divBdr>
            <w:top w:val="none" w:sz="0" w:space="0" w:color="auto"/>
            <w:left w:val="none" w:sz="0" w:space="0" w:color="auto"/>
            <w:bottom w:val="none" w:sz="0" w:space="0" w:color="auto"/>
            <w:right w:val="none" w:sz="0" w:space="0" w:color="auto"/>
          </w:divBdr>
        </w:div>
        <w:div w:id="304313359">
          <w:marLeft w:val="0"/>
          <w:marRight w:val="0"/>
          <w:marTop w:val="0"/>
          <w:marBottom w:val="0"/>
          <w:divBdr>
            <w:top w:val="none" w:sz="0" w:space="0" w:color="auto"/>
            <w:left w:val="none" w:sz="0" w:space="0" w:color="auto"/>
            <w:bottom w:val="none" w:sz="0" w:space="0" w:color="auto"/>
            <w:right w:val="none" w:sz="0" w:space="0" w:color="auto"/>
          </w:divBdr>
        </w:div>
        <w:div w:id="340162523">
          <w:marLeft w:val="0"/>
          <w:marRight w:val="0"/>
          <w:marTop w:val="0"/>
          <w:marBottom w:val="0"/>
          <w:divBdr>
            <w:top w:val="none" w:sz="0" w:space="0" w:color="auto"/>
            <w:left w:val="none" w:sz="0" w:space="0" w:color="auto"/>
            <w:bottom w:val="none" w:sz="0" w:space="0" w:color="auto"/>
            <w:right w:val="none" w:sz="0" w:space="0" w:color="auto"/>
          </w:divBdr>
        </w:div>
        <w:div w:id="404451487">
          <w:marLeft w:val="0"/>
          <w:marRight w:val="0"/>
          <w:marTop w:val="0"/>
          <w:marBottom w:val="0"/>
          <w:divBdr>
            <w:top w:val="none" w:sz="0" w:space="0" w:color="auto"/>
            <w:left w:val="none" w:sz="0" w:space="0" w:color="auto"/>
            <w:bottom w:val="none" w:sz="0" w:space="0" w:color="auto"/>
            <w:right w:val="none" w:sz="0" w:space="0" w:color="auto"/>
          </w:divBdr>
        </w:div>
        <w:div w:id="691759765">
          <w:marLeft w:val="0"/>
          <w:marRight w:val="0"/>
          <w:marTop w:val="0"/>
          <w:marBottom w:val="0"/>
          <w:divBdr>
            <w:top w:val="none" w:sz="0" w:space="0" w:color="auto"/>
            <w:left w:val="none" w:sz="0" w:space="0" w:color="auto"/>
            <w:bottom w:val="none" w:sz="0" w:space="0" w:color="auto"/>
            <w:right w:val="none" w:sz="0" w:space="0" w:color="auto"/>
          </w:divBdr>
        </w:div>
        <w:div w:id="696541523">
          <w:marLeft w:val="0"/>
          <w:marRight w:val="0"/>
          <w:marTop w:val="0"/>
          <w:marBottom w:val="0"/>
          <w:divBdr>
            <w:top w:val="none" w:sz="0" w:space="0" w:color="auto"/>
            <w:left w:val="none" w:sz="0" w:space="0" w:color="auto"/>
            <w:bottom w:val="none" w:sz="0" w:space="0" w:color="auto"/>
            <w:right w:val="none" w:sz="0" w:space="0" w:color="auto"/>
          </w:divBdr>
        </w:div>
        <w:div w:id="718895379">
          <w:marLeft w:val="0"/>
          <w:marRight w:val="0"/>
          <w:marTop w:val="0"/>
          <w:marBottom w:val="0"/>
          <w:divBdr>
            <w:top w:val="none" w:sz="0" w:space="0" w:color="auto"/>
            <w:left w:val="none" w:sz="0" w:space="0" w:color="auto"/>
            <w:bottom w:val="none" w:sz="0" w:space="0" w:color="auto"/>
            <w:right w:val="none" w:sz="0" w:space="0" w:color="auto"/>
          </w:divBdr>
        </w:div>
        <w:div w:id="759909764">
          <w:marLeft w:val="0"/>
          <w:marRight w:val="0"/>
          <w:marTop w:val="0"/>
          <w:marBottom w:val="0"/>
          <w:divBdr>
            <w:top w:val="none" w:sz="0" w:space="0" w:color="auto"/>
            <w:left w:val="none" w:sz="0" w:space="0" w:color="auto"/>
            <w:bottom w:val="none" w:sz="0" w:space="0" w:color="auto"/>
            <w:right w:val="none" w:sz="0" w:space="0" w:color="auto"/>
          </w:divBdr>
        </w:div>
        <w:div w:id="797651655">
          <w:marLeft w:val="0"/>
          <w:marRight w:val="0"/>
          <w:marTop w:val="0"/>
          <w:marBottom w:val="0"/>
          <w:divBdr>
            <w:top w:val="none" w:sz="0" w:space="0" w:color="auto"/>
            <w:left w:val="none" w:sz="0" w:space="0" w:color="auto"/>
            <w:bottom w:val="none" w:sz="0" w:space="0" w:color="auto"/>
            <w:right w:val="none" w:sz="0" w:space="0" w:color="auto"/>
          </w:divBdr>
        </w:div>
        <w:div w:id="926621522">
          <w:marLeft w:val="0"/>
          <w:marRight w:val="0"/>
          <w:marTop w:val="0"/>
          <w:marBottom w:val="0"/>
          <w:divBdr>
            <w:top w:val="none" w:sz="0" w:space="0" w:color="auto"/>
            <w:left w:val="none" w:sz="0" w:space="0" w:color="auto"/>
            <w:bottom w:val="none" w:sz="0" w:space="0" w:color="auto"/>
            <w:right w:val="none" w:sz="0" w:space="0" w:color="auto"/>
          </w:divBdr>
        </w:div>
        <w:div w:id="1334794344">
          <w:marLeft w:val="0"/>
          <w:marRight w:val="0"/>
          <w:marTop w:val="0"/>
          <w:marBottom w:val="0"/>
          <w:divBdr>
            <w:top w:val="none" w:sz="0" w:space="0" w:color="auto"/>
            <w:left w:val="none" w:sz="0" w:space="0" w:color="auto"/>
            <w:bottom w:val="none" w:sz="0" w:space="0" w:color="auto"/>
            <w:right w:val="none" w:sz="0" w:space="0" w:color="auto"/>
          </w:divBdr>
        </w:div>
        <w:div w:id="1505242768">
          <w:marLeft w:val="0"/>
          <w:marRight w:val="0"/>
          <w:marTop w:val="0"/>
          <w:marBottom w:val="0"/>
          <w:divBdr>
            <w:top w:val="none" w:sz="0" w:space="0" w:color="auto"/>
            <w:left w:val="none" w:sz="0" w:space="0" w:color="auto"/>
            <w:bottom w:val="none" w:sz="0" w:space="0" w:color="auto"/>
            <w:right w:val="none" w:sz="0" w:space="0" w:color="auto"/>
          </w:divBdr>
        </w:div>
        <w:div w:id="1727799797">
          <w:marLeft w:val="0"/>
          <w:marRight w:val="0"/>
          <w:marTop w:val="0"/>
          <w:marBottom w:val="0"/>
          <w:divBdr>
            <w:top w:val="none" w:sz="0" w:space="0" w:color="auto"/>
            <w:left w:val="none" w:sz="0" w:space="0" w:color="auto"/>
            <w:bottom w:val="none" w:sz="0" w:space="0" w:color="auto"/>
            <w:right w:val="none" w:sz="0" w:space="0" w:color="auto"/>
          </w:divBdr>
        </w:div>
        <w:div w:id="1792556063">
          <w:marLeft w:val="0"/>
          <w:marRight w:val="0"/>
          <w:marTop w:val="0"/>
          <w:marBottom w:val="0"/>
          <w:divBdr>
            <w:top w:val="none" w:sz="0" w:space="0" w:color="auto"/>
            <w:left w:val="none" w:sz="0" w:space="0" w:color="auto"/>
            <w:bottom w:val="none" w:sz="0" w:space="0" w:color="auto"/>
            <w:right w:val="none" w:sz="0" w:space="0" w:color="auto"/>
          </w:divBdr>
        </w:div>
        <w:div w:id="1853059219">
          <w:marLeft w:val="0"/>
          <w:marRight w:val="0"/>
          <w:marTop w:val="0"/>
          <w:marBottom w:val="0"/>
          <w:divBdr>
            <w:top w:val="none" w:sz="0" w:space="0" w:color="auto"/>
            <w:left w:val="none" w:sz="0" w:space="0" w:color="auto"/>
            <w:bottom w:val="none" w:sz="0" w:space="0" w:color="auto"/>
            <w:right w:val="none" w:sz="0" w:space="0" w:color="auto"/>
          </w:divBdr>
        </w:div>
        <w:div w:id="1997569107">
          <w:marLeft w:val="0"/>
          <w:marRight w:val="0"/>
          <w:marTop w:val="0"/>
          <w:marBottom w:val="0"/>
          <w:divBdr>
            <w:top w:val="none" w:sz="0" w:space="0" w:color="auto"/>
            <w:left w:val="none" w:sz="0" w:space="0" w:color="auto"/>
            <w:bottom w:val="none" w:sz="0" w:space="0" w:color="auto"/>
            <w:right w:val="none" w:sz="0" w:space="0" w:color="auto"/>
          </w:divBdr>
        </w:div>
        <w:div w:id="2027294415">
          <w:marLeft w:val="0"/>
          <w:marRight w:val="0"/>
          <w:marTop w:val="0"/>
          <w:marBottom w:val="0"/>
          <w:divBdr>
            <w:top w:val="none" w:sz="0" w:space="0" w:color="auto"/>
            <w:left w:val="none" w:sz="0" w:space="0" w:color="auto"/>
            <w:bottom w:val="none" w:sz="0" w:space="0" w:color="auto"/>
            <w:right w:val="none" w:sz="0" w:space="0" w:color="auto"/>
          </w:divBdr>
        </w:div>
        <w:div w:id="2068726795">
          <w:marLeft w:val="0"/>
          <w:marRight w:val="0"/>
          <w:marTop w:val="0"/>
          <w:marBottom w:val="0"/>
          <w:divBdr>
            <w:top w:val="none" w:sz="0" w:space="0" w:color="auto"/>
            <w:left w:val="none" w:sz="0" w:space="0" w:color="auto"/>
            <w:bottom w:val="none" w:sz="0" w:space="0" w:color="auto"/>
            <w:right w:val="none" w:sz="0" w:space="0" w:color="auto"/>
          </w:divBdr>
        </w:div>
      </w:divsChild>
    </w:div>
    <w:div w:id="401411176">
      <w:bodyDiv w:val="1"/>
      <w:marLeft w:val="0"/>
      <w:marRight w:val="0"/>
      <w:marTop w:val="0"/>
      <w:marBottom w:val="0"/>
      <w:divBdr>
        <w:top w:val="none" w:sz="0" w:space="0" w:color="auto"/>
        <w:left w:val="none" w:sz="0" w:space="0" w:color="auto"/>
        <w:bottom w:val="none" w:sz="0" w:space="0" w:color="auto"/>
        <w:right w:val="none" w:sz="0" w:space="0" w:color="auto"/>
      </w:divBdr>
    </w:div>
    <w:div w:id="432439038">
      <w:bodyDiv w:val="1"/>
      <w:marLeft w:val="0"/>
      <w:marRight w:val="0"/>
      <w:marTop w:val="0"/>
      <w:marBottom w:val="0"/>
      <w:divBdr>
        <w:top w:val="none" w:sz="0" w:space="0" w:color="auto"/>
        <w:left w:val="none" w:sz="0" w:space="0" w:color="auto"/>
        <w:bottom w:val="none" w:sz="0" w:space="0" w:color="auto"/>
        <w:right w:val="none" w:sz="0" w:space="0" w:color="auto"/>
      </w:divBdr>
    </w:div>
    <w:div w:id="437987985">
      <w:bodyDiv w:val="1"/>
      <w:marLeft w:val="0"/>
      <w:marRight w:val="0"/>
      <w:marTop w:val="0"/>
      <w:marBottom w:val="0"/>
      <w:divBdr>
        <w:top w:val="none" w:sz="0" w:space="0" w:color="auto"/>
        <w:left w:val="none" w:sz="0" w:space="0" w:color="auto"/>
        <w:bottom w:val="none" w:sz="0" w:space="0" w:color="auto"/>
        <w:right w:val="none" w:sz="0" w:space="0" w:color="auto"/>
      </w:divBdr>
      <w:divsChild>
        <w:div w:id="681398230">
          <w:marLeft w:val="0"/>
          <w:marRight w:val="0"/>
          <w:marTop w:val="0"/>
          <w:marBottom w:val="0"/>
          <w:divBdr>
            <w:top w:val="none" w:sz="0" w:space="0" w:color="auto"/>
            <w:left w:val="none" w:sz="0" w:space="0" w:color="auto"/>
            <w:bottom w:val="none" w:sz="0" w:space="0" w:color="auto"/>
            <w:right w:val="none" w:sz="0" w:space="0" w:color="auto"/>
          </w:divBdr>
          <w:divsChild>
            <w:div w:id="133722533">
              <w:marLeft w:val="0"/>
              <w:marRight w:val="0"/>
              <w:marTop w:val="0"/>
              <w:marBottom w:val="0"/>
              <w:divBdr>
                <w:top w:val="none" w:sz="0" w:space="0" w:color="auto"/>
                <w:left w:val="none" w:sz="0" w:space="0" w:color="auto"/>
                <w:bottom w:val="none" w:sz="0" w:space="0" w:color="auto"/>
                <w:right w:val="none" w:sz="0" w:space="0" w:color="auto"/>
              </w:divBdr>
            </w:div>
            <w:div w:id="515315828">
              <w:marLeft w:val="0"/>
              <w:marRight w:val="0"/>
              <w:marTop w:val="0"/>
              <w:marBottom w:val="0"/>
              <w:divBdr>
                <w:top w:val="none" w:sz="0" w:space="0" w:color="auto"/>
                <w:left w:val="none" w:sz="0" w:space="0" w:color="auto"/>
                <w:bottom w:val="none" w:sz="0" w:space="0" w:color="auto"/>
                <w:right w:val="none" w:sz="0" w:space="0" w:color="auto"/>
              </w:divBdr>
            </w:div>
            <w:div w:id="998967393">
              <w:marLeft w:val="0"/>
              <w:marRight w:val="0"/>
              <w:marTop w:val="0"/>
              <w:marBottom w:val="0"/>
              <w:divBdr>
                <w:top w:val="none" w:sz="0" w:space="0" w:color="auto"/>
                <w:left w:val="none" w:sz="0" w:space="0" w:color="auto"/>
                <w:bottom w:val="none" w:sz="0" w:space="0" w:color="auto"/>
                <w:right w:val="none" w:sz="0" w:space="0" w:color="auto"/>
              </w:divBdr>
            </w:div>
            <w:div w:id="1921671798">
              <w:marLeft w:val="0"/>
              <w:marRight w:val="0"/>
              <w:marTop w:val="0"/>
              <w:marBottom w:val="0"/>
              <w:divBdr>
                <w:top w:val="none" w:sz="0" w:space="0" w:color="auto"/>
                <w:left w:val="none" w:sz="0" w:space="0" w:color="auto"/>
                <w:bottom w:val="none" w:sz="0" w:space="0" w:color="auto"/>
                <w:right w:val="none" w:sz="0" w:space="0" w:color="auto"/>
              </w:divBdr>
            </w:div>
          </w:divsChild>
        </w:div>
        <w:div w:id="773985601">
          <w:marLeft w:val="0"/>
          <w:marRight w:val="0"/>
          <w:marTop w:val="0"/>
          <w:marBottom w:val="0"/>
          <w:divBdr>
            <w:top w:val="none" w:sz="0" w:space="0" w:color="auto"/>
            <w:left w:val="none" w:sz="0" w:space="0" w:color="auto"/>
            <w:bottom w:val="none" w:sz="0" w:space="0" w:color="auto"/>
            <w:right w:val="none" w:sz="0" w:space="0" w:color="auto"/>
          </w:divBdr>
          <w:divsChild>
            <w:div w:id="513616680">
              <w:marLeft w:val="0"/>
              <w:marRight w:val="0"/>
              <w:marTop w:val="0"/>
              <w:marBottom w:val="0"/>
              <w:divBdr>
                <w:top w:val="none" w:sz="0" w:space="0" w:color="auto"/>
                <w:left w:val="none" w:sz="0" w:space="0" w:color="auto"/>
                <w:bottom w:val="none" w:sz="0" w:space="0" w:color="auto"/>
                <w:right w:val="none" w:sz="0" w:space="0" w:color="auto"/>
              </w:divBdr>
            </w:div>
            <w:div w:id="1089960663">
              <w:marLeft w:val="0"/>
              <w:marRight w:val="0"/>
              <w:marTop w:val="0"/>
              <w:marBottom w:val="0"/>
              <w:divBdr>
                <w:top w:val="none" w:sz="0" w:space="0" w:color="auto"/>
                <w:left w:val="none" w:sz="0" w:space="0" w:color="auto"/>
                <w:bottom w:val="none" w:sz="0" w:space="0" w:color="auto"/>
                <w:right w:val="none" w:sz="0" w:space="0" w:color="auto"/>
              </w:divBdr>
            </w:div>
            <w:div w:id="1525287938">
              <w:marLeft w:val="0"/>
              <w:marRight w:val="0"/>
              <w:marTop w:val="0"/>
              <w:marBottom w:val="0"/>
              <w:divBdr>
                <w:top w:val="none" w:sz="0" w:space="0" w:color="auto"/>
                <w:left w:val="none" w:sz="0" w:space="0" w:color="auto"/>
                <w:bottom w:val="none" w:sz="0" w:space="0" w:color="auto"/>
                <w:right w:val="none" w:sz="0" w:space="0" w:color="auto"/>
              </w:divBdr>
            </w:div>
            <w:div w:id="1670258028">
              <w:marLeft w:val="0"/>
              <w:marRight w:val="0"/>
              <w:marTop w:val="0"/>
              <w:marBottom w:val="0"/>
              <w:divBdr>
                <w:top w:val="none" w:sz="0" w:space="0" w:color="auto"/>
                <w:left w:val="none" w:sz="0" w:space="0" w:color="auto"/>
                <w:bottom w:val="none" w:sz="0" w:space="0" w:color="auto"/>
                <w:right w:val="none" w:sz="0" w:space="0" w:color="auto"/>
              </w:divBdr>
            </w:div>
            <w:div w:id="1924294199">
              <w:marLeft w:val="0"/>
              <w:marRight w:val="0"/>
              <w:marTop w:val="0"/>
              <w:marBottom w:val="0"/>
              <w:divBdr>
                <w:top w:val="none" w:sz="0" w:space="0" w:color="auto"/>
                <w:left w:val="none" w:sz="0" w:space="0" w:color="auto"/>
                <w:bottom w:val="none" w:sz="0" w:space="0" w:color="auto"/>
                <w:right w:val="none" w:sz="0" w:space="0" w:color="auto"/>
              </w:divBdr>
            </w:div>
          </w:divsChild>
        </w:div>
        <w:div w:id="1215581800">
          <w:marLeft w:val="0"/>
          <w:marRight w:val="0"/>
          <w:marTop w:val="0"/>
          <w:marBottom w:val="0"/>
          <w:divBdr>
            <w:top w:val="none" w:sz="0" w:space="0" w:color="auto"/>
            <w:left w:val="none" w:sz="0" w:space="0" w:color="auto"/>
            <w:bottom w:val="none" w:sz="0" w:space="0" w:color="auto"/>
            <w:right w:val="none" w:sz="0" w:space="0" w:color="auto"/>
          </w:divBdr>
          <w:divsChild>
            <w:div w:id="1067993652">
              <w:marLeft w:val="0"/>
              <w:marRight w:val="0"/>
              <w:marTop w:val="0"/>
              <w:marBottom w:val="0"/>
              <w:divBdr>
                <w:top w:val="none" w:sz="0" w:space="0" w:color="auto"/>
                <w:left w:val="none" w:sz="0" w:space="0" w:color="auto"/>
                <w:bottom w:val="none" w:sz="0" w:space="0" w:color="auto"/>
                <w:right w:val="none" w:sz="0" w:space="0" w:color="auto"/>
              </w:divBdr>
            </w:div>
          </w:divsChild>
        </w:div>
        <w:div w:id="1513453273">
          <w:marLeft w:val="0"/>
          <w:marRight w:val="0"/>
          <w:marTop w:val="0"/>
          <w:marBottom w:val="0"/>
          <w:divBdr>
            <w:top w:val="none" w:sz="0" w:space="0" w:color="auto"/>
            <w:left w:val="none" w:sz="0" w:space="0" w:color="auto"/>
            <w:bottom w:val="none" w:sz="0" w:space="0" w:color="auto"/>
            <w:right w:val="none" w:sz="0" w:space="0" w:color="auto"/>
          </w:divBdr>
          <w:divsChild>
            <w:div w:id="1247693391">
              <w:marLeft w:val="0"/>
              <w:marRight w:val="0"/>
              <w:marTop w:val="0"/>
              <w:marBottom w:val="0"/>
              <w:divBdr>
                <w:top w:val="none" w:sz="0" w:space="0" w:color="auto"/>
                <w:left w:val="none" w:sz="0" w:space="0" w:color="auto"/>
                <w:bottom w:val="none" w:sz="0" w:space="0" w:color="auto"/>
                <w:right w:val="none" w:sz="0" w:space="0" w:color="auto"/>
              </w:divBdr>
            </w:div>
            <w:div w:id="1391460354">
              <w:marLeft w:val="0"/>
              <w:marRight w:val="0"/>
              <w:marTop w:val="0"/>
              <w:marBottom w:val="0"/>
              <w:divBdr>
                <w:top w:val="none" w:sz="0" w:space="0" w:color="auto"/>
                <w:left w:val="none" w:sz="0" w:space="0" w:color="auto"/>
                <w:bottom w:val="none" w:sz="0" w:space="0" w:color="auto"/>
                <w:right w:val="none" w:sz="0" w:space="0" w:color="auto"/>
              </w:divBdr>
            </w:div>
            <w:div w:id="1586960893">
              <w:marLeft w:val="0"/>
              <w:marRight w:val="0"/>
              <w:marTop w:val="0"/>
              <w:marBottom w:val="0"/>
              <w:divBdr>
                <w:top w:val="none" w:sz="0" w:space="0" w:color="auto"/>
                <w:left w:val="none" w:sz="0" w:space="0" w:color="auto"/>
                <w:bottom w:val="none" w:sz="0" w:space="0" w:color="auto"/>
                <w:right w:val="none" w:sz="0" w:space="0" w:color="auto"/>
              </w:divBdr>
            </w:div>
            <w:div w:id="2031685024">
              <w:marLeft w:val="0"/>
              <w:marRight w:val="0"/>
              <w:marTop w:val="0"/>
              <w:marBottom w:val="0"/>
              <w:divBdr>
                <w:top w:val="none" w:sz="0" w:space="0" w:color="auto"/>
                <w:left w:val="none" w:sz="0" w:space="0" w:color="auto"/>
                <w:bottom w:val="none" w:sz="0" w:space="0" w:color="auto"/>
                <w:right w:val="none" w:sz="0" w:space="0" w:color="auto"/>
              </w:divBdr>
            </w:div>
          </w:divsChild>
        </w:div>
        <w:div w:id="1574119536">
          <w:marLeft w:val="0"/>
          <w:marRight w:val="0"/>
          <w:marTop w:val="0"/>
          <w:marBottom w:val="0"/>
          <w:divBdr>
            <w:top w:val="none" w:sz="0" w:space="0" w:color="auto"/>
            <w:left w:val="none" w:sz="0" w:space="0" w:color="auto"/>
            <w:bottom w:val="none" w:sz="0" w:space="0" w:color="auto"/>
            <w:right w:val="none" w:sz="0" w:space="0" w:color="auto"/>
          </w:divBdr>
          <w:divsChild>
            <w:div w:id="536160761">
              <w:marLeft w:val="0"/>
              <w:marRight w:val="0"/>
              <w:marTop w:val="0"/>
              <w:marBottom w:val="0"/>
              <w:divBdr>
                <w:top w:val="none" w:sz="0" w:space="0" w:color="auto"/>
                <w:left w:val="none" w:sz="0" w:space="0" w:color="auto"/>
                <w:bottom w:val="none" w:sz="0" w:space="0" w:color="auto"/>
                <w:right w:val="none" w:sz="0" w:space="0" w:color="auto"/>
              </w:divBdr>
            </w:div>
          </w:divsChild>
        </w:div>
        <w:div w:id="1634824027">
          <w:marLeft w:val="0"/>
          <w:marRight w:val="0"/>
          <w:marTop w:val="0"/>
          <w:marBottom w:val="0"/>
          <w:divBdr>
            <w:top w:val="none" w:sz="0" w:space="0" w:color="auto"/>
            <w:left w:val="none" w:sz="0" w:space="0" w:color="auto"/>
            <w:bottom w:val="none" w:sz="0" w:space="0" w:color="auto"/>
            <w:right w:val="none" w:sz="0" w:space="0" w:color="auto"/>
          </w:divBdr>
          <w:divsChild>
            <w:div w:id="445347406">
              <w:marLeft w:val="0"/>
              <w:marRight w:val="0"/>
              <w:marTop w:val="0"/>
              <w:marBottom w:val="0"/>
              <w:divBdr>
                <w:top w:val="none" w:sz="0" w:space="0" w:color="auto"/>
                <w:left w:val="none" w:sz="0" w:space="0" w:color="auto"/>
                <w:bottom w:val="none" w:sz="0" w:space="0" w:color="auto"/>
                <w:right w:val="none" w:sz="0" w:space="0" w:color="auto"/>
              </w:divBdr>
            </w:div>
            <w:div w:id="112993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0460">
      <w:bodyDiv w:val="1"/>
      <w:marLeft w:val="0"/>
      <w:marRight w:val="0"/>
      <w:marTop w:val="0"/>
      <w:marBottom w:val="0"/>
      <w:divBdr>
        <w:top w:val="none" w:sz="0" w:space="0" w:color="auto"/>
        <w:left w:val="none" w:sz="0" w:space="0" w:color="auto"/>
        <w:bottom w:val="none" w:sz="0" w:space="0" w:color="auto"/>
        <w:right w:val="none" w:sz="0" w:space="0" w:color="auto"/>
      </w:divBdr>
    </w:div>
    <w:div w:id="468789117">
      <w:bodyDiv w:val="1"/>
      <w:marLeft w:val="0"/>
      <w:marRight w:val="0"/>
      <w:marTop w:val="0"/>
      <w:marBottom w:val="0"/>
      <w:divBdr>
        <w:top w:val="none" w:sz="0" w:space="0" w:color="auto"/>
        <w:left w:val="none" w:sz="0" w:space="0" w:color="auto"/>
        <w:bottom w:val="none" w:sz="0" w:space="0" w:color="auto"/>
        <w:right w:val="none" w:sz="0" w:space="0" w:color="auto"/>
      </w:divBdr>
    </w:div>
    <w:div w:id="471366113">
      <w:bodyDiv w:val="1"/>
      <w:marLeft w:val="0"/>
      <w:marRight w:val="0"/>
      <w:marTop w:val="0"/>
      <w:marBottom w:val="0"/>
      <w:divBdr>
        <w:top w:val="none" w:sz="0" w:space="0" w:color="auto"/>
        <w:left w:val="none" w:sz="0" w:space="0" w:color="auto"/>
        <w:bottom w:val="none" w:sz="0" w:space="0" w:color="auto"/>
        <w:right w:val="none" w:sz="0" w:space="0" w:color="auto"/>
      </w:divBdr>
    </w:div>
    <w:div w:id="540943224">
      <w:bodyDiv w:val="1"/>
      <w:marLeft w:val="0"/>
      <w:marRight w:val="0"/>
      <w:marTop w:val="0"/>
      <w:marBottom w:val="0"/>
      <w:divBdr>
        <w:top w:val="none" w:sz="0" w:space="0" w:color="auto"/>
        <w:left w:val="none" w:sz="0" w:space="0" w:color="auto"/>
        <w:bottom w:val="none" w:sz="0" w:space="0" w:color="auto"/>
        <w:right w:val="none" w:sz="0" w:space="0" w:color="auto"/>
      </w:divBdr>
    </w:div>
    <w:div w:id="545603261">
      <w:bodyDiv w:val="1"/>
      <w:marLeft w:val="0"/>
      <w:marRight w:val="0"/>
      <w:marTop w:val="0"/>
      <w:marBottom w:val="0"/>
      <w:divBdr>
        <w:top w:val="none" w:sz="0" w:space="0" w:color="auto"/>
        <w:left w:val="none" w:sz="0" w:space="0" w:color="auto"/>
        <w:bottom w:val="none" w:sz="0" w:space="0" w:color="auto"/>
        <w:right w:val="none" w:sz="0" w:space="0" w:color="auto"/>
      </w:divBdr>
      <w:divsChild>
        <w:div w:id="1378318941">
          <w:marLeft w:val="0"/>
          <w:marRight w:val="0"/>
          <w:marTop w:val="0"/>
          <w:marBottom w:val="0"/>
          <w:divBdr>
            <w:top w:val="none" w:sz="0" w:space="0" w:color="auto"/>
            <w:left w:val="none" w:sz="0" w:space="0" w:color="auto"/>
            <w:bottom w:val="none" w:sz="0" w:space="0" w:color="auto"/>
            <w:right w:val="none" w:sz="0" w:space="0" w:color="auto"/>
          </w:divBdr>
        </w:div>
        <w:div w:id="1911884665">
          <w:marLeft w:val="0"/>
          <w:marRight w:val="0"/>
          <w:marTop w:val="0"/>
          <w:marBottom w:val="0"/>
          <w:divBdr>
            <w:top w:val="none" w:sz="0" w:space="0" w:color="auto"/>
            <w:left w:val="none" w:sz="0" w:space="0" w:color="auto"/>
            <w:bottom w:val="none" w:sz="0" w:space="0" w:color="auto"/>
            <w:right w:val="none" w:sz="0" w:space="0" w:color="auto"/>
          </w:divBdr>
        </w:div>
      </w:divsChild>
    </w:div>
    <w:div w:id="548997116">
      <w:bodyDiv w:val="1"/>
      <w:marLeft w:val="0"/>
      <w:marRight w:val="0"/>
      <w:marTop w:val="0"/>
      <w:marBottom w:val="0"/>
      <w:divBdr>
        <w:top w:val="none" w:sz="0" w:space="0" w:color="auto"/>
        <w:left w:val="none" w:sz="0" w:space="0" w:color="auto"/>
        <w:bottom w:val="none" w:sz="0" w:space="0" w:color="auto"/>
        <w:right w:val="none" w:sz="0" w:space="0" w:color="auto"/>
      </w:divBdr>
    </w:div>
    <w:div w:id="614480012">
      <w:bodyDiv w:val="1"/>
      <w:marLeft w:val="0"/>
      <w:marRight w:val="0"/>
      <w:marTop w:val="0"/>
      <w:marBottom w:val="0"/>
      <w:divBdr>
        <w:top w:val="none" w:sz="0" w:space="0" w:color="auto"/>
        <w:left w:val="none" w:sz="0" w:space="0" w:color="auto"/>
        <w:bottom w:val="none" w:sz="0" w:space="0" w:color="auto"/>
        <w:right w:val="none" w:sz="0" w:space="0" w:color="auto"/>
      </w:divBdr>
    </w:div>
    <w:div w:id="717361308">
      <w:bodyDiv w:val="1"/>
      <w:marLeft w:val="0"/>
      <w:marRight w:val="0"/>
      <w:marTop w:val="0"/>
      <w:marBottom w:val="0"/>
      <w:divBdr>
        <w:top w:val="none" w:sz="0" w:space="0" w:color="auto"/>
        <w:left w:val="none" w:sz="0" w:space="0" w:color="auto"/>
        <w:bottom w:val="none" w:sz="0" w:space="0" w:color="auto"/>
        <w:right w:val="none" w:sz="0" w:space="0" w:color="auto"/>
      </w:divBdr>
    </w:div>
    <w:div w:id="755134975">
      <w:bodyDiv w:val="1"/>
      <w:marLeft w:val="0"/>
      <w:marRight w:val="0"/>
      <w:marTop w:val="0"/>
      <w:marBottom w:val="0"/>
      <w:divBdr>
        <w:top w:val="none" w:sz="0" w:space="0" w:color="auto"/>
        <w:left w:val="none" w:sz="0" w:space="0" w:color="auto"/>
        <w:bottom w:val="none" w:sz="0" w:space="0" w:color="auto"/>
        <w:right w:val="none" w:sz="0" w:space="0" w:color="auto"/>
      </w:divBdr>
      <w:divsChild>
        <w:div w:id="35132555">
          <w:marLeft w:val="0"/>
          <w:marRight w:val="0"/>
          <w:marTop w:val="0"/>
          <w:marBottom w:val="0"/>
          <w:divBdr>
            <w:top w:val="none" w:sz="0" w:space="0" w:color="auto"/>
            <w:left w:val="none" w:sz="0" w:space="0" w:color="auto"/>
            <w:bottom w:val="none" w:sz="0" w:space="0" w:color="auto"/>
            <w:right w:val="none" w:sz="0" w:space="0" w:color="auto"/>
          </w:divBdr>
          <w:divsChild>
            <w:div w:id="146365871">
              <w:marLeft w:val="0"/>
              <w:marRight w:val="0"/>
              <w:marTop w:val="0"/>
              <w:marBottom w:val="0"/>
              <w:divBdr>
                <w:top w:val="none" w:sz="0" w:space="0" w:color="auto"/>
                <w:left w:val="none" w:sz="0" w:space="0" w:color="auto"/>
                <w:bottom w:val="none" w:sz="0" w:space="0" w:color="auto"/>
                <w:right w:val="none" w:sz="0" w:space="0" w:color="auto"/>
              </w:divBdr>
            </w:div>
            <w:div w:id="232930201">
              <w:marLeft w:val="0"/>
              <w:marRight w:val="0"/>
              <w:marTop w:val="0"/>
              <w:marBottom w:val="0"/>
              <w:divBdr>
                <w:top w:val="none" w:sz="0" w:space="0" w:color="auto"/>
                <w:left w:val="none" w:sz="0" w:space="0" w:color="auto"/>
                <w:bottom w:val="none" w:sz="0" w:space="0" w:color="auto"/>
                <w:right w:val="none" w:sz="0" w:space="0" w:color="auto"/>
              </w:divBdr>
            </w:div>
            <w:div w:id="268054260">
              <w:marLeft w:val="0"/>
              <w:marRight w:val="0"/>
              <w:marTop w:val="0"/>
              <w:marBottom w:val="0"/>
              <w:divBdr>
                <w:top w:val="none" w:sz="0" w:space="0" w:color="auto"/>
                <w:left w:val="none" w:sz="0" w:space="0" w:color="auto"/>
                <w:bottom w:val="none" w:sz="0" w:space="0" w:color="auto"/>
                <w:right w:val="none" w:sz="0" w:space="0" w:color="auto"/>
              </w:divBdr>
            </w:div>
            <w:div w:id="499351301">
              <w:marLeft w:val="0"/>
              <w:marRight w:val="0"/>
              <w:marTop w:val="0"/>
              <w:marBottom w:val="0"/>
              <w:divBdr>
                <w:top w:val="none" w:sz="0" w:space="0" w:color="auto"/>
                <w:left w:val="none" w:sz="0" w:space="0" w:color="auto"/>
                <w:bottom w:val="none" w:sz="0" w:space="0" w:color="auto"/>
                <w:right w:val="none" w:sz="0" w:space="0" w:color="auto"/>
              </w:divBdr>
            </w:div>
            <w:div w:id="1235705339">
              <w:marLeft w:val="0"/>
              <w:marRight w:val="0"/>
              <w:marTop w:val="0"/>
              <w:marBottom w:val="0"/>
              <w:divBdr>
                <w:top w:val="none" w:sz="0" w:space="0" w:color="auto"/>
                <w:left w:val="none" w:sz="0" w:space="0" w:color="auto"/>
                <w:bottom w:val="none" w:sz="0" w:space="0" w:color="auto"/>
                <w:right w:val="none" w:sz="0" w:space="0" w:color="auto"/>
              </w:divBdr>
            </w:div>
            <w:div w:id="1447192670">
              <w:marLeft w:val="0"/>
              <w:marRight w:val="0"/>
              <w:marTop w:val="0"/>
              <w:marBottom w:val="0"/>
              <w:divBdr>
                <w:top w:val="none" w:sz="0" w:space="0" w:color="auto"/>
                <w:left w:val="none" w:sz="0" w:space="0" w:color="auto"/>
                <w:bottom w:val="none" w:sz="0" w:space="0" w:color="auto"/>
                <w:right w:val="none" w:sz="0" w:space="0" w:color="auto"/>
              </w:divBdr>
            </w:div>
            <w:div w:id="1624580821">
              <w:marLeft w:val="0"/>
              <w:marRight w:val="0"/>
              <w:marTop w:val="0"/>
              <w:marBottom w:val="0"/>
              <w:divBdr>
                <w:top w:val="none" w:sz="0" w:space="0" w:color="auto"/>
                <w:left w:val="none" w:sz="0" w:space="0" w:color="auto"/>
                <w:bottom w:val="none" w:sz="0" w:space="0" w:color="auto"/>
                <w:right w:val="none" w:sz="0" w:space="0" w:color="auto"/>
              </w:divBdr>
            </w:div>
            <w:div w:id="1684163947">
              <w:marLeft w:val="0"/>
              <w:marRight w:val="0"/>
              <w:marTop w:val="0"/>
              <w:marBottom w:val="0"/>
              <w:divBdr>
                <w:top w:val="none" w:sz="0" w:space="0" w:color="auto"/>
                <w:left w:val="none" w:sz="0" w:space="0" w:color="auto"/>
                <w:bottom w:val="none" w:sz="0" w:space="0" w:color="auto"/>
                <w:right w:val="none" w:sz="0" w:space="0" w:color="auto"/>
              </w:divBdr>
            </w:div>
            <w:div w:id="2067798510">
              <w:marLeft w:val="0"/>
              <w:marRight w:val="0"/>
              <w:marTop w:val="0"/>
              <w:marBottom w:val="0"/>
              <w:divBdr>
                <w:top w:val="none" w:sz="0" w:space="0" w:color="auto"/>
                <w:left w:val="none" w:sz="0" w:space="0" w:color="auto"/>
                <w:bottom w:val="none" w:sz="0" w:space="0" w:color="auto"/>
                <w:right w:val="none" w:sz="0" w:space="0" w:color="auto"/>
              </w:divBdr>
            </w:div>
            <w:div w:id="2076194059">
              <w:marLeft w:val="0"/>
              <w:marRight w:val="0"/>
              <w:marTop w:val="0"/>
              <w:marBottom w:val="0"/>
              <w:divBdr>
                <w:top w:val="none" w:sz="0" w:space="0" w:color="auto"/>
                <w:left w:val="none" w:sz="0" w:space="0" w:color="auto"/>
                <w:bottom w:val="none" w:sz="0" w:space="0" w:color="auto"/>
                <w:right w:val="none" w:sz="0" w:space="0" w:color="auto"/>
              </w:divBdr>
            </w:div>
          </w:divsChild>
        </w:div>
        <w:div w:id="219099897">
          <w:marLeft w:val="0"/>
          <w:marRight w:val="0"/>
          <w:marTop w:val="0"/>
          <w:marBottom w:val="0"/>
          <w:divBdr>
            <w:top w:val="none" w:sz="0" w:space="0" w:color="auto"/>
            <w:left w:val="none" w:sz="0" w:space="0" w:color="auto"/>
            <w:bottom w:val="none" w:sz="0" w:space="0" w:color="auto"/>
            <w:right w:val="none" w:sz="0" w:space="0" w:color="auto"/>
          </w:divBdr>
          <w:divsChild>
            <w:div w:id="49303517">
              <w:marLeft w:val="0"/>
              <w:marRight w:val="0"/>
              <w:marTop w:val="0"/>
              <w:marBottom w:val="0"/>
              <w:divBdr>
                <w:top w:val="none" w:sz="0" w:space="0" w:color="auto"/>
                <w:left w:val="none" w:sz="0" w:space="0" w:color="auto"/>
                <w:bottom w:val="none" w:sz="0" w:space="0" w:color="auto"/>
                <w:right w:val="none" w:sz="0" w:space="0" w:color="auto"/>
              </w:divBdr>
            </w:div>
            <w:div w:id="161900198">
              <w:marLeft w:val="0"/>
              <w:marRight w:val="0"/>
              <w:marTop w:val="0"/>
              <w:marBottom w:val="0"/>
              <w:divBdr>
                <w:top w:val="none" w:sz="0" w:space="0" w:color="auto"/>
                <w:left w:val="none" w:sz="0" w:space="0" w:color="auto"/>
                <w:bottom w:val="none" w:sz="0" w:space="0" w:color="auto"/>
                <w:right w:val="none" w:sz="0" w:space="0" w:color="auto"/>
              </w:divBdr>
            </w:div>
            <w:div w:id="1458990791">
              <w:marLeft w:val="0"/>
              <w:marRight w:val="0"/>
              <w:marTop w:val="0"/>
              <w:marBottom w:val="0"/>
              <w:divBdr>
                <w:top w:val="none" w:sz="0" w:space="0" w:color="auto"/>
                <w:left w:val="none" w:sz="0" w:space="0" w:color="auto"/>
                <w:bottom w:val="none" w:sz="0" w:space="0" w:color="auto"/>
                <w:right w:val="none" w:sz="0" w:space="0" w:color="auto"/>
              </w:divBdr>
            </w:div>
            <w:div w:id="1516580677">
              <w:marLeft w:val="0"/>
              <w:marRight w:val="0"/>
              <w:marTop w:val="0"/>
              <w:marBottom w:val="0"/>
              <w:divBdr>
                <w:top w:val="none" w:sz="0" w:space="0" w:color="auto"/>
                <w:left w:val="none" w:sz="0" w:space="0" w:color="auto"/>
                <w:bottom w:val="none" w:sz="0" w:space="0" w:color="auto"/>
                <w:right w:val="none" w:sz="0" w:space="0" w:color="auto"/>
              </w:divBdr>
            </w:div>
            <w:div w:id="2054310314">
              <w:marLeft w:val="0"/>
              <w:marRight w:val="0"/>
              <w:marTop w:val="0"/>
              <w:marBottom w:val="0"/>
              <w:divBdr>
                <w:top w:val="none" w:sz="0" w:space="0" w:color="auto"/>
                <w:left w:val="none" w:sz="0" w:space="0" w:color="auto"/>
                <w:bottom w:val="none" w:sz="0" w:space="0" w:color="auto"/>
                <w:right w:val="none" w:sz="0" w:space="0" w:color="auto"/>
              </w:divBdr>
            </w:div>
            <w:div w:id="2109083114">
              <w:marLeft w:val="0"/>
              <w:marRight w:val="0"/>
              <w:marTop w:val="0"/>
              <w:marBottom w:val="0"/>
              <w:divBdr>
                <w:top w:val="none" w:sz="0" w:space="0" w:color="auto"/>
                <w:left w:val="none" w:sz="0" w:space="0" w:color="auto"/>
                <w:bottom w:val="none" w:sz="0" w:space="0" w:color="auto"/>
                <w:right w:val="none" w:sz="0" w:space="0" w:color="auto"/>
              </w:divBdr>
            </w:div>
          </w:divsChild>
        </w:div>
        <w:div w:id="851990356">
          <w:marLeft w:val="0"/>
          <w:marRight w:val="0"/>
          <w:marTop w:val="0"/>
          <w:marBottom w:val="0"/>
          <w:divBdr>
            <w:top w:val="none" w:sz="0" w:space="0" w:color="auto"/>
            <w:left w:val="none" w:sz="0" w:space="0" w:color="auto"/>
            <w:bottom w:val="none" w:sz="0" w:space="0" w:color="auto"/>
            <w:right w:val="none" w:sz="0" w:space="0" w:color="auto"/>
          </w:divBdr>
          <w:divsChild>
            <w:div w:id="115605893">
              <w:marLeft w:val="0"/>
              <w:marRight w:val="0"/>
              <w:marTop w:val="0"/>
              <w:marBottom w:val="0"/>
              <w:divBdr>
                <w:top w:val="none" w:sz="0" w:space="0" w:color="auto"/>
                <w:left w:val="none" w:sz="0" w:space="0" w:color="auto"/>
                <w:bottom w:val="none" w:sz="0" w:space="0" w:color="auto"/>
                <w:right w:val="none" w:sz="0" w:space="0" w:color="auto"/>
              </w:divBdr>
            </w:div>
            <w:div w:id="194268385">
              <w:marLeft w:val="0"/>
              <w:marRight w:val="0"/>
              <w:marTop w:val="0"/>
              <w:marBottom w:val="0"/>
              <w:divBdr>
                <w:top w:val="none" w:sz="0" w:space="0" w:color="auto"/>
                <w:left w:val="none" w:sz="0" w:space="0" w:color="auto"/>
                <w:bottom w:val="none" w:sz="0" w:space="0" w:color="auto"/>
                <w:right w:val="none" w:sz="0" w:space="0" w:color="auto"/>
              </w:divBdr>
            </w:div>
            <w:div w:id="469784041">
              <w:marLeft w:val="0"/>
              <w:marRight w:val="0"/>
              <w:marTop w:val="0"/>
              <w:marBottom w:val="0"/>
              <w:divBdr>
                <w:top w:val="none" w:sz="0" w:space="0" w:color="auto"/>
                <w:left w:val="none" w:sz="0" w:space="0" w:color="auto"/>
                <w:bottom w:val="none" w:sz="0" w:space="0" w:color="auto"/>
                <w:right w:val="none" w:sz="0" w:space="0" w:color="auto"/>
              </w:divBdr>
            </w:div>
            <w:div w:id="1259800437">
              <w:marLeft w:val="0"/>
              <w:marRight w:val="0"/>
              <w:marTop w:val="0"/>
              <w:marBottom w:val="0"/>
              <w:divBdr>
                <w:top w:val="none" w:sz="0" w:space="0" w:color="auto"/>
                <w:left w:val="none" w:sz="0" w:space="0" w:color="auto"/>
                <w:bottom w:val="none" w:sz="0" w:space="0" w:color="auto"/>
                <w:right w:val="none" w:sz="0" w:space="0" w:color="auto"/>
              </w:divBdr>
            </w:div>
            <w:div w:id="1438253714">
              <w:marLeft w:val="0"/>
              <w:marRight w:val="0"/>
              <w:marTop w:val="0"/>
              <w:marBottom w:val="0"/>
              <w:divBdr>
                <w:top w:val="none" w:sz="0" w:space="0" w:color="auto"/>
                <w:left w:val="none" w:sz="0" w:space="0" w:color="auto"/>
                <w:bottom w:val="none" w:sz="0" w:space="0" w:color="auto"/>
                <w:right w:val="none" w:sz="0" w:space="0" w:color="auto"/>
              </w:divBdr>
            </w:div>
            <w:div w:id="1686050380">
              <w:marLeft w:val="0"/>
              <w:marRight w:val="0"/>
              <w:marTop w:val="0"/>
              <w:marBottom w:val="0"/>
              <w:divBdr>
                <w:top w:val="none" w:sz="0" w:space="0" w:color="auto"/>
                <w:left w:val="none" w:sz="0" w:space="0" w:color="auto"/>
                <w:bottom w:val="none" w:sz="0" w:space="0" w:color="auto"/>
                <w:right w:val="none" w:sz="0" w:space="0" w:color="auto"/>
              </w:divBdr>
            </w:div>
            <w:div w:id="1717776417">
              <w:marLeft w:val="0"/>
              <w:marRight w:val="0"/>
              <w:marTop w:val="0"/>
              <w:marBottom w:val="0"/>
              <w:divBdr>
                <w:top w:val="none" w:sz="0" w:space="0" w:color="auto"/>
                <w:left w:val="none" w:sz="0" w:space="0" w:color="auto"/>
                <w:bottom w:val="none" w:sz="0" w:space="0" w:color="auto"/>
                <w:right w:val="none" w:sz="0" w:space="0" w:color="auto"/>
              </w:divBdr>
            </w:div>
            <w:div w:id="1809056021">
              <w:marLeft w:val="0"/>
              <w:marRight w:val="0"/>
              <w:marTop w:val="0"/>
              <w:marBottom w:val="0"/>
              <w:divBdr>
                <w:top w:val="none" w:sz="0" w:space="0" w:color="auto"/>
                <w:left w:val="none" w:sz="0" w:space="0" w:color="auto"/>
                <w:bottom w:val="none" w:sz="0" w:space="0" w:color="auto"/>
                <w:right w:val="none" w:sz="0" w:space="0" w:color="auto"/>
              </w:divBdr>
            </w:div>
            <w:div w:id="2027052589">
              <w:marLeft w:val="0"/>
              <w:marRight w:val="0"/>
              <w:marTop w:val="0"/>
              <w:marBottom w:val="0"/>
              <w:divBdr>
                <w:top w:val="none" w:sz="0" w:space="0" w:color="auto"/>
                <w:left w:val="none" w:sz="0" w:space="0" w:color="auto"/>
                <w:bottom w:val="none" w:sz="0" w:space="0" w:color="auto"/>
                <w:right w:val="none" w:sz="0" w:space="0" w:color="auto"/>
              </w:divBdr>
            </w:div>
            <w:div w:id="2066249655">
              <w:marLeft w:val="0"/>
              <w:marRight w:val="0"/>
              <w:marTop w:val="0"/>
              <w:marBottom w:val="0"/>
              <w:divBdr>
                <w:top w:val="none" w:sz="0" w:space="0" w:color="auto"/>
                <w:left w:val="none" w:sz="0" w:space="0" w:color="auto"/>
                <w:bottom w:val="none" w:sz="0" w:space="0" w:color="auto"/>
                <w:right w:val="none" w:sz="0" w:space="0" w:color="auto"/>
              </w:divBdr>
            </w:div>
          </w:divsChild>
        </w:div>
        <w:div w:id="913201585">
          <w:marLeft w:val="0"/>
          <w:marRight w:val="0"/>
          <w:marTop w:val="0"/>
          <w:marBottom w:val="0"/>
          <w:divBdr>
            <w:top w:val="none" w:sz="0" w:space="0" w:color="auto"/>
            <w:left w:val="none" w:sz="0" w:space="0" w:color="auto"/>
            <w:bottom w:val="none" w:sz="0" w:space="0" w:color="auto"/>
            <w:right w:val="none" w:sz="0" w:space="0" w:color="auto"/>
          </w:divBdr>
          <w:divsChild>
            <w:div w:id="177501430">
              <w:marLeft w:val="0"/>
              <w:marRight w:val="0"/>
              <w:marTop w:val="0"/>
              <w:marBottom w:val="0"/>
              <w:divBdr>
                <w:top w:val="none" w:sz="0" w:space="0" w:color="auto"/>
                <w:left w:val="none" w:sz="0" w:space="0" w:color="auto"/>
                <w:bottom w:val="none" w:sz="0" w:space="0" w:color="auto"/>
                <w:right w:val="none" w:sz="0" w:space="0" w:color="auto"/>
              </w:divBdr>
            </w:div>
            <w:div w:id="698167716">
              <w:marLeft w:val="0"/>
              <w:marRight w:val="0"/>
              <w:marTop w:val="0"/>
              <w:marBottom w:val="0"/>
              <w:divBdr>
                <w:top w:val="none" w:sz="0" w:space="0" w:color="auto"/>
                <w:left w:val="none" w:sz="0" w:space="0" w:color="auto"/>
                <w:bottom w:val="none" w:sz="0" w:space="0" w:color="auto"/>
                <w:right w:val="none" w:sz="0" w:space="0" w:color="auto"/>
              </w:divBdr>
            </w:div>
          </w:divsChild>
        </w:div>
        <w:div w:id="999043480">
          <w:marLeft w:val="0"/>
          <w:marRight w:val="0"/>
          <w:marTop w:val="0"/>
          <w:marBottom w:val="0"/>
          <w:divBdr>
            <w:top w:val="none" w:sz="0" w:space="0" w:color="auto"/>
            <w:left w:val="none" w:sz="0" w:space="0" w:color="auto"/>
            <w:bottom w:val="none" w:sz="0" w:space="0" w:color="auto"/>
            <w:right w:val="none" w:sz="0" w:space="0" w:color="auto"/>
          </w:divBdr>
          <w:divsChild>
            <w:div w:id="298531162">
              <w:marLeft w:val="0"/>
              <w:marRight w:val="0"/>
              <w:marTop w:val="0"/>
              <w:marBottom w:val="0"/>
              <w:divBdr>
                <w:top w:val="none" w:sz="0" w:space="0" w:color="auto"/>
                <w:left w:val="none" w:sz="0" w:space="0" w:color="auto"/>
                <w:bottom w:val="none" w:sz="0" w:space="0" w:color="auto"/>
                <w:right w:val="none" w:sz="0" w:space="0" w:color="auto"/>
              </w:divBdr>
            </w:div>
          </w:divsChild>
        </w:div>
        <w:div w:id="1035498301">
          <w:marLeft w:val="0"/>
          <w:marRight w:val="0"/>
          <w:marTop w:val="0"/>
          <w:marBottom w:val="0"/>
          <w:divBdr>
            <w:top w:val="none" w:sz="0" w:space="0" w:color="auto"/>
            <w:left w:val="none" w:sz="0" w:space="0" w:color="auto"/>
            <w:bottom w:val="none" w:sz="0" w:space="0" w:color="auto"/>
            <w:right w:val="none" w:sz="0" w:space="0" w:color="auto"/>
          </w:divBdr>
          <w:divsChild>
            <w:div w:id="2139570266">
              <w:marLeft w:val="0"/>
              <w:marRight w:val="0"/>
              <w:marTop w:val="0"/>
              <w:marBottom w:val="0"/>
              <w:divBdr>
                <w:top w:val="none" w:sz="0" w:space="0" w:color="auto"/>
                <w:left w:val="none" w:sz="0" w:space="0" w:color="auto"/>
                <w:bottom w:val="none" w:sz="0" w:space="0" w:color="auto"/>
                <w:right w:val="none" w:sz="0" w:space="0" w:color="auto"/>
              </w:divBdr>
            </w:div>
          </w:divsChild>
        </w:div>
        <w:div w:id="1156796130">
          <w:marLeft w:val="0"/>
          <w:marRight w:val="0"/>
          <w:marTop w:val="0"/>
          <w:marBottom w:val="0"/>
          <w:divBdr>
            <w:top w:val="none" w:sz="0" w:space="0" w:color="auto"/>
            <w:left w:val="none" w:sz="0" w:space="0" w:color="auto"/>
            <w:bottom w:val="none" w:sz="0" w:space="0" w:color="auto"/>
            <w:right w:val="none" w:sz="0" w:space="0" w:color="auto"/>
          </w:divBdr>
          <w:divsChild>
            <w:div w:id="983580594">
              <w:marLeft w:val="0"/>
              <w:marRight w:val="0"/>
              <w:marTop w:val="0"/>
              <w:marBottom w:val="0"/>
              <w:divBdr>
                <w:top w:val="none" w:sz="0" w:space="0" w:color="auto"/>
                <w:left w:val="none" w:sz="0" w:space="0" w:color="auto"/>
                <w:bottom w:val="none" w:sz="0" w:space="0" w:color="auto"/>
                <w:right w:val="none" w:sz="0" w:space="0" w:color="auto"/>
              </w:divBdr>
            </w:div>
          </w:divsChild>
        </w:div>
        <w:div w:id="1421901528">
          <w:marLeft w:val="0"/>
          <w:marRight w:val="0"/>
          <w:marTop w:val="0"/>
          <w:marBottom w:val="0"/>
          <w:divBdr>
            <w:top w:val="none" w:sz="0" w:space="0" w:color="auto"/>
            <w:left w:val="none" w:sz="0" w:space="0" w:color="auto"/>
            <w:bottom w:val="none" w:sz="0" w:space="0" w:color="auto"/>
            <w:right w:val="none" w:sz="0" w:space="0" w:color="auto"/>
          </w:divBdr>
          <w:divsChild>
            <w:div w:id="511918826">
              <w:marLeft w:val="0"/>
              <w:marRight w:val="0"/>
              <w:marTop w:val="0"/>
              <w:marBottom w:val="0"/>
              <w:divBdr>
                <w:top w:val="none" w:sz="0" w:space="0" w:color="auto"/>
                <w:left w:val="none" w:sz="0" w:space="0" w:color="auto"/>
                <w:bottom w:val="none" w:sz="0" w:space="0" w:color="auto"/>
                <w:right w:val="none" w:sz="0" w:space="0" w:color="auto"/>
              </w:divBdr>
            </w:div>
            <w:div w:id="914586178">
              <w:marLeft w:val="0"/>
              <w:marRight w:val="0"/>
              <w:marTop w:val="0"/>
              <w:marBottom w:val="0"/>
              <w:divBdr>
                <w:top w:val="none" w:sz="0" w:space="0" w:color="auto"/>
                <w:left w:val="none" w:sz="0" w:space="0" w:color="auto"/>
                <w:bottom w:val="none" w:sz="0" w:space="0" w:color="auto"/>
                <w:right w:val="none" w:sz="0" w:space="0" w:color="auto"/>
              </w:divBdr>
            </w:div>
            <w:div w:id="1420906552">
              <w:marLeft w:val="0"/>
              <w:marRight w:val="0"/>
              <w:marTop w:val="0"/>
              <w:marBottom w:val="0"/>
              <w:divBdr>
                <w:top w:val="none" w:sz="0" w:space="0" w:color="auto"/>
                <w:left w:val="none" w:sz="0" w:space="0" w:color="auto"/>
                <w:bottom w:val="none" w:sz="0" w:space="0" w:color="auto"/>
                <w:right w:val="none" w:sz="0" w:space="0" w:color="auto"/>
              </w:divBdr>
            </w:div>
            <w:div w:id="1427537597">
              <w:marLeft w:val="0"/>
              <w:marRight w:val="0"/>
              <w:marTop w:val="0"/>
              <w:marBottom w:val="0"/>
              <w:divBdr>
                <w:top w:val="none" w:sz="0" w:space="0" w:color="auto"/>
                <w:left w:val="none" w:sz="0" w:space="0" w:color="auto"/>
                <w:bottom w:val="none" w:sz="0" w:space="0" w:color="auto"/>
                <w:right w:val="none" w:sz="0" w:space="0" w:color="auto"/>
              </w:divBdr>
            </w:div>
            <w:div w:id="1712072873">
              <w:marLeft w:val="0"/>
              <w:marRight w:val="0"/>
              <w:marTop w:val="0"/>
              <w:marBottom w:val="0"/>
              <w:divBdr>
                <w:top w:val="none" w:sz="0" w:space="0" w:color="auto"/>
                <w:left w:val="none" w:sz="0" w:space="0" w:color="auto"/>
                <w:bottom w:val="none" w:sz="0" w:space="0" w:color="auto"/>
                <w:right w:val="none" w:sz="0" w:space="0" w:color="auto"/>
              </w:divBdr>
            </w:div>
            <w:div w:id="1811170621">
              <w:marLeft w:val="0"/>
              <w:marRight w:val="0"/>
              <w:marTop w:val="0"/>
              <w:marBottom w:val="0"/>
              <w:divBdr>
                <w:top w:val="none" w:sz="0" w:space="0" w:color="auto"/>
                <w:left w:val="none" w:sz="0" w:space="0" w:color="auto"/>
                <w:bottom w:val="none" w:sz="0" w:space="0" w:color="auto"/>
                <w:right w:val="none" w:sz="0" w:space="0" w:color="auto"/>
              </w:divBdr>
            </w:div>
          </w:divsChild>
        </w:div>
        <w:div w:id="1432359360">
          <w:marLeft w:val="0"/>
          <w:marRight w:val="0"/>
          <w:marTop w:val="0"/>
          <w:marBottom w:val="0"/>
          <w:divBdr>
            <w:top w:val="none" w:sz="0" w:space="0" w:color="auto"/>
            <w:left w:val="none" w:sz="0" w:space="0" w:color="auto"/>
            <w:bottom w:val="none" w:sz="0" w:space="0" w:color="auto"/>
            <w:right w:val="none" w:sz="0" w:space="0" w:color="auto"/>
          </w:divBdr>
          <w:divsChild>
            <w:div w:id="153766475">
              <w:marLeft w:val="0"/>
              <w:marRight w:val="0"/>
              <w:marTop w:val="0"/>
              <w:marBottom w:val="0"/>
              <w:divBdr>
                <w:top w:val="none" w:sz="0" w:space="0" w:color="auto"/>
                <w:left w:val="none" w:sz="0" w:space="0" w:color="auto"/>
                <w:bottom w:val="none" w:sz="0" w:space="0" w:color="auto"/>
                <w:right w:val="none" w:sz="0" w:space="0" w:color="auto"/>
              </w:divBdr>
            </w:div>
            <w:div w:id="386800388">
              <w:marLeft w:val="0"/>
              <w:marRight w:val="0"/>
              <w:marTop w:val="0"/>
              <w:marBottom w:val="0"/>
              <w:divBdr>
                <w:top w:val="none" w:sz="0" w:space="0" w:color="auto"/>
                <w:left w:val="none" w:sz="0" w:space="0" w:color="auto"/>
                <w:bottom w:val="none" w:sz="0" w:space="0" w:color="auto"/>
                <w:right w:val="none" w:sz="0" w:space="0" w:color="auto"/>
              </w:divBdr>
            </w:div>
            <w:div w:id="537818454">
              <w:marLeft w:val="0"/>
              <w:marRight w:val="0"/>
              <w:marTop w:val="0"/>
              <w:marBottom w:val="0"/>
              <w:divBdr>
                <w:top w:val="none" w:sz="0" w:space="0" w:color="auto"/>
                <w:left w:val="none" w:sz="0" w:space="0" w:color="auto"/>
                <w:bottom w:val="none" w:sz="0" w:space="0" w:color="auto"/>
                <w:right w:val="none" w:sz="0" w:space="0" w:color="auto"/>
              </w:divBdr>
            </w:div>
            <w:div w:id="1024480698">
              <w:marLeft w:val="0"/>
              <w:marRight w:val="0"/>
              <w:marTop w:val="0"/>
              <w:marBottom w:val="0"/>
              <w:divBdr>
                <w:top w:val="none" w:sz="0" w:space="0" w:color="auto"/>
                <w:left w:val="none" w:sz="0" w:space="0" w:color="auto"/>
                <w:bottom w:val="none" w:sz="0" w:space="0" w:color="auto"/>
                <w:right w:val="none" w:sz="0" w:space="0" w:color="auto"/>
              </w:divBdr>
            </w:div>
            <w:div w:id="1253972949">
              <w:marLeft w:val="0"/>
              <w:marRight w:val="0"/>
              <w:marTop w:val="0"/>
              <w:marBottom w:val="0"/>
              <w:divBdr>
                <w:top w:val="none" w:sz="0" w:space="0" w:color="auto"/>
                <w:left w:val="none" w:sz="0" w:space="0" w:color="auto"/>
                <w:bottom w:val="none" w:sz="0" w:space="0" w:color="auto"/>
                <w:right w:val="none" w:sz="0" w:space="0" w:color="auto"/>
              </w:divBdr>
            </w:div>
            <w:div w:id="1330868161">
              <w:marLeft w:val="0"/>
              <w:marRight w:val="0"/>
              <w:marTop w:val="0"/>
              <w:marBottom w:val="0"/>
              <w:divBdr>
                <w:top w:val="none" w:sz="0" w:space="0" w:color="auto"/>
                <w:left w:val="none" w:sz="0" w:space="0" w:color="auto"/>
                <w:bottom w:val="none" w:sz="0" w:space="0" w:color="auto"/>
                <w:right w:val="none" w:sz="0" w:space="0" w:color="auto"/>
              </w:divBdr>
            </w:div>
            <w:div w:id="1412967436">
              <w:marLeft w:val="0"/>
              <w:marRight w:val="0"/>
              <w:marTop w:val="0"/>
              <w:marBottom w:val="0"/>
              <w:divBdr>
                <w:top w:val="none" w:sz="0" w:space="0" w:color="auto"/>
                <w:left w:val="none" w:sz="0" w:space="0" w:color="auto"/>
                <w:bottom w:val="none" w:sz="0" w:space="0" w:color="auto"/>
                <w:right w:val="none" w:sz="0" w:space="0" w:color="auto"/>
              </w:divBdr>
            </w:div>
            <w:div w:id="1586181084">
              <w:marLeft w:val="0"/>
              <w:marRight w:val="0"/>
              <w:marTop w:val="0"/>
              <w:marBottom w:val="0"/>
              <w:divBdr>
                <w:top w:val="none" w:sz="0" w:space="0" w:color="auto"/>
                <w:left w:val="none" w:sz="0" w:space="0" w:color="auto"/>
                <w:bottom w:val="none" w:sz="0" w:space="0" w:color="auto"/>
                <w:right w:val="none" w:sz="0" w:space="0" w:color="auto"/>
              </w:divBdr>
            </w:div>
            <w:div w:id="1865095792">
              <w:marLeft w:val="0"/>
              <w:marRight w:val="0"/>
              <w:marTop w:val="0"/>
              <w:marBottom w:val="0"/>
              <w:divBdr>
                <w:top w:val="none" w:sz="0" w:space="0" w:color="auto"/>
                <w:left w:val="none" w:sz="0" w:space="0" w:color="auto"/>
                <w:bottom w:val="none" w:sz="0" w:space="0" w:color="auto"/>
                <w:right w:val="none" w:sz="0" w:space="0" w:color="auto"/>
              </w:divBdr>
            </w:div>
            <w:div w:id="1868058281">
              <w:marLeft w:val="0"/>
              <w:marRight w:val="0"/>
              <w:marTop w:val="0"/>
              <w:marBottom w:val="0"/>
              <w:divBdr>
                <w:top w:val="none" w:sz="0" w:space="0" w:color="auto"/>
                <w:left w:val="none" w:sz="0" w:space="0" w:color="auto"/>
                <w:bottom w:val="none" w:sz="0" w:space="0" w:color="auto"/>
                <w:right w:val="none" w:sz="0" w:space="0" w:color="auto"/>
              </w:divBdr>
            </w:div>
          </w:divsChild>
        </w:div>
        <w:div w:id="1540629710">
          <w:marLeft w:val="0"/>
          <w:marRight w:val="0"/>
          <w:marTop w:val="0"/>
          <w:marBottom w:val="0"/>
          <w:divBdr>
            <w:top w:val="none" w:sz="0" w:space="0" w:color="auto"/>
            <w:left w:val="none" w:sz="0" w:space="0" w:color="auto"/>
            <w:bottom w:val="none" w:sz="0" w:space="0" w:color="auto"/>
            <w:right w:val="none" w:sz="0" w:space="0" w:color="auto"/>
          </w:divBdr>
          <w:divsChild>
            <w:div w:id="220143584">
              <w:marLeft w:val="0"/>
              <w:marRight w:val="0"/>
              <w:marTop w:val="0"/>
              <w:marBottom w:val="0"/>
              <w:divBdr>
                <w:top w:val="none" w:sz="0" w:space="0" w:color="auto"/>
                <w:left w:val="none" w:sz="0" w:space="0" w:color="auto"/>
                <w:bottom w:val="none" w:sz="0" w:space="0" w:color="auto"/>
                <w:right w:val="none" w:sz="0" w:space="0" w:color="auto"/>
              </w:divBdr>
            </w:div>
            <w:div w:id="355428159">
              <w:marLeft w:val="0"/>
              <w:marRight w:val="0"/>
              <w:marTop w:val="0"/>
              <w:marBottom w:val="0"/>
              <w:divBdr>
                <w:top w:val="none" w:sz="0" w:space="0" w:color="auto"/>
                <w:left w:val="none" w:sz="0" w:space="0" w:color="auto"/>
                <w:bottom w:val="none" w:sz="0" w:space="0" w:color="auto"/>
                <w:right w:val="none" w:sz="0" w:space="0" w:color="auto"/>
              </w:divBdr>
            </w:div>
            <w:div w:id="453914993">
              <w:marLeft w:val="0"/>
              <w:marRight w:val="0"/>
              <w:marTop w:val="0"/>
              <w:marBottom w:val="0"/>
              <w:divBdr>
                <w:top w:val="none" w:sz="0" w:space="0" w:color="auto"/>
                <w:left w:val="none" w:sz="0" w:space="0" w:color="auto"/>
                <w:bottom w:val="none" w:sz="0" w:space="0" w:color="auto"/>
                <w:right w:val="none" w:sz="0" w:space="0" w:color="auto"/>
              </w:divBdr>
            </w:div>
            <w:div w:id="637690020">
              <w:marLeft w:val="0"/>
              <w:marRight w:val="0"/>
              <w:marTop w:val="0"/>
              <w:marBottom w:val="0"/>
              <w:divBdr>
                <w:top w:val="none" w:sz="0" w:space="0" w:color="auto"/>
                <w:left w:val="none" w:sz="0" w:space="0" w:color="auto"/>
                <w:bottom w:val="none" w:sz="0" w:space="0" w:color="auto"/>
                <w:right w:val="none" w:sz="0" w:space="0" w:color="auto"/>
              </w:divBdr>
            </w:div>
            <w:div w:id="1349140815">
              <w:marLeft w:val="0"/>
              <w:marRight w:val="0"/>
              <w:marTop w:val="0"/>
              <w:marBottom w:val="0"/>
              <w:divBdr>
                <w:top w:val="none" w:sz="0" w:space="0" w:color="auto"/>
                <w:left w:val="none" w:sz="0" w:space="0" w:color="auto"/>
                <w:bottom w:val="none" w:sz="0" w:space="0" w:color="auto"/>
                <w:right w:val="none" w:sz="0" w:space="0" w:color="auto"/>
              </w:divBdr>
            </w:div>
            <w:div w:id="1495299679">
              <w:marLeft w:val="0"/>
              <w:marRight w:val="0"/>
              <w:marTop w:val="0"/>
              <w:marBottom w:val="0"/>
              <w:divBdr>
                <w:top w:val="none" w:sz="0" w:space="0" w:color="auto"/>
                <w:left w:val="none" w:sz="0" w:space="0" w:color="auto"/>
                <w:bottom w:val="none" w:sz="0" w:space="0" w:color="auto"/>
                <w:right w:val="none" w:sz="0" w:space="0" w:color="auto"/>
              </w:divBdr>
            </w:div>
            <w:div w:id="1630821104">
              <w:marLeft w:val="0"/>
              <w:marRight w:val="0"/>
              <w:marTop w:val="0"/>
              <w:marBottom w:val="0"/>
              <w:divBdr>
                <w:top w:val="none" w:sz="0" w:space="0" w:color="auto"/>
                <w:left w:val="none" w:sz="0" w:space="0" w:color="auto"/>
                <w:bottom w:val="none" w:sz="0" w:space="0" w:color="auto"/>
                <w:right w:val="none" w:sz="0" w:space="0" w:color="auto"/>
              </w:divBdr>
            </w:div>
          </w:divsChild>
        </w:div>
        <w:div w:id="1663923027">
          <w:marLeft w:val="0"/>
          <w:marRight w:val="0"/>
          <w:marTop w:val="0"/>
          <w:marBottom w:val="0"/>
          <w:divBdr>
            <w:top w:val="none" w:sz="0" w:space="0" w:color="auto"/>
            <w:left w:val="none" w:sz="0" w:space="0" w:color="auto"/>
            <w:bottom w:val="none" w:sz="0" w:space="0" w:color="auto"/>
            <w:right w:val="none" w:sz="0" w:space="0" w:color="auto"/>
          </w:divBdr>
          <w:divsChild>
            <w:div w:id="1306010307">
              <w:marLeft w:val="0"/>
              <w:marRight w:val="0"/>
              <w:marTop w:val="0"/>
              <w:marBottom w:val="0"/>
              <w:divBdr>
                <w:top w:val="none" w:sz="0" w:space="0" w:color="auto"/>
                <w:left w:val="none" w:sz="0" w:space="0" w:color="auto"/>
                <w:bottom w:val="none" w:sz="0" w:space="0" w:color="auto"/>
                <w:right w:val="none" w:sz="0" w:space="0" w:color="auto"/>
              </w:divBdr>
            </w:div>
          </w:divsChild>
        </w:div>
        <w:div w:id="1669744729">
          <w:marLeft w:val="0"/>
          <w:marRight w:val="0"/>
          <w:marTop w:val="0"/>
          <w:marBottom w:val="0"/>
          <w:divBdr>
            <w:top w:val="none" w:sz="0" w:space="0" w:color="auto"/>
            <w:left w:val="none" w:sz="0" w:space="0" w:color="auto"/>
            <w:bottom w:val="none" w:sz="0" w:space="0" w:color="auto"/>
            <w:right w:val="none" w:sz="0" w:space="0" w:color="auto"/>
          </w:divBdr>
          <w:divsChild>
            <w:div w:id="1546330804">
              <w:marLeft w:val="0"/>
              <w:marRight w:val="0"/>
              <w:marTop w:val="0"/>
              <w:marBottom w:val="0"/>
              <w:divBdr>
                <w:top w:val="none" w:sz="0" w:space="0" w:color="auto"/>
                <w:left w:val="none" w:sz="0" w:space="0" w:color="auto"/>
                <w:bottom w:val="none" w:sz="0" w:space="0" w:color="auto"/>
                <w:right w:val="none" w:sz="0" w:space="0" w:color="auto"/>
              </w:divBdr>
            </w:div>
          </w:divsChild>
        </w:div>
        <w:div w:id="1719276061">
          <w:marLeft w:val="0"/>
          <w:marRight w:val="0"/>
          <w:marTop w:val="0"/>
          <w:marBottom w:val="0"/>
          <w:divBdr>
            <w:top w:val="none" w:sz="0" w:space="0" w:color="auto"/>
            <w:left w:val="none" w:sz="0" w:space="0" w:color="auto"/>
            <w:bottom w:val="none" w:sz="0" w:space="0" w:color="auto"/>
            <w:right w:val="none" w:sz="0" w:space="0" w:color="auto"/>
          </w:divBdr>
          <w:divsChild>
            <w:div w:id="127208891">
              <w:marLeft w:val="0"/>
              <w:marRight w:val="0"/>
              <w:marTop w:val="0"/>
              <w:marBottom w:val="0"/>
              <w:divBdr>
                <w:top w:val="none" w:sz="0" w:space="0" w:color="auto"/>
                <w:left w:val="none" w:sz="0" w:space="0" w:color="auto"/>
                <w:bottom w:val="none" w:sz="0" w:space="0" w:color="auto"/>
                <w:right w:val="none" w:sz="0" w:space="0" w:color="auto"/>
              </w:divBdr>
            </w:div>
            <w:div w:id="280452655">
              <w:marLeft w:val="0"/>
              <w:marRight w:val="0"/>
              <w:marTop w:val="0"/>
              <w:marBottom w:val="0"/>
              <w:divBdr>
                <w:top w:val="none" w:sz="0" w:space="0" w:color="auto"/>
                <w:left w:val="none" w:sz="0" w:space="0" w:color="auto"/>
                <w:bottom w:val="none" w:sz="0" w:space="0" w:color="auto"/>
                <w:right w:val="none" w:sz="0" w:space="0" w:color="auto"/>
              </w:divBdr>
            </w:div>
            <w:div w:id="1296327941">
              <w:marLeft w:val="0"/>
              <w:marRight w:val="0"/>
              <w:marTop w:val="0"/>
              <w:marBottom w:val="0"/>
              <w:divBdr>
                <w:top w:val="none" w:sz="0" w:space="0" w:color="auto"/>
                <w:left w:val="none" w:sz="0" w:space="0" w:color="auto"/>
                <w:bottom w:val="none" w:sz="0" w:space="0" w:color="auto"/>
                <w:right w:val="none" w:sz="0" w:space="0" w:color="auto"/>
              </w:divBdr>
            </w:div>
            <w:div w:id="1541212720">
              <w:marLeft w:val="0"/>
              <w:marRight w:val="0"/>
              <w:marTop w:val="0"/>
              <w:marBottom w:val="0"/>
              <w:divBdr>
                <w:top w:val="none" w:sz="0" w:space="0" w:color="auto"/>
                <w:left w:val="none" w:sz="0" w:space="0" w:color="auto"/>
                <w:bottom w:val="none" w:sz="0" w:space="0" w:color="auto"/>
                <w:right w:val="none" w:sz="0" w:space="0" w:color="auto"/>
              </w:divBdr>
            </w:div>
            <w:div w:id="1584954523">
              <w:marLeft w:val="0"/>
              <w:marRight w:val="0"/>
              <w:marTop w:val="0"/>
              <w:marBottom w:val="0"/>
              <w:divBdr>
                <w:top w:val="none" w:sz="0" w:space="0" w:color="auto"/>
                <w:left w:val="none" w:sz="0" w:space="0" w:color="auto"/>
                <w:bottom w:val="none" w:sz="0" w:space="0" w:color="auto"/>
                <w:right w:val="none" w:sz="0" w:space="0" w:color="auto"/>
              </w:divBdr>
            </w:div>
          </w:divsChild>
        </w:div>
        <w:div w:id="1755007736">
          <w:marLeft w:val="0"/>
          <w:marRight w:val="0"/>
          <w:marTop w:val="0"/>
          <w:marBottom w:val="0"/>
          <w:divBdr>
            <w:top w:val="none" w:sz="0" w:space="0" w:color="auto"/>
            <w:left w:val="none" w:sz="0" w:space="0" w:color="auto"/>
            <w:bottom w:val="none" w:sz="0" w:space="0" w:color="auto"/>
            <w:right w:val="none" w:sz="0" w:space="0" w:color="auto"/>
          </w:divBdr>
          <w:divsChild>
            <w:div w:id="335693582">
              <w:marLeft w:val="0"/>
              <w:marRight w:val="0"/>
              <w:marTop w:val="0"/>
              <w:marBottom w:val="0"/>
              <w:divBdr>
                <w:top w:val="none" w:sz="0" w:space="0" w:color="auto"/>
                <w:left w:val="none" w:sz="0" w:space="0" w:color="auto"/>
                <w:bottom w:val="none" w:sz="0" w:space="0" w:color="auto"/>
                <w:right w:val="none" w:sz="0" w:space="0" w:color="auto"/>
              </w:divBdr>
            </w:div>
            <w:div w:id="1919173133">
              <w:marLeft w:val="0"/>
              <w:marRight w:val="0"/>
              <w:marTop w:val="0"/>
              <w:marBottom w:val="0"/>
              <w:divBdr>
                <w:top w:val="none" w:sz="0" w:space="0" w:color="auto"/>
                <w:left w:val="none" w:sz="0" w:space="0" w:color="auto"/>
                <w:bottom w:val="none" w:sz="0" w:space="0" w:color="auto"/>
                <w:right w:val="none" w:sz="0" w:space="0" w:color="auto"/>
              </w:divBdr>
            </w:div>
          </w:divsChild>
        </w:div>
        <w:div w:id="2059088155">
          <w:marLeft w:val="0"/>
          <w:marRight w:val="0"/>
          <w:marTop w:val="0"/>
          <w:marBottom w:val="0"/>
          <w:divBdr>
            <w:top w:val="none" w:sz="0" w:space="0" w:color="auto"/>
            <w:left w:val="none" w:sz="0" w:space="0" w:color="auto"/>
            <w:bottom w:val="none" w:sz="0" w:space="0" w:color="auto"/>
            <w:right w:val="none" w:sz="0" w:space="0" w:color="auto"/>
          </w:divBdr>
          <w:divsChild>
            <w:div w:id="43918026">
              <w:marLeft w:val="0"/>
              <w:marRight w:val="0"/>
              <w:marTop w:val="0"/>
              <w:marBottom w:val="0"/>
              <w:divBdr>
                <w:top w:val="none" w:sz="0" w:space="0" w:color="auto"/>
                <w:left w:val="none" w:sz="0" w:space="0" w:color="auto"/>
                <w:bottom w:val="none" w:sz="0" w:space="0" w:color="auto"/>
                <w:right w:val="none" w:sz="0" w:space="0" w:color="auto"/>
              </w:divBdr>
            </w:div>
            <w:div w:id="152261965">
              <w:marLeft w:val="0"/>
              <w:marRight w:val="0"/>
              <w:marTop w:val="0"/>
              <w:marBottom w:val="0"/>
              <w:divBdr>
                <w:top w:val="none" w:sz="0" w:space="0" w:color="auto"/>
                <w:left w:val="none" w:sz="0" w:space="0" w:color="auto"/>
                <w:bottom w:val="none" w:sz="0" w:space="0" w:color="auto"/>
                <w:right w:val="none" w:sz="0" w:space="0" w:color="auto"/>
              </w:divBdr>
            </w:div>
            <w:div w:id="421342802">
              <w:marLeft w:val="0"/>
              <w:marRight w:val="0"/>
              <w:marTop w:val="0"/>
              <w:marBottom w:val="0"/>
              <w:divBdr>
                <w:top w:val="none" w:sz="0" w:space="0" w:color="auto"/>
                <w:left w:val="none" w:sz="0" w:space="0" w:color="auto"/>
                <w:bottom w:val="none" w:sz="0" w:space="0" w:color="auto"/>
                <w:right w:val="none" w:sz="0" w:space="0" w:color="auto"/>
              </w:divBdr>
            </w:div>
            <w:div w:id="497040092">
              <w:marLeft w:val="0"/>
              <w:marRight w:val="0"/>
              <w:marTop w:val="0"/>
              <w:marBottom w:val="0"/>
              <w:divBdr>
                <w:top w:val="none" w:sz="0" w:space="0" w:color="auto"/>
                <w:left w:val="none" w:sz="0" w:space="0" w:color="auto"/>
                <w:bottom w:val="none" w:sz="0" w:space="0" w:color="auto"/>
                <w:right w:val="none" w:sz="0" w:space="0" w:color="auto"/>
              </w:divBdr>
            </w:div>
            <w:div w:id="674577946">
              <w:marLeft w:val="0"/>
              <w:marRight w:val="0"/>
              <w:marTop w:val="0"/>
              <w:marBottom w:val="0"/>
              <w:divBdr>
                <w:top w:val="none" w:sz="0" w:space="0" w:color="auto"/>
                <w:left w:val="none" w:sz="0" w:space="0" w:color="auto"/>
                <w:bottom w:val="none" w:sz="0" w:space="0" w:color="auto"/>
                <w:right w:val="none" w:sz="0" w:space="0" w:color="auto"/>
              </w:divBdr>
            </w:div>
            <w:div w:id="741097355">
              <w:marLeft w:val="0"/>
              <w:marRight w:val="0"/>
              <w:marTop w:val="0"/>
              <w:marBottom w:val="0"/>
              <w:divBdr>
                <w:top w:val="none" w:sz="0" w:space="0" w:color="auto"/>
                <w:left w:val="none" w:sz="0" w:space="0" w:color="auto"/>
                <w:bottom w:val="none" w:sz="0" w:space="0" w:color="auto"/>
                <w:right w:val="none" w:sz="0" w:space="0" w:color="auto"/>
              </w:divBdr>
            </w:div>
            <w:div w:id="964769958">
              <w:marLeft w:val="0"/>
              <w:marRight w:val="0"/>
              <w:marTop w:val="0"/>
              <w:marBottom w:val="0"/>
              <w:divBdr>
                <w:top w:val="none" w:sz="0" w:space="0" w:color="auto"/>
                <w:left w:val="none" w:sz="0" w:space="0" w:color="auto"/>
                <w:bottom w:val="none" w:sz="0" w:space="0" w:color="auto"/>
                <w:right w:val="none" w:sz="0" w:space="0" w:color="auto"/>
              </w:divBdr>
            </w:div>
            <w:div w:id="1463888802">
              <w:marLeft w:val="0"/>
              <w:marRight w:val="0"/>
              <w:marTop w:val="0"/>
              <w:marBottom w:val="0"/>
              <w:divBdr>
                <w:top w:val="none" w:sz="0" w:space="0" w:color="auto"/>
                <w:left w:val="none" w:sz="0" w:space="0" w:color="auto"/>
                <w:bottom w:val="none" w:sz="0" w:space="0" w:color="auto"/>
                <w:right w:val="none" w:sz="0" w:space="0" w:color="auto"/>
              </w:divBdr>
            </w:div>
            <w:div w:id="2046904605">
              <w:marLeft w:val="0"/>
              <w:marRight w:val="0"/>
              <w:marTop w:val="0"/>
              <w:marBottom w:val="0"/>
              <w:divBdr>
                <w:top w:val="none" w:sz="0" w:space="0" w:color="auto"/>
                <w:left w:val="none" w:sz="0" w:space="0" w:color="auto"/>
                <w:bottom w:val="none" w:sz="0" w:space="0" w:color="auto"/>
                <w:right w:val="none" w:sz="0" w:space="0" w:color="auto"/>
              </w:divBdr>
            </w:div>
            <w:div w:id="2115243403">
              <w:marLeft w:val="0"/>
              <w:marRight w:val="0"/>
              <w:marTop w:val="0"/>
              <w:marBottom w:val="0"/>
              <w:divBdr>
                <w:top w:val="none" w:sz="0" w:space="0" w:color="auto"/>
                <w:left w:val="none" w:sz="0" w:space="0" w:color="auto"/>
                <w:bottom w:val="none" w:sz="0" w:space="0" w:color="auto"/>
                <w:right w:val="none" w:sz="0" w:space="0" w:color="auto"/>
              </w:divBdr>
            </w:div>
          </w:divsChild>
        </w:div>
        <w:div w:id="2066097471">
          <w:marLeft w:val="0"/>
          <w:marRight w:val="0"/>
          <w:marTop w:val="0"/>
          <w:marBottom w:val="0"/>
          <w:divBdr>
            <w:top w:val="none" w:sz="0" w:space="0" w:color="auto"/>
            <w:left w:val="none" w:sz="0" w:space="0" w:color="auto"/>
            <w:bottom w:val="none" w:sz="0" w:space="0" w:color="auto"/>
            <w:right w:val="none" w:sz="0" w:space="0" w:color="auto"/>
          </w:divBdr>
          <w:divsChild>
            <w:div w:id="1251350348">
              <w:marLeft w:val="0"/>
              <w:marRight w:val="0"/>
              <w:marTop w:val="0"/>
              <w:marBottom w:val="0"/>
              <w:divBdr>
                <w:top w:val="none" w:sz="0" w:space="0" w:color="auto"/>
                <w:left w:val="none" w:sz="0" w:space="0" w:color="auto"/>
                <w:bottom w:val="none" w:sz="0" w:space="0" w:color="auto"/>
                <w:right w:val="none" w:sz="0" w:space="0" w:color="auto"/>
              </w:divBdr>
            </w:div>
            <w:div w:id="13098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65514">
      <w:bodyDiv w:val="1"/>
      <w:marLeft w:val="0"/>
      <w:marRight w:val="0"/>
      <w:marTop w:val="0"/>
      <w:marBottom w:val="0"/>
      <w:divBdr>
        <w:top w:val="none" w:sz="0" w:space="0" w:color="auto"/>
        <w:left w:val="none" w:sz="0" w:space="0" w:color="auto"/>
        <w:bottom w:val="none" w:sz="0" w:space="0" w:color="auto"/>
        <w:right w:val="none" w:sz="0" w:space="0" w:color="auto"/>
      </w:divBdr>
    </w:div>
    <w:div w:id="817190080">
      <w:bodyDiv w:val="1"/>
      <w:marLeft w:val="0"/>
      <w:marRight w:val="0"/>
      <w:marTop w:val="0"/>
      <w:marBottom w:val="0"/>
      <w:divBdr>
        <w:top w:val="none" w:sz="0" w:space="0" w:color="auto"/>
        <w:left w:val="none" w:sz="0" w:space="0" w:color="auto"/>
        <w:bottom w:val="none" w:sz="0" w:space="0" w:color="auto"/>
        <w:right w:val="none" w:sz="0" w:space="0" w:color="auto"/>
      </w:divBdr>
      <w:divsChild>
        <w:div w:id="131215952">
          <w:marLeft w:val="0"/>
          <w:marRight w:val="0"/>
          <w:marTop w:val="0"/>
          <w:marBottom w:val="0"/>
          <w:divBdr>
            <w:top w:val="none" w:sz="0" w:space="0" w:color="auto"/>
            <w:left w:val="none" w:sz="0" w:space="0" w:color="auto"/>
            <w:bottom w:val="none" w:sz="0" w:space="0" w:color="auto"/>
            <w:right w:val="none" w:sz="0" w:space="0" w:color="auto"/>
          </w:divBdr>
        </w:div>
        <w:div w:id="912467297">
          <w:marLeft w:val="0"/>
          <w:marRight w:val="0"/>
          <w:marTop w:val="0"/>
          <w:marBottom w:val="0"/>
          <w:divBdr>
            <w:top w:val="none" w:sz="0" w:space="0" w:color="auto"/>
            <w:left w:val="none" w:sz="0" w:space="0" w:color="auto"/>
            <w:bottom w:val="none" w:sz="0" w:space="0" w:color="auto"/>
            <w:right w:val="none" w:sz="0" w:space="0" w:color="auto"/>
          </w:divBdr>
        </w:div>
        <w:div w:id="913659050">
          <w:marLeft w:val="0"/>
          <w:marRight w:val="0"/>
          <w:marTop w:val="0"/>
          <w:marBottom w:val="0"/>
          <w:divBdr>
            <w:top w:val="none" w:sz="0" w:space="0" w:color="auto"/>
            <w:left w:val="none" w:sz="0" w:space="0" w:color="auto"/>
            <w:bottom w:val="none" w:sz="0" w:space="0" w:color="auto"/>
            <w:right w:val="none" w:sz="0" w:space="0" w:color="auto"/>
          </w:divBdr>
        </w:div>
        <w:div w:id="1555848365">
          <w:marLeft w:val="0"/>
          <w:marRight w:val="0"/>
          <w:marTop w:val="0"/>
          <w:marBottom w:val="0"/>
          <w:divBdr>
            <w:top w:val="none" w:sz="0" w:space="0" w:color="auto"/>
            <w:left w:val="none" w:sz="0" w:space="0" w:color="auto"/>
            <w:bottom w:val="none" w:sz="0" w:space="0" w:color="auto"/>
            <w:right w:val="none" w:sz="0" w:space="0" w:color="auto"/>
          </w:divBdr>
        </w:div>
        <w:div w:id="1826050877">
          <w:marLeft w:val="0"/>
          <w:marRight w:val="0"/>
          <w:marTop w:val="0"/>
          <w:marBottom w:val="0"/>
          <w:divBdr>
            <w:top w:val="none" w:sz="0" w:space="0" w:color="auto"/>
            <w:left w:val="none" w:sz="0" w:space="0" w:color="auto"/>
            <w:bottom w:val="none" w:sz="0" w:space="0" w:color="auto"/>
            <w:right w:val="none" w:sz="0" w:space="0" w:color="auto"/>
          </w:divBdr>
        </w:div>
        <w:div w:id="1987197447">
          <w:marLeft w:val="0"/>
          <w:marRight w:val="0"/>
          <w:marTop w:val="0"/>
          <w:marBottom w:val="0"/>
          <w:divBdr>
            <w:top w:val="none" w:sz="0" w:space="0" w:color="auto"/>
            <w:left w:val="none" w:sz="0" w:space="0" w:color="auto"/>
            <w:bottom w:val="none" w:sz="0" w:space="0" w:color="auto"/>
            <w:right w:val="none" w:sz="0" w:space="0" w:color="auto"/>
          </w:divBdr>
        </w:div>
      </w:divsChild>
    </w:div>
    <w:div w:id="856579772">
      <w:bodyDiv w:val="1"/>
      <w:marLeft w:val="0"/>
      <w:marRight w:val="0"/>
      <w:marTop w:val="0"/>
      <w:marBottom w:val="0"/>
      <w:divBdr>
        <w:top w:val="none" w:sz="0" w:space="0" w:color="auto"/>
        <w:left w:val="none" w:sz="0" w:space="0" w:color="auto"/>
        <w:bottom w:val="none" w:sz="0" w:space="0" w:color="auto"/>
        <w:right w:val="none" w:sz="0" w:space="0" w:color="auto"/>
      </w:divBdr>
    </w:div>
    <w:div w:id="886722685">
      <w:bodyDiv w:val="1"/>
      <w:marLeft w:val="0"/>
      <w:marRight w:val="0"/>
      <w:marTop w:val="0"/>
      <w:marBottom w:val="0"/>
      <w:divBdr>
        <w:top w:val="none" w:sz="0" w:space="0" w:color="auto"/>
        <w:left w:val="none" w:sz="0" w:space="0" w:color="auto"/>
        <w:bottom w:val="none" w:sz="0" w:space="0" w:color="auto"/>
        <w:right w:val="none" w:sz="0" w:space="0" w:color="auto"/>
      </w:divBdr>
    </w:div>
    <w:div w:id="913314857">
      <w:bodyDiv w:val="1"/>
      <w:marLeft w:val="0"/>
      <w:marRight w:val="0"/>
      <w:marTop w:val="0"/>
      <w:marBottom w:val="0"/>
      <w:divBdr>
        <w:top w:val="none" w:sz="0" w:space="0" w:color="auto"/>
        <w:left w:val="none" w:sz="0" w:space="0" w:color="auto"/>
        <w:bottom w:val="none" w:sz="0" w:space="0" w:color="auto"/>
        <w:right w:val="none" w:sz="0" w:space="0" w:color="auto"/>
      </w:divBdr>
    </w:div>
    <w:div w:id="924192901">
      <w:bodyDiv w:val="1"/>
      <w:marLeft w:val="0"/>
      <w:marRight w:val="0"/>
      <w:marTop w:val="0"/>
      <w:marBottom w:val="0"/>
      <w:divBdr>
        <w:top w:val="none" w:sz="0" w:space="0" w:color="auto"/>
        <w:left w:val="none" w:sz="0" w:space="0" w:color="auto"/>
        <w:bottom w:val="none" w:sz="0" w:space="0" w:color="auto"/>
        <w:right w:val="none" w:sz="0" w:space="0" w:color="auto"/>
      </w:divBdr>
    </w:div>
    <w:div w:id="956445792">
      <w:bodyDiv w:val="1"/>
      <w:marLeft w:val="0"/>
      <w:marRight w:val="0"/>
      <w:marTop w:val="0"/>
      <w:marBottom w:val="0"/>
      <w:divBdr>
        <w:top w:val="none" w:sz="0" w:space="0" w:color="auto"/>
        <w:left w:val="none" w:sz="0" w:space="0" w:color="auto"/>
        <w:bottom w:val="none" w:sz="0" w:space="0" w:color="auto"/>
        <w:right w:val="none" w:sz="0" w:space="0" w:color="auto"/>
      </w:divBdr>
    </w:div>
    <w:div w:id="1055666939">
      <w:bodyDiv w:val="1"/>
      <w:marLeft w:val="0"/>
      <w:marRight w:val="0"/>
      <w:marTop w:val="0"/>
      <w:marBottom w:val="0"/>
      <w:divBdr>
        <w:top w:val="none" w:sz="0" w:space="0" w:color="auto"/>
        <w:left w:val="none" w:sz="0" w:space="0" w:color="auto"/>
        <w:bottom w:val="none" w:sz="0" w:space="0" w:color="auto"/>
        <w:right w:val="none" w:sz="0" w:space="0" w:color="auto"/>
      </w:divBdr>
    </w:div>
    <w:div w:id="1084304413">
      <w:bodyDiv w:val="1"/>
      <w:marLeft w:val="0"/>
      <w:marRight w:val="0"/>
      <w:marTop w:val="0"/>
      <w:marBottom w:val="0"/>
      <w:divBdr>
        <w:top w:val="none" w:sz="0" w:space="0" w:color="auto"/>
        <w:left w:val="none" w:sz="0" w:space="0" w:color="auto"/>
        <w:bottom w:val="none" w:sz="0" w:space="0" w:color="auto"/>
        <w:right w:val="none" w:sz="0" w:space="0" w:color="auto"/>
      </w:divBdr>
      <w:divsChild>
        <w:div w:id="264966665">
          <w:marLeft w:val="0"/>
          <w:marRight w:val="0"/>
          <w:marTop w:val="0"/>
          <w:marBottom w:val="0"/>
          <w:divBdr>
            <w:top w:val="none" w:sz="0" w:space="0" w:color="auto"/>
            <w:left w:val="none" w:sz="0" w:space="0" w:color="auto"/>
            <w:bottom w:val="none" w:sz="0" w:space="0" w:color="auto"/>
            <w:right w:val="none" w:sz="0" w:space="0" w:color="auto"/>
          </w:divBdr>
        </w:div>
        <w:div w:id="604534574">
          <w:marLeft w:val="0"/>
          <w:marRight w:val="0"/>
          <w:marTop w:val="0"/>
          <w:marBottom w:val="0"/>
          <w:divBdr>
            <w:top w:val="none" w:sz="0" w:space="0" w:color="auto"/>
            <w:left w:val="none" w:sz="0" w:space="0" w:color="auto"/>
            <w:bottom w:val="none" w:sz="0" w:space="0" w:color="auto"/>
            <w:right w:val="none" w:sz="0" w:space="0" w:color="auto"/>
          </w:divBdr>
        </w:div>
        <w:div w:id="1052998345">
          <w:marLeft w:val="0"/>
          <w:marRight w:val="0"/>
          <w:marTop w:val="0"/>
          <w:marBottom w:val="0"/>
          <w:divBdr>
            <w:top w:val="none" w:sz="0" w:space="0" w:color="auto"/>
            <w:left w:val="none" w:sz="0" w:space="0" w:color="auto"/>
            <w:bottom w:val="none" w:sz="0" w:space="0" w:color="auto"/>
            <w:right w:val="none" w:sz="0" w:space="0" w:color="auto"/>
          </w:divBdr>
        </w:div>
        <w:div w:id="1792554008">
          <w:marLeft w:val="0"/>
          <w:marRight w:val="0"/>
          <w:marTop w:val="0"/>
          <w:marBottom w:val="0"/>
          <w:divBdr>
            <w:top w:val="none" w:sz="0" w:space="0" w:color="auto"/>
            <w:left w:val="none" w:sz="0" w:space="0" w:color="auto"/>
            <w:bottom w:val="none" w:sz="0" w:space="0" w:color="auto"/>
            <w:right w:val="none" w:sz="0" w:space="0" w:color="auto"/>
          </w:divBdr>
        </w:div>
        <w:div w:id="1961453430">
          <w:marLeft w:val="0"/>
          <w:marRight w:val="0"/>
          <w:marTop w:val="0"/>
          <w:marBottom w:val="0"/>
          <w:divBdr>
            <w:top w:val="none" w:sz="0" w:space="0" w:color="auto"/>
            <w:left w:val="none" w:sz="0" w:space="0" w:color="auto"/>
            <w:bottom w:val="none" w:sz="0" w:space="0" w:color="auto"/>
            <w:right w:val="none" w:sz="0" w:space="0" w:color="auto"/>
          </w:divBdr>
        </w:div>
      </w:divsChild>
    </w:div>
    <w:div w:id="1100298334">
      <w:bodyDiv w:val="1"/>
      <w:marLeft w:val="0"/>
      <w:marRight w:val="0"/>
      <w:marTop w:val="0"/>
      <w:marBottom w:val="0"/>
      <w:divBdr>
        <w:top w:val="none" w:sz="0" w:space="0" w:color="auto"/>
        <w:left w:val="none" w:sz="0" w:space="0" w:color="auto"/>
        <w:bottom w:val="none" w:sz="0" w:space="0" w:color="auto"/>
        <w:right w:val="none" w:sz="0" w:space="0" w:color="auto"/>
      </w:divBdr>
    </w:div>
    <w:div w:id="1112944504">
      <w:bodyDiv w:val="1"/>
      <w:marLeft w:val="0"/>
      <w:marRight w:val="0"/>
      <w:marTop w:val="0"/>
      <w:marBottom w:val="0"/>
      <w:divBdr>
        <w:top w:val="none" w:sz="0" w:space="0" w:color="auto"/>
        <w:left w:val="none" w:sz="0" w:space="0" w:color="auto"/>
        <w:bottom w:val="none" w:sz="0" w:space="0" w:color="auto"/>
        <w:right w:val="none" w:sz="0" w:space="0" w:color="auto"/>
      </w:divBdr>
    </w:div>
    <w:div w:id="1141459751">
      <w:bodyDiv w:val="1"/>
      <w:marLeft w:val="0"/>
      <w:marRight w:val="0"/>
      <w:marTop w:val="0"/>
      <w:marBottom w:val="0"/>
      <w:divBdr>
        <w:top w:val="none" w:sz="0" w:space="0" w:color="auto"/>
        <w:left w:val="none" w:sz="0" w:space="0" w:color="auto"/>
        <w:bottom w:val="none" w:sz="0" w:space="0" w:color="auto"/>
        <w:right w:val="none" w:sz="0" w:space="0" w:color="auto"/>
      </w:divBdr>
    </w:div>
    <w:div w:id="1144471423">
      <w:bodyDiv w:val="1"/>
      <w:marLeft w:val="0"/>
      <w:marRight w:val="0"/>
      <w:marTop w:val="0"/>
      <w:marBottom w:val="0"/>
      <w:divBdr>
        <w:top w:val="none" w:sz="0" w:space="0" w:color="auto"/>
        <w:left w:val="none" w:sz="0" w:space="0" w:color="auto"/>
        <w:bottom w:val="none" w:sz="0" w:space="0" w:color="auto"/>
        <w:right w:val="none" w:sz="0" w:space="0" w:color="auto"/>
      </w:divBdr>
    </w:div>
    <w:div w:id="1178613664">
      <w:bodyDiv w:val="1"/>
      <w:marLeft w:val="0"/>
      <w:marRight w:val="0"/>
      <w:marTop w:val="0"/>
      <w:marBottom w:val="0"/>
      <w:divBdr>
        <w:top w:val="none" w:sz="0" w:space="0" w:color="auto"/>
        <w:left w:val="none" w:sz="0" w:space="0" w:color="auto"/>
        <w:bottom w:val="none" w:sz="0" w:space="0" w:color="auto"/>
        <w:right w:val="none" w:sz="0" w:space="0" w:color="auto"/>
      </w:divBdr>
    </w:div>
    <w:div w:id="1203863070">
      <w:bodyDiv w:val="1"/>
      <w:marLeft w:val="0"/>
      <w:marRight w:val="0"/>
      <w:marTop w:val="0"/>
      <w:marBottom w:val="0"/>
      <w:divBdr>
        <w:top w:val="none" w:sz="0" w:space="0" w:color="auto"/>
        <w:left w:val="none" w:sz="0" w:space="0" w:color="auto"/>
        <w:bottom w:val="none" w:sz="0" w:space="0" w:color="auto"/>
        <w:right w:val="none" w:sz="0" w:space="0" w:color="auto"/>
      </w:divBdr>
    </w:div>
    <w:div w:id="1280141445">
      <w:bodyDiv w:val="1"/>
      <w:marLeft w:val="0"/>
      <w:marRight w:val="0"/>
      <w:marTop w:val="0"/>
      <w:marBottom w:val="0"/>
      <w:divBdr>
        <w:top w:val="none" w:sz="0" w:space="0" w:color="auto"/>
        <w:left w:val="none" w:sz="0" w:space="0" w:color="auto"/>
        <w:bottom w:val="none" w:sz="0" w:space="0" w:color="auto"/>
        <w:right w:val="none" w:sz="0" w:space="0" w:color="auto"/>
      </w:divBdr>
    </w:div>
    <w:div w:id="1293173247">
      <w:bodyDiv w:val="1"/>
      <w:marLeft w:val="0"/>
      <w:marRight w:val="0"/>
      <w:marTop w:val="0"/>
      <w:marBottom w:val="0"/>
      <w:divBdr>
        <w:top w:val="none" w:sz="0" w:space="0" w:color="auto"/>
        <w:left w:val="none" w:sz="0" w:space="0" w:color="auto"/>
        <w:bottom w:val="none" w:sz="0" w:space="0" w:color="auto"/>
        <w:right w:val="none" w:sz="0" w:space="0" w:color="auto"/>
      </w:divBdr>
    </w:div>
    <w:div w:id="1293945438">
      <w:bodyDiv w:val="1"/>
      <w:marLeft w:val="0"/>
      <w:marRight w:val="0"/>
      <w:marTop w:val="0"/>
      <w:marBottom w:val="0"/>
      <w:divBdr>
        <w:top w:val="none" w:sz="0" w:space="0" w:color="auto"/>
        <w:left w:val="none" w:sz="0" w:space="0" w:color="auto"/>
        <w:bottom w:val="none" w:sz="0" w:space="0" w:color="auto"/>
        <w:right w:val="none" w:sz="0" w:space="0" w:color="auto"/>
      </w:divBdr>
      <w:divsChild>
        <w:div w:id="601373635">
          <w:marLeft w:val="0"/>
          <w:marRight w:val="0"/>
          <w:marTop w:val="0"/>
          <w:marBottom w:val="0"/>
          <w:divBdr>
            <w:top w:val="none" w:sz="0" w:space="0" w:color="auto"/>
            <w:left w:val="none" w:sz="0" w:space="0" w:color="auto"/>
            <w:bottom w:val="none" w:sz="0" w:space="0" w:color="auto"/>
            <w:right w:val="none" w:sz="0" w:space="0" w:color="auto"/>
          </w:divBdr>
        </w:div>
        <w:div w:id="2009287199">
          <w:marLeft w:val="0"/>
          <w:marRight w:val="0"/>
          <w:marTop w:val="0"/>
          <w:marBottom w:val="0"/>
          <w:divBdr>
            <w:top w:val="none" w:sz="0" w:space="0" w:color="auto"/>
            <w:left w:val="none" w:sz="0" w:space="0" w:color="auto"/>
            <w:bottom w:val="none" w:sz="0" w:space="0" w:color="auto"/>
            <w:right w:val="none" w:sz="0" w:space="0" w:color="auto"/>
          </w:divBdr>
        </w:div>
      </w:divsChild>
    </w:div>
    <w:div w:id="1332683991">
      <w:bodyDiv w:val="1"/>
      <w:marLeft w:val="0"/>
      <w:marRight w:val="0"/>
      <w:marTop w:val="0"/>
      <w:marBottom w:val="0"/>
      <w:divBdr>
        <w:top w:val="none" w:sz="0" w:space="0" w:color="auto"/>
        <w:left w:val="none" w:sz="0" w:space="0" w:color="auto"/>
        <w:bottom w:val="none" w:sz="0" w:space="0" w:color="auto"/>
        <w:right w:val="none" w:sz="0" w:space="0" w:color="auto"/>
      </w:divBdr>
    </w:div>
    <w:div w:id="1345860988">
      <w:bodyDiv w:val="1"/>
      <w:marLeft w:val="0"/>
      <w:marRight w:val="0"/>
      <w:marTop w:val="0"/>
      <w:marBottom w:val="0"/>
      <w:divBdr>
        <w:top w:val="none" w:sz="0" w:space="0" w:color="auto"/>
        <w:left w:val="none" w:sz="0" w:space="0" w:color="auto"/>
        <w:bottom w:val="none" w:sz="0" w:space="0" w:color="auto"/>
        <w:right w:val="none" w:sz="0" w:space="0" w:color="auto"/>
      </w:divBdr>
    </w:div>
    <w:div w:id="1383405502">
      <w:bodyDiv w:val="1"/>
      <w:marLeft w:val="0"/>
      <w:marRight w:val="0"/>
      <w:marTop w:val="0"/>
      <w:marBottom w:val="0"/>
      <w:divBdr>
        <w:top w:val="none" w:sz="0" w:space="0" w:color="auto"/>
        <w:left w:val="none" w:sz="0" w:space="0" w:color="auto"/>
        <w:bottom w:val="none" w:sz="0" w:space="0" w:color="auto"/>
        <w:right w:val="none" w:sz="0" w:space="0" w:color="auto"/>
      </w:divBdr>
    </w:div>
    <w:div w:id="1441339122">
      <w:bodyDiv w:val="1"/>
      <w:marLeft w:val="0"/>
      <w:marRight w:val="0"/>
      <w:marTop w:val="0"/>
      <w:marBottom w:val="0"/>
      <w:divBdr>
        <w:top w:val="none" w:sz="0" w:space="0" w:color="auto"/>
        <w:left w:val="none" w:sz="0" w:space="0" w:color="auto"/>
        <w:bottom w:val="none" w:sz="0" w:space="0" w:color="auto"/>
        <w:right w:val="none" w:sz="0" w:space="0" w:color="auto"/>
      </w:divBdr>
    </w:div>
    <w:div w:id="1479228529">
      <w:bodyDiv w:val="1"/>
      <w:marLeft w:val="0"/>
      <w:marRight w:val="0"/>
      <w:marTop w:val="0"/>
      <w:marBottom w:val="0"/>
      <w:divBdr>
        <w:top w:val="none" w:sz="0" w:space="0" w:color="auto"/>
        <w:left w:val="none" w:sz="0" w:space="0" w:color="auto"/>
        <w:bottom w:val="none" w:sz="0" w:space="0" w:color="auto"/>
        <w:right w:val="none" w:sz="0" w:space="0" w:color="auto"/>
      </w:divBdr>
    </w:div>
    <w:div w:id="1502888900">
      <w:bodyDiv w:val="1"/>
      <w:marLeft w:val="0"/>
      <w:marRight w:val="0"/>
      <w:marTop w:val="0"/>
      <w:marBottom w:val="0"/>
      <w:divBdr>
        <w:top w:val="none" w:sz="0" w:space="0" w:color="auto"/>
        <w:left w:val="none" w:sz="0" w:space="0" w:color="auto"/>
        <w:bottom w:val="none" w:sz="0" w:space="0" w:color="auto"/>
        <w:right w:val="none" w:sz="0" w:space="0" w:color="auto"/>
      </w:divBdr>
    </w:div>
    <w:div w:id="1531913200">
      <w:bodyDiv w:val="1"/>
      <w:marLeft w:val="0"/>
      <w:marRight w:val="0"/>
      <w:marTop w:val="0"/>
      <w:marBottom w:val="0"/>
      <w:divBdr>
        <w:top w:val="none" w:sz="0" w:space="0" w:color="auto"/>
        <w:left w:val="none" w:sz="0" w:space="0" w:color="auto"/>
        <w:bottom w:val="none" w:sz="0" w:space="0" w:color="auto"/>
        <w:right w:val="none" w:sz="0" w:space="0" w:color="auto"/>
      </w:divBdr>
    </w:div>
    <w:div w:id="1554390865">
      <w:bodyDiv w:val="1"/>
      <w:marLeft w:val="0"/>
      <w:marRight w:val="0"/>
      <w:marTop w:val="0"/>
      <w:marBottom w:val="0"/>
      <w:divBdr>
        <w:top w:val="none" w:sz="0" w:space="0" w:color="auto"/>
        <w:left w:val="none" w:sz="0" w:space="0" w:color="auto"/>
        <w:bottom w:val="none" w:sz="0" w:space="0" w:color="auto"/>
        <w:right w:val="none" w:sz="0" w:space="0" w:color="auto"/>
      </w:divBdr>
    </w:div>
    <w:div w:id="1586527166">
      <w:bodyDiv w:val="1"/>
      <w:marLeft w:val="0"/>
      <w:marRight w:val="0"/>
      <w:marTop w:val="0"/>
      <w:marBottom w:val="0"/>
      <w:divBdr>
        <w:top w:val="none" w:sz="0" w:space="0" w:color="auto"/>
        <w:left w:val="none" w:sz="0" w:space="0" w:color="auto"/>
        <w:bottom w:val="none" w:sz="0" w:space="0" w:color="auto"/>
        <w:right w:val="none" w:sz="0" w:space="0" w:color="auto"/>
      </w:divBdr>
    </w:div>
    <w:div w:id="1588537366">
      <w:bodyDiv w:val="1"/>
      <w:marLeft w:val="0"/>
      <w:marRight w:val="0"/>
      <w:marTop w:val="0"/>
      <w:marBottom w:val="0"/>
      <w:divBdr>
        <w:top w:val="none" w:sz="0" w:space="0" w:color="auto"/>
        <w:left w:val="none" w:sz="0" w:space="0" w:color="auto"/>
        <w:bottom w:val="none" w:sz="0" w:space="0" w:color="auto"/>
        <w:right w:val="none" w:sz="0" w:space="0" w:color="auto"/>
      </w:divBdr>
    </w:div>
    <w:div w:id="1590114074">
      <w:bodyDiv w:val="1"/>
      <w:marLeft w:val="0"/>
      <w:marRight w:val="0"/>
      <w:marTop w:val="0"/>
      <w:marBottom w:val="0"/>
      <w:divBdr>
        <w:top w:val="none" w:sz="0" w:space="0" w:color="auto"/>
        <w:left w:val="none" w:sz="0" w:space="0" w:color="auto"/>
        <w:bottom w:val="none" w:sz="0" w:space="0" w:color="auto"/>
        <w:right w:val="none" w:sz="0" w:space="0" w:color="auto"/>
      </w:divBdr>
      <w:divsChild>
        <w:div w:id="1533107066">
          <w:marLeft w:val="0"/>
          <w:marRight w:val="0"/>
          <w:marTop w:val="0"/>
          <w:marBottom w:val="0"/>
          <w:divBdr>
            <w:top w:val="none" w:sz="0" w:space="0" w:color="auto"/>
            <w:left w:val="none" w:sz="0" w:space="0" w:color="auto"/>
            <w:bottom w:val="none" w:sz="0" w:space="0" w:color="auto"/>
            <w:right w:val="none" w:sz="0" w:space="0" w:color="auto"/>
          </w:divBdr>
        </w:div>
        <w:div w:id="2022244654">
          <w:marLeft w:val="0"/>
          <w:marRight w:val="0"/>
          <w:marTop w:val="0"/>
          <w:marBottom w:val="0"/>
          <w:divBdr>
            <w:top w:val="none" w:sz="0" w:space="0" w:color="auto"/>
            <w:left w:val="none" w:sz="0" w:space="0" w:color="auto"/>
            <w:bottom w:val="none" w:sz="0" w:space="0" w:color="auto"/>
            <w:right w:val="none" w:sz="0" w:space="0" w:color="auto"/>
          </w:divBdr>
        </w:div>
        <w:div w:id="2116436322">
          <w:marLeft w:val="0"/>
          <w:marRight w:val="0"/>
          <w:marTop w:val="0"/>
          <w:marBottom w:val="0"/>
          <w:divBdr>
            <w:top w:val="none" w:sz="0" w:space="0" w:color="auto"/>
            <w:left w:val="none" w:sz="0" w:space="0" w:color="auto"/>
            <w:bottom w:val="none" w:sz="0" w:space="0" w:color="auto"/>
            <w:right w:val="none" w:sz="0" w:space="0" w:color="auto"/>
          </w:divBdr>
        </w:div>
      </w:divsChild>
    </w:div>
    <w:div w:id="1620185429">
      <w:bodyDiv w:val="1"/>
      <w:marLeft w:val="0"/>
      <w:marRight w:val="0"/>
      <w:marTop w:val="0"/>
      <w:marBottom w:val="0"/>
      <w:divBdr>
        <w:top w:val="none" w:sz="0" w:space="0" w:color="auto"/>
        <w:left w:val="none" w:sz="0" w:space="0" w:color="auto"/>
        <w:bottom w:val="none" w:sz="0" w:space="0" w:color="auto"/>
        <w:right w:val="none" w:sz="0" w:space="0" w:color="auto"/>
      </w:divBdr>
    </w:div>
    <w:div w:id="1754543423">
      <w:bodyDiv w:val="1"/>
      <w:marLeft w:val="0"/>
      <w:marRight w:val="0"/>
      <w:marTop w:val="0"/>
      <w:marBottom w:val="0"/>
      <w:divBdr>
        <w:top w:val="none" w:sz="0" w:space="0" w:color="auto"/>
        <w:left w:val="none" w:sz="0" w:space="0" w:color="auto"/>
        <w:bottom w:val="none" w:sz="0" w:space="0" w:color="auto"/>
        <w:right w:val="none" w:sz="0" w:space="0" w:color="auto"/>
      </w:divBdr>
    </w:div>
    <w:div w:id="1758673095">
      <w:bodyDiv w:val="1"/>
      <w:marLeft w:val="0"/>
      <w:marRight w:val="0"/>
      <w:marTop w:val="0"/>
      <w:marBottom w:val="0"/>
      <w:divBdr>
        <w:top w:val="none" w:sz="0" w:space="0" w:color="auto"/>
        <w:left w:val="none" w:sz="0" w:space="0" w:color="auto"/>
        <w:bottom w:val="none" w:sz="0" w:space="0" w:color="auto"/>
        <w:right w:val="none" w:sz="0" w:space="0" w:color="auto"/>
      </w:divBdr>
    </w:div>
    <w:div w:id="1852142169">
      <w:bodyDiv w:val="1"/>
      <w:marLeft w:val="0"/>
      <w:marRight w:val="0"/>
      <w:marTop w:val="0"/>
      <w:marBottom w:val="0"/>
      <w:divBdr>
        <w:top w:val="none" w:sz="0" w:space="0" w:color="auto"/>
        <w:left w:val="none" w:sz="0" w:space="0" w:color="auto"/>
        <w:bottom w:val="none" w:sz="0" w:space="0" w:color="auto"/>
        <w:right w:val="none" w:sz="0" w:space="0" w:color="auto"/>
      </w:divBdr>
    </w:div>
    <w:div w:id="1854220375">
      <w:bodyDiv w:val="1"/>
      <w:marLeft w:val="0"/>
      <w:marRight w:val="0"/>
      <w:marTop w:val="0"/>
      <w:marBottom w:val="0"/>
      <w:divBdr>
        <w:top w:val="none" w:sz="0" w:space="0" w:color="auto"/>
        <w:left w:val="none" w:sz="0" w:space="0" w:color="auto"/>
        <w:bottom w:val="none" w:sz="0" w:space="0" w:color="auto"/>
        <w:right w:val="none" w:sz="0" w:space="0" w:color="auto"/>
      </w:divBdr>
    </w:div>
    <w:div w:id="1870530000">
      <w:bodyDiv w:val="1"/>
      <w:marLeft w:val="0"/>
      <w:marRight w:val="0"/>
      <w:marTop w:val="0"/>
      <w:marBottom w:val="0"/>
      <w:divBdr>
        <w:top w:val="none" w:sz="0" w:space="0" w:color="auto"/>
        <w:left w:val="none" w:sz="0" w:space="0" w:color="auto"/>
        <w:bottom w:val="none" w:sz="0" w:space="0" w:color="auto"/>
        <w:right w:val="none" w:sz="0" w:space="0" w:color="auto"/>
      </w:divBdr>
    </w:div>
    <w:div w:id="1879706246">
      <w:bodyDiv w:val="1"/>
      <w:marLeft w:val="0"/>
      <w:marRight w:val="0"/>
      <w:marTop w:val="0"/>
      <w:marBottom w:val="0"/>
      <w:divBdr>
        <w:top w:val="none" w:sz="0" w:space="0" w:color="auto"/>
        <w:left w:val="none" w:sz="0" w:space="0" w:color="auto"/>
        <w:bottom w:val="none" w:sz="0" w:space="0" w:color="auto"/>
        <w:right w:val="none" w:sz="0" w:space="0" w:color="auto"/>
      </w:divBdr>
    </w:div>
    <w:div w:id="1901554931">
      <w:bodyDiv w:val="1"/>
      <w:marLeft w:val="0"/>
      <w:marRight w:val="0"/>
      <w:marTop w:val="0"/>
      <w:marBottom w:val="0"/>
      <w:divBdr>
        <w:top w:val="none" w:sz="0" w:space="0" w:color="auto"/>
        <w:left w:val="none" w:sz="0" w:space="0" w:color="auto"/>
        <w:bottom w:val="none" w:sz="0" w:space="0" w:color="auto"/>
        <w:right w:val="none" w:sz="0" w:space="0" w:color="auto"/>
      </w:divBdr>
    </w:div>
    <w:div w:id="1917200345">
      <w:bodyDiv w:val="1"/>
      <w:marLeft w:val="0"/>
      <w:marRight w:val="0"/>
      <w:marTop w:val="0"/>
      <w:marBottom w:val="0"/>
      <w:divBdr>
        <w:top w:val="none" w:sz="0" w:space="0" w:color="auto"/>
        <w:left w:val="none" w:sz="0" w:space="0" w:color="auto"/>
        <w:bottom w:val="none" w:sz="0" w:space="0" w:color="auto"/>
        <w:right w:val="none" w:sz="0" w:space="0" w:color="auto"/>
      </w:divBdr>
      <w:divsChild>
        <w:div w:id="1109812401">
          <w:marLeft w:val="0"/>
          <w:marRight w:val="0"/>
          <w:marTop w:val="0"/>
          <w:marBottom w:val="0"/>
          <w:divBdr>
            <w:top w:val="none" w:sz="0" w:space="0" w:color="auto"/>
            <w:left w:val="none" w:sz="0" w:space="0" w:color="auto"/>
            <w:bottom w:val="none" w:sz="0" w:space="0" w:color="auto"/>
            <w:right w:val="none" w:sz="0" w:space="0" w:color="auto"/>
          </w:divBdr>
        </w:div>
        <w:div w:id="2041975564">
          <w:marLeft w:val="0"/>
          <w:marRight w:val="0"/>
          <w:marTop w:val="0"/>
          <w:marBottom w:val="0"/>
          <w:divBdr>
            <w:top w:val="none" w:sz="0" w:space="0" w:color="auto"/>
            <w:left w:val="none" w:sz="0" w:space="0" w:color="auto"/>
            <w:bottom w:val="none" w:sz="0" w:space="0" w:color="auto"/>
            <w:right w:val="none" w:sz="0" w:space="0" w:color="auto"/>
          </w:divBdr>
        </w:div>
      </w:divsChild>
    </w:div>
    <w:div w:id="1998653689">
      <w:bodyDiv w:val="1"/>
      <w:marLeft w:val="0"/>
      <w:marRight w:val="0"/>
      <w:marTop w:val="0"/>
      <w:marBottom w:val="0"/>
      <w:divBdr>
        <w:top w:val="none" w:sz="0" w:space="0" w:color="auto"/>
        <w:left w:val="none" w:sz="0" w:space="0" w:color="auto"/>
        <w:bottom w:val="none" w:sz="0" w:space="0" w:color="auto"/>
        <w:right w:val="none" w:sz="0" w:space="0" w:color="auto"/>
      </w:divBdr>
    </w:div>
    <w:div w:id="2073429220">
      <w:bodyDiv w:val="1"/>
      <w:marLeft w:val="0"/>
      <w:marRight w:val="0"/>
      <w:marTop w:val="0"/>
      <w:marBottom w:val="0"/>
      <w:divBdr>
        <w:top w:val="none" w:sz="0" w:space="0" w:color="auto"/>
        <w:left w:val="none" w:sz="0" w:space="0" w:color="auto"/>
        <w:bottom w:val="none" w:sz="0" w:space="0" w:color="auto"/>
        <w:right w:val="none" w:sz="0" w:space="0" w:color="auto"/>
      </w:divBdr>
      <w:divsChild>
        <w:div w:id="1978685548">
          <w:marLeft w:val="0"/>
          <w:marRight w:val="0"/>
          <w:marTop w:val="0"/>
          <w:marBottom w:val="0"/>
          <w:divBdr>
            <w:top w:val="none" w:sz="0" w:space="0" w:color="auto"/>
            <w:left w:val="none" w:sz="0" w:space="0" w:color="auto"/>
            <w:bottom w:val="none" w:sz="0" w:space="0" w:color="auto"/>
            <w:right w:val="none" w:sz="0" w:space="0" w:color="auto"/>
          </w:divBdr>
          <w:divsChild>
            <w:div w:id="101196088">
              <w:marLeft w:val="0"/>
              <w:marRight w:val="0"/>
              <w:marTop w:val="0"/>
              <w:marBottom w:val="0"/>
              <w:divBdr>
                <w:top w:val="none" w:sz="0" w:space="0" w:color="auto"/>
                <w:left w:val="none" w:sz="0" w:space="0" w:color="auto"/>
                <w:bottom w:val="none" w:sz="0" w:space="0" w:color="auto"/>
                <w:right w:val="none" w:sz="0" w:space="0" w:color="auto"/>
              </w:divBdr>
            </w:div>
          </w:divsChild>
        </w:div>
        <w:div w:id="2135564527">
          <w:marLeft w:val="0"/>
          <w:marRight w:val="0"/>
          <w:marTop w:val="0"/>
          <w:marBottom w:val="0"/>
          <w:divBdr>
            <w:top w:val="none" w:sz="0" w:space="0" w:color="auto"/>
            <w:left w:val="none" w:sz="0" w:space="0" w:color="auto"/>
            <w:bottom w:val="none" w:sz="0" w:space="0" w:color="auto"/>
            <w:right w:val="none" w:sz="0" w:space="0" w:color="auto"/>
          </w:divBdr>
          <w:divsChild>
            <w:div w:id="18251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7420">
      <w:bodyDiv w:val="1"/>
      <w:marLeft w:val="0"/>
      <w:marRight w:val="0"/>
      <w:marTop w:val="0"/>
      <w:marBottom w:val="0"/>
      <w:divBdr>
        <w:top w:val="none" w:sz="0" w:space="0" w:color="auto"/>
        <w:left w:val="none" w:sz="0" w:space="0" w:color="auto"/>
        <w:bottom w:val="none" w:sz="0" w:space="0" w:color="auto"/>
        <w:right w:val="none" w:sz="0" w:space="0" w:color="auto"/>
      </w:divBdr>
    </w:div>
    <w:div w:id="2090880725">
      <w:bodyDiv w:val="1"/>
      <w:marLeft w:val="0"/>
      <w:marRight w:val="0"/>
      <w:marTop w:val="0"/>
      <w:marBottom w:val="0"/>
      <w:divBdr>
        <w:top w:val="none" w:sz="0" w:space="0" w:color="auto"/>
        <w:left w:val="none" w:sz="0" w:space="0" w:color="auto"/>
        <w:bottom w:val="none" w:sz="0" w:space="0" w:color="auto"/>
        <w:right w:val="none" w:sz="0" w:space="0" w:color="auto"/>
      </w:divBdr>
      <w:divsChild>
        <w:div w:id="848300142">
          <w:marLeft w:val="0"/>
          <w:marRight w:val="0"/>
          <w:marTop w:val="0"/>
          <w:marBottom w:val="0"/>
          <w:divBdr>
            <w:top w:val="none" w:sz="0" w:space="0" w:color="auto"/>
            <w:left w:val="none" w:sz="0" w:space="0" w:color="auto"/>
            <w:bottom w:val="none" w:sz="0" w:space="0" w:color="auto"/>
            <w:right w:val="none" w:sz="0" w:space="0" w:color="auto"/>
          </w:divBdr>
          <w:divsChild>
            <w:div w:id="1351908996">
              <w:marLeft w:val="0"/>
              <w:marRight w:val="0"/>
              <w:marTop w:val="0"/>
              <w:marBottom w:val="0"/>
              <w:divBdr>
                <w:top w:val="none" w:sz="0" w:space="0" w:color="auto"/>
                <w:left w:val="none" w:sz="0" w:space="0" w:color="auto"/>
                <w:bottom w:val="none" w:sz="0" w:space="0" w:color="auto"/>
                <w:right w:val="none" w:sz="0" w:space="0" w:color="auto"/>
              </w:divBdr>
            </w:div>
          </w:divsChild>
        </w:div>
        <w:div w:id="1364205171">
          <w:marLeft w:val="0"/>
          <w:marRight w:val="0"/>
          <w:marTop w:val="0"/>
          <w:marBottom w:val="0"/>
          <w:divBdr>
            <w:top w:val="none" w:sz="0" w:space="0" w:color="auto"/>
            <w:left w:val="none" w:sz="0" w:space="0" w:color="auto"/>
            <w:bottom w:val="none" w:sz="0" w:space="0" w:color="auto"/>
            <w:right w:val="none" w:sz="0" w:space="0" w:color="auto"/>
          </w:divBdr>
          <w:divsChild>
            <w:div w:id="1867907371">
              <w:marLeft w:val="0"/>
              <w:marRight w:val="0"/>
              <w:marTop w:val="0"/>
              <w:marBottom w:val="0"/>
              <w:divBdr>
                <w:top w:val="none" w:sz="0" w:space="0" w:color="auto"/>
                <w:left w:val="none" w:sz="0" w:space="0" w:color="auto"/>
                <w:bottom w:val="none" w:sz="0" w:space="0" w:color="auto"/>
                <w:right w:val="none" w:sz="0" w:space="0" w:color="auto"/>
              </w:divBdr>
            </w:div>
          </w:divsChild>
        </w:div>
        <w:div w:id="1520729917">
          <w:marLeft w:val="0"/>
          <w:marRight w:val="0"/>
          <w:marTop w:val="0"/>
          <w:marBottom w:val="0"/>
          <w:divBdr>
            <w:top w:val="none" w:sz="0" w:space="0" w:color="auto"/>
            <w:left w:val="none" w:sz="0" w:space="0" w:color="auto"/>
            <w:bottom w:val="none" w:sz="0" w:space="0" w:color="auto"/>
            <w:right w:val="none" w:sz="0" w:space="0" w:color="auto"/>
          </w:divBdr>
          <w:divsChild>
            <w:div w:id="1960338091">
              <w:marLeft w:val="0"/>
              <w:marRight w:val="0"/>
              <w:marTop w:val="0"/>
              <w:marBottom w:val="0"/>
              <w:divBdr>
                <w:top w:val="none" w:sz="0" w:space="0" w:color="auto"/>
                <w:left w:val="none" w:sz="0" w:space="0" w:color="auto"/>
                <w:bottom w:val="none" w:sz="0" w:space="0" w:color="auto"/>
                <w:right w:val="none" w:sz="0" w:space="0" w:color="auto"/>
              </w:divBdr>
            </w:div>
          </w:divsChild>
        </w:div>
        <w:div w:id="1972394271">
          <w:marLeft w:val="0"/>
          <w:marRight w:val="0"/>
          <w:marTop w:val="0"/>
          <w:marBottom w:val="0"/>
          <w:divBdr>
            <w:top w:val="none" w:sz="0" w:space="0" w:color="auto"/>
            <w:left w:val="none" w:sz="0" w:space="0" w:color="auto"/>
            <w:bottom w:val="none" w:sz="0" w:space="0" w:color="auto"/>
            <w:right w:val="none" w:sz="0" w:space="0" w:color="auto"/>
          </w:divBdr>
          <w:divsChild>
            <w:div w:id="10396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13512">
      <w:bodyDiv w:val="1"/>
      <w:marLeft w:val="0"/>
      <w:marRight w:val="0"/>
      <w:marTop w:val="0"/>
      <w:marBottom w:val="0"/>
      <w:divBdr>
        <w:top w:val="none" w:sz="0" w:space="0" w:color="auto"/>
        <w:left w:val="none" w:sz="0" w:space="0" w:color="auto"/>
        <w:bottom w:val="none" w:sz="0" w:space="0" w:color="auto"/>
        <w:right w:val="none" w:sz="0" w:space="0" w:color="auto"/>
      </w:divBdr>
    </w:div>
    <w:div w:id="2120490406">
      <w:bodyDiv w:val="1"/>
      <w:marLeft w:val="0"/>
      <w:marRight w:val="0"/>
      <w:marTop w:val="0"/>
      <w:marBottom w:val="0"/>
      <w:divBdr>
        <w:top w:val="none" w:sz="0" w:space="0" w:color="auto"/>
        <w:left w:val="none" w:sz="0" w:space="0" w:color="auto"/>
        <w:bottom w:val="none" w:sz="0" w:space="0" w:color="auto"/>
        <w:right w:val="none" w:sz="0" w:space="0" w:color="auto"/>
      </w:divBdr>
    </w:div>
    <w:div w:id="2126578881">
      <w:bodyDiv w:val="1"/>
      <w:marLeft w:val="0"/>
      <w:marRight w:val="0"/>
      <w:marTop w:val="0"/>
      <w:marBottom w:val="0"/>
      <w:divBdr>
        <w:top w:val="none" w:sz="0" w:space="0" w:color="auto"/>
        <w:left w:val="none" w:sz="0" w:space="0" w:color="auto"/>
        <w:bottom w:val="none" w:sz="0" w:space="0" w:color="auto"/>
        <w:right w:val="none" w:sz="0" w:space="0" w:color="auto"/>
      </w:divBdr>
    </w:div>
    <w:div w:id="2141920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footer" Target="footer52.xml"/><Relationship Id="rId21" Type="http://schemas.openxmlformats.org/officeDocument/2006/relationships/footer" Target="footer4.xml"/><Relationship Id="rId42" Type="http://schemas.openxmlformats.org/officeDocument/2006/relationships/footer" Target="footer15.xml"/><Relationship Id="rId47" Type="http://schemas.openxmlformats.org/officeDocument/2006/relationships/header" Target="header18.xml"/><Relationship Id="rId63" Type="http://schemas.openxmlformats.org/officeDocument/2006/relationships/footer" Target="footer25.xml"/><Relationship Id="rId68" Type="http://schemas.openxmlformats.org/officeDocument/2006/relationships/header" Target="header29.xml"/><Relationship Id="rId84" Type="http://schemas.openxmlformats.org/officeDocument/2006/relationships/footer" Target="footer36.xml"/><Relationship Id="rId89" Type="http://schemas.openxmlformats.org/officeDocument/2006/relationships/header" Target="header39.xml"/><Relationship Id="rId112" Type="http://schemas.openxmlformats.org/officeDocument/2006/relationships/footer" Target="footer50.xml"/><Relationship Id="rId133" Type="http://schemas.openxmlformats.org/officeDocument/2006/relationships/header" Target="header61.xml"/><Relationship Id="rId138" Type="http://schemas.openxmlformats.org/officeDocument/2006/relationships/footer" Target="footer63.xml"/><Relationship Id="rId154" Type="http://schemas.openxmlformats.org/officeDocument/2006/relationships/footer" Target="footer71.xml"/><Relationship Id="rId159" Type="http://schemas.openxmlformats.org/officeDocument/2006/relationships/footer" Target="footer73.xml"/><Relationship Id="rId175" Type="http://schemas.openxmlformats.org/officeDocument/2006/relationships/header" Target="header82.xml"/><Relationship Id="rId170" Type="http://schemas.openxmlformats.org/officeDocument/2006/relationships/header" Target="header80.xml"/><Relationship Id="rId191" Type="http://schemas.openxmlformats.org/officeDocument/2006/relationships/header" Target="header90.xml"/><Relationship Id="rId196" Type="http://schemas.microsoft.com/office/2020/10/relationships/intelligence" Target="intelligence2.xml"/><Relationship Id="rId16" Type="http://schemas.openxmlformats.org/officeDocument/2006/relationships/footer" Target="footer2.xml"/><Relationship Id="rId107" Type="http://schemas.openxmlformats.org/officeDocument/2006/relationships/header" Target="header48.xml"/><Relationship Id="rId11" Type="http://schemas.openxmlformats.org/officeDocument/2006/relationships/endnotes" Target="endnotes.xml"/><Relationship Id="rId32" Type="http://schemas.openxmlformats.org/officeDocument/2006/relationships/header" Target="header11.xml"/><Relationship Id="rId37" Type="http://schemas.openxmlformats.org/officeDocument/2006/relationships/header" Target="header13.xml"/><Relationship Id="rId53" Type="http://schemas.openxmlformats.org/officeDocument/2006/relationships/header" Target="header21.xml"/><Relationship Id="rId58" Type="http://schemas.openxmlformats.org/officeDocument/2006/relationships/footer" Target="footer23.xml"/><Relationship Id="rId74" Type="http://schemas.openxmlformats.org/officeDocument/2006/relationships/header" Target="header32.xml"/><Relationship Id="rId79" Type="http://schemas.openxmlformats.org/officeDocument/2006/relationships/header" Target="header34.xml"/><Relationship Id="rId102" Type="http://schemas.openxmlformats.org/officeDocument/2006/relationships/footer" Target="footer45.xml"/><Relationship Id="rId123" Type="http://schemas.openxmlformats.org/officeDocument/2006/relationships/footer" Target="footer55.xml"/><Relationship Id="rId128" Type="http://schemas.openxmlformats.org/officeDocument/2006/relationships/header" Target="header59.xml"/><Relationship Id="rId144" Type="http://schemas.openxmlformats.org/officeDocument/2006/relationships/footer" Target="footer66.xml"/><Relationship Id="rId149" Type="http://schemas.openxmlformats.org/officeDocument/2006/relationships/header" Target="header69.xml"/><Relationship Id="rId5" Type="http://schemas.openxmlformats.org/officeDocument/2006/relationships/customXml" Target="../customXml/item5.xml"/><Relationship Id="rId90" Type="http://schemas.openxmlformats.org/officeDocument/2006/relationships/footer" Target="footer39.xml"/><Relationship Id="rId95" Type="http://schemas.openxmlformats.org/officeDocument/2006/relationships/header" Target="header42.xml"/><Relationship Id="rId160" Type="http://schemas.openxmlformats.org/officeDocument/2006/relationships/footer" Target="footer74.xml"/><Relationship Id="rId165" Type="http://schemas.openxmlformats.org/officeDocument/2006/relationships/footer" Target="footer76.xml"/><Relationship Id="rId181" Type="http://schemas.openxmlformats.org/officeDocument/2006/relationships/header" Target="header85.xml"/><Relationship Id="rId186" Type="http://schemas.openxmlformats.org/officeDocument/2006/relationships/footer" Target="footer87.xml"/><Relationship Id="rId22" Type="http://schemas.openxmlformats.org/officeDocument/2006/relationships/footer" Target="footer5.xml"/><Relationship Id="rId27" Type="http://schemas.openxmlformats.org/officeDocument/2006/relationships/footer" Target="footer7.xml"/><Relationship Id="rId43" Type="http://schemas.openxmlformats.org/officeDocument/2006/relationships/header" Target="header16.xml"/><Relationship Id="rId48" Type="http://schemas.openxmlformats.org/officeDocument/2006/relationships/footer" Target="footer18.xml"/><Relationship Id="rId64" Type="http://schemas.openxmlformats.org/officeDocument/2006/relationships/footer" Target="footer26.xml"/><Relationship Id="rId69" Type="http://schemas.openxmlformats.org/officeDocument/2006/relationships/footer" Target="footer28.xml"/><Relationship Id="rId113" Type="http://schemas.openxmlformats.org/officeDocument/2006/relationships/header" Target="header51.xml"/><Relationship Id="rId118" Type="http://schemas.openxmlformats.org/officeDocument/2006/relationships/footer" Target="footer53.xml"/><Relationship Id="rId134" Type="http://schemas.openxmlformats.org/officeDocument/2006/relationships/header" Target="header62.xml"/><Relationship Id="rId139" Type="http://schemas.openxmlformats.org/officeDocument/2006/relationships/header" Target="header64.xml"/><Relationship Id="rId80" Type="http://schemas.openxmlformats.org/officeDocument/2006/relationships/header" Target="header35.xml"/><Relationship Id="rId85" Type="http://schemas.openxmlformats.org/officeDocument/2006/relationships/header" Target="header37.xml"/><Relationship Id="rId150" Type="http://schemas.openxmlformats.org/officeDocument/2006/relationships/footer" Target="footer69.xml"/><Relationship Id="rId155" Type="http://schemas.openxmlformats.org/officeDocument/2006/relationships/header" Target="header72.xml"/><Relationship Id="rId171" Type="http://schemas.openxmlformats.org/officeDocument/2006/relationships/footer" Target="footer79.xml"/><Relationship Id="rId176" Type="http://schemas.openxmlformats.org/officeDocument/2006/relationships/header" Target="header83.xml"/><Relationship Id="rId192" Type="http://schemas.openxmlformats.org/officeDocument/2006/relationships/footer" Target="footer90.xml"/><Relationship Id="rId12" Type="http://schemas.openxmlformats.org/officeDocument/2006/relationships/image" Target="media/image1.emf"/><Relationship Id="rId17" Type="http://schemas.openxmlformats.org/officeDocument/2006/relationships/header" Target="header3.xml"/><Relationship Id="rId33" Type="http://schemas.openxmlformats.org/officeDocument/2006/relationships/footer" Target="footer10.xml"/><Relationship Id="rId38" Type="http://schemas.openxmlformats.org/officeDocument/2006/relationships/header" Target="header14.xml"/><Relationship Id="rId59" Type="http://schemas.openxmlformats.org/officeDocument/2006/relationships/header" Target="header24.xml"/><Relationship Id="rId103" Type="http://schemas.openxmlformats.org/officeDocument/2006/relationships/header" Target="header46.xml"/><Relationship Id="rId108" Type="http://schemas.openxmlformats.org/officeDocument/2006/relationships/footer" Target="footer48.xml"/><Relationship Id="rId124" Type="http://schemas.openxmlformats.org/officeDocument/2006/relationships/footer" Target="footer56.xml"/><Relationship Id="rId129" Type="http://schemas.openxmlformats.org/officeDocument/2006/relationships/footer" Target="footer58.xml"/><Relationship Id="rId54" Type="http://schemas.openxmlformats.org/officeDocument/2006/relationships/footer" Target="footer21.xml"/><Relationship Id="rId70" Type="http://schemas.openxmlformats.org/officeDocument/2006/relationships/footer" Target="footer29.xml"/><Relationship Id="rId75" Type="http://schemas.openxmlformats.org/officeDocument/2006/relationships/footer" Target="footer31.xml"/><Relationship Id="rId91" Type="http://schemas.openxmlformats.org/officeDocument/2006/relationships/header" Target="header40.xml"/><Relationship Id="rId96" Type="http://schemas.openxmlformats.org/officeDocument/2006/relationships/footer" Target="footer42.xml"/><Relationship Id="rId140" Type="http://schemas.openxmlformats.org/officeDocument/2006/relationships/header" Target="header65.xml"/><Relationship Id="rId145" Type="http://schemas.openxmlformats.org/officeDocument/2006/relationships/header" Target="header67.xml"/><Relationship Id="rId161" Type="http://schemas.openxmlformats.org/officeDocument/2006/relationships/header" Target="header75.xml"/><Relationship Id="rId166" Type="http://schemas.openxmlformats.org/officeDocument/2006/relationships/footer" Target="footer77.xml"/><Relationship Id="rId182" Type="http://schemas.openxmlformats.org/officeDocument/2006/relationships/header" Target="header86.xml"/><Relationship Id="rId187" Type="http://schemas.openxmlformats.org/officeDocument/2006/relationships/header" Target="header88.xm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eader" Target="header6.xml"/><Relationship Id="rId28" Type="http://schemas.openxmlformats.org/officeDocument/2006/relationships/footer" Target="footer8.xml"/><Relationship Id="rId49" Type="http://schemas.openxmlformats.org/officeDocument/2006/relationships/header" Target="header19.xml"/><Relationship Id="rId114" Type="http://schemas.openxmlformats.org/officeDocument/2006/relationships/footer" Target="footer51.xml"/><Relationship Id="rId119" Type="http://schemas.openxmlformats.org/officeDocument/2006/relationships/header" Target="header54.xml"/><Relationship Id="rId44" Type="http://schemas.openxmlformats.org/officeDocument/2006/relationships/header" Target="header17.xml"/><Relationship Id="rId60" Type="http://schemas.openxmlformats.org/officeDocument/2006/relationships/footer" Target="footer24.xml"/><Relationship Id="rId65" Type="http://schemas.openxmlformats.org/officeDocument/2006/relationships/header" Target="header27.xml"/><Relationship Id="rId81" Type="http://schemas.openxmlformats.org/officeDocument/2006/relationships/footer" Target="footer34.xml"/><Relationship Id="rId86" Type="http://schemas.openxmlformats.org/officeDocument/2006/relationships/header" Target="header38.xml"/><Relationship Id="rId130" Type="http://schemas.openxmlformats.org/officeDocument/2006/relationships/footer" Target="footer59.xml"/><Relationship Id="rId135" Type="http://schemas.openxmlformats.org/officeDocument/2006/relationships/footer" Target="footer61.xml"/><Relationship Id="rId151" Type="http://schemas.openxmlformats.org/officeDocument/2006/relationships/header" Target="header70.xml"/><Relationship Id="rId156" Type="http://schemas.openxmlformats.org/officeDocument/2006/relationships/footer" Target="footer72.xml"/><Relationship Id="rId177" Type="http://schemas.openxmlformats.org/officeDocument/2006/relationships/footer" Target="footer82.xml"/><Relationship Id="rId172" Type="http://schemas.openxmlformats.org/officeDocument/2006/relationships/footer" Target="footer80.xml"/><Relationship Id="rId193" Type="http://schemas.openxmlformats.org/officeDocument/2006/relationships/fontTable" Target="fontTable.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footer" Target="footer13.xml"/><Relationship Id="rId109" Type="http://schemas.openxmlformats.org/officeDocument/2006/relationships/header" Target="header49.xml"/><Relationship Id="rId34" Type="http://schemas.openxmlformats.org/officeDocument/2006/relationships/footer" Target="footer11.xml"/><Relationship Id="rId50" Type="http://schemas.openxmlformats.org/officeDocument/2006/relationships/header" Target="header20.xml"/><Relationship Id="rId55" Type="http://schemas.openxmlformats.org/officeDocument/2006/relationships/header" Target="header22.xml"/><Relationship Id="rId76" Type="http://schemas.openxmlformats.org/officeDocument/2006/relationships/footer" Target="footer32.xml"/><Relationship Id="rId97" Type="http://schemas.openxmlformats.org/officeDocument/2006/relationships/header" Target="header43.xml"/><Relationship Id="rId104" Type="http://schemas.openxmlformats.org/officeDocument/2006/relationships/header" Target="header47.xml"/><Relationship Id="rId120" Type="http://schemas.openxmlformats.org/officeDocument/2006/relationships/footer" Target="footer54.xml"/><Relationship Id="rId125" Type="http://schemas.openxmlformats.org/officeDocument/2006/relationships/header" Target="header57.xml"/><Relationship Id="rId141" Type="http://schemas.openxmlformats.org/officeDocument/2006/relationships/footer" Target="footer64.xml"/><Relationship Id="rId146" Type="http://schemas.openxmlformats.org/officeDocument/2006/relationships/header" Target="header68.xml"/><Relationship Id="rId167" Type="http://schemas.openxmlformats.org/officeDocument/2006/relationships/header" Target="header78.xml"/><Relationship Id="rId188" Type="http://schemas.openxmlformats.org/officeDocument/2006/relationships/header" Target="header89.xml"/><Relationship Id="rId7" Type="http://schemas.openxmlformats.org/officeDocument/2006/relationships/styles" Target="styles.xml"/><Relationship Id="rId71" Type="http://schemas.openxmlformats.org/officeDocument/2006/relationships/header" Target="header30.xml"/><Relationship Id="rId92" Type="http://schemas.openxmlformats.org/officeDocument/2006/relationships/header" Target="header41.xml"/><Relationship Id="rId162" Type="http://schemas.openxmlformats.org/officeDocument/2006/relationships/footer" Target="footer75.xml"/><Relationship Id="rId183" Type="http://schemas.openxmlformats.org/officeDocument/2006/relationships/footer" Target="footer85.xml"/><Relationship Id="rId2" Type="http://schemas.openxmlformats.org/officeDocument/2006/relationships/customXml" Target="../customXml/item2.xml"/><Relationship Id="rId29" Type="http://schemas.openxmlformats.org/officeDocument/2006/relationships/header" Target="header9.xml"/><Relationship Id="Re86500e700394d91" Type="http://schemas.microsoft.com/office/2019/09/relationships/intelligence" Target="intelligence.xml"/><Relationship Id="rId24" Type="http://schemas.openxmlformats.org/officeDocument/2006/relationships/footer" Target="footer6.xml"/><Relationship Id="rId40" Type="http://schemas.openxmlformats.org/officeDocument/2006/relationships/footer" Target="footer14.xml"/><Relationship Id="rId45" Type="http://schemas.openxmlformats.org/officeDocument/2006/relationships/footer" Target="footer16.xml"/><Relationship Id="rId66" Type="http://schemas.openxmlformats.org/officeDocument/2006/relationships/footer" Target="footer27.xml"/><Relationship Id="rId87" Type="http://schemas.openxmlformats.org/officeDocument/2006/relationships/footer" Target="footer37.xml"/><Relationship Id="rId110" Type="http://schemas.openxmlformats.org/officeDocument/2006/relationships/header" Target="header50.xml"/><Relationship Id="rId115" Type="http://schemas.openxmlformats.org/officeDocument/2006/relationships/header" Target="header52.xml"/><Relationship Id="rId131" Type="http://schemas.openxmlformats.org/officeDocument/2006/relationships/header" Target="header60.xml"/><Relationship Id="rId136" Type="http://schemas.openxmlformats.org/officeDocument/2006/relationships/footer" Target="footer62.xml"/><Relationship Id="rId157" Type="http://schemas.openxmlformats.org/officeDocument/2006/relationships/header" Target="header73.xml"/><Relationship Id="rId178" Type="http://schemas.openxmlformats.org/officeDocument/2006/relationships/footer" Target="footer83.xml"/><Relationship Id="rId61" Type="http://schemas.openxmlformats.org/officeDocument/2006/relationships/header" Target="header25.xml"/><Relationship Id="rId82" Type="http://schemas.openxmlformats.org/officeDocument/2006/relationships/footer" Target="footer35.xml"/><Relationship Id="rId152" Type="http://schemas.openxmlformats.org/officeDocument/2006/relationships/header" Target="header71.xml"/><Relationship Id="rId173" Type="http://schemas.openxmlformats.org/officeDocument/2006/relationships/header" Target="header81.xml"/><Relationship Id="rId194" Type="http://schemas.openxmlformats.org/officeDocument/2006/relationships/theme" Target="theme/theme1.xml"/><Relationship Id="rId19" Type="http://schemas.openxmlformats.org/officeDocument/2006/relationships/header" Target="header4.xml"/><Relationship Id="rId14" Type="http://schemas.openxmlformats.org/officeDocument/2006/relationships/header" Target="header2.xml"/><Relationship Id="rId30" Type="http://schemas.openxmlformats.org/officeDocument/2006/relationships/footer" Target="footer9.xml"/><Relationship Id="rId35" Type="http://schemas.openxmlformats.org/officeDocument/2006/relationships/header" Target="header12.xml"/><Relationship Id="rId56" Type="http://schemas.openxmlformats.org/officeDocument/2006/relationships/header" Target="header23.xml"/><Relationship Id="rId77" Type="http://schemas.openxmlformats.org/officeDocument/2006/relationships/header" Target="header33.xml"/><Relationship Id="rId100" Type="http://schemas.openxmlformats.org/officeDocument/2006/relationships/footer" Target="footer44.xml"/><Relationship Id="rId105" Type="http://schemas.openxmlformats.org/officeDocument/2006/relationships/footer" Target="footer46.xml"/><Relationship Id="rId126" Type="http://schemas.openxmlformats.org/officeDocument/2006/relationships/footer" Target="footer57.xml"/><Relationship Id="rId147" Type="http://schemas.openxmlformats.org/officeDocument/2006/relationships/footer" Target="footer67.xml"/><Relationship Id="rId168" Type="http://schemas.openxmlformats.org/officeDocument/2006/relationships/footer" Target="footer78.xml"/><Relationship Id="rId8" Type="http://schemas.openxmlformats.org/officeDocument/2006/relationships/settings" Target="settings.xml"/><Relationship Id="rId51" Type="http://schemas.openxmlformats.org/officeDocument/2006/relationships/footer" Target="footer19.xml"/><Relationship Id="rId72" Type="http://schemas.openxmlformats.org/officeDocument/2006/relationships/footer" Target="footer30.xml"/><Relationship Id="rId93" Type="http://schemas.openxmlformats.org/officeDocument/2006/relationships/footer" Target="footer40.xml"/><Relationship Id="rId98" Type="http://schemas.openxmlformats.org/officeDocument/2006/relationships/header" Target="header44.xml"/><Relationship Id="rId121" Type="http://schemas.openxmlformats.org/officeDocument/2006/relationships/header" Target="header55.xml"/><Relationship Id="rId142" Type="http://schemas.openxmlformats.org/officeDocument/2006/relationships/footer" Target="footer65.xml"/><Relationship Id="rId163" Type="http://schemas.openxmlformats.org/officeDocument/2006/relationships/header" Target="header76.xml"/><Relationship Id="rId184" Type="http://schemas.openxmlformats.org/officeDocument/2006/relationships/footer" Target="footer86.xml"/><Relationship Id="rId189" Type="http://schemas.openxmlformats.org/officeDocument/2006/relationships/footer" Target="footer88.xml"/><Relationship Id="rId3" Type="http://schemas.openxmlformats.org/officeDocument/2006/relationships/customXml" Target="../customXml/item3.xml"/><Relationship Id="rId25" Type="http://schemas.openxmlformats.org/officeDocument/2006/relationships/header" Target="header7.xml"/><Relationship Id="rId46" Type="http://schemas.openxmlformats.org/officeDocument/2006/relationships/footer" Target="footer17.xml"/><Relationship Id="rId67" Type="http://schemas.openxmlformats.org/officeDocument/2006/relationships/header" Target="header28.xml"/><Relationship Id="rId116" Type="http://schemas.openxmlformats.org/officeDocument/2006/relationships/header" Target="header53.xml"/><Relationship Id="rId137" Type="http://schemas.openxmlformats.org/officeDocument/2006/relationships/header" Target="header63.xml"/><Relationship Id="rId158" Type="http://schemas.openxmlformats.org/officeDocument/2006/relationships/header" Target="header74.xml"/><Relationship Id="rId20" Type="http://schemas.openxmlformats.org/officeDocument/2006/relationships/header" Target="header5.xml"/><Relationship Id="rId41" Type="http://schemas.openxmlformats.org/officeDocument/2006/relationships/header" Target="header15.xml"/><Relationship Id="rId62" Type="http://schemas.openxmlformats.org/officeDocument/2006/relationships/header" Target="header26.xml"/><Relationship Id="rId83" Type="http://schemas.openxmlformats.org/officeDocument/2006/relationships/header" Target="header36.xml"/><Relationship Id="rId88" Type="http://schemas.openxmlformats.org/officeDocument/2006/relationships/footer" Target="footer38.xml"/><Relationship Id="rId111" Type="http://schemas.openxmlformats.org/officeDocument/2006/relationships/footer" Target="footer49.xml"/><Relationship Id="rId132" Type="http://schemas.openxmlformats.org/officeDocument/2006/relationships/footer" Target="footer60.xml"/><Relationship Id="rId153" Type="http://schemas.openxmlformats.org/officeDocument/2006/relationships/footer" Target="footer70.xml"/><Relationship Id="rId174" Type="http://schemas.openxmlformats.org/officeDocument/2006/relationships/footer" Target="footer81.xml"/><Relationship Id="rId179" Type="http://schemas.openxmlformats.org/officeDocument/2006/relationships/header" Target="header84.xml"/><Relationship Id="rId195" Type="http://schemas.microsoft.com/office/2019/05/relationships/documenttasks" Target="documenttasks/documenttasks1.xml"/><Relationship Id="rId190" Type="http://schemas.openxmlformats.org/officeDocument/2006/relationships/footer" Target="footer89.xml"/><Relationship Id="rId15" Type="http://schemas.openxmlformats.org/officeDocument/2006/relationships/footer" Target="footer1.xml"/><Relationship Id="rId36" Type="http://schemas.openxmlformats.org/officeDocument/2006/relationships/footer" Target="footer12.xml"/><Relationship Id="rId57" Type="http://schemas.openxmlformats.org/officeDocument/2006/relationships/footer" Target="footer22.xml"/><Relationship Id="rId106" Type="http://schemas.openxmlformats.org/officeDocument/2006/relationships/footer" Target="footer47.xml"/><Relationship Id="rId127" Type="http://schemas.openxmlformats.org/officeDocument/2006/relationships/header" Target="header58.xml"/><Relationship Id="rId10" Type="http://schemas.openxmlformats.org/officeDocument/2006/relationships/footnotes" Target="footnotes.xml"/><Relationship Id="rId31" Type="http://schemas.openxmlformats.org/officeDocument/2006/relationships/header" Target="header10.xml"/><Relationship Id="rId52" Type="http://schemas.openxmlformats.org/officeDocument/2006/relationships/footer" Target="footer20.xml"/><Relationship Id="rId73" Type="http://schemas.openxmlformats.org/officeDocument/2006/relationships/header" Target="header31.xml"/><Relationship Id="rId78" Type="http://schemas.openxmlformats.org/officeDocument/2006/relationships/footer" Target="footer33.xml"/><Relationship Id="rId94" Type="http://schemas.openxmlformats.org/officeDocument/2006/relationships/footer" Target="footer41.xml"/><Relationship Id="rId99" Type="http://schemas.openxmlformats.org/officeDocument/2006/relationships/footer" Target="footer43.xml"/><Relationship Id="rId101" Type="http://schemas.openxmlformats.org/officeDocument/2006/relationships/header" Target="header45.xml"/><Relationship Id="rId122" Type="http://schemas.openxmlformats.org/officeDocument/2006/relationships/header" Target="header56.xml"/><Relationship Id="rId143" Type="http://schemas.openxmlformats.org/officeDocument/2006/relationships/header" Target="header66.xml"/><Relationship Id="rId148" Type="http://schemas.openxmlformats.org/officeDocument/2006/relationships/footer" Target="footer68.xml"/><Relationship Id="rId164" Type="http://schemas.openxmlformats.org/officeDocument/2006/relationships/header" Target="header77.xml"/><Relationship Id="rId169" Type="http://schemas.openxmlformats.org/officeDocument/2006/relationships/header" Target="header79.xml"/><Relationship Id="rId185" Type="http://schemas.openxmlformats.org/officeDocument/2006/relationships/header" Target="header87.xm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footer" Target="footer84.xml"/><Relationship Id="rId26" Type="http://schemas.openxmlformats.org/officeDocument/2006/relationships/header" Target="header8.xml"/></Relationships>
</file>

<file path=word/documenttasks/documenttasks1.xml><?xml version="1.0" encoding="utf-8"?>
<t:Tasks xmlns:t="http://schemas.microsoft.com/office/tasks/2019/documenttasks" xmlns:oel="http://schemas.microsoft.com/office/2019/extlst">
  <t:Task id="{9468BBED-6467-4053-964F-C884181BCF40}">
    <t:Anchor>
      <t:Comment id="916138320"/>
    </t:Anchor>
    <t:History>
      <t:Event id="{F99C5E54-3452-40AB-9F08-2226940C3E15}" time="2021-09-14T14:53:17.511Z">
        <t:Attribution userId="S::lucianajulia.pace@ec.europa.eu::3b9ac415-a39d-43f8-8440-e20353d666a5" userProvider="AD" userName="PACE Lucianajulia (ECFIN)"/>
        <t:Anchor>
          <t:Comment id="916138320"/>
        </t:Anchor>
        <t:Create/>
      </t:Event>
      <t:Event id="{078D2C62-3E6B-4715-913A-1B461E0914C8}" time="2021-09-14T14:53:17.511Z">
        <t:Attribution userId="S::lucianajulia.pace@ec.europa.eu::3b9ac415-a39d-43f8-8440-e20353d666a5" userProvider="AD" userName="PACE Lucianajulia (ECFIN)"/>
        <t:Anchor>
          <t:Comment id="916138320"/>
        </t:Anchor>
        <t:Assign userId="S::Izabela.ZYGMUNT@ec.europa.eu::8e83d63c-7a11-4335-9b7b-59145f9a375e" userProvider="AD" userName="ZYGMUNT Izabela (SG-RECOVER-WARSAW)"/>
      </t:Event>
      <t:Event id="{0F1CF889-1583-4703-8761-0FD4A80DD0B9}" time="2021-09-14T14:53:17.511Z">
        <t:Attribution userId="S::lucianajulia.pace@ec.europa.eu::3b9ac415-a39d-43f8-8440-e20353d666a5" userProvider="AD" userName="PACE Lucianajulia (ECFIN)"/>
        <t:Anchor>
          <t:Comment id="916138320"/>
        </t:Anchor>
        <t:SetTitle title="text missing? @ZYGMUNT Izabela (SG-RECOVER-WARSAW) @BARANSKA Aleksandra (SG-RECOVER)"/>
      </t:Event>
      <t:Event id="{DEFB0A90-921F-48C5-BC68-8C88C15B3C52}" time="2021-09-15T08:20:42.686Z">
        <t:Attribution userId="S::lucianajulia.pace@ec.europa.eu::3b9ac415-a39d-43f8-8440-e20353d666a5" userProvider="AD" userName="PACE Lucianajulia (ECFIN)"/>
        <t:Progress percentComplete="100"/>
      </t:Event>
    </t:History>
  </t:Task>
  <t:Task id="{863B1BB5-4338-406E-B586-8158A27372E3}">
    <t:Anchor>
      <t:Comment id="825005006"/>
    </t:Anchor>
    <t:History>
      <t:Event id="{1DD7665C-788A-4408-9F40-C2FF66DD2711}" time="2021-10-19T13:36:53.464Z">
        <t:Attribution userId="S::lucianajulia.pace@ec.europa.eu::3b9ac415-a39d-43f8-8440-e20353d666a5" userProvider="AD" userName="PACE Lucianajulia (ECFIN)"/>
        <t:Anchor>
          <t:Comment id="825005006"/>
        </t:Anchor>
        <t:Create/>
      </t:Event>
      <t:Event id="{25C4D9BB-AF09-44EE-8646-836D7E5987FA}" time="2021-10-19T13:36:53.464Z">
        <t:Attribution userId="S::lucianajulia.pace@ec.europa.eu::3b9ac415-a39d-43f8-8440-e20353d666a5" userProvider="AD" userName="PACE Lucianajulia (ECFIN)"/>
        <t:Anchor>
          <t:Comment id="825005006"/>
        </t:Anchor>
        <t:Assign userId="S::Aleksandra.BARANSKA@ec.europa.eu::8bb89538-1c98-4999-b09c-6aa82dba34aa" userProvider="AD" userName="BARANSKA Aleksandra (SG-RECOVER)"/>
      </t:Event>
      <t:Event id="{44C51E88-02D3-4524-AD6A-7908183EECD5}" time="2021-10-19T13:36:53.464Z">
        <t:Attribution userId="S::lucianajulia.pace@ec.europa.eu::3b9ac415-a39d-43f8-8440-e20353d666a5" userProvider="AD" userName="PACE Lucianajulia (ECFIN)"/>
        <t:Anchor>
          <t:Comment id="825005006"/>
        </t:Anchor>
        <t:SetTitle title="@BARANSKA Aleksandra (SG-RECOVER) shouldn't this come after A2.5 in the table?"/>
      </t:Event>
    </t:History>
  </t:Task>
  <t:Task id="{4F856C71-9C7F-4FCE-A975-F43D8FD81F5F}">
    <t:Anchor>
      <t:Comment id="455311813"/>
    </t:Anchor>
    <t:History>
      <t:Event id="{11B85EC1-6D68-44A9-8E62-A32748C114D5}" time="2021-11-24T13:06:44.48Z">
        <t:Attribution userId="S::aleksandra.baranska@ec.europa.eu::8bb89538-1c98-4999-b09c-6aa82dba34aa" userProvider="AD" userName="BARANSKA Aleksandra (SG-RECOVER)"/>
        <t:Anchor>
          <t:Comment id="455311813"/>
        </t:Anchor>
        <t:Create/>
      </t:Event>
      <t:Event id="{C7FA804B-8D9B-4C6D-9DE6-720989A2F7C2}" time="2021-11-24T13:06:44.48Z">
        <t:Attribution userId="S::aleksandra.baranska@ec.europa.eu::8bb89538-1c98-4999-b09c-6aa82dba34aa" userProvider="AD" userName="BARANSKA Aleksandra (SG-RECOVER)"/>
        <t:Anchor>
          <t:Comment id="455311813"/>
        </t:Anchor>
        <t:Assign userId="S::Izabela.ZYGMUNT@ec.europa.eu::8e83d63c-7a11-4335-9b7b-59145f9a375e" userProvider="AD" userName="ZYGMUNT Izabela (SG-RECOVER-WARSAW)"/>
      </t:Event>
      <t:Event id="{83AE1F91-D7D0-4D09-8F1C-BEB5163B549D}" time="2021-11-24T13:06:44.48Z">
        <t:Attribution userId="S::aleksandra.baranska@ec.europa.eu::8bb89538-1c98-4999-b09c-6aa82dba34aa" userProvider="AD" userName="BARANSKA Aleksandra (SG-RECOVER)"/>
        <t:Anchor>
          <t:Comment id="455311813"/>
        </t:Anchor>
        <t:SetTitle title="@ZYGMUNT Izabela (SG-RECOVER-WARSAW) Since this requirement applies only to some measures shouldn't we rather add it under the measures concerned?"/>
      </t:Event>
    </t:History>
  </t:Task>
  <t:Task id="{13A6F9A3-8EA7-40FB-86FA-9ABF56498890}">
    <t:Anchor>
      <t:Comment id="1548368085"/>
    </t:Anchor>
    <t:History>
      <t:Event id="{CB26978A-62A1-4E3B-A416-641E17BCA1FA}" time="2022-03-08T15:26:43.595Z">
        <t:Attribution userId="S::jaroslaw.swierczyna@ec.europa.eu::93f72705-f34f-46cd-a38b-f141e16eb9d5" userProvider="AD" userName="SWIERCZYNA Jaroslaw (SG-RECOVER)"/>
        <t:Anchor>
          <t:Comment id="1548368085"/>
        </t:Anchor>
        <t:Create/>
      </t:Event>
      <t:Event id="{E6DE9603-0609-4F8C-A93C-182AF2EA54D7}" time="2022-03-08T15:26:43.595Z">
        <t:Attribution userId="S::jaroslaw.swierczyna@ec.europa.eu::93f72705-f34f-46cd-a38b-f141e16eb9d5" userProvider="AD" userName="SWIERCZYNA Jaroslaw (SG-RECOVER)"/>
        <t:Anchor>
          <t:Comment id="1548368085"/>
        </t:Anchor>
        <t:Assign userId="S::Przemyslaw.KALINKA@ec.europa.eu::9771c349-27c8-4fd1-adf5-110c602b2f64" userProvider="AD" userName="KALINKA Przemyslaw (SG-RECOVER-WARSAW)"/>
      </t:Event>
      <t:Event id="{315C001A-AD00-4DF7-AECC-D8B95EF3E1D1}" time="2022-03-08T15:26:43.595Z">
        <t:Attribution userId="S::jaroslaw.swierczyna@ec.europa.eu::93f72705-f34f-46cd-a38b-f141e16eb9d5" userProvider="AD" userName="SWIERCZYNA Jaroslaw (SG-RECOVER)"/>
        <t:Anchor>
          <t:Comment id="1548368085"/>
        </t:Anchor>
        <t:SetTitle title="@KALINKA Przemyslaw (SG-RECOVER-WARSAW) Do you have new text from PL"/>
      </t:Event>
    </t:History>
  </t:Task>
  <t:Task id="{48BB0B35-2519-4523-AE51-0E956C2692A2}">
    <t:Anchor>
      <t:Comment id="685937571"/>
    </t:Anchor>
    <t:History>
      <t:Event id="{54A10929-0E5D-47DA-8D28-00BA11081C66}" time="2023-10-26T06:31:41.474Z">
        <t:Attribution userId="S::barbara.karbownik@ec.europa.eu::23cf17e2-c39c-4cfe-a559-3416bea2f623" userProvider="AD" userName="KARBOWNIK Barbara (SG-RECOVER)"/>
        <t:Anchor>
          <t:Comment id="949630119"/>
        </t:Anchor>
        <t:Create/>
      </t:Event>
      <t:Event id="{6E9C9BA5-F5A9-4719-A523-7B56847BC474}" time="2023-10-26T06:31:41.474Z">
        <t:Attribution userId="S::barbara.karbownik@ec.europa.eu::23cf17e2-c39c-4cfe-a559-3416bea2f623" userProvider="AD" userName="KARBOWNIK Barbara (SG-RECOVER)"/>
        <t:Anchor>
          <t:Comment id="949630119"/>
        </t:Anchor>
        <t:Assign userId="S::Lucianajulia.PACE@ec.europa.eu::3b9ac415-a39d-43f8-8440-e20353d666a5" userProvider="AD" userName="PACE Lucianajulia (SG-RECOVER)"/>
      </t:Event>
      <t:Event id="{3407BDC1-9DDA-4AFC-A7FC-FF17E13F979D}" time="2023-10-26T06:31:41.474Z">
        <t:Attribution userId="S::barbara.karbownik@ec.europa.eu::23cf17e2-c39c-4cfe-a559-3416bea2f623" userProvider="AD" userName="KARBOWNIK Barbara (SG-RECOVER)"/>
        <t:Anchor>
          <t:Comment id="949630119"/>
        </t:Anchor>
        <t:SetTitle title="revised, @PACE Lucianajulia (SG-RECOVER) are you ok with this?"/>
      </t:Event>
    </t:History>
  </t:Task>
  <t:Task id="{64C4520F-2902-4BE8-902C-78F4A80773BB}">
    <t:Anchor>
      <t:Comment id="1456734918"/>
    </t:Anchor>
    <t:History>
      <t:Event id="{57C7BD6A-0F49-44FF-8BD3-EA3D8DFF3DCC}" time="2021-11-22T17:13:41.655Z">
        <t:Attribution userId="S::izabela.zygmunt@ec.europa.eu::8e83d63c-7a11-4335-9b7b-59145f9a375e" userProvider="AD" userName="ZYGMUNT Izabela (SG-RECOVER-WARSAW)"/>
        <t:Anchor>
          <t:Comment id="1456734918"/>
        </t:Anchor>
        <t:Create/>
      </t:Event>
      <t:Event id="{9074EEE9-1BBA-4326-85B8-2A915F28FFA7}" time="2021-11-22T17:13:41.655Z">
        <t:Attribution userId="S::izabela.zygmunt@ec.europa.eu::8e83d63c-7a11-4335-9b7b-59145f9a375e" userProvider="AD" userName="ZYGMUNT Izabela (SG-RECOVER-WARSAW)"/>
        <t:Anchor>
          <t:Comment id="1456734918"/>
        </t:Anchor>
        <t:Assign userId="S::Aleksandra.BARANSKA@ec.europa.eu::8bb89538-1c98-4999-b09c-6aa82dba34aa" userProvider="AD" userName="BARANSKA Aleksandra (SG-RECOVER)"/>
      </t:Event>
      <t:Event id="{630196F2-0736-4F50-9920-A821B195E752}" time="2021-11-22T17:13:41.655Z">
        <t:Attribution userId="S::izabela.zygmunt@ec.europa.eu::8e83d63c-7a11-4335-9b7b-59145f9a375e" userProvider="AD" userName="ZYGMUNT Izabela (SG-RECOVER-WARSAW)"/>
        <t:Anchor>
          <t:Comment id="1456734918"/>
        </t:Anchor>
        <t:SetTitle title="Or number of contracts awarded? (thats' what we have in the 4th column) @BARANSKA Aleksandra (SG-RECOVER)"/>
      </t:Event>
      <t:Event id="{9509B91E-B0D1-4AF1-978C-744D6566E968}" time="2021-11-22T17:19:45.389Z">
        <t:Attribution userId="S::izabela.zygmunt@ec.europa.eu::8e83d63c-7a11-4335-9b7b-59145f9a375e" userProvider="AD" userName="ZYGMUNT Izabela (SG-RECOVER-WARSAW)"/>
        <t:Progress percentComplete="100"/>
      </t:Event>
    </t:History>
  </t:Task>
  <t:Task id="{9091284E-07F4-4F6A-893B-31D47C072753}">
    <t:Anchor>
      <t:Comment id="1035074616"/>
    </t:Anchor>
    <t:History>
      <t:Event id="{6A718A74-D802-45F3-B93E-43ED7C43A9D1}" time="2022-03-02T08:13:12.792Z">
        <t:Attribution userId="S::lucianajulia.pace@ec.europa.eu::3b9ac415-a39d-43f8-8440-e20353d666a5" userProvider="AD" userName="PACE Lucianajulia (SG-RECOVER)"/>
        <t:Anchor>
          <t:Comment id="217274717"/>
        </t:Anchor>
        <t:Create/>
      </t:Event>
      <t:Event id="{64297EE7-6B9F-4654-A8B4-E3A6156A002B}" time="2022-03-02T08:13:12.792Z">
        <t:Attribution userId="S::lucianajulia.pace@ec.europa.eu::3b9ac415-a39d-43f8-8440-e20353d666a5" userProvider="AD" userName="PACE Lucianajulia (SG-RECOVER)"/>
        <t:Anchor>
          <t:Comment id="217274717"/>
        </t:Anchor>
        <t:Assign userId="S::Hugo.FERRADANS-RAMONDE@ec.europa.eu::72f778ea-a48f-4d50-ad5c-aaeb57312862" userProvider="AD" userName="FERRADANS RAMONDE Hugo (ECFIN)"/>
      </t:Event>
      <t:Event id="{3F27D0DD-A931-4F56-B248-E6953A4688A5}" time="2022-03-02T08:13:12.792Z">
        <t:Attribution userId="S::lucianajulia.pace@ec.europa.eu::3b9ac415-a39d-43f8-8440-e20353d666a5" userProvider="AD" userName="PACE Lucianajulia (SG-RECOVER)"/>
        <t:Anchor>
          <t:Comment id="217274717"/>
        </t:Anchor>
        <t:SetTitle title="@FERRADANS RAMONDE Hugo (ECFIN) can you have a look pls?"/>
      </t:Event>
      <t:Event id="{EB06BC95-A94B-4056-B921-5C19B0E261BC}" time="2022-03-02T08:41:04.502Z">
        <t:Attribution userId="S::hugo.ferradans-ramonde@ec.europa.eu::72f778ea-a48f-4d50-ad5c-aaeb57312862" userProvider="AD" userName="FERRADANS RAMONDE Hugo (ECFIN)"/>
        <t:Progress percentComplete="100"/>
      </t:Event>
    </t:History>
  </t:Task>
  <t:Task id="{5DC6817C-6F48-489F-8E80-17FA0D707999}">
    <t:Anchor>
      <t:Comment id="686033620"/>
    </t:Anchor>
    <t:History>
      <t:Event id="{A0DAF031-D1EB-4491-8003-494390CBF547}" time="2023-10-26T06:33:23.132Z">
        <t:Attribution userId="S::barbara.karbownik@ec.europa.eu::23cf17e2-c39c-4cfe-a559-3416bea2f623" userProvider="AD" userName="KARBOWNIK Barbara (SG-RECOVER)"/>
        <t:Anchor>
          <t:Comment id="431707751"/>
        </t:Anchor>
        <t:Create/>
      </t:Event>
      <t:Event id="{2F213138-B226-4C47-90E8-9E79FED6E4C0}" time="2023-10-26T06:33:23.132Z">
        <t:Attribution userId="S::barbara.karbownik@ec.europa.eu::23cf17e2-c39c-4cfe-a559-3416bea2f623" userProvider="AD" userName="KARBOWNIK Barbara (SG-RECOVER)"/>
        <t:Anchor>
          <t:Comment id="431707751"/>
        </t:Anchor>
        <t:Assign userId="S::Lucianajulia.PACE@ec.europa.eu::3b9ac415-a39d-43f8-8440-e20353d666a5" userProvider="AD" userName="PACE Lucianajulia (SG-RECOVER)"/>
      </t:Event>
      <t:Event id="{B400E524-B3E8-42DF-B43E-52955FCC3B7D}" time="2023-10-26T06:33:23.132Z">
        <t:Attribution userId="S::barbara.karbownik@ec.europa.eu::23cf17e2-c39c-4cfe-a559-3416bea2f623" userProvider="AD" userName="KARBOWNIK Barbara (SG-RECOVER)"/>
        <t:Anchor>
          <t:Comment id="431707751"/>
        </t:Anchor>
        <t:SetTitle title="@PACE Lucianajulia (SG-RECOVER)"/>
      </t:Event>
      <t:Event id="{9DDA03EC-20FC-4CB2-8F1B-66060D3ED39A}" time="2023-11-07T07:51:40.621Z">
        <t:Attribution userId="S::barbara.karbownik@ec.europa.eu::23cf17e2-c39c-4cfe-a559-3416bea2f623" userProvider="AD" userName="KARBOWNIK Barbara (SG-RECOVER)"/>
        <t:Progress percentComplete="100"/>
      </t:Event>
    </t:History>
  </t:Task>
  <t:Task id="{99A663B9-6A2E-4CB0-B281-9AD7A29DD696}">
    <t:Anchor>
      <t:Comment id="1515309304"/>
    </t:Anchor>
    <t:History>
      <t:Event id="{7A650560-F86C-4D35-8AC8-E7A298D68240}" time="2023-10-31T12:42:20.951Z">
        <t:Attribution userId="S::karolina.gutowska@ec.europa.eu::7c747508-496a-4d8e-a648-edd09f4faf18" userProvider="AD" userName="GUTOWSKA Karolina (SG-RECOVER)"/>
        <t:Anchor>
          <t:Comment id="1515309304"/>
        </t:Anchor>
        <t:Create/>
      </t:Event>
      <t:Event id="{92A356FA-F38F-41AE-9FC0-CB1206C0A27E}" time="2023-10-31T12:42:20.951Z">
        <t:Attribution userId="S::karolina.gutowska@ec.europa.eu::7c747508-496a-4d8e-a648-edd09f4faf18" userProvider="AD" userName="GUTOWSKA Karolina (SG-RECOVER)"/>
        <t:Anchor>
          <t:Comment id="1515309304"/>
        </t:Anchor>
        <t:Assign userId="S::Barbara.KARBOWNIK@ec.europa.eu::23cf17e2-c39c-4cfe-a559-3416bea2f623" userProvider="AD" userName="KARBOWNIK Barbara (SG-RECOVER)"/>
      </t:Event>
      <t:Event id="{D167B884-9871-4D00-A92B-D77CF752E801}" time="2023-10-31T12:42:20.951Z">
        <t:Attribution userId="S::karolina.gutowska@ec.europa.eu::7c747508-496a-4d8e-a648-edd09f4faf18" userProvider="AD" userName="GUTOWSKA Karolina (SG-RECOVER)"/>
        <t:Anchor>
          <t:Comment id="1515309304"/>
        </t:Anchor>
        <t:SetTitle title="@KARBOWNIK Barbara (SG-RECOVER) a compromise proposal to accomodate PL's request to delete the link with C11L (discussed with G)"/>
      </t:Event>
      <t:Event id="{890F71FA-F39A-445F-A7A7-60EA5E36D707}" time="2023-10-31T12:43:47.57Z">
        <t:Attribution userId="S::karolina.gutowska@ec.europa.eu::7c747508-496a-4d8e-a648-edd09f4faf18" userProvider="AD" userName="GUTOWSKA Karolina (SG-RECOVER)"/>
        <t:Progress percentComplete="100"/>
      </t:Event>
      <t:Event id="{61850604-A619-430B-8EA4-595BFBFC1201}" time="2023-10-31T12:44:00.159Z">
        <t:Attribution userId="S::karolina.gutowska@ec.europa.eu::7c747508-496a-4d8e-a648-edd09f4faf18" userProvider="AD" userName="GUTOWSKA Karolina (SG-RECOVER)"/>
        <t:Progress percentComplete="0"/>
      </t:Event>
    </t:History>
  </t:Task>
  <t:Task id="{018E610D-94E9-4601-B11A-EBE27B387489}">
    <t:Anchor>
      <t:Comment id="76933319"/>
    </t:Anchor>
    <t:History>
      <t:Event id="{7C1574F7-BEB5-42BE-A8B1-C7EEE4A38FF8}" time="2023-11-16T09:09:15.089Z">
        <t:Attribution userId="S::martin.wortmann@ec.europa.eu::e473647b-d689-4888-aa15-60ee4d242895" userProvider="AD" userName="WORTMANN Martin (SG-RECOVER)"/>
        <t:Anchor>
          <t:Comment id="632192721"/>
        </t:Anchor>
        <t:Create/>
      </t:Event>
      <t:Event id="{C6244809-8C87-4201-A84B-74C1E00E9B64}" time="2023-11-16T09:09:15.089Z">
        <t:Attribution userId="S::martin.wortmann@ec.europa.eu::e473647b-d689-4888-aa15-60ee4d242895" userProvider="AD" userName="WORTMANN Martin (SG-RECOVER)"/>
        <t:Anchor>
          <t:Comment id="632192721"/>
        </t:Anchor>
        <t:Assign userId="S::Georgiana.IANUS@ec.europa.eu::0068f76f-47ae-4867-89ee-f3e8ef278892" userProvider="AD" userName="CAPRARU IANUS Georgiana (SG-RECOVER)"/>
      </t:Event>
      <t:Event id="{B5D09AE3-7FF2-43DE-AF10-1D21998CEFA6}" time="2023-11-16T09:09:15.089Z">
        <t:Attribution userId="S::martin.wortmann@ec.europa.eu::e473647b-d689-4888-aa15-60ee4d242895" userProvider="AD" userName="WORTMANN Martin (SG-RECOVER)"/>
        <t:Anchor>
          <t:Comment id="632192721"/>
        </t:Anchor>
        <t:SetTitle title="@CAPRARU IANUS Georgiana (SG-RECOVER) I did not participate in the respective call with PL. In response to B4 comments: My understanding was that the &quot;optional&quot; means: the feature to monitor must be installed - but it is optional for administrativ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8f965e-bbb6-4d10-8e04-a2531e92518f" xsi:nil="true"/>
    <lcf76f155ced4ddcb4097134ff3c332f xmlns="7e867e16-cd10-4d7c-af76-521234807006">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198f965e-bbb6-4d10-8e04-a2531e92518f">
      <UserInfo>
        <DisplayName/>
        <AccountId xsi:nil="true"/>
        <AccountType/>
      </UserInfo>
    </SharedWithUsers>
    <Y_x002f_NreviewedGCI xmlns="7e867e16-cd10-4d7c-af76-521234807006">true</Y_x002f_NreviewedGCI>
    <ReviewedGCI xmlns="7e867e16-cd10-4d7c-af76-521234807006">false</ReviewedGCI>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7260E13F24EE47816D0F26A43638A4" ma:contentTypeVersion="18" ma:contentTypeDescription="Create a new document." ma:contentTypeScope="" ma:versionID="0a4175e694188b401272cf695cf9c233">
  <xsd:schema xmlns:xsd="http://www.w3.org/2001/XMLSchema" xmlns:xs="http://www.w3.org/2001/XMLSchema" xmlns:p="http://schemas.microsoft.com/office/2006/metadata/properties" xmlns:ns2="7e867e16-cd10-4d7c-af76-521234807006" xmlns:ns3="198f965e-bbb6-4d10-8e04-a2531e92518f" targetNamespace="http://schemas.microsoft.com/office/2006/metadata/properties" ma:root="true" ma:fieldsID="be78e0f15534a98be8e4808ebd433ed5" ns2:_="" ns3:_="">
    <xsd:import namespace="7e867e16-cd10-4d7c-af76-521234807006"/>
    <xsd:import namespace="198f965e-bbb6-4d10-8e04-a2531e9251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ReviewedGCI"/>
                <xsd:element ref="ns2:Y_x002f_NreviewedGC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67e16-cd10-4d7c-af76-521234807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viewedGCI" ma:index="24" ma:displayName="Reviewed GCI" ma:default="0" ma:description="this is to make it easier to track which PAFs GCI has already reviewed" ma:format="Dropdown" ma:internalName="ReviewedGCI">
      <xsd:simpleType>
        <xsd:restriction base="dms:Boolean"/>
      </xsd:simpleType>
    </xsd:element>
    <xsd:element name="Y_x002f_NreviewedGCI" ma:index="25" nillable="true" ma:displayName="Y/N reviewed GCI" ma:default="1" ma:format="Dropdown" ma:internalName="Y_x002f_NreviewedGCI">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98f965e-bbb6-4d10-8e04-a2531e9251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5618139-48c2-453b-97cf-bce567d5ce84}" ma:internalName="TaxCatchAll" ma:showField="CatchAllData" ma:web="198f965e-bbb6-4d10-8e04-a2531e9251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iWDj/OtwLptJccWTuLcvs4FMBZxg==">AMUW2mXtUyMug7LA+hkNftpE11XfMudXKYKTu2IshA1+qN5K9N0/S/4Yav2PAwv8/4XhWJn6nTf52OZykBUfEilS3eniNXhB+BRRJJckZUVUem6lB0QveYCuzgupQRRXSNaMFlImgUaG2bNtxfSbPhgMpRRTsfLTNA==</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F72C5-763A-4DC6-A443-DC4E5982DCCC}">
  <ds:schemaRefs>
    <ds:schemaRef ds:uri="http://schemas.microsoft.com/office/2006/metadata/properties"/>
    <ds:schemaRef ds:uri="http://schemas.microsoft.com/office/infopath/2007/PartnerControls"/>
    <ds:schemaRef ds:uri="198f965e-bbb6-4d10-8e04-a2531e92518f"/>
    <ds:schemaRef ds:uri="7e867e16-cd10-4d7c-af76-521234807006"/>
  </ds:schemaRefs>
</ds:datastoreItem>
</file>

<file path=customXml/itemProps2.xml><?xml version="1.0" encoding="utf-8"?>
<ds:datastoreItem xmlns:ds="http://schemas.openxmlformats.org/officeDocument/2006/customXml" ds:itemID="{2503C46F-4E5C-4081-AE64-52B9AE830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67e16-cd10-4d7c-af76-521234807006"/>
    <ds:schemaRef ds:uri="198f965e-bbb6-4d10-8e04-a2531e925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A25D7C-04A9-45D5-B136-D98FDB93AEF4}">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121D2350-4CAC-4EF7-B00E-87643A47A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10</Pages>
  <Words>91261</Words>
  <Characters>520188</Characters>
  <Application>Microsoft Office Word</Application>
  <DocSecurity>0</DocSecurity>
  <Lines>4334</Lines>
  <Paragraphs>1220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DUBUSSE Christine (TAXUD)</dc:creator>
  <cp:keywords/>
  <dc:description/>
  <cp:lastModifiedBy>EC CoDe</cp:lastModifiedBy>
  <cp:revision>33</cp:revision>
  <cp:lastPrinted>2024-06-27T19:40:00Z</cp:lastPrinted>
  <dcterms:created xsi:type="dcterms:W3CDTF">2024-07-01T07:12:00Z</dcterms:created>
  <dcterms:modified xsi:type="dcterms:W3CDTF">2024-07-06T06:30:00Z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9.0, Build 20230317</vt:lpwstr>
  </property>
  <property fmtid="{D5CDD505-2E9C-101B-9397-08002B2CF9AE}" pid="11" name="Created using">
    <vt:lpwstr>DocuWrite 4.8.5, Build 20230921</vt:lpwstr>
  </property>
  <property fmtid="{D5CDD505-2E9C-101B-9397-08002B2CF9AE}" pid="12" name="ContentTypeId">
    <vt:lpwstr>0x010100957260E13F24EE47816D0F26A43638A4</vt:lpwstr>
  </property>
  <property fmtid="{D5CDD505-2E9C-101B-9397-08002B2CF9AE}" pid="13" name="MSIP_Label_6bd9ddd1-4d20-43f6-abfa-fc3c07406f94_Enabled">
    <vt:lpwstr>true</vt:lpwstr>
  </property>
  <property fmtid="{D5CDD505-2E9C-101B-9397-08002B2CF9AE}" pid="14" name="MSIP_Label_6bd9ddd1-4d20-43f6-abfa-fc3c07406f94_SetDate">
    <vt:lpwstr>2023-06-21T09:21:20Z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fab53907-09fe-4f80-a50e-6c43a913744a</vt:lpwstr>
  </property>
  <property fmtid="{D5CDD505-2E9C-101B-9397-08002B2CF9AE}" pid="19" name="MSIP_Label_6bd9ddd1-4d20-43f6-abfa-fc3c07406f94_ContentBits">
    <vt:lpwstr>0</vt:lpwstr>
  </property>
  <property fmtid="{D5CDD505-2E9C-101B-9397-08002B2CF9AE}" pid="20" name="MediaServiceImageTags">
    <vt:lpwstr/>
  </property>
  <property fmtid="{D5CDD505-2E9C-101B-9397-08002B2CF9AE}" pid="21" name="MSIP_Label_b1df41d6-74a9-4a97-809c-213cd32520cc_Enabled">
    <vt:lpwstr>true</vt:lpwstr>
  </property>
  <property fmtid="{D5CDD505-2E9C-101B-9397-08002B2CF9AE}" pid="22" name="MSIP_Label_b1df41d6-74a9-4a97-809c-213cd32520cc_SetDate">
    <vt:lpwstr>2023-11-21T11:40:51Z</vt:lpwstr>
  </property>
  <property fmtid="{D5CDD505-2E9C-101B-9397-08002B2CF9AE}" pid="23" name="MSIP_Label_b1df41d6-74a9-4a97-809c-213cd32520cc_Method">
    <vt:lpwstr>Privileged</vt:lpwstr>
  </property>
  <property fmtid="{D5CDD505-2E9C-101B-9397-08002B2CF9AE}" pid="24" name="MSIP_Label_b1df41d6-74a9-4a97-809c-213cd32520cc_Name">
    <vt:lpwstr>GSCEU - NON PUBLIC Label</vt:lpwstr>
  </property>
  <property fmtid="{D5CDD505-2E9C-101B-9397-08002B2CF9AE}" pid="25" name="MSIP_Label_b1df41d6-74a9-4a97-809c-213cd32520cc_SiteId">
    <vt:lpwstr>03ad1c97-0a4d-4e82-8f93-27291a6a0767</vt:lpwstr>
  </property>
  <property fmtid="{D5CDD505-2E9C-101B-9397-08002B2CF9AE}" pid="26" name="MSIP_Label_b1df41d6-74a9-4a97-809c-213cd32520cc_ActionId">
    <vt:lpwstr>7a6ff7a8-2395-47c7-b912-5ed1db2cbcc4</vt:lpwstr>
  </property>
  <property fmtid="{D5CDD505-2E9C-101B-9397-08002B2CF9AE}" pid="27" name="MSIP_Label_b1df41d6-74a9-4a97-809c-213cd32520cc_ContentBits">
    <vt:lpwstr>0</vt:lpwstr>
  </property>
</Properties>
</file>