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A6" w:rsidRPr="00DF258C" w:rsidRDefault="00B82E46" w:rsidP="00B82E46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FF9D0EF-BF2E-4BF9-9108-55D324E38B1F" style="width:455.25pt;height:355.5pt">
            <v:imagedata r:id="rId8" o:title=""/>
          </v:shape>
        </w:pict>
      </w:r>
    </w:p>
    <w:p w:rsidR="00BC2AA6" w:rsidRPr="00DF258C" w:rsidRDefault="00BC2AA6" w:rsidP="00BC2AA6">
      <w:pPr>
        <w:rPr>
          <w:noProof/>
        </w:rPr>
        <w:sectPr w:rsidR="00BC2AA6" w:rsidRPr="00DF258C" w:rsidSect="00B82E46">
          <w:footerReference w:type="even" r:id="rId9"/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C2AA6" w:rsidRPr="00DF258C" w:rsidRDefault="00BC2AA6" w:rsidP="00880551">
      <w:pPr>
        <w:pStyle w:val="Exposdesmotifstitre"/>
        <w:rPr>
          <w:noProof/>
        </w:rPr>
      </w:pPr>
      <w:bookmarkStart w:id="0" w:name="_GoBack"/>
      <w:bookmarkEnd w:id="0"/>
      <w:r w:rsidRPr="00DF258C">
        <w:rPr>
          <w:noProof/>
        </w:rPr>
        <w:lastRenderedPageBreak/>
        <w:t>EXPOSIÇÃO DE MOTIVOS</w:t>
      </w:r>
    </w:p>
    <w:p w:rsidR="00BC2AA6" w:rsidRPr="00DF258C" w:rsidRDefault="00BC2AA6" w:rsidP="00BB6B30">
      <w:pPr>
        <w:pStyle w:val="ManualHeading1"/>
        <w:rPr>
          <w:noProof/>
        </w:rPr>
      </w:pPr>
      <w:r w:rsidRPr="00DF258C">
        <w:rPr>
          <w:noProof/>
        </w:rPr>
        <w:t>1.</w:t>
      </w:r>
      <w:r w:rsidRPr="00DF258C">
        <w:rPr>
          <w:noProof/>
        </w:rPr>
        <w:tab/>
        <w:t>CONTEXTO DA PROPOSTA</w:t>
      </w:r>
    </w:p>
    <w:p w:rsidR="00BC2AA6" w:rsidRPr="00DF258C" w:rsidRDefault="00BC2AA6" w:rsidP="00044058">
      <w:pPr>
        <w:pStyle w:val="ManualHeading2"/>
        <w:rPr>
          <w:rFonts w:eastAsia="Arial Unicode MS"/>
          <w:noProof/>
        </w:rPr>
      </w:pPr>
      <w:r w:rsidRPr="00DF258C">
        <w:rPr>
          <w:noProof/>
          <w:color w:val="000000"/>
          <w:u w:color="000000"/>
          <w:bdr w:val="nil"/>
        </w:rPr>
        <w:t>•</w:t>
      </w:r>
      <w:r w:rsidRPr="00DF258C">
        <w:rPr>
          <w:noProof/>
          <w:color w:val="000000"/>
          <w:u w:color="000000"/>
          <w:bdr w:val="nil"/>
        </w:rPr>
        <w:tab/>
      </w:r>
      <w:r w:rsidRPr="00DF258C">
        <w:rPr>
          <w:noProof/>
        </w:rPr>
        <w:t>Razões e objetivos da proposta</w:t>
      </w:r>
    </w:p>
    <w:p w:rsidR="006D3044" w:rsidRPr="00DF258C" w:rsidRDefault="00D3255E" w:rsidP="006D304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color w:val="000000"/>
        </w:rPr>
      </w:pPr>
      <w:r w:rsidRPr="00DF258C">
        <w:rPr>
          <w:noProof/>
        </w:rPr>
        <w:t>O objetivo da presente proposta é adaptar o Regulamento de Execução (UE) n.º 282/2011 do Conselho</w:t>
      </w:r>
      <w:r w:rsidRPr="00DF258C">
        <w:rPr>
          <w:rStyle w:val="FootnoteReference"/>
          <w:noProof/>
        </w:rPr>
        <w:footnoteReference w:id="1"/>
      </w:r>
      <w:r w:rsidRPr="00DF258C">
        <w:rPr>
          <w:noProof/>
        </w:rPr>
        <w:t xml:space="preserve"> (Regulamento de Execução do IVA) para abrir caminho à introdução de um certificado de isenção eletrónico que confirme que uma operação beneficia de uma isenção específica ao abrigo do artigo 151.º, n.º 1, primeiro parágrafo, da Diretiva 2006/112/CE do Conselho (Diretiva IVA).</w:t>
      </w:r>
    </w:p>
    <w:p w:rsidR="00D3255E" w:rsidRPr="00DF258C" w:rsidRDefault="00D3255E" w:rsidP="007507F6">
      <w:pPr>
        <w:pStyle w:val="Text1"/>
        <w:ind w:left="0"/>
        <w:rPr>
          <w:noProof/>
        </w:rPr>
      </w:pPr>
      <w:r w:rsidRPr="00DF258C">
        <w:rPr>
          <w:noProof/>
        </w:rPr>
        <w:t>O anexo II do Regulamento de Execução do IVA prevê a assinatura manual de um certificado de isenção em suporte papel para efeitos de IVA e/ou de impostos especiais de consumo. Para permitir que os Estados-Membros acompanhem as exigências crescentes da era digital e reduzam os encargos administrativos para as empresas, a atual versão em papel será substituída pelo novo certificado de isenção eletrónico, a fim de preparar a utilização crescente de assinaturas eletrónicas avançadas. Além disso, essa conversão eletrónica permitirá aos Estados-Membros cumprir as obrigações impostas pela legislação da UE</w:t>
      </w:r>
      <w:r w:rsidR="00CD0C49" w:rsidRPr="00DF258C">
        <w:rPr>
          <w:rStyle w:val="FootnoteReference"/>
          <w:rFonts w:eastAsia="Arial Unicode MS"/>
          <w:noProof/>
        </w:rPr>
        <w:footnoteReference w:id="2"/>
      </w:r>
      <w:r w:rsidRPr="00DF258C">
        <w:rPr>
          <w:noProof/>
        </w:rPr>
        <w:t xml:space="preserve"> que lhes exigem que criem os meios técnicos necessários para permitir o tratamento eletrónico de documentos assinados eletronicamente quando utilizam um serviço em linha prestado por um organismo do setor público ou em nome deste.</w:t>
      </w:r>
    </w:p>
    <w:p w:rsidR="00CE1CDF" w:rsidRPr="00DF258C" w:rsidRDefault="00CE1CDF" w:rsidP="007507F6">
      <w:pPr>
        <w:pStyle w:val="Text1"/>
        <w:ind w:left="0"/>
        <w:rPr>
          <w:noProof/>
        </w:rPr>
      </w:pPr>
      <w:r w:rsidRPr="00DF258C">
        <w:rPr>
          <w:noProof/>
        </w:rPr>
        <w:t>Nos termos do novo artigo 151.º, n.º 1-A, da Diretiva IVA, a Comissão, em consulta com os Estados-Membros, poderá adotar medidas de execução que estabeleçam os pormenores técnicos e especificações relativos ao formato eletrónico aplicável do novo certificado de isenção e ao modo como este deve ser processado eletronicamente. Este novo certificado eletrónico substituirá integralmente a versão em papel a partir de 1 de julho de 2030. Para as operações realizadas antes dessa data, e a fim de melhor ter em conta outros projetos informáticos em curso, os Estados-Membros podem continuar a utilizar a versão em papel constante do anexo II do Regulamento de Execução do IVA. Por conseguinte, a redação do artigo 51.º, n.º 1, do Regulamento de Execução do IVA é alterada para permitir a utilização alternativa tanto de certificados em papel como eletrónicos.</w:t>
      </w:r>
    </w:p>
    <w:p w:rsidR="005F6474" w:rsidRPr="00DF258C" w:rsidRDefault="00453D7F" w:rsidP="007507F6">
      <w:pPr>
        <w:pStyle w:val="Text1"/>
        <w:ind w:left="0"/>
        <w:rPr>
          <w:noProof/>
        </w:rPr>
      </w:pPr>
      <w:r w:rsidRPr="00DF258C">
        <w:rPr>
          <w:noProof/>
        </w:rPr>
        <w:t>O anexo II do Regulamento de Execução do IVA já não está atualizado, uma vez que se refere à Diretiva 2008/118/CE, a qual foi substituída pela Diretiva (UE) 2020/262 do Conselho (reformulação)</w:t>
      </w:r>
      <w:r w:rsidRPr="00DF258C">
        <w:rPr>
          <w:rStyle w:val="FootnoteReference"/>
          <w:noProof/>
        </w:rPr>
        <w:t xml:space="preserve"> </w:t>
      </w:r>
      <w:r w:rsidR="00A429FA" w:rsidRPr="00DF258C">
        <w:rPr>
          <w:rStyle w:val="FootnoteReference"/>
          <w:noProof/>
        </w:rPr>
        <w:footnoteReference w:id="3"/>
      </w:r>
      <w:r w:rsidRPr="00DF258C">
        <w:rPr>
          <w:noProof/>
        </w:rPr>
        <w:t xml:space="preserve"> e será alterado em conformidade. </w:t>
      </w:r>
    </w:p>
    <w:p w:rsidR="00BC2AA6" w:rsidRPr="00DF258C" w:rsidRDefault="002A6983" w:rsidP="002A6983">
      <w:pPr>
        <w:pStyle w:val="Text1"/>
        <w:ind w:left="0"/>
        <w:rPr>
          <w:noProof/>
        </w:rPr>
      </w:pPr>
      <w:r w:rsidRPr="00DF258C">
        <w:rPr>
          <w:noProof/>
        </w:rPr>
        <w:t>Por último, tanto o artigo 51.º como o anexo II do Regulamento de Execução do IVA serão suprimidos a partir de 1 de julho de 2030, data em que esta versão em papel será substituída pelo novo certificado de isenção eletrónico de IVA nos termos do artigo 151.º, n.º 1-A, da Diretiva IVA.</w:t>
      </w:r>
    </w:p>
    <w:p w:rsidR="00D314F7" w:rsidRPr="00DF258C" w:rsidRDefault="00BC2AA6" w:rsidP="00D314F7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 w:rsidRPr="00DF258C">
        <w:rPr>
          <w:noProof/>
          <w:color w:val="000000"/>
          <w:u w:color="000000"/>
          <w:bdr w:val="nil"/>
        </w:rPr>
        <w:t>•</w:t>
      </w:r>
      <w:r w:rsidRPr="00DF258C">
        <w:rPr>
          <w:noProof/>
          <w:color w:val="000000"/>
          <w:u w:color="000000"/>
          <w:bdr w:val="nil"/>
        </w:rPr>
        <w:tab/>
      </w:r>
      <w:r w:rsidRPr="00DF258C">
        <w:rPr>
          <w:noProof/>
        </w:rPr>
        <w:t>Coerência com as disposições existentes da mesma política setorial</w:t>
      </w:r>
    </w:p>
    <w:p w:rsidR="00BC2AA6" w:rsidRPr="00DF258C" w:rsidRDefault="00A448CF" w:rsidP="00A448CF">
      <w:pPr>
        <w:spacing w:before="0"/>
        <w:rPr>
          <w:noProof/>
        </w:rPr>
      </w:pPr>
      <w:r w:rsidRPr="00DF258C">
        <w:rPr>
          <w:noProof/>
        </w:rPr>
        <w:t>A proposta permite a conversão eletrónica do certificado de isenção como etapa seguinte após a sua adaptação em 2022</w:t>
      </w:r>
      <w:r w:rsidRPr="00DF258C">
        <w:rPr>
          <w:rStyle w:val="FootnoteReference"/>
          <w:noProof/>
        </w:rPr>
        <w:footnoteReference w:id="4"/>
      </w:r>
      <w:r w:rsidRPr="00DF258C">
        <w:rPr>
          <w:noProof/>
        </w:rPr>
        <w:t>, o que reflete o âmbito alargado das isenções ao abrigo do artigo 151.º, n.º 1, da Diretiva IVA, a fim de abranger as atividades da União no âmbito da Política Comum de Segurança e Defesa (PCSD)</w:t>
      </w:r>
      <w:r w:rsidRPr="00DF258C">
        <w:rPr>
          <w:rStyle w:val="FootnoteReference"/>
          <w:noProof/>
        </w:rPr>
        <w:footnoteReference w:id="5"/>
      </w:r>
      <w:r w:rsidRPr="00DF258C">
        <w:rPr>
          <w:noProof/>
        </w:rPr>
        <w:t xml:space="preserve"> e as medidas da União em resposta à pandemia de COVID-19</w:t>
      </w:r>
      <w:r w:rsidRPr="00DF258C">
        <w:rPr>
          <w:rStyle w:val="FootnoteReference"/>
          <w:noProof/>
        </w:rPr>
        <w:footnoteReference w:id="6"/>
      </w:r>
      <w:r w:rsidRPr="00DF258C">
        <w:rPr>
          <w:noProof/>
        </w:rPr>
        <w:t>.</w:t>
      </w:r>
    </w:p>
    <w:p w:rsidR="00BC2AA6" w:rsidRPr="00DF258C" w:rsidRDefault="00BC2AA6" w:rsidP="00A4693B">
      <w:pPr>
        <w:pStyle w:val="ManualHeading2"/>
        <w:rPr>
          <w:rFonts w:eastAsia="Arial Unicode MS"/>
          <w:noProof/>
        </w:rPr>
      </w:pPr>
      <w:r w:rsidRPr="00DF258C">
        <w:rPr>
          <w:noProof/>
          <w:color w:val="000000"/>
          <w:u w:color="000000"/>
          <w:bdr w:val="nil"/>
        </w:rPr>
        <w:t>•</w:t>
      </w:r>
      <w:r w:rsidRPr="00DF258C">
        <w:rPr>
          <w:noProof/>
          <w:color w:val="000000"/>
          <w:u w:color="000000"/>
          <w:bdr w:val="nil"/>
        </w:rPr>
        <w:tab/>
      </w:r>
      <w:r w:rsidRPr="00DF258C">
        <w:rPr>
          <w:noProof/>
        </w:rPr>
        <w:t>Coerência com outras políticas da União</w:t>
      </w:r>
    </w:p>
    <w:p w:rsidR="009F4A50" w:rsidRPr="00DF258C" w:rsidRDefault="00E15FA6" w:rsidP="0049590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DF258C">
        <w:rPr>
          <w:noProof/>
        </w:rPr>
        <w:t>A introdução do certificado de isenção eletrónico de IVA está em consonância com as iniciativas tomadas no âmbito da política de digitalização da UE e ajudará os Estados</w:t>
      </w:r>
      <w:r w:rsidR="00262849">
        <w:rPr>
          <w:noProof/>
        </w:rPr>
        <w:noBreakHyphen/>
      </w:r>
      <w:r w:rsidRPr="00DF258C">
        <w:rPr>
          <w:noProof/>
        </w:rPr>
        <w:t>Membros a equipar as suas administrações fiscais com vista a cumprirem os requisitos para a utilização de assinaturas eletrónicas avançadas estabelecidos na legislação da UE</w:t>
      </w:r>
      <w:r w:rsidR="008A76D4" w:rsidRPr="00DF258C">
        <w:rPr>
          <w:rStyle w:val="FootnoteReference"/>
          <w:rFonts w:eastAsia="Arial Unicode MS"/>
          <w:noProof/>
        </w:rPr>
        <w:footnoteReference w:id="7"/>
      </w:r>
      <w:r w:rsidRPr="00DF258C">
        <w:rPr>
          <w:noProof/>
        </w:rPr>
        <w:t>.</w:t>
      </w:r>
    </w:p>
    <w:p w:rsidR="00BC2AA6" w:rsidRPr="00DF258C" w:rsidRDefault="00BC2AA6" w:rsidP="00550536">
      <w:pPr>
        <w:pStyle w:val="ManualHeading1"/>
        <w:rPr>
          <w:noProof/>
        </w:rPr>
      </w:pPr>
      <w:r w:rsidRPr="00DF258C">
        <w:rPr>
          <w:noProof/>
        </w:rPr>
        <w:t>2.</w:t>
      </w:r>
      <w:r w:rsidRPr="00DF258C">
        <w:rPr>
          <w:noProof/>
        </w:rPr>
        <w:tab/>
        <w:t>BASE JURÍDICA, SUBSIDIARIEDADE E PROPORCIONALIDADE</w:t>
      </w:r>
    </w:p>
    <w:p w:rsidR="00BC2AA6" w:rsidRPr="00DF258C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Base jurídica</w:t>
      </w:r>
    </w:p>
    <w:p w:rsidR="00BC2AA6" w:rsidRPr="00DF258C" w:rsidRDefault="00B14524" w:rsidP="0055053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DF258C">
        <w:rPr>
          <w:noProof/>
        </w:rPr>
        <w:t>A proposta tem por base o artigo 397.º da Diretiva IVA. Este artigo prevê que o Conselho, deliberando por unanimidade sob proposta da Comissão, adota as medidas necessárias à aplicação da Diretiva IVA.</w:t>
      </w:r>
    </w:p>
    <w:p w:rsidR="00BC2AA6" w:rsidRPr="00DF258C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 xml:space="preserve">Subsidiariedade (no caso de competência não exclusiva) </w:t>
      </w:r>
    </w:p>
    <w:p w:rsidR="00BC2AA6" w:rsidRPr="00DF258C" w:rsidRDefault="0084206E" w:rsidP="00B55FE2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DF258C">
        <w:rPr>
          <w:noProof/>
        </w:rPr>
        <w:t>A introdução do certificado de isenção eletrónico de IVA ao abrigo do artigo 151.º, n.º 1-A, da Diretiva IVA exige que o Regulamento de Execução do IVA seja adaptado em conformidade. Tal não poderia ser feito pelos Estados-Membros agindo isoladamente. A adaptação exige uma proposta da Comissão para alterar o Regulamento de Execução do IVA.</w:t>
      </w:r>
    </w:p>
    <w:p w:rsidR="00BC2AA6" w:rsidRPr="00DF258C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Proporcionalidade</w:t>
      </w:r>
    </w:p>
    <w:p w:rsidR="00BC2AA6" w:rsidRPr="00DF258C" w:rsidRDefault="009D61B2" w:rsidP="000A57F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DF258C">
        <w:rPr>
          <w:noProof/>
          <w:color w:val="000000" w:themeColor="text1"/>
        </w:rPr>
        <w:t xml:space="preserve">A proposta respeita o princípio da proporcionalidade, uma vez que não vai além do necessário e é proporcionada em relação ao objetivo perseguido. </w:t>
      </w:r>
      <w:r w:rsidRPr="00DF258C">
        <w:rPr>
          <w:noProof/>
        </w:rPr>
        <w:t>A iniciativa introduz um certificado de isenção eletrónico que confirma que uma operação beneficia de uma isenção específica ao abrigo do artigo 151.º, n.º 1, primeiro parágrafo, da Diretiva IVA.</w:t>
      </w:r>
      <w:r w:rsidRPr="00DF258C">
        <w:rPr>
          <w:noProof/>
          <w:color w:val="000000" w:themeColor="text1"/>
        </w:rPr>
        <w:t xml:space="preserve"> </w:t>
      </w:r>
      <w:r w:rsidRPr="00DF258C">
        <w:rPr>
          <w:noProof/>
        </w:rPr>
        <w:t xml:space="preserve">Tendo em conta o aumento dos encargos administrativos e a falta de flexibilidade associados a um procedimento de isenção baseado em documentos em papel, as medidas propostas conduzirão a uma simplificação significativa e a economias de custos a longo prazo, sendo, por conseguinte, proporcionadas tendo em conta o seu impacto orçamental. </w:t>
      </w:r>
    </w:p>
    <w:p w:rsidR="00BC2AA6" w:rsidRPr="00DF258C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Escolha do instrumento</w:t>
      </w:r>
    </w:p>
    <w:p w:rsidR="00BC2AA6" w:rsidRPr="00DF258C" w:rsidRDefault="00671685" w:rsidP="0055053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DF258C">
        <w:rPr>
          <w:noProof/>
        </w:rPr>
        <w:t>É proposto um regulamento de execução com vista a alterar o Regulamento de Execução do IVA.</w:t>
      </w:r>
    </w:p>
    <w:p w:rsidR="004A3B27" w:rsidRPr="00DF258C" w:rsidRDefault="004A3B27" w:rsidP="008D398D">
      <w:pPr>
        <w:pStyle w:val="ManualHeading1"/>
        <w:rPr>
          <w:rFonts w:eastAsia="Arial Unicode MS"/>
          <w:noProof/>
        </w:rPr>
      </w:pPr>
      <w:r w:rsidRPr="00DF258C">
        <w:rPr>
          <w:noProof/>
        </w:rPr>
        <w:t>3.</w:t>
      </w:r>
      <w:r w:rsidRPr="00DF258C">
        <w:rPr>
          <w:noProof/>
        </w:rPr>
        <w:tab/>
        <w:t xml:space="preserve">RESULTADOS DAS AVALIAÇÕES </w:t>
      </w:r>
      <w:r w:rsidRPr="00DF258C">
        <w:rPr>
          <w:i/>
          <w:iCs/>
          <w:noProof/>
        </w:rPr>
        <w:t>EX POST</w:t>
      </w:r>
      <w:r w:rsidRPr="00DF258C">
        <w:rPr>
          <w:noProof/>
        </w:rPr>
        <w:t xml:space="preserve"> E DAS CONSULTAS DAS PARTES INTERESSADAS </w:t>
      </w:r>
    </w:p>
    <w:p w:rsidR="004A3B27" w:rsidRPr="00DF258C" w:rsidRDefault="004A3B27" w:rsidP="004A3B27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Consultas das partes interessadas</w:t>
      </w:r>
    </w:p>
    <w:p w:rsidR="008D398D" w:rsidRPr="00DF258C" w:rsidRDefault="00EB6455" w:rsidP="00530DB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DF258C">
        <w:rPr>
          <w:noProof/>
        </w:rPr>
        <w:t>Não foi realizada qualquer consulta das partes interessadas, devido à natureza altamente técnica desta iniciativa e ao seu alinhamento com os esforços a nível da UE para promover interações entre a administração pública digital.</w:t>
      </w:r>
    </w:p>
    <w:p w:rsidR="004A3B27" w:rsidRPr="00DF258C" w:rsidRDefault="004A3B27" w:rsidP="004A3B27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Recolha e utilização de conhecimentos especializados</w:t>
      </w:r>
    </w:p>
    <w:p w:rsidR="004A3B27" w:rsidRPr="00DF258C" w:rsidRDefault="003115D3" w:rsidP="003115D3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 w:themeColor="text1"/>
        </w:rPr>
      </w:pPr>
      <w:r w:rsidRPr="00DF258C">
        <w:rPr>
          <w:noProof/>
          <w:color w:val="000000" w:themeColor="text1"/>
        </w:rPr>
        <w:t>A Comissão, em consulta com os Estados-Membros, realizou um estudo técnico destinado a identificar possíveis soluções informáticas para a introdução de um certificado de isenção eletrónico e o respetivo procedimento.</w:t>
      </w:r>
    </w:p>
    <w:p w:rsidR="004A3B27" w:rsidRPr="00DF258C" w:rsidRDefault="004A3B27" w:rsidP="004A3B27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Adequação da regulamentação e simplificação</w:t>
      </w:r>
    </w:p>
    <w:p w:rsidR="004A3B27" w:rsidRPr="00DF258C" w:rsidRDefault="004A3B27" w:rsidP="004A3B27">
      <w:pPr>
        <w:rPr>
          <w:rFonts w:eastAsia="Arial Unicode MS"/>
          <w:noProof/>
        </w:rPr>
      </w:pPr>
      <w:r w:rsidRPr="00DF258C">
        <w:rPr>
          <w:noProof/>
        </w:rPr>
        <w:t>A proposta não está relacionada com o programa REFIT e não tem especial impacto nas microempresas nem nas PME.</w:t>
      </w:r>
    </w:p>
    <w:p w:rsidR="004A3B27" w:rsidRPr="00DF258C" w:rsidRDefault="004A3B27" w:rsidP="004A3B27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Direitos fundamentais</w:t>
      </w:r>
    </w:p>
    <w:p w:rsidR="004A3B27" w:rsidRPr="00DF258C" w:rsidRDefault="003115D3" w:rsidP="004A3B2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DF258C">
        <w:rPr>
          <w:noProof/>
        </w:rPr>
        <w:t>A conversão eletrónica proposta do procedimento de isenção de IVA apoia a adaptação à era digital e reforça os direitos dos cidadãos no que diz respeito ao tratamento dos seus dados pessoais, tal como protegidos pelo artigo 8.º da Carta dos Direitos Fundamentais da UE e pelo artigo 16.º do Tratado sobre o Funcionamento da União Europeia.</w:t>
      </w:r>
    </w:p>
    <w:p w:rsidR="00BC2AA6" w:rsidRPr="00DF258C" w:rsidRDefault="00BC2AA6" w:rsidP="00550536">
      <w:pPr>
        <w:pStyle w:val="ManualHeading1"/>
        <w:rPr>
          <w:noProof/>
        </w:rPr>
      </w:pPr>
      <w:r w:rsidRPr="00DF258C">
        <w:rPr>
          <w:noProof/>
        </w:rPr>
        <w:t>4.</w:t>
      </w:r>
      <w:r w:rsidRPr="00DF258C">
        <w:rPr>
          <w:noProof/>
        </w:rPr>
        <w:tab/>
        <w:t>INCIDÊNCIA ORÇAMENTAL</w:t>
      </w:r>
    </w:p>
    <w:p w:rsidR="00BC2AA6" w:rsidRPr="00DF258C" w:rsidRDefault="009F4B9D" w:rsidP="00476866">
      <w:pPr>
        <w:rPr>
          <w:rFonts w:eastAsia="Arial Unicode MS"/>
          <w:noProof/>
        </w:rPr>
      </w:pPr>
      <w:r w:rsidRPr="00DF258C">
        <w:rPr>
          <w:noProof/>
        </w:rPr>
        <w:t>A presente proposta introduz certas alterações necessárias para a conversão eletrónica do certificado de isenção de IVA, mas não afeta o âmbito de aplicação das isenções de IVA a que se refere. Consequentemente, não tem incidência no orçamento da União.</w:t>
      </w:r>
    </w:p>
    <w:p w:rsidR="00BC2AA6" w:rsidRPr="00DF258C" w:rsidRDefault="00BC2AA6" w:rsidP="00550536">
      <w:pPr>
        <w:pStyle w:val="ManualHeading1"/>
        <w:rPr>
          <w:noProof/>
        </w:rPr>
      </w:pPr>
      <w:r w:rsidRPr="00DF258C">
        <w:rPr>
          <w:noProof/>
        </w:rPr>
        <w:t>5.</w:t>
      </w:r>
      <w:r w:rsidRPr="00DF258C">
        <w:rPr>
          <w:noProof/>
        </w:rPr>
        <w:tab/>
        <w:t>OUTROS ELEMENTOS</w:t>
      </w:r>
    </w:p>
    <w:p w:rsidR="00BC2AA6" w:rsidRPr="00DF258C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Planos de execução e acompanhamento, avaliação e prestação de informações</w:t>
      </w:r>
    </w:p>
    <w:p w:rsidR="00BC2AA6" w:rsidRPr="00DF258C" w:rsidRDefault="00F15391" w:rsidP="0004405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DF258C">
        <w:rPr>
          <w:noProof/>
        </w:rPr>
        <w:t>A Comissão acompanhará a aplicação das medidas propostas no âmbito das suas responsabilidades, a fim de assegurar a correta aplicação da legislação da UE relativa ao IVA.</w:t>
      </w:r>
    </w:p>
    <w:p w:rsidR="00BC2AA6" w:rsidRPr="00DF258C" w:rsidRDefault="00BC2AA6" w:rsidP="00A4693B">
      <w:pPr>
        <w:pStyle w:val="ManualHeading2"/>
        <w:rPr>
          <w:rFonts w:eastAsia="Arial Unicode MS"/>
          <w:noProof/>
          <w:u w:color="000000"/>
          <w:bdr w:val="nil"/>
        </w:rPr>
      </w:pPr>
      <w:r w:rsidRPr="00DF258C">
        <w:rPr>
          <w:noProof/>
          <w:u w:color="000000"/>
          <w:bdr w:val="nil"/>
        </w:rPr>
        <w:t>•</w:t>
      </w:r>
      <w:r w:rsidRPr="00DF258C">
        <w:rPr>
          <w:noProof/>
          <w:u w:color="000000"/>
          <w:bdr w:val="nil"/>
        </w:rPr>
        <w:tab/>
        <w:t>Explicação pormenorizada das disposições específicas da proposta</w:t>
      </w:r>
    </w:p>
    <w:p w:rsidR="006C503F" w:rsidRPr="00DF258C" w:rsidRDefault="006C503F" w:rsidP="009941A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DF258C">
        <w:rPr>
          <w:noProof/>
        </w:rPr>
        <w:t>O artigo 1.º, n.º 1, da proposta altera a redação do artigo 51.º, n.º 1, primeira frase, do Regulamento de Execução do IVA, a fim de assegurar que o novo certificado de isenção eletrónico de IVA referido no artigo 151.º, n.º 1-A, da Diretiva IVA possa ser utilizado como alternativa.</w:t>
      </w:r>
    </w:p>
    <w:p w:rsidR="006C503F" w:rsidRPr="00DF258C" w:rsidRDefault="006C503F" w:rsidP="006C503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DF258C">
        <w:rPr>
          <w:noProof/>
        </w:rPr>
        <w:t>O artigo 1.º, n.º 2, da proposta substitui o certificado de isenção de IVA e/ou de impostos especiais de consumo previsto no anexo II do Regulamento de Execução do IVA por uma nova versão que reflete o facto de a Diretiva 2008/118/CE ter sido substituída pela Diretiva (UE) 2020/262 do Conselho (reformulação).</w:t>
      </w:r>
    </w:p>
    <w:p w:rsidR="00BC2AA6" w:rsidRPr="00DF258C" w:rsidRDefault="006C503F" w:rsidP="002258F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DF258C">
        <w:rPr>
          <w:noProof/>
        </w:rPr>
        <w:t>O artigo 2.º da proposta suprime o artigo 51.º e o anexo II do Regulamento de Execução do IVA, a fim de assegurar que, a partir de 1 de julho de 2030, só será aplicável o certificado de isenção eletrónico de IVA referido no artigo 151.º, n.º 1-A, da Diretiva IVA.</w:t>
      </w:r>
    </w:p>
    <w:p w:rsidR="00E77CEE" w:rsidRPr="00DF258C" w:rsidRDefault="00E77CEE" w:rsidP="002258F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  <w:sectPr w:rsidR="00E77CEE" w:rsidRPr="00DF258C" w:rsidSect="00B82E46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7C021C" w:rsidRPr="00DF258C" w:rsidRDefault="00DF258C" w:rsidP="00DF258C">
      <w:pPr>
        <w:pStyle w:val="Rfrenceinterinstitutionnelle"/>
        <w:rPr>
          <w:noProof/>
        </w:rPr>
      </w:pPr>
      <w:r>
        <w:rPr>
          <w:noProof/>
        </w:rPr>
        <w:t>2024/0153 (NLE)</w:t>
      </w:r>
    </w:p>
    <w:p w:rsidR="00BC2AA6" w:rsidRPr="00DF258C" w:rsidRDefault="00DF258C" w:rsidP="00DF258C">
      <w:pPr>
        <w:pStyle w:val="Statut"/>
        <w:rPr>
          <w:noProof/>
        </w:rPr>
      </w:pPr>
      <w:r w:rsidRPr="00DF258C">
        <w:rPr>
          <w:noProof/>
        </w:rPr>
        <w:t>Proposta de</w:t>
      </w:r>
    </w:p>
    <w:p w:rsidR="00BC2AA6" w:rsidRPr="00DF258C" w:rsidRDefault="00DF258C" w:rsidP="00DF258C">
      <w:pPr>
        <w:pStyle w:val="Typedudocument"/>
        <w:rPr>
          <w:noProof/>
        </w:rPr>
      </w:pPr>
      <w:r w:rsidRPr="00DF258C">
        <w:rPr>
          <w:noProof/>
        </w:rPr>
        <w:t>REGULAMENTO DE EXECUÇÃO DO CONSELHO</w:t>
      </w:r>
    </w:p>
    <w:p w:rsidR="00BC2AA6" w:rsidRPr="00DF258C" w:rsidRDefault="00DF258C" w:rsidP="00DF258C">
      <w:pPr>
        <w:pStyle w:val="Titreobjet"/>
        <w:rPr>
          <w:noProof/>
        </w:rPr>
      </w:pPr>
      <w:r w:rsidRPr="00DF258C">
        <w:rPr>
          <w:noProof/>
        </w:rPr>
        <w:t>que altera o Regulamento de Execução (UE) n.º 282/2011 no que respeita ao certificado de isenção eletrónico do imposto sobre o valor acrescentado</w:t>
      </w:r>
    </w:p>
    <w:p w:rsidR="00BC2AA6" w:rsidRPr="00DF258C" w:rsidRDefault="00BC2AA6" w:rsidP="001D7C40">
      <w:pPr>
        <w:pStyle w:val="Institutionquiagit"/>
        <w:rPr>
          <w:noProof/>
        </w:rPr>
      </w:pPr>
      <w:r w:rsidRPr="00DF258C">
        <w:rPr>
          <w:noProof/>
        </w:rPr>
        <w:t>O CONSELHO DA UNIÃO EUROPEIA,</w:t>
      </w:r>
    </w:p>
    <w:p w:rsidR="00BC2AA6" w:rsidRPr="00DF258C" w:rsidRDefault="00BC2AA6" w:rsidP="001D7C40">
      <w:pPr>
        <w:rPr>
          <w:noProof/>
        </w:rPr>
      </w:pPr>
      <w:r w:rsidRPr="00DF258C">
        <w:rPr>
          <w:noProof/>
        </w:rPr>
        <w:t xml:space="preserve">Tendo em conta o Tratado sobre o Funcionamento da União Europeia, </w:t>
      </w:r>
    </w:p>
    <w:p w:rsidR="00BC2AA6" w:rsidRPr="00DF258C" w:rsidRDefault="00135531" w:rsidP="001D7C40">
      <w:pPr>
        <w:rPr>
          <w:noProof/>
        </w:rPr>
      </w:pPr>
      <w:r w:rsidRPr="00DF258C">
        <w:rPr>
          <w:noProof/>
        </w:rPr>
        <w:t>Tendo em conta a Diretiva 2006/112/CE do Conselho, de 28 de novembro de 2006, relativa ao sistema comum do imposto sobre o valor acrescentado</w:t>
      </w:r>
      <w:r w:rsidRPr="00DF258C">
        <w:rPr>
          <w:rStyle w:val="FootnoteReference"/>
          <w:noProof/>
        </w:rPr>
        <w:footnoteReference w:id="8"/>
      </w:r>
      <w:r w:rsidRPr="00DF258C">
        <w:rPr>
          <w:noProof/>
        </w:rPr>
        <w:t>, nomeadamente o artigo 397.º,</w:t>
      </w:r>
    </w:p>
    <w:p w:rsidR="00BC2AA6" w:rsidRPr="00DF258C" w:rsidRDefault="00BC2AA6" w:rsidP="001D7C40">
      <w:pPr>
        <w:rPr>
          <w:noProof/>
        </w:rPr>
      </w:pPr>
      <w:r w:rsidRPr="00DF258C">
        <w:rPr>
          <w:noProof/>
        </w:rPr>
        <w:t>Tendo em conta a proposta da Comissão Europeia,</w:t>
      </w:r>
    </w:p>
    <w:p w:rsidR="00BC2AA6" w:rsidRPr="00DF258C" w:rsidRDefault="00BC2AA6" w:rsidP="001D7C40">
      <w:pPr>
        <w:rPr>
          <w:noProof/>
        </w:rPr>
      </w:pPr>
      <w:r w:rsidRPr="00DF258C">
        <w:rPr>
          <w:noProof/>
        </w:rPr>
        <w:t>Considerando o seguinte:</w:t>
      </w:r>
    </w:p>
    <w:p w:rsidR="009073A4" w:rsidRPr="00DF258C" w:rsidRDefault="00E36608" w:rsidP="00E36608">
      <w:pPr>
        <w:pStyle w:val="ManualConsidrant"/>
        <w:rPr>
          <w:noProof/>
        </w:rPr>
      </w:pPr>
      <w:r w:rsidRPr="00DF258C">
        <w:rPr>
          <w:noProof/>
        </w:rPr>
        <w:t>(1)</w:t>
      </w:r>
      <w:r w:rsidRPr="00DF258C">
        <w:rPr>
          <w:noProof/>
        </w:rPr>
        <w:tab/>
        <w:t>O artigo 151.º, n.º 1-A, da Diretiva 2006/112/CE introduz o novo certificado de isenção eletrónico de IVA e o procedimento eletrónico necessário para o seu tratamento. A fim de dar aos Estados-Membros flexibilidade suficiente para executar o grande número de projetos informáticos em curso, estes podem continuar a utilizar o certificado em papel existente, tal como estabelecido no anexo II do Regulamento de Execução (UE) n.º 282/2011 do Conselho</w:t>
      </w:r>
      <w:r w:rsidR="00DF7BF0" w:rsidRPr="00DF258C">
        <w:rPr>
          <w:rStyle w:val="FootnoteReference"/>
          <w:noProof/>
        </w:rPr>
        <w:footnoteReference w:id="9"/>
      </w:r>
      <w:r w:rsidRPr="00DF258C">
        <w:rPr>
          <w:noProof/>
        </w:rPr>
        <w:t>, para as transações efetuadas até 30 de junho de 2030. O artigo 51.º, n.º 1, do referido regulamento de execução deve ser alterado a fim de permitir a utilização alternativa de certificados eletrónicos e em papel durante o período transitório.</w:t>
      </w:r>
    </w:p>
    <w:p w:rsidR="001F4D58" w:rsidRPr="00DF258C" w:rsidRDefault="00E36608" w:rsidP="00E36608">
      <w:pPr>
        <w:pStyle w:val="ManualConsidrant"/>
        <w:rPr>
          <w:noProof/>
        </w:rPr>
      </w:pPr>
      <w:r w:rsidRPr="00DF258C">
        <w:rPr>
          <w:noProof/>
        </w:rPr>
        <w:t>(2)</w:t>
      </w:r>
      <w:r w:rsidRPr="00DF258C">
        <w:rPr>
          <w:noProof/>
        </w:rPr>
        <w:tab/>
        <w:t>O anexo II do Regulamento de Execução (UE) n.º 282/2011 deve ser substituído por uma nova versão que reflita o facto de a Diretiva 2008/118/CE do Conselho</w:t>
      </w:r>
      <w:r w:rsidR="00FF14FE" w:rsidRPr="00DF258C">
        <w:rPr>
          <w:rStyle w:val="FootnoteReference"/>
          <w:noProof/>
        </w:rPr>
        <w:footnoteReference w:id="10"/>
      </w:r>
      <w:r w:rsidRPr="00DF258C">
        <w:rPr>
          <w:noProof/>
        </w:rPr>
        <w:t xml:space="preserve"> ter sido substituída pela Diretiva (UE) 2020/262 do Conselho</w:t>
      </w:r>
      <w:r w:rsidR="00DF7BF0" w:rsidRPr="00DF258C">
        <w:rPr>
          <w:rStyle w:val="FootnoteReference"/>
          <w:noProof/>
        </w:rPr>
        <w:footnoteReference w:id="11"/>
      </w:r>
      <w:r w:rsidRPr="00DF258C">
        <w:rPr>
          <w:noProof/>
        </w:rPr>
        <w:t>.</w:t>
      </w:r>
    </w:p>
    <w:p w:rsidR="001F4D58" w:rsidRPr="00DF258C" w:rsidRDefault="00E36608" w:rsidP="00E36608">
      <w:pPr>
        <w:pStyle w:val="ManualConsidrant"/>
        <w:rPr>
          <w:noProof/>
        </w:rPr>
      </w:pPr>
      <w:r w:rsidRPr="00DF258C">
        <w:rPr>
          <w:noProof/>
        </w:rPr>
        <w:t>(3)</w:t>
      </w:r>
      <w:r w:rsidRPr="00DF258C">
        <w:rPr>
          <w:noProof/>
        </w:rPr>
        <w:tab/>
        <w:t>Em conformidade com a Diretiva 2006/112/CE, a partir de 1 de julho de 2030, só deve ser utilizado o novo certificado de isenção eletrónico referido no artigo 151.º, n.º 1-A, dessa diretiva. Por conseguinte, o artigo 51.º e o anexo II do Regulamento de Execução (UE) n.º 282/2011, que preveem a versão em papel do certificado de isenção, devem ser suprimidos a partir dessa data.</w:t>
      </w:r>
    </w:p>
    <w:p w:rsidR="00BC2AA6" w:rsidRPr="00DF258C" w:rsidRDefault="00E36608" w:rsidP="002A2F1C">
      <w:pPr>
        <w:pStyle w:val="ManualConsidrant"/>
        <w:rPr>
          <w:noProof/>
        </w:rPr>
      </w:pPr>
      <w:r w:rsidRPr="00DF258C">
        <w:rPr>
          <w:noProof/>
        </w:rPr>
        <w:t>(4)</w:t>
      </w:r>
      <w:r w:rsidRPr="00DF258C">
        <w:rPr>
          <w:noProof/>
        </w:rPr>
        <w:tab/>
        <w:t>Por conseguinte, o Regulamento de Execução (UE) n.º 282/2011 deverá ser alterado em conformidade,</w:t>
      </w:r>
    </w:p>
    <w:p w:rsidR="00BC2AA6" w:rsidRPr="00DF258C" w:rsidRDefault="00BC2AA6" w:rsidP="001D7C40">
      <w:pPr>
        <w:pStyle w:val="Formuledadoption"/>
        <w:rPr>
          <w:noProof/>
        </w:rPr>
      </w:pPr>
      <w:r w:rsidRPr="00DF258C">
        <w:rPr>
          <w:noProof/>
        </w:rPr>
        <w:t>ADOTOU O PRESENTE REGULAMENTO:</w:t>
      </w:r>
    </w:p>
    <w:p w:rsidR="00F55172" w:rsidRPr="00DF258C" w:rsidRDefault="00F55172" w:rsidP="00F55172">
      <w:pPr>
        <w:pStyle w:val="Titrearticle"/>
        <w:rPr>
          <w:noProof/>
        </w:rPr>
      </w:pPr>
      <w:r w:rsidRPr="00DF258C">
        <w:rPr>
          <w:noProof/>
        </w:rPr>
        <w:t>Artigo 1.º</w:t>
      </w:r>
    </w:p>
    <w:p w:rsidR="00F55172" w:rsidRPr="00DF258C" w:rsidRDefault="00EE107A" w:rsidP="00F55172">
      <w:pPr>
        <w:rPr>
          <w:noProof/>
        </w:rPr>
      </w:pPr>
      <w:r w:rsidRPr="00DF258C">
        <w:rPr>
          <w:noProof/>
        </w:rPr>
        <w:t>O Regulamento de Execução (UE) n.º 282/2011 é modificado do seguinte modo:</w:t>
      </w:r>
    </w:p>
    <w:p w:rsidR="00F55172" w:rsidRPr="00DF258C" w:rsidRDefault="00F55172" w:rsidP="00F55172">
      <w:pPr>
        <w:pStyle w:val="Point0"/>
        <w:rPr>
          <w:noProof/>
        </w:rPr>
      </w:pPr>
      <w:r w:rsidRPr="00DF258C">
        <w:rPr>
          <w:noProof/>
        </w:rPr>
        <w:t>(1)</w:t>
      </w:r>
      <w:r w:rsidRPr="00DF258C">
        <w:rPr>
          <w:noProof/>
        </w:rPr>
        <w:tab/>
        <w:t>No artigo 51.º, o n.º 1 passa a ter a seguinte redação:</w:t>
      </w:r>
    </w:p>
    <w:p w:rsidR="00EE1C01" w:rsidRPr="00DF258C" w:rsidRDefault="00F55172" w:rsidP="00EE1C01">
      <w:pPr>
        <w:pStyle w:val="Text1"/>
        <w:tabs>
          <w:tab w:val="left" w:pos="1134"/>
        </w:tabs>
        <w:ind w:left="567" w:right="568"/>
        <w:rPr>
          <w:noProof/>
        </w:rPr>
      </w:pPr>
      <w:r w:rsidRPr="00DF258C">
        <w:rPr>
          <w:noProof/>
        </w:rPr>
        <w:t>«1.</w:t>
      </w:r>
      <w:r w:rsidRPr="00DF258C">
        <w:rPr>
          <w:noProof/>
        </w:rPr>
        <w:tab/>
        <w:t>Quando o adquirente ou destinatário da entrega de bens ou da prestação de serviços estiver estabelecido no território da União mas não no Estado-Membro onde a entrega ou prestação é efetuada e não for usado o certificado de isenção eletrónico nos termos do artigo 151.º, n.º 1-A, da Diretiva 2006/112/CE, o certificado de isenção de IVA e/ou de impostos especiais de consumo que consta do anexo II do presente regulamento é utilizado para confirmar, sob reserva das notas explicativas constantes do anexo desse certificado, que a operação pode beneficiar da isenção nos termos do artigo 151.º, n.º 1, da Diretiva 2006/112/CE.</w:t>
      </w:r>
    </w:p>
    <w:p w:rsidR="00BC2AA6" w:rsidRPr="00DF258C" w:rsidRDefault="00EE1C01" w:rsidP="00EE1C01">
      <w:pPr>
        <w:pStyle w:val="Text1"/>
        <w:tabs>
          <w:tab w:val="left" w:pos="1134"/>
        </w:tabs>
        <w:ind w:left="567" w:right="568"/>
        <w:rPr>
          <w:noProof/>
        </w:rPr>
      </w:pPr>
      <w:r w:rsidRPr="00DF258C">
        <w:rPr>
          <w:noProof/>
        </w:rPr>
        <w:t>Quando fizer uso desse certificado, o Estado-Membro em que está estabelecido o adquirente ou destinatário da entrega de bens ou da prestação de serviços pode decidir se utiliza um certificado comum de IVA e de impostos especiais de consumo ou se utiliza dois certificados distintos.»;</w:t>
      </w:r>
    </w:p>
    <w:p w:rsidR="006D3044" w:rsidRPr="00DF258C" w:rsidRDefault="006D3044" w:rsidP="006D3044">
      <w:pPr>
        <w:pStyle w:val="Point0"/>
        <w:rPr>
          <w:noProof/>
        </w:rPr>
      </w:pPr>
      <w:r w:rsidRPr="00DF258C">
        <w:rPr>
          <w:noProof/>
        </w:rPr>
        <w:t>(2)</w:t>
      </w:r>
      <w:r w:rsidRPr="00DF258C">
        <w:rPr>
          <w:noProof/>
        </w:rPr>
        <w:tab/>
        <w:t>O texto do anexo II é substituído pelo texto do anexo do presente regulamento.</w:t>
      </w:r>
    </w:p>
    <w:p w:rsidR="006D3044" w:rsidRPr="00DF258C" w:rsidRDefault="006D3044" w:rsidP="006D3044">
      <w:pPr>
        <w:pStyle w:val="Titrearticle"/>
        <w:rPr>
          <w:noProof/>
        </w:rPr>
      </w:pPr>
      <w:r w:rsidRPr="00DF258C">
        <w:rPr>
          <w:noProof/>
        </w:rPr>
        <w:t>Artigo 2.º</w:t>
      </w:r>
    </w:p>
    <w:p w:rsidR="006D3044" w:rsidRPr="00DF258C" w:rsidRDefault="00FF4143" w:rsidP="006D3044">
      <w:pPr>
        <w:rPr>
          <w:noProof/>
        </w:rPr>
      </w:pPr>
      <w:r w:rsidRPr="00DF258C">
        <w:rPr>
          <w:noProof/>
        </w:rPr>
        <w:t>O Regulamento de Execução (UE) n.º 282/2011 é modificado do seguinte modo:</w:t>
      </w:r>
    </w:p>
    <w:p w:rsidR="006D3044" w:rsidRPr="00DF258C" w:rsidRDefault="006D3044" w:rsidP="006D3044">
      <w:pPr>
        <w:pStyle w:val="Point0"/>
        <w:rPr>
          <w:noProof/>
        </w:rPr>
      </w:pPr>
      <w:r w:rsidRPr="00DF258C">
        <w:rPr>
          <w:noProof/>
        </w:rPr>
        <w:t>(1)</w:t>
      </w:r>
      <w:r w:rsidRPr="00DF258C">
        <w:rPr>
          <w:noProof/>
        </w:rPr>
        <w:tab/>
        <w:t>O artigo 51.º é suprimido;</w:t>
      </w:r>
    </w:p>
    <w:p w:rsidR="00BA6944" w:rsidRPr="00DF258C" w:rsidRDefault="006D3044" w:rsidP="006D3044">
      <w:pPr>
        <w:pStyle w:val="Point0"/>
        <w:rPr>
          <w:noProof/>
        </w:rPr>
      </w:pPr>
      <w:r w:rsidRPr="00DF258C">
        <w:rPr>
          <w:noProof/>
        </w:rPr>
        <w:t>(2)</w:t>
      </w:r>
      <w:r w:rsidRPr="00DF258C">
        <w:rPr>
          <w:noProof/>
        </w:rPr>
        <w:tab/>
        <w:t>O anexo II é suprimido.</w:t>
      </w:r>
    </w:p>
    <w:p w:rsidR="00BC2AA6" w:rsidRPr="00DF258C" w:rsidRDefault="00BC2AA6" w:rsidP="00BA6944">
      <w:pPr>
        <w:pStyle w:val="Titrearticle"/>
        <w:rPr>
          <w:noProof/>
        </w:rPr>
      </w:pPr>
      <w:r w:rsidRPr="00DF258C">
        <w:rPr>
          <w:noProof/>
        </w:rPr>
        <w:t>Artigo 3.º</w:t>
      </w:r>
    </w:p>
    <w:p w:rsidR="007C145C" w:rsidRPr="00DF258C" w:rsidRDefault="00BC2AA6" w:rsidP="003A6BE9">
      <w:pPr>
        <w:rPr>
          <w:noProof/>
        </w:rPr>
      </w:pPr>
      <w:r w:rsidRPr="00DF258C">
        <w:rPr>
          <w:noProof/>
        </w:rPr>
        <w:t xml:space="preserve">O presente regulamento entra em vigor no vigésimo dia seguinte ao da sua publicação no </w:t>
      </w:r>
      <w:r w:rsidRPr="00DF258C">
        <w:rPr>
          <w:i/>
          <w:iCs/>
          <w:noProof/>
        </w:rPr>
        <w:t>Jornal Oficial da União Europeia</w:t>
      </w:r>
      <w:r w:rsidRPr="00DF258C">
        <w:rPr>
          <w:noProof/>
        </w:rPr>
        <w:t>.</w:t>
      </w:r>
    </w:p>
    <w:p w:rsidR="00015CEE" w:rsidRPr="00DF258C" w:rsidRDefault="00015CEE" w:rsidP="007C145C">
      <w:pPr>
        <w:rPr>
          <w:noProof/>
        </w:rPr>
      </w:pPr>
      <w:r w:rsidRPr="00DF258C">
        <w:rPr>
          <w:noProof/>
        </w:rPr>
        <w:t>O artigo 1.º é aplicável a partir do dia 1 de julho de 2026.</w:t>
      </w:r>
    </w:p>
    <w:p w:rsidR="00540207" w:rsidRPr="00DF258C" w:rsidRDefault="007C145C" w:rsidP="007C145C">
      <w:pPr>
        <w:rPr>
          <w:noProof/>
        </w:rPr>
      </w:pPr>
      <w:r w:rsidRPr="00DF258C">
        <w:rPr>
          <w:noProof/>
        </w:rPr>
        <w:t>O artigo 2.º é aplicável a partir de 1 de julho de 2030.</w:t>
      </w:r>
    </w:p>
    <w:p w:rsidR="001703CA" w:rsidRPr="00DF258C" w:rsidRDefault="001703CA" w:rsidP="00540207">
      <w:pPr>
        <w:rPr>
          <w:noProof/>
        </w:rPr>
      </w:pPr>
    </w:p>
    <w:p w:rsidR="00BC2AA6" w:rsidRPr="00DF258C" w:rsidRDefault="00BC2AA6" w:rsidP="00540207">
      <w:pPr>
        <w:rPr>
          <w:noProof/>
        </w:rPr>
      </w:pPr>
      <w:r w:rsidRPr="00DF258C">
        <w:rPr>
          <w:noProof/>
        </w:rPr>
        <w:t>O presente regulamento é obrigatório em todos os seus elementos e diretamente aplicável em todos os Estados-Membros.</w:t>
      </w:r>
    </w:p>
    <w:p w:rsidR="00BC2AA6" w:rsidRPr="00DF258C" w:rsidRDefault="00DF258C" w:rsidP="00E76570">
      <w:pPr>
        <w:pStyle w:val="Fait"/>
        <w:rPr>
          <w:noProof/>
        </w:rPr>
      </w:pPr>
      <w:r>
        <w:rPr>
          <w:noProof/>
        </w:rPr>
        <w:t>Feito em Bruxelas, em</w:t>
      </w:r>
    </w:p>
    <w:p w:rsidR="00BC2AA6" w:rsidRPr="00DF258C" w:rsidRDefault="00BC2AA6" w:rsidP="00E76570">
      <w:pPr>
        <w:pStyle w:val="Institutionquisigne"/>
        <w:rPr>
          <w:noProof/>
        </w:rPr>
      </w:pPr>
      <w:r w:rsidRPr="00DF258C">
        <w:rPr>
          <w:noProof/>
        </w:rPr>
        <w:tab/>
        <w:t>Pelo Conselho</w:t>
      </w:r>
    </w:p>
    <w:p w:rsidR="00BC2AA6" w:rsidRPr="00DF258C" w:rsidRDefault="00BC2AA6" w:rsidP="00BC2AA6">
      <w:pPr>
        <w:pStyle w:val="Personnequisigne"/>
        <w:rPr>
          <w:noProof/>
        </w:rPr>
      </w:pPr>
      <w:r w:rsidRPr="00DF258C">
        <w:rPr>
          <w:noProof/>
        </w:rPr>
        <w:tab/>
        <w:t>O Presidente</w:t>
      </w:r>
    </w:p>
    <w:sectPr w:rsidR="00BC2AA6" w:rsidRPr="00DF258C" w:rsidSect="00B82E46"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24" w:rsidRDefault="00347B24" w:rsidP="00BC2AA6">
      <w:pPr>
        <w:spacing w:before="0" w:after="0"/>
      </w:pPr>
      <w:r>
        <w:separator/>
      </w:r>
    </w:p>
  </w:endnote>
  <w:endnote w:type="continuationSeparator" w:id="0">
    <w:p w:rsidR="00347B24" w:rsidRDefault="00347B24" w:rsidP="00BC2A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46" w:rsidRPr="00B82E46" w:rsidRDefault="00B82E46" w:rsidP="00B82E46">
    <w:pPr>
      <w:pStyle w:val="Footer"/>
      <w:rPr>
        <w:rFonts w:ascii="Arial" w:hAnsi="Arial" w:cs="Arial"/>
        <w:b/>
        <w:sz w:val="48"/>
      </w:rPr>
    </w:pPr>
    <w:r w:rsidRPr="00B82E46">
      <w:rPr>
        <w:rFonts w:ascii="Arial" w:hAnsi="Arial" w:cs="Arial"/>
        <w:b/>
        <w:sz w:val="48"/>
      </w:rPr>
      <w:t>PT</w:t>
    </w:r>
    <w:r w:rsidRPr="00B82E46">
      <w:rPr>
        <w:rFonts w:ascii="Arial" w:hAnsi="Arial" w:cs="Arial"/>
        <w:b/>
        <w:sz w:val="48"/>
      </w:rPr>
      <w:tab/>
    </w:r>
    <w:r w:rsidRPr="00B82E46">
      <w:rPr>
        <w:rFonts w:ascii="Arial" w:hAnsi="Arial" w:cs="Arial"/>
        <w:b/>
        <w:sz w:val="48"/>
      </w:rPr>
      <w:tab/>
    </w:r>
    <w:r w:rsidRPr="00B82E46">
      <w:tab/>
    </w:r>
    <w:r w:rsidRPr="00B82E46">
      <w:rPr>
        <w:rFonts w:ascii="Arial" w:hAnsi="Arial" w:cs="Arial"/>
        <w:b/>
        <w:sz w:val="48"/>
      </w:rPr>
      <w:t>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46" w:rsidRPr="00B82E46" w:rsidRDefault="00B82E46" w:rsidP="00B82E46">
    <w:pPr>
      <w:pStyle w:val="Footer"/>
      <w:rPr>
        <w:rFonts w:ascii="Arial" w:hAnsi="Arial" w:cs="Arial"/>
        <w:b/>
        <w:sz w:val="48"/>
      </w:rPr>
    </w:pPr>
    <w:r w:rsidRPr="00B82E46">
      <w:rPr>
        <w:rFonts w:ascii="Arial" w:hAnsi="Arial" w:cs="Arial"/>
        <w:b/>
        <w:sz w:val="48"/>
      </w:rPr>
      <w:t>PT</w:t>
    </w:r>
    <w:r w:rsidRPr="00B82E46">
      <w:rPr>
        <w:rFonts w:ascii="Arial" w:hAnsi="Arial" w:cs="Arial"/>
        <w:b/>
        <w:sz w:val="48"/>
      </w:rPr>
      <w:tab/>
    </w:r>
    <w:r w:rsidRPr="00B82E46">
      <w:rPr>
        <w:rFonts w:ascii="Arial" w:hAnsi="Arial" w:cs="Arial"/>
        <w:b/>
        <w:sz w:val="48"/>
      </w:rPr>
      <w:tab/>
    </w:r>
    <w:r w:rsidRPr="00B82E46">
      <w:tab/>
    </w:r>
    <w:r w:rsidRPr="00B82E46"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46" w:rsidRDefault="00B82E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46" w:rsidRPr="00B82E46" w:rsidRDefault="00B82E46" w:rsidP="00B82E46">
    <w:pPr>
      <w:pStyle w:val="Footer"/>
      <w:rPr>
        <w:rFonts w:ascii="Arial" w:hAnsi="Arial" w:cs="Arial"/>
        <w:b/>
        <w:sz w:val="48"/>
      </w:rPr>
    </w:pPr>
    <w:r w:rsidRPr="00B82E46">
      <w:rPr>
        <w:rFonts w:ascii="Arial" w:hAnsi="Arial" w:cs="Arial"/>
        <w:b/>
        <w:sz w:val="48"/>
      </w:rPr>
      <w:t>PT</w:t>
    </w:r>
    <w:r w:rsidRPr="00B82E4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E76570">
      <w:rPr>
        <w:noProof/>
      </w:rPr>
      <w:t>6</w:t>
    </w:r>
    <w:r>
      <w:fldChar w:fldCharType="end"/>
    </w:r>
    <w:r>
      <w:tab/>
    </w:r>
    <w:r w:rsidRPr="00B82E46">
      <w:tab/>
    </w:r>
    <w:r w:rsidRPr="00B82E46"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46" w:rsidRDefault="00B82E46" w:rsidP="00B82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24" w:rsidRDefault="00347B24" w:rsidP="00BC2AA6">
      <w:pPr>
        <w:spacing w:before="0" w:after="0"/>
      </w:pPr>
      <w:r>
        <w:separator/>
      </w:r>
    </w:p>
  </w:footnote>
  <w:footnote w:type="continuationSeparator" w:id="0">
    <w:p w:rsidR="00347B24" w:rsidRDefault="00347B24" w:rsidP="00BC2AA6">
      <w:pPr>
        <w:spacing w:before="0" w:after="0"/>
      </w:pPr>
      <w:r>
        <w:continuationSeparator/>
      </w:r>
    </w:p>
  </w:footnote>
  <w:footnote w:id="1">
    <w:p w:rsidR="00D3255E" w:rsidRDefault="00D3255E" w:rsidP="00D3255E">
      <w:pPr>
        <w:pStyle w:val="FootnoteText"/>
      </w:pPr>
      <w:r>
        <w:rPr>
          <w:rStyle w:val="FootnoteReference"/>
        </w:rPr>
        <w:footnoteRef/>
      </w:r>
      <w:r>
        <w:tab/>
        <w:t>Regulamento de Execução (UE) n.º 282/2011 do Conselho, de 15 de março de 2011, que estabelece medidas de aplicação da Diretiva 2006/112/CE relativa ao sistema comum do imposto sobre o valor acrescentado (reformulação) (</w:t>
      </w:r>
      <w:hyperlink r:id="rId1" w:history="1">
        <w:r>
          <w:rPr>
            <w:rStyle w:val="Hyperlink"/>
          </w:rPr>
          <w:t>JO L 77 de 23.3.2011, p. 1</w:t>
        </w:r>
      </w:hyperlink>
      <w:r>
        <w:t>).</w:t>
      </w:r>
    </w:p>
  </w:footnote>
  <w:footnote w:id="2">
    <w:p w:rsidR="00CD0C49" w:rsidRDefault="00CD0C49" w:rsidP="00CD0C49">
      <w:pPr>
        <w:pStyle w:val="FootnoteText"/>
      </w:pPr>
      <w:r>
        <w:rPr>
          <w:rStyle w:val="FootnoteReference"/>
        </w:rPr>
        <w:footnoteRef/>
      </w:r>
      <w:r>
        <w:tab/>
        <w:t xml:space="preserve">Decisão de Execução (UE) 2015/1506 da Comissão, de 8 de setembro de 2015, que estabelece especificações relativas aos formatos das assinaturas eletrónicas avançadas e dos selos eletrónicos avançados para reconhecimento pelos organismos públicos nos termos dos artigos 27.º, n.º 5, e 37.º, n.º 5, do Regulamento (UE) n.º 910/2014 do Parlamento Europeu e do Conselho relativo à identificação eletrónica e aos serviços de confiança para as transações eletrónicas no mercado </w:t>
      </w:r>
      <w:bookmarkStart w:id="1" w:name="_Hlk168638091"/>
      <w:r>
        <w:t>interno (</w:t>
      </w:r>
      <w:hyperlink r:id="rId2" w:history="1">
        <w:r>
          <w:rPr>
            <w:rStyle w:val="Hyperlink"/>
          </w:rPr>
          <w:t>JO L 235 de 9.9.2015, p. 37</w:t>
        </w:r>
      </w:hyperlink>
      <w:r>
        <w:t>).</w:t>
      </w:r>
      <w:bookmarkEnd w:id="1"/>
    </w:p>
  </w:footnote>
  <w:footnote w:id="3">
    <w:p w:rsidR="00A429FA" w:rsidRDefault="00A429FA" w:rsidP="00A429FA">
      <w:pPr>
        <w:pStyle w:val="FootnoteText"/>
      </w:pPr>
      <w:r>
        <w:rPr>
          <w:rStyle w:val="FootnoteReference"/>
        </w:rPr>
        <w:footnoteRef/>
      </w:r>
      <w:r>
        <w:tab/>
        <w:t>Diretiva (UE) 2020/262 do Conselho, de 19 de dezembro de 2019, que estabelece o regime geral dos impostos especiais de consumo (reformulação) (</w:t>
      </w:r>
      <w:hyperlink r:id="rId3" w:history="1">
        <w:r>
          <w:rPr>
            <w:rStyle w:val="Hyperlink"/>
          </w:rPr>
          <w:t>JO L 58 de 27.2.2020, p. 4</w:t>
        </w:r>
      </w:hyperlink>
      <w:r>
        <w:t>).</w:t>
      </w:r>
    </w:p>
  </w:footnote>
  <w:footnote w:id="4">
    <w:p w:rsidR="00A448CF" w:rsidRDefault="00A448CF" w:rsidP="00A448CF">
      <w:pPr>
        <w:pStyle w:val="FootnoteText"/>
      </w:pPr>
      <w:r>
        <w:rPr>
          <w:rStyle w:val="FootnoteReference"/>
        </w:rPr>
        <w:footnoteRef/>
      </w:r>
      <w:r>
        <w:tab/>
        <w:t>Regulamento de Execução (UE) 2022/432 do Conselho de 15 de março de 2022 que altera o Regulamento de Execução (UE) n.º 282/2011 no que respeita ao certificado de isenção de IVA e/ou de impostos especiais de consumo (</w:t>
      </w:r>
      <w:hyperlink r:id="rId4" w:history="1">
        <w:r>
          <w:rPr>
            <w:rStyle w:val="Hyperlink"/>
          </w:rPr>
          <w:t>JO L 88 de 16.3.2022, p. 1</w:t>
        </w:r>
      </w:hyperlink>
      <w:r>
        <w:rPr>
          <w:rStyle w:val="Hyperlink"/>
        </w:rPr>
        <w:t>5</w:t>
      </w:r>
      <w:r>
        <w:t>)</w:t>
      </w:r>
    </w:p>
  </w:footnote>
  <w:footnote w:id="5">
    <w:p w:rsidR="00A448CF" w:rsidRDefault="00A448CF" w:rsidP="00A448CF">
      <w:pPr>
        <w:pStyle w:val="FootnoteText"/>
      </w:pPr>
      <w:r>
        <w:rPr>
          <w:rStyle w:val="FootnoteReference"/>
        </w:rPr>
        <w:footnoteRef/>
      </w:r>
      <w:r>
        <w:tab/>
        <w:t>Diretiva (UE) 2019/2235 do Conselho, de 16 de dezembro de 2019, que altera a Diretiva 2006/112/CE relativa ao sistema comum do imposto sobre o valor acrescentado e a Diretiva 2008/118/CE relativa ao regime geral dos impostos especiais de consumo no que respeita aos esforços de defesa no âmbito da União (</w:t>
      </w:r>
      <w:hyperlink r:id="rId5" w:history="1">
        <w:r>
          <w:rPr>
            <w:rStyle w:val="Hyperlink"/>
          </w:rPr>
          <w:t>JO L 336 de 30.12.2019, p. 1</w:t>
        </w:r>
      </w:hyperlink>
      <w:r>
        <w:rPr>
          <w:rStyle w:val="Hyperlink"/>
        </w:rPr>
        <w:t>0</w:t>
      </w:r>
      <w:r>
        <w:t>)</w:t>
      </w:r>
    </w:p>
  </w:footnote>
  <w:footnote w:id="6">
    <w:p w:rsidR="00A448CF" w:rsidRDefault="00A448CF" w:rsidP="00A448CF">
      <w:pPr>
        <w:pStyle w:val="FootnoteText"/>
      </w:pPr>
      <w:r>
        <w:rPr>
          <w:rStyle w:val="FootnoteReference"/>
        </w:rPr>
        <w:footnoteRef/>
      </w:r>
      <w:r>
        <w:tab/>
        <w:t>Diretiva (UE) 2021/1159 do Conselho, de 13 de julho de 2021, que altera a Diretiva 2006/112/CE no que diz respeito às isenções temporárias aplicáveis às importações e a certas entregas ou prestações de serviços, em resposta à pandemia de COVID-19 (</w:t>
      </w:r>
      <w:hyperlink r:id="rId6" w:history="1">
        <w:r>
          <w:rPr>
            <w:rStyle w:val="Hyperlink"/>
          </w:rPr>
          <w:t>JO L 250 de 15.7.2021, p. 1</w:t>
        </w:r>
      </w:hyperlink>
      <w:r>
        <w:t>)</w:t>
      </w:r>
    </w:p>
  </w:footnote>
  <w:footnote w:id="7">
    <w:p w:rsidR="008A76D4" w:rsidRDefault="008A76D4" w:rsidP="008A76D4">
      <w:pPr>
        <w:pStyle w:val="FootnoteText"/>
      </w:pPr>
      <w:r>
        <w:rPr>
          <w:rStyle w:val="FootnoteReference"/>
        </w:rPr>
        <w:footnoteRef/>
      </w:r>
      <w:r>
        <w:tab/>
        <w:t>Decisão de Execução (UE) 2015/1506 da Comissão, de 8 de setembro de 2015, que estabelece especificações relativas aos formatos das assinaturas eletrónicas avançadas e dos selos eletrónicos avançados para reconhecimento pelos organismos públicos nos termos dos artigos 27.º, n.º 5, e 37.º, n.º 5, do Regulamento (UE) n.º 910/2014 do Parlamento Europeu e do Conselho relativo à identificação eletrónica e aos serviços de confiança para as transações eletrónicas no mercado interno (</w:t>
      </w:r>
      <w:hyperlink r:id="rId7" w:history="1">
        <w:r>
          <w:rPr>
            <w:rStyle w:val="Hyperlink"/>
          </w:rPr>
          <w:t>JO L 235 de 9.9.2015, p. 37</w:t>
        </w:r>
      </w:hyperlink>
      <w:r>
        <w:t>).</w:t>
      </w:r>
    </w:p>
  </w:footnote>
  <w:footnote w:id="8">
    <w:p w:rsidR="00135531" w:rsidRPr="00636DE5" w:rsidRDefault="00135531" w:rsidP="00135531">
      <w:pPr>
        <w:pStyle w:val="FootnoteText"/>
      </w:pPr>
      <w:r>
        <w:rPr>
          <w:rStyle w:val="FootnoteReference"/>
        </w:rPr>
        <w:footnoteRef/>
      </w:r>
      <w:r>
        <w:tab/>
        <w:t xml:space="preserve">JO L 347 de 11.12.2006, p. 1, ELI: </w:t>
      </w:r>
      <w:hyperlink r:id="rId8" w:history="1">
        <w:r>
          <w:rPr>
            <w:rStyle w:val="Hyperlink"/>
          </w:rPr>
          <w:t>http://data.europa.eu/eli/reg_impl/2011/282/oj</w:t>
        </w:r>
      </w:hyperlink>
      <w:r>
        <w:t>.</w:t>
      </w:r>
    </w:p>
  </w:footnote>
  <w:footnote w:id="9">
    <w:p w:rsidR="00DF7BF0" w:rsidRPr="0060400C" w:rsidRDefault="00DF7BF0" w:rsidP="00DF7BF0">
      <w:pPr>
        <w:pStyle w:val="FootnoteText"/>
      </w:pPr>
      <w:r>
        <w:rPr>
          <w:rStyle w:val="FootnoteReference"/>
        </w:rPr>
        <w:footnoteRef/>
      </w:r>
      <w:r>
        <w:tab/>
        <w:t xml:space="preserve">Regulamento de Execução (UE) n.º 282/2011 do Conselho, de 15 de março de 2011, que estabelece medidas de aplicação da Diretiva 2006/112/CE relativa ao sistema comum do imposto sobre o valor acrescentado (JO L 77 de 23.3.2011, p. 1, ELI: </w:t>
      </w:r>
      <w:hyperlink r:id="rId9" w:history="1">
        <w:r>
          <w:rPr>
            <w:rStyle w:val="Hyperlink"/>
          </w:rPr>
          <w:t>http://data.europa.eu/eli/dir/2006/112/oj</w:t>
        </w:r>
      </w:hyperlink>
      <w:r>
        <w:t>).</w:t>
      </w:r>
    </w:p>
  </w:footnote>
  <w:footnote w:id="10">
    <w:p w:rsidR="00FF14FE" w:rsidRPr="0060400C" w:rsidRDefault="00FF14FE" w:rsidP="00076F75">
      <w:pPr>
        <w:pStyle w:val="FootnoteText"/>
      </w:pPr>
      <w:r>
        <w:rPr>
          <w:rStyle w:val="FootnoteReference"/>
        </w:rPr>
        <w:footnoteRef/>
      </w:r>
      <w:r>
        <w:tab/>
        <w:t xml:space="preserve">Diretiva 2008/118/CE do Conselho, de 16 de dezembro de 2008, relativa ao regime geral dos impostos especiais de consumo e que revoga a Diretiva 92/12/CEE (JO L 9 de 14.1.2009, p. 12, ELI: </w:t>
      </w:r>
      <w:hyperlink r:id="rId10" w:history="1">
        <w:r>
          <w:rPr>
            <w:rStyle w:val="Hyperlink"/>
          </w:rPr>
          <w:t>http://data.europa.eu/eli/dir/2008/118/oj</w:t>
        </w:r>
      </w:hyperlink>
      <w:r>
        <w:t>).</w:t>
      </w:r>
    </w:p>
  </w:footnote>
  <w:footnote w:id="11">
    <w:p w:rsidR="00DF7BF0" w:rsidRPr="0060400C" w:rsidRDefault="00DF7BF0" w:rsidP="00DF7BF0">
      <w:pPr>
        <w:pStyle w:val="FootnoteText"/>
      </w:pPr>
      <w:r>
        <w:rPr>
          <w:rStyle w:val="FootnoteReference"/>
        </w:rPr>
        <w:footnoteRef/>
      </w:r>
      <w:r>
        <w:tab/>
        <w:t>Diretiva (UE) 2020/262 do Conselho, de 19 de dezembro de 2019, que estabelece o regime geral dos impostos especiais de consumo (JO L 58 de 27.2.2020, p. 4</w:t>
      </w:r>
      <w:r>
        <w:rPr>
          <w:rStyle w:val="Hyperlink"/>
          <w:color w:val="auto"/>
          <w:u w:val="none"/>
        </w:rPr>
        <w:t xml:space="preserve">, ELI: </w:t>
      </w:r>
      <w:hyperlink r:id="rId11" w:history="1">
        <w:r>
          <w:rPr>
            <w:rStyle w:val="Hyperlink"/>
          </w:rPr>
          <w:t>http://data.europa.eu/eli/dir/2020/262/oj</w:t>
        </w:r>
      </w:hyperlink>
      <w:r>
        <w:rPr>
          <w:rStyle w:val="Hyperlink"/>
          <w:color w:val="auto"/>
          <w:u w:val="none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46" w:rsidRDefault="00B82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46" w:rsidRDefault="00B82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94A27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33832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9673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C7AC84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1A867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B78F6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7B25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D18CC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7-01 08:31:40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FF9D0EF-BF2E-4BF9-9108-55D324E38B1F"/>
    <w:docVar w:name="LW_COVERPAGE_TYPE" w:val="1"/>
    <w:docVar w:name="LW_CROSSREFERENCE" w:val="&lt;UNUSED&gt;"/>
    <w:docVar w:name="LW_DocType" w:val="COM"/>
    <w:docVar w:name="LW_EMISSION" w:val="8.7.2024"/>
    <w:docVar w:name="LW_EMISSION_ISODATE" w:val="2024-07-08"/>
    <w:docVar w:name="LW_EMISSION_LOCATION" w:val="BRX"/>
    <w:docVar w:name="LW_EMISSION_PREFIX" w:val="Bruxelas, "/>
    <w:docVar w:name="LW_EMISSION_SUFFIX" w:val=" "/>
    <w:docVar w:name="LW_ID_DOCMODEL" w:val="SJ-015"/>
    <w:docVar w:name="LW_ID_DOCSIGNATURE" w:val="SJ-015"/>
    <w:docVar w:name="LW_ID_DOCSTRUCTURE" w:val="COM/PL/ORG"/>
    <w:docVar w:name="LW_ID_DOCTYPE" w:val="SJ-015"/>
    <w:docVar w:name="LW_ID_EXP.MOTIFS.NEW" w:val="EM_PL_"/>
    <w:docVar w:name="LW_ID_STATUT" w:val="SJ-015"/>
    <w:docVar w:name="LW_INTERETEEE.CP" w:val="&lt;UNUSED&gt;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53"/>
    <w:docVar w:name="LW_REF.II.NEW.CP_YEAR" w:val="2024"/>
    <w:docVar w:name="LW_REF.INST.NEW" w:val="COM"/>
    <w:docVar w:name="LW_REF.INST.NEW_ADOPTED" w:val="final"/>
    <w:docVar w:name="LW_REF.INST.NEW_TEXT" w:val="(2024) 279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de"/>
    <w:docVar w:name="LW_SUPERTITRE" w:val="&lt;UNUSED&gt;"/>
    <w:docVar w:name="LW_TITRE.OBJ.CP" w:val="que altera o Regulamento de Execução (UE) n.º 282/2011 no que respeita ao certificado de isenção eletrónico do imposto sobre o valor acrescentado"/>
    <w:docVar w:name="LW_TYPE.DOC.CP" w:val="REGULAMENTO DE EXECUÇÃO DO CONSELHO"/>
    <w:docVar w:name="LwApiVersions" w:val="LW4CoDe 1.24.5.0; LW 9.0, Build 20240221"/>
  </w:docVars>
  <w:rsids>
    <w:rsidRoot w:val="00BC2AA6"/>
    <w:rsid w:val="0000493F"/>
    <w:rsid w:val="00012EC4"/>
    <w:rsid w:val="00015CEE"/>
    <w:rsid w:val="000213CC"/>
    <w:rsid w:val="000267A6"/>
    <w:rsid w:val="000326C4"/>
    <w:rsid w:val="00045060"/>
    <w:rsid w:val="00051F97"/>
    <w:rsid w:val="0005225B"/>
    <w:rsid w:val="00054E80"/>
    <w:rsid w:val="00063E78"/>
    <w:rsid w:val="00076F75"/>
    <w:rsid w:val="00086F5E"/>
    <w:rsid w:val="00087CC9"/>
    <w:rsid w:val="000950BB"/>
    <w:rsid w:val="000A18CD"/>
    <w:rsid w:val="000A57F4"/>
    <w:rsid w:val="000A7517"/>
    <w:rsid w:val="000B004A"/>
    <w:rsid w:val="000B041F"/>
    <w:rsid w:val="000C109C"/>
    <w:rsid w:val="000C5E83"/>
    <w:rsid w:val="000D2C46"/>
    <w:rsid w:val="000D5185"/>
    <w:rsid w:val="000E198E"/>
    <w:rsid w:val="000E357D"/>
    <w:rsid w:val="000E62B6"/>
    <w:rsid w:val="000F2DED"/>
    <w:rsid w:val="000F7C19"/>
    <w:rsid w:val="00104494"/>
    <w:rsid w:val="0010545D"/>
    <w:rsid w:val="001069E0"/>
    <w:rsid w:val="00107D13"/>
    <w:rsid w:val="00117FA0"/>
    <w:rsid w:val="001224EB"/>
    <w:rsid w:val="001227FF"/>
    <w:rsid w:val="00123B81"/>
    <w:rsid w:val="00132E33"/>
    <w:rsid w:val="00133C3B"/>
    <w:rsid w:val="00134C76"/>
    <w:rsid w:val="00135531"/>
    <w:rsid w:val="00146966"/>
    <w:rsid w:val="00153603"/>
    <w:rsid w:val="001703CA"/>
    <w:rsid w:val="00184CA4"/>
    <w:rsid w:val="00185428"/>
    <w:rsid w:val="00187014"/>
    <w:rsid w:val="001A623E"/>
    <w:rsid w:val="001A7450"/>
    <w:rsid w:val="001C2816"/>
    <w:rsid w:val="001E31B8"/>
    <w:rsid w:val="001E7ED2"/>
    <w:rsid w:val="001F1CDF"/>
    <w:rsid w:val="001F1F27"/>
    <w:rsid w:val="001F4D58"/>
    <w:rsid w:val="00201F83"/>
    <w:rsid w:val="00202CA6"/>
    <w:rsid w:val="00205525"/>
    <w:rsid w:val="00210CAA"/>
    <w:rsid w:val="00216FD6"/>
    <w:rsid w:val="00221BF0"/>
    <w:rsid w:val="0022579F"/>
    <w:rsid w:val="002258F7"/>
    <w:rsid w:val="00232215"/>
    <w:rsid w:val="00232E98"/>
    <w:rsid w:val="002341F0"/>
    <w:rsid w:val="00237A42"/>
    <w:rsid w:val="00241248"/>
    <w:rsid w:val="0024219E"/>
    <w:rsid w:val="00252A7D"/>
    <w:rsid w:val="00256E85"/>
    <w:rsid w:val="00262849"/>
    <w:rsid w:val="00273FB4"/>
    <w:rsid w:val="002759A8"/>
    <w:rsid w:val="0027698D"/>
    <w:rsid w:val="0028019A"/>
    <w:rsid w:val="00296342"/>
    <w:rsid w:val="0029675F"/>
    <w:rsid w:val="002A2BB1"/>
    <w:rsid w:val="002A2F1C"/>
    <w:rsid w:val="002A5B33"/>
    <w:rsid w:val="002A6983"/>
    <w:rsid w:val="002C1C7B"/>
    <w:rsid w:val="002D416D"/>
    <w:rsid w:val="002E0883"/>
    <w:rsid w:val="00300EDA"/>
    <w:rsid w:val="00301B53"/>
    <w:rsid w:val="003076D6"/>
    <w:rsid w:val="003115D3"/>
    <w:rsid w:val="00313FD3"/>
    <w:rsid w:val="0031773C"/>
    <w:rsid w:val="003303ED"/>
    <w:rsid w:val="00330CAD"/>
    <w:rsid w:val="00347B24"/>
    <w:rsid w:val="00351EC5"/>
    <w:rsid w:val="00382FF2"/>
    <w:rsid w:val="00383AAE"/>
    <w:rsid w:val="00392838"/>
    <w:rsid w:val="003A6BE9"/>
    <w:rsid w:val="003A74BF"/>
    <w:rsid w:val="003B7AFE"/>
    <w:rsid w:val="003C2991"/>
    <w:rsid w:val="003D0DFD"/>
    <w:rsid w:val="003D3126"/>
    <w:rsid w:val="003F0012"/>
    <w:rsid w:val="00400809"/>
    <w:rsid w:val="00405217"/>
    <w:rsid w:val="00415879"/>
    <w:rsid w:val="00421C91"/>
    <w:rsid w:val="004252EB"/>
    <w:rsid w:val="00431CB0"/>
    <w:rsid w:val="00444075"/>
    <w:rsid w:val="004527CD"/>
    <w:rsid w:val="00453D7F"/>
    <w:rsid w:val="00456C06"/>
    <w:rsid w:val="00472D7C"/>
    <w:rsid w:val="00476866"/>
    <w:rsid w:val="00492A16"/>
    <w:rsid w:val="00495903"/>
    <w:rsid w:val="00495BDE"/>
    <w:rsid w:val="00495DBE"/>
    <w:rsid w:val="004A2400"/>
    <w:rsid w:val="004A30FB"/>
    <w:rsid w:val="004A3B27"/>
    <w:rsid w:val="004A754B"/>
    <w:rsid w:val="004B5A92"/>
    <w:rsid w:val="004B6ADB"/>
    <w:rsid w:val="004C162A"/>
    <w:rsid w:val="004C26EE"/>
    <w:rsid w:val="004D179F"/>
    <w:rsid w:val="004D5EF2"/>
    <w:rsid w:val="004F0232"/>
    <w:rsid w:val="004F048C"/>
    <w:rsid w:val="004F1A84"/>
    <w:rsid w:val="004F4E62"/>
    <w:rsid w:val="005103D2"/>
    <w:rsid w:val="00530DB5"/>
    <w:rsid w:val="00540207"/>
    <w:rsid w:val="005426A0"/>
    <w:rsid w:val="00563B9A"/>
    <w:rsid w:val="005711DB"/>
    <w:rsid w:val="00571F14"/>
    <w:rsid w:val="0059212B"/>
    <w:rsid w:val="005967A8"/>
    <w:rsid w:val="005A132C"/>
    <w:rsid w:val="005A5D33"/>
    <w:rsid w:val="005A6AD6"/>
    <w:rsid w:val="005A7D1D"/>
    <w:rsid w:val="005C136C"/>
    <w:rsid w:val="005C2850"/>
    <w:rsid w:val="005D51F6"/>
    <w:rsid w:val="005D596F"/>
    <w:rsid w:val="005E17A1"/>
    <w:rsid w:val="005F0DB4"/>
    <w:rsid w:val="005F6474"/>
    <w:rsid w:val="00602AB2"/>
    <w:rsid w:val="0060400C"/>
    <w:rsid w:val="00607E24"/>
    <w:rsid w:val="0061209B"/>
    <w:rsid w:val="006201C7"/>
    <w:rsid w:val="00625EDF"/>
    <w:rsid w:val="0063179C"/>
    <w:rsid w:val="006324A5"/>
    <w:rsid w:val="00636DE5"/>
    <w:rsid w:val="00637FD8"/>
    <w:rsid w:val="006619B6"/>
    <w:rsid w:val="00666272"/>
    <w:rsid w:val="006670DF"/>
    <w:rsid w:val="00670329"/>
    <w:rsid w:val="00671685"/>
    <w:rsid w:val="0067741D"/>
    <w:rsid w:val="006A568F"/>
    <w:rsid w:val="006A6A5B"/>
    <w:rsid w:val="006B1CA9"/>
    <w:rsid w:val="006B7196"/>
    <w:rsid w:val="006B7FAC"/>
    <w:rsid w:val="006C31E5"/>
    <w:rsid w:val="006C3EC7"/>
    <w:rsid w:val="006C503F"/>
    <w:rsid w:val="006D3044"/>
    <w:rsid w:val="006D4930"/>
    <w:rsid w:val="006E1B1A"/>
    <w:rsid w:val="006E64AC"/>
    <w:rsid w:val="006F28CF"/>
    <w:rsid w:val="006F37ED"/>
    <w:rsid w:val="0070128F"/>
    <w:rsid w:val="0070142C"/>
    <w:rsid w:val="00712F32"/>
    <w:rsid w:val="00716594"/>
    <w:rsid w:val="00716C7F"/>
    <w:rsid w:val="0072126C"/>
    <w:rsid w:val="007301B5"/>
    <w:rsid w:val="00740ABB"/>
    <w:rsid w:val="007507F6"/>
    <w:rsid w:val="00752F30"/>
    <w:rsid w:val="00757EE7"/>
    <w:rsid w:val="00762329"/>
    <w:rsid w:val="00762365"/>
    <w:rsid w:val="00765CDA"/>
    <w:rsid w:val="00770337"/>
    <w:rsid w:val="00770E04"/>
    <w:rsid w:val="00792C32"/>
    <w:rsid w:val="007A1A23"/>
    <w:rsid w:val="007A55C2"/>
    <w:rsid w:val="007B1188"/>
    <w:rsid w:val="007B1DE6"/>
    <w:rsid w:val="007C021C"/>
    <w:rsid w:val="007C06F6"/>
    <w:rsid w:val="007C145C"/>
    <w:rsid w:val="007C3C95"/>
    <w:rsid w:val="007C696C"/>
    <w:rsid w:val="007D31BA"/>
    <w:rsid w:val="007D4A31"/>
    <w:rsid w:val="007D6351"/>
    <w:rsid w:val="007E0194"/>
    <w:rsid w:val="007E1183"/>
    <w:rsid w:val="007F11C6"/>
    <w:rsid w:val="007F2B74"/>
    <w:rsid w:val="007F48B2"/>
    <w:rsid w:val="007F5A19"/>
    <w:rsid w:val="0080662E"/>
    <w:rsid w:val="00811981"/>
    <w:rsid w:val="00812668"/>
    <w:rsid w:val="00812ED1"/>
    <w:rsid w:val="00820080"/>
    <w:rsid w:val="00820271"/>
    <w:rsid w:val="0084206E"/>
    <w:rsid w:val="00852492"/>
    <w:rsid w:val="0085266A"/>
    <w:rsid w:val="008541D2"/>
    <w:rsid w:val="00864073"/>
    <w:rsid w:val="0087589B"/>
    <w:rsid w:val="00875F99"/>
    <w:rsid w:val="00880551"/>
    <w:rsid w:val="00880F0B"/>
    <w:rsid w:val="00881782"/>
    <w:rsid w:val="008A76D4"/>
    <w:rsid w:val="008B0155"/>
    <w:rsid w:val="008C2936"/>
    <w:rsid w:val="008D01A4"/>
    <w:rsid w:val="008D0E12"/>
    <w:rsid w:val="008D398D"/>
    <w:rsid w:val="009073A4"/>
    <w:rsid w:val="0092227D"/>
    <w:rsid w:val="009248E4"/>
    <w:rsid w:val="009262F8"/>
    <w:rsid w:val="00933378"/>
    <w:rsid w:val="00934040"/>
    <w:rsid w:val="009404DA"/>
    <w:rsid w:val="00943010"/>
    <w:rsid w:val="00945456"/>
    <w:rsid w:val="00945C36"/>
    <w:rsid w:val="009465FB"/>
    <w:rsid w:val="00946B0F"/>
    <w:rsid w:val="00947156"/>
    <w:rsid w:val="00957308"/>
    <w:rsid w:val="0096126F"/>
    <w:rsid w:val="00967765"/>
    <w:rsid w:val="009710F0"/>
    <w:rsid w:val="00971653"/>
    <w:rsid w:val="00972559"/>
    <w:rsid w:val="00972CD0"/>
    <w:rsid w:val="00974105"/>
    <w:rsid w:val="00986B33"/>
    <w:rsid w:val="00987AD5"/>
    <w:rsid w:val="009941AD"/>
    <w:rsid w:val="0099541D"/>
    <w:rsid w:val="009A23E2"/>
    <w:rsid w:val="009A49E5"/>
    <w:rsid w:val="009A7117"/>
    <w:rsid w:val="009A7F66"/>
    <w:rsid w:val="009B5AAA"/>
    <w:rsid w:val="009B7138"/>
    <w:rsid w:val="009C6847"/>
    <w:rsid w:val="009D61B2"/>
    <w:rsid w:val="009D6BB5"/>
    <w:rsid w:val="009E2D0A"/>
    <w:rsid w:val="009F0718"/>
    <w:rsid w:val="009F4A50"/>
    <w:rsid w:val="009F4B9D"/>
    <w:rsid w:val="009F6FC1"/>
    <w:rsid w:val="00A0105F"/>
    <w:rsid w:val="00A077A2"/>
    <w:rsid w:val="00A07992"/>
    <w:rsid w:val="00A13A96"/>
    <w:rsid w:val="00A13E59"/>
    <w:rsid w:val="00A13F82"/>
    <w:rsid w:val="00A16CA4"/>
    <w:rsid w:val="00A22F5D"/>
    <w:rsid w:val="00A3465B"/>
    <w:rsid w:val="00A3736F"/>
    <w:rsid w:val="00A378CA"/>
    <w:rsid w:val="00A429FA"/>
    <w:rsid w:val="00A448CF"/>
    <w:rsid w:val="00A52025"/>
    <w:rsid w:val="00A77F80"/>
    <w:rsid w:val="00A87272"/>
    <w:rsid w:val="00A87B12"/>
    <w:rsid w:val="00A87E03"/>
    <w:rsid w:val="00A90C61"/>
    <w:rsid w:val="00A9644A"/>
    <w:rsid w:val="00AB395D"/>
    <w:rsid w:val="00AB3FF2"/>
    <w:rsid w:val="00AB72FB"/>
    <w:rsid w:val="00AC126D"/>
    <w:rsid w:val="00AC50D7"/>
    <w:rsid w:val="00AD470B"/>
    <w:rsid w:val="00AD5836"/>
    <w:rsid w:val="00AD6541"/>
    <w:rsid w:val="00AD6F50"/>
    <w:rsid w:val="00AF1B93"/>
    <w:rsid w:val="00AF1F24"/>
    <w:rsid w:val="00AF282D"/>
    <w:rsid w:val="00AF502A"/>
    <w:rsid w:val="00B00447"/>
    <w:rsid w:val="00B03F05"/>
    <w:rsid w:val="00B10268"/>
    <w:rsid w:val="00B14524"/>
    <w:rsid w:val="00B24B50"/>
    <w:rsid w:val="00B30AFB"/>
    <w:rsid w:val="00B52F0D"/>
    <w:rsid w:val="00B55FE2"/>
    <w:rsid w:val="00B5712E"/>
    <w:rsid w:val="00B60A40"/>
    <w:rsid w:val="00B6121E"/>
    <w:rsid w:val="00B7061F"/>
    <w:rsid w:val="00B71F8E"/>
    <w:rsid w:val="00B82E46"/>
    <w:rsid w:val="00B90EC2"/>
    <w:rsid w:val="00B915D4"/>
    <w:rsid w:val="00B922B2"/>
    <w:rsid w:val="00B92FD1"/>
    <w:rsid w:val="00BA6944"/>
    <w:rsid w:val="00BA7924"/>
    <w:rsid w:val="00BC29AD"/>
    <w:rsid w:val="00BC2AA6"/>
    <w:rsid w:val="00BC3C9D"/>
    <w:rsid w:val="00BD16F7"/>
    <w:rsid w:val="00BE246D"/>
    <w:rsid w:val="00BF17AA"/>
    <w:rsid w:val="00C065BB"/>
    <w:rsid w:val="00C16411"/>
    <w:rsid w:val="00C226D8"/>
    <w:rsid w:val="00C24556"/>
    <w:rsid w:val="00C3461B"/>
    <w:rsid w:val="00C425A7"/>
    <w:rsid w:val="00C46B44"/>
    <w:rsid w:val="00C47BE9"/>
    <w:rsid w:val="00C51E66"/>
    <w:rsid w:val="00C64990"/>
    <w:rsid w:val="00C65233"/>
    <w:rsid w:val="00C6750A"/>
    <w:rsid w:val="00C7323F"/>
    <w:rsid w:val="00C74D5D"/>
    <w:rsid w:val="00C86741"/>
    <w:rsid w:val="00C86BE3"/>
    <w:rsid w:val="00C94DA0"/>
    <w:rsid w:val="00CA2C0E"/>
    <w:rsid w:val="00CA7BE9"/>
    <w:rsid w:val="00CB7479"/>
    <w:rsid w:val="00CB7D6F"/>
    <w:rsid w:val="00CC1714"/>
    <w:rsid w:val="00CC1C72"/>
    <w:rsid w:val="00CD0C49"/>
    <w:rsid w:val="00CD277A"/>
    <w:rsid w:val="00CE1CDF"/>
    <w:rsid w:val="00CE5037"/>
    <w:rsid w:val="00D06031"/>
    <w:rsid w:val="00D128EA"/>
    <w:rsid w:val="00D314F7"/>
    <w:rsid w:val="00D3255E"/>
    <w:rsid w:val="00D46935"/>
    <w:rsid w:val="00D65911"/>
    <w:rsid w:val="00D67CA8"/>
    <w:rsid w:val="00D71081"/>
    <w:rsid w:val="00D84033"/>
    <w:rsid w:val="00D871E9"/>
    <w:rsid w:val="00DB72F6"/>
    <w:rsid w:val="00DB798D"/>
    <w:rsid w:val="00DC5F78"/>
    <w:rsid w:val="00DD7373"/>
    <w:rsid w:val="00DD7604"/>
    <w:rsid w:val="00DE06B1"/>
    <w:rsid w:val="00DE0F9B"/>
    <w:rsid w:val="00DF20F5"/>
    <w:rsid w:val="00DF258C"/>
    <w:rsid w:val="00DF4943"/>
    <w:rsid w:val="00DF7BF0"/>
    <w:rsid w:val="00E0099F"/>
    <w:rsid w:val="00E00E72"/>
    <w:rsid w:val="00E04524"/>
    <w:rsid w:val="00E11C31"/>
    <w:rsid w:val="00E13EB7"/>
    <w:rsid w:val="00E15FA6"/>
    <w:rsid w:val="00E21F7D"/>
    <w:rsid w:val="00E2430C"/>
    <w:rsid w:val="00E33F99"/>
    <w:rsid w:val="00E36608"/>
    <w:rsid w:val="00E4376C"/>
    <w:rsid w:val="00E502B5"/>
    <w:rsid w:val="00E52A9F"/>
    <w:rsid w:val="00E536FF"/>
    <w:rsid w:val="00E557F4"/>
    <w:rsid w:val="00E57F2A"/>
    <w:rsid w:val="00E62350"/>
    <w:rsid w:val="00E6590F"/>
    <w:rsid w:val="00E718AD"/>
    <w:rsid w:val="00E76570"/>
    <w:rsid w:val="00E76D38"/>
    <w:rsid w:val="00E76D88"/>
    <w:rsid w:val="00E77CEE"/>
    <w:rsid w:val="00E8038A"/>
    <w:rsid w:val="00E85EB8"/>
    <w:rsid w:val="00E90E41"/>
    <w:rsid w:val="00E92B4B"/>
    <w:rsid w:val="00EA47E2"/>
    <w:rsid w:val="00EB2544"/>
    <w:rsid w:val="00EB6455"/>
    <w:rsid w:val="00EC0DA5"/>
    <w:rsid w:val="00EC59E9"/>
    <w:rsid w:val="00EC7123"/>
    <w:rsid w:val="00ED140F"/>
    <w:rsid w:val="00ED2B8D"/>
    <w:rsid w:val="00ED4D13"/>
    <w:rsid w:val="00ED4FE4"/>
    <w:rsid w:val="00EE0065"/>
    <w:rsid w:val="00EE107A"/>
    <w:rsid w:val="00EE1C01"/>
    <w:rsid w:val="00EF5565"/>
    <w:rsid w:val="00EF662B"/>
    <w:rsid w:val="00F03EF7"/>
    <w:rsid w:val="00F041DA"/>
    <w:rsid w:val="00F10053"/>
    <w:rsid w:val="00F15391"/>
    <w:rsid w:val="00F20062"/>
    <w:rsid w:val="00F3706F"/>
    <w:rsid w:val="00F55172"/>
    <w:rsid w:val="00F62462"/>
    <w:rsid w:val="00F76330"/>
    <w:rsid w:val="00F7736E"/>
    <w:rsid w:val="00F83984"/>
    <w:rsid w:val="00F93DAA"/>
    <w:rsid w:val="00F949F1"/>
    <w:rsid w:val="00FB102E"/>
    <w:rsid w:val="00FB1A4E"/>
    <w:rsid w:val="00FB3730"/>
    <w:rsid w:val="00FD34B9"/>
    <w:rsid w:val="00FE31AE"/>
    <w:rsid w:val="00FF14FE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05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8055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6966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semiHidden/>
    <w:unhideWhenUsed/>
    <w:rsid w:val="00B30AF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0AF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0AF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0AFB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85428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85428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185428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542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542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5428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065"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065"/>
    <w:rPr>
      <w:rFonts w:ascii="Times New Roman" w:hAnsi="Times New Roman" w:cs="Times New Roman"/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C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95"/>
    <w:rPr>
      <w:rFonts w:ascii="Segoe UI" w:hAnsi="Segoe UI" w:cs="Segoe UI"/>
      <w:sz w:val="18"/>
      <w:szCs w:val="18"/>
      <w:lang w:val="pt-PT"/>
    </w:rPr>
  </w:style>
  <w:style w:type="paragraph" w:customStyle="1" w:styleId="Footnote">
    <w:name w:val="Footnote"/>
    <w:aliases w:val="Times 10 Point,Exposant 3 Point,Footnote Reference Superscript Car,Char Char Char Char Char Car,BVI fnr Car,Footnote symbol Car,SUPERS Car,note TESI Car,number"/>
    <w:basedOn w:val="Normal"/>
    <w:link w:val="FootnoteReference"/>
    <w:uiPriority w:val="99"/>
    <w:rsid w:val="005F6474"/>
    <w:pPr>
      <w:spacing w:before="0" w:after="160" w:line="240" w:lineRule="exact"/>
      <w:jc w:val="left"/>
    </w:pPr>
    <w:rPr>
      <w:rFonts w:asciiTheme="minorHAnsi" w:hAnsiTheme="minorHAnsi" w:cstheme="minorBidi"/>
      <w:sz w:val="22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0F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3FB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82E46"/>
    <w:rPr>
      <w:rFonts w:ascii="Times New Roman" w:hAnsi="Times New Roman" w:cs="Times New Roman"/>
      <w:sz w:val="24"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B82E46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pt-PT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link w:val="Footnote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82E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82E46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82E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Tiret5">
    <w:name w:val="Tiret 5"/>
    <w:basedOn w:val="Point5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5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5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82E46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B82E46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B82E4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B82E4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reg_impl/2011/282/oj" TargetMode="External"/><Relationship Id="rId3" Type="http://schemas.openxmlformats.org/officeDocument/2006/relationships/hyperlink" Target="https://eur-lex.europa.eu/legal-content/PT/TXT/?qid=1706090981914&amp;uri=CELEX%3A32020L0262" TargetMode="External"/><Relationship Id="rId7" Type="http://schemas.openxmlformats.org/officeDocument/2006/relationships/hyperlink" Target="https://eur-lex.europa.eu/legal-content/PT/TXT/?uri=OJ%3AJOL_2015_235_R_0006" TargetMode="External"/><Relationship Id="rId2" Type="http://schemas.openxmlformats.org/officeDocument/2006/relationships/hyperlink" Target="https://eur-lex.europa.eu/legal-content/PT/TXT/?uri=OJ%3AJOL_2015_235_R_0006" TargetMode="External"/><Relationship Id="rId1" Type="http://schemas.openxmlformats.org/officeDocument/2006/relationships/hyperlink" Target="https://eur-lex.europa.eu/legal-content/PT/TXT/?qid=1717738519251&amp;uri=CELEX%3A32011R0282" TargetMode="External"/><Relationship Id="rId6" Type="http://schemas.openxmlformats.org/officeDocument/2006/relationships/hyperlink" Target="https://eur-lex.europa.eu/legal-content/PT/TXT/?uri=OJ:L:2021:250:TOC" TargetMode="External"/><Relationship Id="rId11" Type="http://schemas.openxmlformats.org/officeDocument/2006/relationships/hyperlink" Target="http://data.europa.eu/eli/dir/2020/262/oj" TargetMode="External"/><Relationship Id="rId5" Type="http://schemas.openxmlformats.org/officeDocument/2006/relationships/hyperlink" Target="https://eur-lex.europa.eu/legal-content/PT/TXT/?uri=uriserv:OJ.L_.2019.336.01.0010.01.POR&amp;toc=OJ:L:2019:336:TOC" TargetMode="External"/><Relationship Id="rId10" Type="http://schemas.openxmlformats.org/officeDocument/2006/relationships/hyperlink" Target="http://data.europa.eu/eli/dir/2008/118/oj" TargetMode="External"/><Relationship Id="rId4" Type="http://schemas.openxmlformats.org/officeDocument/2006/relationships/hyperlink" Target="https://eur-lex.europa.eu/legal-content/PT/TXT/?qid=1705923422795&amp;uri=CELEX%3A32022R0432" TargetMode="External"/><Relationship Id="rId9" Type="http://schemas.openxmlformats.org/officeDocument/2006/relationships/hyperlink" Target="http://data.europa.eu/eli/dir/2006/112/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0125-952D-44C6-A1E4-F87E1490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2024-06-07T08:22:00Z</dcterms:created>
  <dcterms:modified xsi:type="dcterms:W3CDTF">2024-07-01T06:31:00Z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9.0, Build 20230317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2024-06-07T08:22:54Z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e5453b23-e79c-4e20-89ea-717a8576513e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Category">
    <vt:lpwstr>COM/PL/ORG</vt:lpwstr>
  </property>
  <property fmtid="{D5CDD505-2E9C-101B-9397-08002B2CF9AE}" pid="11" name="Level of sensitivity">
    <vt:lpwstr>Standard treatment</vt:lpwstr>
  </property>
  <property fmtid="{D5CDD505-2E9C-101B-9397-08002B2CF9AE}" pid="12" name="Part">
    <vt:lpwstr>1</vt:lpwstr>
  </property>
  <property fmtid="{D5CDD505-2E9C-101B-9397-08002B2CF9AE}" pid="13" name="Total parts">
    <vt:lpwstr>1</vt:lpwstr>
  </property>
  <property fmtid="{D5CDD505-2E9C-101B-9397-08002B2CF9AE}" pid="14" name="LWTemplateID">
    <vt:lpwstr>SJ-015</vt:lpwstr>
  </property>
  <property fmtid="{D5CDD505-2E9C-101B-9397-08002B2CF9AE}" pid="15" name="DQCStatus">
    <vt:lpwstr>Green (DQC version 03)</vt:lpwstr>
  </property>
</Properties>
</file>