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A6" w:rsidRPr="0060400C" w:rsidRDefault="003633DC" w:rsidP="003633D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3ABCBFF-7120-4096-A399-6DE67336DD44" style="width:455.25pt;height:355.5pt">
            <v:imagedata r:id="rId8" o:title=""/>
          </v:shape>
        </w:pict>
      </w:r>
    </w:p>
    <w:p w:rsidR="00BC2AA6" w:rsidRPr="0060400C" w:rsidRDefault="00BC2AA6" w:rsidP="00BC2AA6">
      <w:pPr>
        <w:rPr>
          <w:noProof/>
        </w:rPr>
        <w:sectPr w:rsidR="00BC2AA6" w:rsidRPr="0060400C" w:rsidSect="003633DC">
          <w:footerReference w:type="even" r:id="rId9"/>
          <w:footerReference w:type="default" r:id="rId10"/>
          <w:pgSz w:w="11907" w:h="16839"/>
          <w:pgMar w:top="1134" w:right="1417" w:bottom="1134" w:left="1417" w:header="709" w:footer="709" w:gutter="0"/>
          <w:pgNumType w:start="0"/>
          <w:cols w:space="720"/>
          <w:docGrid w:linePitch="360"/>
        </w:sectPr>
      </w:pPr>
    </w:p>
    <w:p w:rsidR="00BC2AA6" w:rsidRPr="0060400C" w:rsidRDefault="00BC2AA6" w:rsidP="00880551">
      <w:pPr>
        <w:pStyle w:val="Exposdesmotifstitre"/>
        <w:rPr>
          <w:noProof/>
        </w:rPr>
      </w:pPr>
      <w:bookmarkStart w:id="0" w:name="_GoBack"/>
      <w:bookmarkEnd w:id="0"/>
      <w:r w:rsidRPr="0060400C">
        <w:rPr>
          <w:noProof/>
        </w:rPr>
        <w:lastRenderedPageBreak/>
        <w:t>EXPLANATORY MEMORANDUM</w:t>
      </w:r>
    </w:p>
    <w:p w:rsidR="00BC2AA6" w:rsidRPr="0060400C" w:rsidRDefault="00BC2AA6" w:rsidP="00BB6B30">
      <w:pPr>
        <w:pStyle w:val="ManualHeading1"/>
        <w:rPr>
          <w:noProof/>
        </w:rPr>
      </w:pPr>
      <w:r w:rsidRPr="0060400C">
        <w:rPr>
          <w:noProof/>
        </w:rPr>
        <w:t>1.</w:t>
      </w:r>
      <w:r w:rsidRPr="0060400C">
        <w:rPr>
          <w:noProof/>
        </w:rPr>
        <w:tab/>
        <w:t>CONTEXT OF THE PROPOSAL</w:t>
      </w:r>
    </w:p>
    <w:p w:rsidR="00BC2AA6" w:rsidRPr="0060400C" w:rsidRDefault="00BC2AA6" w:rsidP="00044058">
      <w:pPr>
        <w:pStyle w:val="ManualHeading2"/>
        <w:rPr>
          <w:rFonts w:eastAsia="Arial Unicode MS"/>
          <w:noProof/>
        </w:rPr>
      </w:pPr>
      <w:r w:rsidRPr="0060400C">
        <w:rPr>
          <w:rFonts w:eastAsia="Arial Unicode MS"/>
          <w:noProof/>
          <w:color w:val="000000"/>
          <w:u w:color="000000"/>
          <w:bdr w:val="nil"/>
          <w:lang w:eastAsia="en-GB"/>
        </w:rPr>
        <w:t>•</w:t>
      </w:r>
      <w:r w:rsidRPr="0060400C">
        <w:rPr>
          <w:rFonts w:eastAsia="Arial Unicode MS"/>
          <w:noProof/>
          <w:color w:val="000000"/>
          <w:u w:color="000000"/>
          <w:bdr w:val="nil"/>
          <w:lang w:eastAsia="en-GB"/>
        </w:rPr>
        <w:tab/>
      </w:r>
      <w:r w:rsidRPr="0060400C">
        <w:rPr>
          <w:rFonts w:eastAsia="Arial Unicode MS"/>
          <w:noProof/>
        </w:rPr>
        <w:t>Reasons for and objectives of the proposal</w:t>
      </w:r>
    </w:p>
    <w:p w:rsidR="006D3044" w:rsidRPr="0060400C" w:rsidRDefault="00D3255E" w:rsidP="006D3044">
      <w:pPr>
        <w:pBdr>
          <w:top w:val="nil"/>
          <w:left w:val="nil"/>
          <w:bottom w:val="nil"/>
          <w:right w:val="nil"/>
          <w:between w:val="nil"/>
          <w:bar w:val="nil"/>
        </w:pBdr>
        <w:spacing w:before="0" w:after="240"/>
        <w:rPr>
          <w:rFonts w:eastAsia="Arial Unicode MS"/>
          <w:noProof/>
          <w:color w:val="000000"/>
        </w:rPr>
      </w:pPr>
      <w:r w:rsidRPr="0060400C">
        <w:rPr>
          <w:rFonts w:eastAsia="Arial Unicode MS"/>
          <w:noProof/>
          <w:color w:val="000000"/>
        </w:rPr>
        <w:t>The purpose of this proposal is to adapt Council Implementing Regulation (EU) No</w:t>
      </w:r>
      <w:r w:rsidR="00273FB4" w:rsidRPr="0060400C">
        <w:rPr>
          <w:noProof/>
        </w:rPr>
        <w:t> </w:t>
      </w:r>
      <w:r w:rsidRPr="0060400C">
        <w:rPr>
          <w:rFonts w:eastAsia="Arial Unicode MS"/>
          <w:noProof/>
          <w:color w:val="000000"/>
        </w:rPr>
        <w:t>282/2011</w:t>
      </w:r>
      <w:r w:rsidRPr="0060400C">
        <w:rPr>
          <w:rStyle w:val="FootnoteReference"/>
          <w:noProof/>
        </w:rPr>
        <w:footnoteReference w:id="1"/>
      </w:r>
      <w:r w:rsidRPr="0060400C">
        <w:rPr>
          <w:rFonts w:eastAsia="Arial Unicode MS"/>
          <w:noProof/>
          <w:color w:val="000000"/>
        </w:rPr>
        <w:t xml:space="preserve"> (the VAT Implementing Regulation) to </w:t>
      </w:r>
      <w:r w:rsidR="00273FB4" w:rsidRPr="0060400C">
        <w:rPr>
          <w:rFonts w:eastAsia="Arial Unicode MS"/>
          <w:noProof/>
          <w:color w:val="000000"/>
        </w:rPr>
        <w:t xml:space="preserve">pave the way for </w:t>
      </w:r>
      <w:r w:rsidRPr="0060400C">
        <w:rPr>
          <w:rFonts w:eastAsia="Arial Unicode MS"/>
          <w:noProof/>
          <w:color w:val="000000"/>
        </w:rPr>
        <w:t>the introduction of an electronic exemption certificate confirming that a transaction qualifies for a specific exemption under the first subparagraph of Article</w:t>
      </w:r>
      <w:r w:rsidR="00273FB4" w:rsidRPr="0060400C">
        <w:rPr>
          <w:noProof/>
        </w:rPr>
        <w:t> </w:t>
      </w:r>
      <w:r w:rsidRPr="0060400C">
        <w:rPr>
          <w:rFonts w:eastAsia="Arial Unicode MS"/>
          <w:noProof/>
          <w:color w:val="000000"/>
        </w:rPr>
        <w:t>151(1) of Council Directive 2006/112/EC (the VAT Directive).</w:t>
      </w:r>
    </w:p>
    <w:p w:rsidR="00D3255E" w:rsidRPr="0060400C" w:rsidRDefault="00D3255E" w:rsidP="007507F6">
      <w:pPr>
        <w:pStyle w:val="Text1"/>
        <w:ind w:left="0"/>
        <w:rPr>
          <w:noProof/>
        </w:rPr>
      </w:pPr>
      <w:r w:rsidRPr="0060400C">
        <w:rPr>
          <w:noProof/>
        </w:rPr>
        <w:t>Annex</w:t>
      </w:r>
      <w:r w:rsidR="00273FB4" w:rsidRPr="0060400C">
        <w:rPr>
          <w:noProof/>
        </w:rPr>
        <w:t> </w:t>
      </w:r>
      <w:r w:rsidRPr="0060400C">
        <w:rPr>
          <w:noProof/>
        </w:rPr>
        <w:t xml:space="preserve">II of the VAT Implementing Regulation provides for a paper-based exemption certificate for VAT and/or excise duty </w:t>
      </w:r>
      <w:r w:rsidR="00B90EC2">
        <w:rPr>
          <w:noProof/>
        </w:rPr>
        <w:t xml:space="preserve">designed </w:t>
      </w:r>
      <w:r w:rsidRPr="0060400C">
        <w:rPr>
          <w:noProof/>
        </w:rPr>
        <w:t xml:space="preserve">to be signed by hand. </w:t>
      </w:r>
      <w:r w:rsidR="00812ED1" w:rsidRPr="0060400C">
        <w:rPr>
          <w:noProof/>
        </w:rPr>
        <w:t>To</w:t>
      </w:r>
      <w:r w:rsidRPr="0060400C">
        <w:rPr>
          <w:noProof/>
        </w:rPr>
        <w:t xml:space="preserve"> allow Member States to keep pace with the increasing demands of the digital age and to reduce the administrative burden on businesses, the current paper version will be replaced by the new electronic exemption certificate, </w:t>
      </w:r>
      <w:r w:rsidR="00812ED1" w:rsidRPr="0060400C">
        <w:rPr>
          <w:noProof/>
        </w:rPr>
        <w:t>to</w:t>
      </w:r>
      <w:r w:rsidRPr="0060400C">
        <w:rPr>
          <w:noProof/>
        </w:rPr>
        <w:t xml:space="preserve"> prepare for the increasing use of advanced electronic signatures.</w:t>
      </w:r>
      <w:r w:rsidR="00CD0C49" w:rsidRPr="0060400C">
        <w:rPr>
          <w:noProof/>
        </w:rPr>
        <w:t xml:space="preserve"> In addition, such electronic conversion will allow Member States to comply with the obligations imposed by EU legislation</w:t>
      </w:r>
      <w:r w:rsidR="00CD0C49" w:rsidRPr="0060400C">
        <w:rPr>
          <w:rStyle w:val="FootnoteReference"/>
          <w:rFonts w:eastAsia="Arial Unicode MS"/>
          <w:noProof/>
        </w:rPr>
        <w:footnoteReference w:id="2"/>
      </w:r>
      <w:r w:rsidR="00CD0C49" w:rsidRPr="0060400C">
        <w:rPr>
          <w:noProof/>
        </w:rPr>
        <w:t xml:space="preserve"> requiring them to put in place the necessary technical means to enable the electronic processing of electronically signed documents when using an online service provided by or on behalf of a public sector body.</w:t>
      </w:r>
    </w:p>
    <w:p w:rsidR="00CE1CDF" w:rsidRPr="0060400C" w:rsidRDefault="00CE1CDF" w:rsidP="007507F6">
      <w:pPr>
        <w:pStyle w:val="Text1"/>
        <w:ind w:left="0"/>
        <w:rPr>
          <w:noProof/>
        </w:rPr>
      </w:pPr>
      <w:r w:rsidRPr="0060400C">
        <w:rPr>
          <w:noProof/>
        </w:rPr>
        <w:t>Under the new Article</w:t>
      </w:r>
      <w:r w:rsidR="00273FB4" w:rsidRPr="0060400C">
        <w:rPr>
          <w:noProof/>
        </w:rPr>
        <w:t> </w:t>
      </w:r>
      <w:r w:rsidRPr="0060400C">
        <w:rPr>
          <w:noProof/>
        </w:rPr>
        <w:t>151(1a) of the VAT Directive, the Commission</w:t>
      </w:r>
      <w:r w:rsidR="00E77CEE">
        <w:rPr>
          <w:noProof/>
        </w:rPr>
        <w:t>, in consultation with Member States,</w:t>
      </w:r>
      <w:r w:rsidRPr="0060400C">
        <w:rPr>
          <w:noProof/>
        </w:rPr>
        <w:t xml:space="preserve"> will be able to adopt implementing measures laying down the technical details and specifications concerning the applicable electronic format of the new exemption certificate and the way in which it is to be processed electronically. This new electronic certificate will fully replace the paper version from 1</w:t>
      </w:r>
      <w:r w:rsidR="00273FB4" w:rsidRPr="0060400C">
        <w:rPr>
          <w:noProof/>
        </w:rPr>
        <w:t> </w:t>
      </w:r>
      <w:r w:rsidRPr="0060400C">
        <w:rPr>
          <w:noProof/>
        </w:rPr>
        <w:t>J</w:t>
      </w:r>
      <w:r w:rsidR="00F7736E">
        <w:rPr>
          <w:noProof/>
        </w:rPr>
        <w:t>ul</w:t>
      </w:r>
      <w:r w:rsidRPr="0060400C">
        <w:rPr>
          <w:noProof/>
        </w:rPr>
        <w:t xml:space="preserve">y 2030. For transactions carried out before that date, and </w:t>
      </w:r>
      <w:r w:rsidR="00812ED1" w:rsidRPr="0060400C">
        <w:rPr>
          <w:noProof/>
        </w:rPr>
        <w:t>to</w:t>
      </w:r>
      <w:r w:rsidRPr="0060400C">
        <w:rPr>
          <w:noProof/>
        </w:rPr>
        <w:t xml:space="preserve"> take better account of other IT projects under way, Member States may continue to use the paper version set out in Annex</w:t>
      </w:r>
      <w:r w:rsidR="00273FB4" w:rsidRPr="0060400C">
        <w:rPr>
          <w:noProof/>
        </w:rPr>
        <w:t> </w:t>
      </w:r>
      <w:r w:rsidRPr="0060400C">
        <w:rPr>
          <w:noProof/>
        </w:rPr>
        <w:t>II to the VAT Implementing Regulation. Consequently, the wording of Article</w:t>
      </w:r>
      <w:r w:rsidR="00273FB4" w:rsidRPr="0060400C">
        <w:rPr>
          <w:noProof/>
        </w:rPr>
        <w:t> </w:t>
      </w:r>
      <w:r w:rsidRPr="0060400C">
        <w:rPr>
          <w:noProof/>
        </w:rPr>
        <w:t>51(1) of the VAT Implementing Regulation is amended to allow for the alternative use of both paper and electronic certificates.</w:t>
      </w:r>
    </w:p>
    <w:p w:rsidR="005F6474" w:rsidRPr="0060400C" w:rsidRDefault="00453D7F" w:rsidP="007507F6">
      <w:pPr>
        <w:pStyle w:val="Text1"/>
        <w:ind w:left="0"/>
        <w:rPr>
          <w:noProof/>
        </w:rPr>
      </w:pPr>
      <w:r w:rsidRPr="0060400C">
        <w:rPr>
          <w:noProof/>
        </w:rPr>
        <w:t>Annex</w:t>
      </w:r>
      <w:r w:rsidR="00273FB4" w:rsidRPr="0060400C">
        <w:rPr>
          <w:noProof/>
        </w:rPr>
        <w:t> </w:t>
      </w:r>
      <w:r w:rsidRPr="0060400C">
        <w:rPr>
          <w:noProof/>
        </w:rPr>
        <w:t>II of the VAT Implementing Regulation is no longer up to date as it refers to Directive 2008/118/EC which has been replaced by Council Directive (EU) 2020/262 (recast)</w:t>
      </w:r>
      <w:r w:rsidR="00A429FA" w:rsidRPr="0060400C">
        <w:rPr>
          <w:rStyle w:val="FootnoteReference"/>
          <w:noProof/>
        </w:rPr>
        <w:t xml:space="preserve"> </w:t>
      </w:r>
      <w:r w:rsidR="00A429FA" w:rsidRPr="0060400C">
        <w:rPr>
          <w:rStyle w:val="FootnoteReference"/>
          <w:noProof/>
        </w:rPr>
        <w:footnoteReference w:id="3"/>
      </w:r>
      <w:r w:rsidRPr="0060400C">
        <w:rPr>
          <w:noProof/>
        </w:rPr>
        <w:t xml:space="preserve"> and will be amended accordingly. </w:t>
      </w:r>
    </w:p>
    <w:p w:rsidR="00BC2AA6" w:rsidRPr="0060400C" w:rsidRDefault="002A6983" w:rsidP="002A6983">
      <w:pPr>
        <w:pStyle w:val="Text1"/>
        <w:ind w:left="0"/>
        <w:rPr>
          <w:noProof/>
        </w:rPr>
      </w:pPr>
      <w:r w:rsidRPr="0060400C">
        <w:rPr>
          <w:noProof/>
        </w:rPr>
        <w:t>Finally, both Article</w:t>
      </w:r>
      <w:r w:rsidR="00273FB4" w:rsidRPr="0060400C">
        <w:rPr>
          <w:noProof/>
        </w:rPr>
        <w:t> </w:t>
      </w:r>
      <w:r w:rsidRPr="0060400C">
        <w:rPr>
          <w:noProof/>
        </w:rPr>
        <w:t>51 and Annex</w:t>
      </w:r>
      <w:r w:rsidR="00273FB4" w:rsidRPr="0060400C">
        <w:rPr>
          <w:noProof/>
        </w:rPr>
        <w:t> </w:t>
      </w:r>
      <w:r w:rsidRPr="0060400C">
        <w:rPr>
          <w:noProof/>
        </w:rPr>
        <w:t>II of the VAT Implementing Regulation will be deleted from 1</w:t>
      </w:r>
      <w:r w:rsidR="00273FB4" w:rsidRPr="0060400C">
        <w:rPr>
          <w:noProof/>
        </w:rPr>
        <w:t> </w:t>
      </w:r>
      <w:r w:rsidRPr="0060400C">
        <w:rPr>
          <w:noProof/>
        </w:rPr>
        <w:t>J</w:t>
      </w:r>
      <w:r w:rsidR="00F7736E">
        <w:rPr>
          <w:noProof/>
        </w:rPr>
        <w:t>uly</w:t>
      </w:r>
      <w:r w:rsidRPr="0060400C">
        <w:rPr>
          <w:noProof/>
        </w:rPr>
        <w:t xml:space="preserve"> 2030, the date on which this paper version will be replaced by the new electronic VAT exemption certificate pursuant to Article</w:t>
      </w:r>
      <w:r w:rsidR="00273FB4" w:rsidRPr="0060400C">
        <w:rPr>
          <w:noProof/>
        </w:rPr>
        <w:t> </w:t>
      </w:r>
      <w:r w:rsidRPr="0060400C">
        <w:rPr>
          <w:noProof/>
        </w:rPr>
        <w:t>151(1a) of the VAT Directive.</w:t>
      </w:r>
    </w:p>
    <w:p w:rsidR="00D314F7" w:rsidRPr="0060400C" w:rsidRDefault="00BC2AA6" w:rsidP="00D314F7">
      <w:pPr>
        <w:pStyle w:val="ManualHeading2"/>
        <w:rPr>
          <w:rFonts w:eastAsia="Arial Unicode MS"/>
          <w:noProof/>
          <w:color w:val="000000"/>
          <w:u w:color="000000"/>
          <w:bdr w:val="nil"/>
          <w:lang w:eastAsia="en-GB"/>
        </w:rPr>
      </w:pPr>
      <w:r w:rsidRPr="0060400C">
        <w:rPr>
          <w:rFonts w:eastAsia="Arial Unicode MS"/>
          <w:noProof/>
          <w:color w:val="000000"/>
          <w:u w:color="000000"/>
          <w:bdr w:val="nil"/>
          <w:lang w:eastAsia="en-GB"/>
        </w:rPr>
        <w:t>•</w:t>
      </w:r>
      <w:r w:rsidRPr="0060400C">
        <w:rPr>
          <w:rFonts w:eastAsia="Arial Unicode MS"/>
          <w:noProof/>
          <w:color w:val="000000"/>
          <w:u w:color="000000"/>
          <w:bdr w:val="nil"/>
          <w:lang w:eastAsia="en-GB"/>
        </w:rPr>
        <w:tab/>
      </w:r>
      <w:r w:rsidRPr="0060400C">
        <w:rPr>
          <w:rFonts w:eastAsia="Arial Unicode MS"/>
          <w:noProof/>
        </w:rPr>
        <w:t>Consistency with existing policy provisions in the policy area</w:t>
      </w:r>
    </w:p>
    <w:p w:rsidR="00BC2AA6" w:rsidRPr="0060400C" w:rsidRDefault="00A448CF" w:rsidP="00A448CF">
      <w:pPr>
        <w:spacing w:before="0"/>
        <w:rPr>
          <w:noProof/>
        </w:rPr>
      </w:pPr>
      <w:r w:rsidRPr="0060400C">
        <w:rPr>
          <w:noProof/>
        </w:rPr>
        <w:t>The proposal allows for the electronic conversion of the exemption certificate as the next step following its adaptation in 2022</w:t>
      </w:r>
      <w:r w:rsidRPr="0060400C">
        <w:rPr>
          <w:rStyle w:val="FootnoteReference"/>
          <w:noProof/>
        </w:rPr>
        <w:footnoteReference w:id="4"/>
      </w:r>
      <w:r w:rsidRPr="0060400C">
        <w:rPr>
          <w:noProof/>
        </w:rPr>
        <w:t>, which reflects the extended scope of the exemptions under Article</w:t>
      </w:r>
      <w:r w:rsidR="00273FB4" w:rsidRPr="0060400C">
        <w:rPr>
          <w:noProof/>
        </w:rPr>
        <w:t> </w:t>
      </w:r>
      <w:r w:rsidRPr="0060400C">
        <w:rPr>
          <w:noProof/>
        </w:rPr>
        <w:t xml:space="preserve">151(1) of the VAT Directive, </w:t>
      </w:r>
      <w:r w:rsidR="00273FB4" w:rsidRPr="0060400C">
        <w:rPr>
          <w:noProof/>
        </w:rPr>
        <w:t xml:space="preserve">to encompass </w:t>
      </w:r>
      <w:r w:rsidRPr="0060400C">
        <w:rPr>
          <w:noProof/>
        </w:rPr>
        <w:t>Union activities under the Common Security and Defence Policy (CSDP)</w:t>
      </w:r>
      <w:r w:rsidRPr="0060400C">
        <w:rPr>
          <w:rStyle w:val="FootnoteReference"/>
          <w:noProof/>
        </w:rPr>
        <w:footnoteReference w:id="5"/>
      </w:r>
      <w:r w:rsidRPr="0060400C">
        <w:rPr>
          <w:noProof/>
        </w:rPr>
        <w:t xml:space="preserve"> and Union measures in response to the COVID-19 pandemic</w:t>
      </w:r>
      <w:r w:rsidRPr="0060400C">
        <w:rPr>
          <w:rStyle w:val="FootnoteReference"/>
          <w:noProof/>
        </w:rPr>
        <w:footnoteReference w:id="6"/>
      </w:r>
      <w:r w:rsidRPr="0060400C">
        <w:rPr>
          <w:noProof/>
        </w:rPr>
        <w:t>.</w:t>
      </w:r>
    </w:p>
    <w:p w:rsidR="00BC2AA6" w:rsidRPr="0060400C" w:rsidRDefault="00BC2AA6" w:rsidP="00A4693B">
      <w:pPr>
        <w:pStyle w:val="ManualHeading2"/>
        <w:rPr>
          <w:rFonts w:eastAsia="Arial Unicode MS"/>
          <w:noProof/>
        </w:rPr>
      </w:pPr>
      <w:r w:rsidRPr="0060400C">
        <w:rPr>
          <w:rFonts w:eastAsia="Arial Unicode MS"/>
          <w:noProof/>
          <w:color w:val="000000"/>
          <w:u w:color="000000"/>
          <w:bdr w:val="nil"/>
          <w:lang w:eastAsia="en-GB"/>
        </w:rPr>
        <w:t>•</w:t>
      </w:r>
      <w:r w:rsidRPr="0060400C">
        <w:rPr>
          <w:rFonts w:eastAsia="Arial Unicode MS"/>
          <w:noProof/>
          <w:color w:val="000000"/>
          <w:u w:color="000000"/>
          <w:bdr w:val="nil"/>
          <w:lang w:eastAsia="en-GB"/>
        </w:rPr>
        <w:tab/>
      </w:r>
      <w:r w:rsidRPr="0060400C">
        <w:rPr>
          <w:rFonts w:eastAsia="Arial Unicode MS"/>
          <w:noProof/>
        </w:rPr>
        <w:t>Consistency with other Union policies</w:t>
      </w:r>
    </w:p>
    <w:p w:rsidR="009F4A50" w:rsidRPr="0060400C" w:rsidRDefault="00E15FA6" w:rsidP="00495903">
      <w:pPr>
        <w:pBdr>
          <w:top w:val="nil"/>
          <w:left w:val="nil"/>
          <w:bottom w:val="nil"/>
          <w:right w:val="nil"/>
          <w:between w:val="nil"/>
          <w:bar w:val="nil"/>
        </w:pBdr>
        <w:spacing w:before="0" w:after="240"/>
        <w:rPr>
          <w:rFonts w:eastAsia="Arial Unicode MS"/>
          <w:noProof/>
        </w:rPr>
      </w:pPr>
      <w:r w:rsidRPr="0060400C">
        <w:rPr>
          <w:noProof/>
        </w:rPr>
        <w:t>The introduction of the electronic VAT exemption certificate is in line with the initiatives taken as part of the EU's digitalisation policy and will help Member States to equip their tax administrations to comply with the requirements for the use of advanced electronic signatures laid down in EU legislation</w:t>
      </w:r>
      <w:r w:rsidR="008A76D4" w:rsidRPr="0060400C">
        <w:rPr>
          <w:rStyle w:val="FootnoteReference"/>
          <w:rFonts w:eastAsia="Arial Unicode MS"/>
          <w:noProof/>
        </w:rPr>
        <w:footnoteReference w:id="7"/>
      </w:r>
      <w:r w:rsidR="009F4A50" w:rsidRPr="0060400C">
        <w:rPr>
          <w:noProof/>
        </w:rPr>
        <w:t>.</w:t>
      </w:r>
    </w:p>
    <w:p w:rsidR="00BC2AA6" w:rsidRPr="0060400C" w:rsidRDefault="00BC2AA6" w:rsidP="00550536">
      <w:pPr>
        <w:pStyle w:val="ManualHeading1"/>
        <w:rPr>
          <w:noProof/>
        </w:rPr>
      </w:pPr>
      <w:r w:rsidRPr="0060400C">
        <w:rPr>
          <w:noProof/>
        </w:rPr>
        <w:t>2.</w:t>
      </w:r>
      <w:r w:rsidRPr="0060400C">
        <w:rPr>
          <w:noProof/>
        </w:rPr>
        <w:tab/>
        <w:t>LEGAL BASIS, SUBSIDIARITY AND PROPORTIONALITY</w:t>
      </w:r>
    </w:p>
    <w:p w:rsidR="00BC2AA6" w:rsidRPr="0060400C" w:rsidRDefault="00BC2AA6" w:rsidP="00A4693B">
      <w:pPr>
        <w:pStyle w:val="ManualHeading2"/>
        <w:rPr>
          <w:rFonts w:eastAsia="Arial Unicode MS"/>
          <w:noProof/>
          <w:u w:color="000000"/>
          <w:bdr w:val="nil"/>
          <w:lang w:eastAsia="en-GB"/>
        </w:rPr>
      </w:pPr>
      <w:r w:rsidRPr="0060400C">
        <w:rPr>
          <w:rFonts w:eastAsia="Arial Unicode MS"/>
          <w:noProof/>
          <w:u w:color="000000"/>
          <w:bdr w:val="nil"/>
          <w:lang w:eastAsia="en-GB"/>
        </w:rPr>
        <w:t>•</w:t>
      </w:r>
      <w:r w:rsidRPr="0060400C">
        <w:rPr>
          <w:rFonts w:eastAsia="Arial Unicode MS"/>
          <w:noProof/>
          <w:u w:color="000000"/>
          <w:bdr w:val="nil"/>
          <w:lang w:eastAsia="en-GB"/>
        </w:rPr>
        <w:tab/>
        <w:t>Legal basis</w:t>
      </w:r>
    </w:p>
    <w:p w:rsidR="00BC2AA6" w:rsidRPr="0060400C" w:rsidRDefault="00B14524" w:rsidP="00550536">
      <w:pPr>
        <w:pBdr>
          <w:top w:val="nil"/>
          <w:left w:val="nil"/>
          <w:bottom w:val="nil"/>
          <w:right w:val="nil"/>
          <w:between w:val="nil"/>
          <w:bar w:val="nil"/>
        </w:pBdr>
        <w:spacing w:before="0" w:after="240"/>
        <w:rPr>
          <w:rFonts w:eastAsia="Arial Unicode MS"/>
          <w:noProof/>
        </w:rPr>
      </w:pPr>
      <w:r w:rsidRPr="0060400C">
        <w:rPr>
          <w:noProof/>
        </w:rPr>
        <w:t>The proposal is based on Article 397 of the VAT Directive. This article provides that the Council, acting unanimously on a proposal from the Commission, shall adopt the measures necessary to implement the VAT Directive.</w:t>
      </w:r>
    </w:p>
    <w:p w:rsidR="00BC2AA6" w:rsidRPr="0060400C" w:rsidRDefault="00BC2AA6" w:rsidP="00A4693B">
      <w:pPr>
        <w:pStyle w:val="ManualHeading2"/>
        <w:rPr>
          <w:rFonts w:eastAsia="Arial Unicode MS"/>
          <w:noProof/>
          <w:u w:color="000000"/>
          <w:bdr w:val="nil"/>
          <w:lang w:eastAsia="en-GB"/>
        </w:rPr>
      </w:pPr>
      <w:r w:rsidRPr="0060400C">
        <w:rPr>
          <w:rFonts w:eastAsia="Arial Unicode MS"/>
          <w:noProof/>
          <w:u w:color="000000"/>
          <w:bdr w:val="nil"/>
          <w:lang w:eastAsia="en-GB"/>
        </w:rPr>
        <w:t>•</w:t>
      </w:r>
      <w:r w:rsidRPr="0060400C">
        <w:rPr>
          <w:rFonts w:eastAsia="Arial Unicode MS"/>
          <w:noProof/>
          <w:u w:color="000000"/>
          <w:bdr w:val="nil"/>
          <w:lang w:eastAsia="en-GB"/>
        </w:rPr>
        <w:tab/>
        <w:t xml:space="preserve">Subsidiarity (for non-exclusive competence) </w:t>
      </w:r>
    </w:p>
    <w:p w:rsidR="00BC2AA6" w:rsidRPr="0060400C" w:rsidRDefault="0084206E" w:rsidP="00B55FE2">
      <w:pPr>
        <w:pBdr>
          <w:top w:val="nil"/>
          <w:left w:val="nil"/>
          <w:bottom w:val="nil"/>
          <w:right w:val="nil"/>
          <w:between w:val="nil"/>
          <w:bar w:val="nil"/>
        </w:pBdr>
        <w:spacing w:before="0" w:after="240"/>
        <w:rPr>
          <w:rFonts w:eastAsia="Arial Unicode MS"/>
          <w:noProof/>
        </w:rPr>
      </w:pPr>
      <w:r w:rsidRPr="0060400C">
        <w:rPr>
          <w:noProof/>
        </w:rPr>
        <w:t>The introduction of the electronic VAT exemption certificate under Article</w:t>
      </w:r>
      <w:r w:rsidR="00273FB4" w:rsidRPr="0060400C">
        <w:rPr>
          <w:noProof/>
        </w:rPr>
        <w:t> </w:t>
      </w:r>
      <w:r w:rsidRPr="0060400C">
        <w:rPr>
          <w:noProof/>
        </w:rPr>
        <w:t>151(1a) of the VAT Directive requires the VAT Implementing Regulation to be adapted accordingly. This could not be done by Member States acting alone. The adaptation requires a Commission proposal to amend the VAT Implementing Regulation.</w:t>
      </w:r>
    </w:p>
    <w:p w:rsidR="00BC2AA6" w:rsidRPr="0060400C" w:rsidRDefault="00BC2AA6" w:rsidP="00A4693B">
      <w:pPr>
        <w:pStyle w:val="ManualHeading2"/>
        <w:rPr>
          <w:rFonts w:eastAsia="Arial Unicode MS"/>
          <w:noProof/>
          <w:u w:color="000000"/>
          <w:bdr w:val="nil"/>
          <w:lang w:eastAsia="en-GB"/>
        </w:rPr>
      </w:pPr>
      <w:r w:rsidRPr="0060400C">
        <w:rPr>
          <w:rFonts w:eastAsia="Arial Unicode MS"/>
          <w:noProof/>
          <w:u w:color="000000"/>
          <w:bdr w:val="nil"/>
          <w:lang w:eastAsia="en-GB"/>
        </w:rPr>
        <w:t>•</w:t>
      </w:r>
      <w:r w:rsidRPr="0060400C">
        <w:rPr>
          <w:rFonts w:eastAsia="Arial Unicode MS"/>
          <w:noProof/>
          <w:u w:color="000000"/>
          <w:bdr w:val="nil"/>
          <w:lang w:eastAsia="en-GB"/>
        </w:rPr>
        <w:tab/>
        <w:t>Proportionality</w:t>
      </w:r>
    </w:p>
    <w:p w:rsidR="00BC2AA6" w:rsidRPr="0060400C" w:rsidRDefault="009D61B2" w:rsidP="000A57F4">
      <w:pPr>
        <w:pBdr>
          <w:top w:val="nil"/>
          <w:left w:val="nil"/>
          <w:bottom w:val="nil"/>
          <w:right w:val="nil"/>
          <w:between w:val="nil"/>
          <w:bar w:val="nil"/>
        </w:pBdr>
        <w:spacing w:before="0" w:after="240"/>
        <w:rPr>
          <w:rFonts w:eastAsia="Arial Unicode MS"/>
          <w:noProof/>
        </w:rPr>
      </w:pPr>
      <w:r w:rsidRPr="0060400C">
        <w:rPr>
          <w:rFonts w:eastAsia="Arial Unicode MS"/>
          <w:noProof/>
          <w:color w:val="000000" w:themeColor="text1"/>
        </w:rPr>
        <w:t>The proposal complies with the proportionality principle as it does not go beyond what is necessary and is proportionate to the objective pursued</w:t>
      </w:r>
      <w:r w:rsidR="00EB6455" w:rsidRPr="0060400C">
        <w:rPr>
          <w:rFonts w:eastAsia="Arial Unicode MS"/>
          <w:noProof/>
          <w:color w:val="000000" w:themeColor="text1"/>
        </w:rPr>
        <w:t>. The initiative introduces an electronic exemption certificate confirming that a transaction qualifies for a specific exemption under the first subparagraph of Article</w:t>
      </w:r>
      <w:r w:rsidR="00273FB4" w:rsidRPr="0060400C">
        <w:rPr>
          <w:noProof/>
        </w:rPr>
        <w:t> </w:t>
      </w:r>
      <w:r w:rsidR="00EB6455" w:rsidRPr="0060400C">
        <w:rPr>
          <w:rFonts w:eastAsia="Arial Unicode MS"/>
          <w:noProof/>
          <w:color w:val="000000" w:themeColor="text1"/>
        </w:rPr>
        <w:t>151(1) of the VAT Directive. Given the increased administrative burden and lack of flexibility associated with an exemption procedure based on paper documents, the proposed measures will lead to significant simplification and cost savings in the long term and are therefore proportionate in view of their budgetary impact</w:t>
      </w:r>
      <w:r w:rsidR="00F62462" w:rsidRPr="0060400C">
        <w:rPr>
          <w:noProof/>
        </w:rPr>
        <w:t>.</w:t>
      </w:r>
      <w:r w:rsidR="00B915D4" w:rsidRPr="0060400C">
        <w:rPr>
          <w:noProof/>
        </w:rPr>
        <w:t xml:space="preserve"> </w:t>
      </w:r>
    </w:p>
    <w:p w:rsidR="00BC2AA6" w:rsidRPr="0060400C" w:rsidRDefault="00BC2AA6" w:rsidP="00A4693B">
      <w:pPr>
        <w:pStyle w:val="ManualHeading2"/>
        <w:rPr>
          <w:rFonts w:eastAsia="Arial Unicode MS"/>
          <w:noProof/>
          <w:u w:color="000000"/>
          <w:bdr w:val="nil"/>
          <w:lang w:eastAsia="en-GB"/>
        </w:rPr>
      </w:pPr>
      <w:r w:rsidRPr="0060400C">
        <w:rPr>
          <w:rFonts w:eastAsia="Arial Unicode MS"/>
          <w:noProof/>
          <w:u w:color="000000"/>
          <w:bdr w:val="nil"/>
          <w:lang w:eastAsia="en-GB"/>
        </w:rPr>
        <w:t>•</w:t>
      </w:r>
      <w:r w:rsidRPr="0060400C">
        <w:rPr>
          <w:rFonts w:eastAsia="Arial Unicode MS"/>
          <w:noProof/>
          <w:u w:color="000000"/>
          <w:bdr w:val="nil"/>
          <w:lang w:eastAsia="en-GB"/>
        </w:rPr>
        <w:tab/>
        <w:t>Choice of the instrument</w:t>
      </w:r>
    </w:p>
    <w:p w:rsidR="00BC2AA6" w:rsidRPr="0060400C" w:rsidRDefault="00671685" w:rsidP="00550536">
      <w:pPr>
        <w:pBdr>
          <w:top w:val="nil"/>
          <w:left w:val="nil"/>
          <w:bottom w:val="nil"/>
          <w:right w:val="nil"/>
          <w:between w:val="nil"/>
          <w:bar w:val="nil"/>
        </w:pBdr>
        <w:spacing w:before="0" w:after="240"/>
        <w:rPr>
          <w:noProof/>
        </w:rPr>
      </w:pPr>
      <w:r w:rsidRPr="0060400C">
        <w:rPr>
          <w:noProof/>
        </w:rPr>
        <w:t>An Implementing Regulation is proposed in view of amending the VAT Implementing Regulation.</w:t>
      </w:r>
    </w:p>
    <w:p w:rsidR="004A3B27" w:rsidRPr="0060400C" w:rsidRDefault="004A3B27" w:rsidP="008D398D">
      <w:pPr>
        <w:pStyle w:val="ManualHeading1"/>
        <w:rPr>
          <w:rFonts w:eastAsia="Arial Unicode MS"/>
          <w:noProof/>
        </w:rPr>
      </w:pPr>
      <w:r w:rsidRPr="0060400C">
        <w:rPr>
          <w:noProof/>
        </w:rPr>
        <w:t>3.</w:t>
      </w:r>
      <w:r w:rsidRPr="0060400C">
        <w:rPr>
          <w:noProof/>
        </w:rPr>
        <w:tab/>
        <w:t>RESULTS OF EX-POST EVALUATIONS AND STAKEHOLDER CONSULTATIONS</w:t>
      </w:r>
      <w:r w:rsidR="00DF4943" w:rsidRPr="0060400C">
        <w:rPr>
          <w:noProof/>
        </w:rPr>
        <w:t xml:space="preserve"> </w:t>
      </w:r>
    </w:p>
    <w:p w:rsidR="004A3B27" w:rsidRPr="0060400C" w:rsidRDefault="004A3B27" w:rsidP="004A3B27">
      <w:pPr>
        <w:pStyle w:val="ManualHeading2"/>
        <w:rPr>
          <w:rFonts w:eastAsia="Arial Unicode MS"/>
          <w:noProof/>
          <w:u w:color="000000"/>
          <w:bdr w:val="nil"/>
          <w:lang w:eastAsia="en-GB"/>
        </w:rPr>
      </w:pPr>
      <w:r w:rsidRPr="0060400C">
        <w:rPr>
          <w:rFonts w:eastAsia="Arial Unicode MS"/>
          <w:noProof/>
          <w:u w:color="000000"/>
          <w:bdr w:val="nil"/>
          <w:lang w:eastAsia="en-GB"/>
        </w:rPr>
        <w:t>•</w:t>
      </w:r>
      <w:r w:rsidRPr="0060400C">
        <w:rPr>
          <w:rFonts w:eastAsia="Arial Unicode MS"/>
          <w:noProof/>
          <w:u w:color="000000"/>
          <w:bdr w:val="nil"/>
          <w:lang w:eastAsia="en-GB"/>
        </w:rPr>
        <w:tab/>
        <w:t>Stakeholder consultations</w:t>
      </w:r>
    </w:p>
    <w:p w:rsidR="008D398D" w:rsidRPr="0060400C" w:rsidRDefault="00EB6455" w:rsidP="00530DB5">
      <w:pPr>
        <w:pBdr>
          <w:top w:val="nil"/>
          <w:left w:val="nil"/>
          <w:bottom w:val="nil"/>
          <w:right w:val="nil"/>
          <w:between w:val="nil"/>
          <w:bar w:val="nil"/>
        </w:pBdr>
        <w:spacing w:before="0" w:after="240"/>
        <w:rPr>
          <w:rFonts w:eastAsia="Arial Unicode MS"/>
          <w:noProof/>
        </w:rPr>
      </w:pPr>
      <w:r w:rsidRPr="0060400C">
        <w:rPr>
          <w:rFonts w:eastAsia="Arial Unicode MS"/>
          <w:noProof/>
          <w:color w:val="000000" w:themeColor="text1"/>
        </w:rPr>
        <w:t>No stakeholder consultation was carried out, due to the highly technical nature of this initiative and its alignment with efforts at EU level to promote digital government interactions</w:t>
      </w:r>
      <w:r w:rsidR="002759A8" w:rsidRPr="0060400C">
        <w:rPr>
          <w:rFonts w:eastAsia="Arial Unicode MS"/>
          <w:noProof/>
        </w:rPr>
        <w:t>.</w:t>
      </w:r>
    </w:p>
    <w:p w:rsidR="004A3B27" w:rsidRPr="0060400C" w:rsidRDefault="004A3B27" w:rsidP="004A3B27">
      <w:pPr>
        <w:pStyle w:val="ManualHeading2"/>
        <w:rPr>
          <w:rFonts w:eastAsia="Arial Unicode MS"/>
          <w:noProof/>
          <w:u w:color="000000"/>
          <w:bdr w:val="nil"/>
          <w:lang w:eastAsia="en-GB"/>
        </w:rPr>
      </w:pPr>
      <w:r w:rsidRPr="0060400C">
        <w:rPr>
          <w:rFonts w:eastAsia="Arial Unicode MS"/>
          <w:noProof/>
          <w:u w:color="000000"/>
          <w:bdr w:val="nil"/>
          <w:lang w:eastAsia="en-GB"/>
        </w:rPr>
        <w:t>•</w:t>
      </w:r>
      <w:r w:rsidRPr="0060400C">
        <w:rPr>
          <w:rFonts w:eastAsia="Arial Unicode MS"/>
          <w:noProof/>
          <w:u w:color="000000"/>
          <w:bdr w:val="nil"/>
          <w:lang w:eastAsia="en-GB"/>
        </w:rPr>
        <w:tab/>
        <w:t>Collection and use of expertise</w:t>
      </w:r>
    </w:p>
    <w:p w:rsidR="004A3B27" w:rsidRPr="0060400C" w:rsidRDefault="003115D3" w:rsidP="003115D3">
      <w:pPr>
        <w:pBdr>
          <w:top w:val="nil"/>
          <w:left w:val="nil"/>
          <w:bottom w:val="nil"/>
          <w:right w:val="nil"/>
          <w:between w:val="nil"/>
          <w:bar w:val="nil"/>
        </w:pBdr>
        <w:spacing w:before="0" w:after="240"/>
        <w:rPr>
          <w:noProof/>
          <w:color w:val="000000" w:themeColor="text1"/>
        </w:rPr>
      </w:pPr>
      <w:r w:rsidRPr="0060400C">
        <w:rPr>
          <w:noProof/>
          <w:color w:val="000000" w:themeColor="text1"/>
        </w:rPr>
        <w:t>The Commission, in consultation with Member States, has carried out a technical study to identify possible IT solutions for the introduction of an electronic exemption certificate and corresponding procedure.</w:t>
      </w:r>
    </w:p>
    <w:p w:rsidR="004A3B27" w:rsidRPr="0060400C" w:rsidRDefault="004A3B27" w:rsidP="004A3B27">
      <w:pPr>
        <w:pStyle w:val="ManualHeading2"/>
        <w:rPr>
          <w:rFonts w:eastAsia="Arial Unicode MS"/>
          <w:noProof/>
          <w:u w:color="000000"/>
          <w:bdr w:val="nil"/>
          <w:lang w:eastAsia="en-GB"/>
        </w:rPr>
      </w:pPr>
      <w:r w:rsidRPr="0060400C">
        <w:rPr>
          <w:rFonts w:eastAsia="Arial Unicode MS"/>
          <w:noProof/>
          <w:u w:color="000000"/>
          <w:bdr w:val="nil"/>
          <w:lang w:eastAsia="en-GB"/>
        </w:rPr>
        <w:t>•</w:t>
      </w:r>
      <w:r w:rsidRPr="0060400C">
        <w:rPr>
          <w:rFonts w:eastAsia="Arial Unicode MS"/>
          <w:noProof/>
          <w:u w:color="000000"/>
          <w:bdr w:val="nil"/>
          <w:lang w:eastAsia="en-GB"/>
        </w:rPr>
        <w:tab/>
        <w:t>Regulatory fitness and simplification</w:t>
      </w:r>
    </w:p>
    <w:p w:rsidR="004A3B27" w:rsidRPr="0060400C" w:rsidRDefault="004A3B27" w:rsidP="004A3B27">
      <w:pPr>
        <w:rPr>
          <w:rFonts w:eastAsia="Arial Unicode MS"/>
          <w:noProof/>
        </w:rPr>
      </w:pPr>
      <w:r w:rsidRPr="0060400C">
        <w:rPr>
          <w:noProof/>
        </w:rPr>
        <w:t>The proposal is not linked to REFIT and has no particular impact on micro</w:t>
      </w:r>
      <w:r w:rsidRPr="0060400C">
        <w:rPr>
          <w:noProof/>
        </w:rPr>
        <w:noBreakHyphen/>
        <w:t>enterprises or SMEs.</w:t>
      </w:r>
    </w:p>
    <w:p w:rsidR="004A3B27" w:rsidRPr="0060400C" w:rsidRDefault="004A3B27" w:rsidP="004A3B27">
      <w:pPr>
        <w:pStyle w:val="ManualHeading2"/>
        <w:rPr>
          <w:rFonts w:eastAsia="Arial Unicode MS"/>
          <w:noProof/>
          <w:u w:color="000000"/>
          <w:bdr w:val="nil"/>
          <w:lang w:eastAsia="en-GB"/>
        </w:rPr>
      </w:pPr>
      <w:r w:rsidRPr="0060400C">
        <w:rPr>
          <w:rFonts w:eastAsia="Arial Unicode MS"/>
          <w:noProof/>
          <w:u w:color="000000"/>
          <w:bdr w:val="nil"/>
          <w:lang w:eastAsia="en-GB"/>
        </w:rPr>
        <w:t>•</w:t>
      </w:r>
      <w:r w:rsidRPr="0060400C">
        <w:rPr>
          <w:rFonts w:eastAsia="Arial Unicode MS"/>
          <w:noProof/>
          <w:u w:color="000000"/>
          <w:bdr w:val="nil"/>
          <w:lang w:eastAsia="en-GB"/>
        </w:rPr>
        <w:tab/>
        <w:t>Fundamental rights</w:t>
      </w:r>
    </w:p>
    <w:p w:rsidR="004A3B27" w:rsidRPr="0060400C" w:rsidRDefault="003115D3" w:rsidP="004A3B27">
      <w:pPr>
        <w:pBdr>
          <w:top w:val="nil"/>
          <w:left w:val="nil"/>
          <w:bottom w:val="nil"/>
          <w:right w:val="nil"/>
          <w:between w:val="nil"/>
          <w:bar w:val="nil"/>
        </w:pBdr>
        <w:spacing w:before="0" w:after="240"/>
        <w:rPr>
          <w:rFonts w:eastAsia="Arial Unicode MS"/>
          <w:noProof/>
        </w:rPr>
      </w:pPr>
      <w:r w:rsidRPr="0060400C">
        <w:rPr>
          <w:rFonts w:eastAsia="Arial Unicode MS"/>
          <w:noProof/>
          <w:color w:val="000000" w:themeColor="text1"/>
        </w:rPr>
        <w:t xml:space="preserve">The proposed electronic conversion of the VAT exemption procedure supports the adaptation to the digital age and strengthens the rights of citizens </w:t>
      </w:r>
      <w:r w:rsidR="00812ED1" w:rsidRPr="0060400C">
        <w:rPr>
          <w:rFonts w:eastAsia="Arial Unicode MS"/>
          <w:noProof/>
          <w:color w:val="000000" w:themeColor="text1"/>
        </w:rPr>
        <w:t>regarding</w:t>
      </w:r>
      <w:r w:rsidRPr="0060400C">
        <w:rPr>
          <w:rFonts w:eastAsia="Arial Unicode MS"/>
          <w:noProof/>
          <w:color w:val="000000" w:themeColor="text1"/>
        </w:rPr>
        <w:t xml:space="preserve"> the processing of their personal data, as protected by Article</w:t>
      </w:r>
      <w:r w:rsidR="00273FB4" w:rsidRPr="0060400C">
        <w:rPr>
          <w:noProof/>
        </w:rPr>
        <w:t> </w:t>
      </w:r>
      <w:r w:rsidRPr="0060400C">
        <w:rPr>
          <w:rFonts w:eastAsia="Arial Unicode MS"/>
          <w:noProof/>
          <w:color w:val="000000" w:themeColor="text1"/>
        </w:rPr>
        <w:t>8 of the EU Charter of Fundamental Rights and Article</w:t>
      </w:r>
      <w:r w:rsidR="00273FB4" w:rsidRPr="0060400C">
        <w:rPr>
          <w:noProof/>
        </w:rPr>
        <w:t> </w:t>
      </w:r>
      <w:r w:rsidRPr="0060400C">
        <w:rPr>
          <w:rFonts w:eastAsia="Arial Unicode MS"/>
          <w:noProof/>
          <w:color w:val="000000" w:themeColor="text1"/>
        </w:rPr>
        <w:t>16 of the Treaty on the Functioning of the European Union</w:t>
      </w:r>
      <w:r w:rsidR="004A3B27" w:rsidRPr="0060400C">
        <w:rPr>
          <w:noProof/>
        </w:rPr>
        <w:t>.</w:t>
      </w:r>
    </w:p>
    <w:p w:rsidR="00BC2AA6" w:rsidRPr="0060400C" w:rsidRDefault="00BC2AA6" w:rsidP="00550536">
      <w:pPr>
        <w:pStyle w:val="ManualHeading1"/>
        <w:rPr>
          <w:noProof/>
        </w:rPr>
      </w:pPr>
      <w:r w:rsidRPr="0060400C">
        <w:rPr>
          <w:noProof/>
        </w:rPr>
        <w:t>4.</w:t>
      </w:r>
      <w:r w:rsidRPr="0060400C">
        <w:rPr>
          <w:noProof/>
        </w:rPr>
        <w:tab/>
        <w:t>BUDGETARY IMPLICATIONS</w:t>
      </w:r>
    </w:p>
    <w:p w:rsidR="00BC2AA6" w:rsidRPr="0060400C" w:rsidRDefault="009F4B9D" w:rsidP="00476866">
      <w:pPr>
        <w:rPr>
          <w:rFonts w:eastAsia="Arial Unicode MS"/>
          <w:noProof/>
        </w:rPr>
      </w:pPr>
      <w:r w:rsidRPr="0060400C">
        <w:rPr>
          <w:noProof/>
        </w:rPr>
        <w:t>This proposal introduces certain changes necessary for the electronic conversion of the VAT exemption certificate but does not affect the scope of the VAT exemptions to which it refers. It therefore has no impact on the Union budget.</w:t>
      </w:r>
    </w:p>
    <w:p w:rsidR="00BC2AA6" w:rsidRPr="0060400C" w:rsidRDefault="00BC2AA6" w:rsidP="00550536">
      <w:pPr>
        <w:pStyle w:val="ManualHeading1"/>
        <w:rPr>
          <w:noProof/>
        </w:rPr>
      </w:pPr>
      <w:r w:rsidRPr="0060400C">
        <w:rPr>
          <w:noProof/>
        </w:rPr>
        <w:t>5.</w:t>
      </w:r>
      <w:r w:rsidRPr="0060400C">
        <w:rPr>
          <w:noProof/>
        </w:rPr>
        <w:tab/>
        <w:t>OTHER ELEMENTS</w:t>
      </w:r>
    </w:p>
    <w:p w:rsidR="00BC2AA6" w:rsidRPr="0060400C" w:rsidRDefault="00BC2AA6" w:rsidP="00A4693B">
      <w:pPr>
        <w:pStyle w:val="ManualHeading2"/>
        <w:rPr>
          <w:rFonts w:eastAsia="Arial Unicode MS"/>
          <w:noProof/>
          <w:u w:color="000000"/>
          <w:bdr w:val="nil"/>
          <w:lang w:eastAsia="en-GB"/>
        </w:rPr>
      </w:pPr>
      <w:r w:rsidRPr="0060400C">
        <w:rPr>
          <w:rFonts w:eastAsia="Arial Unicode MS"/>
          <w:noProof/>
          <w:u w:color="000000"/>
          <w:bdr w:val="nil"/>
          <w:lang w:eastAsia="en-GB"/>
        </w:rPr>
        <w:t>•</w:t>
      </w:r>
      <w:r w:rsidRPr="0060400C">
        <w:rPr>
          <w:rFonts w:eastAsia="Arial Unicode MS"/>
          <w:noProof/>
          <w:u w:color="000000"/>
          <w:bdr w:val="nil"/>
          <w:lang w:eastAsia="en-GB"/>
        </w:rPr>
        <w:tab/>
        <w:t>Implementation plans and monitoring, evaluation</w:t>
      </w:r>
      <w:r w:rsidR="00FD34B9">
        <w:rPr>
          <w:rFonts w:eastAsia="Arial Unicode MS"/>
          <w:noProof/>
          <w:u w:color="000000"/>
          <w:bdr w:val="nil"/>
          <w:lang w:eastAsia="en-GB"/>
        </w:rPr>
        <w:t>,</w:t>
      </w:r>
      <w:r w:rsidRPr="0060400C">
        <w:rPr>
          <w:rFonts w:eastAsia="Arial Unicode MS"/>
          <w:noProof/>
          <w:u w:color="000000"/>
          <w:bdr w:val="nil"/>
          <w:lang w:eastAsia="en-GB"/>
        </w:rPr>
        <w:t xml:space="preserve"> and reporting arrangements</w:t>
      </w:r>
    </w:p>
    <w:p w:rsidR="00BC2AA6" w:rsidRPr="0060400C" w:rsidRDefault="00F15391" w:rsidP="00044058">
      <w:pPr>
        <w:pBdr>
          <w:top w:val="nil"/>
          <w:left w:val="nil"/>
          <w:bottom w:val="nil"/>
          <w:right w:val="nil"/>
          <w:between w:val="nil"/>
          <w:bar w:val="nil"/>
        </w:pBdr>
        <w:spacing w:before="0" w:after="240"/>
        <w:rPr>
          <w:rFonts w:eastAsia="Arial Unicode MS"/>
          <w:noProof/>
        </w:rPr>
      </w:pPr>
      <w:r w:rsidRPr="0060400C">
        <w:rPr>
          <w:noProof/>
        </w:rPr>
        <w:t>The Commission will monitor implementation of the proposed measures as part of its responsibilities for ensuring the correct application of EU VAT legislation.</w:t>
      </w:r>
    </w:p>
    <w:p w:rsidR="00BC2AA6" w:rsidRPr="0060400C" w:rsidRDefault="00BC2AA6" w:rsidP="00A4693B">
      <w:pPr>
        <w:pStyle w:val="ManualHeading2"/>
        <w:rPr>
          <w:rFonts w:eastAsia="Arial Unicode MS"/>
          <w:noProof/>
          <w:u w:color="000000"/>
          <w:bdr w:val="nil"/>
          <w:lang w:eastAsia="en-GB"/>
        </w:rPr>
      </w:pPr>
      <w:r w:rsidRPr="0060400C">
        <w:rPr>
          <w:rFonts w:eastAsia="Arial Unicode MS"/>
          <w:noProof/>
          <w:u w:color="000000"/>
          <w:bdr w:val="nil"/>
          <w:lang w:eastAsia="en-GB"/>
        </w:rPr>
        <w:t>•</w:t>
      </w:r>
      <w:r w:rsidRPr="0060400C">
        <w:rPr>
          <w:rFonts w:eastAsia="Arial Unicode MS"/>
          <w:noProof/>
          <w:u w:color="000000"/>
          <w:bdr w:val="nil"/>
          <w:lang w:eastAsia="en-GB"/>
        </w:rPr>
        <w:tab/>
        <w:t>Detailed explanation of the specific provisions of the proposal</w:t>
      </w:r>
    </w:p>
    <w:p w:rsidR="006C503F" w:rsidRPr="0060400C" w:rsidRDefault="006C503F" w:rsidP="009941AD">
      <w:pPr>
        <w:pBdr>
          <w:top w:val="nil"/>
          <w:left w:val="nil"/>
          <w:bottom w:val="nil"/>
          <w:right w:val="nil"/>
          <w:between w:val="nil"/>
          <w:bar w:val="nil"/>
        </w:pBdr>
        <w:spacing w:before="0" w:after="240"/>
        <w:rPr>
          <w:noProof/>
        </w:rPr>
      </w:pPr>
      <w:r w:rsidRPr="0060400C">
        <w:rPr>
          <w:noProof/>
        </w:rPr>
        <w:t>Article</w:t>
      </w:r>
      <w:r w:rsidR="00273FB4" w:rsidRPr="0060400C">
        <w:rPr>
          <w:noProof/>
        </w:rPr>
        <w:t> </w:t>
      </w:r>
      <w:r w:rsidRPr="0060400C">
        <w:rPr>
          <w:noProof/>
        </w:rPr>
        <w:t>1, paragraph</w:t>
      </w:r>
      <w:r w:rsidR="00273FB4" w:rsidRPr="0060400C">
        <w:rPr>
          <w:noProof/>
        </w:rPr>
        <w:t> </w:t>
      </w:r>
      <w:r w:rsidRPr="0060400C">
        <w:rPr>
          <w:noProof/>
        </w:rPr>
        <w:t>1, of the proposal amends the wording of the first sentence of Article</w:t>
      </w:r>
      <w:r w:rsidR="00273FB4" w:rsidRPr="0060400C">
        <w:rPr>
          <w:noProof/>
        </w:rPr>
        <w:t> </w:t>
      </w:r>
      <w:r w:rsidRPr="0060400C">
        <w:rPr>
          <w:noProof/>
        </w:rPr>
        <w:t xml:space="preserve">51(1) of </w:t>
      </w:r>
      <w:r w:rsidR="009D61B2" w:rsidRPr="0060400C">
        <w:rPr>
          <w:noProof/>
        </w:rPr>
        <w:t>the VAT</w:t>
      </w:r>
      <w:r w:rsidRPr="0060400C">
        <w:rPr>
          <w:noProof/>
        </w:rPr>
        <w:t xml:space="preserve"> Implementing Regulation </w:t>
      </w:r>
      <w:r w:rsidR="00812ED1" w:rsidRPr="0060400C">
        <w:rPr>
          <w:noProof/>
        </w:rPr>
        <w:t>to</w:t>
      </w:r>
      <w:r w:rsidRPr="0060400C">
        <w:rPr>
          <w:noProof/>
        </w:rPr>
        <w:t xml:space="preserve"> ensure that the new electronic VAT exemption certificate referred to in Article</w:t>
      </w:r>
      <w:r w:rsidR="00273FB4" w:rsidRPr="0060400C">
        <w:rPr>
          <w:noProof/>
        </w:rPr>
        <w:t> </w:t>
      </w:r>
      <w:r w:rsidRPr="0060400C">
        <w:rPr>
          <w:noProof/>
        </w:rPr>
        <w:t>151(1a) of the VAT Directive can be used as an alternative.</w:t>
      </w:r>
    </w:p>
    <w:p w:rsidR="006C503F" w:rsidRPr="0060400C" w:rsidRDefault="006C503F" w:rsidP="006C503F">
      <w:pPr>
        <w:pBdr>
          <w:top w:val="nil"/>
          <w:left w:val="nil"/>
          <w:bottom w:val="nil"/>
          <w:right w:val="nil"/>
          <w:between w:val="nil"/>
          <w:bar w:val="nil"/>
        </w:pBdr>
        <w:spacing w:before="0" w:after="240"/>
        <w:rPr>
          <w:noProof/>
        </w:rPr>
      </w:pPr>
      <w:r w:rsidRPr="0060400C">
        <w:rPr>
          <w:noProof/>
        </w:rPr>
        <w:t>Article</w:t>
      </w:r>
      <w:r w:rsidR="00273FB4" w:rsidRPr="0060400C">
        <w:rPr>
          <w:noProof/>
        </w:rPr>
        <w:t> </w:t>
      </w:r>
      <w:r w:rsidRPr="0060400C">
        <w:rPr>
          <w:noProof/>
        </w:rPr>
        <w:t>1, paragraph</w:t>
      </w:r>
      <w:r w:rsidR="00273FB4" w:rsidRPr="0060400C">
        <w:rPr>
          <w:noProof/>
        </w:rPr>
        <w:t> </w:t>
      </w:r>
      <w:r w:rsidRPr="0060400C">
        <w:rPr>
          <w:noProof/>
        </w:rPr>
        <w:t xml:space="preserve">2, of the proposal </w:t>
      </w:r>
      <w:r w:rsidR="0072126C" w:rsidRPr="0060400C">
        <w:rPr>
          <w:noProof/>
        </w:rPr>
        <w:t>replace</w:t>
      </w:r>
      <w:r w:rsidRPr="0060400C">
        <w:rPr>
          <w:noProof/>
        </w:rPr>
        <w:t>s</w:t>
      </w:r>
      <w:r w:rsidR="0072126C" w:rsidRPr="0060400C">
        <w:rPr>
          <w:noProof/>
        </w:rPr>
        <w:t xml:space="preserve"> the </w:t>
      </w:r>
      <w:r w:rsidR="00A13A96" w:rsidRPr="0060400C">
        <w:rPr>
          <w:noProof/>
        </w:rPr>
        <w:t>VAT and/or excise duty exemption certificate provided for in Annex</w:t>
      </w:r>
      <w:r w:rsidR="002D416D" w:rsidRPr="0060400C">
        <w:rPr>
          <w:noProof/>
        </w:rPr>
        <w:t> </w:t>
      </w:r>
      <w:r w:rsidR="00A13A96" w:rsidRPr="0060400C">
        <w:rPr>
          <w:noProof/>
        </w:rPr>
        <w:t xml:space="preserve">II </w:t>
      </w:r>
      <w:r w:rsidRPr="0060400C">
        <w:rPr>
          <w:noProof/>
        </w:rPr>
        <w:t>of</w:t>
      </w:r>
      <w:r w:rsidR="004C162A" w:rsidRPr="0060400C">
        <w:rPr>
          <w:noProof/>
        </w:rPr>
        <w:t xml:space="preserve"> </w:t>
      </w:r>
      <w:r w:rsidR="009D61B2" w:rsidRPr="0060400C">
        <w:rPr>
          <w:noProof/>
        </w:rPr>
        <w:t>the VAT</w:t>
      </w:r>
      <w:r w:rsidRPr="0060400C">
        <w:rPr>
          <w:noProof/>
        </w:rPr>
        <w:t xml:space="preserve"> Implementing Regulation </w:t>
      </w:r>
      <w:r w:rsidR="0072126C" w:rsidRPr="0060400C">
        <w:rPr>
          <w:noProof/>
        </w:rPr>
        <w:t xml:space="preserve">by a new version which </w:t>
      </w:r>
      <w:r w:rsidRPr="0060400C">
        <w:rPr>
          <w:noProof/>
        </w:rPr>
        <w:t>reflects the fact that Directive 2008/118/EC has been replaced by Council Directive (EU) 2020/262 (recast).</w:t>
      </w:r>
    </w:p>
    <w:p w:rsidR="00BC2AA6" w:rsidRDefault="006C503F" w:rsidP="002258F7">
      <w:pPr>
        <w:pBdr>
          <w:top w:val="nil"/>
          <w:left w:val="nil"/>
          <w:bottom w:val="nil"/>
          <w:right w:val="nil"/>
          <w:between w:val="nil"/>
          <w:bar w:val="nil"/>
        </w:pBdr>
        <w:spacing w:before="0" w:after="240"/>
        <w:rPr>
          <w:noProof/>
        </w:rPr>
      </w:pPr>
      <w:r w:rsidRPr="0060400C">
        <w:rPr>
          <w:noProof/>
        </w:rPr>
        <w:t>Article</w:t>
      </w:r>
      <w:r w:rsidR="00273FB4" w:rsidRPr="0060400C">
        <w:rPr>
          <w:noProof/>
        </w:rPr>
        <w:t> </w:t>
      </w:r>
      <w:r w:rsidRPr="0060400C">
        <w:rPr>
          <w:noProof/>
        </w:rPr>
        <w:t>2 of the proposal deletes Article</w:t>
      </w:r>
      <w:r w:rsidR="00273FB4" w:rsidRPr="0060400C">
        <w:rPr>
          <w:noProof/>
        </w:rPr>
        <w:t> </w:t>
      </w:r>
      <w:r w:rsidRPr="0060400C">
        <w:rPr>
          <w:noProof/>
        </w:rPr>
        <w:t>51 and Annex</w:t>
      </w:r>
      <w:r w:rsidR="00273FB4" w:rsidRPr="0060400C">
        <w:rPr>
          <w:noProof/>
        </w:rPr>
        <w:t> </w:t>
      </w:r>
      <w:r w:rsidRPr="0060400C">
        <w:rPr>
          <w:noProof/>
        </w:rPr>
        <w:t xml:space="preserve">II of the </w:t>
      </w:r>
      <w:r w:rsidR="009D61B2" w:rsidRPr="0060400C">
        <w:rPr>
          <w:noProof/>
        </w:rPr>
        <w:t>VAT</w:t>
      </w:r>
      <w:r w:rsidRPr="0060400C">
        <w:rPr>
          <w:noProof/>
        </w:rPr>
        <w:t xml:space="preserve"> Implementing Regulation </w:t>
      </w:r>
      <w:r w:rsidR="00812ED1" w:rsidRPr="0060400C">
        <w:rPr>
          <w:noProof/>
        </w:rPr>
        <w:t>to</w:t>
      </w:r>
      <w:r w:rsidRPr="0060400C">
        <w:rPr>
          <w:noProof/>
        </w:rPr>
        <w:t xml:space="preserve"> ensure that from 1</w:t>
      </w:r>
      <w:r w:rsidR="00273FB4" w:rsidRPr="0060400C">
        <w:rPr>
          <w:noProof/>
        </w:rPr>
        <w:t> </w:t>
      </w:r>
      <w:r w:rsidRPr="0060400C">
        <w:rPr>
          <w:noProof/>
        </w:rPr>
        <w:t>J</w:t>
      </w:r>
      <w:r w:rsidR="00F7736E">
        <w:rPr>
          <w:noProof/>
        </w:rPr>
        <w:t>uly</w:t>
      </w:r>
      <w:r w:rsidRPr="0060400C">
        <w:rPr>
          <w:noProof/>
        </w:rPr>
        <w:t xml:space="preserve"> 2030 only the electronic VAT exemption certificate referred to in Article</w:t>
      </w:r>
      <w:r w:rsidR="00273FB4" w:rsidRPr="0060400C">
        <w:rPr>
          <w:noProof/>
        </w:rPr>
        <w:t> </w:t>
      </w:r>
      <w:r w:rsidRPr="0060400C">
        <w:rPr>
          <w:noProof/>
        </w:rPr>
        <w:t>151(1a) of the VAT Directive will apply.</w:t>
      </w:r>
    </w:p>
    <w:p w:rsidR="00E77CEE" w:rsidRPr="0060400C" w:rsidRDefault="00E77CEE" w:rsidP="002258F7">
      <w:pPr>
        <w:pBdr>
          <w:top w:val="nil"/>
          <w:left w:val="nil"/>
          <w:bottom w:val="nil"/>
          <w:right w:val="nil"/>
          <w:between w:val="nil"/>
          <w:bar w:val="nil"/>
        </w:pBdr>
        <w:spacing w:before="0" w:after="240"/>
        <w:rPr>
          <w:noProof/>
        </w:rPr>
        <w:sectPr w:rsidR="00E77CEE" w:rsidRPr="0060400C" w:rsidSect="003633DC">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rsidR="007C021C" w:rsidRPr="0060400C" w:rsidRDefault="004527CD" w:rsidP="004527CD">
      <w:pPr>
        <w:pStyle w:val="Rfrenceinterinstitutionnelle"/>
        <w:rPr>
          <w:noProof/>
        </w:rPr>
      </w:pPr>
      <w:r>
        <w:rPr>
          <w:noProof/>
        </w:rPr>
        <w:t>2024/0153 (NLE)</w:t>
      </w:r>
    </w:p>
    <w:p w:rsidR="00BC2AA6" w:rsidRPr="0060400C" w:rsidRDefault="004527CD" w:rsidP="004527CD">
      <w:pPr>
        <w:pStyle w:val="Statut"/>
        <w:rPr>
          <w:noProof/>
        </w:rPr>
      </w:pPr>
      <w:r w:rsidRPr="0060400C">
        <w:rPr>
          <w:noProof/>
        </w:rPr>
        <w:t>Proposal for a</w:t>
      </w:r>
    </w:p>
    <w:p w:rsidR="00BC2AA6" w:rsidRPr="0060400C" w:rsidRDefault="004527CD" w:rsidP="004527CD">
      <w:pPr>
        <w:pStyle w:val="Typedudocument"/>
        <w:rPr>
          <w:noProof/>
        </w:rPr>
      </w:pPr>
      <w:r w:rsidRPr="0060400C">
        <w:rPr>
          <w:noProof/>
        </w:rPr>
        <w:t xml:space="preserve">COUNCIL IMPLEMENTING REGULATION </w:t>
      </w:r>
    </w:p>
    <w:p w:rsidR="00BC2AA6" w:rsidRPr="0060400C" w:rsidRDefault="004527CD" w:rsidP="004527CD">
      <w:pPr>
        <w:pStyle w:val="Titreobjet"/>
        <w:rPr>
          <w:noProof/>
        </w:rPr>
      </w:pPr>
      <w:r w:rsidRPr="0060400C">
        <w:rPr>
          <w:noProof/>
        </w:rPr>
        <w:t>amending Implementing Regulation (EU) No 282/2011 as regards the electronic value added tax exemption certificate</w:t>
      </w:r>
    </w:p>
    <w:p w:rsidR="00BC2AA6" w:rsidRPr="0060400C" w:rsidRDefault="00BC2AA6" w:rsidP="001D7C40">
      <w:pPr>
        <w:pStyle w:val="Institutionquiagit"/>
        <w:rPr>
          <w:noProof/>
        </w:rPr>
      </w:pPr>
      <w:r w:rsidRPr="0060400C">
        <w:rPr>
          <w:noProof/>
        </w:rPr>
        <w:t xml:space="preserve">THE COUNCIL OF THE EUROPEAN </w:t>
      </w:r>
      <w:smartTag w:uri="urn:schemas-microsoft-com:office:smarttags" w:element="place">
        <w:r w:rsidRPr="0060400C">
          <w:rPr>
            <w:noProof/>
          </w:rPr>
          <w:t>UNION</w:t>
        </w:r>
      </w:smartTag>
      <w:r w:rsidRPr="0060400C">
        <w:rPr>
          <w:noProof/>
        </w:rPr>
        <w:t>,</w:t>
      </w:r>
    </w:p>
    <w:p w:rsidR="00BC2AA6" w:rsidRPr="0060400C" w:rsidRDefault="00BC2AA6" w:rsidP="001D7C40">
      <w:pPr>
        <w:rPr>
          <w:noProof/>
        </w:rPr>
      </w:pPr>
      <w:r w:rsidRPr="0060400C">
        <w:rPr>
          <w:noProof/>
        </w:rPr>
        <w:t xml:space="preserve">Having regard to the Treaty on the Functioning of the European Union, </w:t>
      </w:r>
    </w:p>
    <w:p w:rsidR="00BC2AA6" w:rsidRPr="0060400C" w:rsidRDefault="00135531" w:rsidP="001D7C40">
      <w:pPr>
        <w:rPr>
          <w:noProof/>
        </w:rPr>
      </w:pPr>
      <w:r w:rsidRPr="0060400C">
        <w:rPr>
          <w:noProof/>
        </w:rPr>
        <w:t>Having regard to Council Directive 2006/112/EC of 28 November 2006 on the common system of value added tax</w:t>
      </w:r>
      <w:r w:rsidRPr="0060400C">
        <w:rPr>
          <w:rStyle w:val="FootnoteReference"/>
          <w:noProof/>
        </w:rPr>
        <w:footnoteReference w:id="8"/>
      </w:r>
      <w:r w:rsidRPr="0060400C">
        <w:rPr>
          <w:noProof/>
        </w:rPr>
        <w:t>, and in particular Article 397 thereof</w:t>
      </w:r>
      <w:r w:rsidR="00BC2AA6" w:rsidRPr="0060400C">
        <w:rPr>
          <w:noProof/>
        </w:rPr>
        <w:t>,</w:t>
      </w:r>
    </w:p>
    <w:p w:rsidR="00BC2AA6" w:rsidRPr="0060400C" w:rsidRDefault="00BC2AA6" w:rsidP="001D7C40">
      <w:pPr>
        <w:rPr>
          <w:noProof/>
        </w:rPr>
      </w:pPr>
      <w:r w:rsidRPr="0060400C">
        <w:rPr>
          <w:noProof/>
        </w:rPr>
        <w:t>Having regard to the proposal from the European Commission,</w:t>
      </w:r>
    </w:p>
    <w:p w:rsidR="00BC2AA6" w:rsidRPr="0060400C" w:rsidRDefault="00BC2AA6" w:rsidP="001D7C40">
      <w:pPr>
        <w:rPr>
          <w:noProof/>
        </w:rPr>
      </w:pPr>
      <w:r w:rsidRPr="0060400C">
        <w:rPr>
          <w:noProof/>
        </w:rPr>
        <w:t>Whereas:</w:t>
      </w:r>
    </w:p>
    <w:p w:rsidR="009073A4" w:rsidRPr="0060400C" w:rsidRDefault="00E36608" w:rsidP="00E36608">
      <w:pPr>
        <w:pStyle w:val="ManualConsidrant"/>
        <w:rPr>
          <w:noProof/>
        </w:rPr>
      </w:pPr>
      <w:r w:rsidRPr="0060400C">
        <w:rPr>
          <w:noProof/>
        </w:rPr>
        <w:t>(1)</w:t>
      </w:r>
      <w:r w:rsidRPr="0060400C">
        <w:rPr>
          <w:noProof/>
        </w:rPr>
        <w:tab/>
      </w:r>
      <w:r w:rsidR="00A429FA" w:rsidRPr="0060400C">
        <w:rPr>
          <w:noProof/>
        </w:rPr>
        <w:t>Article</w:t>
      </w:r>
      <w:r w:rsidR="00273FB4" w:rsidRPr="0060400C">
        <w:rPr>
          <w:noProof/>
        </w:rPr>
        <w:t> </w:t>
      </w:r>
      <w:r w:rsidR="00A429FA" w:rsidRPr="0060400C">
        <w:rPr>
          <w:noProof/>
        </w:rPr>
        <w:t xml:space="preserve">151(1a) of Directive 2006/112/EC introduces the new electronic VAT exemption certificate and the electronic procedure required to process it. </w:t>
      </w:r>
      <w:r w:rsidR="00B92FD1" w:rsidRPr="0060400C">
        <w:rPr>
          <w:noProof/>
        </w:rPr>
        <w:t>To</w:t>
      </w:r>
      <w:r w:rsidR="00A429FA" w:rsidRPr="0060400C">
        <w:rPr>
          <w:noProof/>
        </w:rPr>
        <w:t xml:space="preserve"> give Member States sufficient flexibility to implement the large number of </w:t>
      </w:r>
      <w:r w:rsidR="00E33F99">
        <w:rPr>
          <w:noProof/>
        </w:rPr>
        <w:t xml:space="preserve">related </w:t>
      </w:r>
      <w:r w:rsidR="00A429FA" w:rsidRPr="0060400C">
        <w:rPr>
          <w:noProof/>
        </w:rPr>
        <w:t xml:space="preserve">IT projects under way, they </w:t>
      </w:r>
      <w:r w:rsidR="000A18CD" w:rsidRPr="0060400C">
        <w:rPr>
          <w:noProof/>
        </w:rPr>
        <w:t>are</w:t>
      </w:r>
      <w:r w:rsidR="00A429FA" w:rsidRPr="0060400C">
        <w:rPr>
          <w:noProof/>
        </w:rPr>
        <w:t xml:space="preserve"> allowed to continue to use the existing paper certificate, as set out in Annex</w:t>
      </w:r>
      <w:r w:rsidR="00273FB4" w:rsidRPr="0060400C">
        <w:rPr>
          <w:noProof/>
        </w:rPr>
        <w:t> </w:t>
      </w:r>
      <w:r w:rsidR="00A429FA" w:rsidRPr="0060400C">
        <w:rPr>
          <w:noProof/>
        </w:rPr>
        <w:t>II to</w:t>
      </w:r>
      <w:r w:rsidR="00F83984" w:rsidRPr="0060400C">
        <w:rPr>
          <w:noProof/>
        </w:rPr>
        <w:t xml:space="preserve"> Council</w:t>
      </w:r>
      <w:r w:rsidR="00A429FA" w:rsidRPr="0060400C">
        <w:rPr>
          <w:noProof/>
        </w:rPr>
        <w:t xml:space="preserve"> Implementing Regulation (EU) No</w:t>
      </w:r>
      <w:r w:rsidR="00273FB4" w:rsidRPr="0060400C">
        <w:rPr>
          <w:noProof/>
        </w:rPr>
        <w:t> </w:t>
      </w:r>
      <w:r w:rsidR="00A429FA" w:rsidRPr="0060400C">
        <w:rPr>
          <w:noProof/>
        </w:rPr>
        <w:t>282/2011</w:t>
      </w:r>
      <w:r w:rsidR="00DF7BF0" w:rsidRPr="0060400C">
        <w:rPr>
          <w:rStyle w:val="FootnoteReference"/>
          <w:noProof/>
        </w:rPr>
        <w:footnoteReference w:id="9"/>
      </w:r>
      <w:r w:rsidR="00A429FA" w:rsidRPr="0060400C">
        <w:rPr>
          <w:noProof/>
        </w:rPr>
        <w:t xml:space="preserve">, for transactions </w:t>
      </w:r>
      <w:r w:rsidR="00820271" w:rsidRPr="0060400C">
        <w:rPr>
          <w:noProof/>
        </w:rPr>
        <w:t xml:space="preserve">made </w:t>
      </w:r>
      <w:r w:rsidR="00A429FA" w:rsidRPr="0060400C">
        <w:rPr>
          <w:noProof/>
        </w:rPr>
        <w:t>until 3</w:t>
      </w:r>
      <w:r w:rsidR="00EF5565">
        <w:rPr>
          <w:noProof/>
        </w:rPr>
        <w:t>0 June 2030</w:t>
      </w:r>
      <w:r w:rsidR="00A429FA" w:rsidRPr="0060400C">
        <w:rPr>
          <w:noProof/>
        </w:rPr>
        <w:t>. Article</w:t>
      </w:r>
      <w:r w:rsidR="00273FB4" w:rsidRPr="0060400C">
        <w:rPr>
          <w:noProof/>
        </w:rPr>
        <w:t> </w:t>
      </w:r>
      <w:r w:rsidR="00A429FA" w:rsidRPr="0060400C">
        <w:rPr>
          <w:noProof/>
        </w:rPr>
        <w:t xml:space="preserve">51(1) of that </w:t>
      </w:r>
      <w:r w:rsidR="00E33F99">
        <w:rPr>
          <w:noProof/>
        </w:rPr>
        <w:t xml:space="preserve">Implementing </w:t>
      </w:r>
      <w:r w:rsidR="00A429FA" w:rsidRPr="0060400C">
        <w:rPr>
          <w:noProof/>
        </w:rPr>
        <w:t xml:space="preserve">Regulation should be amended to allow </w:t>
      </w:r>
      <w:r w:rsidR="00E33F99">
        <w:rPr>
          <w:noProof/>
        </w:rPr>
        <w:t xml:space="preserve">for </w:t>
      </w:r>
      <w:r w:rsidR="00A429FA" w:rsidRPr="0060400C">
        <w:rPr>
          <w:noProof/>
        </w:rPr>
        <w:t xml:space="preserve">the use of </w:t>
      </w:r>
      <w:r w:rsidR="00E33F99">
        <w:rPr>
          <w:noProof/>
        </w:rPr>
        <w:t xml:space="preserve">either </w:t>
      </w:r>
      <w:r w:rsidR="00A429FA" w:rsidRPr="0060400C">
        <w:rPr>
          <w:noProof/>
        </w:rPr>
        <w:t xml:space="preserve">electronic </w:t>
      </w:r>
      <w:r w:rsidR="00E33F99">
        <w:rPr>
          <w:noProof/>
        </w:rPr>
        <w:t>or</w:t>
      </w:r>
      <w:r w:rsidR="00A429FA" w:rsidRPr="0060400C">
        <w:rPr>
          <w:noProof/>
        </w:rPr>
        <w:t xml:space="preserve"> paper certificates during </w:t>
      </w:r>
      <w:r w:rsidR="00E33F99">
        <w:rPr>
          <w:noProof/>
        </w:rPr>
        <w:t>a</w:t>
      </w:r>
      <w:r w:rsidR="00A429FA" w:rsidRPr="0060400C">
        <w:rPr>
          <w:noProof/>
        </w:rPr>
        <w:t xml:space="preserve"> transitional period.</w:t>
      </w:r>
    </w:p>
    <w:p w:rsidR="001F4D58" w:rsidRPr="0060400C" w:rsidRDefault="00E36608" w:rsidP="00E36608">
      <w:pPr>
        <w:pStyle w:val="ManualConsidrant"/>
        <w:rPr>
          <w:noProof/>
        </w:rPr>
      </w:pPr>
      <w:r w:rsidRPr="0060400C">
        <w:rPr>
          <w:noProof/>
        </w:rPr>
        <w:t>(2)</w:t>
      </w:r>
      <w:r w:rsidRPr="0060400C">
        <w:rPr>
          <w:noProof/>
        </w:rPr>
        <w:tab/>
      </w:r>
      <w:r w:rsidR="00DF7BF0" w:rsidRPr="0060400C">
        <w:rPr>
          <w:noProof/>
        </w:rPr>
        <w:t>Annex</w:t>
      </w:r>
      <w:r w:rsidR="00273FB4" w:rsidRPr="0060400C">
        <w:rPr>
          <w:noProof/>
        </w:rPr>
        <w:t> </w:t>
      </w:r>
      <w:r w:rsidR="00DF7BF0" w:rsidRPr="0060400C">
        <w:rPr>
          <w:noProof/>
        </w:rPr>
        <w:t>II to Implementing Regulation (EU) No</w:t>
      </w:r>
      <w:r w:rsidR="00273FB4" w:rsidRPr="0060400C">
        <w:rPr>
          <w:noProof/>
        </w:rPr>
        <w:t> </w:t>
      </w:r>
      <w:r w:rsidR="00DF7BF0" w:rsidRPr="0060400C">
        <w:rPr>
          <w:noProof/>
        </w:rPr>
        <w:t xml:space="preserve">282/2011 should be replaced </w:t>
      </w:r>
      <w:r w:rsidR="000213CC">
        <w:rPr>
          <w:noProof/>
        </w:rPr>
        <w:t>to</w:t>
      </w:r>
      <w:r w:rsidR="00DF7BF0" w:rsidRPr="0060400C">
        <w:rPr>
          <w:noProof/>
        </w:rPr>
        <w:t xml:space="preserve"> reflect the fact that </w:t>
      </w:r>
      <w:r w:rsidR="00FF14FE" w:rsidRPr="0060400C">
        <w:rPr>
          <w:noProof/>
        </w:rPr>
        <w:t xml:space="preserve">Council </w:t>
      </w:r>
      <w:r w:rsidR="00DF7BF0" w:rsidRPr="0060400C">
        <w:rPr>
          <w:noProof/>
        </w:rPr>
        <w:t>Directive 2008/118/EC</w:t>
      </w:r>
      <w:r w:rsidR="00FF14FE" w:rsidRPr="0060400C">
        <w:rPr>
          <w:rStyle w:val="FootnoteReference"/>
          <w:noProof/>
        </w:rPr>
        <w:footnoteReference w:id="10"/>
      </w:r>
      <w:r w:rsidR="00DF7BF0" w:rsidRPr="0060400C">
        <w:rPr>
          <w:noProof/>
        </w:rPr>
        <w:t xml:space="preserve"> has been replaced by Council Directive (EU) 2020/262</w:t>
      </w:r>
      <w:r w:rsidR="00DF7BF0" w:rsidRPr="0060400C">
        <w:rPr>
          <w:rStyle w:val="FootnoteReference"/>
          <w:noProof/>
        </w:rPr>
        <w:footnoteReference w:id="11"/>
      </w:r>
      <w:r w:rsidR="009262F8" w:rsidRPr="0060400C">
        <w:rPr>
          <w:noProof/>
        </w:rPr>
        <w:t>.</w:t>
      </w:r>
    </w:p>
    <w:p w:rsidR="001F4D58" w:rsidRPr="0060400C" w:rsidRDefault="00E36608" w:rsidP="00E36608">
      <w:pPr>
        <w:pStyle w:val="ManualConsidrant"/>
        <w:rPr>
          <w:noProof/>
        </w:rPr>
      </w:pPr>
      <w:r w:rsidRPr="0060400C">
        <w:rPr>
          <w:noProof/>
        </w:rPr>
        <w:t>(3)</w:t>
      </w:r>
      <w:r w:rsidRPr="0060400C">
        <w:rPr>
          <w:noProof/>
        </w:rPr>
        <w:tab/>
      </w:r>
      <w:r w:rsidR="005426A0" w:rsidRPr="0060400C">
        <w:rPr>
          <w:noProof/>
        </w:rPr>
        <w:t>In accordance with Directive 2006/112/EC, f</w:t>
      </w:r>
      <w:r w:rsidR="00DF7BF0" w:rsidRPr="0060400C">
        <w:rPr>
          <w:noProof/>
        </w:rPr>
        <w:t>rom 1</w:t>
      </w:r>
      <w:r w:rsidR="00273FB4" w:rsidRPr="0060400C">
        <w:rPr>
          <w:noProof/>
        </w:rPr>
        <w:t> </w:t>
      </w:r>
      <w:r w:rsidR="00DF7BF0" w:rsidRPr="0060400C">
        <w:rPr>
          <w:noProof/>
        </w:rPr>
        <w:t>J</w:t>
      </w:r>
      <w:r w:rsidR="00F7736E">
        <w:rPr>
          <w:noProof/>
        </w:rPr>
        <w:t>uly</w:t>
      </w:r>
      <w:r w:rsidR="00DF7BF0" w:rsidRPr="0060400C">
        <w:rPr>
          <w:noProof/>
        </w:rPr>
        <w:t xml:space="preserve"> 2030, only the electronic exemption certificate referred to in Article</w:t>
      </w:r>
      <w:r w:rsidR="00273FB4" w:rsidRPr="0060400C">
        <w:rPr>
          <w:noProof/>
        </w:rPr>
        <w:t> </w:t>
      </w:r>
      <w:r w:rsidR="00DF7BF0" w:rsidRPr="0060400C">
        <w:rPr>
          <w:noProof/>
        </w:rPr>
        <w:t xml:space="preserve">151(1a) of </w:t>
      </w:r>
      <w:r w:rsidR="00D128EA" w:rsidRPr="0060400C">
        <w:rPr>
          <w:noProof/>
        </w:rPr>
        <w:t xml:space="preserve">that </w:t>
      </w:r>
      <w:r w:rsidR="00DF7BF0" w:rsidRPr="0060400C">
        <w:rPr>
          <w:noProof/>
        </w:rPr>
        <w:t xml:space="preserve">Directive is to be used. </w:t>
      </w:r>
      <w:r w:rsidR="00B92FD1" w:rsidRPr="0060400C">
        <w:rPr>
          <w:noProof/>
        </w:rPr>
        <w:t>Consequently</w:t>
      </w:r>
      <w:r w:rsidR="00DF7BF0" w:rsidRPr="0060400C">
        <w:rPr>
          <w:noProof/>
        </w:rPr>
        <w:t>, Article</w:t>
      </w:r>
      <w:r w:rsidR="00273FB4" w:rsidRPr="0060400C">
        <w:rPr>
          <w:noProof/>
        </w:rPr>
        <w:t> </w:t>
      </w:r>
      <w:r w:rsidR="00DF7BF0" w:rsidRPr="0060400C">
        <w:rPr>
          <w:noProof/>
        </w:rPr>
        <w:t xml:space="preserve">51 </w:t>
      </w:r>
      <w:r w:rsidR="000213CC">
        <w:rPr>
          <w:noProof/>
        </w:rPr>
        <w:t xml:space="preserve">of, </w:t>
      </w:r>
      <w:r w:rsidR="00DF7BF0" w:rsidRPr="0060400C">
        <w:rPr>
          <w:noProof/>
        </w:rPr>
        <w:t>and Annex</w:t>
      </w:r>
      <w:r w:rsidR="00273FB4" w:rsidRPr="0060400C">
        <w:rPr>
          <w:noProof/>
        </w:rPr>
        <w:t> </w:t>
      </w:r>
      <w:r w:rsidR="00DF7BF0" w:rsidRPr="0060400C">
        <w:rPr>
          <w:noProof/>
        </w:rPr>
        <w:t xml:space="preserve">II </w:t>
      </w:r>
      <w:r w:rsidR="006324A5" w:rsidRPr="0060400C">
        <w:rPr>
          <w:noProof/>
        </w:rPr>
        <w:t>to</w:t>
      </w:r>
      <w:r w:rsidR="000213CC">
        <w:rPr>
          <w:noProof/>
        </w:rPr>
        <w:t>,</w:t>
      </w:r>
      <w:r w:rsidR="00DF7BF0" w:rsidRPr="0060400C">
        <w:rPr>
          <w:noProof/>
        </w:rPr>
        <w:t xml:space="preserve"> Implementing Regulation (EU) No</w:t>
      </w:r>
      <w:r w:rsidR="00273FB4" w:rsidRPr="0060400C">
        <w:rPr>
          <w:noProof/>
        </w:rPr>
        <w:t> </w:t>
      </w:r>
      <w:r w:rsidR="00DF7BF0" w:rsidRPr="0060400C">
        <w:rPr>
          <w:noProof/>
        </w:rPr>
        <w:t>282/2011, which provide for the paper version of the exemption certificate, should be deleted from that date.</w:t>
      </w:r>
    </w:p>
    <w:p w:rsidR="00BC2AA6" w:rsidRPr="0060400C" w:rsidRDefault="00E36608" w:rsidP="002A2F1C">
      <w:pPr>
        <w:pStyle w:val="ManualConsidrant"/>
        <w:rPr>
          <w:noProof/>
        </w:rPr>
      </w:pPr>
      <w:r w:rsidRPr="0060400C">
        <w:rPr>
          <w:noProof/>
        </w:rPr>
        <w:t>(4)</w:t>
      </w:r>
      <w:r w:rsidRPr="0060400C">
        <w:rPr>
          <w:noProof/>
        </w:rPr>
        <w:tab/>
      </w:r>
      <w:r w:rsidR="00184CA4" w:rsidRPr="0060400C">
        <w:rPr>
          <w:noProof/>
        </w:rPr>
        <w:t>Implementing Regulation (EU) No</w:t>
      </w:r>
      <w:r w:rsidR="00E90E41" w:rsidRPr="0060400C">
        <w:rPr>
          <w:noProof/>
        </w:rPr>
        <w:t> </w:t>
      </w:r>
      <w:r w:rsidR="00184CA4" w:rsidRPr="0060400C">
        <w:rPr>
          <w:noProof/>
        </w:rPr>
        <w:t>282/2011 should therefore be amended accordingly</w:t>
      </w:r>
      <w:r w:rsidR="00BC2AA6" w:rsidRPr="0060400C">
        <w:rPr>
          <w:noProof/>
        </w:rPr>
        <w:t>,</w:t>
      </w:r>
    </w:p>
    <w:p w:rsidR="00BC2AA6" w:rsidRPr="0060400C" w:rsidRDefault="00BC2AA6" w:rsidP="001D7C40">
      <w:pPr>
        <w:pStyle w:val="Formuledadoption"/>
        <w:rPr>
          <w:noProof/>
        </w:rPr>
      </w:pPr>
      <w:r w:rsidRPr="0060400C">
        <w:rPr>
          <w:noProof/>
        </w:rPr>
        <w:t>HAS ADOPTED THIS REGULATION:</w:t>
      </w:r>
    </w:p>
    <w:p w:rsidR="00F55172" w:rsidRPr="0060400C" w:rsidRDefault="00F55172" w:rsidP="00F55172">
      <w:pPr>
        <w:pStyle w:val="Titrearticle"/>
        <w:rPr>
          <w:noProof/>
        </w:rPr>
      </w:pPr>
      <w:r w:rsidRPr="0060400C">
        <w:rPr>
          <w:noProof/>
        </w:rPr>
        <w:t>Article</w:t>
      </w:r>
      <w:r w:rsidR="00273FB4" w:rsidRPr="0060400C">
        <w:rPr>
          <w:noProof/>
        </w:rPr>
        <w:t> </w:t>
      </w:r>
      <w:r w:rsidRPr="0060400C">
        <w:rPr>
          <w:noProof/>
        </w:rPr>
        <w:t>1</w:t>
      </w:r>
    </w:p>
    <w:p w:rsidR="00F55172" w:rsidRPr="0060400C" w:rsidRDefault="00EE107A" w:rsidP="00F55172">
      <w:pPr>
        <w:rPr>
          <w:noProof/>
        </w:rPr>
      </w:pPr>
      <w:r w:rsidRPr="0060400C">
        <w:rPr>
          <w:noProof/>
        </w:rPr>
        <w:t xml:space="preserve">Implementing </w:t>
      </w:r>
      <w:r w:rsidR="00F55172" w:rsidRPr="0060400C">
        <w:rPr>
          <w:noProof/>
        </w:rPr>
        <w:t>Regulation (EU) No</w:t>
      </w:r>
      <w:r w:rsidR="00273FB4" w:rsidRPr="0060400C">
        <w:rPr>
          <w:noProof/>
        </w:rPr>
        <w:t> </w:t>
      </w:r>
      <w:r w:rsidR="00F55172" w:rsidRPr="0060400C">
        <w:rPr>
          <w:noProof/>
        </w:rPr>
        <w:t>282/2011 is amended as follows:</w:t>
      </w:r>
    </w:p>
    <w:p w:rsidR="00F55172" w:rsidRPr="0060400C" w:rsidRDefault="00F55172" w:rsidP="00F55172">
      <w:pPr>
        <w:pStyle w:val="Point0"/>
        <w:rPr>
          <w:noProof/>
        </w:rPr>
      </w:pPr>
      <w:r w:rsidRPr="0060400C">
        <w:rPr>
          <w:noProof/>
        </w:rPr>
        <w:t>(1)</w:t>
      </w:r>
      <w:r w:rsidRPr="0060400C">
        <w:rPr>
          <w:noProof/>
        </w:rPr>
        <w:tab/>
        <w:t>in Article</w:t>
      </w:r>
      <w:r w:rsidR="00273FB4" w:rsidRPr="0060400C">
        <w:rPr>
          <w:noProof/>
        </w:rPr>
        <w:t> </w:t>
      </w:r>
      <w:r w:rsidRPr="0060400C">
        <w:rPr>
          <w:noProof/>
        </w:rPr>
        <w:t>51, paragraph</w:t>
      </w:r>
      <w:r w:rsidR="00273FB4" w:rsidRPr="0060400C">
        <w:rPr>
          <w:noProof/>
        </w:rPr>
        <w:t> </w:t>
      </w:r>
      <w:r w:rsidRPr="0060400C">
        <w:rPr>
          <w:noProof/>
        </w:rPr>
        <w:t>1 is</w:t>
      </w:r>
      <w:r w:rsidR="00EE1C01" w:rsidRPr="0060400C">
        <w:rPr>
          <w:noProof/>
        </w:rPr>
        <w:t xml:space="preserve"> replaced by the following</w:t>
      </w:r>
      <w:r w:rsidRPr="0060400C">
        <w:rPr>
          <w:noProof/>
        </w:rPr>
        <w:t>:</w:t>
      </w:r>
    </w:p>
    <w:p w:rsidR="00EE1C01" w:rsidRPr="0060400C" w:rsidRDefault="00F55172" w:rsidP="00EE1C01">
      <w:pPr>
        <w:pStyle w:val="Text1"/>
        <w:tabs>
          <w:tab w:val="left" w:pos="1134"/>
        </w:tabs>
        <w:ind w:left="567" w:right="568"/>
        <w:rPr>
          <w:noProof/>
        </w:rPr>
      </w:pPr>
      <w:r w:rsidRPr="0060400C">
        <w:rPr>
          <w:noProof/>
        </w:rPr>
        <w:t>‘1.</w:t>
      </w:r>
      <w:r w:rsidRPr="0060400C">
        <w:rPr>
          <w:noProof/>
        </w:rPr>
        <w:tab/>
      </w:r>
      <w:r w:rsidR="00EE1C01" w:rsidRPr="0060400C">
        <w:rPr>
          <w:noProof/>
        </w:rPr>
        <w:t xml:space="preserve">Where the recipient of a supply of goods or services is established within the </w:t>
      </w:r>
      <w:r w:rsidR="00E557F4" w:rsidRPr="0060400C">
        <w:rPr>
          <w:noProof/>
        </w:rPr>
        <w:t xml:space="preserve">Union </w:t>
      </w:r>
      <w:r w:rsidR="00EE1C01" w:rsidRPr="0060400C">
        <w:rPr>
          <w:noProof/>
        </w:rPr>
        <w:t>but not in the Member State in which the supply takes place</w:t>
      </w:r>
      <w:r w:rsidR="000213CC">
        <w:rPr>
          <w:noProof/>
        </w:rPr>
        <w:t>,</w:t>
      </w:r>
      <w:r w:rsidR="00EE1C01" w:rsidRPr="0060400C">
        <w:rPr>
          <w:noProof/>
        </w:rPr>
        <w:t xml:space="preserve"> and the electronic exemption certificate pursuant to Article</w:t>
      </w:r>
      <w:r w:rsidR="00273FB4" w:rsidRPr="0060400C">
        <w:rPr>
          <w:noProof/>
        </w:rPr>
        <w:t> </w:t>
      </w:r>
      <w:r w:rsidR="00EE1C01" w:rsidRPr="0060400C">
        <w:rPr>
          <w:noProof/>
        </w:rPr>
        <w:t xml:space="preserve">151(1a) of Directive 2006/112/EC is not </w:t>
      </w:r>
      <w:r w:rsidR="004C26EE" w:rsidRPr="0060400C">
        <w:rPr>
          <w:noProof/>
        </w:rPr>
        <w:t>used</w:t>
      </w:r>
      <w:r w:rsidR="00EE1C01" w:rsidRPr="0060400C">
        <w:rPr>
          <w:noProof/>
        </w:rPr>
        <w:t>, the VAT and/or excise duty exemption certificate set out in Annex</w:t>
      </w:r>
      <w:r w:rsidR="00273FB4" w:rsidRPr="0060400C">
        <w:rPr>
          <w:noProof/>
        </w:rPr>
        <w:t> </w:t>
      </w:r>
      <w:r w:rsidR="00EE1C01" w:rsidRPr="0060400C">
        <w:rPr>
          <w:noProof/>
        </w:rPr>
        <w:t>II to this Regulation</w:t>
      </w:r>
      <w:r w:rsidR="000213CC">
        <w:rPr>
          <w:noProof/>
        </w:rPr>
        <w:t>,</w:t>
      </w:r>
      <w:r w:rsidR="00EE1C01" w:rsidRPr="0060400C">
        <w:rPr>
          <w:noProof/>
        </w:rPr>
        <w:t xml:space="preserve"> shall, subject to the explanatory notes set out in the Annex to that certificate, </w:t>
      </w:r>
      <w:r w:rsidR="00F041DA" w:rsidRPr="0060400C">
        <w:rPr>
          <w:noProof/>
        </w:rPr>
        <w:t>be used</w:t>
      </w:r>
      <w:r w:rsidR="00EE1C01" w:rsidRPr="0060400C">
        <w:rPr>
          <w:noProof/>
        </w:rPr>
        <w:t xml:space="preserve"> to confirm that the transaction qualifies for the exemption under Article</w:t>
      </w:r>
      <w:r w:rsidR="00273FB4" w:rsidRPr="0060400C">
        <w:rPr>
          <w:noProof/>
        </w:rPr>
        <w:t> </w:t>
      </w:r>
      <w:r w:rsidR="00EE1C01" w:rsidRPr="0060400C">
        <w:rPr>
          <w:noProof/>
        </w:rPr>
        <w:t>151</w:t>
      </w:r>
      <w:r w:rsidR="000213CC">
        <w:rPr>
          <w:noProof/>
        </w:rPr>
        <w:t>(1)</w:t>
      </w:r>
      <w:r w:rsidR="00EE1C01" w:rsidRPr="0060400C">
        <w:rPr>
          <w:noProof/>
        </w:rPr>
        <w:t xml:space="preserve"> of Directive 2006/112/EC.</w:t>
      </w:r>
    </w:p>
    <w:p w:rsidR="00BC2AA6" w:rsidRPr="0060400C" w:rsidRDefault="00EE1C01" w:rsidP="00EE1C01">
      <w:pPr>
        <w:pStyle w:val="Text1"/>
        <w:tabs>
          <w:tab w:val="left" w:pos="1134"/>
        </w:tabs>
        <w:ind w:left="567" w:right="568"/>
        <w:rPr>
          <w:noProof/>
          <w:lang w:eastAsia="da-DK"/>
        </w:rPr>
      </w:pPr>
      <w:r w:rsidRPr="0060400C">
        <w:rPr>
          <w:noProof/>
        </w:rPr>
        <w:t>When making use of that certificate, the Member State in which the recipient of the supply of goods or services is established may decide to use either a common VAT and excise duty exemption certificate or two separate certificates</w:t>
      </w:r>
      <w:r w:rsidR="00F55172" w:rsidRPr="0060400C">
        <w:rPr>
          <w:noProof/>
          <w:lang w:eastAsia="da-DK"/>
        </w:rPr>
        <w:t>.’</w:t>
      </w:r>
      <w:r w:rsidR="000213CC">
        <w:rPr>
          <w:noProof/>
          <w:lang w:eastAsia="da-DK"/>
        </w:rPr>
        <w:t>;</w:t>
      </w:r>
    </w:p>
    <w:p w:rsidR="006D3044" w:rsidRPr="0060400C" w:rsidRDefault="006D3044" w:rsidP="006D3044">
      <w:pPr>
        <w:pStyle w:val="Point0"/>
        <w:rPr>
          <w:noProof/>
        </w:rPr>
      </w:pPr>
      <w:r w:rsidRPr="0060400C">
        <w:rPr>
          <w:noProof/>
        </w:rPr>
        <w:t>(2)</w:t>
      </w:r>
      <w:r w:rsidRPr="0060400C">
        <w:rPr>
          <w:noProof/>
        </w:rPr>
        <w:tab/>
        <w:t>Annex</w:t>
      </w:r>
      <w:r w:rsidR="00273FB4" w:rsidRPr="0060400C">
        <w:rPr>
          <w:noProof/>
        </w:rPr>
        <w:t> </w:t>
      </w:r>
      <w:r w:rsidRPr="0060400C">
        <w:rPr>
          <w:noProof/>
        </w:rPr>
        <w:t xml:space="preserve">II is replaced by the text in </w:t>
      </w:r>
      <w:r w:rsidR="0067741D" w:rsidRPr="0060400C">
        <w:rPr>
          <w:noProof/>
        </w:rPr>
        <w:t xml:space="preserve">the </w:t>
      </w:r>
      <w:r w:rsidRPr="0060400C">
        <w:rPr>
          <w:noProof/>
        </w:rPr>
        <w:t>Annex</w:t>
      </w:r>
      <w:r w:rsidR="00273FB4" w:rsidRPr="0060400C">
        <w:rPr>
          <w:noProof/>
        </w:rPr>
        <w:t> </w:t>
      </w:r>
      <w:r w:rsidRPr="0060400C">
        <w:rPr>
          <w:noProof/>
        </w:rPr>
        <w:t>to this Regulation.</w:t>
      </w:r>
    </w:p>
    <w:p w:rsidR="006D3044" w:rsidRPr="0060400C" w:rsidRDefault="006D3044" w:rsidP="006D3044">
      <w:pPr>
        <w:pStyle w:val="Titrearticle"/>
        <w:rPr>
          <w:noProof/>
        </w:rPr>
      </w:pPr>
      <w:r w:rsidRPr="0060400C">
        <w:rPr>
          <w:noProof/>
        </w:rPr>
        <w:t>Article</w:t>
      </w:r>
      <w:r w:rsidR="00273FB4" w:rsidRPr="0060400C">
        <w:rPr>
          <w:noProof/>
        </w:rPr>
        <w:t> </w:t>
      </w:r>
      <w:r w:rsidRPr="0060400C">
        <w:rPr>
          <w:noProof/>
        </w:rPr>
        <w:t>2</w:t>
      </w:r>
    </w:p>
    <w:p w:rsidR="006D3044" w:rsidRPr="0060400C" w:rsidRDefault="00FF4143" w:rsidP="006D3044">
      <w:pPr>
        <w:rPr>
          <w:noProof/>
        </w:rPr>
      </w:pPr>
      <w:r w:rsidRPr="0060400C">
        <w:rPr>
          <w:bCs/>
          <w:noProof/>
        </w:rPr>
        <w:t>Implementing</w:t>
      </w:r>
      <w:r w:rsidRPr="0060400C">
        <w:rPr>
          <w:b/>
          <w:noProof/>
        </w:rPr>
        <w:t xml:space="preserve"> </w:t>
      </w:r>
      <w:r w:rsidR="006D3044" w:rsidRPr="0060400C">
        <w:rPr>
          <w:noProof/>
        </w:rPr>
        <w:t>Regulation (EU) No</w:t>
      </w:r>
      <w:r w:rsidR="00273FB4" w:rsidRPr="0060400C">
        <w:rPr>
          <w:noProof/>
        </w:rPr>
        <w:t> </w:t>
      </w:r>
      <w:r w:rsidR="006D3044" w:rsidRPr="0060400C">
        <w:rPr>
          <w:noProof/>
        </w:rPr>
        <w:t>282/2011 is amended as follows:</w:t>
      </w:r>
    </w:p>
    <w:p w:rsidR="006D3044" w:rsidRPr="0060400C" w:rsidRDefault="006D3044" w:rsidP="006D3044">
      <w:pPr>
        <w:pStyle w:val="Point0"/>
        <w:rPr>
          <w:noProof/>
        </w:rPr>
      </w:pPr>
      <w:r w:rsidRPr="0060400C">
        <w:rPr>
          <w:noProof/>
        </w:rPr>
        <w:t>(1)</w:t>
      </w:r>
      <w:r w:rsidRPr="0060400C">
        <w:rPr>
          <w:noProof/>
        </w:rPr>
        <w:tab/>
        <w:t>Article</w:t>
      </w:r>
      <w:r w:rsidR="00273FB4" w:rsidRPr="0060400C">
        <w:rPr>
          <w:noProof/>
        </w:rPr>
        <w:t> </w:t>
      </w:r>
      <w:r w:rsidRPr="0060400C">
        <w:rPr>
          <w:noProof/>
        </w:rPr>
        <w:t>51 is deleted</w:t>
      </w:r>
      <w:r w:rsidR="00FF4143" w:rsidRPr="0060400C">
        <w:rPr>
          <w:noProof/>
        </w:rPr>
        <w:t>;</w:t>
      </w:r>
    </w:p>
    <w:p w:rsidR="00BA6944" w:rsidRPr="0060400C" w:rsidRDefault="006D3044" w:rsidP="006D3044">
      <w:pPr>
        <w:pStyle w:val="Point0"/>
        <w:rPr>
          <w:noProof/>
          <w:lang w:eastAsia="da-DK"/>
        </w:rPr>
      </w:pPr>
      <w:r w:rsidRPr="0060400C">
        <w:rPr>
          <w:noProof/>
        </w:rPr>
        <w:t>(2)</w:t>
      </w:r>
      <w:r w:rsidRPr="0060400C">
        <w:rPr>
          <w:noProof/>
        </w:rPr>
        <w:tab/>
        <w:t>Annex</w:t>
      </w:r>
      <w:r w:rsidR="00273FB4" w:rsidRPr="0060400C">
        <w:rPr>
          <w:noProof/>
        </w:rPr>
        <w:t> </w:t>
      </w:r>
      <w:r w:rsidRPr="0060400C">
        <w:rPr>
          <w:noProof/>
        </w:rPr>
        <w:t>II is deleted.</w:t>
      </w:r>
    </w:p>
    <w:p w:rsidR="00BC2AA6" w:rsidRPr="0060400C" w:rsidRDefault="00BC2AA6" w:rsidP="00BA6944">
      <w:pPr>
        <w:pStyle w:val="Titrearticle"/>
        <w:rPr>
          <w:noProof/>
        </w:rPr>
      </w:pPr>
      <w:r w:rsidRPr="0060400C">
        <w:rPr>
          <w:noProof/>
        </w:rPr>
        <w:t>Article</w:t>
      </w:r>
      <w:r w:rsidR="00135531" w:rsidRPr="0060400C">
        <w:rPr>
          <w:noProof/>
        </w:rPr>
        <w:t xml:space="preserve"> </w:t>
      </w:r>
      <w:r w:rsidR="00BA6944" w:rsidRPr="0060400C">
        <w:rPr>
          <w:noProof/>
        </w:rPr>
        <w:t>3</w:t>
      </w:r>
    </w:p>
    <w:p w:rsidR="007C145C" w:rsidRPr="0060400C" w:rsidRDefault="00BC2AA6" w:rsidP="003A6BE9">
      <w:pPr>
        <w:rPr>
          <w:noProof/>
        </w:rPr>
      </w:pPr>
      <w:r w:rsidRPr="0060400C">
        <w:rPr>
          <w:noProof/>
        </w:rPr>
        <w:t>This Regulatio</w:t>
      </w:r>
      <w:r w:rsidR="00135531" w:rsidRPr="0060400C">
        <w:rPr>
          <w:noProof/>
        </w:rPr>
        <w:t xml:space="preserve">n shall enter into force on the twentieth </w:t>
      </w:r>
      <w:r w:rsidRPr="0060400C">
        <w:rPr>
          <w:noProof/>
        </w:rPr>
        <w:t xml:space="preserve">day following that of its publication in the </w:t>
      </w:r>
      <w:r w:rsidRPr="0060400C">
        <w:rPr>
          <w:i/>
          <w:noProof/>
        </w:rPr>
        <w:t>Official Journal of the European Union</w:t>
      </w:r>
      <w:r w:rsidRPr="0060400C">
        <w:rPr>
          <w:noProof/>
        </w:rPr>
        <w:t>.</w:t>
      </w:r>
    </w:p>
    <w:p w:rsidR="00015CEE" w:rsidRPr="0060400C" w:rsidRDefault="00015CEE" w:rsidP="007C145C">
      <w:pPr>
        <w:rPr>
          <w:noProof/>
        </w:rPr>
      </w:pPr>
      <w:r w:rsidRPr="0060400C">
        <w:rPr>
          <w:noProof/>
        </w:rPr>
        <w:t>Article 1 shall apply from 1</w:t>
      </w:r>
      <w:r w:rsidR="00E77CEE" w:rsidRPr="007B1860">
        <w:rPr>
          <w:noProof/>
        </w:rPr>
        <w:t> </w:t>
      </w:r>
      <w:r w:rsidRPr="0060400C">
        <w:rPr>
          <w:noProof/>
        </w:rPr>
        <w:t>J</w:t>
      </w:r>
      <w:r w:rsidR="00F7736E">
        <w:rPr>
          <w:noProof/>
        </w:rPr>
        <w:t>uly</w:t>
      </w:r>
      <w:r w:rsidRPr="0060400C">
        <w:rPr>
          <w:noProof/>
        </w:rPr>
        <w:t xml:space="preserve"> 2026.</w:t>
      </w:r>
    </w:p>
    <w:p w:rsidR="00540207" w:rsidRPr="0060400C" w:rsidRDefault="007C145C" w:rsidP="007C145C">
      <w:pPr>
        <w:rPr>
          <w:noProof/>
        </w:rPr>
      </w:pPr>
      <w:r w:rsidRPr="0060400C">
        <w:rPr>
          <w:noProof/>
        </w:rPr>
        <w:t>Article</w:t>
      </w:r>
      <w:r w:rsidR="00CA7BE9" w:rsidRPr="0060400C">
        <w:rPr>
          <w:noProof/>
        </w:rPr>
        <w:t> </w:t>
      </w:r>
      <w:r w:rsidRPr="0060400C">
        <w:rPr>
          <w:noProof/>
        </w:rPr>
        <w:t>2 shall apply from 1 J</w:t>
      </w:r>
      <w:r w:rsidR="00F7736E">
        <w:rPr>
          <w:noProof/>
        </w:rPr>
        <w:t>uly</w:t>
      </w:r>
      <w:r w:rsidR="006D3044" w:rsidRPr="0060400C">
        <w:rPr>
          <w:noProof/>
        </w:rPr>
        <w:t xml:space="preserve"> 2030</w:t>
      </w:r>
      <w:r w:rsidRPr="0060400C">
        <w:rPr>
          <w:noProof/>
        </w:rPr>
        <w:t>.</w:t>
      </w:r>
    </w:p>
    <w:p w:rsidR="001703CA" w:rsidRPr="0060400C" w:rsidRDefault="001703CA" w:rsidP="00540207">
      <w:pPr>
        <w:rPr>
          <w:noProof/>
        </w:rPr>
      </w:pPr>
    </w:p>
    <w:p w:rsidR="00BC2AA6" w:rsidRPr="0060400C" w:rsidRDefault="00BC2AA6" w:rsidP="00540207">
      <w:pPr>
        <w:rPr>
          <w:noProof/>
        </w:rPr>
      </w:pPr>
      <w:r w:rsidRPr="0060400C">
        <w:rPr>
          <w:noProof/>
        </w:rPr>
        <w:t>This Regulation shall be binding in its entirety and directly applicable in all Member States.</w:t>
      </w:r>
    </w:p>
    <w:p w:rsidR="00BC2AA6" w:rsidRPr="0060400C" w:rsidRDefault="004527CD" w:rsidP="00E97783">
      <w:pPr>
        <w:pStyle w:val="Fait"/>
        <w:rPr>
          <w:noProof/>
        </w:rPr>
      </w:pPr>
      <w:r>
        <w:rPr>
          <w:noProof/>
        </w:rPr>
        <w:t>Done at Brussels,</w:t>
      </w:r>
    </w:p>
    <w:p w:rsidR="00BC2AA6" w:rsidRPr="0060400C" w:rsidRDefault="00BC2AA6" w:rsidP="00E97783">
      <w:pPr>
        <w:pStyle w:val="Institutionquisigne"/>
        <w:rPr>
          <w:noProof/>
        </w:rPr>
      </w:pPr>
      <w:r w:rsidRPr="0060400C">
        <w:rPr>
          <w:noProof/>
        </w:rPr>
        <w:tab/>
        <w:t>For the Council</w:t>
      </w:r>
    </w:p>
    <w:p w:rsidR="00BC2AA6" w:rsidRPr="0060400C" w:rsidRDefault="00BC2AA6" w:rsidP="00BC2AA6">
      <w:pPr>
        <w:pStyle w:val="Personnequisigne"/>
        <w:rPr>
          <w:noProof/>
        </w:rPr>
      </w:pPr>
      <w:r w:rsidRPr="0060400C">
        <w:rPr>
          <w:noProof/>
        </w:rPr>
        <w:tab/>
        <w:t>The President</w:t>
      </w:r>
    </w:p>
    <w:sectPr w:rsidR="00BC2AA6" w:rsidRPr="0060400C" w:rsidSect="003633DC">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24" w:rsidRDefault="00347B24" w:rsidP="00BC2AA6">
      <w:pPr>
        <w:spacing w:before="0" w:after="0"/>
      </w:pPr>
      <w:r>
        <w:separator/>
      </w:r>
    </w:p>
  </w:endnote>
  <w:endnote w:type="continuationSeparator" w:id="0">
    <w:p w:rsidR="00347B24" w:rsidRDefault="00347B24" w:rsidP="00BC2A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DC" w:rsidRPr="003633DC" w:rsidRDefault="003633DC" w:rsidP="003633DC">
    <w:pPr>
      <w:pStyle w:val="Footer"/>
      <w:rPr>
        <w:rFonts w:ascii="Arial" w:hAnsi="Arial" w:cs="Arial"/>
        <w:b/>
        <w:sz w:val="48"/>
      </w:rPr>
    </w:pPr>
    <w:r w:rsidRPr="003633DC">
      <w:rPr>
        <w:rFonts w:ascii="Arial" w:hAnsi="Arial" w:cs="Arial"/>
        <w:b/>
        <w:sz w:val="48"/>
      </w:rPr>
      <w:t>EN</w:t>
    </w:r>
    <w:r w:rsidRPr="003633DC">
      <w:rPr>
        <w:rFonts w:ascii="Arial" w:hAnsi="Arial" w:cs="Arial"/>
        <w:b/>
        <w:sz w:val="48"/>
      </w:rPr>
      <w:tab/>
    </w:r>
    <w:r w:rsidRPr="003633DC">
      <w:rPr>
        <w:rFonts w:ascii="Arial" w:hAnsi="Arial" w:cs="Arial"/>
        <w:b/>
        <w:sz w:val="48"/>
      </w:rPr>
      <w:tab/>
    </w:r>
    <w:r w:rsidRPr="003633DC">
      <w:tab/>
    </w:r>
    <w:r w:rsidRPr="003633DC">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DC" w:rsidRPr="003633DC" w:rsidRDefault="003633DC" w:rsidP="003633DC">
    <w:pPr>
      <w:pStyle w:val="Footer"/>
      <w:rPr>
        <w:rFonts w:ascii="Arial" w:hAnsi="Arial" w:cs="Arial"/>
        <w:b/>
        <w:sz w:val="48"/>
      </w:rPr>
    </w:pPr>
    <w:r w:rsidRPr="003633DC">
      <w:rPr>
        <w:rFonts w:ascii="Arial" w:hAnsi="Arial" w:cs="Arial"/>
        <w:b/>
        <w:sz w:val="48"/>
      </w:rPr>
      <w:t>EN</w:t>
    </w:r>
    <w:r w:rsidRPr="003633DC">
      <w:rPr>
        <w:rFonts w:ascii="Arial" w:hAnsi="Arial" w:cs="Arial"/>
        <w:b/>
        <w:sz w:val="48"/>
      </w:rPr>
      <w:tab/>
    </w:r>
    <w:r w:rsidRPr="003633DC">
      <w:rPr>
        <w:rFonts w:ascii="Arial" w:hAnsi="Arial" w:cs="Arial"/>
        <w:b/>
        <w:sz w:val="48"/>
      </w:rPr>
      <w:tab/>
    </w:r>
    <w:r w:rsidRPr="003633DC">
      <w:tab/>
    </w:r>
    <w:r w:rsidRPr="003633D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DC" w:rsidRDefault="003633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DC" w:rsidRPr="003633DC" w:rsidRDefault="003633DC" w:rsidP="003633DC">
    <w:pPr>
      <w:pStyle w:val="Footer"/>
      <w:rPr>
        <w:rFonts w:ascii="Arial" w:hAnsi="Arial" w:cs="Arial"/>
        <w:b/>
        <w:sz w:val="48"/>
      </w:rPr>
    </w:pPr>
    <w:r w:rsidRPr="003633DC">
      <w:rPr>
        <w:rFonts w:ascii="Arial" w:hAnsi="Arial" w:cs="Arial"/>
        <w:b/>
        <w:sz w:val="48"/>
      </w:rPr>
      <w:t>EN</w:t>
    </w:r>
    <w:r w:rsidRPr="003633DC">
      <w:rPr>
        <w:rFonts w:ascii="Arial" w:hAnsi="Arial" w:cs="Arial"/>
        <w:b/>
        <w:sz w:val="48"/>
      </w:rPr>
      <w:tab/>
    </w:r>
    <w:r>
      <w:fldChar w:fldCharType="begin"/>
    </w:r>
    <w:r>
      <w:instrText xml:space="preserve"> PAGE  \* MERGEFORMAT </w:instrText>
    </w:r>
    <w:r>
      <w:fldChar w:fldCharType="separate"/>
    </w:r>
    <w:r w:rsidR="00E97783">
      <w:rPr>
        <w:noProof/>
      </w:rPr>
      <w:t>5</w:t>
    </w:r>
    <w:r>
      <w:fldChar w:fldCharType="end"/>
    </w:r>
    <w:r>
      <w:tab/>
    </w:r>
    <w:r w:rsidRPr="003633DC">
      <w:tab/>
    </w:r>
    <w:r w:rsidRPr="003633DC">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DC" w:rsidRDefault="003633DC" w:rsidP="00363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24" w:rsidRDefault="00347B24" w:rsidP="00BC2AA6">
      <w:pPr>
        <w:spacing w:before="0" w:after="0"/>
      </w:pPr>
      <w:r>
        <w:separator/>
      </w:r>
    </w:p>
  </w:footnote>
  <w:footnote w:type="continuationSeparator" w:id="0">
    <w:p w:rsidR="00347B24" w:rsidRDefault="00347B24" w:rsidP="00BC2AA6">
      <w:pPr>
        <w:spacing w:before="0" w:after="0"/>
      </w:pPr>
      <w:r>
        <w:continuationSeparator/>
      </w:r>
    </w:p>
  </w:footnote>
  <w:footnote w:id="1">
    <w:p w:rsidR="00D3255E" w:rsidRDefault="00D3255E" w:rsidP="00D3255E">
      <w:pPr>
        <w:pStyle w:val="FootnoteText"/>
      </w:pPr>
      <w:r>
        <w:rPr>
          <w:rStyle w:val="FootnoteReference"/>
        </w:rPr>
        <w:footnoteRef/>
      </w:r>
      <w:r>
        <w:tab/>
        <w:t>Council Implementing Regulation (EU) No 282/2011 of 15 March 2011 laying down implementing measures for Directive 2006/112/EC on the common system of value added tax (recast) (</w:t>
      </w:r>
      <w:hyperlink r:id="rId1" w:history="1">
        <w:r w:rsidRPr="00740ABB">
          <w:rPr>
            <w:rStyle w:val="Hyperlink"/>
          </w:rPr>
          <w:t>OJ L 77, 23.3.2011, p. 1</w:t>
        </w:r>
      </w:hyperlink>
      <w:r>
        <w:t>).</w:t>
      </w:r>
    </w:p>
  </w:footnote>
  <w:footnote w:id="2">
    <w:p w:rsidR="00CD0C49" w:rsidRDefault="00CD0C49" w:rsidP="00CD0C49">
      <w:pPr>
        <w:pStyle w:val="FootnoteText"/>
      </w:pPr>
      <w:r>
        <w:rPr>
          <w:rStyle w:val="FootnoteReference"/>
        </w:rPr>
        <w:footnoteRef/>
      </w:r>
      <w:r>
        <w:tab/>
      </w:r>
      <w:r w:rsidRPr="00C45C46">
        <w:t>Commission Implementing Decision (EU) 2015/1506 of 8</w:t>
      </w:r>
      <w:r w:rsidR="00740ABB">
        <w:t> </w:t>
      </w:r>
      <w:r w:rsidRPr="00C45C46">
        <w:t>September 2015 laying down specifications relating to formats of advanced electronic signatures and advanced seals to be recognised by public sector bodies pursuant to Articles</w:t>
      </w:r>
      <w:r w:rsidR="00740ABB">
        <w:t> </w:t>
      </w:r>
      <w:r w:rsidRPr="00C45C46">
        <w:t xml:space="preserve">27(5) and 37(5) of Regulation (EU) </w:t>
      </w:r>
      <w:r>
        <w:t>No </w:t>
      </w:r>
      <w:r w:rsidRPr="00C45C46">
        <w:t xml:space="preserve">910/2014 of the European Parliament and of the Council on electronic identification and trust services for electronic transactions in the internal </w:t>
      </w:r>
      <w:bookmarkStart w:id="1" w:name="_Hlk168638091"/>
      <w:r w:rsidRPr="00C45C46">
        <w:t>market</w:t>
      </w:r>
      <w:r>
        <w:t xml:space="preserve"> (</w:t>
      </w:r>
      <w:hyperlink r:id="rId2" w:history="1">
        <w:r w:rsidRPr="00C45C46">
          <w:rPr>
            <w:rStyle w:val="Hyperlink"/>
          </w:rPr>
          <w:t>OJ L 235, 9.9.2015, p. 37</w:t>
        </w:r>
      </w:hyperlink>
      <w:r>
        <w:t>).</w:t>
      </w:r>
      <w:bookmarkEnd w:id="1"/>
    </w:p>
  </w:footnote>
  <w:footnote w:id="3">
    <w:p w:rsidR="00A429FA" w:rsidRDefault="00A429FA" w:rsidP="00A429FA">
      <w:pPr>
        <w:pStyle w:val="FootnoteText"/>
      </w:pPr>
      <w:r>
        <w:rPr>
          <w:rStyle w:val="FootnoteReference"/>
        </w:rPr>
        <w:footnoteRef/>
      </w:r>
      <w:r>
        <w:tab/>
      </w:r>
      <w:r w:rsidRPr="00A429FA">
        <w:t>Council Directive (EU) 2020/262 of 19</w:t>
      </w:r>
      <w:r w:rsidR="00740ABB">
        <w:t> </w:t>
      </w:r>
      <w:r w:rsidRPr="00A429FA">
        <w:t>December 2019 laying down the general arrangements for excise duty (recast)</w:t>
      </w:r>
      <w:r>
        <w:t xml:space="preserve"> (</w:t>
      </w:r>
      <w:hyperlink r:id="rId3" w:history="1">
        <w:r w:rsidRPr="00C47BE9">
          <w:rPr>
            <w:rStyle w:val="Hyperlink"/>
          </w:rPr>
          <w:t>OJ L </w:t>
        </w:r>
        <w:r w:rsidR="00C47BE9" w:rsidRPr="00C47BE9">
          <w:rPr>
            <w:rStyle w:val="Hyperlink"/>
          </w:rPr>
          <w:t>58</w:t>
        </w:r>
        <w:r w:rsidRPr="00C47BE9">
          <w:rPr>
            <w:rStyle w:val="Hyperlink"/>
          </w:rPr>
          <w:t>, 2</w:t>
        </w:r>
        <w:r w:rsidR="00C47BE9" w:rsidRPr="00C47BE9">
          <w:rPr>
            <w:rStyle w:val="Hyperlink"/>
          </w:rPr>
          <w:t>7</w:t>
        </w:r>
        <w:r w:rsidRPr="00C47BE9">
          <w:rPr>
            <w:rStyle w:val="Hyperlink"/>
          </w:rPr>
          <w:t>.</w:t>
        </w:r>
        <w:r w:rsidR="00C47BE9" w:rsidRPr="00C47BE9">
          <w:rPr>
            <w:rStyle w:val="Hyperlink"/>
          </w:rPr>
          <w:t>2</w:t>
        </w:r>
        <w:r w:rsidRPr="00C47BE9">
          <w:rPr>
            <w:rStyle w:val="Hyperlink"/>
          </w:rPr>
          <w:t>.20</w:t>
        </w:r>
        <w:r w:rsidR="00C47BE9" w:rsidRPr="00C47BE9">
          <w:rPr>
            <w:rStyle w:val="Hyperlink"/>
          </w:rPr>
          <w:t>20</w:t>
        </w:r>
        <w:r w:rsidRPr="00C47BE9">
          <w:rPr>
            <w:rStyle w:val="Hyperlink"/>
          </w:rPr>
          <w:t>, p. </w:t>
        </w:r>
        <w:r w:rsidR="00C47BE9" w:rsidRPr="00C47BE9">
          <w:rPr>
            <w:rStyle w:val="Hyperlink"/>
          </w:rPr>
          <w:t>4</w:t>
        </w:r>
      </w:hyperlink>
      <w:r>
        <w:t>).</w:t>
      </w:r>
    </w:p>
  </w:footnote>
  <w:footnote w:id="4">
    <w:p w:rsidR="00A448CF" w:rsidRDefault="00A448CF" w:rsidP="00A448CF">
      <w:pPr>
        <w:pStyle w:val="FootnoteText"/>
      </w:pPr>
      <w:r w:rsidRPr="00EE0065">
        <w:rPr>
          <w:rStyle w:val="FootnoteReference"/>
        </w:rPr>
        <w:footnoteRef/>
      </w:r>
      <w:r>
        <w:tab/>
        <w:t>Council Implementing Regulation (EU) 2022/432 of 15</w:t>
      </w:r>
      <w:r w:rsidR="001E7ED2">
        <w:t> </w:t>
      </w:r>
      <w:r>
        <w:t>March 2022 amending Implementing Regulation (EU) No</w:t>
      </w:r>
      <w:r w:rsidR="001E7ED2">
        <w:t> </w:t>
      </w:r>
      <w:r>
        <w:t>282/2011 as regards the VAT and/or excise duty exemption certificate (</w:t>
      </w:r>
      <w:hyperlink r:id="rId4" w:history="1">
        <w:r>
          <w:rPr>
            <w:rStyle w:val="Hyperlink"/>
          </w:rPr>
          <w:t>OJ L 88, 16.3.2022, p. 1</w:t>
        </w:r>
      </w:hyperlink>
      <w:r>
        <w:rPr>
          <w:rStyle w:val="Hyperlink"/>
        </w:rPr>
        <w:t>5</w:t>
      </w:r>
      <w:r>
        <w:t>)</w:t>
      </w:r>
    </w:p>
  </w:footnote>
  <w:footnote w:id="5">
    <w:p w:rsidR="00A448CF" w:rsidRDefault="00A448CF" w:rsidP="00A448CF">
      <w:pPr>
        <w:pStyle w:val="FootnoteText"/>
      </w:pPr>
      <w:r w:rsidRPr="00EE0065">
        <w:rPr>
          <w:rStyle w:val="FootnoteReference"/>
        </w:rPr>
        <w:footnoteRef/>
      </w:r>
      <w:r>
        <w:tab/>
        <w:t xml:space="preserve">Council Directive (EU) 2019/2235 of 16 December 2019 </w:t>
      </w:r>
      <w:r w:rsidRPr="00313FD3">
        <w:t>amending Directive 2006/112/EC on the common system of value added tax and Directive 2008/118/EC concerning the general arrangements for excise duty as regards defence efforts within the Union framework</w:t>
      </w:r>
      <w:r>
        <w:t xml:space="preserve"> (</w:t>
      </w:r>
      <w:hyperlink r:id="rId5" w:history="1">
        <w:r>
          <w:rPr>
            <w:rStyle w:val="Hyperlink"/>
          </w:rPr>
          <w:t>OJ L 336, 30.12.2019, p. 1</w:t>
        </w:r>
      </w:hyperlink>
      <w:r>
        <w:rPr>
          <w:rStyle w:val="Hyperlink"/>
        </w:rPr>
        <w:t>0</w:t>
      </w:r>
      <w:r>
        <w:t>)</w:t>
      </w:r>
    </w:p>
  </w:footnote>
  <w:footnote w:id="6">
    <w:p w:rsidR="00A448CF" w:rsidRDefault="00A448CF" w:rsidP="00A448CF">
      <w:pPr>
        <w:pStyle w:val="FootnoteText"/>
      </w:pPr>
      <w:r w:rsidRPr="00EE0065">
        <w:rPr>
          <w:rStyle w:val="FootnoteReference"/>
        </w:rPr>
        <w:footnoteRef/>
      </w:r>
      <w:r>
        <w:tab/>
        <w:t>Council Directive (EU) 2021/1159 of 13</w:t>
      </w:r>
      <w:r w:rsidR="001E7ED2">
        <w:t> </w:t>
      </w:r>
      <w:r>
        <w:t xml:space="preserve">July 2021 </w:t>
      </w:r>
      <w:r w:rsidRPr="00313FD3">
        <w:t xml:space="preserve">amending Directive 2006/112/EC </w:t>
      </w:r>
      <w:r w:rsidRPr="00852492">
        <w:t>amending Directive 2006/112/EC as regards temporary exemptions on importations and on certain supplies, in response to the COVID-19 pandemic</w:t>
      </w:r>
      <w:r>
        <w:t xml:space="preserve"> (</w:t>
      </w:r>
      <w:hyperlink r:id="rId6" w:history="1">
        <w:r>
          <w:rPr>
            <w:rStyle w:val="Hyperlink"/>
          </w:rPr>
          <w:t>OJ L 250, 15.07.2021, p. 1</w:t>
        </w:r>
      </w:hyperlink>
      <w:r>
        <w:t>)</w:t>
      </w:r>
    </w:p>
  </w:footnote>
  <w:footnote w:id="7">
    <w:p w:rsidR="008A76D4" w:rsidRDefault="008A76D4" w:rsidP="008A76D4">
      <w:pPr>
        <w:pStyle w:val="FootnoteText"/>
      </w:pPr>
      <w:r>
        <w:rPr>
          <w:rStyle w:val="FootnoteReference"/>
        </w:rPr>
        <w:footnoteRef/>
      </w:r>
      <w:r>
        <w:tab/>
      </w:r>
      <w:r w:rsidRPr="00C45C46">
        <w:t>Commission Implementing Decision (EU) 2015/1506 of 8</w:t>
      </w:r>
      <w:r w:rsidR="00740ABB">
        <w:t> </w:t>
      </w:r>
      <w:r w:rsidRPr="00C45C46">
        <w:t>September 2015 laying down specifications relating to formats of advanced electronic signatures and advanced seals to be recognised by public sector bodies pursuant to Articles</w:t>
      </w:r>
      <w:r w:rsidR="001E7ED2">
        <w:t> </w:t>
      </w:r>
      <w:r w:rsidRPr="00C45C46">
        <w:t>27(5) and 37(5) of Regulation (EU) No</w:t>
      </w:r>
      <w:r w:rsidR="001E7ED2">
        <w:t> </w:t>
      </w:r>
      <w:r w:rsidRPr="00C45C46">
        <w:t>910/2014 of the European Parliament and of the Council on electronic identification and trust services for electronic transactions in the internal market</w:t>
      </w:r>
      <w:r>
        <w:t xml:space="preserve"> (</w:t>
      </w:r>
      <w:hyperlink r:id="rId7" w:history="1">
        <w:r w:rsidRPr="00C45C46">
          <w:rPr>
            <w:rStyle w:val="Hyperlink"/>
          </w:rPr>
          <w:t>OJ L 235, 9.9.2015, p. 37</w:t>
        </w:r>
      </w:hyperlink>
      <w:r>
        <w:t>).</w:t>
      </w:r>
    </w:p>
  </w:footnote>
  <w:footnote w:id="8">
    <w:p w:rsidR="00135531" w:rsidRPr="00636DE5" w:rsidRDefault="00135531" w:rsidP="00135531">
      <w:pPr>
        <w:pStyle w:val="FootnoteText"/>
        <w:rPr>
          <w:lang w:val="de-DE"/>
        </w:rPr>
      </w:pPr>
      <w:r>
        <w:rPr>
          <w:rStyle w:val="FootnoteReference"/>
        </w:rPr>
        <w:footnoteRef/>
      </w:r>
      <w:r w:rsidRPr="00636DE5">
        <w:rPr>
          <w:lang w:val="de-DE"/>
        </w:rPr>
        <w:tab/>
        <w:t>OJ L 347, 11.12.2006, p. 1</w:t>
      </w:r>
      <w:r w:rsidR="00D871E9" w:rsidRPr="00636DE5">
        <w:rPr>
          <w:lang w:val="de-DE"/>
        </w:rPr>
        <w:t xml:space="preserve">, ELI: </w:t>
      </w:r>
      <w:hyperlink r:id="rId8" w:history="1">
        <w:r w:rsidR="00740ABB" w:rsidRPr="00636DE5">
          <w:rPr>
            <w:rStyle w:val="Hyperlink"/>
            <w:lang w:val="de-DE"/>
          </w:rPr>
          <w:t>http://data.europa.eu/eli/reg_impl/2011/282/oj</w:t>
        </w:r>
      </w:hyperlink>
      <w:r w:rsidRPr="00636DE5">
        <w:rPr>
          <w:lang w:val="de-DE"/>
        </w:rPr>
        <w:t>.</w:t>
      </w:r>
    </w:p>
  </w:footnote>
  <w:footnote w:id="9">
    <w:p w:rsidR="00DF7BF0" w:rsidRPr="0060400C" w:rsidRDefault="00DF7BF0" w:rsidP="00DF7BF0">
      <w:pPr>
        <w:pStyle w:val="FootnoteText"/>
      </w:pPr>
      <w:r w:rsidRPr="0060400C">
        <w:rPr>
          <w:rStyle w:val="FootnoteReference"/>
        </w:rPr>
        <w:footnoteRef/>
      </w:r>
      <w:r w:rsidRPr="0060400C">
        <w:tab/>
        <w:t>Council Implementing Regulation (EU) No</w:t>
      </w:r>
      <w:r w:rsidRPr="0060400C">
        <w:rPr>
          <w:noProof/>
        </w:rPr>
        <w:t> </w:t>
      </w:r>
      <w:r w:rsidRPr="0060400C">
        <w:t>282/2011 of 15</w:t>
      </w:r>
      <w:r w:rsidRPr="0060400C">
        <w:rPr>
          <w:noProof/>
        </w:rPr>
        <w:t> </w:t>
      </w:r>
      <w:r w:rsidRPr="0060400C">
        <w:t>March 2011 laying down implementing measures for Directive 2006/112/EC on the common system of value added tax (OJ</w:t>
      </w:r>
      <w:r w:rsidRPr="0060400C">
        <w:rPr>
          <w:noProof/>
        </w:rPr>
        <w:t> </w:t>
      </w:r>
      <w:r w:rsidRPr="0060400C">
        <w:t>L</w:t>
      </w:r>
      <w:r w:rsidRPr="0060400C">
        <w:rPr>
          <w:noProof/>
        </w:rPr>
        <w:t> </w:t>
      </w:r>
      <w:r w:rsidRPr="0060400C">
        <w:t>77, 23.3.2011, p.</w:t>
      </w:r>
      <w:r w:rsidRPr="0060400C">
        <w:rPr>
          <w:noProof/>
        </w:rPr>
        <w:t> </w:t>
      </w:r>
      <w:r w:rsidRPr="0060400C">
        <w:t>1</w:t>
      </w:r>
      <w:r w:rsidR="00E92B4B" w:rsidRPr="0060400C">
        <w:t xml:space="preserve">, </w:t>
      </w:r>
      <w:r w:rsidR="00D871E9" w:rsidRPr="0060400C">
        <w:t xml:space="preserve">ELI: </w:t>
      </w:r>
      <w:hyperlink r:id="rId9" w:history="1">
        <w:r w:rsidR="00740ABB" w:rsidRPr="00D67676">
          <w:rPr>
            <w:rStyle w:val="Hyperlink"/>
          </w:rPr>
          <w:t>http://data.europa.eu/eli/dir/2006/112/oj</w:t>
        </w:r>
      </w:hyperlink>
      <w:r w:rsidRPr="0060400C">
        <w:t>).</w:t>
      </w:r>
    </w:p>
  </w:footnote>
  <w:footnote w:id="10">
    <w:p w:rsidR="00FF14FE" w:rsidRPr="0060400C" w:rsidRDefault="00FF14FE" w:rsidP="00076F75">
      <w:pPr>
        <w:pStyle w:val="FootnoteText"/>
      </w:pPr>
      <w:r w:rsidRPr="00076F75">
        <w:rPr>
          <w:rStyle w:val="FootnoteReference"/>
        </w:rPr>
        <w:footnoteRef/>
      </w:r>
      <w:r w:rsidR="00076F75">
        <w:tab/>
      </w:r>
      <w:r w:rsidRPr="0060400C">
        <w:t>Council Directive 2008/118/EC of 16 December 2008 concerning the general arrangements for excise duty and repealing Directive 92/12/EEC</w:t>
      </w:r>
      <w:r w:rsidR="00B24B50" w:rsidRPr="0060400C">
        <w:t xml:space="preserve"> (OJ</w:t>
      </w:r>
      <w:r w:rsidR="00740ABB">
        <w:t> </w:t>
      </w:r>
      <w:r w:rsidR="00B24B50" w:rsidRPr="0060400C">
        <w:t>L</w:t>
      </w:r>
      <w:r w:rsidR="00740ABB">
        <w:t> </w:t>
      </w:r>
      <w:r w:rsidR="00B24B50" w:rsidRPr="0060400C">
        <w:t>9, 14.1.2009, p.</w:t>
      </w:r>
      <w:r w:rsidR="00740ABB">
        <w:t> </w:t>
      </w:r>
      <w:r w:rsidR="00B24B50" w:rsidRPr="0060400C">
        <w:t xml:space="preserve">12, ELI: </w:t>
      </w:r>
      <w:hyperlink r:id="rId10" w:history="1">
        <w:r w:rsidR="00740ABB" w:rsidRPr="00D67676">
          <w:rPr>
            <w:rStyle w:val="Hyperlink"/>
          </w:rPr>
          <w:t>http://data.europa.eu/eli/dir/2008/118/oj</w:t>
        </w:r>
      </w:hyperlink>
      <w:r w:rsidR="00B24B50" w:rsidRPr="0060400C">
        <w:t>).</w:t>
      </w:r>
    </w:p>
  </w:footnote>
  <w:footnote w:id="11">
    <w:p w:rsidR="00DF7BF0" w:rsidRPr="0060400C" w:rsidRDefault="00DF7BF0" w:rsidP="00DF7BF0">
      <w:pPr>
        <w:pStyle w:val="FootnoteText"/>
      </w:pPr>
      <w:r w:rsidRPr="0060400C">
        <w:rPr>
          <w:rStyle w:val="FootnoteReference"/>
        </w:rPr>
        <w:footnoteRef/>
      </w:r>
      <w:r w:rsidRPr="0060400C">
        <w:tab/>
        <w:t>Council Directive (EU) 2020/262 of 19</w:t>
      </w:r>
      <w:r w:rsidR="00740ABB">
        <w:t> </w:t>
      </w:r>
      <w:r w:rsidRPr="0060400C">
        <w:t>December 2019 laying down the general arrangements for excise duty (OJ L 58, 27.2.2020, p. 4</w:t>
      </w:r>
      <w:r w:rsidR="00B24B50" w:rsidRPr="0060400C">
        <w:rPr>
          <w:rStyle w:val="Hyperlink"/>
          <w:color w:val="auto"/>
          <w:u w:val="none"/>
        </w:rPr>
        <w:t xml:space="preserve">, </w:t>
      </w:r>
      <w:r w:rsidR="00D871E9" w:rsidRPr="0060400C">
        <w:rPr>
          <w:rStyle w:val="Hyperlink"/>
          <w:color w:val="auto"/>
          <w:u w:val="none"/>
        </w:rPr>
        <w:t xml:space="preserve">ELI: </w:t>
      </w:r>
      <w:hyperlink r:id="rId11" w:history="1">
        <w:r w:rsidR="00740ABB" w:rsidRPr="00D67676">
          <w:rPr>
            <w:rStyle w:val="Hyperlink"/>
          </w:rPr>
          <w:t>http://data.europa.eu/eli/dir/2020/262/oj</w:t>
        </w:r>
      </w:hyperlink>
      <w:r w:rsidR="004527CD" w:rsidRPr="0060400C">
        <w:rPr>
          <w:rStyle w:val="Hyperlink"/>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DC" w:rsidRDefault="00363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DC" w:rsidRDefault="00363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94A270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338320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196734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7AC84D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1A8671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78F6C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7B2554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D18CC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7-01 08:31:3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3ABCBFF-7120-4096-A399-6DE67336DD44"/>
    <w:docVar w:name="LW_COVERPAGE_TYPE" w:val="1"/>
    <w:docVar w:name="LW_CROSSREFERENCE" w:val="&lt;UNUSED&gt;"/>
    <w:docVar w:name="LW_DocType" w:val="COM"/>
    <w:docVar w:name="LW_EMISSION" w:val="8.7.2024"/>
    <w:docVar w:name="LW_EMISSION_ISODATE" w:val="2024-07-08"/>
    <w:docVar w:name="LW_EMISSION_LOCATION" w:val="BRX"/>
    <w:docVar w:name="LW_EMISSION_PREFIX" w:val="Brussels, "/>
    <w:docVar w:name="LW_EMISSION_SUFFIX" w:val=" "/>
    <w:docVar w:name="LW_ID_DOCMODEL" w:val="SJ-015"/>
    <w:docVar w:name="LW_ID_DOCSIGNATURE" w:val="SJ-015"/>
    <w:docVar w:name="LW_ID_DOCSTRUCTURE" w:val="COM/PL/ORG"/>
    <w:docVar w:name="LW_ID_DOCTYPE" w:val="SJ-015"/>
    <w:docVar w:name="LW_ID_EXP.MOTIFS.NEW" w:val="EM_PL_"/>
    <w:docVar w:name="LW_ID_STATUT" w:val="SJ-01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3"/>
    <w:docVar w:name="LW_REF.II.NEW.CP_YEAR" w:val="2024"/>
    <w:docVar w:name="LW_REF.INST.NEW" w:val="COM"/>
    <w:docVar w:name="LW_REF.INST.NEW_ADOPTED" w:val="final"/>
    <w:docVar w:name="LW_REF.INST.NEW_TEXT" w:val="(2024) 27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Regulation (EU) No 282/2011 as regards the electronic value added tax exemption certificate"/>
    <w:docVar w:name="LW_TYPE.DOC.CP" w:val="COUNCIL IMPLEMENTING REGULATION "/>
    <w:docVar w:name="LwApiVersions" w:val="LW4CoDe 1.24.5.0; LW 9.0, Build 20240221"/>
  </w:docVars>
  <w:rsids>
    <w:rsidRoot w:val="00BC2AA6"/>
    <w:rsid w:val="0000493F"/>
    <w:rsid w:val="00012EC4"/>
    <w:rsid w:val="00015CEE"/>
    <w:rsid w:val="000213CC"/>
    <w:rsid w:val="000267A6"/>
    <w:rsid w:val="000326C4"/>
    <w:rsid w:val="00045060"/>
    <w:rsid w:val="0005225B"/>
    <w:rsid w:val="00054E80"/>
    <w:rsid w:val="00063E78"/>
    <w:rsid w:val="00076F75"/>
    <w:rsid w:val="00086F5E"/>
    <w:rsid w:val="00087CC9"/>
    <w:rsid w:val="000950BB"/>
    <w:rsid w:val="000A18CD"/>
    <w:rsid w:val="000A57F4"/>
    <w:rsid w:val="000A7517"/>
    <w:rsid w:val="000B004A"/>
    <w:rsid w:val="000B041F"/>
    <w:rsid w:val="000C109C"/>
    <w:rsid w:val="000C5E83"/>
    <w:rsid w:val="000D2C46"/>
    <w:rsid w:val="000D5185"/>
    <w:rsid w:val="000E198E"/>
    <w:rsid w:val="000E357D"/>
    <w:rsid w:val="000E62B6"/>
    <w:rsid w:val="000F2DED"/>
    <w:rsid w:val="000F7C19"/>
    <w:rsid w:val="00104494"/>
    <w:rsid w:val="0010545D"/>
    <w:rsid w:val="001069E0"/>
    <w:rsid w:val="00107D13"/>
    <w:rsid w:val="00117FA0"/>
    <w:rsid w:val="001224EB"/>
    <w:rsid w:val="001227FF"/>
    <w:rsid w:val="00123B81"/>
    <w:rsid w:val="00132E33"/>
    <w:rsid w:val="00133C3B"/>
    <w:rsid w:val="00134C76"/>
    <w:rsid w:val="00135531"/>
    <w:rsid w:val="00146966"/>
    <w:rsid w:val="00153603"/>
    <w:rsid w:val="001703CA"/>
    <w:rsid w:val="00184CA4"/>
    <w:rsid w:val="00185428"/>
    <w:rsid w:val="00187014"/>
    <w:rsid w:val="001A623E"/>
    <w:rsid w:val="001A7450"/>
    <w:rsid w:val="001B7011"/>
    <w:rsid w:val="001C2816"/>
    <w:rsid w:val="001E31B8"/>
    <w:rsid w:val="001E7ED2"/>
    <w:rsid w:val="001F01F3"/>
    <w:rsid w:val="001F1CDF"/>
    <w:rsid w:val="001F1F27"/>
    <w:rsid w:val="001F4D58"/>
    <w:rsid w:val="00201F83"/>
    <w:rsid w:val="00202CA6"/>
    <w:rsid w:val="00204C44"/>
    <w:rsid w:val="00216FD6"/>
    <w:rsid w:val="00221BF0"/>
    <w:rsid w:val="0022579F"/>
    <w:rsid w:val="002258F7"/>
    <w:rsid w:val="00232215"/>
    <w:rsid w:val="00232E98"/>
    <w:rsid w:val="002341F0"/>
    <w:rsid w:val="00237A42"/>
    <w:rsid w:val="00241248"/>
    <w:rsid w:val="0024219E"/>
    <w:rsid w:val="00252A7D"/>
    <w:rsid w:val="00256E85"/>
    <w:rsid w:val="00273FB4"/>
    <w:rsid w:val="002759A8"/>
    <w:rsid w:val="0027698D"/>
    <w:rsid w:val="0028019A"/>
    <w:rsid w:val="00296342"/>
    <w:rsid w:val="0029675F"/>
    <w:rsid w:val="002A2BB1"/>
    <w:rsid w:val="002A2F1C"/>
    <w:rsid w:val="002A5B33"/>
    <w:rsid w:val="002A6983"/>
    <w:rsid w:val="002C1C7B"/>
    <w:rsid w:val="002D416D"/>
    <w:rsid w:val="002E0883"/>
    <w:rsid w:val="00300EDA"/>
    <w:rsid w:val="00301B53"/>
    <w:rsid w:val="003076D6"/>
    <w:rsid w:val="003115D3"/>
    <w:rsid w:val="00313FD3"/>
    <w:rsid w:val="0031773C"/>
    <w:rsid w:val="003303ED"/>
    <w:rsid w:val="00330CAD"/>
    <w:rsid w:val="00347B24"/>
    <w:rsid w:val="00351EC5"/>
    <w:rsid w:val="003633DC"/>
    <w:rsid w:val="00382FF2"/>
    <w:rsid w:val="00383AAE"/>
    <w:rsid w:val="00392838"/>
    <w:rsid w:val="003A6BE9"/>
    <w:rsid w:val="003B7AFE"/>
    <w:rsid w:val="003C2991"/>
    <w:rsid w:val="003D0DFD"/>
    <w:rsid w:val="003D3126"/>
    <w:rsid w:val="003F0012"/>
    <w:rsid w:val="00400809"/>
    <w:rsid w:val="00405217"/>
    <w:rsid w:val="00415879"/>
    <w:rsid w:val="00421C91"/>
    <w:rsid w:val="004252EB"/>
    <w:rsid w:val="00431CB0"/>
    <w:rsid w:val="00444075"/>
    <w:rsid w:val="004527CD"/>
    <w:rsid w:val="00453D7F"/>
    <w:rsid w:val="00456C06"/>
    <w:rsid w:val="00476866"/>
    <w:rsid w:val="00492A16"/>
    <w:rsid w:val="00495903"/>
    <w:rsid w:val="00495DBE"/>
    <w:rsid w:val="004A2400"/>
    <w:rsid w:val="004A30FB"/>
    <w:rsid w:val="004A3B27"/>
    <w:rsid w:val="004A754B"/>
    <w:rsid w:val="004B5A92"/>
    <w:rsid w:val="004B6ADB"/>
    <w:rsid w:val="004C162A"/>
    <w:rsid w:val="004C26EE"/>
    <w:rsid w:val="004D179F"/>
    <w:rsid w:val="004D5EF2"/>
    <w:rsid w:val="004F0232"/>
    <w:rsid w:val="004F048C"/>
    <w:rsid w:val="004F1A84"/>
    <w:rsid w:val="004F4E62"/>
    <w:rsid w:val="005103D2"/>
    <w:rsid w:val="00530DB5"/>
    <w:rsid w:val="00540207"/>
    <w:rsid w:val="005426A0"/>
    <w:rsid w:val="00563B9A"/>
    <w:rsid w:val="005711DB"/>
    <w:rsid w:val="00571F14"/>
    <w:rsid w:val="0059212B"/>
    <w:rsid w:val="005967A8"/>
    <w:rsid w:val="005A132C"/>
    <w:rsid w:val="005A5D33"/>
    <w:rsid w:val="005A6AD6"/>
    <w:rsid w:val="005A7D1D"/>
    <w:rsid w:val="005C136C"/>
    <w:rsid w:val="005C2850"/>
    <w:rsid w:val="005D51F6"/>
    <w:rsid w:val="005D596F"/>
    <w:rsid w:val="005E17A1"/>
    <w:rsid w:val="005F0DB4"/>
    <w:rsid w:val="005F6474"/>
    <w:rsid w:val="00602AB2"/>
    <w:rsid w:val="0060400C"/>
    <w:rsid w:val="00607E24"/>
    <w:rsid w:val="0061209B"/>
    <w:rsid w:val="006201C7"/>
    <w:rsid w:val="00625EDF"/>
    <w:rsid w:val="0063179C"/>
    <w:rsid w:val="006324A5"/>
    <w:rsid w:val="00636DE5"/>
    <w:rsid w:val="00637FD8"/>
    <w:rsid w:val="006619B6"/>
    <w:rsid w:val="00666272"/>
    <w:rsid w:val="006670DF"/>
    <w:rsid w:val="00670329"/>
    <w:rsid w:val="00671685"/>
    <w:rsid w:val="0067741D"/>
    <w:rsid w:val="006A568F"/>
    <w:rsid w:val="006A6A5B"/>
    <w:rsid w:val="006B1CA9"/>
    <w:rsid w:val="006B7196"/>
    <w:rsid w:val="006B7FAC"/>
    <w:rsid w:val="006C31E5"/>
    <w:rsid w:val="006C3EC7"/>
    <w:rsid w:val="006C503F"/>
    <w:rsid w:val="006D3044"/>
    <w:rsid w:val="006D4930"/>
    <w:rsid w:val="006E1B1A"/>
    <w:rsid w:val="006E64AC"/>
    <w:rsid w:val="006F28CF"/>
    <w:rsid w:val="006F37ED"/>
    <w:rsid w:val="0070128F"/>
    <w:rsid w:val="0070142C"/>
    <w:rsid w:val="00712F32"/>
    <w:rsid w:val="00716594"/>
    <w:rsid w:val="00716C7F"/>
    <w:rsid w:val="0072126C"/>
    <w:rsid w:val="007301B5"/>
    <w:rsid w:val="00740ABB"/>
    <w:rsid w:val="007507F6"/>
    <w:rsid w:val="00752F30"/>
    <w:rsid w:val="00757EE7"/>
    <w:rsid w:val="00762329"/>
    <w:rsid w:val="00762365"/>
    <w:rsid w:val="00765CDA"/>
    <w:rsid w:val="00770337"/>
    <w:rsid w:val="00770E04"/>
    <w:rsid w:val="00792C32"/>
    <w:rsid w:val="007A1A23"/>
    <w:rsid w:val="007A55C2"/>
    <w:rsid w:val="007B1188"/>
    <w:rsid w:val="007B1DE6"/>
    <w:rsid w:val="007C021C"/>
    <w:rsid w:val="007C06F6"/>
    <w:rsid w:val="007C145C"/>
    <w:rsid w:val="007C3C95"/>
    <w:rsid w:val="007C696C"/>
    <w:rsid w:val="007D31BA"/>
    <w:rsid w:val="007D4A31"/>
    <w:rsid w:val="007D6351"/>
    <w:rsid w:val="007E0194"/>
    <w:rsid w:val="007E1183"/>
    <w:rsid w:val="007F11C6"/>
    <w:rsid w:val="007F2B74"/>
    <w:rsid w:val="007F48B2"/>
    <w:rsid w:val="007F5A19"/>
    <w:rsid w:val="0080662E"/>
    <w:rsid w:val="00811981"/>
    <w:rsid w:val="00812668"/>
    <w:rsid w:val="00812ED1"/>
    <w:rsid w:val="00820080"/>
    <w:rsid w:val="00820271"/>
    <w:rsid w:val="0084206E"/>
    <w:rsid w:val="00852492"/>
    <w:rsid w:val="0085266A"/>
    <w:rsid w:val="008541D2"/>
    <w:rsid w:val="008639D1"/>
    <w:rsid w:val="00864073"/>
    <w:rsid w:val="0087589B"/>
    <w:rsid w:val="00875F99"/>
    <w:rsid w:val="00880551"/>
    <w:rsid w:val="00880F0B"/>
    <w:rsid w:val="00881782"/>
    <w:rsid w:val="008A76D4"/>
    <w:rsid w:val="008B0155"/>
    <w:rsid w:val="008C2936"/>
    <w:rsid w:val="008D01A4"/>
    <w:rsid w:val="008D0E12"/>
    <w:rsid w:val="008D398D"/>
    <w:rsid w:val="009073A4"/>
    <w:rsid w:val="0092227D"/>
    <w:rsid w:val="009248E4"/>
    <w:rsid w:val="009262F8"/>
    <w:rsid w:val="00933378"/>
    <w:rsid w:val="00934040"/>
    <w:rsid w:val="009404DA"/>
    <w:rsid w:val="00943010"/>
    <w:rsid w:val="00945456"/>
    <w:rsid w:val="00945C36"/>
    <w:rsid w:val="009465FB"/>
    <w:rsid w:val="00946B0F"/>
    <w:rsid w:val="00947156"/>
    <w:rsid w:val="00957308"/>
    <w:rsid w:val="0096126F"/>
    <w:rsid w:val="00967765"/>
    <w:rsid w:val="009710F0"/>
    <w:rsid w:val="00971653"/>
    <w:rsid w:val="00972559"/>
    <w:rsid w:val="00972CD0"/>
    <w:rsid w:val="00974105"/>
    <w:rsid w:val="00986B33"/>
    <w:rsid w:val="00987AD5"/>
    <w:rsid w:val="009941AD"/>
    <w:rsid w:val="0099541D"/>
    <w:rsid w:val="009A23E2"/>
    <w:rsid w:val="009A49E5"/>
    <w:rsid w:val="009A7117"/>
    <w:rsid w:val="009A7F66"/>
    <w:rsid w:val="009B5AAA"/>
    <w:rsid w:val="009B7138"/>
    <w:rsid w:val="009C6847"/>
    <w:rsid w:val="009D61B2"/>
    <w:rsid w:val="009D6BB5"/>
    <w:rsid w:val="009E2D0A"/>
    <w:rsid w:val="009F0718"/>
    <w:rsid w:val="009F4A50"/>
    <w:rsid w:val="009F4B9D"/>
    <w:rsid w:val="009F6FC1"/>
    <w:rsid w:val="00A0105F"/>
    <w:rsid w:val="00A077A2"/>
    <w:rsid w:val="00A07992"/>
    <w:rsid w:val="00A13A96"/>
    <w:rsid w:val="00A13E59"/>
    <w:rsid w:val="00A13F82"/>
    <w:rsid w:val="00A16CA4"/>
    <w:rsid w:val="00A22F5D"/>
    <w:rsid w:val="00A3465B"/>
    <w:rsid w:val="00A3736F"/>
    <w:rsid w:val="00A378CA"/>
    <w:rsid w:val="00A429FA"/>
    <w:rsid w:val="00A448CF"/>
    <w:rsid w:val="00A52025"/>
    <w:rsid w:val="00A77F80"/>
    <w:rsid w:val="00A87272"/>
    <w:rsid w:val="00A87B12"/>
    <w:rsid w:val="00A87E03"/>
    <w:rsid w:val="00A90C61"/>
    <w:rsid w:val="00A9644A"/>
    <w:rsid w:val="00AB395D"/>
    <w:rsid w:val="00AB3FF2"/>
    <w:rsid w:val="00AB72FB"/>
    <w:rsid w:val="00AC126D"/>
    <w:rsid w:val="00AC50D7"/>
    <w:rsid w:val="00AD470B"/>
    <w:rsid w:val="00AD6541"/>
    <w:rsid w:val="00AD6F50"/>
    <w:rsid w:val="00AF1B93"/>
    <w:rsid w:val="00AF1F24"/>
    <w:rsid w:val="00AF282D"/>
    <w:rsid w:val="00AF502A"/>
    <w:rsid w:val="00B00447"/>
    <w:rsid w:val="00B03F05"/>
    <w:rsid w:val="00B10268"/>
    <w:rsid w:val="00B14524"/>
    <w:rsid w:val="00B24B50"/>
    <w:rsid w:val="00B30AFB"/>
    <w:rsid w:val="00B52F0D"/>
    <w:rsid w:val="00B55FE2"/>
    <w:rsid w:val="00B5712E"/>
    <w:rsid w:val="00B60A40"/>
    <w:rsid w:val="00B6121E"/>
    <w:rsid w:val="00B7061F"/>
    <w:rsid w:val="00B71F8E"/>
    <w:rsid w:val="00B90EC2"/>
    <w:rsid w:val="00B915D4"/>
    <w:rsid w:val="00B922B2"/>
    <w:rsid w:val="00B92FD1"/>
    <w:rsid w:val="00BA250D"/>
    <w:rsid w:val="00BA6944"/>
    <w:rsid w:val="00BA7924"/>
    <w:rsid w:val="00BC29AD"/>
    <w:rsid w:val="00BC2AA6"/>
    <w:rsid w:val="00BC3C9D"/>
    <w:rsid w:val="00BD16F7"/>
    <w:rsid w:val="00BE246D"/>
    <w:rsid w:val="00BF17AA"/>
    <w:rsid w:val="00C065BB"/>
    <w:rsid w:val="00C16411"/>
    <w:rsid w:val="00C226D8"/>
    <w:rsid w:val="00C24556"/>
    <w:rsid w:val="00C3461B"/>
    <w:rsid w:val="00C425A7"/>
    <w:rsid w:val="00C46B44"/>
    <w:rsid w:val="00C47BE9"/>
    <w:rsid w:val="00C51E66"/>
    <w:rsid w:val="00C64990"/>
    <w:rsid w:val="00C65233"/>
    <w:rsid w:val="00C6750A"/>
    <w:rsid w:val="00C7323F"/>
    <w:rsid w:val="00C74D5D"/>
    <w:rsid w:val="00C86741"/>
    <w:rsid w:val="00C86BE3"/>
    <w:rsid w:val="00C87D96"/>
    <w:rsid w:val="00C94DA0"/>
    <w:rsid w:val="00CA2C0E"/>
    <w:rsid w:val="00CA7BE9"/>
    <w:rsid w:val="00CB7479"/>
    <w:rsid w:val="00CB7D6F"/>
    <w:rsid w:val="00CC1714"/>
    <w:rsid w:val="00CC1C72"/>
    <w:rsid w:val="00CD0C49"/>
    <w:rsid w:val="00CD277A"/>
    <w:rsid w:val="00CE1CDF"/>
    <w:rsid w:val="00CE5037"/>
    <w:rsid w:val="00D06031"/>
    <w:rsid w:val="00D128EA"/>
    <w:rsid w:val="00D314F7"/>
    <w:rsid w:val="00D3255E"/>
    <w:rsid w:val="00D65911"/>
    <w:rsid w:val="00D67CA8"/>
    <w:rsid w:val="00D71081"/>
    <w:rsid w:val="00D84033"/>
    <w:rsid w:val="00D871E9"/>
    <w:rsid w:val="00DB72F6"/>
    <w:rsid w:val="00DB798D"/>
    <w:rsid w:val="00DC5F78"/>
    <w:rsid w:val="00DD7373"/>
    <w:rsid w:val="00DD7604"/>
    <w:rsid w:val="00DE06B1"/>
    <w:rsid w:val="00DF20F5"/>
    <w:rsid w:val="00DF4943"/>
    <w:rsid w:val="00DF7BF0"/>
    <w:rsid w:val="00E0099F"/>
    <w:rsid w:val="00E00E72"/>
    <w:rsid w:val="00E04524"/>
    <w:rsid w:val="00E11C31"/>
    <w:rsid w:val="00E13EB7"/>
    <w:rsid w:val="00E15FA6"/>
    <w:rsid w:val="00E21F7D"/>
    <w:rsid w:val="00E2430C"/>
    <w:rsid w:val="00E33F99"/>
    <w:rsid w:val="00E36608"/>
    <w:rsid w:val="00E4376C"/>
    <w:rsid w:val="00E502B5"/>
    <w:rsid w:val="00E52A9F"/>
    <w:rsid w:val="00E536FF"/>
    <w:rsid w:val="00E557F4"/>
    <w:rsid w:val="00E57F2A"/>
    <w:rsid w:val="00E62350"/>
    <w:rsid w:val="00E6590F"/>
    <w:rsid w:val="00E718AD"/>
    <w:rsid w:val="00E76D38"/>
    <w:rsid w:val="00E76D88"/>
    <w:rsid w:val="00E77CEE"/>
    <w:rsid w:val="00E8038A"/>
    <w:rsid w:val="00E85EB8"/>
    <w:rsid w:val="00E90E41"/>
    <w:rsid w:val="00E92B4B"/>
    <w:rsid w:val="00E97783"/>
    <w:rsid w:val="00EA47E2"/>
    <w:rsid w:val="00EB2544"/>
    <w:rsid w:val="00EB6455"/>
    <w:rsid w:val="00EC0DA5"/>
    <w:rsid w:val="00EC59E9"/>
    <w:rsid w:val="00EC7123"/>
    <w:rsid w:val="00ED140F"/>
    <w:rsid w:val="00ED2B8D"/>
    <w:rsid w:val="00ED4D13"/>
    <w:rsid w:val="00ED4FE4"/>
    <w:rsid w:val="00EE0065"/>
    <w:rsid w:val="00EE107A"/>
    <w:rsid w:val="00EE1C01"/>
    <w:rsid w:val="00EF5565"/>
    <w:rsid w:val="00EF662B"/>
    <w:rsid w:val="00F03EF7"/>
    <w:rsid w:val="00F041DA"/>
    <w:rsid w:val="00F10053"/>
    <w:rsid w:val="00F15391"/>
    <w:rsid w:val="00F20062"/>
    <w:rsid w:val="00F3706F"/>
    <w:rsid w:val="00F55172"/>
    <w:rsid w:val="00F62462"/>
    <w:rsid w:val="00F76330"/>
    <w:rsid w:val="00F7736E"/>
    <w:rsid w:val="00F83984"/>
    <w:rsid w:val="00F93DAA"/>
    <w:rsid w:val="00F949F1"/>
    <w:rsid w:val="00FB102E"/>
    <w:rsid w:val="00FB1A4E"/>
    <w:rsid w:val="00FB3730"/>
    <w:rsid w:val="00FB6F03"/>
    <w:rsid w:val="00FD34B9"/>
    <w:rsid w:val="00FE31AE"/>
    <w:rsid w:val="00FF14FE"/>
    <w:rsid w:val="00FF4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0551"/>
    <w:rPr>
      <w:color w:val="0000FF"/>
      <w:u w:val="single"/>
    </w:rPr>
  </w:style>
  <w:style w:type="character" w:styleId="Emphasis">
    <w:name w:val="Emphasis"/>
    <w:basedOn w:val="DefaultParagraphFont"/>
    <w:uiPriority w:val="20"/>
    <w:qFormat/>
    <w:rsid w:val="00880551"/>
    <w:rPr>
      <w:i/>
      <w:iCs/>
    </w:rPr>
  </w:style>
  <w:style w:type="character" w:styleId="FollowedHyperlink">
    <w:name w:val="FollowedHyperlink"/>
    <w:basedOn w:val="DefaultParagraphFont"/>
    <w:uiPriority w:val="99"/>
    <w:semiHidden/>
    <w:unhideWhenUsed/>
    <w:rsid w:val="00146966"/>
    <w:rPr>
      <w:color w:val="800080" w:themeColor="followedHyperlink"/>
      <w:u w:val="single"/>
    </w:rPr>
  </w:style>
  <w:style w:type="paragraph" w:styleId="ListBullet">
    <w:name w:val="List Bullet"/>
    <w:basedOn w:val="Normal"/>
    <w:uiPriority w:val="99"/>
    <w:semiHidden/>
    <w:unhideWhenUsed/>
    <w:rsid w:val="00B30AFB"/>
    <w:pPr>
      <w:numPr>
        <w:numId w:val="1"/>
      </w:numPr>
      <w:contextualSpacing/>
    </w:pPr>
  </w:style>
  <w:style w:type="paragraph" w:styleId="ListBullet2">
    <w:name w:val="List Bullet 2"/>
    <w:basedOn w:val="Normal"/>
    <w:uiPriority w:val="99"/>
    <w:semiHidden/>
    <w:unhideWhenUsed/>
    <w:rsid w:val="00B30AFB"/>
    <w:pPr>
      <w:numPr>
        <w:numId w:val="2"/>
      </w:numPr>
      <w:contextualSpacing/>
    </w:pPr>
  </w:style>
  <w:style w:type="paragraph" w:styleId="ListBullet3">
    <w:name w:val="List Bullet 3"/>
    <w:basedOn w:val="Normal"/>
    <w:uiPriority w:val="99"/>
    <w:semiHidden/>
    <w:unhideWhenUsed/>
    <w:rsid w:val="00B30AFB"/>
    <w:pPr>
      <w:numPr>
        <w:numId w:val="3"/>
      </w:numPr>
      <w:contextualSpacing/>
    </w:pPr>
  </w:style>
  <w:style w:type="paragraph" w:styleId="ListBullet4">
    <w:name w:val="List Bullet 4"/>
    <w:basedOn w:val="Normal"/>
    <w:uiPriority w:val="99"/>
    <w:semiHidden/>
    <w:unhideWhenUsed/>
    <w:rsid w:val="00B30AFB"/>
    <w:pPr>
      <w:numPr>
        <w:numId w:val="4"/>
      </w:numPr>
      <w:contextualSpacing/>
    </w:pPr>
  </w:style>
  <w:style w:type="paragraph" w:styleId="Caption">
    <w:name w:val="caption"/>
    <w:basedOn w:val="Normal"/>
    <w:next w:val="Normal"/>
    <w:uiPriority w:val="35"/>
    <w:semiHidden/>
    <w:unhideWhenUsed/>
    <w:qFormat/>
    <w:rsid w:val="0018542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85428"/>
    <w:pPr>
      <w:spacing w:after="0"/>
    </w:pPr>
  </w:style>
  <w:style w:type="paragraph" w:styleId="ListNumber">
    <w:name w:val="List Number"/>
    <w:basedOn w:val="Normal"/>
    <w:uiPriority w:val="99"/>
    <w:semiHidden/>
    <w:unhideWhenUsed/>
    <w:rsid w:val="00185428"/>
    <w:pPr>
      <w:numPr>
        <w:numId w:val="5"/>
      </w:numPr>
      <w:contextualSpacing/>
    </w:pPr>
  </w:style>
  <w:style w:type="paragraph" w:styleId="ListNumber2">
    <w:name w:val="List Number 2"/>
    <w:basedOn w:val="Normal"/>
    <w:uiPriority w:val="99"/>
    <w:semiHidden/>
    <w:unhideWhenUsed/>
    <w:rsid w:val="00185428"/>
    <w:pPr>
      <w:numPr>
        <w:numId w:val="6"/>
      </w:numPr>
      <w:contextualSpacing/>
    </w:pPr>
  </w:style>
  <w:style w:type="paragraph" w:styleId="ListNumber3">
    <w:name w:val="List Number 3"/>
    <w:basedOn w:val="Normal"/>
    <w:uiPriority w:val="99"/>
    <w:semiHidden/>
    <w:unhideWhenUsed/>
    <w:rsid w:val="00185428"/>
    <w:pPr>
      <w:numPr>
        <w:numId w:val="7"/>
      </w:numPr>
      <w:contextualSpacing/>
    </w:pPr>
  </w:style>
  <w:style w:type="paragraph" w:styleId="ListNumber4">
    <w:name w:val="List Number 4"/>
    <w:basedOn w:val="Normal"/>
    <w:uiPriority w:val="99"/>
    <w:semiHidden/>
    <w:unhideWhenUsed/>
    <w:rsid w:val="00185428"/>
    <w:pPr>
      <w:numPr>
        <w:numId w:val="8"/>
      </w:numPr>
      <w:contextualSpacing/>
    </w:pPr>
  </w:style>
  <w:style w:type="character" w:styleId="CommentReference">
    <w:name w:val="annotation reference"/>
    <w:basedOn w:val="DefaultParagraphFont"/>
    <w:uiPriority w:val="99"/>
    <w:semiHidden/>
    <w:unhideWhenUsed/>
    <w:rsid w:val="00EE0065"/>
    <w:rPr>
      <w:sz w:val="16"/>
      <w:szCs w:val="16"/>
    </w:rPr>
  </w:style>
  <w:style w:type="paragraph" w:styleId="CommentText">
    <w:name w:val="annotation text"/>
    <w:basedOn w:val="Normal"/>
    <w:link w:val="CommentTextChar"/>
    <w:uiPriority w:val="99"/>
    <w:unhideWhenUsed/>
    <w:rsid w:val="00EE0065"/>
    <w:rPr>
      <w:sz w:val="20"/>
      <w:szCs w:val="20"/>
    </w:rPr>
  </w:style>
  <w:style w:type="character" w:customStyle="1" w:styleId="CommentTextChar">
    <w:name w:val="Comment Text Char"/>
    <w:basedOn w:val="DefaultParagraphFont"/>
    <w:link w:val="CommentText"/>
    <w:uiPriority w:val="99"/>
    <w:rsid w:val="00EE006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E0065"/>
    <w:rPr>
      <w:b/>
      <w:bCs/>
    </w:rPr>
  </w:style>
  <w:style w:type="character" w:customStyle="1" w:styleId="CommentSubjectChar">
    <w:name w:val="Comment Subject Char"/>
    <w:basedOn w:val="CommentTextChar"/>
    <w:link w:val="CommentSubject"/>
    <w:uiPriority w:val="99"/>
    <w:semiHidden/>
    <w:rsid w:val="00EE006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C3C9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C95"/>
    <w:rPr>
      <w:rFonts w:ascii="Segoe UI" w:hAnsi="Segoe UI" w:cs="Segoe UI"/>
      <w:sz w:val="18"/>
      <w:szCs w:val="18"/>
      <w:lang w:val="en-GB"/>
    </w:rPr>
  </w:style>
  <w:style w:type="paragraph" w:customStyle="1" w:styleId="Footnote">
    <w:name w:val="Footnote"/>
    <w:aliases w:val="Times 10 Point,Exposant 3 Point,Footnote Reference Superscript Car,Char Char Char Char Char Car,BVI fnr Car,Footnote symbol Car,SUPERS Car,note TESI Car,number"/>
    <w:basedOn w:val="Normal"/>
    <w:link w:val="FootnoteReference"/>
    <w:uiPriority w:val="99"/>
    <w:rsid w:val="005F6474"/>
    <w:pPr>
      <w:spacing w:before="0" w:after="160" w:line="240" w:lineRule="exact"/>
      <w:jc w:val="left"/>
    </w:pPr>
    <w:rPr>
      <w:rFonts w:asciiTheme="minorHAnsi" w:hAnsiTheme="minorHAnsi" w:cstheme="minorBidi"/>
      <w:sz w:val="22"/>
      <w:vertAlign w:val="superscript"/>
      <w:lang w:val="en-US"/>
    </w:rPr>
  </w:style>
  <w:style w:type="character" w:customStyle="1" w:styleId="UnresolvedMention">
    <w:name w:val="Unresolved Mention"/>
    <w:basedOn w:val="DefaultParagraphFont"/>
    <w:uiPriority w:val="99"/>
    <w:semiHidden/>
    <w:unhideWhenUsed/>
    <w:rsid w:val="00880F0B"/>
    <w:rPr>
      <w:color w:val="605E5C"/>
      <w:shd w:val="clear" w:color="auto" w:fill="E1DFDD"/>
    </w:rPr>
  </w:style>
  <w:style w:type="paragraph" w:styleId="Revision">
    <w:name w:val="Revision"/>
    <w:hidden/>
    <w:uiPriority w:val="99"/>
    <w:semiHidden/>
    <w:rsid w:val="00273FB4"/>
    <w:pPr>
      <w:spacing w:after="0" w:line="240" w:lineRule="auto"/>
    </w:pPr>
    <w:rPr>
      <w:rFonts w:ascii="Times New Roman" w:hAnsi="Times New Roman" w:cs="Times New Roman"/>
      <w:sz w:val="24"/>
      <w:lang w:val="en-GB"/>
    </w:rPr>
  </w:style>
  <w:style w:type="character" w:customStyle="1" w:styleId="HeaderChar">
    <w:name w:val="Header Char"/>
    <w:basedOn w:val="DefaultParagraphFont"/>
    <w:link w:val="Header"/>
    <w:uiPriority w:val="99"/>
    <w:rsid w:val="003633DC"/>
    <w:rPr>
      <w:rFonts w:ascii="Times New Roman" w:hAnsi="Times New Roman" w:cs="Times New Roman"/>
      <w:sz w:val="24"/>
      <w:lang w:val="en-GB"/>
    </w:rPr>
  </w:style>
  <w:style w:type="character" w:customStyle="1" w:styleId="FooterChar">
    <w:name w:val="Footer Char"/>
    <w:basedOn w:val="DefaultParagraphFont"/>
    <w:link w:val="Footer"/>
    <w:uiPriority w:val="99"/>
    <w:rsid w:val="003633D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
    <w:uiPriority w:val="99"/>
    <w:semiHidden/>
    <w:unhideWhenUsed/>
    <w:rPr>
      <w:shd w:val="clear" w:color="auto" w:fill="auto"/>
      <w:vertAlign w:val="superscript"/>
    </w:rPr>
  </w:style>
  <w:style w:type="paragraph" w:customStyle="1" w:styleId="HeaderSensitivity">
    <w:name w:val="Header Sensitivity"/>
    <w:basedOn w:val="Normal"/>
    <w:rsid w:val="003633D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633DC"/>
    <w:pPr>
      <w:spacing w:before="0"/>
      <w:jc w:val="right"/>
    </w:pPr>
    <w:rPr>
      <w:sz w:val="28"/>
    </w:rPr>
  </w:style>
  <w:style w:type="paragraph" w:customStyle="1" w:styleId="FooterSensitivity">
    <w:name w:val="Footer Sensitivity"/>
    <w:basedOn w:val="Normal"/>
    <w:rsid w:val="003633D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633DC"/>
    <w:pPr>
      <w:tabs>
        <w:tab w:val="center" w:pos="4535"/>
        <w:tab w:val="right" w:pos="9071"/>
      </w:tabs>
      <w:spacing w:before="0"/>
    </w:pPr>
  </w:style>
  <w:style w:type="paragraph" w:customStyle="1" w:styleId="HeaderLandscape">
    <w:name w:val="HeaderLandscape"/>
    <w:basedOn w:val="Normal"/>
    <w:rsid w:val="003633DC"/>
    <w:pPr>
      <w:tabs>
        <w:tab w:val="center" w:pos="7285"/>
        <w:tab w:val="right" w:pos="14003"/>
      </w:tabs>
      <w:spacing w:before="0"/>
    </w:pPr>
  </w:style>
  <w:style w:type="paragraph" w:styleId="Footer">
    <w:name w:val="footer"/>
    <w:basedOn w:val="Normal"/>
    <w:link w:val="FooterChar"/>
    <w:uiPriority w:val="99"/>
    <w:unhideWhenUsed/>
    <w:rsid w:val="003633DC"/>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633DC"/>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_impl/2011/282/oj" TargetMode="External"/><Relationship Id="rId3" Type="http://schemas.openxmlformats.org/officeDocument/2006/relationships/hyperlink" Target="https://eur-lex.europa.eu/legal-content/EN/TXT/?uri=CELEX%3A32020L0262&amp;qid=1706090981914" TargetMode="External"/><Relationship Id="rId7" Type="http://schemas.openxmlformats.org/officeDocument/2006/relationships/hyperlink" Target="https://eur-lex.europa.eu/legal-content/EN/TXT/?uri=OJ%3AJOL_2015_235_R_0006" TargetMode="External"/><Relationship Id="rId2" Type="http://schemas.openxmlformats.org/officeDocument/2006/relationships/hyperlink" Target="https://eur-lex.europa.eu/legal-content/EN/TXT/?uri=OJ%3AJOL_2015_235_R_0006" TargetMode="External"/><Relationship Id="rId1" Type="http://schemas.openxmlformats.org/officeDocument/2006/relationships/hyperlink" Target="https://eur-lex.europa.eu/legal-content/EN/TXT/?uri=CELEX%3A32011R0282&amp;qid=1717738519251" TargetMode="External"/><Relationship Id="rId6" Type="http://schemas.openxmlformats.org/officeDocument/2006/relationships/hyperlink" Target="https://eur-lex.europa.eu/legal-content/EN/TXT/?uri=OJ:L:2021:250:TOC" TargetMode="External"/><Relationship Id="rId11" Type="http://schemas.openxmlformats.org/officeDocument/2006/relationships/hyperlink" Target="http://data.europa.eu/eli/dir/2020/262/oj" TargetMode="External"/><Relationship Id="rId5" Type="http://schemas.openxmlformats.org/officeDocument/2006/relationships/hyperlink" Target="https://eur-lex.europa.eu/legal-content/EN/TXT/?uri=uriserv:OJ.L_.2019.336.01.0010.01.ENG&amp;toc=OJ:L:2019:336:TOC" TargetMode="External"/><Relationship Id="rId10" Type="http://schemas.openxmlformats.org/officeDocument/2006/relationships/hyperlink" Target="http://data.europa.eu/eli/dir/2008/118/oj" TargetMode="External"/><Relationship Id="rId4" Type="http://schemas.openxmlformats.org/officeDocument/2006/relationships/hyperlink" Target="https://eur-lex.europa.eu/legal-content/EN/TXT/?uri=CELEX%3A32022R0432&amp;qid=1705923422795" TargetMode="External"/><Relationship Id="rId9" Type="http://schemas.openxmlformats.org/officeDocument/2006/relationships/hyperlink" Target="http://data.europa.eu/eli/dir/2006/112/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6753-52B3-45F9-9DB5-BB0F54A3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2024-06-07T08:22:00Z</dcterms:created>
  <dcterms:modified xsi:type="dcterms:W3CDTF">2024-07-01T06:31:00Z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2024-06-07T08:22:54Z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e5453b23-e79c-4e20-89ea-717a8576513e</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DQCStatus">
    <vt:lpwstr>Green (DQC version 03)</vt:lpwstr>
  </property>
</Properties>
</file>