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32" w:rsidRPr="007B1860" w:rsidRDefault="00241401" w:rsidP="0024140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87D65A2-B251-455B-AE27-04DCAD9200C6" style="width:455.25pt;height:355.5pt">
            <v:imagedata r:id="rId8" o:title=""/>
          </v:shape>
        </w:pict>
      </w:r>
    </w:p>
    <w:p w:rsidR="00573032" w:rsidRPr="007B1860" w:rsidRDefault="00573032">
      <w:pPr>
        <w:rPr>
          <w:noProof/>
        </w:rPr>
        <w:sectPr w:rsidR="00573032" w:rsidRPr="007B1860" w:rsidSect="00241401">
          <w:footerReference w:type="even" r:id="rId9"/>
          <w:footerReference w:type="default" r:id="rId10"/>
          <w:pgSz w:w="11907" w:h="16839"/>
          <w:pgMar w:top="1134" w:right="1417" w:bottom="1134" w:left="1417" w:header="709" w:footer="709" w:gutter="0"/>
          <w:pgNumType w:start="0"/>
          <w:cols w:space="720"/>
          <w:docGrid w:linePitch="360"/>
        </w:sectPr>
      </w:pPr>
    </w:p>
    <w:p w:rsidR="00573032" w:rsidRPr="007B1860" w:rsidRDefault="00C43172">
      <w:pPr>
        <w:pStyle w:val="Exposdesmotifstitre"/>
        <w:rPr>
          <w:noProof/>
        </w:rPr>
      </w:pPr>
      <w:bookmarkStart w:id="0" w:name="_GoBack"/>
      <w:bookmarkEnd w:id="0"/>
      <w:r w:rsidRPr="007B1860">
        <w:rPr>
          <w:noProof/>
        </w:rPr>
        <w:lastRenderedPageBreak/>
        <w:t>EXPLANATORY MEMORANDUM</w:t>
      </w:r>
    </w:p>
    <w:p w:rsidR="00573032" w:rsidRPr="007B1860" w:rsidRDefault="00C43172">
      <w:pPr>
        <w:pStyle w:val="ManualHeading1"/>
        <w:rPr>
          <w:noProof/>
        </w:rPr>
      </w:pPr>
      <w:r w:rsidRPr="007B1860">
        <w:rPr>
          <w:noProof/>
        </w:rPr>
        <w:t>1.</w:t>
      </w:r>
      <w:r w:rsidRPr="007B1860">
        <w:rPr>
          <w:noProof/>
        </w:rPr>
        <w:tab/>
        <w:t>CONTEXT OF THE PROPOSAL</w:t>
      </w:r>
    </w:p>
    <w:p w:rsidR="00573032" w:rsidRPr="007B1860" w:rsidRDefault="00C43172">
      <w:pPr>
        <w:pStyle w:val="ManualHeading2"/>
        <w:rPr>
          <w:rFonts w:eastAsia="Arial Unicode MS"/>
          <w:noProof/>
        </w:rPr>
      </w:pPr>
      <w:r w:rsidRPr="007B1860">
        <w:rPr>
          <w:rFonts w:eastAsia="Arial Unicode MS"/>
          <w:noProof/>
          <w:color w:val="000000"/>
          <w:u w:color="000000"/>
          <w:bdr w:val="nil"/>
          <w:lang w:eastAsia="en-GB"/>
        </w:rPr>
        <w:t>•</w:t>
      </w:r>
      <w:r w:rsidRPr="007B1860">
        <w:rPr>
          <w:rFonts w:eastAsia="Arial Unicode MS"/>
          <w:noProof/>
          <w:color w:val="000000"/>
          <w:u w:color="000000"/>
          <w:bdr w:val="nil"/>
          <w:lang w:eastAsia="en-GB"/>
        </w:rPr>
        <w:tab/>
      </w:r>
      <w:r w:rsidRPr="007B1860">
        <w:rPr>
          <w:rFonts w:eastAsia="Arial Unicode MS"/>
          <w:noProof/>
        </w:rPr>
        <w:t>Reasons for and objectives of the proposal</w:t>
      </w:r>
    </w:p>
    <w:p w:rsidR="007C2FDB" w:rsidRPr="007B1860" w:rsidRDefault="007C2FDB">
      <w:pPr>
        <w:pBdr>
          <w:top w:val="nil"/>
          <w:left w:val="nil"/>
          <w:bottom w:val="nil"/>
          <w:right w:val="nil"/>
          <w:between w:val="nil"/>
          <w:bar w:val="nil"/>
        </w:pBdr>
        <w:spacing w:before="0" w:after="240"/>
        <w:rPr>
          <w:rFonts w:eastAsia="Arial Unicode MS"/>
          <w:noProof/>
          <w:color w:val="000000"/>
        </w:rPr>
      </w:pPr>
      <w:r w:rsidRPr="007B1860">
        <w:rPr>
          <w:rFonts w:eastAsia="Arial Unicode MS"/>
          <w:noProof/>
          <w:color w:val="000000"/>
        </w:rPr>
        <w:t xml:space="preserve">The purpose of this proposal is to amend </w:t>
      </w:r>
      <w:r w:rsidRPr="007B1860">
        <w:rPr>
          <w:noProof/>
          <w:color w:val="000000" w:themeColor="text1"/>
        </w:rPr>
        <w:t>Council Directive 2006/112/EC</w:t>
      </w:r>
      <w:r w:rsidRPr="007B1860">
        <w:rPr>
          <w:rStyle w:val="FootnoteReference"/>
          <w:noProof/>
          <w:color w:val="000000" w:themeColor="text1"/>
        </w:rPr>
        <w:footnoteReference w:id="1"/>
      </w:r>
      <w:r w:rsidRPr="007B1860">
        <w:rPr>
          <w:noProof/>
          <w:color w:val="000000" w:themeColor="text1"/>
        </w:rPr>
        <w:t xml:space="preserve"> (the VAT Directive) in order to </w:t>
      </w:r>
      <w:r w:rsidRPr="007B1860">
        <w:rPr>
          <w:rFonts w:eastAsia="Arial Unicode MS"/>
          <w:noProof/>
          <w:color w:val="000000"/>
        </w:rPr>
        <w:t xml:space="preserve">introduce an electronic exemption certificate confirming that a transaction qualifies for a specific exemption under the first subparagraph of </w:t>
      </w:r>
      <w:r w:rsidR="00B129D2" w:rsidRPr="007B1860">
        <w:rPr>
          <w:rFonts w:eastAsia="Arial Unicode MS"/>
          <w:noProof/>
          <w:color w:val="000000"/>
        </w:rPr>
        <w:t>Article </w:t>
      </w:r>
      <w:r w:rsidRPr="007B1860">
        <w:rPr>
          <w:rFonts w:eastAsia="Arial Unicode MS"/>
          <w:noProof/>
          <w:color w:val="000000"/>
        </w:rPr>
        <w:t>151(1) of that Directive.</w:t>
      </w:r>
    </w:p>
    <w:p w:rsidR="003D0541" w:rsidRPr="007B1860" w:rsidRDefault="00B129D2" w:rsidP="00FE5369">
      <w:pPr>
        <w:pBdr>
          <w:top w:val="nil"/>
          <w:left w:val="nil"/>
          <w:bottom w:val="nil"/>
          <w:right w:val="nil"/>
          <w:between w:val="nil"/>
          <w:bar w:val="nil"/>
        </w:pBdr>
        <w:spacing w:before="0" w:after="240"/>
        <w:rPr>
          <w:rFonts w:cs="Calibri"/>
          <w:noProof/>
          <w:color w:val="000000" w:themeColor="text1"/>
        </w:rPr>
      </w:pPr>
      <w:r w:rsidRPr="007B1860">
        <w:rPr>
          <w:noProof/>
        </w:rPr>
        <w:t>Annex </w:t>
      </w:r>
      <w:r w:rsidR="00B87B0D" w:rsidRPr="007B1860">
        <w:rPr>
          <w:noProof/>
        </w:rPr>
        <w:t xml:space="preserve">II of Council Implementing Regulation (EU) </w:t>
      </w:r>
      <w:r w:rsidRPr="007B1860">
        <w:rPr>
          <w:noProof/>
        </w:rPr>
        <w:t>No </w:t>
      </w:r>
      <w:r w:rsidR="00B87B0D" w:rsidRPr="007B1860">
        <w:rPr>
          <w:noProof/>
        </w:rPr>
        <w:t>282/2011</w:t>
      </w:r>
      <w:r w:rsidR="00B87B0D" w:rsidRPr="007B1860">
        <w:rPr>
          <w:rStyle w:val="FootnoteReference"/>
          <w:noProof/>
        </w:rPr>
        <w:footnoteReference w:id="2"/>
      </w:r>
      <w:r w:rsidR="00B87B0D" w:rsidRPr="007B1860">
        <w:rPr>
          <w:noProof/>
        </w:rPr>
        <w:t xml:space="preserve"> </w:t>
      </w:r>
      <w:r w:rsidR="00513288" w:rsidRPr="007B1860">
        <w:rPr>
          <w:noProof/>
        </w:rPr>
        <w:t xml:space="preserve">(the VAT Implementing Regulation) </w:t>
      </w:r>
      <w:r w:rsidR="00B87B0D" w:rsidRPr="007B1860">
        <w:rPr>
          <w:noProof/>
        </w:rPr>
        <w:t xml:space="preserve">provides for a VAT and/or Excise Duty exemption certificate, which is </w:t>
      </w:r>
      <w:r w:rsidR="006A7DCC">
        <w:rPr>
          <w:noProof/>
        </w:rPr>
        <w:t xml:space="preserve">designed </w:t>
      </w:r>
      <w:r w:rsidR="00B87B0D" w:rsidRPr="007B1860">
        <w:rPr>
          <w:noProof/>
        </w:rPr>
        <w:t>to be handled as a paper version, to be signed in hand.</w:t>
      </w:r>
      <w:r w:rsidR="00FE5369" w:rsidRPr="007B1860">
        <w:rPr>
          <w:noProof/>
        </w:rPr>
        <w:t xml:space="preserve"> In order to enable Member States to keep pace with the increasing demands of the digital age and to reduce the administrative burden on businesses, the current paper version should be replaced by the new electronic certificate</w:t>
      </w:r>
      <w:r w:rsidR="00A32CF7" w:rsidRPr="007B1860">
        <w:rPr>
          <w:noProof/>
        </w:rPr>
        <w:t xml:space="preserve">. </w:t>
      </w:r>
      <w:bookmarkStart w:id="1" w:name="_Hlk157008872"/>
      <w:r w:rsidR="002F0C09" w:rsidRPr="007B1860">
        <w:rPr>
          <w:noProof/>
        </w:rPr>
        <w:t>In addition, such electronic conversion will allow Member States to comply with the obligations imposed by EU legislation</w:t>
      </w:r>
      <w:r w:rsidR="002F0C09" w:rsidRPr="007B1860">
        <w:rPr>
          <w:rStyle w:val="FootnoteReference"/>
          <w:rFonts w:eastAsia="Arial Unicode MS"/>
          <w:noProof/>
        </w:rPr>
        <w:footnoteReference w:id="3"/>
      </w:r>
      <w:r w:rsidR="002F0C09" w:rsidRPr="007B1860">
        <w:rPr>
          <w:noProof/>
        </w:rPr>
        <w:t xml:space="preserve"> requiring them to put in place the necessary technical means to enable the electronic processing of electronically signed documents when using an online service provided by or on behalf of a public sector body</w:t>
      </w:r>
      <w:r w:rsidR="00A32CF7" w:rsidRPr="007B1860">
        <w:rPr>
          <w:noProof/>
        </w:rPr>
        <w:t>.</w:t>
      </w:r>
      <w:bookmarkEnd w:id="1"/>
    </w:p>
    <w:p w:rsidR="00FE5369" w:rsidRPr="007B1860" w:rsidRDefault="003D0541" w:rsidP="003D0541">
      <w:pPr>
        <w:pBdr>
          <w:top w:val="nil"/>
          <w:left w:val="nil"/>
          <w:bottom w:val="nil"/>
          <w:right w:val="nil"/>
          <w:between w:val="nil"/>
          <w:bar w:val="nil"/>
        </w:pBdr>
        <w:spacing w:before="0" w:after="240"/>
        <w:rPr>
          <w:rFonts w:cs="Calibri"/>
          <w:noProof/>
          <w:color w:val="000000" w:themeColor="text1"/>
        </w:rPr>
      </w:pPr>
      <w:r w:rsidRPr="007B1860">
        <w:rPr>
          <w:rFonts w:cs="Calibri"/>
          <w:noProof/>
          <w:color w:val="000000" w:themeColor="text1"/>
        </w:rPr>
        <w:t>Th</w:t>
      </w:r>
      <w:r w:rsidR="00FE5369" w:rsidRPr="007B1860">
        <w:rPr>
          <w:rFonts w:cs="Calibri"/>
          <w:noProof/>
          <w:color w:val="000000" w:themeColor="text1"/>
        </w:rPr>
        <w:t xml:space="preserve">is initiative also </w:t>
      </w:r>
      <w:r w:rsidRPr="007B1860">
        <w:rPr>
          <w:rFonts w:cs="Calibri"/>
          <w:noProof/>
          <w:color w:val="000000" w:themeColor="text1"/>
        </w:rPr>
        <w:t>serves to align with the area of excise duties, where electronic procedures are already possible</w:t>
      </w:r>
      <w:r w:rsidR="00A60D97">
        <w:rPr>
          <w:rStyle w:val="FootnoteReference"/>
          <w:rFonts w:cs="Calibri"/>
          <w:noProof/>
          <w:color w:val="000000" w:themeColor="text1"/>
        </w:rPr>
        <w:footnoteReference w:id="4"/>
      </w:r>
      <w:r w:rsidRPr="007B1860">
        <w:rPr>
          <w:rFonts w:cs="Calibri"/>
          <w:noProof/>
          <w:color w:val="000000" w:themeColor="text1"/>
        </w:rPr>
        <w:t xml:space="preserve">. </w:t>
      </w:r>
    </w:p>
    <w:p w:rsidR="00573032" w:rsidRPr="007B1860" w:rsidRDefault="00120535" w:rsidP="00845DA2">
      <w:pPr>
        <w:pBdr>
          <w:top w:val="nil"/>
          <w:left w:val="nil"/>
          <w:bottom w:val="nil"/>
          <w:right w:val="nil"/>
          <w:between w:val="nil"/>
          <w:bar w:val="nil"/>
        </w:pBdr>
        <w:spacing w:before="0" w:after="240"/>
        <w:rPr>
          <w:noProof/>
        </w:rPr>
      </w:pPr>
      <w:r>
        <w:rPr>
          <w:rFonts w:cs="Calibri"/>
          <w:noProof/>
          <w:color w:val="000000" w:themeColor="text1"/>
        </w:rPr>
        <w:t xml:space="preserve">It </w:t>
      </w:r>
      <w:r w:rsidR="007C2FDB" w:rsidRPr="007B1860">
        <w:rPr>
          <w:rFonts w:cs="Calibri"/>
          <w:noProof/>
          <w:color w:val="000000" w:themeColor="text1"/>
        </w:rPr>
        <w:t xml:space="preserve">is to enable the Commission to adopt implementing measures laying down the technical details and specifications concerning the applicable electronic format of the certificate and the way in which it is to be processed electronically. </w:t>
      </w:r>
      <w:r w:rsidR="00845DA2" w:rsidRPr="007B1860">
        <w:rPr>
          <w:rFonts w:cs="Calibri"/>
          <w:noProof/>
          <w:color w:val="000000" w:themeColor="text1"/>
        </w:rPr>
        <w:t>Th</w:t>
      </w:r>
      <w:r w:rsidR="007C2FDB" w:rsidRPr="007B1860">
        <w:rPr>
          <w:rFonts w:cs="Calibri"/>
          <w:noProof/>
          <w:color w:val="000000" w:themeColor="text1"/>
        </w:rPr>
        <w:t>e respective</w:t>
      </w:r>
      <w:r w:rsidR="00845DA2" w:rsidRPr="007B1860">
        <w:rPr>
          <w:rFonts w:cs="Calibri"/>
          <w:noProof/>
          <w:color w:val="000000" w:themeColor="text1"/>
        </w:rPr>
        <w:t xml:space="preserve"> implementing acts shall be adopted </w:t>
      </w:r>
      <w:r w:rsidR="00C43172" w:rsidRPr="007B1860">
        <w:rPr>
          <w:noProof/>
        </w:rPr>
        <w:t xml:space="preserve">in consultation of the Standing Committee on Administrative Cooperation established by Article 58 of Council Regulation (EU) </w:t>
      </w:r>
      <w:r w:rsidR="00B129D2" w:rsidRPr="007B1860">
        <w:rPr>
          <w:noProof/>
        </w:rPr>
        <w:t>No </w:t>
      </w:r>
      <w:r w:rsidR="00C43172" w:rsidRPr="007B1860">
        <w:rPr>
          <w:noProof/>
        </w:rPr>
        <w:t>904/2010</w:t>
      </w:r>
      <w:r w:rsidR="00C43172" w:rsidRPr="007B1860">
        <w:rPr>
          <w:rStyle w:val="FootnoteReference"/>
          <w:noProof/>
        </w:rPr>
        <w:footnoteReference w:id="5"/>
      </w:r>
      <w:r w:rsidR="00C43172" w:rsidRPr="007B1860">
        <w:rPr>
          <w:noProof/>
        </w:rPr>
        <w:t xml:space="preserve">, applying the examination procedure referred to in Article 5 of Regulation (EU) </w:t>
      </w:r>
      <w:r w:rsidR="00B129D2" w:rsidRPr="007B1860">
        <w:rPr>
          <w:noProof/>
        </w:rPr>
        <w:t>No </w:t>
      </w:r>
      <w:r w:rsidR="00C43172" w:rsidRPr="007B1860">
        <w:rPr>
          <w:noProof/>
        </w:rPr>
        <w:t>182/2011</w:t>
      </w:r>
      <w:r w:rsidR="00C43172" w:rsidRPr="007B1860">
        <w:rPr>
          <w:rStyle w:val="FootnoteReference"/>
          <w:noProof/>
        </w:rPr>
        <w:footnoteReference w:id="6"/>
      </w:r>
      <w:r w:rsidR="00C43172" w:rsidRPr="007B1860">
        <w:rPr>
          <w:noProof/>
        </w:rPr>
        <w:t>.</w:t>
      </w:r>
    </w:p>
    <w:p w:rsidR="00A552F5" w:rsidRPr="007B1860" w:rsidRDefault="0067287A" w:rsidP="00A552F5">
      <w:pPr>
        <w:spacing w:after="200"/>
        <w:rPr>
          <w:noProof/>
        </w:rPr>
      </w:pPr>
      <w:r w:rsidRPr="007B1860">
        <w:rPr>
          <w:noProof/>
        </w:rPr>
        <w:t>This proposal is the result of an in-depth analysis of the feasibility and costs of introducing an electronic exemption certificate, carried out at the request of Member States, which had withdrawn this element of an earlier Commission proposal of April 2021</w:t>
      </w:r>
      <w:r w:rsidRPr="007B1860">
        <w:rPr>
          <w:rStyle w:val="FootnoteReference"/>
          <w:noProof/>
        </w:rPr>
        <w:footnoteReference w:id="7"/>
      </w:r>
      <w:r w:rsidRPr="007B1860">
        <w:rPr>
          <w:noProof/>
        </w:rPr>
        <w:t xml:space="preserve"> (the so-called "buy and donate" proposal) and asked for more insight into the implementation aspects when the corresponding amendments to the VAT Directive were adopted in July 2021</w:t>
      </w:r>
      <w:r w:rsidRPr="007B1860">
        <w:rPr>
          <w:rStyle w:val="FootnoteReference"/>
          <w:noProof/>
        </w:rPr>
        <w:footnoteReference w:id="8"/>
      </w:r>
      <w:r w:rsidRPr="007B1860">
        <w:rPr>
          <w:noProof/>
        </w:rPr>
        <w:t>.</w:t>
      </w:r>
    </w:p>
    <w:p w:rsidR="00A552F5" w:rsidRPr="007B1860" w:rsidRDefault="008924E8" w:rsidP="008924E8">
      <w:pPr>
        <w:spacing w:after="200"/>
        <w:rPr>
          <w:noProof/>
        </w:rPr>
      </w:pPr>
      <w:r w:rsidRPr="007B1860">
        <w:rPr>
          <w:noProof/>
        </w:rPr>
        <w:t xml:space="preserve">Following the </w:t>
      </w:r>
      <w:r w:rsidR="0069499B" w:rsidRPr="007B1860">
        <w:rPr>
          <w:noProof/>
        </w:rPr>
        <w:t>broad support</w:t>
      </w:r>
      <w:r w:rsidRPr="007B1860">
        <w:rPr>
          <w:noProof/>
        </w:rPr>
        <w:t xml:space="preserve"> for an electronic transformation of the exemption certificate expressed </w:t>
      </w:r>
      <w:r w:rsidR="008160C5" w:rsidRPr="007B1860">
        <w:rPr>
          <w:noProof/>
        </w:rPr>
        <w:t>at</w:t>
      </w:r>
      <w:r w:rsidR="00A552F5" w:rsidRPr="007B1860">
        <w:rPr>
          <w:noProof/>
        </w:rPr>
        <w:t xml:space="preserve"> the 36</w:t>
      </w:r>
      <w:r w:rsidR="00A552F5" w:rsidRPr="007B1860">
        <w:rPr>
          <w:noProof/>
          <w:vertAlign w:val="superscript"/>
        </w:rPr>
        <w:t>th</w:t>
      </w:r>
      <w:r w:rsidR="00A552F5" w:rsidRPr="007B1860">
        <w:rPr>
          <w:noProof/>
        </w:rPr>
        <w:t xml:space="preserve"> meeting of the Group on the Future of VAT </w:t>
      </w:r>
      <w:r w:rsidRPr="007B1860">
        <w:rPr>
          <w:noProof/>
        </w:rPr>
        <w:t xml:space="preserve">in </w:t>
      </w:r>
      <w:r w:rsidR="00A552F5" w:rsidRPr="007B1860">
        <w:rPr>
          <w:noProof/>
        </w:rPr>
        <w:t>December 2021,</w:t>
      </w:r>
      <w:r w:rsidRPr="007B1860">
        <w:rPr>
          <w:noProof/>
        </w:rPr>
        <w:t xml:space="preserve"> </w:t>
      </w:r>
      <w:r w:rsidR="00A552F5" w:rsidRPr="007B1860">
        <w:rPr>
          <w:noProof/>
        </w:rPr>
        <w:t>the SCAC</w:t>
      </w:r>
      <w:r w:rsidR="007F320D" w:rsidRPr="007B1860">
        <w:rPr>
          <w:rStyle w:val="FootnoteReference"/>
          <w:noProof/>
        </w:rPr>
        <w:footnoteReference w:id="9"/>
      </w:r>
      <w:r w:rsidR="00A552F5" w:rsidRPr="007B1860">
        <w:rPr>
          <w:noProof/>
        </w:rPr>
        <w:t xml:space="preserve"> Expert Group</w:t>
      </w:r>
      <w:r w:rsidRPr="007B1860">
        <w:rPr>
          <w:noProof/>
        </w:rPr>
        <w:t xml:space="preserve">, in </w:t>
      </w:r>
      <w:r w:rsidR="00A552F5" w:rsidRPr="007B1860">
        <w:rPr>
          <w:noProof/>
        </w:rPr>
        <w:t xml:space="preserve">May 2022, </w:t>
      </w:r>
      <w:r w:rsidR="008160C5" w:rsidRPr="007B1860">
        <w:rPr>
          <w:noProof/>
        </w:rPr>
        <w:t xml:space="preserve">mandated </w:t>
      </w:r>
      <w:r w:rsidRPr="007B1860">
        <w:rPr>
          <w:noProof/>
        </w:rPr>
        <w:t xml:space="preserve">the </w:t>
      </w:r>
      <w:r w:rsidR="00A552F5" w:rsidRPr="007B1860">
        <w:rPr>
          <w:noProof/>
        </w:rPr>
        <w:t>SCIT</w:t>
      </w:r>
      <w:r w:rsidR="007F320D" w:rsidRPr="007B1860">
        <w:rPr>
          <w:rStyle w:val="FootnoteReference"/>
          <w:noProof/>
        </w:rPr>
        <w:footnoteReference w:id="10"/>
      </w:r>
      <w:r w:rsidR="00A552F5" w:rsidRPr="007B1860">
        <w:rPr>
          <w:noProof/>
        </w:rPr>
        <w:t xml:space="preserve"> to study the feasibility and cost</w:t>
      </w:r>
      <w:r w:rsidR="008160C5" w:rsidRPr="007B1860">
        <w:rPr>
          <w:noProof/>
        </w:rPr>
        <w:t>s</w:t>
      </w:r>
      <w:r w:rsidR="00A552F5" w:rsidRPr="007B1860">
        <w:rPr>
          <w:noProof/>
        </w:rPr>
        <w:t xml:space="preserve"> of such a project as well as its implementation aspects.</w:t>
      </w:r>
      <w:r w:rsidRPr="007B1860">
        <w:rPr>
          <w:noProof/>
        </w:rPr>
        <w:t xml:space="preserve"> </w:t>
      </w:r>
      <w:r w:rsidR="0069499B">
        <w:rPr>
          <w:noProof/>
        </w:rPr>
        <w:t>D</w:t>
      </w:r>
      <w:r w:rsidR="0069499B" w:rsidRPr="007B1860">
        <w:rPr>
          <w:noProof/>
        </w:rPr>
        <w:t xml:space="preserve">uring </w:t>
      </w:r>
      <w:r w:rsidR="0069499B">
        <w:rPr>
          <w:noProof/>
        </w:rPr>
        <w:t>its</w:t>
      </w:r>
      <w:r w:rsidR="0069499B" w:rsidRPr="007B1860">
        <w:rPr>
          <w:noProof/>
        </w:rPr>
        <w:t xml:space="preserve"> 27</w:t>
      </w:r>
      <w:r w:rsidR="0069499B" w:rsidRPr="007B1860">
        <w:rPr>
          <w:noProof/>
          <w:vertAlign w:val="superscript"/>
        </w:rPr>
        <w:t>th</w:t>
      </w:r>
      <w:r w:rsidR="0069499B" w:rsidRPr="007B1860">
        <w:rPr>
          <w:noProof/>
        </w:rPr>
        <w:t> meeting in February 2023</w:t>
      </w:r>
      <w:r w:rsidR="0069499B" w:rsidRPr="007B1860">
        <w:rPr>
          <w:rStyle w:val="FootnoteReference"/>
          <w:noProof/>
        </w:rPr>
        <w:footnoteReference w:id="11"/>
      </w:r>
      <w:r w:rsidR="0069499B">
        <w:rPr>
          <w:noProof/>
        </w:rPr>
        <w:t>, t</w:t>
      </w:r>
      <w:r w:rsidR="00A552F5" w:rsidRPr="007B1860">
        <w:rPr>
          <w:noProof/>
        </w:rPr>
        <w:t xml:space="preserve">he </w:t>
      </w:r>
      <w:r w:rsidR="0069499B" w:rsidRPr="007B1860">
        <w:rPr>
          <w:noProof/>
        </w:rPr>
        <w:t xml:space="preserve">SCAC Expert Group </w:t>
      </w:r>
      <w:r w:rsidR="0069499B">
        <w:rPr>
          <w:noProof/>
        </w:rPr>
        <w:t xml:space="preserve">discussed the </w:t>
      </w:r>
      <w:r w:rsidR="00A552F5" w:rsidRPr="007B1860">
        <w:rPr>
          <w:noProof/>
        </w:rPr>
        <w:t xml:space="preserve">outcome of this </w:t>
      </w:r>
      <w:r w:rsidRPr="007B1860">
        <w:rPr>
          <w:noProof/>
        </w:rPr>
        <w:t xml:space="preserve">technical </w:t>
      </w:r>
      <w:r w:rsidR="00A552F5" w:rsidRPr="007B1860">
        <w:rPr>
          <w:noProof/>
        </w:rPr>
        <w:t>study</w:t>
      </w:r>
      <w:r w:rsidR="00A552F5" w:rsidRPr="007B1860">
        <w:rPr>
          <w:rStyle w:val="FootnoteReference"/>
          <w:noProof/>
        </w:rPr>
        <w:footnoteReference w:id="12"/>
      </w:r>
      <w:r w:rsidR="00A552F5" w:rsidRPr="007B1860">
        <w:rPr>
          <w:noProof/>
        </w:rPr>
        <w:t>.</w:t>
      </w:r>
    </w:p>
    <w:p w:rsidR="008924E8" w:rsidRPr="007B1860" w:rsidRDefault="008924E8" w:rsidP="00443D0D">
      <w:pPr>
        <w:spacing w:after="200"/>
        <w:rPr>
          <w:noProof/>
        </w:rPr>
      </w:pPr>
      <w:r w:rsidRPr="007B1860">
        <w:rPr>
          <w:noProof/>
        </w:rPr>
        <w:t>During the 43</w:t>
      </w:r>
      <w:r w:rsidRPr="007B1860">
        <w:rPr>
          <w:noProof/>
          <w:vertAlign w:val="superscript"/>
        </w:rPr>
        <w:t>rd</w:t>
      </w:r>
      <w:r w:rsidR="00F62DDC" w:rsidRPr="007B1860">
        <w:rPr>
          <w:noProof/>
        </w:rPr>
        <w:t> </w:t>
      </w:r>
      <w:r w:rsidRPr="007B1860">
        <w:rPr>
          <w:noProof/>
        </w:rPr>
        <w:t xml:space="preserve">meeting of the Group on the Future of VAT held in November </w:t>
      </w:r>
      <w:r w:rsidR="008160C5" w:rsidRPr="007B1860">
        <w:rPr>
          <w:noProof/>
        </w:rPr>
        <w:t>2023, consensus</w:t>
      </w:r>
      <w:r w:rsidRPr="007B1860">
        <w:rPr>
          <w:noProof/>
        </w:rPr>
        <w:t xml:space="preserve"> was reached on the principle of having a digital solution for the exemption certificate with preference for an option </w:t>
      </w:r>
      <w:r w:rsidR="008160C5" w:rsidRPr="007B1860">
        <w:rPr>
          <w:noProof/>
        </w:rPr>
        <w:t>involving a PDF e-form accompanied by a fully electronic process.</w:t>
      </w:r>
      <w:r w:rsidR="006B3C8B" w:rsidRPr="007B1860">
        <w:rPr>
          <w:noProof/>
        </w:rPr>
        <w:t xml:space="preserve"> </w:t>
      </w:r>
      <w:r w:rsidR="00CF4CD1" w:rsidRPr="00CF4CD1">
        <w:rPr>
          <w:noProof/>
        </w:rPr>
        <w:t>This technical solution has the advantage of building on standards already developed, as it is based on DG TAXUD technical stack and open source technologies, making it suitable for deployment in DG TAXUD data centres.</w:t>
      </w:r>
      <w:r w:rsidR="00CF4CD1">
        <w:rPr>
          <w:noProof/>
        </w:rPr>
        <w:t xml:space="preserve"> </w:t>
      </w:r>
      <w:r w:rsidR="008160C5" w:rsidRPr="007B1860">
        <w:rPr>
          <w:noProof/>
        </w:rPr>
        <w:t>Technical discussions with Member States will continue in SCAC and SCIT, including further analysis of technical details, which will also allow Member States to obtain the necessary elements for calculating their costs.</w:t>
      </w:r>
    </w:p>
    <w:p w:rsidR="00845DA2" w:rsidRPr="007B1860" w:rsidRDefault="00845DA2" w:rsidP="00845DA2">
      <w:pPr>
        <w:pBdr>
          <w:top w:val="nil"/>
          <w:left w:val="nil"/>
          <w:bottom w:val="nil"/>
          <w:right w:val="nil"/>
          <w:between w:val="nil"/>
          <w:bar w:val="nil"/>
        </w:pBdr>
        <w:spacing w:before="0" w:after="240"/>
        <w:rPr>
          <w:rFonts w:cs="Calibri"/>
          <w:noProof/>
          <w:color w:val="000000" w:themeColor="text1"/>
        </w:rPr>
      </w:pPr>
      <w:r w:rsidRPr="007B1860">
        <w:rPr>
          <w:rFonts w:cs="Calibri"/>
          <w:noProof/>
          <w:color w:val="000000" w:themeColor="text1"/>
        </w:rPr>
        <w:t>In view of the large number of IT projects currently facing them, Member States will be allowed to continue to use the paper version of the exemption certificate for a transitional period</w:t>
      </w:r>
      <w:r w:rsidR="007C2FDB" w:rsidRPr="007B1860">
        <w:rPr>
          <w:rFonts w:cs="Calibri"/>
          <w:noProof/>
          <w:color w:val="000000" w:themeColor="text1"/>
        </w:rPr>
        <w:t xml:space="preserve"> </w:t>
      </w:r>
      <w:r w:rsidR="00BC76EA" w:rsidRPr="007B1860">
        <w:rPr>
          <w:rFonts w:cs="Calibri"/>
          <w:noProof/>
          <w:color w:val="000000" w:themeColor="text1"/>
        </w:rPr>
        <w:t>until</w:t>
      </w:r>
      <w:r w:rsidR="007C2FDB" w:rsidRPr="007B1860">
        <w:rPr>
          <w:rFonts w:cs="Calibri"/>
          <w:noProof/>
          <w:color w:val="000000" w:themeColor="text1"/>
        </w:rPr>
        <w:t xml:space="preserve"> 3</w:t>
      </w:r>
      <w:r w:rsidR="00A304ED">
        <w:rPr>
          <w:rFonts w:cs="Calibri"/>
          <w:noProof/>
          <w:color w:val="000000" w:themeColor="text1"/>
        </w:rPr>
        <w:t>0 June 2030</w:t>
      </w:r>
      <w:r w:rsidRPr="007B1860">
        <w:rPr>
          <w:rFonts w:cs="Calibri"/>
          <w:noProof/>
          <w:color w:val="000000" w:themeColor="text1"/>
        </w:rPr>
        <w:t>.</w:t>
      </w:r>
      <w:r w:rsidR="009006DB" w:rsidRPr="007B1860">
        <w:rPr>
          <w:rFonts w:cs="Calibri"/>
          <w:noProof/>
          <w:color w:val="000000" w:themeColor="text1"/>
        </w:rPr>
        <w:t xml:space="preserve"> In order to make it as easy as possible for Member States to switch to the electronic procedure, this option should be flexible and available on a transaction-by-transaction basis.</w:t>
      </w:r>
    </w:p>
    <w:p w:rsidR="00D0372F" w:rsidRPr="007B1860" w:rsidRDefault="00D0372F" w:rsidP="00EB30AF">
      <w:pPr>
        <w:pBdr>
          <w:top w:val="nil"/>
          <w:left w:val="nil"/>
          <w:bottom w:val="nil"/>
          <w:right w:val="nil"/>
          <w:between w:val="nil"/>
          <w:bar w:val="nil"/>
        </w:pBdr>
        <w:spacing w:before="0" w:after="240"/>
        <w:rPr>
          <w:rFonts w:cs="Calibri"/>
          <w:noProof/>
          <w:color w:val="000000" w:themeColor="text1"/>
        </w:rPr>
      </w:pPr>
      <w:r w:rsidRPr="007B1860">
        <w:rPr>
          <w:rFonts w:cs="Calibri"/>
          <w:noProof/>
          <w:color w:val="000000" w:themeColor="text1"/>
        </w:rPr>
        <w:t>In the interests of legal certainty and administrative simplification</w:t>
      </w:r>
      <w:r w:rsidR="006A7DCC">
        <w:rPr>
          <w:rFonts w:cs="Calibri"/>
          <w:noProof/>
          <w:color w:val="000000" w:themeColor="text1"/>
        </w:rPr>
        <w:t>, and to avoid additional IT implementation costs</w:t>
      </w:r>
      <w:r w:rsidRPr="007B1860">
        <w:rPr>
          <w:rFonts w:cs="Calibri"/>
          <w:noProof/>
          <w:color w:val="000000" w:themeColor="text1"/>
        </w:rPr>
        <w:t xml:space="preserve">, no distinction </w:t>
      </w:r>
      <w:r w:rsidR="00EB30AF">
        <w:rPr>
          <w:rFonts w:cs="Calibri"/>
          <w:noProof/>
          <w:color w:val="000000" w:themeColor="text1"/>
        </w:rPr>
        <w:t>will be</w:t>
      </w:r>
      <w:r w:rsidRPr="007B1860">
        <w:rPr>
          <w:rFonts w:cs="Calibri"/>
          <w:noProof/>
          <w:color w:val="000000" w:themeColor="text1"/>
        </w:rPr>
        <w:t xml:space="preserve"> made between domestic and cross-border transactions when applying the electronic exemption certificate.</w:t>
      </w:r>
      <w:r w:rsidR="00EB30AF">
        <w:rPr>
          <w:rFonts w:cs="Calibri"/>
          <w:noProof/>
          <w:color w:val="000000" w:themeColor="text1"/>
        </w:rPr>
        <w:t xml:space="preserve"> The electronic exemption certificate will also be applied if </w:t>
      </w:r>
      <w:r w:rsidR="00EB30AF" w:rsidRPr="00EB30AF">
        <w:rPr>
          <w:rFonts w:cs="Calibri"/>
          <w:noProof/>
          <w:color w:val="000000" w:themeColor="text1"/>
        </w:rPr>
        <w:t xml:space="preserve">the exemption </w:t>
      </w:r>
      <w:r w:rsidR="00EB30AF">
        <w:rPr>
          <w:rFonts w:cs="Calibri"/>
          <w:noProof/>
          <w:color w:val="000000" w:themeColor="text1"/>
        </w:rPr>
        <w:t xml:space="preserve">is </w:t>
      </w:r>
      <w:r w:rsidR="00EB30AF" w:rsidRPr="00EB30AF">
        <w:rPr>
          <w:rFonts w:cs="Calibri"/>
          <w:noProof/>
          <w:color w:val="000000" w:themeColor="text1"/>
        </w:rPr>
        <w:t>granted by means of a refund of the</w:t>
      </w:r>
      <w:r w:rsidR="00EB30AF">
        <w:rPr>
          <w:rFonts w:cs="Calibri"/>
          <w:noProof/>
          <w:color w:val="000000" w:themeColor="text1"/>
        </w:rPr>
        <w:t xml:space="preserve"> </w:t>
      </w:r>
      <w:r w:rsidR="00EB30AF" w:rsidRPr="00EB30AF">
        <w:rPr>
          <w:rFonts w:cs="Calibri"/>
          <w:noProof/>
          <w:color w:val="000000" w:themeColor="text1"/>
        </w:rPr>
        <w:t>VAT</w:t>
      </w:r>
      <w:r w:rsidR="00EB30AF">
        <w:rPr>
          <w:rFonts w:cs="Calibri"/>
          <w:noProof/>
          <w:color w:val="000000" w:themeColor="text1"/>
        </w:rPr>
        <w:t xml:space="preserve"> in accordance with Article</w:t>
      </w:r>
      <w:r w:rsidR="00523D87">
        <w:rPr>
          <w:noProof/>
        </w:rPr>
        <w:t> </w:t>
      </w:r>
      <w:r w:rsidR="00EB30AF">
        <w:rPr>
          <w:rFonts w:cs="Calibri"/>
          <w:noProof/>
          <w:color w:val="000000" w:themeColor="text1"/>
        </w:rPr>
        <w:t>151(2) of the VAT Directive</w:t>
      </w:r>
      <w:r w:rsidR="00EB30AF" w:rsidRPr="00EB30AF">
        <w:rPr>
          <w:rFonts w:cs="Calibri"/>
          <w:noProof/>
          <w:color w:val="000000" w:themeColor="text1"/>
        </w:rPr>
        <w:t>.</w:t>
      </w:r>
    </w:p>
    <w:p w:rsidR="005D2008" w:rsidRDefault="00BC76EA" w:rsidP="00845DA2">
      <w:pPr>
        <w:pBdr>
          <w:top w:val="nil"/>
          <w:left w:val="nil"/>
          <w:bottom w:val="nil"/>
          <w:right w:val="nil"/>
          <w:between w:val="nil"/>
          <w:bar w:val="nil"/>
        </w:pBdr>
        <w:spacing w:before="0" w:after="240"/>
        <w:rPr>
          <w:rFonts w:cs="Calibri"/>
          <w:noProof/>
          <w:color w:val="000000" w:themeColor="text1"/>
        </w:rPr>
      </w:pPr>
      <w:r w:rsidRPr="007B1860">
        <w:rPr>
          <w:rFonts w:cs="Calibri"/>
          <w:noProof/>
          <w:color w:val="000000" w:themeColor="text1"/>
        </w:rPr>
        <w:t>In addition</w:t>
      </w:r>
      <w:r w:rsidR="005D2008" w:rsidRPr="007B1860">
        <w:rPr>
          <w:rFonts w:cs="Calibri"/>
          <w:noProof/>
          <w:color w:val="000000" w:themeColor="text1"/>
        </w:rPr>
        <w:t>, this proposal adds a new provision clarifying that, in cases where the conditions for exemption are not met or cease to apply, the eligible body or i</w:t>
      </w:r>
      <w:r w:rsidR="009C23A1">
        <w:rPr>
          <w:rFonts w:cs="Calibri"/>
          <w:noProof/>
          <w:color w:val="000000" w:themeColor="text1"/>
        </w:rPr>
        <w:t>n</w:t>
      </w:r>
      <w:r w:rsidR="005D2008" w:rsidRPr="007B1860">
        <w:rPr>
          <w:rFonts w:cs="Calibri"/>
          <w:noProof/>
          <w:color w:val="000000" w:themeColor="text1"/>
        </w:rPr>
        <w:t>dividual who issued the certificate is liable to pay any VAT due.</w:t>
      </w:r>
      <w:r w:rsidR="00D2286A" w:rsidRPr="007B1860">
        <w:rPr>
          <w:rFonts w:cs="Calibri"/>
          <w:noProof/>
          <w:color w:val="000000" w:themeColor="text1"/>
        </w:rPr>
        <w:t xml:space="preserve"> </w:t>
      </w:r>
      <w:r w:rsidR="005C47B5" w:rsidRPr="007B1860">
        <w:rPr>
          <w:rFonts w:cs="Calibri"/>
          <w:noProof/>
          <w:color w:val="000000" w:themeColor="text1"/>
        </w:rPr>
        <w:t>In such cases, the taxable person would be unduly disadvantaged by a claim for additional payment of VAT, as only the eligible body or individual would normally have knowledge of the relevant information on the fulfilment of the conditions for the exemption.</w:t>
      </w:r>
      <w:r w:rsidR="00226B22" w:rsidRPr="007B1860">
        <w:rPr>
          <w:rFonts w:cs="Calibri"/>
          <w:noProof/>
          <w:color w:val="000000" w:themeColor="text1"/>
        </w:rPr>
        <w:t xml:space="preserve"> Such clarification is also necessary to avoid legal uncertainty.</w:t>
      </w:r>
      <w:r w:rsidR="00FD1D63" w:rsidRPr="007B1860">
        <w:rPr>
          <w:rFonts w:cs="Calibri"/>
          <w:noProof/>
          <w:color w:val="000000" w:themeColor="text1"/>
        </w:rPr>
        <w:t xml:space="preserve"> </w:t>
      </w:r>
      <w:r w:rsidR="00694EB2" w:rsidRPr="007B1860">
        <w:rPr>
          <w:rFonts w:cs="Calibri"/>
          <w:noProof/>
          <w:color w:val="000000" w:themeColor="text1"/>
        </w:rPr>
        <w:t>In order to avoid unnecessary burdens in these exceptional cases, Member States may take the necessary measures to allow eligible bodies or individuals to pay the VAT due without the need for full VAT registration.</w:t>
      </w:r>
    </w:p>
    <w:p w:rsidR="00B6010A" w:rsidRPr="007B1860" w:rsidRDefault="00964265" w:rsidP="00B6010A">
      <w:pPr>
        <w:pBdr>
          <w:top w:val="nil"/>
          <w:left w:val="nil"/>
          <w:bottom w:val="nil"/>
          <w:right w:val="nil"/>
          <w:between w:val="nil"/>
          <w:bar w:val="nil"/>
        </w:pBdr>
        <w:spacing w:before="0" w:after="240"/>
        <w:rPr>
          <w:rFonts w:cs="Calibri"/>
          <w:noProof/>
          <w:color w:val="000000" w:themeColor="text1"/>
        </w:rPr>
      </w:pPr>
      <w:r>
        <w:rPr>
          <w:rFonts w:cs="Calibri"/>
          <w:noProof/>
          <w:color w:val="000000" w:themeColor="text1"/>
        </w:rPr>
        <w:t>The auto-validation clause provided for in Article</w:t>
      </w:r>
      <w:r w:rsidR="00523D87">
        <w:rPr>
          <w:noProof/>
        </w:rPr>
        <w:t> </w:t>
      </w:r>
      <w:r>
        <w:rPr>
          <w:rFonts w:cs="Calibri"/>
          <w:noProof/>
          <w:color w:val="000000" w:themeColor="text1"/>
        </w:rPr>
        <w:t xml:space="preserve">51(2) of </w:t>
      </w:r>
      <w:r w:rsidRPr="00964265">
        <w:rPr>
          <w:rFonts w:cs="Calibri"/>
          <w:noProof/>
          <w:color w:val="000000" w:themeColor="text1"/>
        </w:rPr>
        <w:t xml:space="preserve">the VAT Implementing Regulation </w:t>
      </w:r>
      <w:r>
        <w:rPr>
          <w:rFonts w:cs="Calibri"/>
          <w:noProof/>
          <w:color w:val="000000" w:themeColor="text1"/>
        </w:rPr>
        <w:t xml:space="preserve">will be maintained for the </w:t>
      </w:r>
      <w:r w:rsidR="00122611">
        <w:rPr>
          <w:rFonts w:cs="Calibri"/>
          <w:noProof/>
          <w:color w:val="000000" w:themeColor="text1"/>
        </w:rPr>
        <w:t xml:space="preserve">new </w:t>
      </w:r>
      <w:r>
        <w:rPr>
          <w:rFonts w:cs="Calibri"/>
          <w:noProof/>
          <w:color w:val="000000" w:themeColor="text1"/>
        </w:rPr>
        <w:t>electronic procedure</w:t>
      </w:r>
      <w:r w:rsidR="00122611">
        <w:rPr>
          <w:rFonts w:cs="Calibri"/>
          <w:noProof/>
          <w:color w:val="000000" w:themeColor="text1"/>
        </w:rPr>
        <w:t xml:space="preserve">. Consequently, </w:t>
      </w:r>
      <w:r w:rsidR="00B6010A" w:rsidRPr="00B6010A">
        <w:rPr>
          <w:rFonts w:cs="Calibri"/>
          <w:noProof/>
          <w:color w:val="000000" w:themeColor="text1"/>
        </w:rPr>
        <w:t xml:space="preserve">if the goods or services are intended for official use, </w:t>
      </w:r>
      <w:r w:rsidRPr="00964265">
        <w:rPr>
          <w:rFonts w:cs="Calibri"/>
          <w:noProof/>
          <w:color w:val="000000" w:themeColor="text1"/>
        </w:rPr>
        <w:t xml:space="preserve">Member States may dispense the eligible body or individual from the requirement to have the </w:t>
      </w:r>
      <w:r>
        <w:rPr>
          <w:rFonts w:cs="Calibri"/>
          <w:noProof/>
          <w:color w:val="000000" w:themeColor="text1"/>
        </w:rPr>
        <w:t xml:space="preserve">exemption </w:t>
      </w:r>
      <w:r w:rsidRPr="00964265">
        <w:rPr>
          <w:rFonts w:cs="Calibri"/>
          <w:noProof/>
          <w:color w:val="000000" w:themeColor="text1"/>
        </w:rPr>
        <w:t xml:space="preserve">certificate signed </w:t>
      </w:r>
      <w:r w:rsidR="00122611">
        <w:rPr>
          <w:rFonts w:cs="Calibri"/>
          <w:noProof/>
          <w:color w:val="000000" w:themeColor="text1"/>
        </w:rPr>
        <w:t xml:space="preserve">electronically </w:t>
      </w:r>
      <w:r w:rsidRPr="00964265">
        <w:rPr>
          <w:rFonts w:cs="Calibri"/>
          <w:noProof/>
          <w:color w:val="000000" w:themeColor="text1"/>
        </w:rPr>
        <w:t>by the host Member State under the conditions they may lay down. This dispensation may be withdrawn in the case of abuse.</w:t>
      </w:r>
    </w:p>
    <w:p w:rsidR="00506F04" w:rsidRPr="007B1860" w:rsidRDefault="00BC76EA" w:rsidP="00845DA2">
      <w:pPr>
        <w:pBdr>
          <w:top w:val="nil"/>
          <w:left w:val="nil"/>
          <w:bottom w:val="nil"/>
          <w:right w:val="nil"/>
          <w:between w:val="nil"/>
          <w:bar w:val="nil"/>
        </w:pBdr>
        <w:spacing w:before="0" w:after="240"/>
        <w:rPr>
          <w:rFonts w:cs="Calibri"/>
          <w:noProof/>
          <w:color w:val="000000" w:themeColor="text1"/>
        </w:rPr>
      </w:pPr>
      <w:r w:rsidRPr="007B1860">
        <w:rPr>
          <w:rFonts w:cs="Calibri"/>
          <w:noProof/>
          <w:color w:val="000000" w:themeColor="text1"/>
        </w:rPr>
        <w:t>Member States will have to apply the new rules from 1</w:t>
      </w:r>
      <w:r w:rsidR="00D70D1A" w:rsidRPr="007B1860">
        <w:rPr>
          <w:noProof/>
        </w:rPr>
        <w:t> </w:t>
      </w:r>
      <w:r w:rsidR="00082B50">
        <w:rPr>
          <w:noProof/>
        </w:rPr>
        <w:t>July</w:t>
      </w:r>
      <w:r w:rsidRPr="007B1860">
        <w:rPr>
          <w:rFonts w:cs="Calibri"/>
          <w:noProof/>
          <w:color w:val="000000" w:themeColor="text1"/>
        </w:rPr>
        <w:t xml:space="preserve"> 2026, which will give them sufficient time to implement the new electronic VAT exemption certificate and procedure</w:t>
      </w:r>
      <w:r w:rsidR="00506F04" w:rsidRPr="007B1860">
        <w:rPr>
          <w:rFonts w:cs="Calibri"/>
          <w:noProof/>
          <w:color w:val="000000" w:themeColor="text1"/>
        </w:rPr>
        <w:t>.</w:t>
      </w:r>
    </w:p>
    <w:p w:rsidR="00573032" w:rsidRPr="007B1860" w:rsidRDefault="00C43172">
      <w:pPr>
        <w:pStyle w:val="ManualHeading2"/>
        <w:rPr>
          <w:rFonts w:eastAsia="Arial Unicode MS"/>
          <w:noProof/>
          <w:color w:val="000000"/>
          <w:u w:color="000000"/>
          <w:bdr w:val="nil"/>
          <w:lang w:eastAsia="en-GB"/>
        </w:rPr>
      </w:pPr>
      <w:r w:rsidRPr="007B1860">
        <w:rPr>
          <w:rFonts w:eastAsia="Arial Unicode MS"/>
          <w:noProof/>
          <w:color w:val="000000"/>
          <w:u w:color="000000"/>
          <w:bdr w:val="nil"/>
          <w:lang w:eastAsia="en-GB"/>
        </w:rPr>
        <w:t>•</w:t>
      </w:r>
      <w:r w:rsidRPr="007B1860">
        <w:rPr>
          <w:rFonts w:eastAsia="Arial Unicode MS"/>
          <w:noProof/>
          <w:color w:val="000000"/>
          <w:u w:color="000000"/>
          <w:bdr w:val="nil"/>
          <w:lang w:eastAsia="en-GB"/>
        </w:rPr>
        <w:tab/>
      </w:r>
      <w:r w:rsidRPr="007B1860">
        <w:rPr>
          <w:rFonts w:eastAsia="Arial Unicode MS"/>
          <w:noProof/>
        </w:rPr>
        <w:t>Consistency with existing policy provisions in the policy area</w:t>
      </w:r>
    </w:p>
    <w:p w:rsidR="00946B52" w:rsidRPr="007B1860" w:rsidRDefault="005C3F41" w:rsidP="006D0B10">
      <w:pPr>
        <w:pStyle w:val="Text1"/>
        <w:ind w:left="0"/>
        <w:rPr>
          <w:noProof/>
        </w:rPr>
      </w:pPr>
      <w:r w:rsidRPr="007B1860">
        <w:rPr>
          <w:noProof/>
        </w:rPr>
        <w:t>The proposal allows for the electronic conversion of the exemption certificate as the next step following its adaptation in 2022</w:t>
      </w:r>
      <w:r w:rsidRPr="007B1860">
        <w:rPr>
          <w:rStyle w:val="FootnoteReference"/>
          <w:noProof/>
        </w:rPr>
        <w:footnoteReference w:id="13"/>
      </w:r>
      <w:r w:rsidRPr="007B1860">
        <w:rPr>
          <w:noProof/>
        </w:rPr>
        <w:t xml:space="preserve">, which reflects the extended scope of the exemptions under </w:t>
      </w:r>
      <w:r w:rsidR="00B129D2" w:rsidRPr="007B1860">
        <w:rPr>
          <w:noProof/>
        </w:rPr>
        <w:t>Article </w:t>
      </w:r>
      <w:r w:rsidRPr="007B1860">
        <w:rPr>
          <w:noProof/>
        </w:rPr>
        <w:t xml:space="preserve">151(1) of the VAT Directive, </w:t>
      </w:r>
      <w:r w:rsidR="00D70D1A" w:rsidRPr="007B1860">
        <w:rPr>
          <w:noProof/>
        </w:rPr>
        <w:t xml:space="preserve">to encompass </w:t>
      </w:r>
      <w:r w:rsidRPr="007B1860">
        <w:rPr>
          <w:noProof/>
        </w:rPr>
        <w:t>Union activities under the Common Security and Defence Policy (CSDP)</w:t>
      </w:r>
      <w:r w:rsidRPr="007B1860">
        <w:rPr>
          <w:rStyle w:val="FootnoteReference"/>
          <w:noProof/>
        </w:rPr>
        <w:footnoteReference w:id="14"/>
      </w:r>
      <w:r w:rsidRPr="007B1860">
        <w:rPr>
          <w:noProof/>
        </w:rPr>
        <w:t xml:space="preserve"> and Union measures in response to the COVID-19 pandemic</w:t>
      </w:r>
      <w:r w:rsidRPr="007B1860">
        <w:rPr>
          <w:rStyle w:val="FootnoteReference"/>
          <w:noProof/>
        </w:rPr>
        <w:footnoteReference w:id="15"/>
      </w:r>
      <w:r w:rsidRPr="007B1860">
        <w:rPr>
          <w:noProof/>
        </w:rPr>
        <w:t>.</w:t>
      </w:r>
    </w:p>
    <w:p w:rsidR="00573032" w:rsidRPr="007B1860" w:rsidRDefault="00C43172">
      <w:pPr>
        <w:pStyle w:val="ManualHeading2"/>
        <w:rPr>
          <w:rFonts w:eastAsia="Arial Unicode MS"/>
          <w:noProof/>
        </w:rPr>
      </w:pPr>
      <w:r w:rsidRPr="007B1860">
        <w:rPr>
          <w:rFonts w:eastAsia="Arial Unicode MS"/>
          <w:noProof/>
          <w:color w:val="000000"/>
          <w:u w:color="000000"/>
          <w:bdr w:val="nil"/>
          <w:lang w:eastAsia="en-GB"/>
        </w:rPr>
        <w:t>•</w:t>
      </w:r>
      <w:r w:rsidRPr="007B1860">
        <w:rPr>
          <w:rFonts w:eastAsia="Arial Unicode MS"/>
          <w:noProof/>
          <w:color w:val="000000"/>
          <w:u w:color="000000"/>
          <w:bdr w:val="nil"/>
          <w:lang w:eastAsia="en-GB"/>
        </w:rPr>
        <w:tab/>
      </w:r>
      <w:r w:rsidRPr="007B1860">
        <w:rPr>
          <w:rFonts w:eastAsia="Arial Unicode MS"/>
          <w:noProof/>
        </w:rPr>
        <w:t>Consistency with other Union policies</w:t>
      </w:r>
    </w:p>
    <w:p w:rsidR="00573032" w:rsidRPr="007B1860" w:rsidRDefault="005B77FF" w:rsidP="005B77FF">
      <w:pPr>
        <w:pBdr>
          <w:top w:val="nil"/>
          <w:left w:val="nil"/>
          <w:bottom w:val="nil"/>
          <w:right w:val="nil"/>
          <w:between w:val="nil"/>
          <w:bar w:val="nil"/>
        </w:pBdr>
        <w:spacing w:before="0" w:after="240"/>
        <w:rPr>
          <w:noProof/>
        </w:rPr>
      </w:pPr>
      <w:r w:rsidRPr="007B1860">
        <w:rPr>
          <w:noProof/>
        </w:rPr>
        <w:t>The introduction of the electronic VAT exemption certificate is in line with the initiatives taken as part of the EU's digitalisation policy such as the Berlin Declaration on the Digital Society and Value-based Digital Government</w:t>
      </w:r>
      <w:r w:rsidRPr="007B1860">
        <w:rPr>
          <w:rStyle w:val="FootnoteReference"/>
          <w:noProof/>
        </w:rPr>
        <w:footnoteReference w:id="16"/>
      </w:r>
      <w:r w:rsidRPr="007B1860">
        <w:rPr>
          <w:noProof/>
        </w:rPr>
        <w:t>, and will help Member States to equip their tax administrations to comply with the requirements for the use of advanced electronic signatures laid down in EU legislation</w:t>
      </w:r>
      <w:r w:rsidRPr="007B1860">
        <w:rPr>
          <w:rStyle w:val="FootnoteReference"/>
          <w:rFonts w:eastAsia="Arial Unicode MS"/>
          <w:noProof/>
        </w:rPr>
        <w:footnoteReference w:id="17"/>
      </w:r>
      <w:r w:rsidRPr="007B1860">
        <w:rPr>
          <w:noProof/>
        </w:rPr>
        <w:t>.</w:t>
      </w:r>
    </w:p>
    <w:p w:rsidR="00573032" w:rsidRPr="007B1860" w:rsidRDefault="00C43172">
      <w:pPr>
        <w:pStyle w:val="ManualHeading1"/>
        <w:rPr>
          <w:noProof/>
        </w:rPr>
      </w:pPr>
      <w:r w:rsidRPr="007B1860">
        <w:rPr>
          <w:noProof/>
        </w:rPr>
        <w:t>2.</w:t>
      </w:r>
      <w:r w:rsidRPr="007B1860">
        <w:rPr>
          <w:noProof/>
        </w:rPr>
        <w:tab/>
        <w:t>LEGAL BASIS, SUBSIDIARITY AND PROPORTIONALITY</w:t>
      </w:r>
    </w:p>
    <w:p w:rsidR="00573032" w:rsidRPr="007B1860" w:rsidRDefault="00C43172">
      <w:pPr>
        <w:pStyle w:val="ManualHeading2"/>
        <w:rPr>
          <w:rFonts w:eastAsia="Arial Unicode MS"/>
          <w:noProof/>
          <w:u w:color="000000"/>
          <w:bdr w:val="nil"/>
          <w:lang w:eastAsia="en-GB"/>
        </w:rPr>
      </w:pPr>
      <w:r w:rsidRPr="007B1860">
        <w:rPr>
          <w:rFonts w:eastAsia="Arial Unicode MS"/>
          <w:noProof/>
          <w:u w:color="000000"/>
          <w:bdr w:val="nil"/>
          <w:lang w:eastAsia="en-GB"/>
        </w:rPr>
        <w:t>•</w:t>
      </w:r>
      <w:r w:rsidRPr="007B1860">
        <w:rPr>
          <w:rFonts w:eastAsia="Arial Unicode MS"/>
          <w:noProof/>
          <w:u w:color="000000"/>
          <w:bdr w:val="nil"/>
          <w:lang w:eastAsia="en-GB"/>
        </w:rPr>
        <w:tab/>
        <w:t>Legal basis</w:t>
      </w:r>
    </w:p>
    <w:p w:rsidR="00573032" w:rsidRPr="007B1860" w:rsidRDefault="00C43172">
      <w:pPr>
        <w:pBdr>
          <w:top w:val="nil"/>
          <w:left w:val="nil"/>
          <w:bottom w:val="nil"/>
          <w:right w:val="nil"/>
          <w:between w:val="nil"/>
          <w:bar w:val="nil"/>
        </w:pBdr>
        <w:spacing w:before="0" w:after="240"/>
        <w:rPr>
          <w:rFonts w:eastAsia="Arial Unicode MS"/>
          <w:noProof/>
        </w:rPr>
      </w:pPr>
      <w:r w:rsidRPr="007B1860">
        <w:rPr>
          <w:rFonts w:eastAsia="Arial Unicode MS"/>
          <w:noProof/>
          <w:color w:val="000000" w:themeColor="text1"/>
        </w:rPr>
        <w:t>The legal basis of the proposal is Article</w:t>
      </w:r>
      <w:r w:rsidRPr="007B1860">
        <w:rPr>
          <w:noProof/>
        </w:rPr>
        <w:t> </w:t>
      </w:r>
      <w:r w:rsidRPr="007B1860">
        <w:rPr>
          <w:rFonts w:eastAsia="Arial Unicode MS"/>
          <w:noProof/>
          <w:color w:val="000000" w:themeColor="text1"/>
        </w:rPr>
        <w:t>113 of the Treaty on the Functioning of the EU. This Article provides for the Council, acting unanimously in accordance with a special legislative procedure and after consulting the European Parliament and the Economic and Social Committee, to adopt provisions for the harmonisation of Member States’ rules in the area of indirect taxation.</w:t>
      </w:r>
    </w:p>
    <w:p w:rsidR="00573032" w:rsidRPr="007B1860" w:rsidRDefault="00C43172">
      <w:pPr>
        <w:pStyle w:val="ManualHeading2"/>
        <w:rPr>
          <w:rFonts w:eastAsia="Arial Unicode MS"/>
          <w:noProof/>
          <w:u w:color="000000"/>
          <w:bdr w:val="nil"/>
          <w:lang w:eastAsia="en-GB"/>
        </w:rPr>
      </w:pPr>
      <w:r w:rsidRPr="007B1860">
        <w:rPr>
          <w:rFonts w:eastAsia="Arial Unicode MS"/>
          <w:noProof/>
          <w:u w:color="000000"/>
          <w:bdr w:val="nil"/>
          <w:lang w:eastAsia="en-GB"/>
        </w:rPr>
        <w:t>•</w:t>
      </w:r>
      <w:r w:rsidRPr="007B1860">
        <w:rPr>
          <w:rFonts w:eastAsia="Arial Unicode MS"/>
          <w:noProof/>
          <w:u w:color="000000"/>
          <w:bdr w:val="nil"/>
          <w:lang w:eastAsia="en-GB"/>
        </w:rPr>
        <w:tab/>
        <w:t xml:space="preserve">Subsidiarity (for non-exclusive competence) </w:t>
      </w:r>
    </w:p>
    <w:p w:rsidR="00573032" w:rsidRPr="007B1860" w:rsidRDefault="00C43172">
      <w:pPr>
        <w:pBdr>
          <w:top w:val="nil"/>
          <w:left w:val="nil"/>
          <w:bottom w:val="nil"/>
          <w:right w:val="nil"/>
          <w:between w:val="nil"/>
          <w:bar w:val="nil"/>
        </w:pBdr>
        <w:spacing w:before="0" w:after="240"/>
        <w:rPr>
          <w:rFonts w:eastAsia="Arial Unicode MS"/>
          <w:noProof/>
        </w:rPr>
      </w:pPr>
      <w:r w:rsidRPr="007B1860">
        <w:rPr>
          <w:rFonts w:eastAsia="Arial Unicode MS"/>
          <w:noProof/>
          <w:color w:val="000000" w:themeColor="text1"/>
        </w:rPr>
        <w:t>According to the principle of subsidiarity, as set out in Article</w:t>
      </w:r>
      <w:r w:rsidRPr="007B1860">
        <w:rPr>
          <w:noProof/>
        </w:rPr>
        <w:t> </w:t>
      </w:r>
      <w:r w:rsidRPr="007B1860">
        <w:rPr>
          <w:rFonts w:eastAsia="Arial Unicode MS"/>
          <w:noProof/>
          <w:color w:val="000000" w:themeColor="text1"/>
        </w:rPr>
        <w:t xml:space="preserve">5(3) of the Treaty on European Union, action at Union level may only be taken if the envisaged aims cannot be achieved sufficiently by the Member States alone and can therefore, by reason of the scale or effects of the proposed actions, be better achieved by the EU. The current VAT Directive prevents Member States from </w:t>
      </w:r>
      <w:r w:rsidR="006D4AC2" w:rsidRPr="007B1860">
        <w:rPr>
          <w:rFonts w:eastAsia="Arial Unicode MS"/>
          <w:noProof/>
          <w:color w:val="000000" w:themeColor="text1"/>
        </w:rPr>
        <w:t>introducing</w:t>
      </w:r>
      <w:r w:rsidR="00844BDB" w:rsidRPr="007B1860">
        <w:rPr>
          <w:rFonts w:eastAsia="Arial Unicode MS"/>
          <w:noProof/>
          <w:color w:val="000000" w:themeColor="text1"/>
        </w:rPr>
        <w:t xml:space="preserve"> and </w:t>
      </w:r>
      <w:r w:rsidRPr="007B1860">
        <w:rPr>
          <w:rFonts w:eastAsia="Arial Unicode MS"/>
          <w:noProof/>
          <w:color w:val="000000" w:themeColor="text1"/>
        </w:rPr>
        <w:t>applying a</w:t>
      </w:r>
      <w:r w:rsidR="00844BDB" w:rsidRPr="007B1860">
        <w:rPr>
          <w:rFonts w:eastAsia="Arial Unicode MS"/>
          <w:noProof/>
          <w:color w:val="000000" w:themeColor="text1"/>
        </w:rPr>
        <w:t>n electronic VAT exemption certificate</w:t>
      </w:r>
      <w:r w:rsidRPr="007B1860">
        <w:rPr>
          <w:rFonts w:eastAsia="Arial Unicode MS"/>
          <w:noProof/>
          <w:color w:val="000000" w:themeColor="text1"/>
        </w:rPr>
        <w:t>.</w:t>
      </w:r>
    </w:p>
    <w:p w:rsidR="00573032" w:rsidRPr="007B1860" w:rsidRDefault="00C43172">
      <w:pPr>
        <w:pStyle w:val="ManualHeading2"/>
        <w:rPr>
          <w:rFonts w:eastAsia="Arial Unicode MS"/>
          <w:noProof/>
          <w:u w:color="000000"/>
          <w:bdr w:val="nil"/>
          <w:lang w:eastAsia="en-GB"/>
        </w:rPr>
      </w:pPr>
      <w:r w:rsidRPr="007B1860">
        <w:rPr>
          <w:rFonts w:eastAsia="Arial Unicode MS"/>
          <w:noProof/>
          <w:u w:color="000000"/>
          <w:bdr w:val="nil"/>
          <w:lang w:eastAsia="en-GB"/>
        </w:rPr>
        <w:t>•</w:t>
      </w:r>
      <w:r w:rsidRPr="007B1860">
        <w:rPr>
          <w:rFonts w:eastAsia="Arial Unicode MS"/>
          <w:noProof/>
          <w:u w:color="000000"/>
          <w:bdr w:val="nil"/>
          <w:lang w:eastAsia="en-GB"/>
        </w:rPr>
        <w:tab/>
        <w:t>Proportionality</w:t>
      </w:r>
    </w:p>
    <w:p w:rsidR="00573032" w:rsidRPr="007B1860" w:rsidRDefault="006D4AC2" w:rsidP="00844BDB">
      <w:pPr>
        <w:pBdr>
          <w:top w:val="nil"/>
          <w:left w:val="nil"/>
          <w:bottom w:val="nil"/>
          <w:right w:val="nil"/>
          <w:between w:val="nil"/>
          <w:bar w:val="nil"/>
        </w:pBdr>
        <w:spacing w:before="0" w:after="240"/>
        <w:rPr>
          <w:rFonts w:eastAsia="Arial Unicode MS"/>
          <w:noProof/>
        </w:rPr>
      </w:pPr>
      <w:r w:rsidRPr="007B1860">
        <w:rPr>
          <w:rFonts w:eastAsia="Arial Unicode MS"/>
          <w:noProof/>
          <w:color w:val="000000" w:themeColor="text1"/>
        </w:rPr>
        <w:t xml:space="preserve">The proposal complies with the proportionality principle as it does not go beyond what is necessary and is proportionate to the objective pursued. The initiative introduces an electronic exemption certificate confirming that a transaction qualifies for a specific exemption under the first subparagraph of </w:t>
      </w:r>
      <w:r w:rsidR="00B129D2" w:rsidRPr="007B1860">
        <w:rPr>
          <w:rFonts w:eastAsia="Arial Unicode MS"/>
          <w:noProof/>
          <w:color w:val="000000" w:themeColor="text1"/>
        </w:rPr>
        <w:t>Article </w:t>
      </w:r>
      <w:r w:rsidRPr="007B1860">
        <w:rPr>
          <w:rFonts w:eastAsia="Arial Unicode MS"/>
          <w:noProof/>
          <w:color w:val="000000" w:themeColor="text1"/>
        </w:rPr>
        <w:t xml:space="preserve">151(1) of the VAT Directive. Given the increased administrative burden and lack of flexibility associated with an exemption procedure based on paper documents, the proposed measures will lead to significant simplification and cost savings in the long term and are therefore proportionate in view of their </w:t>
      </w:r>
      <w:r w:rsidR="00C22AD2" w:rsidRPr="007B1860">
        <w:rPr>
          <w:rFonts w:eastAsia="Arial Unicode MS"/>
          <w:noProof/>
          <w:color w:val="000000" w:themeColor="text1"/>
        </w:rPr>
        <w:t xml:space="preserve">limited </w:t>
      </w:r>
      <w:r w:rsidRPr="007B1860">
        <w:rPr>
          <w:rFonts w:eastAsia="Arial Unicode MS"/>
          <w:noProof/>
          <w:color w:val="000000" w:themeColor="text1"/>
        </w:rPr>
        <w:t>budgetary impact</w:t>
      </w:r>
      <w:r w:rsidR="00844BDB" w:rsidRPr="007B1860">
        <w:rPr>
          <w:rFonts w:eastAsia="Arial Unicode MS"/>
          <w:noProof/>
          <w:color w:val="000000" w:themeColor="text1"/>
        </w:rPr>
        <w:t>.</w:t>
      </w:r>
    </w:p>
    <w:p w:rsidR="00573032" w:rsidRPr="007B1860" w:rsidRDefault="00C43172">
      <w:pPr>
        <w:pStyle w:val="ManualHeading2"/>
        <w:rPr>
          <w:rFonts w:eastAsia="Arial Unicode MS"/>
          <w:noProof/>
          <w:u w:color="000000"/>
          <w:bdr w:val="nil"/>
          <w:lang w:eastAsia="en-GB"/>
        </w:rPr>
      </w:pPr>
      <w:r w:rsidRPr="007B1860">
        <w:rPr>
          <w:rFonts w:eastAsia="Arial Unicode MS"/>
          <w:noProof/>
          <w:u w:color="000000"/>
          <w:bdr w:val="nil"/>
          <w:lang w:eastAsia="en-GB"/>
        </w:rPr>
        <w:t>•</w:t>
      </w:r>
      <w:r w:rsidRPr="007B1860">
        <w:rPr>
          <w:rFonts w:eastAsia="Arial Unicode MS"/>
          <w:noProof/>
          <w:u w:color="000000"/>
          <w:bdr w:val="nil"/>
          <w:lang w:eastAsia="en-GB"/>
        </w:rPr>
        <w:tab/>
        <w:t>Choice of the instrument</w:t>
      </w:r>
    </w:p>
    <w:p w:rsidR="00573032" w:rsidRPr="007B1860" w:rsidRDefault="00C43172">
      <w:pPr>
        <w:pBdr>
          <w:top w:val="nil"/>
          <w:left w:val="nil"/>
          <w:bottom w:val="nil"/>
          <w:right w:val="nil"/>
          <w:between w:val="nil"/>
          <w:bar w:val="nil"/>
        </w:pBdr>
        <w:spacing w:before="0" w:after="240"/>
        <w:rPr>
          <w:rFonts w:eastAsia="Arial Unicode MS"/>
          <w:noProof/>
        </w:rPr>
      </w:pPr>
      <w:r w:rsidRPr="007B1860">
        <w:rPr>
          <w:noProof/>
          <w:color w:val="000000" w:themeColor="text1"/>
        </w:rPr>
        <w:t>A Directive is required to amend the current VAT Directive.</w:t>
      </w:r>
    </w:p>
    <w:p w:rsidR="00573032" w:rsidRPr="007B1860" w:rsidRDefault="00C43172">
      <w:pPr>
        <w:pStyle w:val="ManualHeading1"/>
        <w:rPr>
          <w:noProof/>
        </w:rPr>
      </w:pPr>
      <w:r w:rsidRPr="007B1860">
        <w:rPr>
          <w:noProof/>
        </w:rPr>
        <w:t>3.</w:t>
      </w:r>
      <w:r w:rsidRPr="007B1860">
        <w:rPr>
          <w:noProof/>
        </w:rPr>
        <w:tab/>
        <w:t>RESULTS OF EX-POST EVALUATIONS, STAKEHOLDER CONSULTATIONS AND IMPACT ASSESSMENTS</w:t>
      </w:r>
    </w:p>
    <w:p w:rsidR="00573032" w:rsidRPr="007B1860" w:rsidRDefault="00C43172">
      <w:pPr>
        <w:pStyle w:val="ManualHeading2"/>
        <w:rPr>
          <w:rFonts w:eastAsia="Arial Unicode MS"/>
          <w:noProof/>
          <w:u w:color="000000"/>
          <w:bdr w:val="nil"/>
          <w:lang w:eastAsia="en-GB"/>
        </w:rPr>
      </w:pPr>
      <w:r w:rsidRPr="007B1860">
        <w:rPr>
          <w:rFonts w:eastAsia="Arial Unicode MS"/>
          <w:noProof/>
          <w:u w:color="000000"/>
          <w:bdr w:val="nil"/>
          <w:lang w:eastAsia="en-GB"/>
        </w:rPr>
        <w:t>•</w:t>
      </w:r>
      <w:r w:rsidRPr="007B1860">
        <w:rPr>
          <w:rFonts w:eastAsia="Arial Unicode MS"/>
          <w:noProof/>
          <w:u w:color="000000"/>
          <w:bdr w:val="nil"/>
          <w:lang w:eastAsia="en-GB"/>
        </w:rPr>
        <w:tab/>
        <w:t>Stakeholder consultations</w:t>
      </w:r>
    </w:p>
    <w:p w:rsidR="00573032" w:rsidRPr="007B1860" w:rsidRDefault="00CA6F06">
      <w:pPr>
        <w:pBdr>
          <w:top w:val="nil"/>
          <w:left w:val="nil"/>
          <w:bottom w:val="nil"/>
          <w:right w:val="nil"/>
          <w:between w:val="nil"/>
          <w:bar w:val="nil"/>
        </w:pBdr>
        <w:spacing w:before="0" w:after="240"/>
        <w:rPr>
          <w:rFonts w:eastAsia="Arial Unicode MS"/>
          <w:noProof/>
        </w:rPr>
      </w:pPr>
      <w:r w:rsidRPr="007B1860">
        <w:rPr>
          <w:rFonts w:eastAsia="Arial Unicode MS"/>
          <w:noProof/>
          <w:color w:val="000000" w:themeColor="text1"/>
        </w:rPr>
        <w:t>No stakeholder consultation was carried out, due to the highly technical nature of this initiative and its alignment with efforts at EU level to promote digital government interactions</w:t>
      </w:r>
      <w:r w:rsidR="00C43172" w:rsidRPr="007B1860">
        <w:rPr>
          <w:rFonts w:eastAsia="Arial Unicode MS"/>
          <w:noProof/>
          <w:color w:val="000000" w:themeColor="text1"/>
        </w:rPr>
        <w:t>.</w:t>
      </w:r>
    </w:p>
    <w:p w:rsidR="00573032" w:rsidRPr="007B1860" w:rsidRDefault="00C43172">
      <w:pPr>
        <w:pStyle w:val="ManualHeading2"/>
        <w:rPr>
          <w:rFonts w:eastAsia="Arial Unicode MS"/>
          <w:noProof/>
          <w:u w:color="000000"/>
          <w:bdr w:val="nil"/>
          <w:lang w:eastAsia="en-GB"/>
        </w:rPr>
      </w:pPr>
      <w:r w:rsidRPr="007B1860">
        <w:rPr>
          <w:rFonts w:eastAsia="Arial Unicode MS"/>
          <w:noProof/>
          <w:u w:color="000000"/>
          <w:bdr w:val="nil"/>
          <w:lang w:eastAsia="en-GB"/>
        </w:rPr>
        <w:t>•</w:t>
      </w:r>
      <w:r w:rsidRPr="007B1860">
        <w:rPr>
          <w:rFonts w:eastAsia="Arial Unicode MS"/>
          <w:noProof/>
          <w:u w:color="000000"/>
          <w:bdr w:val="nil"/>
          <w:lang w:eastAsia="en-GB"/>
        </w:rPr>
        <w:tab/>
        <w:t>Collection and use of expertise</w:t>
      </w:r>
    </w:p>
    <w:p w:rsidR="00573032" w:rsidRPr="007B1860" w:rsidRDefault="00C43172" w:rsidP="00CA6F06">
      <w:pPr>
        <w:pBdr>
          <w:top w:val="nil"/>
          <w:left w:val="nil"/>
          <w:bottom w:val="nil"/>
          <w:right w:val="nil"/>
          <w:between w:val="nil"/>
          <w:bar w:val="nil"/>
        </w:pBdr>
        <w:spacing w:before="0" w:after="240"/>
        <w:rPr>
          <w:noProof/>
          <w:color w:val="000000" w:themeColor="text1"/>
        </w:rPr>
      </w:pPr>
      <w:r w:rsidRPr="007B1860">
        <w:rPr>
          <w:noProof/>
          <w:color w:val="000000" w:themeColor="text1"/>
        </w:rPr>
        <w:t>The Commission</w:t>
      </w:r>
      <w:r w:rsidR="00CA6F06" w:rsidRPr="007B1860">
        <w:rPr>
          <w:noProof/>
          <w:color w:val="000000" w:themeColor="text1"/>
        </w:rPr>
        <w:t>, in consultation with Member States,</w:t>
      </w:r>
      <w:r w:rsidRPr="007B1860">
        <w:rPr>
          <w:noProof/>
          <w:color w:val="000000" w:themeColor="text1"/>
        </w:rPr>
        <w:t xml:space="preserve"> has </w:t>
      </w:r>
      <w:r w:rsidR="00CA6F06" w:rsidRPr="007B1860">
        <w:rPr>
          <w:noProof/>
          <w:color w:val="000000" w:themeColor="text1"/>
        </w:rPr>
        <w:t>carried out a technical study to identify possible IT solutions for the introduction of an electronic exemption certificate and corresponding procedure.</w:t>
      </w:r>
    </w:p>
    <w:p w:rsidR="00573032" w:rsidRPr="007B1860" w:rsidRDefault="00C43172">
      <w:pPr>
        <w:pStyle w:val="ManualHeading2"/>
        <w:rPr>
          <w:rFonts w:eastAsia="Arial Unicode MS"/>
          <w:noProof/>
          <w:u w:color="000000"/>
          <w:bdr w:val="nil"/>
          <w:lang w:eastAsia="en-GB"/>
        </w:rPr>
      </w:pPr>
      <w:r w:rsidRPr="007B1860">
        <w:rPr>
          <w:rFonts w:eastAsia="Arial Unicode MS"/>
          <w:noProof/>
          <w:u w:color="000000"/>
          <w:bdr w:val="nil"/>
          <w:lang w:eastAsia="en-GB"/>
        </w:rPr>
        <w:t>•</w:t>
      </w:r>
      <w:r w:rsidRPr="007B1860">
        <w:rPr>
          <w:rFonts w:eastAsia="Arial Unicode MS"/>
          <w:noProof/>
          <w:u w:color="000000"/>
          <w:bdr w:val="nil"/>
          <w:lang w:eastAsia="en-GB"/>
        </w:rPr>
        <w:tab/>
        <w:t>Impact assessment</w:t>
      </w:r>
    </w:p>
    <w:p w:rsidR="00573032" w:rsidRPr="007B1860" w:rsidRDefault="00C43172">
      <w:pPr>
        <w:pBdr>
          <w:top w:val="nil"/>
          <w:left w:val="nil"/>
          <w:bottom w:val="nil"/>
          <w:right w:val="nil"/>
          <w:between w:val="nil"/>
          <w:bar w:val="nil"/>
        </w:pBdr>
        <w:spacing w:before="0" w:after="240"/>
        <w:rPr>
          <w:rFonts w:eastAsia="Arial Unicode MS"/>
          <w:noProof/>
        </w:rPr>
      </w:pPr>
      <w:r w:rsidRPr="007B1860">
        <w:rPr>
          <w:noProof/>
          <w:color w:val="000000" w:themeColor="text1"/>
          <w:lang w:eastAsia="en-GB"/>
        </w:rPr>
        <w:t>No separate impact assessment has been conducted,</w:t>
      </w:r>
      <w:r w:rsidRPr="007B1860">
        <w:rPr>
          <w:rFonts w:eastAsia="Arial Unicode MS"/>
          <w:noProof/>
          <w:color w:val="000000" w:themeColor="text1"/>
        </w:rPr>
        <w:t xml:space="preserve"> due to the </w:t>
      </w:r>
      <w:r w:rsidR="00CA6F06" w:rsidRPr="007B1860">
        <w:rPr>
          <w:rFonts w:eastAsia="Arial Unicode MS"/>
          <w:noProof/>
          <w:color w:val="000000" w:themeColor="text1"/>
        </w:rPr>
        <w:t xml:space="preserve">technical nature and very narrow scope </w:t>
      </w:r>
      <w:r w:rsidRPr="007B1860">
        <w:rPr>
          <w:rFonts w:eastAsia="Arial Unicode MS"/>
          <w:noProof/>
          <w:color w:val="000000" w:themeColor="text1"/>
        </w:rPr>
        <w:t>of this initiative.</w:t>
      </w:r>
    </w:p>
    <w:p w:rsidR="00573032" w:rsidRPr="007B1860" w:rsidRDefault="00C43172">
      <w:pPr>
        <w:pStyle w:val="ManualHeading2"/>
        <w:rPr>
          <w:rFonts w:eastAsia="Arial Unicode MS"/>
          <w:noProof/>
          <w:u w:color="000000"/>
          <w:bdr w:val="nil"/>
          <w:lang w:eastAsia="en-GB"/>
        </w:rPr>
      </w:pPr>
      <w:r w:rsidRPr="007B1860">
        <w:rPr>
          <w:rFonts w:eastAsia="Arial Unicode MS"/>
          <w:noProof/>
          <w:u w:color="000000"/>
          <w:bdr w:val="nil"/>
          <w:lang w:eastAsia="en-GB"/>
        </w:rPr>
        <w:t>•</w:t>
      </w:r>
      <w:r w:rsidRPr="007B1860">
        <w:rPr>
          <w:rFonts w:eastAsia="Arial Unicode MS"/>
          <w:noProof/>
          <w:u w:color="000000"/>
          <w:bdr w:val="nil"/>
          <w:lang w:eastAsia="en-GB"/>
        </w:rPr>
        <w:tab/>
        <w:t>Fundamental rights</w:t>
      </w:r>
    </w:p>
    <w:p w:rsidR="00573032" w:rsidRPr="007B1860" w:rsidRDefault="00467577" w:rsidP="006C6F2E">
      <w:pPr>
        <w:pBdr>
          <w:top w:val="nil"/>
          <w:left w:val="nil"/>
          <w:bottom w:val="nil"/>
          <w:right w:val="nil"/>
          <w:between w:val="nil"/>
          <w:bar w:val="nil"/>
        </w:pBdr>
        <w:spacing w:before="0" w:after="240"/>
        <w:rPr>
          <w:rFonts w:eastAsia="Arial Unicode MS"/>
          <w:noProof/>
          <w:color w:val="000000" w:themeColor="text1"/>
        </w:rPr>
      </w:pPr>
      <w:r w:rsidRPr="007B1860">
        <w:rPr>
          <w:rFonts w:eastAsia="Arial Unicode MS"/>
          <w:noProof/>
          <w:color w:val="000000" w:themeColor="text1"/>
        </w:rPr>
        <w:t xml:space="preserve">The proposed electronic conversion of the VAT exemption procedure supports the adaptation to the digital age and strengthens the rights of citizens with regard to the processing of their personal data, as protected by </w:t>
      </w:r>
      <w:r w:rsidR="00B129D2" w:rsidRPr="007B1860">
        <w:rPr>
          <w:rFonts w:eastAsia="Arial Unicode MS"/>
          <w:noProof/>
          <w:color w:val="000000" w:themeColor="text1"/>
        </w:rPr>
        <w:t>Article </w:t>
      </w:r>
      <w:r w:rsidRPr="007B1860">
        <w:rPr>
          <w:rFonts w:eastAsia="Arial Unicode MS"/>
          <w:noProof/>
          <w:color w:val="000000" w:themeColor="text1"/>
        </w:rPr>
        <w:t xml:space="preserve">8 of the EU Charter of Fundamental Rights and </w:t>
      </w:r>
      <w:r w:rsidR="00B129D2" w:rsidRPr="007B1860">
        <w:rPr>
          <w:rFonts w:eastAsia="Arial Unicode MS"/>
          <w:noProof/>
          <w:color w:val="000000" w:themeColor="text1"/>
        </w:rPr>
        <w:t>Article </w:t>
      </w:r>
      <w:r w:rsidRPr="007B1860">
        <w:rPr>
          <w:rFonts w:eastAsia="Arial Unicode MS"/>
          <w:noProof/>
          <w:color w:val="000000" w:themeColor="text1"/>
        </w:rPr>
        <w:t>16 of the Treaty on the Functioning of the European Union</w:t>
      </w:r>
      <w:r w:rsidR="006C6F2E" w:rsidRPr="007B1860">
        <w:rPr>
          <w:rFonts w:eastAsia="Arial Unicode MS"/>
          <w:noProof/>
          <w:color w:val="000000" w:themeColor="text1"/>
        </w:rPr>
        <w:t>.</w:t>
      </w:r>
    </w:p>
    <w:p w:rsidR="00573032" w:rsidRPr="007B1860" w:rsidRDefault="00C43172">
      <w:pPr>
        <w:pStyle w:val="ManualHeading1"/>
        <w:rPr>
          <w:noProof/>
        </w:rPr>
      </w:pPr>
      <w:r w:rsidRPr="007B1860">
        <w:rPr>
          <w:noProof/>
        </w:rPr>
        <w:t>4.</w:t>
      </w:r>
      <w:r w:rsidRPr="007B1860">
        <w:rPr>
          <w:noProof/>
        </w:rPr>
        <w:tab/>
        <w:t>BUDGETARY IMPLICATIONS</w:t>
      </w:r>
    </w:p>
    <w:p w:rsidR="008A7F9D" w:rsidRPr="007B1860" w:rsidRDefault="008A7F9D">
      <w:pPr>
        <w:pBdr>
          <w:top w:val="nil"/>
          <w:left w:val="nil"/>
          <w:bottom w:val="nil"/>
          <w:right w:val="nil"/>
          <w:between w:val="nil"/>
          <w:bar w:val="nil"/>
        </w:pBdr>
        <w:spacing w:before="0" w:after="240"/>
        <w:rPr>
          <w:noProof/>
        </w:rPr>
      </w:pPr>
      <w:r w:rsidRPr="007B1860">
        <w:rPr>
          <w:noProof/>
        </w:rPr>
        <w:t xml:space="preserve">The proposal will remove the administrative burden and costs associated with processing the paper version of the VAT exemption certificate. </w:t>
      </w:r>
      <w:r w:rsidR="00E7767B">
        <w:rPr>
          <w:noProof/>
        </w:rPr>
        <w:t>M</w:t>
      </w:r>
      <w:r w:rsidRPr="007B1860">
        <w:rPr>
          <w:noProof/>
        </w:rPr>
        <w:t>ost of the costs for the implementation and operation of the digital solution</w:t>
      </w:r>
      <w:r w:rsidR="00E7767B">
        <w:rPr>
          <w:noProof/>
        </w:rPr>
        <w:t>, estimated at EUR</w:t>
      </w:r>
      <w:r w:rsidR="00523D87">
        <w:rPr>
          <w:noProof/>
        </w:rPr>
        <w:t> </w:t>
      </w:r>
      <w:r w:rsidR="00E7767B">
        <w:rPr>
          <w:noProof/>
        </w:rPr>
        <w:t>2.9</w:t>
      </w:r>
      <w:r w:rsidR="00523D87">
        <w:rPr>
          <w:noProof/>
        </w:rPr>
        <w:t> </w:t>
      </w:r>
      <w:r w:rsidR="00E7767B">
        <w:rPr>
          <w:noProof/>
        </w:rPr>
        <w:t>million,</w:t>
      </w:r>
      <w:r w:rsidRPr="007B1860">
        <w:rPr>
          <w:noProof/>
        </w:rPr>
        <w:t xml:space="preserve"> will be borne by the Commission, </w:t>
      </w:r>
      <w:r w:rsidR="00E7767B" w:rsidRPr="00E7767B">
        <w:rPr>
          <w:noProof/>
        </w:rPr>
        <w:t>fully financed by FISCALIS programme within its foreseen financial envelope in the current Multiannual Financial Framework</w:t>
      </w:r>
      <w:r w:rsidR="00E7767B">
        <w:rPr>
          <w:noProof/>
        </w:rPr>
        <w:t>. T</w:t>
      </w:r>
      <w:r w:rsidRPr="007B1860">
        <w:rPr>
          <w:noProof/>
        </w:rPr>
        <w:t>he costs for Member States, mainly related to providing access to the central application, are estimated to be low.</w:t>
      </w:r>
    </w:p>
    <w:p w:rsidR="00573032" w:rsidRPr="007B1860" w:rsidRDefault="00FB051A">
      <w:pPr>
        <w:pBdr>
          <w:top w:val="nil"/>
          <w:left w:val="nil"/>
          <w:bottom w:val="nil"/>
          <w:right w:val="nil"/>
          <w:between w:val="nil"/>
          <w:bar w:val="nil"/>
        </w:pBdr>
        <w:spacing w:before="0" w:after="240"/>
        <w:rPr>
          <w:rFonts w:eastAsia="Arial Unicode MS"/>
          <w:noProof/>
        </w:rPr>
      </w:pPr>
      <w:r w:rsidRPr="007B1860">
        <w:rPr>
          <w:noProof/>
        </w:rPr>
        <w:t xml:space="preserve">The new electronic certificate will not affect the scope of VAT exemptions applied. There will therefore be no impact on the EU budget as the own resources based on gross national income (GNI) will not be affected. </w:t>
      </w:r>
    </w:p>
    <w:p w:rsidR="00573032" w:rsidRPr="007B1860" w:rsidRDefault="00C43172">
      <w:pPr>
        <w:pStyle w:val="ManualHeading1"/>
        <w:rPr>
          <w:noProof/>
        </w:rPr>
      </w:pPr>
      <w:r w:rsidRPr="007B1860">
        <w:rPr>
          <w:noProof/>
        </w:rPr>
        <w:t>5.</w:t>
      </w:r>
      <w:r w:rsidRPr="007B1860">
        <w:rPr>
          <w:noProof/>
        </w:rPr>
        <w:tab/>
        <w:t>OTHER ELEMENTS</w:t>
      </w:r>
    </w:p>
    <w:p w:rsidR="00573032" w:rsidRPr="007B1860" w:rsidRDefault="00C43172">
      <w:pPr>
        <w:pStyle w:val="ManualHeading2"/>
        <w:rPr>
          <w:rFonts w:eastAsia="Arial Unicode MS"/>
          <w:noProof/>
          <w:u w:color="000000"/>
          <w:bdr w:val="nil"/>
          <w:lang w:eastAsia="en-GB"/>
        </w:rPr>
      </w:pPr>
      <w:r w:rsidRPr="007B1860">
        <w:rPr>
          <w:rFonts w:eastAsia="Arial Unicode MS"/>
          <w:noProof/>
          <w:u w:color="000000"/>
          <w:bdr w:val="nil"/>
          <w:lang w:eastAsia="en-GB"/>
        </w:rPr>
        <w:t>•</w:t>
      </w:r>
      <w:r w:rsidRPr="007B1860">
        <w:rPr>
          <w:rFonts w:eastAsia="Arial Unicode MS"/>
          <w:noProof/>
          <w:u w:color="000000"/>
          <w:bdr w:val="nil"/>
          <w:lang w:eastAsia="en-GB"/>
        </w:rPr>
        <w:tab/>
        <w:t>Explanatory documents (for directives)</w:t>
      </w:r>
    </w:p>
    <w:p w:rsidR="00573032" w:rsidRPr="007B1860" w:rsidRDefault="00C43172">
      <w:pPr>
        <w:pBdr>
          <w:top w:val="nil"/>
          <w:left w:val="nil"/>
          <w:bottom w:val="nil"/>
          <w:right w:val="nil"/>
          <w:between w:val="nil"/>
          <w:bar w:val="nil"/>
        </w:pBdr>
        <w:spacing w:before="0" w:after="240"/>
        <w:rPr>
          <w:rFonts w:eastAsia="Arial Unicode MS"/>
          <w:noProof/>
        </w:rPr>
      </w:pPr>
      <w:r w:rsidRPr="007B1860">
        <w:rPr>
          <w:rFonts w:eastAsia="Arial Unicode MS"/>
          <w:noProof/>
          <w:color w:val="000000" w:themeColor="text1"/>
        </w:rPr>
        <w:t>The proposal does not require Explanatory Documents on the transposition.</w:t>
      </w:r>
    </w:p>
    <w:p w:rsidR="00573032" w:rsidRPr="007B1860" w:rsidRDefault="00C43172">
      <w:pPr>
        <w:pStyle w:val="ManualHeading2"/>
        <w:rPr>
          <w:rFonts w:eastAsia="Arial Unicode MS"/>
          <w:noProof/>
          <w:u w:color="000000"/>
          <w:bdr w:val="nil"/>
          <w:lang w:eastAsia="en-GB"/>
        </w:rPr>
      </w:pPr>
      <w:r w:rsidRPr="007B1860">
        <w:rPr>
          <w:rFonts w:eastAsia="Arial Unicode MS"/>
          <w:noProof/>
          <w:u w:color="000000"/>
          <w:bdr w:val="nil"/>
          <w:lang w:eastAsia="en-GB"/>
        </w:rPr>
        <w:t>•</w:t>
      </w:r>
      <w:r w:rsidRPr="007B1860">
        <w:rPr>
          <w:rFonts w:eastAsia="Arial Unicode MS"/>
          <w:noProof/>
          <w:u w:color="000000"/>
          <w:bdr w:val="nil"/>
          <w:lang w:eastAsia="en-GB"/>
        </w:rPr>
        <w:tab/>
        <w:t>Detailed explanation of the specific provisions of the proposal</w:t>
      </w:r>
    </w:p>
    <w:p w:rsidR="005957E3" w:rsidRPr="007B1860" w:rsidRDefault="00B129D2" w:rsidP="005957E3">
      <w:pPr>
        <w:pBdr>
          <w:top w:val="nil"/>
          <w:left w:val="nil"/>
          <w:bottom w:val="nil"/>
          <w:right w:val="nil"/>
          <w:between w:val="nil"/>
          <w:bar w:val="nil"/>
        </w:pBdr>
        <w:spacing w:before="0" w:after="240"/>
        <w:rPr>
          <w:rFonts w:eastAsia="Arial Unicode MS"/>
          <w:noProof/>
          <w:color w:val="000000" w:themeColor="text1"/>
        </w:rPr>
      </w:pPr>
      <w:r w:rsidRPr="007B1860">
        <w:rPr>
          <w:rFonts w:eastAsia="Arial Unicode MS"/>
          <w:noProof/>
          <w:color w:val="000000" w:themeColor="text1"/>
        </w:rPr>
        <w:t>Article </w:t>
      </w:r>
      <w:r w:rsidR="005957E3" w:rsidRPr="007B1860">
        <w:rPr>
          <w:rFonts w:eastAsia="Arial Unicode MS"/>
          <w:noProof/>
          <w:color w:val="000000" w:themeColor="text1"/>
        </w:rPr>
        <w:t xml:space="preserve">1 </w:t>
      </w:r>
      <w:r w:rsidR="00513288" w:rsidRPr="007B1860">
        <w:rPr>
          <w:rFonts w:eastAsia="Arial Unicode MS"/>
          <w:noProof/>
          <w:color w:val="000000" w:themeColor="text1"/>
        </w:rPr>
        <w:t xml:space="preserve">aims to </w:t>
      </w:r>
      <w:r w:rsidR="005957E3" w:rsidRPr="007B1860">
        <w:rPr>
          <w:rFonts w:eastAsia="Arial Unicode MS"/>
          <w:noProof/>
          <w:color w:val="000000" w:themeColor="text1"/>
        </w:rPr>
        <w:t>amend the VAT Directive by enabling the Commission</w:t>
      </w:r>
      <w:r w:rsidR="00120535">
        <w:rPr>
          <w:rFonts w:eastAsia="Arial Unicode MS"/>
          <w:noProof/>
          <w:color w:val="000000" w:themeColor="text1"/>
        </w:rPr>
        <w:t>, in consultation with Member States,</w:t>
      </w:r>
      <w:r w:rsidR="005957E3" w:rsidRPr="007B1860">
        <w:rPr>
          <w:rFonts w:eastAsia="Arial Unicode MS"/>
          <w:noProof/>
          <w:color w:val="000000" w:themeColor="text1"/>
        </w:rPr>
        <w:t xml:space="preserve"> to adopt implementing measures providing for an electronic certificate confirming that the transaction qualifies for a specific exemption under the first subparagraph of </w:t>
      </w:r>
      <w:r w:rsidRPr="007B1860">
        <w:rPr>
          <w:rFonts w:eastAsia="Arial Unicode MS"/>
          <w:noProof/>
          <w:color w:val="000000" w:themeColor="text1"/>
        </w:rPr>
        <w:t>Article </w:t>
      </w:r>
      <w:r w:rsidR="005957E3" w:rsidRPr="007B1860">
        <w:rPr>
          <w:rFonts w:eastAsia="Arial Unicode MS"/>
          <w:noProof/>
          <w:color w:val="000000" w:themeColor="text1"/>
        </w:rPr>
        <w:t>151(1) of the VAT Directive, to be issued by the eligible body or person to whom the exempt supply of goods or services is made</w:t>
      </w:r>
      <w:r w:rsidR="00355805">
        <w:rPr>
          <w:rFonts w:eastAsia="Arial Unicode MS"/>
          <w:noProof/>
          <w:color w:val="000000" w:themeColor="text1"/>
        </w:rPr>
        <w:t xml:space="preserve"> and who, together with the host Member State, will sign that certificate by electronic means. </w:t>
      </w:r>
    </w:p>
    <w:p w:rsidR="005957E3" w:rsidRPr="007B1860" w:rsidRDefault="009C6EC4" w:rsidP="005957E3">
      <w:pPr>
        <w:pBdr>
          <w:top w:val="nil"/>
          <w:left w:val="nil"/>
          <w:bottom w:val="nil"/>
          <w:right w:val="nil"/>
          <w:between w:val="nil"/>
          <w:bar w:val="nil"/>
        </w:pBdr>
        <w:spacing w:before="0" w:after="240"/>
        <w:rPr>
          <w:rFonts w:eastAsia="Arial Unicode MS"/>
          <w:noProof/>
          <w:color w:val="000000" w:themeColor="text1"/>
        </w:rPr>
      </w:pPr>
      <w:r w:rsidRPr="007B1860">
        <w:rPr>
          <w:rFonts w:eastAsia="Arial Unicode MS"/>
          <w:noProof/>
          <w:color w:val="000000" w:themeColor="text1"/>
        </w:rPr>
        <w:t>The</w:t>
      </w:r>
      <w:r w:rsidR="00C22AD2" w:rsidRPr="007B1860">
        <w:rPr>
          <w:rFonts w:eastAsia="Arial Unicode MS"/>
          <w:noProof/>
          <w:color w:val="000000" w:themeColor="text1"/>
        </w:rPr>
        <w:t xml:space="preserve"> necessary</w:t>
      </w:r>
      <w:r w:rsidRPr="007B1860">
        <w:rPr>
          <w:rFonts w:eastAsia="Arial Unicode MS"/>
          <w:noProof/>
          <w:color w:val="000000" w:themeColor="text1"/>
        </w:rPr>
        <w:t xml:space="preserve"> implementing acts shall contain the technical details and specifications for the electronic format and processing of the certificate and shall be adopted in accordance with the examination procedure referred to in </w:t>
      </w:r>
      <w:r w:rsidR="00B129D2" w:rsidRPr="007B1860">
        <w:rPr>
          <w:rFonts w:eastAsia="Arial Unicode MS"/>
          <w:noProof/>
          <w:color w:val="000000" w:themeColor="text1"/>
        </w:rPr>
        <w:t>Article </w:t>
      </w:r>
      <w:r w:rsidRPr="007B1860">
        <w:rPr>
          <w:rFonts w:eastAsia="Arial Unicode MS"/>
          <w:noProof/>
          <w:color w:val="000000" w:themeColor="text1"/>
        </w:rPr>
        <w:t xml:space="preserve">5 of Regulation (EU) </w:t>
      </w:r>
      <w:r w:rsidR="00B129D2" w:rsidRPr="007B1860">
        <w:rPr>
          <w:rFonts w:eastAsia="Arial Unicode MS"/>
          <w:noProof/>
          <w:color w:val="000000" w:themeColor="text1"/>
        </w:rPr>
        <w:t>No </w:t>
      </w:r>
      <w:r w:rsidRPr="007B1860">
        <w:rPr>
          <w:rFonts w:eastAsia="Arial Unicode MS"/>
          <w:noProof/>
          <w:color w:val="000000" w:themeColor="text1"/>
        </w:rPr>
        <w:t xml:space="preserve">182/2011, for which purpose the Committee established by </w:t>
      </w:r>
      <w:r w:rsidR="00B129D2" w:rsidRPr="007B1860">
        <w:rPr>
          <w:rFonts w:eastAsia="Arial Unicode MS"/>
          <w:noProof/>
          <w:color w:val="000000" w:themeColor="text1"/>
        </w:rPr>
        <w:t>Article </w:t>
      </w:r>
      <w:r w:rsidRPr="007B1860">
        <w:rPr>
          <w:rFonts w:eastAsia="Arial Unicode MS"/>
          <w:noProof/>
          <w:color w:val="000000" w:themeColor="text1"/>
        </w:rPr>
        <w:t xml:space="preserve">58 of Council Regulation (EU) </w:t>
      </w:r>
      <w:r w:rsidR="00B129D2" w:rsidRPr="007B1860">
        <w:rPr>
          <w:rFonts w:eastAsia="Arial Unicode MS"/>
          <w:noProof/>
          <w:color w:val="000000" w:themeColor="text1"/>
        </w:rPr>
        <w:t>No </w:t>
      </w:r>
      <w:r w:rsidRPr="007B1860">
        <w:rPr>
          <w:rFonts w:eastAsia="Arial Unicode MS"/>
          <w:noProof/>
          <w:color w:val="000000" w:themeColor="text1"/>
        </w:rPr>
        <w:t>904/2010 shall be used.</w:t>
      </w:r>
    </w:p>
    <w:p w:rsidR="00506F04" w:rsidRPr="007B1860" w:rsidRDefault="00513288" w:rsidP="005957E3">
      <w:pPr>
        <w:pBdr>
          <w:top w:val="nil"/>
          <w:left w:val="nil"/>
          <w:bottom w:val="nil"/>
          <w:right w:val="nil"/>
          <w:between w:val="nil"/>
          <w:bar w:val="nil"/>
        </w:pBdr>
        <w:spacing w:before="0" w:after="240"/>
        <w:rPr>
          <w:rFonts w:eastAsia="Arial Unicode MS"/>
          <w:noProof/>
          <w:color w:val="000000" w:themeColor="text1"/>
        </w:rPr>
      </w:pPr>
      <w:r w:rsidRPr="007B1860">
        <w:rPr>
          <w:rFonts w:eastAsia="Arial Unicode MS"/>
          <w:noProof/>
          <w:color w:val="000000" w:themeColor="text1"/>
        </w:rPr>
        <w:t xml:space="preserve">Due to the large number of ongoing IT projects, Member States may alternatively use the paper version of the certificate set out in </w:t>
      </w:r>
      <w:r w:rsidR="00B129D2" w:rsidRPr="007B1860">
        <w:rPr>
          <w:rFonts w:eastAsia="Arial Unicode MS"/>
          <w:noProof/>
          <w:color w:val="000000" w:themeColor="text1"/>
        </w:rPr>
        <w:t>Annex </w:t>
      </w:r>
      <w:r w:rsidRPr="007B1860">
        <w:rPr>
          <w:rFonts w:eastAsia="Arial Unicode MS"/>
          <w:noProof/>
          <w:color w:val="000000" w:themeColor="text1"/>
        </w:rPr>
        <w:t>II of the VAT Implementing Regulation for transactions carried out until 3</w:t>
      </w:r>
      <w:r w:rsidR="00A304ED">
        <w:rPr>
          <w:rFonts w:eastAsia="Arial Unicode MS"/>
          <w:noProof/>
          <w:color w:val="000000" w:themeColor="text1"/>
        </w:rPr>
        <w:t>0 June 2030</w:t>
      </w:r>
      <w:r w:rsidRPr="007B1860">
        <w:rPr>
          <w:rFonts w:eastAsia="Arial Unicode MS"/>
          <w:noProof/>
          <w:color w:val="000000" w:themeColor="text1"/>
        </w:rPr>
        <w:t>.</w:t>
      </w:r>
    </w:p>
    <w:p w:rsidR="005957E3" w:rsidRPr="007B1860" w:rsidRDefault="00506F04" w:rsidP="00506F04">
      <w:pPr>
        <w:pBdr>
          <w:top w:val="nil"/>
          <w:left w:val="nil"/>
          <w:bottom w:val="nil"/>
          <w:right w:val="nil"/>
          <w:between w:val="nil"/>
          <w:bar w:val="nil"/>
        </w:pBdr>
        <w:spacing w:before="0" w:after="240"/>
        <w:rPr>
          <w:rFonts w:eastAsia="Arial Unicode MS"/>
          <w:noProof/>
          <w:color w:val="000000" w:themeColor="text1"/>
        </w:rPr>
      </w:pPr>
      <w:r w:rsidRPr="007B1860">
        <w:rPr>
          <w:rFonts w:eastAsia="Arial Unicode MS"/>
          <w:noProof/>
          <w:color w:val="000000" w:themeColor="text1"/>
        </w:rPr>
        <w:t>Recognising that businesses do not normally have access to the relevant information, it is clarified that if the conditions for exemption are not met or cease to apply, it is the eligible body or individual issu</w:t>
      </w:r>
      <w:r w:rsidR="00C22AD2" w:rsidRPr="007B1860">
        <w:rPr>
          <w:rFonts w:eastAsia="Arial Unicode MS"/>
          <w:noProof/>
          <w:color w:val="000000" w:themeColor="text1"/>
        </w:rPr>
        <w:t>ing</w:t>
      </w:r>
      <w:r w:rsidRPr="007B1860">
        <w:rPr>
          <w:rFonts w:eastAsia="Arial Unicode MS"/>
          <w:noProof/>
          <w:color w:val="000000" w:themeColor="text1"/>
        </w:rPr>
        <w:t xml:space="preserve"> the electronic certificate who is liable to pay any VAT to the Member State where it is due</w:t>
      </w:r>
      <w:r w:rsidR="005957E3" w:rsidRPr="007B1860">
        <w:rPr>
          <w:rFonts w:eastAsia="Arial Unicode MS"/>
          <w:noProof/>
          <w:color w:val="000000" w:themeColor="text1"/>
        </w:rPr>
        <w:t>.</w:t>
      </w:r>
    </w:p>
    <w:p w:rsidR="00573032" w:rsidRDefault="00513288">
      <w:pPr>
        <w:spacing w:before="0" w:after="0"/>
        <w:jc w:val="left"/>
        <w:rPr>
          <w:noProof/>
        </w:rPr>
      </w:pPr>
      <w:r w:rsidRPr="007B1860">
        <w:rPr>
          <w:noProof/>
        </w:rPr>
        <w:t>In order to give Member States sufficient time to implement the new electronic procedure, they will have to apply the new rules from 1</w:t>
      </w:r>
      <w:r w:rsidR="00C22AD2" w:rsidRPr="007B1860">
        <w:rPr>
          <w:noProof/>
        </w:rPr>
        <w:t> </w:t>
      </w:r>
      <w:r w:rsidRPr="007B1860">
        <w:rPr>
          <w:noProof/>
        </w:rPr>
        <w:t>J</w:t>
      </w:r>
      <w:r w:rsidR="00355805">
        <w:rPr>
          <w:noProof/>
        </w:rPr>
        <w:t>uly</w:t>
      </w:r>
      <w:r w:rsidRPr="007B1860">
        <w:rPr>
          <w:noProof/>
        </w:rPr>
        <w:t xml:space="preserve"> 2026.</w:t>
      </w:r>
    </w:p>
    <w:p w:rsidR="00A3088C" w:rsidRPr="007B1860" w:rsidRDefault="00A3088C">
      <w:pPr>
        <w:spacing w:before="0" w:after="0"/>
        <w:jc w:val="left"/>
        <w:rPr>
          <w:noProof/>
        </w:rPr>
        <w:sectPr w:rsidR="00A3088C" w:rsidRPr="007B1860" w:rsidSect="00241401">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08"/>
          <w:docGrid w:linePitch="360"/>
        </w:sectPr>
      </w:pPr>
    </w:p>
    <w:p w:rsidR="00573032" w:rsidRPr="007B1860" w:rsidRDefault="00C561E0" w:rsidP="00C561E0">
      <w:pPr>
        <w:pStyle w:val="Rfrenceinterinstitutionnelle"/>
        <w:rPr>
          <w:noProof/>
        </w:rPr>
      </w:pPr>
      <w:r>
        <w:rPr>
          <w:noProof/>
        </w:rPr>
        <w:t>2024/0152 (CNS)</w:t>
      </w:r>
    </w:p>
    <w:p w:rsidR="00573032" w:rsidRPr="007B1860" w:rsidRDefault="00C561E0" w:rsidP="00C561E0">
      <w:pPr>
        <w:pStyle w:val="Statut"/>
        <w:rPr>
          <w:noProof/>
        </w:rPr>
      </w:pPr>
      <w:r w:rsidRPr="007B1860">
        <w:rPr>
          <w:noProof/>
        </w:rPr>
        <w:t>Proposal for a</w:t>
      </w:r>
    </w:p>
    <w:p w:rsidR="00573032" w:rsidRPr="007B1860" w:rsidRDefault="00C561E0" w:rsidP="00C561E0">
      <w:pPr>
        <w:pStyle w:val="Typedudocument"/>
        <w:rPr>
          <w:noProof/>
        </w:rPr>
      </w:pPr>
      <w:r w:rsidRPr="007B1860">
        <w:rPr>
          <w:noProof/>
        </w:rPr>
        <w:t>COUNCIL DIRECTIVE</w:t>
      </w:r>
    </w:p>
    <w:p w:rsidR="00573032" w:rsidRPr="007B1860" w:rsidRDefault="00C561E0" w:rsidP="00C561E0">
      <w:pPr>
        <w:pStyle w:val="Titreobjet"/>
        <w:rPr>
          <w:noProof/>
        </w:rPr>
      </w:pPr>
      <w:r w:rsidRPr="007B1860">
        <w:rPr>
          <w:noProof/>
        </w:rPr>
        <w:t>amending Directive 2006/112/EC as regards the electronic value added tax exemption certificate</w:t>
      </w:r>
    </w:p>
    <w:p w:rsidR="00573032" w:rsidRPr="007B1860" w:rsidRDefault="00C43172">
      <w:pPr>
        <w:pStyle w:val="Institutionquiagit"/>
        <w:rPr>
          <w:noProof/>
        </w:rPr>
      </w:pPr>
      <w:r w:rsidRPr="007B1860">
        <w:rPr>
          <w:noProof/>
        </w:rPr>
        <w:t xml:space="preserve">THE COUNCIL OF THE EUROPEAN </w:t>
      </w:r>
      <w:smartTag w:uri="urn:schemas-microsoft-com:office:smarttags" w:element="place">
        <w:r w:rsidRPr="007B1860">
          <w:rPr>
            <w:noProof/>
          </w:rPr>
          <w:t>UNION</w:t>
        </w:r>
      </w:smartTag>
      <w:r w:rsidRPr="007B1860">
        <w:rPr>
          <w:noProof/>
        </w:rPr>
        <w:t>,</w:t>
      </w:r>
    </w:p>
    <w:p w:rsidR="00573032" w:rsidRPr="007B1860" w:rsidRDefault="00C43172">
      <w:pPr>
        <w:rPr>
          <w:noProof/>
        </w:rPr>
      </w:pPr>
      <w:r w:rsidRPr="007B1860">
        <w:rPr>
          <w:noProof/>
        </w:rPr>
        <w:t xml:space="preserve">Having regard to the Treaty on the Functioning of the European Union, and in particular </w:t>
      </w:r>
      <w:r w:rsidR="00B129D2" w:rsidRPr="007B1860">
        <w:rPr>
          <w:noProof/>
        </w:rPr>
        <w:t>Article </w:t>
      </w:r>
      <w:r w:rsidRPr="007B1860">
        <w:rPr>
          <w:noProof/>
        </w:rPr>
        <w:t>113 thereof,</w:t>
      </w:r>
    </w:p>
    <w:p w:rsidR="00573032" w:rsidRPr="007B1860" w:rsidRDefault="00C43172">
      <w:pPr>
        <w:rPr>
          <w:noProof/>
        </w:rPr>
      </w:pPr>
      <w:r w:rsidRPr="007B1860">
        <w:rPr>
          <w:noProof/>
        </w:rPr>
        <w:t>Having regard to the proposal from the European Commission,</w:t>
      </w:r>
    </w:p>
    <w:p w:rsidR="00573032" w:rsidRPr="007B1860" w:rsidRDefault="00C43172">
      <w:pPr>
        <w:rPr>
          <w:noProof/>
        </w:rPr>
      </w:pPr>
      <w:r w:rsidRPr="007B1860">
        <w:rPr>
          <w:noProof/>
        </w:rPr>
        <w:t>After transmission of the draft legislative act to the national parliaments,</w:t>
      </w:r>
    </w:p>
    <w:p w:rsidR="00573032" w:rsidRPr="007B1860" w:rsidRDefault="00C43172">
      <w:pPr>
        <w:rPr>
          <w:noProof/>
        </w:rPr>
      </w:pPr>
      <w:r w:rsidRPr="007B1860">
        <w:rPr>
          <w:noProof/>
        </w:rPr>
        <w:t>Having regard to the opinion of the European Parliament</w:t>
      </w:r>
      <w:r w:rsidRPr="007B1860">
        <w:rPr>
          <w:rStyle w:val="FootnoteReference"/>
          <w:noProof/>
        </w:rPr>
        <w:footnoteReference w:id="18"/>
      </w:r>
      <w:r w:rsidRPr="007B1860">
        <w:rPr>
          <w:noProof/>
        </w:rPr>
        <w:t xml:space="preserve">, </w:t>
      </w:r>
    </w:p>
    <w:p w:rsidR="00573032" w:rsidRPr="007B1860" w:rsidRDefault="00C43172">
      <w:pPr>
        <w:rPr>
          <w:noProof/>
        </w:rPr>
      </w:pPr>
      <w:r w:rsidRPr="007B1860">
        <w:rPr>
          <w:noProof/>
        </w:rPr>
        <w:t>Having regard to the opinion of the European Economic and Social Committee</w:t>
      </w:r>
      <w:r w:rsidRPr="007B1860">
        <w:rPr>
          <w:rStyle w:val="FootnoteReference"/>
          <w:noProof/>
        </w:rPr>
        <w:footnoteReference w:id="19"/>
      </w:r>
      <w:r w:rsidRPr="007B1860">
        <w:rPr>
          <w:noProof/>
        </w:rPr>
        <w:t xml:space="preserve">, </w:t>
      </w:r>
    </w:p>
    <w:p w:rsidR="00573032" w:rsidRPr="007B1860" w:rsidRDefault="00C43172">
      <w:pPr>
        <w:rPr>
          <w:noProof/>
        </w:rPr>
      </w:pPr>
      <w:r w:rsidRPr="007B1860">
        <w:rPr>
          <w:noProof/>
        </w:rPr>
        <w:t>Acting in accordance with a special legislative procedure,</w:t>
      </w:r>
    </w:p>
    <w:p w:rsidR="00573032" w:rsidRPr="007B1860" w:rsidRDefault="00C43172">
      <w:pPr>
        <w:rPr>
          <w:noProof/>
        </w:rPr>
      </w:pPr>
      <w:r w:rsidRPr="007B1860">
        <w:rPr>
          <w:noProof/>
        </w:rPr>
        <w:t>Whereas:</w:t>
      </w:r>
    </w:p>
    <w:p w:rsidR="00573032" w:rsidRPr="007B1860" w:rsidRDefault="00144A8F" w:rsidP="00144A8F">
      <w:pPr>
        <w:pStyle w:val="Point0"/>
        <w:rPr>
          <w:noProof/>
        </w:rPr>
      </w:pPr>
      <w:r w:rsidRPr="00144A8F">
        <w:rPr>
          <w:noProof/>
        </w:rPr>
        <w:t>(1)</w:t>
      </w:r>
      <w:r w:rsidRPr="00144A8F">
        <w:rPr>
          <w:noProof/>
        </w:rPr>
        <w:tab/>
      </w:r>
      <w:r w:rsidR="00D80060" w:rsidRPr="007B1860">
        <w:rPr>
          <w:noProof/>
        </w:rPr>
        <w:t>Article</w:t>
      </w:r>
      <w:r w:rsidR="00A3088C" w:rsidRPr="007B1860">
        <w:rPr>
          <w:noProof/>
        </w:rPr>
        <w:t> </w:t>
      </w:r>
      <w:r w:rsidR="00D80060" w:rsidRPr="007B1860">
        <w:rPr>
          <w:noProof/>
        </w:rPr>
        <w:t xml:space="preserve">51 of </w:t>
      </w:r>
      <w:r w:rsidR="00254093" w:rsidRPr="007B1860">
        <w:rPr>
          <w:noProof/>
        </w:rPr>
        <w:t xml:space="preserve">Council Implementing Regulation (EU) </w:t>
      </w:r>
      <w:r w:rsidR="00B129D2" w:rsidRPr="007B1860">
        <w:rPr>
          <w:noProof/>
        </w:rPr>
        <w:t>No </w:t>
      </w:r>
      <w:r w:rsidR="00254093" w:rsidRPr="007B1860">
        <w:rPr>
          <w:noProof/>
        </w:rPr>
        <w:t>282/2011</w:t>
      </w:r>
      <w:r w:rsidR="00254093" w:rsidRPr="007B1860">
        <w:rPr>
          <w:rStyle w:val="FootnoteReference"/>
          <w:noProof/>
        </w:rPr>
        <w:footnoteReference w:id="20"/>
      </w:r>
      <w:r w:rsidR="00A51A2D" w:rsidRPr="007B1860">
        <w:rPr>
          <w:noProof/>
        </w:rPr>
        <w:t xml:space="preserve"> provides</w:t>
      </w:r>
      <w:r w:rsidR="00D80060" w:rsidRPr="007B1860">
        <w:rPr>
          <w:noProof/>
        </w:rPr>
        <w:t xml:space="preserve"> that the </w:t>
      </w:r>
      <w:r w:rsidR="008F65A4">
        <w:rPr>
          <w:noProof/>
        </w:rPr>
        <w:t>value added tax (</w:t>
      </w:r>
      <w:r w:rsidR="00D80060" w:rsidRPr="007B1860">
        <w:rPr>
          <w:noProof/>
        </w:rPr>
        <w:t>VAT</w:t>
      </w:r>
      <w:r w:rsidR="008F65A4">
        <w:rPr>
          <w:noProof/>
        </w:rPr>
        <w:t>)</w:t>
      </w:r>
      <w:r w:rsidR="00D80060" w:rsidRPr="007B1860">
        <w:rPr>
          <w:noProof/>
        </w:rPr>
        <w:t xml:space="preserve"> and/or excise duty exemption certificate set out in Annex</w:t>
      </w:r>
      <w:r w:rsidR="00A3088C" w:rsidRPr="007B1860">
        <w:rPr>
          <w:noProof/>
        </w:rPr>
        <w:t> </w:t>
      </w:r>
      <w:r w:rsidR="00D80060" w:rsidRPr="007B1860">
        <w:rPr>
          <w:noProof/>
        </w:rPr>
        <w:t xml:space="preserve">II to that </w:t>
      </w:r>
      <w:r w:rsidR="008F65A4">
        <w:rPr>
          <w:noProof/>
        </w:rPr>
        <w:t xml:space="preserve">Implementing </w:t>
      </w:r>
      <w:r w:rsidR="00D80060" w:rsidRPr="007B1860">
        <w:rPr>
          <w:noProof/>
        </w:rPr>
        <w:t>Regulation</w:t>
      </w:r>
      <w:r w:rsidR="00A51A2D" w:rsidRPr="007B1860">
        <w:rPr>
          <w:noProof/>
        </w:rPr>
        <w:t xml:space="preserve"> </w:t>
      </w:r>
      <w:r w:rsidR="00254093" w:rsidRPr="007B1860">
        <w:rPr>
          <w:noProof/>
        </w:rPr>
        <w:t xml:space="preserve">serves to confirm that a supply of goods or services made to an eligible body or individual qualifies for </w:t>
      </w:r>
      <w:r w:rsidR="00D82963">
        <w:rPr>
          <w:noProof/>
        </w:rPr>
        <w:t>an</w:t>
      </w:r>
      <w:r w:rsidR="00254093" w:rsidRPr="007B1860">
        <w:rPr>
          <w:noProof/>
        </w:rPr>
        <w:t xml:space="preserve"> exemption under </w:t>
      </w:r>
      <w:r w:rsidR="00B129D2" w:rsidRPr="007B1860">
        <w:rPr>
          <w:noProof/>
        </w:rPr>
        <w:t>Article </w:t>
      </w:r>
      <w:r w:rsidR="00254093" w:rsidRPr="007B1860">
        <w:rPr>
          <w:noProof/>
        </w:rPr>
        <w:t xml:space="preserve">151 of </w:t>
      </w:r>
      <w:r w:rsidR="004359FD" w:rsidRPr="007B1860">
        <w:rPr>
          <w:rFonts w:eastAsia="Times New Roman"/>
          <w:noProof/>
        </w:rPr>
        <w:t xml:space="preserve">Council </w:t>
      </w:r>
      <w:r w:rsidR="00254093" w:rsidRPr="007B1860">
        <w:rPr>
          <w:noProof/>
        </w:rPr>
        <w:t>Directive 2006/112/EC</w:t>
      </w:r>
      <w:r w:rsidR="00226B22" w:rsidRPr="007B1860">
        <w:rPr>
          <w:rStyle w:val="FootnoteReference"/>
          <w:noProof/>
        </w:rPr>
        <w:footnoteReference w:id="21"/>
      </w:r>
      <w:r w:rsidR="00254093" w:rsidRPr="007B1860">
        <w:rPr>
          <w:noProof/>
        </w:rPr>
        <w:t xml:space="preserve">. </w:t>
      </w:r>
      <w:r w:rsidR="00BE6815" w:rsidRPr="007B1860">
        <w:rPr>
          <w:noProof/>
        </w:rPr>
        <w:t xml:space="preserve">Implementing Regulation (EU) No 282/2011 provides for an </w:t>
      </w:r>
      <w:r w:rsidR="00A51A2D" w:rsidRPr="007B1860">
        <w:rPr>
          <w:noProof/>
        </w:rPr>
        <w:t xml:space="preserve">exemption certificate </w:t>
      </w:r>
      <w:r w:rsidR="00BE6815" w:rsidRPr="007B1860">
        <w:rPr>
          <w:noProof/>
        </w:rPr>
        <w:t>in</w:t>
      </w:r>
      <w:r w:rsidR="00A51A2D" w:rsidRPr="007B1860">
        <w:rPr>
          <w:noProof/>
        </w:rPr>
        <w:t xml:space="preserve"> paper form to be signed by hand</w:t>
      </w:r>
      <w:r w:rsidR="00875BE9" w:rsidRPr="007B1860">
        <w:rPr>
          <w:noProof/>
        </w:rPr>
        <w:t xml:space="preserve">. </w:t>
      </w:r>
      <w:r w:rsidR="00474547" w:rsidRPr="007B1860">
        <w:rPr>
          <w:noProof/>
        </w:rPr>
        <w:t>It is necessary to digitalise t</w:t>
      </w:r>
      <w:r w:rsidR="00913FFF" w:rsidRPr="007B1860">
        <w:rPr>
          <w:noProof/>
        </w:rPr>
        <w:t xml:space="preserve">he process of creating and submitting the exemption certificate and </w:t>
      </w:r>
      <w:r w:rsidR="00D82963">
        <w:rPr>
          <w:noProof/>
        </w:rPr>
        <w:t xml:space="preserve">to </w:t>
      </w:r>
      <w:r w:rsidR="00474547" w:rsidRPr="007B1860">
        <w:rPr>
          <w:noProof/>
        </w:rPr>
        <w:t xml:space="preserve">replace </w:t>
      </w:r>
      <w:r w:rsidR="00913FFF" w:rsidRPr="007B1860">
        <w:rPr>
          <w:noProof/>
        </w:rPr>
        <w:t xml:space="preserve">the paper document </w:t>
      </w:r>
      <w:r w:rsidR="00D82963">
        <w:rPr>
          <w:noProof/>
        </w:rPr>
        <w:t>with</w:t>
      </w:r>
      <w:r w:rsidR="00913FFF" w:rsidRPr="007B1860">
        <w:rPr>
          <w:noProof/>
        </w:rPr>
        <w:t xml:space="preserve"> a </w:t>
      </w:r>
      <w:r w:rsidR="00D82963">
        <w:rPr>
          <w:noProof/>
        </w:rPr>
        <w:t xml:space="preserve">document in </w:t>
      </w:r>
      <w:r w:rsidR="00913FFF" w:rsidRPr="007B1860">
        <w:rPr>
          <w:noProof/>
        </w:rPr>
        <w:t xml:space="preserve">electronic format </w:t>
      </w:r>
      <w:r w:rsidR="00D82963">
        <w:rPr>
          <w:noProof/>
        </w:rPr>
        <w:t xml:space="preserve">in order </w:t>
      </w:r>
      <w:r w:rsidR="00913FFF" w:rsidRPr="007B1860">
        <w:rPr>
          <w:noProof/>
        </w:rPr>
        <w:t xml:space="preserve">to minimise bureaucracy and </w:t>
      </w:r>
      <w:r w:rsidR="00D82963">
        <w:rPr>
          <w:noProof/>
        </w:rPr>
        <w:t xml:space="preserve">the </w:t>
      </w:r>
      <w:r w:rsidR="00913FFF" w:rsidRPr="007B1860">
        <w:rPr>
          <w:noProof/>
        </w:rPr>
        <w:t xml:space="preserve">administrative burden and </w:t>
      </w:r>
      <w:r w:rsidR="00D82963">
        <w:rPr>
          <w:noProof/>
        </w:rPr>
        <w:t xml:space="preserve">to </w:t>
      </w:r>
      <w:r w:rsidR="00913FFF" w:rsidRPr="007B1860">
        <w:rPr>
          <w:noProof/>
        </w:rPr>
        <w:t>reduce costs in the long term.</w:t>
      </w:r>
    </w:p>
    <w:p w:rsidR="00360B39" w:rsidRPr="007B1860" w:rsidRDefault="00144A8F" w:rsidP="00144A8F">
      <w:pPr>
        <w:pStyle w:val="Point0"/>
        <w:rPr>
          <w:noProof/>
        </w:rPr>
      </w:pPr>
      <w:r w:rsidRPr="00144A8F">
        <w:rPr>
          <w:noProof/>
        </w:rPr>
        <w:t>(2)</w:t>
      </w:r>
      <w:r w:rsidRPr="00144A8F">
        <w:rPr>
          <w:noProof/>
        </w:rPr>
        <w:tab/>
      </w:r>
      <w:r w:rsidR="00360B39" w:rsidRPr="007B1860">
        <w:rPr>
          <w:noProof/>
        </w:rPr>
        <w:t>In view of the large number of</w:t>
      </w:r>
      <w:r w:rsidR="00A3088C">
        <w:rPr>
          <w:noProof/>
        </w:rPr>
        <w:t xml:space="preserve"> </w:t>
      </w:r>
      <w:r w:rsidR="00360B39" w:rsidRPr="007B1860">
        <w:rPr>
          <w:noProof/>
        </w:rPr>
        <w:t>resource-intensive IT projects</w:t>
      </w:r>
      <w:r w:rsidR="00D80060" w:rsidRPr="007B1860">
        <w:rPr>
          <w:noProof/>
        </w:rPr>
        <w:t xml:space="preserve"> </w:t>
      </w:r>
      <w:r w:rsidR="00D82963" w:rsidRPr="00D82963">
        <w:rPr>
          <w:noProof/>
        </w:rPr>
        <w:t>in which Members States are involved</w:t>
      </w:r>
      <w:r w:rsidR="00D82963">
        <w:rPr>
          <w:noProof/>
        </w:rPr>
        <w:t>,</w:t>
      </w:r>
      <w:r w:rsidR="00D82963" w:rsidRPr="00D82963">
        <w:rPr>
          <w:noProof/>
        </w:rPr>
        <w:t xml:space="preserve"> </w:t>
      </w:r>
      <w:r w:rsidR="00A3088C">
        <w:rPr>
          <w:noProof/>
        </w:rPr>
        <w:t xml:space="preserve">in addition to that </w:t>
      </w:r>
      <w:r w:rsidR="00D80060" w:rsidRPr="007B1860">
        <w:rPr>
          <w:noProof/>
        </w:rPr>
        <w:t xml:space="preserve">required to switch to </w:t>
      </w:r>
      <w:r w:rsidR="00A3088C">
        <w:rPr>
          <w:noProof/>
        </w:rPr>
        <w:t xml:space="preserve">an </w:t>
      </w:r>
      <w:r w:rsidR="00D80060" w:rsidRPr="007B1860">
        <w:rPr>
          <w:noProof/>
        </w:rPr>
        <w:t xml:space="preserve">electronic </w:t>
      </w:r>
      <w:r w:rsidR="00D82963">
        <w:rPr>
          <w:noProof/>
        </w:rPr>
        <w:t xml:space="preserve">exemption </w:t>
      </w:r>
      <w:r w:rsidR="00D80060" w:rsidRPr="007B1860">
        <w:rPr>
          <w:noProof/>
        </w:rPr>
        <w:t>certificate</w:t>
      </w:r>
      <w:r w:rsidR="00360B39" w:rsidRPr="007B1860">
        <w:rPr>
          <w:noProof/>
        </w:rPr>
        <w:t xml:space="preserve">, Member States should be given </w:t>
      </w:r>
      <w:r w:rsidR="00A54910" w:rsidRPr="007B1860">
        <w:rPr>
          <w:noProof/>
        </w:rPr>
        <w:t xml:space="preserve">flexibility and </w:t>
      </w:r>
      <w:r w:rsidR="00360B39" w:rsidRPr="007B1860">
        <w:rPr>
          <w:noProof/>
        </w:rPr>
        <w:t xml:space="preserve">sufficient time to complete the transition to the new electronic procedure. To this end, they should be allowed to continue </w:t>
      </w:r>
      <w:r w:rsidR="00D82963">
        <w:rPr>
          <w:noProof/>
        </w:rPr>
        <w:t xml:space="preserve">to </w:t>
      </w:r>
      <w:r w:rsidR="00360B39" w:rsidRPr="007B1860">
        <w:rPr>
          <w:noProof/>
        </w:rPr>
        <w:t>us</w:t>
      </w:r>
      <w:r w:rsidR="00D82963">
        <w:rPr>
          <w:noProof/>
        </w:rPr>
        <w:t>e</w:t>
      </w:r>
      <w:r w:rsidR="00360B39" w:rsidRPr="007B1860">
        <w:rPr>
          <w:noProof/>
        </w:rPr>
        <w:t xml:space="preserve"> the paper form </w:t>
      </w:r>
      <w:r w:rsidR="00A54910" w:rsidRPr="007B1860">
        <w:rPr>
          <w:noProof/>
        </w:rPr>
        <w:t xml:space="preserve">set out in </w:t>
      </w:r>
      <w:r w:rsidR="00B129D2" w:rsidRPr="007B1860">
        <w:rPr>
          <w:rFonts w:eastAsia="Arial Unicode MS"/>
          <w:noProof/>
        </w:rPr>
        <w:t>Annex </w:t>
      </w:r>
      <w:r w:rsidR="00A54910" w:rsidRPr="007B1860">
        <w:rPr>
          <w:rFonts w:eastAsia="Arial Unicode MS"/>
          <w:noProof/>
        </w:rPr>
        <w:t xml:space="preserve">II to </w:t>
      </w:r>
      <w:r w:rsidR="00A54910" w:rsidRPr="007B1860">
        <w:rPr>
          <w:noProof/>
        </w:rPr>
        <w:t xml:space="preserve">Implementing Regulation (EU) </w:t>
      </w:r>
      <w:r w:rsidR="00B129D2" w:rsidRPr="007B1860">
        <w:rPr>
          <w:noProof/>
        </w:rPr>
        <w:t>No </w:t>
      </w:r>
      <w:r w:rsidR="00A54910" w:rsidRPr="007B1860">
        <w:rPr>
          <w:noProof/>
        </w:rPr>
        <w:t xml:space="preserve">282/2011 </w:t>
      </w:r>
      <w:r w:rsidR="00360B39" w:rsidRPr="007B1860">
        <w:rPr>
          <w:noProof/>
        </w:rPr>
        <w:t xml:space="preserve">for transactions carried out </w:t>
      </w:r>
      <w:r w:rsidR="00BC48A6" w:rsidRPr="007B1860">
        <w:rPr>
          <w:noProof/>
        </w:rPr>
        <w:t>during a transitional period</w:t>
      </w:r>
      <w:r w:rsidR="00360B39" w:rsidRPr="007B1860">
        <w:rPr>
          <w:noProof/>
        </w:rPr>
        <w:t>.</w:t>
      </w:r>
    </w:p>
    <w:p w:rsidR="000B69B5" w:rsidRDefault="00144A8F" w:rsidP="00144A8F">
      <w:pPr>
        <w:pStyle w:val="Point0"/>
        <w:rPr>
          <w:noProof/>
        </w:rPr>
      </w:pPr>
      <w:r w:rsidRPr="00144A8F">
        <w:rPr>
          <w:noProof/>
        </w:rPr>
        <w:t>(3)</w:t>
      </w:r>
      <w:r w:rsidRPr="00144A8F">
        <w:rPr>
          <w:noProof/>
        </w:rPr>
        <w:tab/>
      </w:r>
      <w:r w:rsidR="00D82963">
        <w:rPr>
          <w:noProof/>
        </w:rPr>
        <w:t>It is possible that, a</w:t>
      </w:r>
      <w:r w:rsidR="00437EA4" w:rsidRPr="007B1860">
        <w:rPr>
          <w:noProof/>
        </w:rPr>
        <w:t xml:space="preserve">fter an exemption certificate has been issued, </w:t>
      </w:r>
      <w:r w:rsidR="00D82963" w:rsidRPr="00D82963">
        <w:rPr>
          <w:noProof/>
        </w:rPr>
        <w:t xml:space="preserve">a body or individual eligible for exemption </w:t>
      </w:r>
      <w:r w:rsidR="004504FD">
        <w:rPr>
          <w:noProof/>
        </w:rPr>
        <w:t xml:space="preserve">for its purchases </w:t>
      </w:r>
      <w:r w:rsidR="00D82963" w:rsidRPr="00D82963">
        <w:rPr>
          <w:noProof/>
        </w:rPr>
        <w:t>pursuant to Article</w:t>
      </w:r>
      <w:r w:rsidR="00523D87">
        <w:rPr>
          <w:noProof/>
        </w:rPr>
        <w:t> </w:t>
      </w:r>
      <w:r w:rsidR="00D82963" w:rsidRPr="00D82963">
        <w:rPr>
          <w:noProof/>
        </w:rPr>
        <w:t>151 of Directive 2006/112/EC might</w:t>
      </w:r>
      <w:r w:rsidR="00437EA4" w:rsidRPr="007B1860">
        <w:rPr>
          <w:noProof/>
        </w:rPr>
        <w:t xml:space="preserve"> become </w:t>
      </w:r>
      <w:r w:rsidR="00D82963">
        <w:rPr>
          <w:noProof/>
        </w:rPr>
        <w:t>aware</w:t>
      </w:r>
      <w:r w:rsidR="00437EA4" w:rsidRPr="007B1860">
        <w:rPr>
          <w:noProof/>
        </w:rPr>
        <w:t xml:space="preserve"> that the conditions for the exemption in question are not or cease to be met</w:t>
      </w:r>
      <w:r w:rsidR="00D82963">
        <w:rPr>
          <w:noProof/>
        </w:rPr>
        <w:t>.</w:t>
      </w:r>
      <w:r w:rsidR="001E731A" w:rsidRPr="007B1860">
        <w:rPr>
          <w:noProof/>
        </w:rPr>
        <w:t xml:space="preserve"> </w:t>
      </w:r>
      <w:r w:rsidR="004504FD">
        <w:rPr>
          <w:noProof/>
        </w:rPr>
        <w:t>Such information is normally</w:t>
      </w:r>
      <w:r w:rsidR="00437EA4" w:rsidRPr="007B1860">
        <w:rPr>
          <w:noProof/>
        </w:rPr>
        <w:t xml:space="preserve"> </w:t>
      </w:r>
      <w:r w:rsidR="001E731A" w:rsidRPr="007B1860">
        <w:rPr>
          <w:noProof/>
        </w:rPr>
        <w:t xml:space="preserve">only </w:t>
      </w:r>
      <w:r w:rsidR="00437EA4" w:rsidRPr="007B1860">
        <w:rPr>
          <w:noProof/>
        </w:rPr>
        <w:t xml:space="preserve">known to </w:t>
      </w:r>
      <w:r w:rsidR="004504FD">
        <w:rPr>
          <w:noProof/>
        </w:rPr>
        <w:t>that</w:t>
      </w:r>
      <w:r w:rsidR="00437EA4" w:rsidRPr="007B1860">
        <w:rPr>
          <w:noProof/>
        </w:rPr>
        <w:t xml:space="preserve"> body or individual</w:t>
      </w:r>
      <w:r w:rsidR="001E731A" w:rsidRPr="007B1860">
        <w:rPr>
          <w:noProof/>
        </w:rPr>
        <w:t xml:space="preserve"> </w:t>
      </w:r>
      <w:r w:rsidR="00BF7180" w:rsidRPr="007B1860">
        <w:rPr>
          <w:noProof/>
        </w:rPr>
        <w:t xml:space="preserve">as the assessment of compliance with those conditions is to be carried out on the basis of the activities of the body or individual to whom supplies are made and </w:t>
      </w:r>
      <w:r w:rsidR="00A3088C">
        <w:rPr>
          <w:noProof/>
        </w:rPr>
        <w:t xml:space="preserve">by </w:t>
      </w:r>
      <w:r w:rsidR="00BF7180" w:rsidRPr="007B1860">
        <w:rPr>
          <w:noProof/>
        </w:rPr>
        <w:t>which those goods or services are to be used</w:t>
      </w:r>
      <w:r w:rsidR="00437EA4" w:rsidRPr="007B1860">
        <w:rPr>
          <w:noProof/>
        </w:rPr>
        <w:t xml:space="preserve">. In order to </w:t>
      </w:r>
      <w:r w:rsidR="001E731A" w:rsidRPr="007B1860">
        <w:rPr>
          <w:noProof/>
        </w:rPr>
        <w:t xml:space="preserve">ensure legal certainty for </w:t>
      </w:r>
      <w:r w:rsidR="00F76783" w:rsidRPr="007B1860">
        <w:rPr>
          <w:noProof/>
        </w:rPr>
        <w:t xml:space="preserve">taxable persons </w:t>
      </w:r>
      <w:r w:rsidR="001E731A" w:rsidRPr="007B1860">
        <w:rPr>
          <w:noProof/>
        </w:rPr>
        <w:t xml:space="preserve">and </w:t>
      </w:r>
      <w:r w:rsidR="00CB53B0" w:rsidRPr="007B1860">
        <w:rPr>
          <w:noProof/>
        </w:rPr>
        <w:t xml:space="preserve">to </w:t>
      </w:r>
      <w:r w:rsidR="00437EA4" w:rsidRPr="007B1860">
        <w:rPr>
          <w:noProof/>
        </w:rPr>
        <w:t>avoid undue burden</w:t>
      </w:r>
      <w:r w:rsidR="001E731A" w:rsidRPr="007B1860">
        <w:rPr>
          <w:noProof/>
        </w:rPr>
        <w:t>s</w:t>
      </w:r>
      <w:r w:rsidR="00437EA4" w:rsidRPr="007B1860">
        <w:rPr>
          <w:noProof/>
        </w:rPr>
        <w:t xml:space="preserve"> on taxable persons, it </w:t>
      </w:r>
      <w:r w:rsidR="00CB53B0" w:rsidRPr="007B1860">
        <w:rPr>
          <w:noProof/>
        </w:rPr>
        <w:t>is necessary to clarify</w:t>
      </w:r>
      <w:r w:rsidR="00437EA4" w:rsidRPr="007B1860">
        <w:rPr>
          <w:noProof/>
        </w:rPr>
        <w:t xml:space="preserve"> that in such cases the VAT due </w:t>
      </w:r>
      <w:r w:rsidR="00CB53B0" w:rsidRPr="007B1860">
        <w:rPr>
          <w:noProof/>
        </w:rPr>
        <w:t xml:space="preserve">should </w:t>
      </w:r>
      <w:r w:rsidR="00437EA4" w:rsidRPr="007B1860">
        <w:rPr>
          <w:noProof/>
        </w:rPr>
        <w:t>be paid by the eligible body or individual who issued the exemption certificate</w:t>
      </w:r>
      <w:r w:rsidR="000B69B5" w:rsidRPr="007B1860">
        <w:rPr>
          <w:noProof/>
        </w:rPr>
        <w:t>.</w:t>
      </w:r>
      <w:r w:rsidR="00694EB2" w:rsidRPr="007B1860">
        <w:rPr>
          <w:noProof/>
        </w:rPr>
        <w:t xml:space="preserve"> Member States should </w:t>
      </w:r>
      <w:r w:rsidR="0068381A" w:rsidRPr="007B1860">
        <w:rPr>
          <w:noProof/>
        </w:rPr>
        <w:t xml:space="preserve">avoid unnecessary </w:t>
      </w:r>
      <w:r w:rsidR="00694EB2" w:rsidRPr="007B1860">
        <w:rPr>
          <w:noProof/>
        </w:rPr>
        <w:t>burden</w:t>
      </w:r>
      <w:r w:rsidR="0068381A" w:rsidRPr="007B1860">
        <w:rPr>
          <w:noProof/>
        </w:rPr>
        <w:t>s</w:t>
      </w:r>
      <w:r w:rsidR="00694EB2" w:rsidRPr="007B1860">
        <w:rPr>
          <w:noProof/>
        </w:rPr>
        <w:t xml:space="preserve"> in such excepti</w:t>
      </w:r>
      <w:r w:rsidR="0068381A" w:rsidRPr="007B1860">
        <w:rPr>
          <w:noProof/>
        </w:rPr>
        <w:t>o</w:t>
      </w:r>
      <w:r w:rsidR="00694EB2" w:rsidRPr="007B1860">
        <w:rPr>
          <w:noProof/>
        </w:rPr>
        <w:t>nal cases by allowing the payment of VAT without the need for a full VAT registration.</w:t>
      </w:r>
    </w:p>
    <w:p w:rsidR="00EF5646" w:rsidRPr="007B1860" w:rsidRDefault="00144A8F" w:rsidP="00144A8F">
      <w:pPr>
        <w:pStyle w:val="Point0"/>
        <w:rPr>
          <w:noProof/>
        </w:rPr>
      </w:pPr>
      <w:r w:rsidRPr="00144A8F">
        <w:rPr>
          <w:noProof/>
        </w:rPr>
        <w:t>(4)</w:t>
      </w:r>
      <w:r w:rsidRPr="00144A8F">
        <w:rPr>
          <w:noProof/>
        </w:rPr>
        <w:tab/>
      </w:r>
      <w:r w:rsidR="001F2451" w:rsidRPr="001F2451">
        <w:rPr>
          <w:noProof/>
        </w:rPr>
        <w:t xml:space="preserve">While maintaining the option currently available for the paper version of the certificate, </w:t>
      </w:r>
      <w:r w:rsidR="00523D87">
        <w:rPr>
          <w:noProof/>
        </w:rPr>
        <w:t xml:space="preserve">it should be possible for </w:t>
      </w:r>
      <w:r w:rsidR="001F2451" w:rsidRPr="001F2451">
        <w:rPr>
          <w:noProof/>
        </w:rPr>
        <w:t xml:space="preserve">Member States </w:t>
      </w:r>
      <w:r w:rsidR="00523D87">
        <w:rPr>
          <w:noProof/>
        </w:rPr>
        <w:t xml:space="preserve">to </w:t>
      </w:r>
      <w:r w:rsidR="001F2451" w:rsidRPr="001F2451">
        <w:rPr>
          <w:noProof/>
        </w:rPr>
        <w:t>continue to waive the requirement for the electronic certificate to be signed by the host Member State, subject to conditions which they may lay down and which may be withdrawn in the event of abuse.</w:t>
      </w:r>
    </w:p>
    <w:p w:rsidR="00BC48A6" w:rsidRPr="007B1860" w:rsidRDefault="00144A8F" w:rsidP="00144A8F">
      <w:pPr>
        <w:pStyle w:val="Point0"/>
        <w:rPr>
          <w:noProof/>
        </w:rPr>
      </w:pPr>
      <w:r w:rsidRPr="00144A8F">
        <w:rPr>
          <w:noProof/>
        </w:rPr>
        <w:t>(5)</w:t>
      </w:r>
      <w:r w:rsidRPr="00144A8F">
        <w:rPr>
          <w:noProof/>
        </w:rPr>
        <w:tab/>
      </w:r>
      <w:r w:rsidR="00BC48A6" w:rsidRPr="007B1860">
        <w:rPr>
          <w:noProof/>
        </w:rPr>
        <w:t>In order to ensure uniform conditions for the implementation of Article 151(1) of Directive 2006/112/EC, implementing powers should be conferred on the Commission. Those powers should be exercised in accordance with Regulation (EU) No</w:t>
      </w:r>
      <w:r w:rsidR="00A3088C" w:rsidRPr="007B1860">
        <w:rPr>
          <w:noProof/>
        </w:rPr>
        <w:t> </w:t>
      </w:r>
      <w:r w:rsidR="00BC48A6" w:rsidRPr="007B1860">
        <w:rPr>
          <w:noProof/>
        </w:rPr>
        <w:t>182/2011 of the European Parliament and of the Council</w:t>
      </w:r>
      <w:r w:rsidR="00BC48A6" w:rsidRPr="007B1860">
        <w:rPr>
          <w:rStyle w:val="FootnoteReference"/>
          <w:noProof/>
        </w:rPr>
        <w:footnoteReference w:id="22"/>
      </w:r>
      <w:r w:rsidR="00BC48A6" w:rsidRPr="007B1860">
        <w:rPr>
          <w:noProof/>
        </w:rPr>
        <w:t>.</w:t>
      </w:r>
    </w:p>
    <w:p w:rsidR="00573032" w:rsidRPr="007B1860" w:rsidRDefault="00144A8F" w:rsidP="00144A8F">
      <w:pPr>
        <w:pStyle w:val="Point0"/>
        <w:rPr>
          <w:noProof/>
        </w:rPr>
      </w:pPr>
      <w:r w:rsidRPr="00144A8F">
        <w:rPr>
          <w:noProof/>
        </w:rPr>
        <w:t>(6)</w:t>
      </w:r>
      <w:r w:rsidRPr="00144A8F">
        <w:rPr>
          <w:noProof/>
        </w:rPr>
        <w:tab/>
      </w:r>
      <w:r w:rsidR="00C43172" w:rsidRPr="007B1860">
        <w:rPr>
          <w:noProof/>
        </w:rPr>
        <w:t>Directive 2006/112/EC should therefore be amended accordingly</w:t>
      </w:r>
      <w:r w:rsidR="00254093" w:rsidRPr="007B1860">
        <w:rPr>
          <w:noProof/>
        </w:rPr>
        <w:t>,</w:t>
      </w:r>
      <w:r w:rsidR="002827BE" w:rsidRPr="007B1860">
        <w:rPr>
          <w:noProof/>
        </w:rPr>
        <w:t xml:space="preserve"> </w:t>
      </w:r>
    </w:p>
    <w:p w:rsidR="00573032" w:rsidRPr="007B1860" w:rsidRDefault="00C43172">
      <w:pPr>
        <w:pStyle w:val="Formuledadoption"/>
        <w:rPr>
          <w:noProof/>
        </w:rPr>
      </w:pPr>
      <w:r w:rsidRPr="007B1860">
        <w:rPr>
          <w:noProof/>
        </w:rPr>
        <w:t>HAS ADOPTED THIS DIRECTIVE:</w:t>
      </w:r>
    </w:p>
    <w:p w:rsidR="00573032" w:rsidRPr="007B1860" w:rsidRDefault="00B129D2">
      <w:pPr>
        <w:pStyle w:val="Titrearticle"/>
        <w:rPr>
          <w:noProof/>
        </w:rPr>
      </w:pPr>
      <w:r w:rsidRPr="007B1860">
        <w:rPr>
          <w:noProof/>
        </w:rPr>
        <w:t>Article </w:t>
      </w:r>
      <w:r w:rsidR="00C43172" w:rsidRPr="007B1860">
        <w:rPr>
          <w:noProof/>
        </w:rPr>
        <w:t>1</w:t>
      </w:r>
    </w:p>
    <w:p w:rsidR="004E5127" w:rsidRPr="007B1860" w:rsidRDefault="006754E2" w:rsidP="00AC52B4">
      <w:pPr>
        <w:rPr>
          <w:noProof/>
        </w:rPr>
      </w:pPr>
      <w:r w:rsidRPr="007B1860">
        <w:rPr>
          <w:noProof/>
        </w:rPr>
        <w:t xml:space="preserve">In Article 151 of </w:t>
      </w:r>
      <w:r w:rsidR="00C43172" w:rsidRPr="007B1860">
        <w:rPr>
          <w:noProof/>
        </w:rPr>
        <w:t>Directive 2006/112/EC</w:t>
      </w:r>
      <w:r w:rsidR="00BA14FA" w:rsidRPr="007B1860">
        <w:rPr>
          <w:noProof/>
        </w:rPr>
        <w:t>, the following paragraph</w:t>
      </w:r>
      <w:r w:rsidR="009730B9" w:rsidRPr="007B1860">
        <w:rPr>
          <w:noProof/>
        </w:rPr>
        <w:t>s</w:t>
      </w:r>
      <w:r w:rsidR="00BA14FA" w:rsidRPr="007B1860">
        <w:rPr>
          <w:noProof/>
        </w:rPr>
        <w:t xml:space="preserve"> 1a </w:t>
      </w:r>
      <w:r w:rsidR="009730B9" w:rsidRPr="007B1860">
        <w:rPr>
          <w:noProof/>
        </w:rPr>
        <w:t>and 1b are</w:t>
      </w:r>
      <w:r w:rsidR="00BA14FA" w:rsidRPr="007B1860">
        <w:rPr>
          <w:noProof/>
        </w:rPr>
        <w:t xml:space="preserve"> inserted:</w:t>
      </w:r>
      <w:r w:rsidR="004E5127" w:rsidRPr="007B1860">
        <w:rPr>
          <w:noProof/>
        </w:rPr>
        <w:tab/>
      </w:r>
    </w:p>
    <w:p w:rsidR="00221163" w:rsidRDefault="004E5127" w:rsidP="00397A47">
      <w:pPr>
        <w:pStyle w:val="Text1"/>
        <w:tabs>
          <w:tab w:val="left" w:pos="1134"/>
        </w:tabs>
        <w:ind w:left="567" w:right="568"/>
        <w:rPr>
          <w:noProof/>
        </w:rPr>
      </w:pPr>
      <w:r w:rsidRPr="007B1860">
        <w:rPr>
          <w:noProof/>
        </w:rPr>
        <w:t>‘</w:t>
      </w:r>
      <w:bookmarkStart w:id="2" w:name="_Hlk161393243"/>
      <w:r w:rsidRPr="007B1860">
        <w:rPr>
          <w:noProof/>
        </w:rPr>
        <w:t>1a.</w:t>
      </w:r>
      <w:r w:rsidRPr="007B1860">
        <w:rPr>
          <w:noProof/>
        </w:rPr>
        <w:tab/>
      </w:r>
      <w:r w:rsidR="00FD5D7D" w:rsidRPr="007B1860">
        <w:rPr>
          <w:noProof/>
        </w:rPr>
        <w:t xml:space="preserve">Member States shall use </w:t>
      </w:r>
      <w:r w:rsidR="00EB72F9" w:rsidRPr="007B1860">
        <w:rPr>
          <w:noProof/>
        </w:rPr>
        <w:t>an electronic certificate</w:t>
      </w:r>
      <w:r w:rsidR="00221163" w:rsidRPr="007B1860">
        <w:rPr>
          <w:noProof/>
        </w:rPr>
        <w:t xml:space="preserve"> to confirm that </w:t>
      </w:r>
      <w:r w:rsidR="001E731A" w:rsidRPr="007B1860">
        <w:rPr>
          <w:noProof/>
        </w:rPr>
        <w:t xml:space="preserve">a </w:t>
      </w:r>
      <w:r w:rsidR="00221163" w:rsidRPr="007B1860">
        <w:rPr>
          <w:noProof/>
        </w:rPr>
        <w:t>transaction qualifies for a</w:t>
      </w:r>
      <w:r w:rsidR="00131B7C" w:rsidRPr="007B1860">
        <w:rPr>
          <w:noProof/>
        </w:rPr>
        <w:t>n</w:t>
      </w:r>
      <w:r w:rsidR="00221163" w:rsidRPr="007B1860">
        <w:rPr>
          <w:noProof/>
        </w:rPr>
        <w:t xml:space="preserve"> exemption </w:t>
      </w:r>
      <w:r w:rsidR="00E67117">
        <w:rPr>
          <w:noProof/>
        </w:rPr>
        <w:t>provided for</w:t>
      </w:r>
      <w:r w:rsidR="00397A47" w:rsidRPr="007B1860">
        <w:rPr>
          <w:noProof/>
        </w:rPr>
        <w:t xml:space="preserve"> in paragraph</w:t>
      </w:r>
      <w:r w:rsidR="001E731A" w:rsidRPr="007B1860">
        <w:rPr>
          <w:noProof/>
        </w:rPr>
        <w:t> </w:t>
      </w:r>
      <w:r w:rsidR="00397A47" w:rsidRPr="007B1860">
        <w:rPr>
          <w:noProof/>
        </w:rPr>
        <w:t>1, first subparagraph</w:t>
      </w:r>
      <w:r w:rsidR="00221163" w:rsidRPr="007B1860">
        <w:rPr>
          <w:noProof/>
        </w:rPr>
        <w:t>. The eligible body or individual to whom the exempt supply of goods or services is made</w:t>
      </w:r>
      <w:r w:rsidR="00397A47" w:rsidRPr="007B1860">
        <w:rPr>
          <w:noProof/>
        </w:rPr>
        <w:t>,</w:t>
      </w:r>
      <w:r w:rsidR="00221163" w:rsidRPr="007B1860">
        <w:rPr>
          <w:noProof/>
        </w:rPr>
        <w:t xml:space="preserve"> shall </w:t>
      </w:r>
      <w:r w:rsidR="00F506B0" w:rsidRPr="007B1860">
        <w:rPr>
          <w:noProof/>
        </w:rPr>
        <w:t xml:space="preserve">issue </w:t>
      </w:r>
      <w:r w:rsidR="00221163" w:rsidRPr="007B1860">
        <w:rPr>
          <w:noProof/>
        </w:rPr>
        <w:t xml:space="preserve">the certificate </w:t>
      </w:r>
      <w:r w:rsidR="00B96657">
        <w:rPr>
          <w:noProof/>
        </w:rPr>
        <w:t xml:space="preserve">and, together with the host Member State, </w:t>
      </w:r>
      <w:r w:rsidR="00E67117">
        <w:rPr>
          <w:noProof/>
        </w:rPr>
        <w:t xml:space="preserve">shall </w:t>
      </w:r>
      <w:r w:rsidR="00B96657">
        <w:rPr>
          <w:noProof/>
        </w:rPr>
        <w:t xml:space="preserve">sign it </w:t>
      </w:r>
      <w:r w:rsidR="00221163" w:rsidRPr="007B1860">
        <w:rPr>
          <w:noProof/>
        </w:rPr>
        <w:t>by el</w:t>
      </w:r>
      <w:r w:rsidR="00397A47" w:rsidRPr="007B1860">
        <w:rPr>
          <w:noProof/>
        </w:rPr>
        <w:t>e</w:t>
      </w:r>
      <w:r w:rsidR="00221163" w:rsidRPr="007B1860">
        <w:rPr>
          <w:noProof/>
        </w:rPr>
        <w:t xml:space="preserve">ctronic means. </w:t>
      </w:r>
      <w:bookmarkEnd w:id="2"/>
    </w:p>
    <w:p w:rsidR="00B6010A" w:rsidRPr="007B1860" w:rsidRDefault="00B6010A" w:rsidP="00397A47">
      <w:pPr>
        <w:pStyle w:val="Text1"/>
        <w:tabs>
          <w:tab w:val="left" w:pos="1134"/>
        </w:tabs>
        <w:ind w:left="567" w:right="568"/>
        <w:rPr>
          <w:noProof/>
        </w:rPr>
      </w:pPr>
      <w:r w:rsidRPr="00B6010A">
        <w:rPr>
          <w:noProof/>
        </w:rPr>
        <w:t>If the goods or services are intended for official use, Member States may dispense the eligible body or individual from the requirement to have the certificate signed by the host Member State under the conditions they may lay down. This dispensation may be withdrawn in the case of abuse. Member States shall inform the Commission of the contact point designated to identify the services responsible for signing the certificate by electronic means and the extent to which they dispense with this requirement. The Commission shall inform the other Member States of the information received from Member States.</w:t>
      </w:r>
    </w:p>
    <w:p w:rsidR="00B73705" w:rsidRPr="007B1860" w:rsidRDefault="00775A93" w:rsidP="00221163">
      <w:pPr>
        <w:pStyle w:val="Text1"/>
        <w:tabs>
          <w:tab w:val="left" w:pos="1134"/>
        </w:tabs>
        <w:ind w:left="567" w:right="568"/>
        <w:rPr>
          <w:noProof/>
          <w:lang w:eastAsia="da-DK"/>
        </w:rPr>
      </w:pPr>
      <w:r w:rsidRPr="007B1860">
        <w:rPr>
          <w:noProof/>
          <w:lang w:eastAsia="da-DK"/>
        </w:rPr>
        <w:t xml:space="preserve">By </w:t>
      </w:r>
      <w:r w:rsidR="00226E9A">
        <w:rPr>
          <w:noProof/>
          <w:lang w:eastAsia="da-DK"/>
        </w:rPr>
        <w:t xml:space="preserve">way of </w:t>
      </w:r>
      <w:r w:rsidRPr="007B1860">
        <w:rPr>
          <w:noProof/>
          <w:lang w:eastAsia="da-DK"/>
        </w:rPr>
        <w:t xml:space="preserve">derogation from the first </w:t>
      </w:r>
      <w:r w:rsidR="00B6010A">
        <w:rPr>
          <w:noProof/>
          <w:lang w:eastAsia="da-DK"/>
        </w:rPr>
        <w:t xml:space="preserve">two </w:t>
      </w:r>
      <w:r w:rsidRPr="007B1860">
        <w:rPr>
          <w:noProof/>
          <w:lang w:eastAsia="da-DK"/>
        </w:rPr>
        <w:t>subparagra</w:t>
      </w:r>
      <w:r w:rsidR="00B6010A">
        <w:rPr>
          <w:noProof/>
          <w:lang w:eastAsia="da-DK"/>
        </w:rPr>
        <w:t>p</w:t>
      </w:r>
      <w:r w:rsidRPr="007B1860">
        <w:rPr>
          <w:noProof/>
          <w:lang w:eastAsia="da-DK"/>
        </w:rPr>
        <w:t>h</w:t>
      </w:r>
      <w:r w:rsidR="00B6010A">
        <w:rPr>
          <w:noProof/>
          <w:lang w:eastAsia="da-DK"/>
        </w:rPr>
        <w:t>s</w:t>
      </w:r>
      <w:r w:rsidRPr="007B1860">
        <w:rPr>
          <w:noProof/>
          <w:lang w:eastAsia="da-DK"/>
        </w:rPr>
        <w:t xml:space="preserve">, </w:t>
      </w:r>
      <w:r w:rsidR="00B73705" w:rsidRPr="007B1860">
        <w:rPr>
          <w:noProof/>
          <w:lang w:eastAsia="da-DK"/>
        </w:rPr>
        <w:t xml:space="preserve">Member States may opt to use the paper version of the certificate set out in </w:t>
      </w:r>
      <w:r w:rsidR="00B129D2" w:rsidRPr="007B1860">
        <w:rPr>
          <w:noProof/>
          <w:lang w:eastAsia="da-DK"/>
        </w:rPr>
        <w:t>Annex </w:t>
      </w:r>
      <w:r w:rsidR="00B73705" w:rsidRPr="007B1860">
        <w:rPr>
          <w:noProof/>
          <w:lang w:eastAsia="da-DK"/>
        </w:rPr>
        <w:t xml:space="preserve">II to </w:t>
      </w:r>
      <w:r w:rsidR="00626626" w:rsidRPr="007B1860">
        <w:rPr>
          <w:noProof/>
        </w:rPr>
        <w:t>Council Implementing</w:t>
      </w:r>
      <w:r w:rsidR="00626626" w:rsidRPr="007B1860">
        <w:rPr>
          <w:noProof/>
          <w:lang w:eastAsia="da-DK"/>
        </w:rPr>
        <w:t xml:space="preserve"> </w:t>
      </w:r>
      <w:r w:rsidR="00B73705" w:rsidRPr="007B1860">
        <w:rPr>
          <w:noProof/>
          <w:lang w:eastAsia="da-DK"/>
        </w:rPr>
        <w:t xml:space="preserve">Regulation (EU) </w:t>
      </w:r>
      <w:r w:rsidR="00B129D2" w:rsidRPr="007B1860">
        <w:rPr>
          <w:noProof/>
          <w:lang w:eastAsia="da-DK"/>
        </w:rPr>
        <w:t>No </w:t>
      </w:r>
      <w:r w:rsidR="00B73705" w:rsidRPr="007B1860">
        <w:rPr>
          <w:noProof/>
          <w:lang w:eastAsia="da-DK"/>
        </w:rPr>
        <w:t>282/2011</w:t>
      </w:r>
      <w:r w:rsidR="00E63C5E" w:rsidRPr="007B1860">
        <w:rPr>
          <w:noProof/>
          <w:lang w:eastAsia="da-DK"/>
        </w:rPr>
        <w:t>*</w:t>
      </w:r>
      <w:r w:rsidR="00B73705" w:rsidRPr="007B1860">
        <w:rPr>
          <w:noProof/>
          <w:lang w:eastAsia="da-DK"/>
        </w:rPr>
        <w:t xml:space="preserve"> for </w:t>
      </w:r>
      <w:r w:rsidRPr="007B1860">
        <w:rPr>
          <w:noProof/>
          <w:lang w:eastAsia="da-DK"/>
        </w:rPr>
        <w:t xml:space="preserve">any </w:t>
      </w:r>
      <w:r w:rsidR="00B73705" w:rsidRPr="007B1860">
        <w:rPr>
          <w:noProof/>
          <w:lang w:eastAsia="da-DK"/>
        </w:rPr>
        <w:t xml:space="preserve">transaction </w:t>
      </w:r>
      <w:r w:rsidR="00987E48" w:rsidRPr="007B1860">
        <w:rPr>
          <w:noProof/>
          <w:lang w:eastAsia="da-DK"/>
        </w:rPr>
        <w:t>made until 3</w:t>
      </w:r>
      <w:r w:rsidR="005B19DE">
        <w:rPr>
          <w:noProof/>
          <w:lang w:eastAsia="da-DK"/>
        </w:rPr>
        <w:t>0 June 2030</w:t>
      </w:r>
      <w:r w:rsidR="00B73705" w:rsidRPr="007B1860">
        <w:rPr>
          <w:noProof/>
          <w:lang w:eastAsia="da-DK"/>
        </w:rPr>
        <w:t>.</w:t>
      </w:r>
    </w:p>
    <w:p w:rsidR="00626626" w:rsidRPr="007B1860" w:rsidRDefault="00DB44B9" w:rsidP="00987E48">
      <w:pPr>
        <w:pStyle w:val="Text1"/>
        <w:tabs>
          <w:tab w:val="left" w:pos="1134"/>
        </w:tabs>
        <w:ind w:left="567" w:right="568"/>
        <w:rPr>
          <w:noProof/>
          <w:lang w:eastAsia="da-DK"/>
        </w:rPr>
      </w:pPr>
      <w:r w:rsidRPr="007B1860">
        <w:rPr>
          <w:noProof/>
        </w:rPr>
        <w:t>Th</w:t>
      </w:r>
      <w:r w:rsidR="007B418B" w:rsidRPr="007B1860">
        <w:rPr>
          <w:noProof/>
        </w:rPr>
        <w:t>e Commission shall, by means of</w:t>
      </w:r>
      <w:r w:rsidRPr="007B1860">
        <w:rPr>
          <w:noProof/>
        </w:rPr>
        <w:t xml:space="preserve"> implementing acts</w:t>
      </w:r>
      <w:r w:rsidR="007B418B" w:rsidRPr="007B1860">
        <w:rPr>
          <w:noProof/>
        </w:rPr>
        <w:t>,</w:t>
      </w:r>
      <w:r w:rsidRPr="007B1860">
        <w:rPr>
          <w:noProof/>
        </w:rPr>
        <w:t xml:space="preserve"> determine the technical details and specifications as regards the electronic format of the certificate </w:t>
      </w:r>
      <w:r w:rsidR="00E707E2" w:rsidRPr="007B1860">
        <w:rPr>
          <w:noProof/>
        </w:rPr>
        <w:t xml:space="preserve">referred to in the first subparagraph </w:t>
      </w:r>
      <w:r w:rsidRPr="007B1860">
        <w:rPr>
          <w:noProof/>
        </w:rPr>
        <w:t>and its processing</w:t>
      </w:r>
      <w:r w:rsidR="00715B16" w:rsidRPr="007B1860">
        <w:rPr>
          <w:noProof/>
        </w:rPr>
        <w:t xml:space="preserve">. Those implementing acts </w:t>
      </w:r>
      <w:r w:rsidRPr="007B1860">
        <w:rPr>
          <w:noProof/>
          <w:lang w:eastAsia="da-DK"/>
        </w:rPr>
        <w:t xml:space="preserve">shall be adopted in accordance with the examination procedure referred to in </w:t>
      </w:r>
      <w:r w:rsidRPr="007B1860">
        <w:rPr>
          <w:noProof/>
          <w:color w:val="000000"/>
          <w:shd w:val="clear" w:color="auto" w:fill="FFFFFF"/>
        </w:rPr>
        <w:t>Article 5 of Regulation (EU) No 182/2011 and for this purpose the committee shall be the committee established by Article 58 of Regulation (EU) No 904/2010</w:t>
      </w:r>
      <w:r w:rsidRPr="007B1860">
        <w:rPr>
          <w:noProof/>
          <w:lang w:eastAsia="da-DK"/>
        </w:rPr>
        <w:t>.</w:t>
      </w:r>
    </w:p>
    <w:p w:rsidR="009730B9" w:rsidRPr="007B1860" w:rsidRDefault="009730B9" w:rsidP="00987E48">
      <w:pPr>
        <w:pStyle w:val="Text1"/>
        <w:tabs>
          <w:tab w:val="left" w:pos="1134"/>
        </w:tabs>
        <w:ind w:left="567" w:right="568"/>
        <w:rPr>
          <w:noProof/>
          <w:lang w:eastAsia="da-DK"/>
        </w:rPr>
      </w:pPr>
      <w:r w:rsidRPr="007B1860">
        <w:rPr>
          <w:noProof/>
        </w:rPr>
        <w:t>1b.</w:t>
      </w:r>
      <w:r w:rsidRPr="007B1860">
        <w:rPr>
          <w:noProof/>
        </w:rPr>
        <w:tab/>
      </w:r>
      <w:r w:rsidR="00854134" w:rsidRPr="007B1860">
        <w:rPr>
          <w:noProof/>
        </w:rPr>
        <w:t>Without prejudice to paragraph</w:t>
      </w:r>
      <w:r w:rsidR="00A3088C" w:rsidRPr="007B1860">
        <w:rPr>
          <w:noProof/>
        </w:rPr>
        <w:t> </w:t>
      </w:r>
      <w:r w:rsidR="00854134" w:rsidRPr="007B1860">
        <w:rPr>
          <w:noProof/>
        </w:rPr>
        <w:t>3, if the conditions for exemption laid down in paragraph</w:t>
      </w:r>
      <w:r w:rsidR="00A3088C" w:rsidRPr="007B1860">
        <w:rPr>
          <w:noProof/>
        </w:rPr>
        <w:t> </w:t>
      </w:r>
      <w:r w:rsidR="00854134" w:rsidRPr="007B1860">
        <w:rPr>
          <w:noProof/>
        </w:rPr>
        <w:t>1, first subparagraph, are not met or cease to apply, the eligible body or individual who issued and signed the certificate shall be liable to pay the VAT to the Member State where it is due.</w:t>
      </w:r>
    </w:p>
    <w:p w:rsidR="00626626" w:rsidRPr="007B1860" w:rsidRDefault="00626626" w:rsidP="00987E48">
      <w:pPr>
        <w:pStyle w:val="Text1"/>
        <w:tabs>
          <w:tab w:val="left" w:pos="1134"/>
        </w:tabs>
        <w:ind w:left="567" w:right="568"/>
        <w:rPr>
          <w:noProof/>
          <w:lang w:eastAsia="da-DK"/>
        </w:rPr>
      </w:pPr>
      <w:r w:rsidRPr="007B1860">
        <w:rPr>
          <w:noProof/>
          <w:lang w:eastAsia="da-DK"/>
        </w:rPr>
        <w:t>______________________</w:t>
      </w:r>
    </w:p>
    <w:p w:rsidR="006D0D48" w:rsidRPr="007B1860" w:rsidRDefault="00626626" w:rsidP="00987E48">
      <w:pPr>
        <w:pStyle w:val="Text1"/>
        <w:tabs>
          <w:tab w:val="left" w:pos="1134"/>
        </w:tabs>
        <w:ind w:left="567" w:right="568"/>
        <w:rPr>
          <w:noProof/>
          <w:lang w:eastAsia="da-DK"/>
        </w:rPr>
      </w:pPr>
      <w:r w:rsidRPr="007B1860">
        <w:rPr>
          <w:noProof/>
          <w:lang w:eastAsia="da-DK"/>
        </w:rPr>
        <w:t xml:space="preserve">* </w:t>
      </w:r>
      <w:r w:rsidR="008F56E9" w:rsidRPr="007B1860">
        <w:rPr>
          <w:noProof/>
        </w:rPr>
        <w:t>Council Implementing Regulation (EU) No 282/2011 of 15 March 2011 laying down implementing measures for Directive 2006/112/EC on the common system of value added tax (OJ L 77, 23.3.2011, p. 1</w:t>
      </w:r>
      <w:r w:rsidR="00226E9A" w:rsidRPr="00226E9A">
        <w:rPr>
          <w:noProof/>
        </w:rPr>
        <w:t>, ELI: http://data.europa.eu/eli/reg_impl/2011/282/oj</w:t>
      </w:r>
      <w:r w:rsidR="008F56E9" w:rsidRPr="007B1860">
        <w:rPr>
          <w:noProof/>
        </w:rPr>
        <w:t>).</w:t>
      </w:r>
      <w:r w:rsidR="00C43172" w:rsidRPr="007B1860">
        <w:rPr>
          <w:noProof/>
          <w:lang w:eastAsia="da-DK"/>
        </w:rPr>
        <w:t>’.</w:t>
      </w:r>
    </w:p>
    <w:p w:rsidR="007344FF" w:rsidRPr="007B1860" w:rsidRDefault="00B129D2" w:rsidP="00AC5351">
      <w:pPr>
        <w:pStyle w:val="Titrearticle"/>
        <w:rPr>
          <w:noProof/>
        </w:rPr>
      </w:pPr>
      <w:r w:rsidRPr="007B1860">
        <w:rPr>
          <w:noProof/>
        </w:rPr>
        <w:t>Article </w:t>
      </w:r>
      <w:r w:rsidR="00B505B0" w:rsidRPr="007B1860">
        <w:rPr>
          <w:noProof/>
        </w:rPr>
        <w:t>2</w:t>
      </w:r>
    </w:p>
    <w:p w:rsidR="00590413" w:rsidRPr="007B1860" w:rsidRDefault="00590413" w:rsidP="00590413">
      <w:pPr>
        <w:pStyle w:val="ManualNumPar1"/>
        <w:rPr>
          <w:noProof/>
        </w:rPr>
      </w:pPr>
      <w:r w:rsidRPr="007B1860">
        <w:rPr>
          <w:noProof/>
        </w:rPr>
        <w:t>1.</w:t>
      </w:r>
      <w:r w:rsidRPr="007B1860">
        <w:rPr>
          <w:noProof/>
        </w:rPr>
        <w:tab/>
        <w:t>Member States shall bring into force</w:t>
      </w:r>
      <w:r w:rsidR="00EA75E2">
        <w:rPr>
          <w:noProof/>
        </w:rPr>
        <w:t>, by 30</w:t>
      </w:r>
      <w:r w:rsidR="00E84932">
        <w:rPr>
          <w:noProof/>
        </w:rPr>
        <w:t> </w:t>
      </w:r>
      <w:r w:rsidR="00EA75E2">
        <w:rPr>
          <w:noProof/>
        </w:rPr>
        <w:t>June 2026,</w:t>
      </w:r>
      <w:r w:rsidRPr="007B1860">
        <w:rPr>
          <w:noProof/>
        </w:rPr>
        <w:t xml:space="preserve"> the laws, </w:t>
      </w:r>
      <w:r w:rsidR="007E5E1D" w:rsidRPr="007B1860">
        <w:rPr>
          <w:noProof/>
        </w:rPr>
        <w:t>regulations,</w:t>
      </w:r>
      <w:r w:rsidRPr="007B1860">
        <w:rPr>
          <w:noProof/>
        </w:rPr>
        <w:t xml:space="preserve"> and administrative provisions necessary to comply with </w:t>
      </w:r>
      <w:r w:rsidR="00EA75E2">
        <w:rPr>
          <w:noProof/>
        </w:rPr>
        <w:t>Article</w:t>
      </w:r>
      <w:r w:rsidR="00E84932">
        <w:rPr>
          <w:noProof/>
        </w:rPr>
        <w:t> </w:t>
      </w:r>
      <w:r w:rsidR="00EA75E2">
        <w:rPr>
          <w:noProof/>
        </w:rPr>
        <w:t xml:space="preserve">1 of </w:t>
      </w:r>
      <w:r w:rsidRPr="007B1860">
        <w:rPr>
          <w:noProof/>
        </w:rPr>
        <w:t>this Directive. They shall forthwith communicate to the Commission the text of those provisions.</w:t>
      </w:r>
    </w:p>
    <w:p w:rsidR="00590413" w:rsidRPr="007B1860" w:rsidRDefault="00590413" w:rsidP="00590413">
      <w:pPr>
        <w:pStyle w:val="Text1"/>
        <w:rPr>
          <w:noProof/>
        </w:rPr>
      </w:pPr>
      <w:r w:rsidRPr="007B1860">
        <w:rPr>
          <w:noProof/>
        </w:rPr>
        <w:t>When Member States adopt those provisions, they shall contain a reference to this Directive or be accompanied by such a reference on the occasion of their official publication. Member States shall determine how such reference is to be made.</w:t>
      </w:r>
    </w:p>
    <w:p w:rsidR="00590413" w:rsidRPr="007B1860" w:rsidRDefault="00590413" w:rsidP="00590413">
      <w:pPr>
        <w:pStyle w:val="ManualNumPar1"/>
        <w:rPr>
          <w:noProof/>
        </w:rPr>
      </w:pPr>
      <w:r w:rsidRPr="007B1860">
        <w:rPr>
          <w:noProof/>
        </w:rPr>
        <w:t>2.</w:t>
      </w:r>
      <w:r w:rsidRPr="007B1860">
        <w:rPr>
          <w:noProof/>
        </w:rPr>
        <w:tab/>
        <w:t xml:space="preserve">Member States shall communicate to the Commission the text of the main provisions of national law which they adopt in the field covered by </w:t>
      </w:r>
      <w:r w:rsidR="00EA75E2">
        <w:rPr>
          <w:noProof/>
        </w:rPr>
        <w:t>Article</w:t>
      </w:r>
      <w:r w:rsidR="00E84932">
        <w:rPr>
          <w:noProof/>
        </w:rPr>
        <w:t> </w:t>
      </w:r>
      <w:r w:rsidR="00EA75E2">
        <w:rPr>
          <w:noProof/>
        </w:rPr>
        <w:t xml:space="preserve">1 of </w:t>
      </w:r>
      <w:r w:rsidRPr="007B1860">
        <w:rPr>
          <w:noProof/>
        </w:rPr>
        <w:t>this Directive.</w:t>
      </w:r>
    </w:p>
    <w:p w:rsidR="00E95BE2" w:rsidRPr="007B1860" w:rsidRDefault="00E95BE2" w:rsidP="00B505B0">
      <w:pPr>
        <w:rPr>
          <w:noProof/>
        </w:rPr>
      </w:pPr>
    </w:p>
    <w:p w:rsidR="00573032" w:rsidRPr="007B1860" w:rsidRDefault="00B129D2">
      <w:pPr>
        <w:pStyle w:val="Titrearticle"/>
        <w:rPr>
          <w:noProof/>
        </w:rPr>
      </w:pPr>
      <w:r w:rsidRPr="007B1860">
        <w:rPr>
          <w:noProof/>
        </w:rPr>
        <w:t>Article </w:t>
      </w:r>
      <w:r w:rsidR="00C43172" w:rsidRPr="007B1860">
        <w:rPr>
          <w:noProof/>
        </w:rPr>
        <w:t>3</w:t>
      </w:r>
    </w:p>
    <w:p w:rsidR="00573032" w:rsidRPr="007B1860" w:rsidRDefault="00C43172" w:rsidP="00E61D94">
      <w:pPr>
        <w:rPr>
          <w:noProof/>
        </w:rPr>
      </w:pPr>
      <w:r w:rsidRPr="007B1860">
        <w:rPr>
          <w:noProof/>
        </w:rPr>
        <w:t xml:space="preserve">This Directive shall enter into force on the twentieth day following that of its publication in the </w:t>
      </w:r>
      <w:r w:rsidRPr="007B1860">
        <w:rPr>
          <w:i/>
          <w:noProof/>
        </w:rPr>
        <w:t>Official Journal of the European Union</w:t>
      </w:r>
      <w:r w:rsidRPr="007B1860">
        <w:rPr>
          <w:noProof/>
        </w:rPr>
        <w:t xml:space="preserve">. </w:t>
      </w:r>
    </w:p>
    <w:p w:rsidR="00573032" w:rsidRPr="007B1860" w:rsidRDefault="00B129D2" w:rsidP="007D2B02">
      <w:pPr>
        <w:pStyle w:val="Titrearticle"/>
        <w:rPr>
          <w:noProof/>
        </w:rPr>
      </w:pPr>
      <w:r w:rsidRPr="007B1860">
        <w:rPr>
          <w:noProof/>
        </w:rPr>
        <w:t>Article </w:t>
      </w:r>
      <w:r w:rsidR="00C43172" w:rsidRPr="007B1860">
        <w:rPr>
          <w:noProof/>
        </w:rPr>
        <w:t>4</w:t>
      </w:r>
    </w:p>
    <w:p w:rsidR="00573032" w:rsidRPr="007B1860" w:rsidRDefault="00C43172">
      <w:pPr>
        <w:rPr>
          <w:noProof/>
        </w:rPr>
      </w:pPr>
      <w:r w:rsidRPr="007B1860">
        <w:rPr>
          <w:noProof/>
        </w:rPr>
        <w:t>This Directive is addressed to the Member States.</w:t>
      </w:r>
    </w:p>
    <w:p w:rsidR="00573032" w:rsidRPr="007B1860" w:rsidRDefault="00C561E0" w:rsidP="007D2B02">
      <w:pPr>
        <w:pStyle w:val="Fait"/>
        <w:rPr>
          <w:noProof/>
        </w:rPr>
      </w:pPr>
      <w:r>
        <w:rPr>
          <w:noProof/>
        </w:rPr>
        <w:t>Done at Brussels,</w:t>
      </w:r>
    </w:p>
    <w:p w:rsidR="00573032" w:rsidRPr="007B1860" w:rsidRDefault="00C43172" w:rsidP="007D2B02">
      <w:pPr>
        <w:pStyle w:val="Institutionquisigne"/>
        <w:rPr>
          <w:noProof/>
        </w:rPr>
      </w:pPr>
      <w:r w:rsidRPr="007B1860">
        <w:rPr>
          <w:noProof/>
        </w:rPr>
        <w:tab/>
        <w:t>For the Council</w:t>
      </w:r>
    </w:p>
    <w:p w:rsidR="00573032" w:rsidRPr="007B1860" w:rsidRDefault="00C43172" w:rsidP="00221163">
      <w:pPr>
        <w:pStyle w:val="Personnequisigne"/>
        <w:rPr>
          <w:rFonts w:eastAsia="Times New Roman"/>
          <w:noProof/>
          <w:szCs w:val="24"/>
          <w:lang w:eastAsia="de-DE"/>
        </w:rPr>
      </w:pPr>
      <w:r w:rsidRPr="007B1860">
        <w:rPr>
          <w:noProof/>
        </w:rPr>
        <w:tab/>
        <w:t>The President</w:t>
      </w:r>
    </w:p>
    <w:sectPr w:rsidR="00573032" w:rsidRPr="007B1860" w:rsidSect="00241401">
      <w:endnotePr>
        <w:numFmt w:val="decimal"/>
      </w:end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9C" w:rsidRDefault="00A37A9C">
      <w:pPr>
        <w:spacing w:before="0" w:after="0"/>
      </w:pPr>
      <w:r>
        <w:separator/>
      </w:r>
    </w:p>
  </w:endnote>
  <w:endnote w:type="continuationSeparator" w:id="0">
    <w:p w:rsidR="00A37A9C" w:rsidRDefault="00A37A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01" w:rsidRPr="00241401" w:rsidRDefault="00241401" w:rsidP="00241401">
    <w:pPr>
      <w:pStyle w:val="Footer"/>
      <w:rPr>
        <w:rFonts w:ascii="Arial" w:hAnsi="Arial" w:cs="Arial"/>
        <w:b/>
        <w:sz w:val="48"/>
      </w:rPr>
    </w:pPr>
    <w:r w:rsidRPr="00241401">
      <w:rPr>
        <w:rFonts w:ascii="Arial" w:hAnsi="Arial" w:cs="Arial"/>
        <w:b/>
        <w:sz w:val="48"/>
      </w:rPr>
      <w:t>EN</w:t>
    </w:r>
    <w:r w:rsidRPr="00241401">
      <w:rPr>
        <w:rFonts w:ascii="Arial" w:hAnsi="Arial" w:cs="Arial"/>
        <w:b/>
        <w:sz w:val="48"/>
      </w:rPr>
      <w:tab/>
    </w:r>
    <w:r w:rsidRPr="00241401">
      <w:rPr>
        <w:rFonts w:ascii="Arial" w:hAnsi="Arial" w:cs="Arial"/>
        <w:b/>
        <w:sz w:val="48"/>
      </w:rPr>
      <w:tab/>
    </w:r>
    <w:r w:rsidRPr="00241401">
      <w:tab/>
    </w:r>
    <w:r w:rsidRPr="00241401">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01" w:rsidRPr="00241401" w:rsidRDefault="00241401" w:rsidP="00241401">
    <w:pPr>
      <w:pStyle w:val="Footer"/>
      <w:rPr>
        <w:rFonts w:ascii="Arial" w:hAnsi="Arial" w:cs="Arial"/>
        <w:b/>
        <w:sz w:val="48"/>
      </w:rPr>
    </w:pPr>
    <w:r w:rsidRPr="00241401">
      <w:rPr>
        <w:rFonts w:ascii="Arial" w:hAnsi="Arial" w:cs="Arial"/>
        <w:b/>
        <w:sz w:val="48"/>
      </w:rPr>
      <w:t>EN</w:t>
    </w:r>
    <w:r w:rsidRPr="00241401">
      <w:rPr>
        <w:rFonts w:ascii="Arial" w:hAnsi="Arial" w:cs="Arial"/>
        <w:b/>
        <w:sz w:val="48"/>
      </w:rPr>
      <w:tab/>
    </w:r>
    <w:r w:rsidRPr="00241401">
      <w:rPr>
        <w:rFonts w:ascii="Arial" w:hAnsi="Arial" w:cs="Arial"/>
        <w:b/>
        <w:sz w:val="48"/>
      </w:rPr>
      <w:tab/>
    </w:r>
    <w:r w:rsidRPr="00241401">
      <w:tab/>
    </w:r>
    <w:r w:rsidRPr="0024140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01" w:rsidRDefault="002414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01" w:rsidRPr="00241401" w:rsidRDefault="00241401" w:rsidP="00241401">
    <w:pPr>
      <w:pStyle w:val="Footer"/>
      <w:rPr>
        <w:rFonts w:ascii="Arial" w:hAnsi="Arial" w:cs="Arial"/>
        <w:b/>
        <w:sz w:val="48"/>
      </w:rPr>
    </w:pPr>
    <w:r w:rsidRPr="00241401">
      <w:rPr>
        <w:rFonts w:ascii="Arial" w:hAnsi="Arial" w:cs="Arial"/>
        <w:b/>
        <w:sz w:val="48"/>
      </w:rPr>
      <w:t>EN</w:t>
    </w:r>
    <w:r w:rsidRPr="00241401">
      <w:rPr>
        <w:rFonts w:ascii="Arial" w:hAnsi="Arial" w:cs="Arial"/>
        <w:b/>
        <w:sz w:val="48"/>
      </w:rPr>
      <w:tab/>
    </w:r>
    <w:r>
      <w:fldChar w:fldCharType="begin"/>
    </w:r>
    <w:r>
      <w:instrText xml:space="preserve"> PAGE  \* MERGEFORMAT </w:instrText>
    </w:r>
    <w:r>
      <w:fldChar w:fldCharType="separate"/>
    </w:r>
    <w:r w:rsidR="007D2B02">
      <w:rPr>
        <w:noProof/>
      </w:rPr>
      <w:t>8</w:t>
    </w:r>
    <w:r>
      <w:fldChar w:fldCharType="end"/>
    </w:r>
    <w:r>
      <w:tab/>
    </w:r>
    <w:r w:rsidRPr="00241401">
      <w:tab/>
    </w:r>
    <w:r w:rsidRPr="00241401">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01" w:rsidRDefault="00241401" w:rsidP="00241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9C" w:rsidRDefault="00A37A9C">
      <w:pPr>
        <w:spacing w:before="0" w:after="0"/>
      </w:pPr>
      <w:r>
        <w:separator/>
      </w:r>
    </w:p>
  </w:footnote>
  <w:footnote w:type="continuationSeparator" w:id="0">
    <w:p w:rsidR="00A37A9C" w:rsidRDefault="00A37A9C">
      <w:pPr>
        <w:spacing w:before="0" w:after="0"/>
      </w:pPr>
      <w:r>
        <w:continuationSeparator/>
      </w:r>
    </w:p>
  </w:footnote>
  <w:footnote w:id="1">
    <w:p w:rsidR="007C2FDB" w:rsidRDefault="007C2FDB" w:rsidP="007C2FDB">
      <w:pPr>
        <w:pStyle w:val="FootnoteText"/>
      </w:pPr>
      <w:r>
        <w:rPr>
          <w:rStyle w:val="FootnoteReference"/>
        </w:rPr>
        <w:footnoteRef/>
      </w:r>
      <w:r>
        <w:tab/>
      </w:r>
      <w:r>
        <w:rPr>
          <w:rFonts w:eastAsia="Times New Roman"/>
          <w:lang w:eastAsia="en-GB"/>
        </w:rPr>
        <w:t>Council Directive 2006/112/EC of 28</w:t>
      </w:r>
      <w:r>
        <w:t> </w:t>
      </w:r>
      <w:r>
        <w:rPr>
          <w:rFonts w:eastAsia="Times New Roman"/>
          <w:lang w:eastAsia="en-GB"/>
        </w:rPr>
        <w:t>November 2006 on the common system of value added tax (</w:t>
      </w:r>
      <w:hyperlink r:id="rId1" w:history="1">
        <w:r w:rsidRPr="00E73911">
          <w:rPr>
            <w:rStyle w:val="Hyperlink"/>
            <w:rFonts w:eastAsia="Times New Roman"/>
            <w:lang w:eastAsia="en-GB"/>
          </w:rPr>
          <w:t>OJ</w:t>
        </w:r>
        <w:r w:rsidRPr="00E73911">
          <w:rPr>
            <w:rStyle w:val="Hyperlink"/>
          </w:rPr>
          <w:t> </w:t>
        </w:r>
        <w:r w:rsidRPr="00E73911">
          <w:rPr>
            <w:rStyle w:val="Hyperlink"/>
            <w:rFonts w:eastAsia="Times New Roman"/>
            <w:lang w:eastAsia="en-GB"/>
          </w:rPr>
          <w:t>L</w:t>
        </w:r>
        <w:r w:rsidRPr="00E73911">
          <w:rPr>
            <w:rStyle w:val="Hyperlink"/>
          </w:rPr>
          <w:t> </w:t>
        </w:r>
        <w:r w:rsidRPr="00E73911">
          <w:rPr>
            <w:rStyle w:val="Hyperlink"/>
            <w:rFonts w:eastAsia="Times New Roman"/>
            <w:lang w:eastAsia="en-GB"/>
          </w:rPr>
          <w:t>347, 11.12.2006, p.</w:t>
        </w:r>
        <w:r w:rsidRPr="00E73911">
          <w:rPr>
            <w:rStyle w:val="Hyperlink"/>
          </w:rPr>
          <w:t> </w:t>
        </w:r>
        <w:r w:rsidRPr="00E73911">
          <w:rPr>
            <w:rStyle w:val="Hyperlink"/>
            <w:rFonts w:eastAsia="Times New Roman"/>
            <w:lang w:eastAsia="en-GB"/>
          </w:rPr>
          <w:t>1</w:t>
        </w:r>
      </w:hyperlink>
      <w:r>
        <w:rPr>
          <w:rFonts w:eastAsia="Times New Roman"/>
          <w:lang w:eastAsia="en-GB"/>
        </w:rPr>
        <w:t>), as amended.</w:t>
      </w:r>
    </w:p>
  </w:footnote>
  <w:footnote w:id="2">
    <w:p w:rsidR="00B87B0D" w:rsidRDefault="00B87B0D" w:rsidP="00B87B0D">
      <w:pPr>
        <w:pStyle w:val="FootnoteText"/>
      </w:pPr>
      <w:r>
        <w:rPr>
          <w:rStyle w:val="FootnoteReference"/>
        </w:rPr>
        <w:footnoteRef/>
      </w:r>
      <w:r>
        <w:tab/>
        <w:t xml:space="preserve">Council Implementing Regulation (EU) </w:t>
      </w:r>
      <w:r w:rsidR="00B129D2">
        <w:t>No </w:t>
      </w:r>
      <w:r>
        <w:t>282/2011 of 15 March 2011 laying down implementing measures for Directive 2006/112/EC on the common system of value added tax (recast) (OJ L 77, 23.3.2011, p. 1).</w:t>
      </w:r>
    </w:p>
  </w:footnote>
  <w:footnote w:id="3">
    <w:p w:rsidR="002F0C09" w:rsidRDefault="002F0C09" w:rsidP="002F0C09">
      <w:pPr>
        <w:pStyle w:val="FootnoteText"/>
      </w:pPr>
      <w:r>
        <w:rPr>
          <w:rStyle w:val="FootnoteReference"/>
        </w:rPr>
        <w:footnoteRef/>
      </w:r>
      <w:r>
        <w:tab/>
      </w:r>
      <w:r w:rsidRPr="00C45C46">
        <w:t>Commission Implementing Decision (EU) 2015/1506 of 8</w:t>
      </w:r>
      <w:r w:rsidR="00523D87">
        <w:t> </w:t>
      </w:r>
      <w:r w:rsidRPr="00C45C46">
        <w:t>September 2015 laying down specifications relating to formats of advanced electronic signatures and advanced seals to be recognised by public sector bodies pursuant to Articles</w:t>
      </w:r>
      <w:r w:rsidR="00523D87">
        <w:t> </w:t>
      </w:r>
      <w:r w:rsidRPr="00C45C46">
        <w:t xml:space="preserve">27(5) and 37(5) of Regulation (EU) </w:t>
      </w:r>
      <w:r>
        <w:t>No </w:t>
      </w:r>
      <w:r w:rsidRPr="00C45C46">
        <w:t>910/2014 of the European Parliament and of the Council on electronic identification and trust services for electronic transactions in the internal market</w:t>
      </w:r>
      <w:r>
        <w:t xml:space="preserve"> (</w:t>
      </w:r>
      <w:hyperlink r:id="rId2" w:history="1">
        <w:r w:rsidRPr="00C45C46">
          <w:rPr>
            <w:rStyle w:val="Hyperlink"/>
          </w:rPr>
          <w:t>OJ L 235, 9.9.2015, p. 37</w:t>
        </w:r>
      </w:hyperlink>
      <w:r>
        <w:t>).</w:t>
      </w:r>
    </w:p>
  </w:footnote>
  <w:footnote w:id="4">
    <w:p w:rsidR="00A60D97" w:rsidRPr="00F13D89" w:rsidRDefault="00A60D97" w:rsidP="001C6257">
      <w:pPr>
        <w:pStyle w:val="FootnoteText"/>
        <w:rPr>
          <w:lang w:val="en-IE"/>
        </w:rPr>
      </w:pPr>
      <w:r w:rsidRPr="001C6257">
        <w:rPr>
          <w:rStyle w:val="FootnoteReference"/>
        </w:rPr>
        <w:footnoteRef/>
      </w:r>
      <w:r w:rsidR="001C6257">
        <w:tab/>
      </w:r>
      <w:r w:rsidRPr="00F13D89">
        <w:rPr>
          <w:lang w:val="en-IE"/>
        </w:rPr>
        <w:t>Article</w:t>
      </w:r>
      <w:r w:rsidR="00523D87">
        <w:t> </w:t>
      </w:r>
      <w:r w:rsidRPr="00F13D89">
        <w:rPr>
          <w:lang w:val="en-IE"/>
        </w:rPr>
        <w:t>12(3) of Council Directive (EU) 2020/262 of 19</w:t>
      </w:r>
      <w:r w:rsidR="00523D87">
        <w:t> </w:t>
      </w:r>
      <w:r w:rsidRPr="00F13D89">
        <w:rPr>
          <w:lang w:val="en-IE"/>
        </w:rPr>
        <w:t>December 2019 laying down the general arrangements for excise duty (recast) (OJ</w:t>
      </w:r>
      <w:r w:rsidR="00523D87">
        <w:t> </w:t>
      </w:r>
      <w:r w:rsidRPr="00F13D89">
        <w:rPr>
          <w:lang w:val="en-IE"/>
        </w:rPr>
        <w:t>L</w:t>
      </w:r>
      <w:r w:rsidR="00523D87">
        <w:t> </w:t>
      </w:r>
      <w:r w:rsidRPr="00F13D89">
        <w:rPr>
          <w:lang w:val="en-IE"/>
        </w:rPr>
        <w:t>58, 27.2.2020, p.</w:t>
      </w:r>
      <w:r w:rsidR="00523D87">
        <w:t> </w:t>
      </w:r>
      <w:r w:rsidRPr="00F13D89">
        <w:rPr>
          <w:lang w:val="en-IE"/>
        </w:rPr>
        <w:t>4, ELI: http://data.europa.eu/eli/dir/2020/262/oj)</w:t>
      </w:r>
    </w:p>
  </w:footnote>
  <w:footnote w:id="5">
    <w:p w:rsidR="00573032" w:rsidRDefault="00C43172">
      <w:pPr>
        <w:pStyle w:val="FootnoteText"/>
      </w:pPr>
      <w:r>
        <w:rPr>
          <w:rStyle w:val="FootnoteReference"/>
        </w:rPr>
        <w:footnoteRef/>
      </w:r>
      <w:r>
        <w:tab/>
        <w:t xml:space="preserve">Council Regulation (EU) </w:t>
      </w:r>
      <w:r w:rsidR="00B129D2">
        <w:t>No </w:t>
      </w:r>
      <w:r>
        <w:t>904/2010 of 7 October 2010 on administrative cooperation and combating fraud in the field of value added tax (</w:t>
      </w:r>
      <w:hyperlink r:id="rId3" w:history="1">
        <w:r w:rsidRPr="00E73911">
          <w:rPr>
            <w:rStyle w:val="Hyperlink"/>
          </w:rPr>
          <w:t>OJ L 268, 12.10.2010, p. 1</w:t>
        </w:r>
      </w:hyperlink>
      <w:r>
        <w:t>).</w:t>
      </w:r>
    </w:p>
  </w:footnote>
  <w:footnote w:id="6">
    <w:p w:rsidR="00573032" w:rsidRDefault="00C43172">
      <w:pPr>
        <w:pStyle w:val="FootnoteText"/>
      </w:pPr>
      <w:r>
        <w:rPr>
          <w:rStyle w:val="FootnoteReference"/>
        </w:rPr>
        <w:footnoteRef/>
      </w:r>
      <w:r>
        <w:tab/>
        <w:t xml:space="preserve">Regulation (EU) </w:t>
      </w:r>
      <w:r w:rsidR="00B129D2">
        <w:t>No </w:t>
      </w:r>
      <w:r>
        <w:t>182/2011 of the European Parliament and of the Council of 16</w:t>
      </w:r>
      <w:r>
        <w:rPr>
          <w:noProof/>
        </w:rPr>
        <w:t> </w:t>
      </w:r>
      <w:r>
        <w:t>February 2011 laying down the rules and general principles concerning mechanisms for control by Member States of the Commission’s exercise of implementing powers, (</w:t>
      </w:r>
      <w:hyperlink r:id="rId4" w:history="1">
        <w:r w:rsidRPr="00E73911">
          <w:rPr>
            <w:rStyle w:val="Hyperlink"/>
          </w:rPr>
          <w:t>OJ</w:t>
        </w:r>
        <w:r w:rsidRPr="00E73911">
          <w:rPr>
            <w:rStyle w:val="Hyperlink"/>
            <w:noProof/>
          </w:rPr>
          <w:t> </w:t>
        </w:r>
        <w:r w:rsidRPr="00E73911">
          <w:rPr>
            <w:rStyle w:val="Hyperlink"/>
          </w:rPr>
          <w:t>L</w:t>
        </w:r>
        <w:r w:rsidRPr="00E73911">
          <w:rPr>
            <w:rStyle w:val="Hyperlink"/>
            <w:noProof/>
          </w:rPr>
          <w:t> </w:t>
        </w:r>
        <w:r w:rsidRPr="00E73911">
          <w:rPr>
            <w:rStyle w:val="Hyperlink"/>
          </w:rPr>
          <w:t>55, 28.2.2011, p.</w:t>
        </w:r>
        <w:r w:rsidRPr="00E73911">
          <w:rPr>
            <w:rStyle w:val="Hyperlink"/>
            <w:noProof/>
          </w:rPr>
          <w:t> </w:t>
        </w:r>
        <w:r w:rsidRPr="00E73911">
          <w:rPr>
            <w:rStyle w:val="Hyperlink"/>
          </w:rPr>
          <w:t>13</w:t>
        </w:r>
      </w:hyperlink>
      <w:r>
        <w:t>).</w:t>
      </w:r>
    </w:p>
  </w:footnote>
  <w:footnote w:id="7">
    <w:p w:rsidR="0067287A" w:rsidRPr="008E529F" w:rsidRDefault="0067287A" w:rsidP="00CF381E">
      <w:pPr>
        <w:pStyle w:val="FootnoteText"/>
      </w:pPr>
      <w:r w:rsidRPr="00CF381E">
        <w:rPr>
          <w:rStyle w:val="FootnoteReference"/>
        </w:rPr>
        <w:footnoteRef/>
      </w:r>
      <w:r w:rsidR="00CF381E">
        <w:tab/>
      </w:r>
      <w:r>
        <w:t>Proposal for a Council Directive amending Directive 2006/112/EC as regards exemptions on importations and on certain supplies, in respect of Union measures in the public interest (COM(2021) 181 final).</w:t>
      </w:r>
    </w:p>
  </w:footnote>
  <w:footnote w:id="8">
    <w:p w:rsidR="0067287A" w:rsidRDefault="0067287A" w:rsidP="0067287A">
      <w:pPr>
        <w:pStyle w:val="FootnoteText"/>
      </w:pPr>
      <w:r w:rsidRPr="00EE0065">
        <w:rPr>
          <w:rStyle w:val="FootnoteReference"/>
        </w:rPr>
        <w:footnoteRef/>
      </w:r>
      <w:r>
        <w:tab/>
        <w:t xml:space="preserve">Council Directive (EU) 2021/1159 of 13 July 2021 </w:t>
      </w:r>
      <w:r w:rsidRPr="00313FD3">
        <w:t xml:space="preserve">amending Directive 2006/112/EC </w:t>
      </w:r>
      <w:r w:rsidRPr="00852492">
        <w:t>amending Directive 2006/112/EC as regards temporary exemptions on importations and on certain supplies, in response to the COVID-19 pandemic</w:t>
      </w:r>
      <w:r>
        <w:t xml:space="preserve"> (</w:t>
      </w:r>
      <w:hyperlink r:id="rId5" w:history="1">
        <w:r>
          <w:rPr>
            <w:rStyle w:val="Hyperlink"/>
          </w:rPr>
          <w:t>OJ L 250, 15.07.2021, p. 1</w:t>
        </w:r>
      </w:hyperlink>
      <w:r>
        <w:t>).</w:t>
      </w:r>
    </w:p>
  </w:footnote>
  <w:footnote w:id="9">
    <w:p w:rsidR="007F320D" w:rsidRPr="00443D0D" w:rsidRDefault="007F320D" w:rsidP="00CF381E">
      <w:pPr>
        <w:pStyle w:val="FootnoteText"/>
        <w:rPr>
          <w:lang w:val="en-IE"/>
        </w:rPr>
      </w:pPr>
      <w:r w:rsidRPr="00CF381E">
        <w:rPr>
          <w:rStyle w:val="FootnoteReference"/>
        </w:rPr>
        <w:footnoteRef/>
      </w:r>
      <w:r w:rsidR="00CF381E">
        <w:tab/>
      </w:r>
      <w:r w:rsidRPr="007F320D">
        <w:rPr>
          <w:lang w:val="en-IE"/>
        </w:rPr>
        <w:t>Standing Committee on Administrative Cooperation</w:t>
      </w:r>
    </w:p>
  </w:footnote>
  <w:footnote w:id="10">
    <w:p w:rsidR="007F320D" w:rsidRPr="007F320D" w:rsidRDefault="007F320D" w:rsidP="00CF381E">
      <w:pPr>
        <w:pStyle w:val="FootnoteText"/>
      </w:pPr>
      <w:r w:rsidRPr="00CF381E">
        <w:rPr>
          <w:rStyle w:val="FootnoteReference"/>
        </w:rPr>
        <w:footnoteRef/>
      </w:r>
      <w:r w:rsidR="00CF381E">
        <w:tab/>
      </w:r>
      <w:r w:rsidR="00F62DDC">
        <w:t>S</w:t>
      </w:r>
      <w:r w:rsidRPr="007F320D">
        <w:t>ub-committee for IT matters</w:t>
      </w:r>
    </w:p>
  </w:footnote>
  <w:footnote w:id="11">
    <w:p w:rsidR="0069499B" w:rsidRPr="00836BC6" w:rsidRDefault="0069499B" w:rsidP="0069499B">
      <w:pPr>
        <w:pStyle w:val="FootnoteText"/>
      </w:pPr>
      <w:r w:rsidRPr="00CF381E">
        <w:rPr>
          <w:rStyle w:val="FootnoteReference"/>
        </w:rPr>
        <w:footnoteRef/>
      </w:r>
      <w:r>
        <w:tab/>
        <w:t xml:space="preserve">See working paper </w:t>
      </w:r>
      <w:r w:rsidRPr="002F4828">
        <w:t>SCAC-EG No</w:t>
      </w:r>
      <w:r>
        <w:t> </w:t>
      </w:r>
      <w:r w:rsidRPr="002F4828">
        <w:t>158</w:t>
      </w:r>
      <w:r>
        <w:t xml:space="preserve"> and minutes of the meeting, document </w:t>
      </w:r>
      <w:r w:rsidRPr="00836BC6">
        <w:t>SCAC-EG</w:t>
      </w:r>
      <w:r>
        <w:t xml:space="preserve"> </w:t>
      </w:r>
      <w:r w:rsidRPr="00836BC6">
        <w:t>No</w:t>
      </w:r>
      <w:r>
        <w:t> 159.</w:t>
      </w:r>
    </w:p>
  </w:footnote>
  <w:footnote w:id="12">
    <w:p w:rsidR="00A552F5" w:rsidRPr="00782B78" w:rsidRDefault="00A552F5" w:rsidP="00CF381E">
      <w:pPr>
        <w:pStyle w:val="FootnoteText"/>
      </w:pPr>
      <w:r w:rsidRPr="00CF381E">
        <w:rPr>
          <w:rStyle w:val="FootnoteReference"/>
        </w:rPr>
        <w:footnoteRef/>
      </w:r>
      <w:r w:rsidR="00CF381E">
        <w:tab/>
      </w:r>
      <w:r>
        <w:t>See technical study annexed to document SCIT 214</w:t>
      </w:r>
    </w:p>
  </w:footnote>
  <w:footnote w:id="13">
    <w:p w:rsidR="005C3F41" w:rsidRDefault="005C3F41" w:rsidP="005C3F41">
      <w:pPr>
        <w:pStyle w:val="FootnoteText"/>
      </w:pPr>
      <w:r w:rsidRPr="00EE0065">
        <w:rPr>
          <w:rStyle w:val="FootnoteReference"/>
        </w:rPr>
        <w:footnoteRef/>
      </w:r>
      <w:r>
        <w:tab/>
        <w:t>Council Implementing Regulation (EU) 2022/432 of 15</w:t>
      </w:r>
      <w:r w:rsidR="00F62DDC">
        <w:rPr>
          <w:noProof/>
        </w:rPr>
        <w:t> </w:t>
      </w:r>
      <w:r>
        <w:t xml:space="preserve">March 2022 amending Implementing Regulation (EU) </w:t>
      </w:r>
      <w:r w:rsidR="00B129D2">
        <w:t>No </w:t>
      </w:r>
      <w:r>
        <w:t>282/2011 as regards the VAT and/or excise duty exemption certificate (</w:t>
      </w:r>
      <w:hyperlink r:id="rId6" w:history="1">
        <w:r>
          <w:rPr>
            <w:rStyle w:val="Hyperlink"/>
          </w:rPr>
          <w:t>OJ L 88, 16.3.2022, p. 1</w:t>
        </w:r>
      </w:hyperlink>
      <w:r>
        <w:rPr>
          <w:rStyle w:val="Hyperlink"/>
        </w:rPr>
        <w:t>5</w:t>
      </w:r>
      <w:r>
        <w:t>)</w:t>
      </w:r>
    </w:p>
  </w:footnote>
  <w:footnote w:id="14">
    <w:p w:rsidR="005C3F41" w:rsidRDefault="005C3F41" w:rsidP="005C3F41">
      <w:pPr>
        <w:pStyle w:val="FootnoteText"/>
      </w:pPr>
      <w:r w:rsidRPr="00EE0065">
        <w:rPr>
          <w:rStyle w:val="FootnoteReference"/>
        </w:rPr>
        <w:footnoteRef/>
      </w:r>
      <w:r>
        <w:tab/>
        <w:t xml:space="preserve">Council Directive (EU) 2019/2235 of 16 December 2019 </w:t>
      </w:r>
      <w:r w:rsidRPr="00313FD3">
        <w:t>amending Directive 2006/112/EC on the common system of value added tax and Directive 2008/118/EC concerning the general arrangements for excise duty as regards defence efforts within the Union framework</w:t>
      </w:r>
      <w:r>
        <w:t xml:space="preserve"> (</w:t>
      </w:r>
      <w:hyperlink r:id="rId7" w:history="1">
        <w:r>
          <w:rPr>
            <w:rStyle w:val="Hyperlink"/>
          </w:rPr>
          <w:t>OJ L 336, 30.12.2019, p. 1</w:t>
        </w:r>
      </w:hyperlink>
      <w:r>
        <w:rPr>
          <w:rStyle w:val="Hyperlink"/>
        </w:rPr>
        <w:t>0</w:t>
      </w:r>
      <w:r>
        <w:t>)</w:t>
      </w:r>
    </w:p>
  </w:footnote>
  <w:footnote w:id="15">
    <w:p w:rsidR="005C3F41" w:rsidRDefault="005C3F41" w:rsidP="005C3F41">
      <w:pPr>
        <w:pStyle w:val="FootnoteText"/>
      </w:pPr>
      <w:r w:rsidRPr="00EE0065">
        <w:rPr>
          <w:rStyle w:val="FootnoteReference"/>
        </w:rPr>
        <w:footnoteRef/>
      </w:r>
      <w:r>
        <w:tab/>
        <w:t>Council Directive (EU) 2021/1159 of 13</w:t>
      </w:r>
      <w:r w:rsidR="00EF5338">
        <w:t> </w:t>
      </w:r>
      <w:r>
        <w:t xml:space="preserve">July 2021 </w:t>
      </w:r>
      <w:r w:rsidRPr="00313FD3">
        <w:t xml:space="preserve">amending Directive 2006/112/EC </w:t>
      </w:r>
      <w:r w:rsidRPr="00852492">
        <w:t>amending Directive 2006/112/EC as regards temporary exemptions on importations and on certain supplies, in response to the COVID-19 pandemic</w:t>
      </w:r>
      <w:r>
        <w:t xml:space="preserve"> (</w:t>
      </w:r>
      <w:hyperlink r:id="rId8" w:history="1">
        <w:r>
          <w:rPr>
            <w:rStyle w:val="Hyperlink"/>
          </w:rPr>
          <w:t>OJ L 250, 15.07.2021, p. 1</w:t>
        </w:r>
      </w:hyperlink>
      <w:r>
        <w:t>)</w:t>
      </w:r>
    </w:p>
  </w:footnote>
  <w:footnote w:id="16">
    <w:p w:rsidR="005B77FF" w:rsidRPr="00C45C46" w:rsidRDefault="005B77FF" w:rsidP="005B77FF">
      <w:pPr>
        <w:pStyle w:val="FootnoteText"/>
      </w:pPr>
      <w:r w:rsidRPr="00170E50">
        <w:rPr>
          <w:rStyle w:val="FootnoteReference"/>
        </w:rPr>
        <w:footnoteRef/>
      </w:r>
      <w:r>
        <w:tab/>
      </w:r>
      <w:hyperlink r:id="rId9" w:history="1">
        <w:r w:rsidRPr="00360B24">
          <w:rPr>
            <w:rStyle w:val="Hyperlink"/>
          </w:rPr>
          <w:t>https://digital-strategy.ec.europa.eu/en/news/berlin-declaration-digital-society-and-value-based-digital-government</w:t>
        </w:r>
      </w:hyperlink>
      <w:r>
        <w:t xml:space="preserve"> </w:t>
      </w:r>
    </w:p>
  </w:footnote>
  <w:footnote w:id="17">
    <w:p w:rsidR="005B77FF" w:rsidRDefault="005B77FF" w:rsidP="005B77FF">
      <w:pPr>
        <w:pStyle w:val="FootnoteText"/>
      </w:pPr>
      <w:r>
        <w:rPr>
          <w:rStyle w:val="FootnoteReference"/>
        </w:rPr>
        <w:footnoteRef/>
      </w:r>
      <w:r>
        <w:tab/>
      </w:r>
      <w:r w:rsidRPr="00C45C46">
        <w:t>Commission Implementing Decision (EU) 2015/1506 of 8</w:t>
      </w:r>
      <w:r w:rsidR="00EF5338">
        <w:t> </w:t>
      </w:r>
      <w:r w:rsidRPr="00C45C46">
        <w:t>September 2015 laying down specifications relating to formats of advanced electronic signatures and advanced seals to be recognised by public sector bodies pursuant to Articles</w:t>
      </w:r>
      <w:r w:rsidR="00EF5338">
        <w:t> </w:t>
      </w:r>
      <w:r w:rsidRPr="00C45C46">
        <w:t xml:space="preserve">27(5) and 37(5) of Regulation (EU) </w:t>
      </w:r>
      <w:r w:rsidR="00B129D2">
        <w:t>No </w:t>
      </w:r>
      <w:r w:rsidRPr="00C45C46">
        <w:t>910/2014 of the European Parliament and of the Council on electronic identification and trust services for electronic transactions in the internal market</w:t>
      </w:r>
      <w:r>
        <w:t xml:space="preserve"> (</w:t>
      </w:r>
      <w:hyperlink r:id="rId10" w:history="1">
        <w:r w:rsidRPr="00C45C46">
          <w:rPr>
            <w:rStyle w:val="Hyperlink"/>
          </w:rPr>
          <w:t>OJ L 235, 9.9.2015, p. 37</w:t>
        </w:r>
      </w:hyperlink>
      <w:r>
        <w:t>).</w:t>
      </w:r>
    </w:p>
  </w:footnote>
  <w:footnote w:id="18">
    <w:p w:rsidR="00573032" w:rsidRDefault="00C43172">
      <w:pPr>
        <w:pStyle w:val="FootnoteText"/>
        <w:rPr>
          <w:lang w:val="pl-PL"/>
        </w:rPr>
      </w:pPr>
      <w:r>
        <w:rPr>
          <w:rStyle w:val="FootnoteReference"/>
        </w:rPr>
        <w:footnoteRef/>
      </w:r>
      <w:r>
        <w:rPr>
          <w:lang w:val="pl-PL"/>
        </w:rPr>
        <w:tab/>
        <w:t>OJ C , , p. .</w:t>
      </w:r>
    </w:p>
  </w:footnote>
  <w:footnote w:id="19">
    <w:p w:rsidR="00573032" w:rsidRDefault="00C43172">
      <w:pPr>
        <w:pStyle w:val="FootnoteText"/>
        <w:rPr>
          <w:lang w:val="pl-PL"/>
        </w:rPr>
      </w:pPr>
      <w:r>
        <w:rPr>
          <w:rStyle w:val="FootnoteReference"/>
        </w:rPr>
        <w:footnoteRef/>
      </w:r>
      <w:r>
        <w:rPr>
          <w:lang w:val="pl-PL"/>
        </w:rPr>
        <w:tab/>
        <w:t>OJ C , , p. .</w:t>
      </w:r>
    </w:p>
  </w:footnote>
  <w:footnote w:id="20">
    <w:p w:rsidR="00254093" w:rsidRDefault="00254093" w:rsidP="00254093">
      <w:pPr>
        <w:pStyle w:val="FootnoteText"/>
      </w:pPr>
      <w:r>
        <w:rPr>
          <w:rStyle w:val="FootnoteReference"/>
        </w:rPr>
        <w:footnoteRef/>
      </w:r>
      <w:r>
        <w:tab/>
        <w:t xml:space="preserve">Council Implementing Regulation (EU) </w:t>
      </w:r>
      <w:r w:rsidR="00B129D2">
        <w:t>No </w:t>
      </w:r>
      <w:r>
        <w:t>282/2011 of 15 March 2011 laying down implementing measures for Directive 2006/112/EC on the common system of value added tax (OJ L 77, 23.3.2011, p. 1</w:t>
      </w:r>
      <w:r w:rsidR="00AD08F1">
        <w:t xml:space="preserve">, ELI: </w:t>
      </w:r>
      <w:hyperlink r:id="rId11" w:history="1">
        <w:r w:rsidR="00AD08F1" w:rsidRPr="00982C70">
          <w:rPr>
            <w:rStyle w:val="Hyperlink"/>
          </w:rPr>
          <w:t>http://data.europa.eu/eli/reg_impl/2011/282/oj</w:t>
        </w:r>
      </w:hyperlink>
      <w:r>
        <w:t>).</w:t>
      </w:r>
      <w:r w:rsidR="00AD08F1">
        <w:t xml:space="preserve"> </w:t>
      </w:r>
    </w:p>
  </w:footnote>
  <w:footnote w:id="21">
    <w:p w:rsidR="00226B22" w:rsidRDefault="00226B22" w:rsidP="004C36F9">
      <w:pPr>
        <w:pStyle w:val="FootnoteText"/>
        <w:rPr>
          <w:rFonts w:ascii="&amp;quot" w:eastAsia="Times New Roman" w:hAnsi="&amp;quot"/>
          <w:color w:val="444444"/>
          <w:sz w:val="21"/>
          <w:szCs w:val="21"/>
          <w:lang w:val="en-US"/>
        </w:rPr>
      </w:pPr>
      <w:r>
        <w:rPr>
          <w:rStyle w:val="FootnoteReference"/>
        </w:rPr>
        <w:footnoteRef/>
      </w:r>
      <w:r>
        <w:tab/>
      </w:r>
      <w:r>
        <w:rPr>
          <w:rFonts w:eastAsia="Times New Roman"/>
          <w:lang w:val="en-US"/>
        </w:rPr>
        <w:t>Council Directive 2006/112/EC of 28</w:t>
      </w:r>
      <w:r>
        <w:rPr>
          <w:rFonts w:eastAsia="Times New Roman" w:hint="eastAsia"/>
          <w:lang w:val="en-US"/>
        </w:rPr>
        <w:t> </w:t>
      </w:r>
      <w:r>
        <w:rPr>
          <w:rFonts w:eastAsia="Times New Roman"/>
          <w:lang w:val="en-US"/>
        </w:rPr>
        <w:t xml:space="preserve">November 2006 on the common system of value added tax </w:t>
      </w:r>
      <w:r>
        <w:rPr>
          <w:rFonts w:eastAsia="Times New Roman"/>
          <w:iCs/>
          <w:lang w:val="en-US"/>
        </w:rPr>
        <w:t>(OJ</w:t>
      </w:r>
      <w:r w:rsidR="004C36F9">
        <w:t> </w:t>
      </w:r>
      <w:r>
        <w:rPr>
          <w:rFonts w:eastAsia="Times New Roman"/>
          <w:iCs/>
          <w:lang w:val="en-US"/>
        </w:rPr>
        <w:t>L</w:t>
      </w:r>
      <w:r w:rsidR="004C36F9">
        <w:t> </w:t>
      </w:r>
      <w:r>
        <w:rPr>
          <w:rFonts w:eastAsia="Times New Roman"/>
          <w:iCs/>
          <w:lang w:val="en-US"/>
        </w:rPr>
        <w:t>347, 11.12.2006, p.</w:t>
      </w:r>
      <w:r w:rsidR="004C36F9">
        <w:t> </w:t>
      </w:r>
      <w:r>
        <w:rPr>
          <w:rFonts w:eastAsia="Times New Roman"/>
          <w:iCs/>
          <w:lang w:val="en-US"/>
        </w:rPr>
        <w:t>1</w:t>
      </w:r>
      <w:r w:rsidR="00AD08F1">
        <w:rPr>
          <w:rFonts w:eastAsia="Times New Roman"/>
          <w:iCs/>
          <w:lang w:val="en-US"/>
        </w:rPr>
        <w:t xml:space="preserve">, </w:t>
      </w:r>
      <w:r w:rsidR="00AD08F1" w:rsidRPr="00AD08F1">
        <w:rPr>
          <w:rFonts w:eastAsia="Times New Roman"/>
          <w:iCs/>
          <w:lang w:val="en-US"/>
        </w:rPr>
        <w:t xml:space="preserve">ELI: </w:t>
      </w:r>
      <w:hyperlink r:id="rId12" w:history="1">
        <w:r w:rsidR="00AD08F1" w:rsidRPr="00982C70">
          <w:rPr>
            <w:rStyle w:val="Hyperlink"/>
            <w:rFonts w:eastAsia="Times New Roman"/>
            <w:iCs/>
            <w:lang w:val="en-US"/>
          </w:rPr>
          <w:t>http://data.europa.eu/eli/dir/2006/112/oj</w:t>
        </w:r>
      </w:hyperlink>
      <w:r>
        <w:rPr>
          <w:rFonts w:eastAsia="Times New Roman"/>
          <w:iCs/>
          <w:lang w:val="en-US"/>
        </w:rPr>
        <w:t>).</w:t>
      </w:r>
      <w:r w:rsidR="00AD08F1">
        <w:rPr>
          <w:rFonts w:eastAsia="Times New Roman"/>
          <w:iCs/>
          <w:lang w:val="en-US"/>
        </w:rPr>
        <w:t xml:space="preserve"> </w:t>
      </w:r>
    </w:p>
  </w:footnote>
  <w:footnote w:id="22">
    <w:p w:rsidR="00BC48A6" w:rsidRDefault="00BC48A6" w:rsidP="00BC48A6">
      <w:pPr>
        <w:pStyle w:val="FootnoteText"/>
      </w:pPr>
      <w:r>
        <w:rPr>
          <w:rStyle w:val="FootnoteReference"/>
        </w:rPr>
        <w:footnoteRef/>
      </w:r>
      <w:r>
        <w:tab/>
        <w:t xml:space="preserve">Regulation (EU) No 182/2011 of the European Parliament and of the Council of 16 February 2011 laying down the rules and general principles concerning mechanisms for control by Member States of the Commission’s exercise of implementing powers (OJ L 55, 28.2.2011, p. 13, </w:t>
      </w:r>
      <w:r w:rsidRPr="00AD08F1">
        <w:t xml:space="preserve">ELI: </w:t>
      </w:r>
      <w:hyperlink r:id="rId13" w:history="1">
        <w:r w:rsidRPr="00982C70">
          <w:rPr>
            <w:rStyle w:val="Hyperlink"/>
          </w:rPr>
          <w:t>http://data.europa.eu/eli/reg/2011/182/oj</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01" w:rsidRDefault="00241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01" w:rsidRDefault="00241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554D31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456EB0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2945FC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9DE550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6342C5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40605B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AE2EDB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36C098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7D44C2C"/>
    <w:multiLevelType w:val="singleLevel"/>
    <w:tmpl w:val="551A5850"/>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4" w15:restartNumberingAfterBreak="0">
    <w:nsid w:val="7DF748A8"/>
    <w:multiLevelType w:val="singleLevel"/>
    <w:tmpl w:val="8CDC516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4"/>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3"/>
  </w:num>
  <w:num w:numId="14">
    <w:abstractNumId w:val="22"/>
  </w:num>
  <w:num w:numId="15">
    <w:abstractNumId w:val="12"/>
  </w:num>
  <w:num w:numId="16">
    <w:abstractNumId w:val="14"/>
  </w:num>
  <w:num w:numId="17">
    <w:abstractNumId w:val="15"/>
  </w:num>
  <w:num w:numId="18">
    <w:abstractNumId w:val="10"/>
  </w:num>
  <w:num w:numId="19">
    <w:abstractNumId w:val="21"/>
  </w:num>
  <w:num w:numId="20">
    <w:abstractNumId w:val="9"/>
  </w:num>
  <w:num w:numId="21">
    <w:abstractNumId w:val="16"/>
  </w:num>
  <w:num w:numId="22">
    <w:abstractNumId w:val="18"/>
  </w:num>
  <w:num w:numId="23">
    <w:abstractNumId w:val="19"/>
  </w:num>
  <w:num w:numId="24">
    <w:abstractNumId w:val="11"/>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7-01 08:33:2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87D65A2-B251-455B-AE27-04DCAD9200C6"/>
    <w:docVar w:name="LW_COVERPAGE_TYPE" w:val="1"/>
    <w:docVar w:name="LW_CROSSREFERENCE" w:val="&lt;UNUSED&gt;"/>
    <w:docVar w:name="LW_DocType" w:val="COM"/>
    <w:docVar w:name="LW_EMISSION" w:val="8.7.2024"/>
    <w:docVar w:name="LW_EMISSION_ISODATE" w:val="2024-07-08"/>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52"/>
    <w:docVar w:name="LW_REF.II.NEW.CP_YEAR" w:val="2024"/>
    <w:docVar w:name="LW_REF.INST.NEW" w:val="COM"/>
    <w:docVar w:name="LW_REF.INST.NEW_ADOPTED" w:val="final"/>
    <w:docVar w:name="LW_REF.INST.NEW_TEXT" w:val="(2024) 27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06/112/EC as regards the electronic value added tax exemption certificate"/>
    <w:docVar w:name="LW_TYPE.DOC.CP" w:val="COUNCIL DIRECTIVE"/>
    <w:docVar w:name="LwApiVersions" w:val="LW4CoDe 1.24.5.0; LW 9.0, Build 20240221"/>
  </w:docVars>
  <w:rsids>
    <w:rsidRoot w:val="00573032"/>
    <w:rsid w:val="000079E1"/>
    <w:rsid w:val="0001156F"/>
    <w:rsid w:val="0002513F"/>
    <w:rsid w:val="00037B48"/>
    <w:rsid w:val="00043C5B"/>
    <w:rsid w:val="000505A9"/>
    <w:rsid w:val="00063B66"/>
    <w:rsid w:val="00064F54"/>
    <w:rsid w:val="0007234A"/>
    <w:rsid w:val="000814A8"/>
    <w:rsid w:val="00082B50"/>
    <w:rsid w:val="000840D3"/>
    <w:rsid w:val="000A1BA7"/>
    <w:rsid w:val="000B0450"/>
    <w:rsid w:val="000B69B5"/>
    <w:rsid w:val="000D280B"/>
    <w:rsid w:val="000D56F6"/>
    <w:rsid w:val="000E0795"/>
    <w:rsid w:val="0010264B"/>
    <w:rsid w:val="00117333"/>
    <w:rsid w:val="00120535"/>
    <w:rsid w:val="00121A7B"/>
    <w:rsid w:val="00122611"/>
    <w:rsid w:val="00131B7C"/>
    <w:rsid w:val="00144A8F"/>
    <w:rsid w:val="001568D3"/>
    <w:rsid w:val="00170E50"/>
    <w:rsid w:val="001C6257"/>
    <w:rsid w:val="001E731A"/>
    <w:rsid w:val="001F2451"/>
    <w:rsid w:val="00202391"/>
    <w:rsid w:val="00217E99"/>
    <w:rsid w:val="00221163"/>
    <w:rsid w:val="00226B22"/>
    <w:rsid w:val="00226E9A"/>
    <w:rsid w:val="00241401"/>
    <w:rsid w:val="00247ABA"/>
    <w:rsid w:val="00254093"/>
    <w:rsid w:val="00261391"/>
    <w:rsid w:val="00276B3D"/>
    <w:rsid w:val="002827BE"/>
    <w:rsid w:val="002C4125"/>
    <w:rsid w:val="002F0C09"/>
    <w:rsid w:val="0033436C"/>
    <w:rsid w:val="00355805"/>
    <w:rsid w:val="00360B39"/>
    <w:rsid w:val="00374F62"/>
    <w:rsid w:val="003939E8"/>
    <w:rsid w:val="00397A47"/>
    <w:rsid w:val="003A53F5"/>
    <w:rsid w:val="003C7D88"/>
    <w:rsid w:val="003D0541"/>
    <w:rsid w:val="003D406A"/>
    <w:rsid w:val="003D7C15"/>
    <w:rsid w:val="003F7E14"/>
    <w:rsid w:val="004064E3"/>
    <w:rsid w:val="00411AC0"/>
    <w:rsid w:val="004359FD"/>
    <w:rsid w:val="00437EA4"/>
    <w:rsid w:val="00443D0D"/>
    <w:rsid w:val="004504FD"/>
    <w:rsid w:val="00454A9D"/>
    <w:rsid w:val="0045788F"/>
    <w:rsid w:val="00467577"/>
    <w:rsid w:val="00470865"/>
    <w:rsid w:val="00474329"/>
    <w:rsid w:val="00474547"/>
    <w:rsid w:val="00481497"/>
    <w:rsid w:val="004C36F9"/>
    <w:rsid w:val="004E5127"/>
    <w:rsid w:val="004F246B"/>
    <w:rsid w:val="00502819"/>
    <w:rsid w:val="00506F04"/>
    <w:rsid w:val="00513288"/>
    <w:rsid w:val="00523D87"/>
    <w:rsid w:val="00534946"/>
    <w:rsid w:val="00570B7C"/>
    <w:rsid w:val="00573032"/>
    <w:rsid w:val="00590413"/>
    <w:rsid w:val="00590C3A"/>
    <w:rsid w:val="005957E3"/>
    <w:rsid w:val="005A1A15"/>
    <w:rsid w:val="005B19DE"/>
    <w:rsid w:val="005B2090"/>
    <w:rsid w:val="005B42B5"/>
    <w:rsid w:val="005B65F2"/>
    <w:rsid w:val="005B67F7"/>
    <w:rsid w:val="005B77FF"/>
    <w:rsid w:val="005C3F41"/>
    <w:rsid w:val="005C47B5"/>
    <w:rsid w:val="005D2008"/>
    <w:rsid w:val="0060190D"/>
    <w:rsid w:val="00605EFB"/>
    <w:rsid w:val="00623E0C"/>
    <w:rsid w:val="00626626"/>
    <w:rsid w:val="00642C1C"/>
    <w:rsid w:val="00643E19"/>
    <w:rsid w:val="0067287A"/>
    <w:rsid w:val="006754E2"/>
    <w:rsid w:val="0068381A"/>
    <w:rsid w:val="006842AA"/>
    <w:rsid w:val="00685C80"/>
    <w:rsid w:val="0069499B"/>
    <w:rsid w:val="00694EB2"/>
    <w:rsid w:val="006A7DCC"/>
    <w:rsid w:val="006B3C8B"/>
    <w:rsid w:val="006C6F2E"/>
    <w:rsid w:val="006C7789"/>
    <w:rsid w:val="006D0B10"/>
    <w:rsid w:val="006D0D48"/>
    <w:rsid w:val="006D4790"/>
    <w:rsid w:val="006D4AC2"/>
    <w:rsid w:val="006E77AA"/>
    <w:rsid w:val="006F428D"/>
    <w:rsid w:val="00701342"/>
    <w:rsid w:val="007021B0"/>
    <w:rsid w:val="00715B16"/>
    <w:rsid w:val="00717A2C"/>
    <w:rsid w:val="007344FF"/>
    <w:rsid w:val="007433D9"/>
    <w:rsid w:val="00775A93"/>
    <w:rsid w:val="00787D49"/>
    <w:rsid w:val="00793E02"/>
    <w:rsid w:val="007A2005"/>
    <w:rsid w:val="007B1860"/>
    <w:rsid w:val="007B418B"/>
    <w:rsid w:val="007C2FDB"/>
    <w:rsid w:val="007D2B02"/>
    <w:rsid w:val="007E0A44"/>
    <w:rsid w:val="007E5E1D"/>
    <w:rsid w:val="007F320D"/>
    <w:rsid w:val="008160C5"/>
    <w:rsid w:val="00831E1D"/>
    <w:rsid w:val="00844BDB"/>
    <w:rsid w:val="00845DA2"/>
    <w:rsid w:val="00851A3F"/>
    <w:rsid w:val="00854134"/>
    <w:rsid w:val="00871F17"/>
    <w:rsid w:val="00875BE9"/>
    <w:rsid w:val="0088271E"/>
    <w:rsid w:val="008924E8"/>
    <w:rsid w:val="00893764"/>
    <w:rsid w:val="008A26FE"/>
    <w:rsid w:val="008A7F9D"/>
    <w:rsid w:val="008B760D"/>
    <w:rsid w:val="008C7108"/>
    <w:rsid w:val="008F56E9"/>
    <w:rsid w:val="008F65A4"/>
    <w:rsid w:val="009006DB"/>
    <w:rsid w:val="00904C4A"/>
    <w:rsid w:val="00913FFF"/>
    <w:rsid w:val="0092172C"/>
    <w:rsid w:val="00924F20"/>
    <w:rsid w:val="009365D4"/>
    <w:rsid w:val="00937D2C"/>
    <w:rsid w:val="0094626E"/>
    <w:rsid w:val="00946B52"/>
    <w:rsid w:val="0094764B"/>
    <w:rsid w:val="00964265"/>
    <w:rsid w:val="009730B9"/>
    <w:rsid w:val="00980DD7"/>
    <w:rsid w:val="00987E48"/>
    <w:rsid w:val="009946C5"/>
    <w:rsid w:val="009A4B99"/>
    <w:rsid w:val="009C23A1"/>
    <w:rsid w:val="009C6EC4"/>
    <w:rsid w:val="009E3FB7"/>
    <w:rsid w:val="009E7128"/>
    <w:rsid w:val="00A06FB5"/>
    <w:rsid w:val="00A12CBC"/>
    <w:rsid w:val="00A17543"/>
    <w:rsid w:val="00A304ED"/>
    <w:rsid w:val="00A3088C"/>
    <w:rsid w:val="00A31647"/>
    <w:rsid w:val="00A32CF7"/>
    <w:rsid w:val="00A37A9C"/>
    <w:rsid w:val="00A51A2D"/>
    <w:rsid w:val="00A51EA6"/>
    <w:rsid w:val="00A54910"/>
    <w:rsid w:val="00A552F5"/>
    <w:rsid w:val="00A60D97"/>
    <w:rsid w:val="00A92D1F"/>
    <w:rsid w:val="00A94488"/>
    <w:rsid w:val="00AB0027"/>
    <w:rsid w:val="00AB0841"/>
    <w:rsid w:val="00AC52B4"/>
    <w:rsid w:val="00AC5351"/>
    <w:rsid w:val="00AD08F1"/>
    <w:rsid w:val="00AD7F30"/>
    <w:rsid w:val="00B0049B"/>
    <w:rsid w:val="00B129D2"/>
    <w:rsid w:val="00B17016"/>
    <w:rsid w:val="00B21E30"/>
    <w:rsid w:val="00B31FD4"/>
    <w:rsid w:val="00B4430A"/>
    <w:rsid w:val="00B5044D"/>
    <w:rsid w:val="00B505B0"/>
    <w:rsid w:val="00B6010A"/>
    <w:rsid w:val="00B643F6"/>
    <w:rsid w:val="00B73705"/>
    <w:rsid w:val="00B87B0D"/>
    <w:rsid w:val="00B96657"/>
    <w:rsid w:val="00BA14FA"/>
    <w:rsid w:val="00BA451D"/>
    <w:rsid w:val="00BB421C"/>
    <w:rsid w:val="00BB4FB8"/>
    <w:rsid w:val="00BB6911"/>
    <w:rsid w:val="00BC39CB"/>
    <w:rsid w:val="00BC48A6"/>
    <w:rsid w:val="00BC76EA"/>
    <w:rsid w:val="00BD1C5F"/>
    <w:rsid w:val="00BE46A7"/>
    <w:rsid w:val="00BE6815"/>
    <w:rsid w:val="00BF7180"/>
    <w:rsid w:val="00C028FB"/>
    <w:rsid w:val="00C22AD2"/>
    <w:rsid w:val="00C231F5"/>
    <w:rsid w:val="00C43172"/>
    <w:rsid w:val="00C45C46"/>
    <w:rsid w:val="00C561E0"/>
    <w:rsid w:val="00C80C7A"/>
    <w:rsid w:val="00C85475"/>
    <w:rsid w:val="00CA351C"/>
    <w:rsid w:val="00CA6F06"/>
    <w:rsid w:val="00CB53B0"/>
    <w:rsid w:val="00CB59D9"/>
    <w:rsid w:val="00CC3C36"/>
    <w:rsid w:val="00CE54B7"/>
    <w:rsid w:val="00CF0CDF"/>
    <w:rsid w:val="00CF381E"/>
    <w:rsid w:val="00CF4CD1"/>
    <w:rsid w:val="00D00ECA"/>
    <w:rsid w:val="00D0372F"/>
    <w:rsid w:val="00D2286A"/>
    <w:rsid w:val="00D305D1"/>
    <w:rsid w:val="00D35EF1"/>
    <w:rsid w:val="00D461F3"/>
    <w:rsid w:val="00D56854"/>
    <w:rsid w:val="00D6424A"/>
    <w:rsid w:val="00D70BDE"/>
    <w:rsid w:val="00D70D1A"/>
    <w:rsid w:val="00D765B0"/>
    <w:rsid w:val="00D76982"/>
    <w:rsid w:val="00D80060"/>
    <w:rsid w:val="00D82963"/>
    <w:rsid w:val="00DA3FBC"/>
    <w:rsid w:val="00DA5E36"/>
    <w:rsid w:val="00DB44B9"/>
    <w:rsid w:val="00DE42C7"/>
    <w:rsid w:val="00E33596"/>
    <w:rsid w:val="00E36402"/>
    <w:rsid w:val="00E4192E"/>
    <w:rsid w:val="00E41D18"/>
    <w:rsid w:val="00E42F9E"/>
    <w:rsid w:val="00E435FC"/>
    <w:rsid w:val="00E61766"/>
    <w:rsid w:val="00E61D94"/>
    <w:rsid w:val="00E63C5E"/>
    <w:rsid w:val="00E67117"/>
    <w:rsid w:val="00E707E2"/>
    <w:rsid w:val="00E73911"/>
    <w:rsid w:val="00E7767B"/>
    <w:rsid w:val="00E8038B"/>
    <w:rsid w:val="00E84932"/>
    <w:rsid w:val="00E921B9"/>
    <w:rsid w:val="00E94018"/>
    <w:rsid w:val="00E95BE2"/>
    <w:rsid w:val="00EA75E2"/>
    <w:rsid w:val="00EB30AF"/>
    <w:rsid w:val="00EB6734"/>
    <w:rsid w:val="00EB72F9"/>
    <w:rsid w:val="00EF5338"/>
    <w:rsid w:val="00EF5646"/>
    <w:rsid w:val="00F13D89"/>
    <w:rsid w:val="00F26CCF"/>
    <w:rsid w:val="00F36824"/>
    <w:rsid w:val="00F506B0"/>
    <w:rsid w:val="00F57AD9"/>
    <w:rsid w:val="00F62DDC"/>
    <w:rsid w:val="00F66CFC"/>
    <w:rsid w:val="00F76783"/>
    <w:rsid w:val="00F82D8F"/>
    <w:rsid w:val="00F9570B"/>
    <w:rsid w:val="00FB051A"/>
    <w:rsid w:val="00FC59F1"/>
    <w:rsid w:val="00FD1D63"/>
    <w:rsid w:val="00FD5D7D"/>
    <w:rsid w:val="00FE5369"/>
    <w:rsid w:val="00FF0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unhideWhenUsed/>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uperscript">
    <w:name w:val="superscript"/>
    <w:basedOn w:val="DefaultParagraphFont"/>
  </w:style>
  <w:style w:type="paragraph" w:customStyle="1" w:styleId="ListDash1">
    <w:name w:val="List Dash 1"/>
    <w:basedOn w:val="Normal"/>
    <w:pPr>
      <w:numPr>
        <w:numId w:val="9"/>
      </w:numPr>
    </w:pPr>
    <w:rPr>
      <w:rFonts w:eastAsia="Times New Roman"/>
      <w:szCs w:val="24"/>
      <w:lang w:eastAsia="de-DE"/>
    </w:rPr>
  </w:style>
  <w:style w:type="paragraph" w:customStyle="1" w:styleId="ListDash2">
    <w:name w:val="List Dash 2"/>
    <w:basedOn w:val="Normal"/>
    <w:pPr>
      <w:numPr>
        <w:numId w:val="10"/>
      </w:numPr>
    </w:pPr>
    <w:rPr>
      <w:rFonts w:eastAsia="Times New Roman"/>
      <w:szCs w:val="24"/>
      <w:lang w:eastAsia="de-DE"/>
    </w:rPr>
  </w:style>
  <w:style w:type="character" w:styleId="FollowedHyperlink">
    <w:name w:val="FollowedHyperlink"/>
    <w:basedOn w:val="DefaultParagraphFont"/>
    <w:uiPriority w:val="99"/>
    <w:semiHidden/>
    <w:unhideWhenUsed/>
    <w:rsid w:val="00FC59F1"/>
    <w:rPr>
      <w:color w:val="800080" w:themeColor="followedHyperlink"/>
      <w:u w:val="single"/>
    </w:rPr>
  </w:style>
  <w:style w:type="character" w:customStyle="1" w:styleId="UnresolvedMention">
    <w:name w:val="Unresolved Mention"/>
    <w:basedOn w:val="DefaultParagraphFont"/>
    <w:uiPriority w:val="99"/>
    <w:semiHidden/>
    <w:unhideWhenUsed/>
    <w:rsid w:val="00C45C46"/>
    <w:rPr>
      <w:color w:val="605E5C"/>
      <w:shd w:val="clear" w:color="auto" w:fill="E1DFDD"/>
    </w:rPr>
  </w:style>
  <w:style w:type="paragraph" w:customStyle="1" w:styleId="Footnote">
    <w:name w:val="Footnote"/>
    <w:aliases w:val="Times 10 Point,Exposant 3 Point,Footnote Reference Superscript Car,Char Char Char Char Char Car,BVI fnr Car,Footnote symbol Car,SUPERS Car,note TESI Car,number"/>
    <w:basedOn w:val="Normal"/>
    <w:link w:val="FootnoteReference"/>
    <w:uiPriority w:val="99"/>
    <w:rsid w:val="005C3F41"/>
    <w:pPr>
      <w:spacing w:before="0" w:after="160" w:line="240" w:lineRule="exact"/>
      <w:jc w:val="left"/>
    </w:pPr>
    <w:rPr>
      <w:rFonts w:asciiTheme="minorHAnsi" w:hAnsiTheme="minorHAnsi" w:cstheme="minorBidi"/>
      <w:sz w:val="22"/>
      <w:vertAlign w:val="superscript"/>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A552F5"/>
    <w:pPr>
      <w:spacing w:before="0" w:after="0" w:line="160" w:lineRule="exact"/>
      <w:ind w:left="284" w:hanging="284"/>
    </w:pPr>
    <w:rPr>
      <w:rFonts w:eastAsia="Times New Roman"/>
      <w:sz w:val="20"/>
      <w:szCs w:val="20"/>
      <w:vertAlign w:val="superscript"/>
      <w:lang w:eastAsia="en-GB"/>
    </w:rPr>
  </w:style>
  <w:style w:type="character" w:customStyle="1" w:styleId="cf01">
    <w:name w:val="cf01"/>
    <w:basedOn w:val="DefaultParagraphFont"/>
    <w:rsid w:val="002827BE"/>
    <w:rPr>
      <w:rFonts w:ascii="Segoe UI" w:hAnsi="Segoe UI" w:cs="Segoe UI" w:hint="default"/>
      <w:sz w:val="18"/>
      <w:szCs w:val="18"/>
    </w:rPr>
  </w:style>
  <w:style w:type="character" w:customStyle="1" w:styleId="HeaderChar">
    <w:name w:val="Header Char"/>
    <w:basedOn w:val="DefaultParagraphFont"/>
    <w:link w:val="Header"/>
    <w:uiPriority w:val="99"/>
    <w:rsid w:val="00241401"/>
    <w:rPr>
      <w:rFonts w:ascii="Times New Roman" w:hAnsi="Times New Roman" w:cs="Times New Roman"/>
      <w:sz w:val="24"/>
      <w:lang w:val="en-GB"/>
    </w:rPr>
  </w:style>
  <w:style w:type="character" w:customStyle="1" w:styleId="FooterChar">
    <w:name w:val="Footer Char"/>
    <w:basedOn w:val="DefaultParagraphFont"/>
    <w:link w:val="Footer"/>
    <w:uiPriority w:val="99"/>
    <w:rsid w:val="0024140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
    <w:uiPriority w:val="99"/>
    <w:semiHidden/>
    <w:unhideWhenUsed/>
    <w:rPr>
      <w:shd w:val="clear" w:color="auto" w:fill="auto"/>
      <w:vertAlign w:val="superscript"/>
    </w:rPr>
  </w:style>
  <w:style w:type="paragraph" w:customStyle="1" w:styleId="HeaderSensitivity">
    <w:name w:val="Header Sensitivity"/>
    <w:basedOn w:val="Normal"/>
    <w:rsid w:val="0024140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41401"/>
    <w:pPr>
      <w:spacing w:before="0"/>
      <w:jc w:val="right"/>
    </w:pPr>
    <w:rPr>
      <w:sz w:val="28"/>
    </w:rPr>
  </w:style>
  <w:style w:type="paragraph" w:customStyle="1" w:styleId="FooterSensitivity">
    <w:name w:val="Footer Sensitivity"/>
    <w:basedOn w:val="Normal"/>
    <w:rsid w:val="0024140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241401"/>
    <w:pPr>
      <w:tabs>
        <w:tab w:val="center" w:pos="4535"/>
        <w:tab w:val="right" w:pos="9071"/>
      </w:tabs>
      <w:spacing w:before="0"/>
    </w:pPr>
  </w:style>
  <w:style w:type="paragraph" w:customStyle="1" w:styleId="HeaderLandscape">
    <w:name w:val="HeaderLandscape"/>
    <w:basedOn w:val="Normal"/>
    <w:rsid w:val="00241401"/>
    <w:pPr>
      <w:tabs>
        <w:tab w:val="center" w:pos="7285"/>
        <w:tab w:val="right" w:pos="14003"/>
      </w:tabs>
      <w:spacing w:before="0"/>
    </w:pPr>
  </w:style>
  <w:style w:type="paragraph" w:styleId="Footer">
    <w:name w:val="footer"/>
    <w:basedOn w:val="Normal"/>
    <w:link w:val="FooterChar"/>
    <w:uiPriority w:val="99"/>
    <w:unhideWhenUsed/>
    <w:rsid w:val="00241401"/>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241401"/>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OJ:L:2021:250:TOC" TargetMode="External"/><Relationship Id="rId13" Type="http://schemas.openxmlformats.org/officeDocument/2006/relationships/hyperlink" Target="http://data.europa.eu/eli/reg/2011/182/oj" TargetMode="External"/><Relationship Id="rId3" Type="http://schemas.openxmlformats.org/officeDocument/2006/relationships/hyperlink" Target="https://eur-lex.europa.eu/legal-content/EN/TXT/?uri=CELEX%3A32010R0904&amp;qid=1717738790056" TargetMode="External"/><Relationship Id="rId7" Type="http://schemas.openxmlformats.org/officeDocument/2006/relationships/hyperlink" Target="https://eur-lex.europa.eu/legal-content/EN/TXT/?uri=uriserv:OJ.L_.2019.336.01.0010.01.ENG&amp;toc=OJ:L:2019:336:TOC" TargetMode="External"/><Relationship Id="rId12" Type="http://schemas.openxmlformats.org/officeDocument/2006/relationships/hyperlink" Target="http://data.europa.eu/eli/dir/2006/112/oj" TargetMode="External"/><Relationship Id="rId2" Type="http://schemas.openxmlformats.org/officeDocument/2006/relationships/hyperlink" Target="https://eur-lex.europa.eu/legal-content/EN/TXT/?uri=OJ%3AJOL_2015_235_R_0006" TargetMode="External"/><Relationship Id="rId1" Type="http://schemas.openxmlformats.org/officeDocument/2006/relationships/hyperlink" Target="https://eur-lex.europa.eu/legal-content/EN/TXT/?uri=CELEX%3A32006L0112&amp;qid=1717738711163" TargetMode="External"/><Relationship Id="rId6" Type="http://schemas.openxmlformats.org/officeDocument/2006/relationships/hyperlink" Target="https://eur-lex.europa.eu/legal-content/EN/TXT/?uri=CELEX%3A32022R0432&amp;qid=1705923422795" TargetMode="External"/><Relationship Id="rId11" Type="http://schemas.openxmlformats.org/officeDocument/2006/relationships/hyperlink" Target="http://data.europa.eu/eli/reg_impl/2011/282/oj" TargetMode="External"/><Relationship Id="rId5" Type="http://schemas.openxmlformats.org/officeDocument/2006/relationships/hyperlink" Target="https://eur-lex.europa.eu/legal-content/EN/TXT/?uri=OJ:L:2021:250:TOC" TargetMode="External"/><Relationship Id="rId10" Type="http://schemas.openxmlformats.org/officeDocument/2006/relationships/hyperlink" Target="https://eur-lex.europa.eu/legal-content/EN/TXT/?uri=OJ%3AJOL_2015_235_R_0006" TargetMode="External"/><Relationship Id="rId4" Type="http://schemas.openxmlformats.org/officeDocument/2006/relationships/hyperlink" Target="https://eur-lex.europa.eu/legal-content/EN/TXT/?uri=CELEX%3A32011R0182&amp;qid=1718959803296" TargetMode="External"/><Relationship Id="rId9" Type="http://schemas.openxmlformats.org/officeDocument/2006/relationships/hyperlink" Target="https://digital-strategy.ec.europa.eu/en/news/berlin-declaration-digital-society-and-value-based-digital-govern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B97E-B74C-4487-BA19-F3C1F8C2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2777</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2024-06-21T09:53:00Z</dcterms:created>
  <dcterms:modified xsi:type="dcterms:W3CDTF">2024-07-01T06:33:00Z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2024-06-07T08:28:16Z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a3fdd5f3-e60b-4fb3-992b-7f3b41fea35a</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DQCStatus">
    <vt:lpwstr>Green (DQC version 03)</vt:lpwstr>
  </property>
</Properties>
</file>