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FA9" w:rsidRDefault="002D22F6" w:rsidP="002D22F6">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F95AE08-7487-4A28-8095-A12B3D8D52E0" style="width:455.25pt;height:383.25pt">
            <v:imagedata r:id="rId11" o:title=""/>
          </v:shape>
        </w:pict>
      </w:r>
    </w:p>
    <w:p w:rsidR="00C11FA9" w:rsidRDefault="00C11FA9" w:rsidP="00C11FA9">
      <w:pPr>
        <w:rPr>
          <w:noProof/>
        </w:rPr>
        <w:sectPr w:rsidR="00C11FA9" w:rsidSect="002D22F6">
          <w:footerReference w:type="even" r:id="rId12"/>
          <w:footerReference w:type="default" r:id="rId13"/>
          <w:pgSz w:w="11907" w:h="16839"/>
          <w:pgMar w:top="1134" w:right="1417" w:bottom="1134" w:left="1417" w:header="709" w:footer="709" w:gutter="0"/>
          <w:pgNumType w:start="0"/>
          <w:cols w:space="720"/>
          <w:docGrid w:linePitch="360"/>
        </w:sectPr>
      </w:pPr>
    </w:p>
    <w:p w:rsidR="00C11FA9" w:rsidRDefault="00C11FA9" w:rsidP="00A52F19">
      <w:pPr>
        <w:pStyle w:val="Exposdesmotifstitre"/>
        <w:rPr>
          <w:noProof/>
        </w:rPr>
      </w:pPr>
      <w:bookmarkStart w:id="0" w:name="_GoBack"/>
      <w:bookmarkEnd w:id="0"/>
      <w:r w:rsidRPr="006F770D">
        <w:rPr>
          <w:noProof/>
        </w:rPr>
        <w:lastRenderedPageBreak/>
        <w:t>EXPLANATORY MEMORANDUM</w:t>
      </w:r>
    </w:p>
    <w:p w:rsidR="00C11FA9" w:rsidRPr="00C11E78" w:rsidRDefault="3C452CD4" w:rsidP="002C718A">
      <w:pPr>
        <w:widowControl w:val="0"/>
        <w:shd w:val="clear" w:color="auto" w:fill="FFFFFF" w:themeFill="background1"/>
        <w:autoSpaceDE w:val="0"/>
        <w:autoSpaceDN w:val="0"/>
        <w:adjustRightInd w:val="0"/>
        <w:spacing w:before="230" w:after="0" w:line="269" w:lineRule="exact"/>
        <w:rPr>
          <w:noProof/>
        </w:rPr>
      </w:pPr>
      <w:r w:rsidRPr="00C11E78">
        <w:rPr>
          <w:noProof/>
        </w:rPr>
        <w:t xml:space="preserve">The present proposal concerns the </w:t>
      </w:r>
      <w:r w:rsidR="00057F9A">
        <w:rPr>
          <w:noProof/>
        </w:rPr>
        <w:t>conclusion</w:t>
      </w:r>
      <w:r w:rsidR="00057F9A" w:rsidRPr="00C11E78">
        <w:rPr>
          <w:noProof/>
        </w:rPr>
        <w:t xml:space="preserve"> </w:t>
      </w:r>
      <w:r w:rsidRPr="00C11E78">
        <w:rPr>
          <w:noProof/>
        </w:rPr>
        <w:t xml:space="preserve">of an Agreement between the European Union </w:t>
      </w:r>
      <w:r w:rsidR="00C11E78">
        <w:rPr>
          <w:noProof/>
        </w:rPr>
        <w:t xml:space="preserve">and the Republic of </w:t>
      </w:r>
      <w:r w:rsidR="001113AA">
        <w:rPr>
          <w:noProof/>
        </w:rPr>
        <w:t>Lebanon</w:t>
      </w:r>
      <w:r w:rsidR="00C11E78">
        <w:rPr>
          <w:noProof/>
        </w:rPr>
        <w:t xml:space="preserve"> on </w:t>
      </w:r>
      <w:r w:rsidR="004D0AA1">
        <w:rPr>
          <w:noProof/>
        </w:rPr>
        <w:t xml:space="preserve">the </w:t>
      </w:r>
      <w:r w:rsidRPr="00C11E78">
        <w:rPr>
          <w:noProof/>
        </w:rPr>
        <w:t xml:space="preserve">cooperation between the European Agency for Criminal Justice Cooperation (Eurojust) and the authorities </w:t>
      </w:r>
      <w:r w:rsidR="004D0AA1" w:rsidRPr="00C11E78">
        <w:rPr>
          <w:noProof/>
        </w:rPr>
        <w:t xml:space="preserve">of the Republic of </w:t>
      </w:r>
      <w:r w:rsidR="004D0AA1">
        <w:rPr>
          <w:noProof/>
        </w:rPr>
        <w:t>Lebanon</w:t>
      </w:r>
      <w:r w:rsidR="004D0AA1" w:rsidRPr="00C11E78">
        <w:rPr>
          <w:noProof/>
        </w:rPr>
        <w:t xml:space="preserve"> competent </w:t>
      </w:r>
      <w:r w:rsidRPr="00C11E78">
        <w:rPr>
          <w:noProof/>
        </w:rPr>
        <w:t xml:space="preserve">for judicial cooperation in criminal matters </w:t>
      </w:r>
      <w:r w:rsidR="545CCE41" w:rsidRPr="181C8758">
        <w:rPr>
          <w:noProof/>
          <w:color w:val="000000" w:themeColor="text1"/>
        </w:rPr>
        <w:t>(hereafter “</w:t>
      </w:r>
      <w:r w:rsidR="7596EFBA" w:rsidRPr="181C8758">
        <w:rPr>
          <w:noProof/>
          <w:color w:val="000000" w:themeColor="text1"/>
        </w:rPr>
        <w:t xml:space="preserve">the </w:t>
      </w:r>
      <w:r w:rsidR="545CCE41" w:rsidRPr="181C8758">
        <w:rPr>
          <w:noProof/>
          <w:color w:val="000000" w:themeColor="text1"/>
        </w:rPr>
        <w:t>Agreement”).</w:t>
      </w:r>
    </w:p>
    <w:p w:rsidR="00C11FA9" w:rsidRPr="006F770D" w:rsidRDefault="00C11FA9" w:rsidP="00A52F19">
      <w:pPr>
        <w:pStyle w:val="ManualHeading1"/>
        <w:rPr>
          <w:noProof/>
        </w:rPr>
      </w:pPr>
      <w:r w:rsidRPr="00C567EE">
        <w:rPr>
          <w:noProof/>
        </w:rPr>
        <w:t>1.</w:t>
      </w:r>
      <w:r w:rsidRPr="00C567EE">
        <w:rPr>
          <w:noProof/>
        </w:rPr>
        <w:tab/>
      </w:r>
      <w:r w:rsidRPr="006F770D">
        <w:rPr>
          <w:noProof/>
        </w:rPr>
        <w:t>CONTEXT OF THE PROPOSAL</w:t>
      </w:r>
    </w:p>
    <w:p w:rsidR="00C11FA9" w:rsidRPr="00044058" w:rsidRDefault="00C11FA9" w:rsidP="00A52F19">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AB2544" w:rsidRDefault="00AB2544" w:rsidP="002C718A">
      <w:pPr>
        <w:widowControl w:val="0"/>
        <w:shd w:val="clear" w:color="auto" w:fill="FFFFFF"/>
        <w:autoSpaceDE w:val="0"/>
        <w:autoSpaceDN w:val="0"/>
        <w:adjustRightInd w:val="0"/>
        <w:spacing w:before="230" w:after="0" w:line="269" w:lineRule="exact"/>
        <w:rPr>
          <w:noProof/>
          <w:color w:val="000000" w:themeColor="text1"/>
          <w:lang w:bidi="en-US"/>
        </w:rPr>
      </w:pPr>
      <w:r w:rsidRPr="00AB2544">
        <w:rPr>
          <w:noProof/>
          <w:color w:val="000000" w:themeColor="text1"/>
          <w:lang w:bidi="en-US"/>
        </w:rPr>
        <w:t>The European Union Agency for Criminal Justice Cooperation (Eurojust) coordinates investigations and prosecutions of serious cross-border crime in Europe and beyond. As the European Union’s (EU) hub for judicial cooperation in criminal matters, Eurojust supports national investigating and prosecuting authorities.</w:t>
      </w:r>
    </w:p>
    <w:p w:rsidR="001529E9" w:rsidRPr="00A2158B" w:rsidRDefault="001529E9" w:rsidP="00A2158B">
      <w:pPr>
        <w:rPr>
          <w:noProof/>
          <w:color w:val="000000" w:themeColor="text1"/>
          <w:lang w:bidi="en-US"/>
        </w:rPr>
      </w:pPr>
      <w:r w:rsidRPr="00A2158B">
        <w:rPr>
          <w:noProof/>
        </w:rPr>
        <w:t xml:space="preserve">In a globalised world, the need for cooperation </w:t>
      </w:r>
      <w:r w:rsidR="00991687" w:rsidRPr="00A2158B">
        <w:rPr>
          <w:noProof/>
        </w:rPr>
        <w:t xml:space="preserve">between judicial authorities involved in the investigation and prosecution of serious crimes </w:t>
      </w:r>
      <w:r w:rsidRPr="00A2158B">
        <w:rPr>
          <w:noProof/>
        </w:rPr>
        <w:t xml:space="preserve">does not stop at Union borders. </w:t>
      </w:r>
      <w:r w:rsidR="003D450F" w:rsidRPr="181C8758">
        <w:rPr>
          <w:noProof/>
          <w:color w:val="000000" w:themeColor="text1"/>
          <w:lang w:val="en-US" w:bidi="en-US"/>
        </w:rPr>
        <w:t xml:space="preserve">With the increase of cross-border crime, it is crucial to obtain information from outside one’s jurisdiction. </w:t>
      </w:r>
      <w:r w:rsidRPr="00A2158B">
        <w:rPr>
          <w:noProof/>
        </w:rPr>
        <w:t xml:space="preserve">Therefore, Eurojust should be able to cooperate closely and exchange personal data with judicial authorities of </w:t>
      </w:r>
      <w:r w:rsidR="00991687" w:rsidRPr="00A2158B">
        <w:rPr>
          <w:noProof/>
        </w:rPr>
        <w:t xml:space="preserve">selected </w:t>
      </w:r>
      <w:r w:rsidRPr="00A2158B">
        <w:rPr>
          <w:noProof/>
        </w:rPr>
        <w:t>third countries to the extent necessary for the accomplishment of its tasks within the framework of the requirements</w:t>
      </w:r>
      <w:r w:rsidR="00001E5C" w:rsidRPr="00A2158B">
        <w:rPr>
          <w:noProof/>
        </w:rPr>
        <w:t xml:space="preserve"> set out in Regulation (EU) 2018/1727</w:t>
      </w:r>
      <w:r w:rsidR="00001E5C" w:rsidRPr="00A2158B">
        <w:rPr>
          <w:rStyle w:val="FootnoteReference"/>
          <w:iCs/>
          <w:noProof/>
        </w:rPr>
        <w:footnoteReference w:id="2"/>
      </w:r>
      <w:r w:rsidR="00AF08A8" w:rsidRPr="00A2158B">
        <w:rPr>
          <w:noProof/>
        </w:rPr>
        <w:t xml:space="preserve"> (hereafter “</w:t>
      </w:r>
      <w:r w:rsidR="0067178C" w:rsidRPr="00A2158B">
        <w:rPr>
          <w:noProof/>
        </w:rPr>
        <w:t>Eurojust Regulation</w:t>
      </w:r>
      <w:r w:rsidR="00AF08A8" w:rsidRPr="00A2158B">
        <w:rPr>
          <w:noProof/>
        </w:rPr>
        <w:t>”</w:t>
      </w:r>
      <w:r w:rsidR="0067178C" w:rsidRPr="00A2158B">
        <w:rPr>
          <w:noProof/>
        </w:rPr>
        <w:t>)</w:t>
      </w:r>
      <w:r w:rsidRPr="00A2158B">
        <w:rPr>
          <w:noProof/>
        </w:rPr>
        <w:t>.</w:t>
      </w:r>
      <w:r w:rsidR="003D450F" w:rsidRPr="003D450F">
        <w:rPr>
          <w:noProof/>
          <w:color w:val="000000" w:themeColor="text1"/>
          <w:lang w:val="en-US" w:bidi="en-US"/>
        </w:rPr>
        <w:t xml:space="preserve"> </w:t>
      </w:r>
      <w:r w:rsidR="003D450F" w:rsidRPr="181C8758">
        <w:rPr>
          <w:noProof/>
          <w:color w:val="000000" w:themeColor="text1"/>
          <w:lang w:val="en-US" w:bidi="en-US"/>
        </w:rPr>
        <w:t xml:space="preserve">At the same time, it is important to ensure that </w:t>
      </w:r>
      <w:r w:rsidR="003D450F" w:rsidRPr="00620245">
        <w:rPr>
          <w:noProof/>
          <w:color w:val="000000" w:themeColor="text1"/>
          <w:lang w:val="en-US" w:bidi="en-US"/>
        </w:rPr>
        <w:t>adequate safeguards with respect to the protection of privacy and fundamental rights and freedoms of individuals</w:t>
      </w:r>
      <w:r w:rsidR="003D450F">
        <w:rPr>
          <w:noProof/>
          <w:color w:val="000000" w:themeColor="text1"/>
          <w:lang w:val="en-US" w:bidi="en-US"/>
        </w:rPr>
        <w:t xml:space="preserve"> are in place for the protection of </w:t>
      </w:r>
      <w:r w:rsidR="003D450F" w:rsidRPr="181C8758">
        <w:rPr>
          <w:noProof/>
          <w:color w:val="000000" w:themeColor="text1"/>
          <w:lang w:val="en-US" w:bidi="en-US"/>
        </w:rPr>
        <w:t>personal data.</w:t>
      </w:r>
    </w:p>
    <w:p w:rsidR="00AB2544" w:rsidRPr="00991687" w:rsidRDefault="15095958" w:rsidP="002C718A">
      <w:pPr>
        <w:widowControl w:val="0"/>
        <w:shd w:val="clear" w:color="auto" w:fill="FFFFFF" w:themeFill="background1"/>
        <w:autoSpaceDE w:val="0"/>
        <w:autoSpaceDN w:val="0"/>
        <w:adjustRightInd w:val="0"/>
        <w:spacing w:before="230" w:after="0" w:line="269" w:lineRule="exact"/>
        <w:rPr>
          <w:noProof/>
          <w:color w:val="000000" w:themeColor="text1"/>
          <w:lang w:bidi="en-US"/>
        </w:rPr>
      </w:pPr>
      <w:r w:rsidRPr="181C8758">
        <w:rPr>
          <w:noProof/>
          <w:color w:val="000000" w:themeColor="text1"/>
          <w:lang w:bidi="en-US"/>
        </w:rPr>
        <w:t xml:space="preserve">Eurojust </w:t>
      </w:r>
      <w:r w:rsidR="11C92EE1" w:rsidRPr="181C8758">
        <w:rPr>
          <w:noProof/>
          <w:color w:val="000000" w:themeColor="text1"/>
          <w:lang w:bidi="en-US"/>
        </w:rPr>
        <w:t>can</w:t>
      </w:r>
      <w:r w:rsidRPr="181C8758">
        <w:rPr>
          <w:noProof/>
          <w:color w:val="000000" w:themeColor="text1"/>
          <w:lang w:bidi="en-US"/>
        </w:rPr>
        <w:t xml:space="preserve"> </w:t>
      </w:r>
      <w:r w:rsidR="2367ED66" w:rsidRPr="181C8758">
        <w:rPr>
          <w:noProof/>
          <w:color w:val="000000" w:themeColor="text1"/>
          <w:lang w:bidi="en-US"/>
        </w:rPr>
        <w:t>exchange</w:t>
      </w:r>
      <w:r w:rsidRPr="181C8758">
        <w:rPr>
          <w:noProof/>
          <w:color w:val="000000" w:themeColor="text1"/>
          <w:lang w:bidi="en-US"/>
        </w:rPr>
        <w:t xml:space="preserve"> operational personal data</w:t>
      </w:r>
      <w:r w:rsidR="11C92EE1" w:rsidRPr="181C8758">
        <w:rPr>
          <w:noProof/>
          <w:color w:val="000000" w:themeColor="text1"/>
          <w:lang w:bidi="en-US"/>
        </w:rPr>
        <w:t xml:space="preserve"> </w:t>
      </w:r>
      <w:r w:rsidR="2367ED66" w:rsidRPr="181C8758">
        <w:rPr>
          <w:noProof/>
          <w:color w:val="000000" w:themeColor="text1"/>
          <w:lang w:bidi="en-US"/>
        </w:rPr>
        <w:t>with</w:t>
      </w:r>
      <w:r w:rsidR="11C92EE1" w:rsidRPr="181C8758">
        <w:rPr>
          <w:noProof/>
          <w:color w:val="000000" w:themeColor="text1"/>
          <w:lang w:bidi="en-US"/>
        </w:rPr>
        <w:t xml:space="preserve"> third countries</w:t>
      </w:r>
      <w:r w:rsidR="2367ED66" w:rsidRPr="181C8758">
        <w:rPr>
          <w:noProof/>
          <w:color w:val="000000" w:themeColor="text1"/>
          <w:lang w:bidi="en-US"/>
        </w:rPr>
        <w:t xml:space="preserve"> where one of the requirements set out in Article 56</w:t>
      </w:r>
      <w:r w:rsidR="7596EFBA" w:rsidRPr="181C8758">
        <w:rPr>
          <w:noProof/>
          <w:color w:val="000000" w:themeColor="text1"/>
          <w:lang w:bidi="en-US"/>
        </w:rPr>
        <w:t>(</w:t>
      </w:r>
      <w:r w:rsidR="2367ED66" w:rsidRPr="181C8758">
        <w:rPr>
          <w:noProof/>
          <w:color w:val="000000" w:themeColor="text1"/>
          <w:lang w:bidi="en-US"/>
        </w:rPr>
        <w:t>2</w:t>
      </w:r>
      <w:r w:rsidR="7596EFBA" w:rsidRPr="181C8758">
        <w:rPr>
          <w:noProof/>
          <w:color w:val="000000" w:themeColor="text1"/>
          <w:lang w:bidi="en-US"/>
        </w:rPr>
        <w:t>)</w:t>
      </w:r>
      <w:r w:rsidR="2367ED66" w:rsidRPr="181C8758">
        <w:rPr>
          <w:noProof/>
          <w:color w:val="000000" w:themeColor="text1"/>
          <w:lang w:bidi="en-US"/>
        </w:rPr>
        <w:t xml:space="preserve"> points </w:t>
      </w:r>
      <w:r w:rsidR="3067E616" w:rsidRPr="181C8758">
        <w:rPr>
          <w:noProof/>
          <w:color w:val="000000" w:themeColor="text1"/>
          <w:lang w:bidi="en-US"/>
        </w:rPr>
        <w:t>(</w:t>
      </w:r>
      <w:r w:rsidR="2367ED66" w:rsidRPr="181C8758">
        <w:rPr>
          <w:noProof/>
          <w:color w:val="000000" w:themeColor="text1"/>
          <w:lang w:bidi="en-US"/>
        </w:rPr>
        <w:t>a</w:t>
      </w:r>
      <w:r w:rsidR="6AB5985E" w:rsidRPr="181C8758">
        <w:rPr>
          <w:noProof/>
          <w:color w:val="000000" w:themeColor="text1"/>
          <w:lang w:bidi="en-US"/>
        </w:rPr>
        <w:t>)</w:t>
      </w:r>
      <w:r w:rsidR="2367ED66" w:rsidRPr="181C8758">
        <w:rPr>
          <w:noProof/>
          <w:color w:val="000000" w:themeColor="text1"/>
          <w:lang w:bidi="en-US"/>
        </w:rPr>
        <w:t xml:space="preserve"> to </w:t>
      </w:r>
      <w:r w:rsidR="6C826F2E" w:rsidRPr="181C8758">
        <w:rPr>
          <w:noProof/>
          <w:color w:val="000000" w:themeColor="text1"/>
          <w:lang w:bidi="en-US"/>
        </w:rPr>
        <w:t>(</w:t>
      </w:r>
      <w:r w:rsidR="2367ED66" w:rsidRPr="181C8758">
        <w:rPr>
          <w:noProof/>
          <w:color w:val="000000" w:themeColor="text1"/>
          <w:lang w:bidi="en-US"/>
        </w:rPr>
        <w:t>c</w:t>
      </w:r>
      <w:r w:rsidR="0A5A30AF" w:rsidRPr="181C8758">
        <w:rPr>
          <w:noProof/>
          <w:color w:val="000000" w:themeColor="text1"/>
          <w:lang w:bidi="en-US"/>
        </w:rPr>
        <w:t>)</w:t>
      </w:r>
      <w:r w:rsidR="006D3752">
        <w:rPr>
          <w:noProof/>
          <w:color w:val="000000" w:themeColor="text1"/>
          <w:lang w:bidi="en-US"/>
        </w:rPr>
        <w:t>,</w:t>
      </w:r>
      <w:r w:rsidR="2367ED66" w:rsidRPr="181C8758">
        <w:rPr>
          <w:noProof/>
          <w:color w:val="000000" w:themeColor="text1"/>
          <w:lang w:bidi="en-US"/>
        </w:rPr>
        <w:t xml:space="preserve"> of the Eurojust Regulation is met: </w:t>
      </w:r>
    </w:p>
    <w:p w:rsidR="0067178C" w:rsidRPr="0067178C" w:rsidRDefault="0067178C" w:rsidP="00D75E99">
      <w:pPr>
        <w:pStyle w:val="Bullet0"/>
        <w:numPr>
          <w:ilvl w:val="0"/>
          <w:numId w:val="5"/>
        </w:numPr>
        <w:rPr>
          <w:noProof/>
          <w:lang w:val="en-US" w:bidi="en-US"/>
        </w:rPr>
      </w:pPr>
      <w:r>
        <w:rPr>
          <w:noProof/>
          <w:lang w:val="en-US" w:bidi="en-US"/>
        </w:rPr>
        <w:t>T</w:t>
      </w:r>
      <w:r w:rsidRPr="0067178C">
        <w:rPr>
          <w:noProof/>
          <w:lang w:bidi="en-US"/>
        </w:rPr>
        <w:t>he Commission has decided pursuant to Article 57 that the third country or international organisation in question ensures an adequate level of protection, or in the absence of such an adequacy decision, appropriate safeguards have been provided for or exist in accordance with Article 58(1), or in the absence of both an adequacy decision and of such appropriate safeguards, a derogation for specific situations applies</w:t>
      </w:r>
      <w:r>
        <w:rPr>
          <w:noProof/>
          <w:lang w:bidi="en-US"/>
        </w:rPr>
        <w:t xml:space="preserve"> pursuant to Article 59(1); </w:t>
      </w:r>
    </w:p>
    <w:p w:rsidR="0067178C" w:rsidRPr="0067178C" w:rsidRDefault="006D3752" w:rsidP="0067178C">
      <w:pPr>
        <w:pStyle w:val="Bullet0"/>
        <w:rPr>
          <w:noProof/>
          <w:lang w:val="en-US" w:bidi="en-US"/>
        </w:rPr>
      </w:pPr>
      <w:r>
        <w:rPr>
          <w:noProof/>
          <w:lang w:val="en-US" w:bidi="en-US"/>
        </w:rPr>
        <w:t>a</w:t>
      </w:r>
      <w:r w:rsidR="0067178C" w:rsidRPr="0067178C">
        <w:rPr>
          <w:noProof/>
          <w:lang w:bidi="en-US"/>
        </w:rPr>
        <w:t xml:space="preserve"> cooperation agreement allowing for the exchange of operational personal data has been concluded before 12 December 2019 between Eurojust and th</w:t>
      </w:r>
      <w:r w:rsidR="00B06065">
        <w:rPr>
          <w:noProof/>
          <w:lang w:bidi="en-US"/>
        </w:rPr>
        <w:t>e</w:t>
      </w:r>
      <w:r w:rsidR="0067178C" w:rsidRPr="0067178C">
        <w:rPr>
          <w:noProof/>
          <w:lang w:bidi="en-US"/>
        </w:rPr>
        <w:t xml:space="preserve"> third country or international organisation, in accordance with Article 26a of Decision 2002/187/JHA</w:t>
      </w:r>
      <w:r>
        <w:rPr>
          <w:rStyle w:val="FootnoteReference"/>
          <w:noProof/>
          <w:lang w:bidi="en-US"/>
        </w:rPr>
        <w:footnoteReference w:id="3"/>
      </w:r>
      <w:r w:rsidR="0067178C" w:rsidRPr="0067178C">
        <w:rPr>
          <w:noProof/>
          <w:lang w:bidi="en-US"/>
        </w:rPr>
        <w:t xml:space="preserve">; or </w:t>
      </w:r>
    </w:p>
    <w:p w:rsidR="0067178C" w:rsidRPr="0067178C" w:rsidRDefault="00B06065" w:rsidP="0067178C">
      <w:pPr>
        <w:pStyle w:val="Bullet0"/>
        <w:rPr>
          <w:noProof/>
          <w:lang w:val="en-US" w:bidi="en-US"/>
        </w:rPr>
      </w:pPr>
      <w:r>
        <w:rPr>
          <w:noProof/>
          <w:lang w:bidi="en-US"/>
        </w:rPr>
        <w:t>a</w:t>
      </w:r>
      <w:r w:rsidR="0067178C" w:rsidRPr="0067178C">
        <w:rPr>
          <w:noProof/>
          <w:lang w:bidi="en-US"/>
        </w:rPr>
        <w:t xml:space="preserve">n international agreement has been concluded between the Union and the third country or international organisation pursuant to Article 218 </w:t>
      </w:r>
      <w:r w:rsidRPr="009101CA">
        <w:rPr>
          <w:noProof/>
          <w:lang w:bidi="en-US"/>
        </w:rPr>
        <w:t>of the Treaty on the Functioning of the European Union (</w:t>
      </w:r>
      <w:r w:rsidR="0067178C" w:rsidRPr="0067178C">
        <w:rPr>
          <w:noProof/>
          <w:lang w:bidi="en-US"/>
        </w:rPr>
        <w:t>TFEU</w:t>
      </w:r>
      <w:r>
        <w:rPr>
          <w:noProof/>
          <w:lang w:bidi="en-US"/>
        </w:rPr>
        <w:t>,</w:t>
      </w:r>
      <w:r w:rsidRPr="0067178C">
        <w:rPr>
          <w:noProof/>
          <w:lang w:bidi="en-US"/>
        </w:rPr>
        <w:t xml:space="preserve"> </w:t>
      </w:r>
      <w:r w:rsidR="0067178C" w:rsidRPr="0067178C">
        <w:rPr>
          <w:noProof/>
          <w:lang w:bidi="en-US"/>
        </w:rPr>
        <w:t>that provides for adequate safeguards with respect to the protection of privacy and fundamental rights and freedoms of individuals.</w:t>
      </w:r>
    </w:p>
    <w:p w:rsidR="00AB2544" w:rsidRPr="00AB2544" w:rsidRDefault="009D2327" w:rsidP="002C718A">
      <w:pPr>
        <w:widowControl w:val="0"/>
        <w:shd w:val="clear" w:color="auto" w:fill="FFFFFF"/>
        <w:autoSpaceDE w:val="0"/>
        <w:autoSpaceDN w:val="0"/>
        <w:adjustRightInd w:val="0"/>
        <w:spacing w:before="230" w:after="0" w:line="269" w:lineRule="exact"/>
        <w:rPr>
          <w:noProof/>
          <w:color w:val="000000" w:themeColor="text1"/>
          <w:lang w:val="en-US" w:bidi="en-US"/>
        </w:rPr>
      </w:pPr>
      <w:r>
        <w:rPr>
          <w:noProof/>
          <w:color w:val="000000" w:themeColor="text1"/>
          <w:lang w:val="en-US" w:bidi="en-US"/>
        </w:rPr>
        <w:t>At present</w:t>
      </w:r>
      <w:r w:rsidR="00AB2544" w:rsidRPr="00AB2544">
        <w:rPr>
          <w:noProof/>
          <w:color w:val="000000" w:themeColor="text1"/>
          <w:lang w:val="en-US" w:bidi="en-US"/>
        </w:rPr>
        <w:t>, Eurojust has cooperation agreements</w:t>
      </w:r>
      <w:r w:rsidR="0067178C">
        <w:rPr>
          <w:noProof/>
          <w:color w:val="000000" w:themeColor="text1"/>
          <w:lang w:val="en-US" w:bidi="en-US"/>
        </w:rPr>
        <w:t xml:space="preserve"> based on Article 26a of Decision 2002/187/JHA</w:t>
      </w:r>
      <w:r w:rsidR="00AB2544">
        <w:rPr>
          <w:noProof/>
          <w:color w:val="000000" w:themeColor="text1"/>
          <w:lang w:val="en-US" w:bidi="en-US"/>
        </w:rPr>
        <w:t>,</w:t>
      </w:r>
      <w:r w:rsidR="00AB2544" w:rsidRPr="00AB2544">
        <w:rPr>
          <w:noProof/>
          <w:color w:val="000000" w:themeColor="text1"/>
          <w:lang w:val="en-US" w:bidi="en-US"/>
        </w:rPr>
        <w:t xml:space="preserve"> which allow for exchanges of personal data</w:t>
      </w:r>
      <w:r w:rsidR="00991687">
        <w:rPr>
          <w:noProof/>
          <w:color w:val="000000" w:themeColor="text1"/>
          <w:lang w:val="en-US" w:bidi="en-US"/>
        </w:rPr>
        <w:t>,</w:t>
      </w:r>
      <w:r w:rsidR="00AB2544" w:rsidRPr="00AB2544">
        <w:rPr>
          <w:noProof/>
          <w:color w:val="000000" w:themeColor="text1"/>
          <w:lang w:val="en-US" w:bidi="en-US"/>
        </w:rPr>
        <w:t xml:space="preserve"> in place with Montenegro, Ukraine, Moldova, Liechtenstein, Switzerland, North Macedonia, the USA, Iceland, Norway, Georgia, Albania and Serbia. Under Artic</w:t>
      </w:r>
      <w:r w:rsidR="00AF08A8">
        <w:rPr>
          <w:noProof/>
          <w:color w:val="000000" w:themeColor="text1"/>
          <w:lang w:val="en-US" w:bidi="en-US"/>
        </w:rPr>
        <w:t>le 80(5) of the Eurojust Regulation</w:t>
      </w:r>
      <w:r w:rsidR="00AB2544" w:rsidRPr="00AB2544">
        <w:rPr>
          <w:noProof/>
          <w:color w:val="000000" w:themeColor="text1"/>
          <w:lang w:val="en-US" w:bidi="en-US"/>
        </w:rPr>
        <w:t xml:space="preserve"> these cooperation agreements remain valid.</w:t>
      </w:r>
    </w:p>
    <w:p w:rsidR="0067178C" w:rsidRDefault="5B5577D0" w:rsidP="002C718A">
      <w:pPr>
        <w:widowControl w:val="0"/>
        <w:shd w:val="clear" w:color="auto" w:fill="FFFFFF" w:themeFill="background1"/>
        <w:autoSpaceDE w:val="0"/>
        <w:autoSpaceDN w:val="0"/>
        <w:adjustRightInd w:val="0"/>
        <w:spacing w:before="230" w:after="0" w:line="269" w:lineRule="exact"/>
        <w:rPr>
          <w:noProof/>
          <w:color w:val="000000" w:themeColor="text1"/>
          <w:lang w:val="en-US" w:bidi="en-US"/>
        </w:rPr>
      </w:pPr>
      <w:r w:rsidRPr="181C8758">
        <w:rPr>
          <w:noProof/>
          <w:color w:val="000000" w:themeColor="text1"/>
          <w:lang w:val="en-US" w:bidi="en-US"/>
        </w:rPr>
        <w:t>Since the entry into application of the Eurojust Regulation on 12 December 2</w:t>
      </w:r>
      <w:r w:rsidR="2367ED66" w:rsidRPr="181C8758">
        <w:rPr>
          <w:noProof/>
          <w:color w:val="000000" w:themeColor="text1"/>
          <w:lang w:val="en-US" w:bidi="en-US"/>
        </w:rPr>
        <w:t>019 and pursuant to the Treat</w:t>
      </w:r>
      <w:r w:rsidR="00B06065">
        <w:rPr>
          <w:noProof/>
          <w:color w:val="000000" w:themeColor="text1"/>
          <w:lang w:val="en-US" w:bidi="en-US"/>
        </w:rPr>
        <w:t>ies</w:t>
      </w:r>
      <w:r w:rsidR="2367ED66" w:rsidRPr="181C8758">
        <w:rPr>
          <w:noProof/>
          <w:color w:val="000000" w:themeColor="text1"/>
          <w:lang w:val="en-US" w:bidi="en-US"/>
        </w:rPr>
        <w:t xml:space="preserve">, </w:t>
      </w:r>
      <w:r w:rsidRPr="181C8758">
        <w:rPr>
          <w:noProof/>
          <w:color w:val="000000" w:themeColor="text1"/>
          <w:lang w:val="en-US" w:bidi="en-US"/>
        </w:rPr>
        <w:t>the Commission is responsible, on behalf of the Union, for negotiating international agreements with third countries for the cooperation and exchange of personal data with Eurojust. In so far as necessary for the performance of its tasks, in line with Chapter V of the Eurojust Regulation, Eurojust may establish and maintain cooperative relations with external partners through working arrangements. However, these cannot by themselves be a legal basis for the exchange of personal data.</w:t>
      </w:r>
    </w:p>
    <w:p w:rsidR="00991687" w:rsidRPr="00991687" w:rsidRDefault="0F78A9E8" w:rsidP="002C718A">
      <w:pPr>
        <w:widowControl w:val="0"/>
        <w:shd w:val="clear" w:color="auto" w:fill="FFFFFF" w:themeFill="background1"/>
        <w:autoSpaceDE w:val="0"/>
        <w:autoSpaceDN w:val="0"/>
        <w:adjustRightInd w:val="0"/>
        <w:spacing w:before="230" w:after="0" w:line="269" w:lineRule="exact"/>
        <w:rPr>
          <w:noProof/>
          <w:color w:val="000000" w:themeColor="text1"/>
          <w:lang w:bidi="en-US"/>
        </w:rPr>
      </w:pPr>
      <w:r w:rsidRPr="00991687">
        <w:rPr>
          <w:noProof/>
          <w:color w:val="000000" w:themeColor="text1"/>
          <w:lang w:val="en-US" w:bidi="en-US"/>
        </w:rPr>
        <w:t xml:space="preserve">In order to strengthen the judicial cooperation between Eurojust and selected third countries, the Commission adopted a Recommendation for a Council Decision </w:t>
      </w:r>
      <w:r w:rsidRPr="00991687">
        <w:rPr>
          <w:noProof/>
          <w:color w:val="000000" w:themeColor="text1"/>
          <w:lang w:bidi="en-US"/>
        </w:rPr>
        <w:t>authorising the opening of negotiations for Agreements between the European Union and Algeria, Armenia, Bosnia and Herzegovina, Egypt, Israel, Jordan, Lebanon, Morocco, Tunisia and Turkey on cooperation between the European Union Agency for Criminal Justice Cooperation (Eurojust) and the competent authorities for judicial cooperation in criminal matters of those third States</w:t>
      </w:r>
      <w:r w:rsidR="00991687" w:rsidRPr="00C11E78">
        <w:rPr>
          <w:rStyle w:val="FootnoteReference"/>
          <w:noProof/>
        </w:rPr>
        <w:footnoteReference w:id="4"/>
      </w:r>
      <w:r w:rsidR="00222C42">
        <w:rPr>
          <w:noProof/>
          <w:color w:val="000000" w:themeColor="text1"/>
          <w:lang w:bidi="en-US"/>
        </w:rPr>
        <w:t>.</w:t>
      </w:r>
    </w:p>
    <w:p w:rsidR="007C1055" w:rsidRDefault="00991687" w:rsidP="00156D05">
      <w:pPr>
        <w:widowControl w:val="0"/>
        <w:shd w:val="clear" w:color="auto" w:fill="FFFFFF"/>
        <w:autoSpaceDE w:val="0"/>
        <w:autoSpaceDN w:val="0"/>
        <w:adjustRightInd w:val="0"/>
        <w:spacing w:before="230" w:after="0" w:line="269" w:lineRule="exact"/>
        <w:rPr>
          <w:noProof/>
          <w:color w:val="000000" w:themeColor="text1"/>
          <w:lang w:bidi="en-US"/>
        </w:rPr>
      </w:pPr>
      <w:r w:rsidRPr="00991687">
        <w:rPr>
          <w:noProof/>
          <w:color w:val="000000" w:themeColor="text1"/>
          <w:lang w:bidi="en-US"/>
        </w:rPr>
        <w:t xml:space="preserve">The Council granted that authorisation on 1 March 2021 </w:t>
      </w:r>
      <w:r w:rsidR="00A23887">
        <w:rPr>
          <w:noProof/>
          <w:color w:val="000000" w:themeColor="text1"/>
          <w:lang w:bidi="en-US"/>
        </w:rPr>
        <w:t xml:space="preserve">and </w:t>
      </w:r>
      <w:r w:rsidR="007B4FFD">
        <w:rPr>
          <w:noProof/>
          <w:color w:val="000000" w:themeColor="text1"/>
          <w:lang w:bidi="en-US"/>
        </w:rPr>
        <w:t>adopted</w:t>
      </w:r>
      <w:r w:rsidRPr="00991687">
        <w:rPr>
          <w:noProof/>
          <w:color w:val="000000" w:themeColor="text1"/>
          <w:lang w:bidi="en-US"/>
        </w:rPr>
        <w:t xml:space="preserve"> a set of negotiating directives and appointed a special committee to assist </w:t>
      </w:r>
      <w:r w:rsidR="00B06065">
        <w:rPr>
          <w:noProof/>
          <w:color w:val="000000" w:themeColor="text1"/>
          <w:lang w:bidi="en-US"/>
        </w:rPr>
        <w:t>the Council</w:t>
      </w:r>
      <w:r w:rsidRPr="00991687">
        <w:rPr>
          <w:noProof/>
          <w:color w:val="000000" w:themeColor="text1"/>
          <w:lang w:bidi="en-US"/>
        </w:rPr>
        <w:t xml:space="preserve"> in this task</w:t>
      </w:r>
      <w:r w:rsidRPr="00C11E78">
        <w:rPr>
          <w:rStyle w:val="FootnoteReference"/>
          <w:noProof/>
        </w:rPr>
        <w:footnoteReference w:id="5"/>
      </w:r>
      <w:r w:rsidR="00B61E1C">
        <w:rPr>
          <w:noProof/>
          <w:color w:val="000000" w:themeColor="text1"/>
          <w:lang w:bidi="en-US"/>
        </w:rPr>
        <w:t>.</w:t>
      </w:r>
    </w:p>
    <w:p w:rsidR="0067178C" w:rsidRPr="007C1055" w:rsidRDefault="2367ED66" w:rsidP="007C1055">
      <w:pPr>
        <w:widowControl w:val="0"/>
        <w:shd w:val="clear" w:color="auto" w:fill="FFFFFF"/>
        <w:autoSpaceDE w:val="0"/>
        <w:autoSpaceDN w:val="0"/>
        <w:adjustRightInd w:val="0"/>
        <w:spacing w:before="230" w:after="0" w:line="269" w:lineRule="exact"/>
        <w:rPr>
          <w:noProof/>
          <w:color w:val="000000" w:themeColor="text1"/>
          <w:lang w:bidi="en-US"/>
        </w:rPr>
      </w:pPr>
      <w:r w:rsidRPr="007C1055">
        <w:rPr>
          <w:noProof/>
          <w:color w:val="000000" w:themeColor="text1"/>
          <w:lang w:bidi="en-US"/>
        </w:rPr>
        <w:t xml:space="preserve">Negotiations </w:t>
      </w:r>
      <w:r w:rsidR="0F78A9E8" w:rsidRPr="007C1055">
        <w:rPr>
          <w:noProof/>
          <w:color w:val="000000" w:themeColor="text1"/>
          <w:lang w:bidi="en-US"/>
        </w:rPr>
        <w:t xml:space="preserve">with </w:t>
      </w:r>
      <w:r w:rsidR="001113AA" w:rsidRPr="007C1055">
        <w:rPr>
          <w:noProof/>
          <w:color w:val="000000" w:themeColor="text1"/>
          <w:lang w:bidi="en-US"/>
        </w:rPr>
        <w:t>Lebanon</w:t>
      </w:r>
      <w:r w:rsidR="5007E385" w:rsidRPr="007C1055">
        <w:rPr>
          <w:noProof/>
          <w:color w:val="000000" w:themeColor="text1"/>
          <w:lang w:bidi="en-US"/>
        </w:rPr>
        <w:t xml:space="preserve"> </w:t>
      </w:r>
      <w:r w:rsidRPr="007C1055">
        <w:rPr>
          <w:noProof/>
          <w:color w:val="000000" w:themeColor="text1"/>
          <w:lang w:bidi="en-US"/>
        </w:rPr>
        <w:t xml:space="preserve">began in </w:t>
      </w:r>
      <w:r w:rsidR="001113AA" w:rsidRPr="007C1055">
        <w:rPr>
          <w:noProof/>
          <w:color w:val="000000" w:themeColor="text1"/>
          <w:lang w:bidi="en-US"/>
        </w:rPr>
        <w:t xml:space="preserve">December </w:t>
      </w:r>
      <w:r w:rsidRPr="007C1055">
        <w:rPr>
          <w:noProof/>
          <w:color w:val="000000" w:themeColor="text1"/>
          <w:lang w:bidi="en-US"/>
        </w:rPr>
        <w:t xml:space="preserve">2022. After the </w:t>
      </w:r>
      <w:r w:rsidR="001113AA" w:rsidRPr="007C1055">
        <w:rPr>
          <w:noProof/>
          <w:color w:val="000000" w:themeColor="text1"/>
          <w:lang w:bidi="en-US"/>
        </w:rPr>
        <w:t xml:space="preserve">second </w:t>
      </w:r>
      <w:r w:rsidRPr="007C1055">
        <w:rPr>
          <w:noProof/>
          <w:color w:val="000000" w:themeColor="text1"/>
          <w:lang w:bidi="en-US"/>
        </w:rPr>
        <w:t xml:space="preserve">and last round of negotiations, which was held in </w:t>
      </w:r>
      <w:r w:rsidR="001113AA" w:rsidRPr="007C1055">
        <w:rPr>
          <w:noProof/>
          <w:color w:val="000000" w:themeColor="text1"/>
          <w:lang w:bidi="en-US"/>
        </w:rPr>
        <w:t>July 2023</w:t>
      </w:r>
      <w:r w:rsidRPr="007C1055">
        <w:rPr>
          <w:noProof/>
          <w:color w:val="000000" w:themeColor="text1"/>
          <w:lang w:bidi="en-US"/>
        </w:rPr>
        <w:t xml:space="preserve">, </w:t>
      </w:r>
      <w:r w:rsidR="5A13665B" w:rsidRPr="007C1055">
        <w:rPr>
          <w:noProof/>
          <w:color w:val="000000" w:themeColor="text1"/>
          <w:lang w:bidi="en-US"/>
        </w:rPr>
        <w:t>the negotiators</w:t>
      </w:r>
      <w:r w:rsidR="3952F5AA" w:rsidRPr="007C1055">
        <w:rPr>
          <w:noProof/>
          <w:color w:val="000000" w:themeColor="text1"/>
          <w:lang w:bidi="en-US"/>
        </w:rPr>
        <w:t xml:space="preserve"> reached a preliminary agreement</w:t>
      </w:r>
      <w:r w:rsidRPr="007C1055">
        <w:rPr>
          <w:noProof/>
          <w:color w:val="000000" w:themeColor="text1"/>
          <w:lang w:bidi="en-US"/>
        </w:rPr>
        <w:t xml:space="preserve"> </w:t>
      </w:r>
      <w:r w:rsidR="0092171C" w:rsidRPr="007C1055">
        <w:rPr>
          <w:noProof/>
          <w:color w:val="000000" w:themeColor="text1"/>
          <w:lang w:bidi="en-US"/>
        </w:rPr>
        <w:t>o</w:t>
      </w:r>
      <w:r w:rsidR="000A33CF" w:rsidRPr="007C1055">
        <w:rPr>
          <w:noProof/>
          <w:color w:val="000000" w:themeColor="text1"/>
          <w:lang w:bidi="en-US"/>
        </w:rPr>
        <w:t xml:space="preserve">n 11 October </w:t>
      </w:r>
      <w:r w:rsidR="001113AA" w:rsidRPr="007C1055">
        <w:rPr>
          <w:noProof/>
          <w:color w:val="000000" w:themeColor="text1"/>
          <w:lang w:bidi="en-US"/>
        </w:rPr>
        <w:t>2023</w:t>
      </w:r>
      <w:r w:rsidRPr="007C1055">
        <w:rPr>
          <w:noProof/>
          <w:color w:val="000000" w:themeColor="text1"/>
          <w:lang w:bidi="en-US"/>
        </w:rPr>
        <w:t xml:space="preserve">. </w:t>
      </w:r>
      <w:r w:rsidR="006C4373" w:rsidRPr="007C1055">
        <w:rPr>
          <w:noProof/>
          <w:color w:val="000000" w:themeColor="text1"/>
          <w:lang w:bidi="en-US"/>
        </w:rPr>
        <w:t>T</w:t>
      </w:r>
      <w:r w:rsidRPr="007C1055">
        <w:rPr>
          <w:noProof/>
          <w:color w:val="000000" w:themeColor="text1"/>
          <w:lang w:bidi="en-US"/>
        </w:rPr>
        <w:t xml:space="preserve">he chief negotiators initialled the draft text of the Agreement </w:t>
      </w:r>
      <w:r w:rsidR="007B4FFD" w:rsidRPr="007C1055">
        <w:rPr>
          <w:noProof/>
          <w:color w:val="000000" w:themeColor="text1"/>
          <w:lang w:bidi="en-US"/>
        </w:rPr>
        <w:t>in</w:t>
      </w:r>
      <w:r w:rsidR="004A755E" w:rsidRPr="007C1055">
        <w:rPr>
          <w:noProof/>
          <w:color w:val="000000" w:themeColor="text1"/>
          <w:lang w:bidi="en-US"/>
        </w:rPr>
        <w:t xml:space="preserve"> </w:t>
      </w:r>
      <w:r w:rsidRPr="00F54C1A">
        <w:rPr>
          <w:noProof/>
          <w:color w:val="000000" w:themeColor="text1"/>
          <w:lang w:bidi="en-US"/>
        </w:rPr>
        <w:t>[xx.xx.xxxx]</w:t>
      </w:r>
      <w:r w:rsidRPr="007C1055">
        <w:rPr>
          <w:noProof/>
          <w:color w:val="000000" w:themeColor="text1"/>
          <w:lang w:bidi="en-US"/>
        </w:rPr>
        <w:t>.</w:t>
      </w:r>
    </w:p>
    <w:p w:rsidR="00C11FA9" w:rsidRPr="00912659" w:rsidRDefault="30AC0B55" w:rsidP="00A52F19">
      <w:pPr>
        <w:pStyle w:val="ManualHeading2"/>
        <w:rPr>
          <w:rFonts w:eastAsia="Arial Unicode MS"/>
          <w:noProof/>
          <w:color w:val="000000" w:themeColor="text1"/>
          <w:bdr w:val="nil"/>
          <w:lang w:val="en-US" w:eastAsia="en-GB"/>
        </w:rPr>
      </w:pPr>
      <w:r w:rsidRPr="00912659">
        <w:rPr>
          <w:rFonts w:eastAsia="Arial Unicode MS"/>
          <w:noProof/>
          <w:color w:val="000000" w:themeColor="text1"/>
          <w:bdr w:val="nil"/>
          <w:lang w:val="en-US" w:eastAsia="en-GB"/>
        </w:rPr>
        <w:t>•</w:t>
      </w:r>
      <w:r w:rsidR="00C11FA9" w:rsidRPr="00912659">
        <w:rPr>
          <w:rFonts w:eastAsia="Arial Unicode MS"/>
          <w:noProof/>
          <w:color w:val="000000" w:themeColor="text1"/>
          <w:u w:color="000000"/>
          <w:bdr w:val="nil"/>
          <w:lang w:val="en-US" w:eastAsia="en-GB"/>
        </w:rPr>
        <w:tab/>
      </w:r>
      <w:r w:rsidRPr="00912659">
        <w:rPr>
          <w:rFonts w:eastAsia="Arial Unicode MS"/>
          <w:noProof/>
          <w:color w:val="000000" w:themeColor="text1"/>
        </w:rPr>
        <w:t>Consistency with existing policy provisions in the policy area</w:t>
      </w:r>
    </w:p>
    <w:p w:rsidR="00912659" w:rsidRDefault="0D3F8E48"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The Agreement was negotiated </w:t>
      </w:r>
      <w:r w:rsidR="007B4FFD">
        <w:rPr>
          <w:rFonts w:eastAsia="Arial Unicode MS"/>
          <w:noProof/>
          <w:color w:val="000000" w:themeColor="text1"/>
        </w:rPr>
        <w:t>taking</w:t>
      </w:r>
      <w:r w:rsidR="00A23887">
        <w:rPr>
          <w:rFonts w:eastAsia="Arial Unicode MS"/>
          <w:noProof/>
          <w:color w:val="000000" w:themeColor="text1"/>
        </w:rPr>
        <w:t xml:space="preserve"> </w:t>
      </w:r>
      <w:r w:rsidR="007B4FFD">
        <w:rPr>
          <w:rFonts w:eastAsia="Arial Unicode MS"/>
          <w:noProof/>
          <w:color w:val="000000" w:themeColor="text1"/>
        </w:rPr>
        <w:t xml:space="preserve">into account </w:t>
      </w:r>
      <w:r w:rsidRPr="181C8758">
        <w:rPr>
          <w:rFonts w:eastAsia="Arial Unicode MS"/>
          <w:noProof/>
          <w:color w:val="000000" w:themeColor="text1"/>
        </w:rPr>
        <w:t xml:space="preserve">the comprehensive negotiating directives adopted by the Council </w:t>
      </w:r>
      <w:r w:rsidR="0057017D">
        <w:rPr>
          <w:rFonts w:eastAsia="Arial Unicode MS"/>
          <w:noProof/>
          <w:color w:val="000000" w:themeColor="text1"/>
        </w:rPr>
        <w:t xml:space="preserve">together with the authorisation to negotiate </w:t>
      </w:r>
      <w:r w:rsidRPr="181C8758">
        <w:rPr>
          <w:rFonts w:eastAsia="Arial Unicode MS"/>
          <w:noProof/>
          <w:color w:val="000000" w:themeColor="text1"/>
        </w:rPr>
        <w:t xml:space="preserve">on </w:t>
      </w:r>
      <w:r w:rsidR="38FE7567" w:rsidRPr="181C8758">
        <w:rPr>
          <w:rFonts w:eastAsia="Arial Unicode MS"/>
          <w:noProof/>
          <w:color w:val="000000" w:themeColor="text1"/>
        </w:rPr>
        <w:t>1 March 2021</w:t>
      </w:r>
      <w:r w:rsidRPr="181C8758">
        <w:rPr>
          <w:rFonts w:eastAsia="Arial Unicode MS"/>
          <w:noProof/>
          <w:color w:val="000000" w:themeColor="text1"/>
        </w:rPr>
        <w:t xml:space="preserve">. The present Agreement is also consistent with existing Union policy in the </w:t>
      </w:r>
      <w:r w:rsidR="2133ECF5" w:rsidRPr="181C8758">
        <w:rPr>
          <w:rFonts w:eastAsia="Arial Unicode MS"/>
          <w:noProof/>
          <w:color w:val="000000" w:themeColor="text1"/>
        </w:rPr>
        <w:t>area</w:t>
      </w:r>
      <w:r w:rsidRPr="181C8758">
        <w:rPr>
          <w:rFonts w:eastAsia="Arial Unicode MS"/>
          <w:noProof/>
          <w:color w:val="000000" w:themeColor="text1"/>
        </w:rPr>
        <w:t xml:space="preserve"> of </w:t>
      </w:r>
      <w:r w:rsidR="38FE7567" w:rsidRPr="181C8758">
        <w:rPr>
          <w:rFonts w:eastAsia="Arial Unicode MS"/>
          <w:noProof/>
          <w:color w:val="000000" w:themeColor="text1"/>
        </w:rPr>
        <w:t xml:space="preserve">judicial </w:t>
      </w:r>
      <w:r w:rsidRPr="181C8758">
        <w:rPr>
          <w:rFonts w:eastAsia="Arial Unicode MS"/>
          <w:noProof/>
          <w:color w:val="000000" w:themeColor="text1"/>
        </w:rPr>
        <w:t xml:space="preserve">cooperation. </w:t>
      </w:r>
    </w:p>
    <w:p w:rsidR="004A2FD2" w:rsidRDefault="004A2FD2" w:rsidP="004A2FD2">
      <w:pPr>
        <w:pBdr>
          <w:top w:val="nil"/>
          <w:left w:val="nil"/>
          <w:bottom w:val="nil"/>
          <w:right w:val="nil"/>
          <w:between w:val="nil"/>
          <w:bar w:val="nil"/>
        </w:pBdr>
        <w:spacing w:before="0" w:after="240"/>
        <w:rPr>
          <w:rFonts w:eastAsia="Arial Unicode MS"/>
          <w:noProof/>
          <w:color w:val="000000" w:themeColor="text1"/>
        </w:rPr>
      </w:pPr>
      <w:r w:rsidRPr="00912659">
        <w:rPr>
          <w:rFonts w:eastAsia="Arial Unicode MS"/>
          <w:noProof/>
          <w:color w:val="000000" w:themeColor="text1"/>
        </w:rPr>
        <w:t>In recent years, progress was made to improve the exchange of information cooperation between Member States and between Union agencies and third countries. Regulation</w:t>
      </w:r>
      <w:r>
        <w:rPr>
          <w:rFonts w:eastAsia="Arial Unicode MS"/>
          <w:noProof/>
          <w:color w:val="000000" w:themeColor="text1"/>
        </w:rPr>
        <w:t xml:space="preserve"> (EU) 2023/2131</w:t>
      </w:r>
      <w:r w:rsidRPr="00912659">
        <w:rPr>
          <w:rFonts w:eastAsia="Arial Unicode MS"/>
          <w:noProof/>
          <w:color w:val="000000" w:themeColor="text1"/>
        </w:rPr>
        <w:t xml:space="preserve"> amending Regulation (EU) 2018/1727 and Council Decision 2005/671/JHA, as regards the digital information exchange in terrorism cases,</w:t>
      </w:r>
      <w:r w:rsidRPr="00912659">
        <w:rPr>
          <w:rStyle w:val="FootnoteReference"/>
          <w:rFonts w:eastAsia="Arial Unicode MS"/>
          <w:noProof/>
          <w:color w:val="000000" w:themeColor="text1"/>
        </w:rPr>
        <w:footnoteReference w:id="6"/>
      </w:r>
      <w:r w:rsidRPr="00912659">
        <w:rPr>
          <w:rFonts w:eastAsia="Arial Unicode MS"/>
          <w:noProof/>
          <w:color w:val="000000" w:themeColor="text1"/>
        </w:rPr>
        <w:t xml:space="preserve"> </w:t>
      </w:r>
      <w:r>
        <w:rPr>
          <w:rFonts w:eastAsia="Arial Unicode MS"/>
          <w:noProof/>
          <w:color w:val="000000" w:themeColor="text1"/>
        </w:rPr>
        <w:t xml:space="preserve">strengthens the framework for cooperation with third countries on the side of Eurojust by providing for a solid legal basis for the secondment of a third country liaison prosecutor to Eurojust and the cooperation with Eurojust. </w:t>
      </w:r>
    </w:p>
    <w:p w:rsidR="004A2FD2" w:rsidRDefault="004A2FD2" w:rsidP="004A2FD2">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Also, </w:t>
      </w:r>
      <w:r w:rsidRPr="00912659">
        <w:rPr>
          <w:rFonts w:eastAsia="Arial Unicode MS"/>
          <w:noProof/>
          <w:color w:val="000000" w:themeColor="text1"/>
        </w:rPr>
        <w:t xml:space="preserve">Regulation </w:t>
      </w:r>
      <w:r>
        <w:rPr>
          <w:rFonts w:eastAsia="Arial Unicode MS"/>
          <w:noProof/>
          <w:color w:val="000000" w:themeColor="text1"/>
        </w:rPr>
        <w:t xml:space="preserve">(EU) 2022/838 </w:t>
      </w:r>
      <w:r w:rsidRPr="00912659">
        <w:rPr>
          <w:rFonts w:eastAsia="Arial Unicode MS"/>
          <w:noProof/>
          <w:color w:val="000000" w:themeColor="text1"/>
        </w:rPr>
        <w:t>amending Regulation (EU) 2018/1727, as regards the collection, preservation and analysis of evidence relating to genocide, crimes against humanity and war crimes at Eurojust,</w:t>
      </w:r>
      <w:r w:rsidRPr="00912659">
        <w:rPr>
          <w:rStyle w:val="FootnoteReference"/>
          <w:rFonts w:eastAsia="Arial Unicode MS"/>
          <w:noProof/>
          <w:color w:val="000000" w:themeColor="text1"/>
        </w:rPr>
        <w:footnoteReference w:id="7"/>
      </w:r>
      <w:r>
        <w:rPr>
          <w:rFonts w:eastAsia="Arial Unicode MS"/>
          <w:noProof/>
          <w:color w:val="000000" w:themeColor="text1"/>
        </w:rPr>
        <w:t xml:space="preserve"> has</w:t>
      </w:r>
      <w:r w:rsidRPr="00912659">
        <w:rPr>
          <w:rFonts w:eastAsia="Arial Unicode MS"/>
          <w:noProof/>
          <w:color w:val="000000" w:themeColor="text1"/>
        </w:rPr>
        <w:t xml:space="preserve"> a strong nexus to third countries</w:t>
      </w:r>
      <w:r>
        <w:rPr>
          <w:rFonts w:eastAsia="Arial Unicode MS"/>
          <w:noProof/>
          <w:color w:val="000000" w:themeColor="text1"/>
        </w:rPr>
        <w:t>. Both legislative acts</w:t>
      </w:r>
      <w:r w:rsidRPr="00912659">
        <w:rPr>
          <w:rFonts w:eastAsia="Arial Unicode MS"/>
          <w:noProof/>
          <w:color w:val="000000" w:themeColor="text1"/>
        </w:rPr>
        <w:t xml:space="preserve"> underline the importance of close cooperation with third countries to investigate and prosecute serious crimes. </w:t>
      </w:r>
    </w:p>
    <w:p w:rsidR="00C11FA9" w:rsidRPr="002D5EE2" w:rsidRDefault="00C11FA9" w:rsidP="00A52F19">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712040" w:rsidRDefault="00712040" w:rsidP="00931531">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 xml:space="preserve">The proposal is also consistent with other Union policies. </w:t>
      </w:r>
    </w:p>
    <w:p w:rsidR="00182AD0" w:rsidRPr="00993509" w:rsidRDefault="00182AD0" w:rsidP="00182AD0">
      <w:pPr>
        <w:pBdr>
          <w:bar w:val="nil"/>
        </w:pBdr>
        <w:spacing w:before="0" w:after="240"/>
        <w:rPr>
          <w:rFonts w:eastAsia="Times New Roman"/>
          <w:noProof/>
          <w:szCs w:val="24"/>
        </w:rPr>
      </w:pPr>
      <w:r w:rsidRPr="2AC00791">
        <w:rPr>
          <w:rFonts w:eastAsia="Times New Roman"/>
          <w:noProof/>
          <w:szCs w:val="24"/>
        </w:rPr>
        <w:t>Judicial cooperation in criminal matters is one of the actions set</w:t>
      </w:r>
      <w:r>
        <w:rPr>
          <w:rFonts w:eastAsia="Times New Roman"/>
          <w:noProof/>
          <w:szCs w:val="24"/>
        </w:rPr>
        <w:t xml:space="preserve"> out</w:t>
      </w:r>
      <w:r w:rsidRPr="2AC00791">
        <w:rPr>
          <w:rFonts w:eastAsia="Times New Roman"/>
          <w:noProof/>
          <w:szCs w:val="24"/>
        </w:rPr>
        <w:t xml:space="preserve"> in the </w:t>
      </w:r>
      <w:r w:rsidR="00C10796">
        <w:rPr>
          <w:rFonts w:eastAsia="Times New Roman"/>
          <w:noProof/>
          <w:szCs w:val="24"/>
        </w:rPr>
        <w:t xml:space="preserve">first </w:t>
      </w:r>
      <w:r w:rsidRPr="2AC00791">
        <w:rPr>
          <w:rFonts w:eastAsia="Times New Roman"/>
          <w:noProof/>
          <w:szCs w:val="24"/>
        </w:rPr>
        <w:t>EU-Lebanon Action Plan</w:t>
      </w:r>
      <w:r w:rsidR="00222C42">
        <w:rPr>
          <w:rStyle w:val="FootnoteReference"/>
          <w:rFonts w:eastAsia="Times New Roman"/>
          <w:noProof/>
          <w:szCs w:val="24"/>
        </w:rPr>
        <w:footnoteReference w:id="8"/>
      </w:r>
      <w:r>
        <w:rPr>
          <w:rFonts w:eastAsia="Times New Roman"/>
          <w:noProof/>
          <w:szCs w:val="24"/>
        </w:rPr>
        <w:t xml:space="preserve">, which </w:t>
      </w:r>
      <w:r w:rsidRPr="2AC00791">
        <w:rPr>
          <w:rFonts w:eastAsia="Times New Roman"/>
          <w:noProof/>
          <w:szCs w:val="24"/>
        </w:rPr>
        <w:t xml:space="preserve">supports the implementation of the Euro-Mediterranean Agreement establishing an association between the European Community and its Member States, of the one part, and the Republic of Lebanon, of the other part, which entered into force on 1 April 2006. Particular attention </w:t>
      </w:r>
      <w:r w:rsidR="00C10796">
        <w:rPr>
          <w:rFonts w:eastAsia="Times New Roman"/>
          <w:noProof/>
          <w:szCs w:val="24"/>
        </w:rPr>
        <w:t>was</w:t>
      </w:r>
      <w:r w:rsidR="00C10796" w:rsidRPr="2AC00791">
        <w:rPr>
          <w:rFonts w:eastAsia="Times New Roman"/>
          <w:noProof/>
          <w:szCs w:val="24"/>
        </w:rPr>
        <w:t xml:space="preserve"> </w:t>
      </w:r>
      <w:r w:rsidRPr="2AC00791">
        <w:rPr>
          <w:rFonts w:eastAsia="Times New Roman"/>
          <w:noProof/>
          <w:szCs w:val="24"/>
        </w:rPr>
        <w:t>paid to judicial cooperation in the context of combating terrorism and organised crime. The development of judicial cooperation in criminal matters between Lebanon’s and EU member states’ courts</w:t>
      </w:r>
      <w:r w:rsidR="00C10796">
        <w:rPr>
          <w:rFonts w:eastAsia="Times New Roman"/>
          <w:noProof/>
          <w:szCs w:val="24"/>
        </w:rPr>
        <w:t xml:space="preserve"> was one of the planned actions.</w:t>
      </w:r>
      <w:r w:rsidRPr="2AC00791">
        <w:rPr>
          <w:rFonts w:eastAsia="Times New Roman"/>
          <w:noProof/>
          <w:szCs w:val="24"/>
        </w:rPr>
        <w:t xml:space="preserve"> </w:t>
      </w:r>
    </w:p>
    <w:p w:rsidR="00182AD0" w:rsidRPr="00993509" w:rsidRDefault="00182AD0" w:rsidP="00182AD0">
      <w:pPr>
        <w:spacing w:before="0" w:after="240"/>
        <w:rPr>
          <w:rFonts w:eastAsia="Times New Roman"/>
          <w:noProof/>
          <w:szCs w:val="24"/>
        </w:rPr>
      </w:pPr>
      <w:r w:rsidRPr="2AC00791">
        <w:rPr>
          <w:rFonts w:eastAsia="Times New Roman"/>
          <w:noProof/>
          <w:szCs w:val="24"/>
        </w:rPr>
        <w:t>In the EU-Lebanon Partnership Priorities adopted at the EU-Lebanon Association Council on 11 November 2016</w:t>
      </w:r>
      <w:r w:rsidR="00222C42">
        <w:rPr>
          <w:rStyle w:val="FootnoteReference"/>
          <w:rFonts w:eastAsia="Times New Roman"/>
          <w:noProof/>
          <w:szCs w:val="24"/>
        </w:rPr>
        <w:footnoteReference w:id="9"/>
      </w:r>
      <w:r w:rsidRPr="2AC00791">
        <w:rPr>
          <w:rFonts w:eastAsia="Times New Roman"/>
          <w:noProof/>
          <w:szCs w:val="24"/>
        </w:rPr>
        <w:t xml:space="preserve">, both parties agreed that for the stability of Lebanon, progress on good governance and the rule of law is required. The EU committed itself to cooperate with Lebanon for the promotion of shared values of democracy and the rule of law and the pursuit of reform in the justice system, as well as the fight against corruption. </w:t>
      </w:r>
    </w:p>
    <w:p w:rsidR="00182AD0" w:rsidRPr="00993509" w:rsidRDefault="00182AD0" w:rsidP="00182AD0">
      <w:pPr>
        <w:spacing w:before="0" w:after="240"/>
        <w:rPr>
          <w:rFonts w:eastAsia="Times New Roman"/>
          <w:noProof/>
          <w:szCs w:val="24"/>
        </w:rPr>
      </w:pPr>
      <w:r w:rsidRPr="2AC00791">
        <w:rPr>
          <w:rFonts w:eastAsia="Times New Roman"/>
          <w:noProof/>
          <w:szCs w:val="24"/>
        </w:rPr>
        <w:t>Lebanon has been the beneficiary of several EU-funded projects in justice reform and strengthening of the rule of law, including in the criminal justice sector.</w:t>
      </w:r>
    </w:p>
    <w:p w:rsidR="00182AD0" w:rsidRDefault="00182AD0" w:rsidP="00182AD0">
      <w:pPr>
        <w:pBdr>
          <w:top w:val="nil"/>
          <w:left w:val="nil"/>
          <w:bottom w:val="nil"/>
          <w:right w:val="nil"/>
          <w:between w:val="nil"/>
          <w:bar w:val="nil"/>
        </w:pBdr>
        <w:spacing w:before="0" w:after="240"/>
        <w:rPr>
          <w:rFonts w:eastAsia="Arial Unicode MS"/>
          <w:noProof/>
          <w:color w:val="000000" w:themeColor="text1"/>
        </w:rPr>
      </w:pPr>
      <w:r w:rsidRPr="2AC00791">
        <w:rPr>
          <w:rFonts w:eastAsia="Times New Roman"/>
          <w:noProof/>
          <w:szCs w:val="24"/>
        </w:rPr>
        <w:t xml:space="preserve">In the 9 February 2021 Joint Communication on the Renewed Partnership with the Southern Neighbourhood, </w:t>
      </w:r>
      <w:r w:rsidRPr="2AC00791">
        <w:rPr>
          <w:rFonts w:eastAsia="Times New Roman"/>
          <w:i/>
          <w:iCs/>
          <w:noProof/>
          <w:szCs w:val="24"/>
        </w:rPr>
        <w:t>A new Agenda for the Mediterranean</w:t>
      </w:r>
      <w:r w:rsidRPr="2AC00791">
        <w:rPr>
          <w:rFonts w:eastAsia="Times New Roman"/>
          <w:noProof/>
          <w:szCs w:val="24"/>
        </w:rPr>
        <w:t>,</w:t>
      </w:r>
      <w:r w:rsidR="00222C42">
        <w:rPr>
          <w:rStyle w:val="FootnoteReference"/>
          <w:rFonts w:eastAsia="Times New Roman"/>
          <w:noProof/>
          <w:szCs w:val="24"/>
        </w:rPr>
        <w:footnoteReference w:id="10"/>
      </w:r>
      <w:r w:rsidRPr="2AC00791">
        <w:rPr>
          <w:rFonts w:eastAsia="Times New Roman"/>
          <w:noProof/>
          <w:szCs w:val="24"/>
        </w:rPr>
        <w:t xml:space="preserve"> strengthened</w:t>
      </w:r>
      <w:r w:rsidR="00C10796">
        <w:rPr>
          <w:rFonts w:eastAsia="Times New Roman"/>
          <w:noProof/>
          <w:szCs w:val="24"/>
        </w:rPr>
        <w:t xml:space="preserve"> judicial</w:t>
      </w:r>
      <w:r w:rsidRPr="2AC00791">
        <w:rPr>
          <w:rFonts w:eastAsia="Times New Roman"/>
          <w:noProof/>
          <w:szCs w:val="24"/>
        </w:rPr>
        <w:t xml:space="preserve"> cooperation between the EU and the Southern Neighbourhood partner countries, with the assistance of Eurojust</w:t>
      </w:r>
      <w:r>
        <w:rPr>
          <w:rFonts w:eastAsia="Times New Roman"/>
          <w:noProof/>
          <w:szCs w:val="24"/>
        </w:rPr>
        <w:t xml:space="preserve"> </w:t>
      </w:r>
      <w:r w:rsidR="00C10796">
        <w:rPr>
          <w:rFonts w:eastAsia="Times New Roman"/>
          <w:noProof/>
          <w:szCs w:val="24"/>
        </w:rPr>
        <w:t xml:space="preserve">is planned, including through negotiating cooperation agreements between the EU and Southern Neighbourhood partner countries. </w:t>
      </w:r>
      <w:r w:rsidRPr="2AC00791">
        <w:rPr>
          <w:rFonts w:eastAsia="Times New Roman"/>
          <w:noProof/>
          <w:szCs w:val="24"/>
        </w:rPr>
        <w:t>It is recognised that major security threats such as terrorism, hybrid threats as well as cybercrime and organised crime that destabilise the region can only be addressed through joint efforts.</w:t>
      </w:r>
    </w:p>
    <w:p w:rsidR="00912659" w:rsidRPr="00912659" w:rsidRDefault="786E1FCC" w:rsidP="00931531">
      <w:pPr>
        <w:pBdr>
          <w:top w:val="nil"/>
          <w:left w:val="nil"/>
          <w:bottom w:val="nil"/>
          <w:right w:val="nil"/>
          <w:between w:val="nil"/>
          <w:bar w:val="nil"/>
        </w:pBdr>
        <w:spacing w:before="0" w:after="240"/>
        <w:rPr>
          <w:rFonts w:eastAsia="Arial Unicode MS"/>
          <w:noProof/>
          <w:color w:val="000000" w:themeColor="text1"/>
        </w:rPr>
      </w:pPr>
      <w:r w:rsidRPr="00912659">
        <w:rPr>
          <w:rFonts w:eastAsia="Arial Unicode MS"/>
          <w:noProof/>
          <w:color w:val="000000" w:themeColor="text1"/>
        </w:rPr>
        <w:t xml:space="preserve">Existing Commission strategic documents underpin the necessity of improving the </w:t>
      </w:r>
      <w:r>
        <w:rPr>
          <w:rFonts w:eastAsia="Arial Unicode MS"/>
          <w:noProof/>
          <w:color w:val="000000" w:themeColor="text1"/>
        </w:rPr>
        <w:t xml:space="preserve">efficiency and effectiveness of </w:t>
      </w:r>
      <w:r w:rsidR="574CBED8">
        <w:rPr>
          <w:rFonts w:eastAsia="Arial Unicode MS"/>
          <w:noProof/>
          <w:color w:val="000000" w:themeColor="text1"/>
        </w:rPr>
        <w:t xml:space="preserve">law enforcement and </w:t>
      </w:r>
      <w:r w:rsidRPr="00912659">
        <w:rPr>
          <w:rFonts w:eastAsia="Arial Unicode MS"/>
          <w:noProof/>
          <w:color w:val="000000" w:themeColor="text1"/>
        </w:rPr>
        <w:t>judicial cooperation in the EU, as well as of expanding the cooperation with third</w:t>
      </w:r>
      <w:r w:rsidRPr="00912659">
        <w:rPr>
          <w:noProof/>
          <w:color w:val="000000" w:themeColor="text1"/>
        </w:rPr>
        <w:t xml:space="preserve"> </w:t>
      </w:r>
      <w:r w:rsidRPr="00912659">
        <w:rPr>
          <w:rFonts w:eastAsia="Arial Unicode MS"/>
          <w:noProof/>
          <w:color w:val="000000" w:themeColor="text1"/>
        </w:rPr>
        <w:t>countries. These include, among others, the</w:t>
      </w:r>
      <w:r w:rsidRPr="00C11E78">
        <w:rPr>
          <w:noProof/>
        </w:rPr>
        <w:t xml:space="preserve"> Security Union Strategy</w:t>
      </w:r>
      <w:r w:rsidR="00912659" w:rsidRPr="008D3997">
        <w:rPr>
          <w:rStyle w:val="FootnoteReference"/>
          <w:rFonts w:eastAsia="Arial Unicode MS"/>
          <w:noProof/>
        </w:rPr>
        <w:footnoteReference w:id="11"/>
      </w:r>
      <w:r w:rsidRPr="00C11E78">
        <w:rPr>
          <w:noProof/>
        </w:rPr>
        <w:t>, the Counter-Terrorism Agenda for the EU</w:t>
      </w:r>
      <w:r w:rsidR="00912659" w:rsidRPr="008D3997">
        <w:rPr>
          <w:rStyle w:val="FootnoteReference"/>
          <w:rFonts w:eastAsia="Arial Unicode MS"/>
          <w:noProof/>
        </w:rPr>
        <w:footnoteReference w:id="12"/>
      </w:r>
      <w:r w:rsidRPr="00C11E78">
        <w:rPr>
          <w:noProof/>
        </w:rPr>
        <w:t xml:space="preserve">, </w:t>
      </w:r>
      <w:r w:rsidR="1ED61885" w:rsidRPr="00C11E78">
        <w:rPr>
          <w:noProof/>
        </w:rPr>
        <w:t xml:space="preserve">and </w:t>
      </w:r>
      <w:r w:rsidRPr="00C11E78">
        <w:rPr>
          <w:noProof/>
        </w:rPr>
        <w:t>the EU Strategy to tackle organised crime</w:t>
      </w:r>
      <w:r w:rsidR="00912659" w:rsidRPr="008D3997">
        <w:rPr>
          <w:rStyle w:val="FootnoteReference"/>
          <w:rFonts w:eastAsia="Arial Unicode MS"/>
          <w:noProof/>
        </w:rPr>
        <w:footnoteReference w:id="13"/>
      </w:r>
      <w:r w:rsidRPr="00C11E78">
        <w:rPr>
          <w:noProof/>
        </w:rPr>
        <w:t xml:space="preserve">. </w:t>
      </w:r>
    </w:p>
    <w:p w:rsidR="07EDB4C4" w:rsidRDefault="07EDB4C4" w:rsidP="181C8758">
      <w:pPr>
        <w:spacing w:before="0" w:after="240"/>
        <w:rPr>
          <w:rFonts w:eastAsia="Times New Roman"/>
          <w:noProof/>
          <w:szCs w:val="24"/>
        </w:rPr>
      </w:pPr>
      <w:r w:rsidRPr="00C11E78">
        <w:rPr>
          <w:noProof/>
        </w:rPr>
        <w:t xml:space="preserve">In line with these strategic documents, international cooperation has also been enhanced in the area of law enforcement. </w:t>
      </w:r>
      <w:r w:rsidR="5CD48C6C" w:rsidRPr="00C11E78">
        <w:rPr>
          <w:noProof/>
        </w:rPr>
        <w:t>Based on the authorisation by the Council</w:t>
      </w:r>
      <w:r w:rsidR="00CD684E" w:rsidRPr="008D3997">
        <w:rPr>
          <w:rStyle w:val="FootnoteReference"/>
          <w:rFonts w:eastAsia="Arial Unicode MS"/>
          <w:noProof/>
          <w:szCs w:val="24"/>
        </w:rPr>
        <w:footnoteReference w:id="14"/>
      </w:r>
      <w:r w:rsidR="5CD48C6C" w:rsidRPr="00C11E78">
        <w:rPr>
          <w:noProof/>
        </w:rPr>
        <w:t xml:space="preserve">, the Commission has negotiated </w:t>
      </w:r>
      <w:r w:rsidR="00BC5D00">
        <w:rPr>
          <w:noProof/>
        </w:rPr>
        <w:t xml:space="preserve">an </w:t>
      </w:r>
      <w:r w:rsidRPr="00C11E78">
        <w:rPr>
          <w:noProof/>
        </w:rPr>
        <w:t xml:space="preserve">Agreement with New Zealand </w:t>
      </w:r>
      <w:r w:rsidR="740D5424" w:rsidRPr="181C8758">
        <w:rPr>
          <w:rFonts w:eastAsia="Times New Roman"/>
          <w:noProof/>
          <w:szCs w:val="24"/>
        </w:rPr>
        <w:t xml:space="preserve">on the exchange of personal data </w:t>
      </w:r>
      <w:r w:rsidR="005F20A8">
        <w:rPr>
          <w:rFonts w:eastAsia="Times New Roman"/>
          <w:noProof/>
          <w:szCs w:val="24"/>
        </w:rPr>
        <w:t>with</w:t>
      </w:r>
      <w:r w:rsidR="740D5424" w:rsidRPr="181C8758">
        <w:rPr>
          <w:rFonts w:eastAsia="Times New Roman"/>
          <w:noProof/>
          <w:szCs w:val="24"/>
        </w:rPr>
        <w:t xml:space="preserve"> the European Union Agency for Law Enforcement Cooperation (Europol).</w:t>
      </w:r>
    </w:p>
    <w:p w:rsidR="00C53376" w:rsidRPr="00C11E78" w:rsidRDefault="00C53376" w:rsidP="00C53376">
      <w:pPr>
        <w:pBdr>
          <w:top w:val="nil"/>
          <w:left w:val="nil"/>
          <w:bottom w:val="nil"/>
          <w:right w:val="nil"/>
          <w:between w:val="nil"/>
          <w:bar w:val="nil"/>
        </w:pBdr>
        <w:spacing w:before="0" w:after="240"/>
        <w:rPr>
          <w:noProof/>
        </w:rPr>
      </w:pPr>
      <w:r w:rsidRPr="00C11E78">
        <w:rPr>
          <w:noProof/>
        </w:rPr>
        <w:t>At the same time, it is crucial that judicial cooperation with third states</w:t>
      </w:r>
      <w:r w:rsidR="00E929AC" w:rsidRPr="00C11E78">
        <w:rPr>
          <w:noProof/>
        </w:rPr>
        <w:t xml:space="preserve"> </w:t>
      </w:r>
      <w:r w:rsidR="00912659" w:rsidRPr="00C11E78">
        <w:rPr>
          <w:noProof/>
        </w:rPr>
        <w:t>is fully in line with</w:t>
      </w:r>
      <w:r w:rsidRPr="00C11E78">
        <w:rPr>
          <w:noProof/>
        </w:rPr>
        <w:t xml:space="preserve"> the fundamental rights </w:t>
      </w:r>
      <w:r w:rsidRPr="00912659">
        <w:rPr>
          <w:rFonts w:eastAsia="Arial Unicode MS"/>
          <w:noProof/>
          <w:color w:val="000000" w:themeColor="text1"/>
        </w:rPr>
        <w:t>enshrined in the EU Treaties and in the Charter of Fundamental Rights of the European Union.</w:t>
      </w:r>
    </w:p>
    <w:p w:rsidR="00912659" w:rsidRPr="00912659" w:rsidRDefault="38FE7567" w:rsidP="002437EF">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One particular</w:t>
      </w:r>
      <w:r w:rsidR="67BFA2AD" w:rsidRPr="181C8758">
        <w:rPr>
          <w:rFonts w:eastAsia="Arial Unicode MS"/>
          <w:noProof/>
          <w:color w:val="000000" w:themeColor="text1"/>
        </w:rPr>
        <w:t>ly important</w:t>
      </w:r>
      <w:r w:rsidRPr="181C8758">
        <w:rPr>
          <w:rFonts w:eastAsia="Arial Unicode MS"/>
          <w:noProof/>
          <w:color w:val="000000" w:themeColor="text1"/>
        </w:rPr>
        <w:t xml:space="preserve"> set of safeguards, notably those </w:t>
      </w:r>
      <w:r w:rsidR="124E121F" w:rsidRPr="181C8758">
        <w:rPr>
          <w:rFonts w:eastAsia="Arial Unicode MS"/>
          <w:noProof/>
          <w:color w:val="000000" w:themeColor="text1"/>
        </w:rPr>
        <w:t>included</w:t>
      </w:r>
      <w:r w:rsidRPr="181C8758">
        <w:rPr>
          <w:rFonts w:eastAsia="Arial Unicode MS"/>
          <w:noProof/>
          <w:color w:val="000000" w:themeColor="text1"/>
        </w:rPr>
        <w:t xml:space="preserve"> in Chapter II of the Agreement, concerns the protection of personal data, which </w:t>
      </w:r>
      <w:r w:rsidR="7A61D7FB" w:rsidRPr="181C8758">
        <w:rPr>
          <w:rFonts w:eastAsia="Arial Unicode MS"/>
          <w:noProof/>
          <w:color w:val="000000" w:themeColor="text1"/>
        </w:rPr>
        <w:t xml:space="preserve">in the EU </w:t>
      </w:r>
      <w:r w:rsidRPr="181C8758">
        <w:rPr>
          <w:rFonts w:eastAsia="Arial Unicode MS"/>
          <w:noProof/>
          <w:color w:val="000000" w:themeColor="text1"/>
        </w:rPr>
        <w:t xml:space="preserve">is a fundamental right. In accordance with Article </w:t>
      </w:r>
      <w:r w:rsidR="786E1FCC" w:rsidRPr="181C8758">
        <w:rPr>
          <w:rFonts w:eastAsia="Arial Unicode MS"/>
          <w:noProof/>
          <w:color w:val="000000" w:themeColor="text1"/>
        </w:rPr>
        <w:t>56(2)</w:t>
      </w:r>
      <w:r w:rsidR="00222C42">
        <w:rPr>
          <w:rFonts w:eastAsia="Arial Unicode MS"/>
          <w:noProof/>
          <w:color w:val="000000" w:themeColor="text1"/>
        </w:rPr>
        <w:t>,</w:t>
      </w:r>
      <w:r w:rsidR="786E1FCC" w:rsidRPr="181C8758">
        <w:rPr>
          <w:rFonts w:eastAsia="Arial Unicode MS"/>
          <w:noProof/>
          <w:color w:val="000000" w:themeColor="text1"/>
        </w:rPr>
        <w:t xml:space="preserve"> point (c</w:t>
      </w:r>
      <w:r w:rsidRPr="181C8758">
        <w:rPr>
          <w:rFonts w:eastAsia="Arial Unicode MS"/>
          <w:noProof/>
          <w:color w:val="000000" w:themeColor="text1"/>
        </w:rPr>
        <w:t>)</w:t>
      </w:r>
      <w:r w:rsidR="00222C42">
        <w:rPr>
          <w:rFonts w:eastAsia="Arial Unicode MS"/>
          <w:noProof/>
          <w:color w:val="000000" w:themeColor="text1"/>
        </w:rPr>
        <w:t>,</w:t>
      </w:r>
      <w:r w:rsidRPr="181C8758">
        <w:rPr>
          <w:rFonts w:eastAsia="Arial Unicode MS"/>
          <w:noProof/>
          <w:color w:val="000000" w:themeColor="text1"/>
        </w:rPr>
        <w:t xml:space="preserve"> of the </w:t>
      </w:r>
      <w:r w:rsidR="786E1FCC" w:rsidRPr="181C8758">
        <w:rPr>
          <w:rFonts w:eastAsia="Arial Unicode MS"/>
          <w:noProof/>
          <w:color w:val="000000" w:themeColor="text1"/>
        </w:rPr>
        <w:t>Eurojust</w:t>
      </w:r>
      <w:r w:rsidRPr="181C8758">
        <w:rPr>
          <w:rFonts w:eastAsia="Arial Unicode MS"/>
          <w:noProof/>
          <w:color w:val="000000" w:themeColor="text1"/>
        </w:rPr>
        <w:t xml:space="preserve"> Regulation, </w:t>
      </w:r>
      <w:r w:rsidR="786E1FCC" w:rsidRPr="181C8758">
        <w:rPr>
          <w:rFonts w:eastAsia="Arial Unicode MS"/>
          <w:noProof/>
          <w:color w:val="000000" w:themeColor="text1"/>
        </w:rPr>
        <w:t>Eurojust</w:t>
      </w:r>
      <w:r w:rsidRPr="181C8758">
        <w:rPr>
          <w:rFonts w:eastAsia="Arial Unicode MS"/>
          <w:noProof/>
          <w:color w:val="000000" w:themeColor="text1"/>
        </w:rPr>
        <w:t xml:space="preserve"> may transfer personal data to an authority of a third country bas</w:t>
      </w:r>
      <w:r w:rsidR="365D58D1" w:rsidRPr="181C8758">
        <w:rPr>
          <w:rFonts w:eastAsia="Arial Unicode MS"/>
          <w:noProof/>
          <w:color w:val="000000" w:themeColor="text1"/>
        </w:rPr>
        <w:t>ed</w:t>
      </w:r>
      <w:r w:rsidRPr="181C8758">
        <w:rPr>
          <w:rFonts w:eastAsia="Arial Unicode MS"/>
          <w:noProof/>
          <w:color w:val="000000" w:themeColor="text1"/>
        </w:rPr>
        <w:t xml:space="preserve"> o</w:t>
      </w:r>
      <w:r w:rsidR="035F617B" w:rsidRPr="181C8758">
        <w:rPr>
          <w:rFonts w:eastAsia="Arial Unicode MS"/>
          <w:noProof/>
          <w:color w:val="000000" w:themeColor="text1"/>
        </w:rPr>
        <w:t>n</w:t>
      </w:r>
      <w:r w:rsidRPr="181C8758">
        <w:rPr>
          <w:rFonts w:eastAsia="Arial Unicode MS"/>
          <w:noProof/>
          <w:color w:val="000000" w:themeColor="text1"/>
        </w:rPr>
        <w:t xml:space="preserve"> an international agreement concluded between the Union and that third country pursuant to Article 218 TFEU adducing adequate safeguards with respect to the protection of privacy and fundamental rights and freedoms of individuals.</w:t>
      </w:r>
    </w:p>
    <w:p w:rsidR="002437EF" w:rsidRPr="00912659" w:rsidRDefault="38FE7567" w:rsidP="002437EF">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Chapter II of the Agreement provides for such safeguards, including in particular provisions ensuring a number of data protection principles and obligations that must be respected by </w:t>
      </w:r>
      <w:r w:rsidR="0B7900E7" w:rsidRPr="181C8758">
        <w:rPr>
          <w:rFonts w:eastAsia="Arial Unicode MS"/>
          <w:noProof/>
          <w:color w:val="000000" w:themeColor="text1"/>
        </w:rPr>
        <w:t>both</w:t>
      </w:r>
      <w:r w:rsidRPr="181C8758">
        <w:rPr>
          <w:rFonts w:eastAsia="Arial Unicode MS"/>
          <w:noProof/>
          <w:color w:val="000000" w:themeColor="text1"/>
        </w:rPr>
        <w:t xml:space="preserve"> Parties</w:t>
      </w:r>
      <w:r w:rsidR="786E1FCC" w:rsidRPr="181C8758">
        <w:rPr>
          <w:rFonts w:eastAsia="Arial Unicode MS"/>
          <w:noProof/>
          <w:color w:val="000000" w:themeColor="text1"/>
        </w:rPr>
        <w:t xml:space="preserve"> (Articles 10ff.)</w:t>
      </w:r>
      <w:r w:rsidRPr="181C8758">
        <w:rPr>
          <w:rFonts w:eastAsia="Arial Unicode MS"/>
          <w:noProof/>
          <w:color w:val="000000" w:themeColor="text1"/>
        </w:rPr>
        <w:t xml:space="preserve"> as well as provisions ensurin</w:t>
      </w:r>
      <w:r w:rsidR="786E1FCC" w:rsidRPr="181C8758">
        <w:rPr>
          <w:rFonts w:eastAsia="Arial Unicode MS"/>
          <w:noProof/>
          <w:color w:val="000000" w:themeColor="text1"/>
        </w:rPr>
        <w:t xml:space="preserve">g enforceable individual rights (Article 14ff.), </w:t>
      </w:r>
      <w:r w:rsidRPr="181C8758">
        <w:rPr>
          <w:rFonts w:eastAsia="Arial Unicode MS"/>
          <w:noProof/>
          <w:color w:val="000000" w:themeColor="text1"/>
        </w:rPr>
        <w:t xml:space="preserve">independent supervision (Article </w:t>
      </w:r>
      <w:r w:rsidR="786E1FCC" w:rsidRPr="181C8758">
        <w:rPr>
          <w:rFonts w:eastAsia="Arial Unicode MS"/>
          <w:noProof/>
          <w:color w:val="000000" w:themeColor="text1"/>
        </w:rPr>
        <w:t>21</w:t>
      </w:r>
      <w:r w:rsidRPr="181C8758">
        <w:rPr>
          <w:rFonts w:eastAsia="Arial Unicode MS"/>
          <w:noProof/>
          <w:color w:val="000000" w:themeColor="text1"/>
        </w:rPr>
        <w:t>) and effective administrative and judicial redress for violations of the rights and safeguards recognised in the Agreement resulting from the process</w:t>
      </w:r>
      <w:r w:rsidR="786E1FCC" w:rsidRPr="181C8758">
        <w:rPr>
          <w:rFonts w:eastAsia="Arial Unicode MS"/>
          <w:noProof/>
          <w:color w:val="000000" w:themeColor="text1"/>
        </w:rPr>
        <w:t>ing of personal data (Article 22</w:t>
      </w:r>
      <w:r w:rsidRPr="181C8758">
        <w:rPr>
          <w:rFonts w:eastAsia="Arial Unicode MS"/>
          <w:noProof/>
          <w:color w:val="000000" w:themeColor="text1"/>
        </w:rPr>
        <w:t>).</w:t>
      </w:r>
    </w:p>
    <w:p w:rsidR="002437EF" w:rsidRPr="00912659" w:rsidRDefault="2BDA397E" w:rsidP="181C8758">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It is necessary to strike a balance between enhancing security and safeguarding human rights, including data and privacy. The Commission ensured that the Agreement </w:t>
      </w:r>
      <w:r w:rsidR="38EFB5B6" w:rsidRPr="181C8758">
        <w:rPr>
          <w:rFonts w:eastAsia="Arial Unicode MS"/>
          <w:noProof/>
          <w:color w:val="000000" w:themeColor="text1"/>
        </w:rPr>
        <w:t xml:space="preserve">provides a legal basis for the exchange of personal data for judicial cooperation in criminal matters while </w:t>
      </w:r>
      <w:r w:rsidR="00166023">
        <w:rPr>
          <w:rFonts w:eastAsia="Arial Unicode MS"/>
          <w:noProof/>
          <w:color w:val="000000" w:themeColor="text1"/>
        </w:rPr>
        <w:t>providing for</w:t>
      </w:r>
      <w:r w:rsidR="00166023" w:rsidRPr="181C8758">
        <w:rPr>
          <w:rFonts w:eastAsia="Arial Unicode MS"/>
          <w:noProof/>
          <w:color w:val="000000" w:themeColor="text1"/>
        </w:rPr>
        <w:t xml:space="preserve"> </w:t>
      </w:r>
      <w:r w:rsidRPr="181C8758">
        <w:rPr>
          <w:rFonts w:eastAsia="Arial Unicode MS"/>
          <w:noProof/>
          <w:color w:val="000000" w:themeColor="text1"/>
        </w:rPr>
        <w:t>adequate safeguards with respect to the protection of privacy and fundamental rights and freedoms of individuals.</w:t>
      </w:r>
    </w:p>
    <w:p w:rsidR="00C11FA9" w:rsidRPr="002D5EE2" w:rsidRDefault="00C11FA9" w:rsidP="00A52F19">
      <w:pPr>
        <w:pStyle w:val="ManualHeading1"/>
        <w:rPr>
          <w:noProof/>
        </w:rPr>
      </w:pPr>
      <w:r w:rsidRPr="002D5EE2">
        <w:rPr>
          <w:noProof/>
        </w:rPr>
        <w:t>2.</w:t>
      </w:r>
      <w:r w:rsidRPr="002D5EE2">
        <w:rPr>
          <w:noProof/>
        </w:rPr>
        <w:tab/>
        <w:t>LEGAL BASIS, SUBSIDIARITY AND PROPORTIONALITY</w:t>
      </w:r>
    </w:p>
    <w:p w:rsidR="00C11FA9" w:rsidRPr="002D5EE2" w:rsidRDefault="00C11FA9" w:rsidP="00A52F19">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9E5643" w:rsidRPr="00E34F04" w:rsidRDefault="009E5643" w:rsidP="009E5643">
      <w:pPr>
        <w:rPr>
          <w:noProof/>
        </w:rPr>
      </w:pPr>
      <w:r w:rsidRPr="00E34F04">
        <w:rPr>
          <w:noProof/>
        </w:rPr>
        <w:t>Article 218(</w:t>
      </w:r>
      <w:r w:rsidR="00286216">
        <w:rPr>
          <w:noProof/>
        </w:rPr>
        <w:t>6</w:t>
      </w:r>
      <w:r w:rsidRPr="00E34F04">
        <w:rPr>
          <w:noProof/>
        </w:rPr>
        <w:t>) of the Treaty on the Functioning of the European Union (TFEU) provides for decisions ‘</w:t>
      </w:r>
      <w:r w:rsidR="00286216">
        <w:rPr>
          <w:i/>
          <w:noProof/>
        </w:rPr>
        <w:t>concluding the agreement</w:t>
      </w:r>
      <w:r w:rsidRPr="009E5643">
        <w:rPr>
          <w:i/>
          <w:noProof/>
        </w:rPr>
        <w:t>.</w:t>
      </w:r>
      <w:r w:rsidRPr="00E34F04">
        <w:rPr>
          <w:noProof/>
        </w:rPr>
        <w:t>’</w:t>
      </w:r>
      <w:r>
        <w:rPr>
          <w:noProof/>
        </w:rPr>
        <w:t xml:space="preserve"> Since the proposal</w:t>
      </w:r>
      <w:r w:rsidR="007B4FFD">
        <w:rPr>
          <w:noProof/>
        </w:rPr>
        <w:t xml:space="preserve"> concerns areas where the ordinary legislative procedure is applied, the consent of the European Parliament is required and, therefore</w:t>
      </w:r>
      <w:r>
        <w:rPr>
          <w:noProof/>
        </w:rPr>
        <w:t>, the procedural legal basis is Article 218(</w:t>
      </w:r>
      <w:r w:rsidR="003516A9">
        <w:rPr>
          <w:noProof/>
        </w:rPr>
        <w:t>6</w:t>
      </w:r>
      <w:r>
        <w:rPr>
          <w:noProof/>
        </w:rPr>
        <w:t>)</w:t>
      </w:r>
      <w:r w:rsidR="000806AB">
        <w:rPr>
          <w:noProof/>
        </w:rPr>
        <w:t>,</w:t>
      </w:r>
      <w:r w:rsidR="003516A9">
        <w:rPr>
          <w:noProof/>
        </w:rPr>
        <w:t xml:space="preserve"> point (a)</w:t>
      </w:r>
      <w:r w:rsidR="007B4FFD">
        <w:rPr>
          <w:noProof/>
        </w:rPr>
        <w:t>(v)</w:t>
      </w:r>
      <w:r w:rsidR="00222C42">
        <w:rPr>
          <w:noProof/>
        </w:rPr>
        <w:t>,</w:t>
      </w:r>
      <w:r>
        <w:rPr>
          <w:noProof/>
        </w:rPr>
        <w:t xml:space="preserve"> TFEU</w:t>
      </w:r>
      <w:r w:rsidR="00D626D5">
        <w:rPr>
          <w:noProof/>
        </w:rPr>
        <w:t>.</w:t>
      </w:r>
    </w:p>
    <w:p w:rsidR="009E5643" w:rsidRDefault="00B477E5" w:rsidP="009E5643">
      <w:pPr>
        <w:pBdr>
          <w:top w:val="nil"/>
          <w:left w:val="nil"/>
          <w:bottom w:val="nil"/>
          <w:right w:val="nil"/>
          <w:between w:val="nil"/>
          <w:bar w:val="nil"/>
        </w:pBdr>
        <w:spacing w:before="0" w:after="240"/>
        <w:rPr>
          <w:rFonts w:eastAsia="Arial Unicode MS"/>
          <w:noProof/>
          <w:color w:val="000000" w:themeColor="text1"/>
        </w:rPr>
      </w:pPr>
      <w:r w:rsidRPr="00E34F04">
        <w:rPr>
          <w:noProof/>
        </w:rPr>
        <w:t xml:space="preserve">The substantive legal basis depends primarily on the objective and content of the envisaged act. If the envisaged act pursues two aims or has two components and if one of those aims or components is identifiable as the main one, whereas the other is merely incidental, </w:t>
      </w:r>
      <w:r w:rsidR="009E5643">
        <w:rPr>
          <w:noProof/>
        </w:rPr>
        <w:t>a legal act</w:t>
      </w:r>
      <w:r w:rsidRPr="00E34F04">
        <w:rPr>
          <w:noProof/>
        </w:rPr>
        <w:t xml:space="preserve"> must be founded on a single substantive legal basis, namely that required by the main or predominant aim or component.</w:t>
      </w:r>
      <w:r>
        <w:rPr>
          <w:noProof/>
        </w:rPr>
        <w:t xml:space="preserve"> </w:t>
      </w:r>
      <w:r w:rsidR="009E5643">
        <w:rPr>
          <w:noProof/>
        </w:rPr>
        <w:t>The proposal has two main aims</w:t>
      </w:r>
      <w:r w:rsidR="005F6193">
        <w:rPr>
          <w:noProof/>
        </w:rPr>
        <w:t xml:space="preserve"> and components</w:t>
      </w:r>
      <w:r w:rsidR="009E5643">
        <w:rPr>
          <w:noProof/>
        </w:rPr>
        <w:t xml:space="preserve">, namely the cooperation between Eurojust and </w:t>
      </w:r>
      <w:r w:rsidR="001B63EE">
        <w:rPr>
          <w:noProof/>
        </w:rPr>
        <w:t>Lebanon</w:t>
      </w:r>
      <w:r w:rsidR="009E5643">
        <w:rPr>
          <w:noProof/>
        </w:rPr>
        <w:t xml:space="preserve"> in criminal matters as well as establishing </w:t>
      </w:r>
      <w:r w:rsidR="009E5643" w:rsidRPr="181C8758">
        <w:rPr>
          <w:rFonts w:eastAsia="Arial Unicode MS"/>
          <w:noProof/>
          <w:color w:val="000000" w:themeColor="text1"/>
        </w:rPr>
        <w:t>adequate safeguards with respect to the protection of privacy and other fundamental rights and freedoms of individuals</w:t>
      </w:r>
      <w:r w:rsidR="009E5643">
        <w:rPr>
          <w:rFonts w:eastAsia="Arial Unicode MS"/>
          <w:noProof/>
          <w:color w:val="000000" w:themeColor="text1"/>
        </w:rPr>
        <w:t xml:space="preserve"> for this cooperation.</w:t>
      </w:r>
      <w:r w:rsidR="009E5643" w:rsidRPr="181C8758">
        <w:rPr>
          <w:rFonts w:eastAsia="Arial Unicode MS"/>
          <w:noProof/>
          <w:color w:val="000000" w:themeColor="text1"/>
        </w:rPr>
        <w:t xml:space="preserve"> </w:t>
      </w:r>
      <w:r w:rsidR="009E5643">
        <w:rPr>
          <w:rFonts w:eastAsia="Arial Unicode MS"/>
          <w:noProof/>
          <w:color w:val="000000" w:themeColor="text1"/>
        </w:rPr>
        <w:t xml:space="preserve">Thus, the substantive legal basis needs to be </w:t>
      </w:r>
      <w:r w:rsidR="009E5643" w:rsidRPr="181C8758">
        <w:rPr>
          <w:rFonts w:eastAsia="Arial Unicode MS"/>
          <w:noProof/>
          <w:color w:val="000000" w:themeColor="text1"/>
        </w:rPr>
        <w:t>Article 16(2) and Article 85</w:t>
      </w:r>
      <w:r w:rsidR="009E5643" w:rsidRPr="009E5643">
        <w:rPr>
          <w:rFonts w:eastAsia="Arial Unicode MS"/>
          <w:noProof/>
          <w:color w:val="000000" w:themeColor="text1"/>
        </w:rPr>
        <w:t xml:space="preserve"> </w:t>
      </w:r>
      <w:r w:rsidR="009E5643">
        <w:rPr>
          <w:rFonts w:eastAsia="Arial Unicode MS"/>
          <w:noProof/>
          <w:color w:val="000000" w:themeColor="text1"/>
        </w:rPr>
        <w:t>TFEU.</w:t>
      </w:r>
    </w:p>
    <w:p w:rsidR="00AF08A8" w:rsidRPr="00C11E78" w:rsidRDefault="129D4BDB">
      <w:pPr>
        <w:pBdr>
          <w:top w:val="nil"/>
          <w:left w:val="nil"/>
          <w:bottom w:val="nil"/>
          <w:right w:val="nil"/>
          <w:between w:val="nil"/>
          <w:bar w:val="nil"/>
        </w:pBdr>
        <w:spacing w:before="0" w:after="240"/>
        <w:rPr>
          <w:noProof/>
        </w:rPr>
      </w:pPr>
      <w:r w:rsidRPr="181C8758">
        <w:rPr>
          <w:rFonts w:eastAsia="Arial Unicode MS"/>
          <w:noProof/>
          <w:color w:val="000000" w:themeColor="text1"/>
        </w:rPr>
        <w:t>Th</w:t>
      </w:r>
      <w:r w:rsidR="009E5643">
        <w:rPr>
          <w:rFonts w:eastAsia="Arial Unicode MS"/>
          <w:noProof/>
          <w:color w:val="000000" w:themeColor="text1"/>
        </w:rPr>
        <w:t>erefore, th</w:t>
      </w:r>
      <w:r w:rsidRPr="181C8758">
        <w:rPr>
          <w:rFonts w:eastAsia="Arial Unicode MS"/>
          <w:noProof/>
          <w:color w:val="000000" w:themeColor="text1"/>
        </w:rPr>
        <w:t>is proposal is based on Article 16(2) and Article 85</w:t>
      </w:r>
      <w:r w:rsidR="009E5643" w:rsidRPr="009E5643">
        <w:rPr>
          <w:rFonts w:eastAsia="Arial Unicode MS"/>
          <w:noProof/>
          <w:color w:val="000000" w:themeColor="text1"/>
        </w:rPr>
        <w:t xml:space="preserve"> </w:t>
      </w:r>
      <w:r w:rsidR="009E5643">
        <w:rPr>
          <w:rFonts w:eastAsia="Arial Unicode MS"/>
          <w:noProof/>
          <w:color w:val="000000" w:themeColor="text1"/>
        </w:rPr>
        <w:t>TFEU</w:t>
      </w:r>
      <w:r w:rsidRPr="181C8758">
        <w:rPr>
          <w:rFonts w:eastAsia="Arial Unicode MS"/>
          <w:noProof/>
          <w:color w:val="000000" w:themeColor="text1"/>
        </w:rPr>
        <w:t xml:space="preserve"> in conjunction with Article 218(</w:t>
      </w:r>
      <w:r w:rsidR="003516A9">
        <w:rPr>
          <w:rFonts w:eastAsia="Arial Unicode MS"/>
          <w:noProof/>
          <w:color w:val="000000" w:themeColor="text1"/>
        </w:rPr>
        <w:t>6</w:t>
      </w:r>
      <w:r w:rsidRPr="181C8758">
        <w:rPr>
          <w:rFonts w:eastAsia="Arial Unicode MS"/>
          <w:noProof/>
          <w:color w:val="000000" w:themeColor="text1"/>
        </w:rPr>
        <w:t>)</w:t>
      </w:r>
      <w:r w:rsidR="00A23887">
        <w:rPr>
          <w:rFonts w:eastAsia="Arial Unicode MS"/>
          <w:noProof/>
          <w:color w:val="000000" w:themeColor="text1"/>
        </w:rPr>
        <w:t>,</w:t>
      </w:r>
      <w:r w:rsidR="003516A9">
        <w:rPr>
          <w:rFonts w:eastAsia="Arial Unicode MS"/>
          <w:noProof/>
          <w:color w:val="000000" w:themeColor="text1"/>
        </w:rPr>
        <w:t xml:space="preserve"> point (a)</w:t>
      </w:r>
      <w:r w:rsidR="007B4FFD">
        <w:rPr>
          <w:rFonts w:eastAsia="Arial Unicode MS"/>
          <w:noProof/>
          <w:color w:val="000000" w:themeColor="text1"/>
        </w:rPr>
        <w:t>(v)</w:t>
      </w:r>
      <w:r w:rsidR="00222C42">
        <w:rPr>
          <w:rFonts w:eastAsia="Arial Unicode MS"/>
          <w:noProof/>
          <w:color w:val="000000" w:themeColor="text1"/>
        </w:rPr>
        <w:t>,</w:t>
      </w:r>
      <w:r w:rsidR="00D626D5">
        <w:rPr>
          <w:rFonts w:eastAsia="Arial Unicode MS"/>
          <w:noProof/>
          <w:color w:val="000000" w:themeColor="text1"/>
        </w:rPr>
        <w:t xml:space="preserve"> TFEU.</w:t>
      </w:r>
    </w:p>
    <w:p w:rsidR="00C11FA9" w:rsidRPr="002D5EE2" w:rsidRDefault="00C11FA9" w:rsidP="00A52F19">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C11FA9" w:rsidRPr="009D60F8" w:rsidRDefault="005F6193" w:rsidP="005F6193">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The Eurojust Regulation lays down specific rules regarding transfers of personal data by Eurojust outside of the EU. Article 56(2) thereof lists </w:t>
      </w:r>
      <w:r>
        <w:rPr>
          <w:rFonts w:eastAsia="Arial Unicode MS"/>
          <w:noProof/>
          <w:color w:val="000000" w:themeColor="text1"/>
        </w:rPr>
        <w:t xml:space="preserve">situations where </w:t>
      </w:r>
      <w:r w:rsidRPr="181C8758">
        <w:rPr>
          <w:rFonts w:eastAsia="Arial Unicode MS"/>
          <w:noProof/>
          <w:color w:val="000000" w:themeColor="text1"/>
        </w:rPr>
        <w:t xml:space="preserve">Eurojust can lawfully transfer personal data to </w:t>
      </w:r>
      <w:r w:rsidR="00286216">
        <w:rPr>
          <w:rFonts w:eastAsia="Arial Unicode MS"/>
          <w:noProof/>
          <w:color w:val="000000" w:themeColor="text1"/>
        </w:rPr>
        <w:t xml:space="preserve">the </w:t>
      </w:r>
      <w:r w:rsidRPr="181C8758">
        <w:rPr>
          <w:rFonts w:eastAsia="Arial Unicode MS"/>
          <w:noProof/>
          <w:color w:val="000000" w:themeColor="text1"/>
        </w:rPr>
        <w:t xml:space="preserve">judicial authorities of third countries. </w:t>
      </w:r>
      <w:r w:rsidR="00350E10">
        <w:rPr>
          <w:rFonts w:eastAsia="Arial Unicode MS"/>
          <w:noProof/>
          <w:color w:val="000000" w:themeColor="text1"/>
        </w:rPr>
        <w:t xml:space="preserve">It follows from the provision </w:t>
      </w:r>
      <w:r>
        <w:rPr>
          <w:rFonts w:eastAsia="Arial Unicode MS"/>
          <w:noProof/>
          <w:color w:val="000000" w:themeColor="text1"/>
        </w:rPr>
        <w:t xml:space="preserve">that </w:t>
      </w:r>
      <w:r w:rsidRPr="181C8758">
        <w:rPr>
          <w:rFonts w:eastAsia="Arial Unicode MS"/>
          <w:noProof/>
          <w:color w:val="000000" w:themeColor="text1"/>
        </w:rPr>
        <w:t xml:space="preserve">for structural transfers of personal data by Eurojust to </w:t>
      </w:r>
      <w:r w:rsidR="00250BEA">
        <w:rPr>
          <w:rFonts w:eastAsia="Arial Unicode MS"/>
          <w:noProof/>
          <w:color w:val="000000" w:themeColor="text1"/>
        </w:rPr>
        <w:t>Lebanon</w:t>
      </w:r>
      <w:r w:rsidRPr="181C8758">
        <w:rPr>
          <w:rFonts w:eastAsia="Arial Unicode MS"/>
          <w:noProof/>
          <w:color w:val="000000" w:themeColor="text1"/>
        </w:rPr>
        <w:t xml:space="preserve"> the conclusion of a binding international agreement between the EU and </w:t>
      </w:r>
      <w:r w:rsidR="00250BEA">
        <w:rPr>
          <w:rFonts w:eastAsia="Arial Unicode MS"/>
          <w:noProof/>
          <w:color w:val="000000" w:themeColor="text1"/>
        </w:rPr>
        <w:t>Lebanon</w:t>
      </w:r>
      <w:r w:rsidRPr="181C8758">
        <w:rPr>
          <w:rFonts w:eastAsia="Arial Unicode MS"/>
          <w:noProof/>
          <w:color w:val="000000" w:themeColor="text1"/>
        </w:rPr>
        <w:t>, adducing adequate safeguards with respect to the protection of privacy and other fundamental rights and freedoms of individuals</w:t>
      </w:r>
      <w:r w:rsidR="004F45C6">
        <w:rPr>
          <w:rFonts w:eastAsia="Arial Unicode MS"/>
          <w:noProof/>
          <w:color w:val="000000" w:themeColor="text1"/>
        </w:rPr>
        <w:t>,</w:t>
      </w:r>
      <w:r>
        <w:rPr>
          <w:rFonts w:eastAsia="Arial Unicode MS"/>
          <w:noProof/>
          <w:color w:val="000000" w:themeColor="text1"/>
        </w:rPr>
        <w:t xml:space="preserve"> is required</w:t>
      </w:r>
      <w:r w:rsidRPr="181C8758">
        <w:rPr>
          <w:rFonts w:eastAsia="Arial Unicode MS"/>
          <w:noProof/>
          <w:color w:val="000000" w:themeColor="text1"/>
        </w:rPr>
        <w:t>.</w:t>
      </w:r>
      <w:r w:rsidR="00166023">
        <w:rPr>
          <w:rFonts w:eastAsia="Arial Unicode MS"/>
          <w:noProof/>
          <w:color w:val="000000" w:themeColor="text1"/>
        </w:rPr>
        <w:t xml:space="preserve"> </w:t>
      </w:r>
      <w:r>
        <w:rPr>
          <w:rFonts w:eastAsia="Arial Unicode MS"/>
          <w:noProof/>
          <w:color w:val="000000" w:themeColor="text1"/>
        </w:rPr>
        <w:t>In accordance with Article 3(2) TFEU, t</w:t>
      </w:r>
      <w:r w:rsidRPr="181C8758">
        <w:rPr>
          <w:rFonts w:eastAsia="Arial Unicode MS"/>
          <w:noProof/>
          <w:color w:val="000000" w:themeColor="text1"/>
        </w:rPr>
        <w:t xml:space="preserve">he Agreement thus falls within the exclusive external competence of the Union. </w:t>
      </w:r>
      <w:r>
        <w:rPr>
          <w:rFonts w:eastAsia="Arial Unicode MS"/>
          <w:noProof/>
          <w:color w:val="000000" w:themeColor="text1"/>
        </w:rPr>
        <w:t xml:space="preserve">Therefore, this proposal is not subject to subsidiarity check. </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C11FA9" w:rsidRPr="009D60F8" w:rsidRDefault="60EFB503"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The Union’s objectives with regard to this proposal as set out above can only be achieved by entering into a binding international agreement providing for the necessary cooperation measures, while ensuring appropriate protection of fundamental rights. The provisions of the agreement are limited to what is necessary to achieve its main objectives. Unilateral action</w:t>
      </w:r>
      <w:r w:rsidR="009C1C07">
        <w:rPr>
          <w:rFonts w:eastAsia="Arial Unicode MS"/>
          <w:noProof/>
          <w:color w:val="000000" w:themeColor="text1"/>
        </w:rPr>
        <w:t xml:space="preserve"> of the Member States</w:t>
      </w:r>
      <w:r w:rsidR="00712040">
        <w:rPr>
          <w:rFonts w:eastAsia="Arial Unicode MS"/>
          <w:noProof/>
          <w:color w:val="000000" w:themeColor="text1"/>
        </w:rPr>
        <w:t xml:space="preserve"> towards </w:t>
      </w:r>
      <w:r w:rsidR="00250BEA">
        <w:rPr>
          <w:rFonts w:eastAsia="Arial Unicode MS"/>
          <w:noProof/>
          <w:color w:val="000000" w:themeColor="text1"/>
        </w:rPr>
        <w:t>Lebanon</w:t>
      </w:r>
      <w:r w:rsidRPr="181C8758">
        <w:rPr>
          <w:rFonts w:eastAsia="Arial Unicode MS"/>
          <w:noProof/>
          <w:color w:val="000000" w:themeColor="text1"/>
        </w:rPr>
        <w:t xml:space="preserve"> does not represent an alternative, as </w:t>
      </w:r>
      <w:r w:rsidR="125CA59D" w:rsidRPr="181C8758">
        <w:rPr>
          <w:rFonts w:eastAsia="Arial Unicode MS"/>
          <w:noProof/>
          <w:color w:val="000000" w:themeColor="text1"/>
        </w:rPr>
        <w:t xml:space="preserve">Eurojust has a unique role. Unilateral action would also not provide a sufficient basis for judicial cooperation between Eurojust and third countries and would not ensure the necessary protection of fundamental rights. </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rsidR="00C11FA9" w:rsidRPr="00044058" w:rsidRDefault="60EFB503" w:rsidP="00A52F19">
      <w:pPr>
        <w:pBdr>
          <w:top w:val="nil"/>
          <w:left w:val="nil"/>
          <w:bottom w:val="nil"/>
          <w:right w:val="nil"/>
          <w:between w:val="nil"/>
          <w:bar w:val="nil"/>
        </w:pBdr>
        <w:spacing w:before="0" w:after="240"/>
        <w:rPr>
          <w:rFonts w:eastAsia="Arial Unicode MS"/>
          <w:noProof/>
        </w:rPr>
      </w:pPr>
      <w:r w:rsidRPr="181C8758">
        <w:rPr>
          <w:rFonts w:eastAsia="Arial Unicode MS"/>
          <w:noProof/>
        </w:rPr>
        <w:t xml:space="preserve">In accordance with Article 56 of </w:t>
      </w:r>
      <w:r w:rsidR="00222C42">
        <w:rPr>
          <w:rFonts w:eastAsia="Arial Unicode MS"/>
          <w:noProof/>
        </w:rPr>
        <w:t xml:space="preserve">the </w:t>
      </w:r>
      <w:r w:rsidR="00EC48E5">
        <w:rPr>
          <w:rFonts w:eastAsia="Arial Unicode MS"/>
          <w:noProof/>
        </w:rPr>
        <w:t xml:space="preserve">Eurojust </w:t>
      </w:r>
      <w:r w:rsidRPr="181C8758">
        <w:rPr>
          <w:rFonts w:eastAsia="Arial Unicode MS"/>
          <w:noProof/>
        </w:rPr>
        <w:t xml:space="preserve">Regulation, </w:t>
      </w:r>
      <w:r w:rsidR="7E7725AB" w:rsidRPr="181C8758">
        <w:rPr>
          <w:rFonts w:eastAsia="Arial Unicode MS"/>
          <w:noProof/>
        </w:rPr>
        <w:t xml:space="preserve">in the absence of an adequacy finding </w:t>
      </w:r>
      <w:r w:rsidRPr="181C8758">
        <w:rPr>
          <w:rFonts w:eastAsia="Arial Unicode MS"/>
          <w:noProof/>
        </w:rPr>
        <w:t xml:space="preserve">Eurojust may </w:t>
      </w:r>
      <w:r w:rsidR="78C47FE5" w:rsidRPr="181C8758">
        <w:rPr>
          <w:rFonts w:eastAsia="Arial Unicode MS"/>
          <w:noProof/>
        </w:rPr>
        <w:t xml:space="preserve">engage in the structural </w:t>
      </w:r>
      <w:r w:rsidRPr="181C8758">
        <w:rPr>
          <w:rFonts w:eastAsia="Arial Unicode MS"/>
          <w:noProof/>
        </w:rPr>
        <w:t xml:space="preserve">transfer </w:t>
      </w:r>
      <w:r w:rsidR="258F0C35" w:rsidRPr="181C8758">
        <w:rPr>
          <w:rFonts w:eastAsia="Arial Unicode MS"/>
          <w:noProof/>
        </w:rPr>
        <w:t xml:space="preserve">of </w:t>
      </w:r>
      <w:r w:rsidRPr="181C8758">
        <w:rPr>
          <w:rFonts w:eastAsia="Arial Unicode MS"/>
          <w:noProof/>
        </w:rPr>
        <w:t xml:space="preserve">operational personal data to a third country only </w:t>
      </w:r>
      <w:r w:rsidR="7CD5285D" w:rsidRPr="181C8758">
        <w:rPr>
          <w:rFonts w:eastAsia="Arial Unicode MS"/>
          <w:noProof/>
        </w:rPr>
        <w:t>based on</w:t>
      </w:r>
      <w:r w:rsidRPr="181C8758">
        <w:rPr>
          <w:rFonts w:eastAsia="Arial Unicode MS"/>
          <w:noProof/>
        </w:rPr>
        <w:t xml:space="preserve"> an international agreement pursuant to Article 218 TFEU that provides for adequate safeguards with respect to the protection of privacy and fundamental rights and freedoms of individuals</w:t>
      </w:r>
      <w:r w:rsidR="2C4BDE93" w:rsidRPr="181C8758">
        <w:rPr>
          <w:rFonts w:eastAsia="Arial Unicode MS"/>
          <w:noProof/>
        </w:rPr>
        <w:t xml:space="preserve"> (Article 56(</w:t>
      </w:r>
      <w:r w:rsidR="00B22DC3">
        <w:rPr>
          <w:rFonts w:eastAsia="Arial Unicode MS"/>
          <w:noProof/>
        </w:rPr>
        <w:t>2</w:t>
      </w:r>
      <w:r w:rsidR="2C4BDE93" w:rsidRPr="181C8758">
        <w:rPr>
          <w:rFonts w:eastAsia="Arial Unicode MS"/>
          <w:noProof/>
        </w:rPr>
        <w:t>)(c))</w:t>
      </w:r>
      <w:r w:rsidRPr="181C8758">
        <w:rPr>
          <w:rFonts w:eastAsia="Arial Unicode MS"/>
          <w:noProof/>
        </w:rPr>
        <w:t>. In accordance with Article 218(</w:t>
      </w:r>
      <w:r w:rsidR="004F45C6">
        <w:rPr>
          <w:rFonts w:eastAsia="Arial Unicode MS"/>
          <w:noProof/>
        </w:rPr>
        <w:t>6</w:t>
      </w:r>
      <w:r w:rsidRPr="181C8758">
        <w:rPr>
          <w:rFonts w:eastAsia="Arial Unicode MS"/>
          <w:noProof/>
        </w:rPr>
        <w:t xml:space="preserve">) TFEU, </w:t>
      </w:r>
      <w:r w:rsidR="00542CE1">
        <w:rPr>
          <w:rFonts w:eastAsia="Arial Unicode MS"/>
          <w:noProof/>
        </w:rPr>
        <w:t xml:space="preserve">the signing of </w:t>
      </w:r>
      <w:r w:rsidRPr="181C8758">
        <w:rPr>
          <w:rFonts w:eastAsia="Arial Unicode MS"/>
          <w:noProof/>
        </w:rPr>
        <w:t xml:space="preserve">such </w:t>
      </w:r>
      <w:r w:rsidR="004F45C6">
        <w:rPr>
          <w:rFonts w:eastAsia="Arial Unicode MS"/>
          <w:noProof/>
        </w:rPr>
        <w:t xml:space="preserve">an </w:t>
      </w:r>
      <w:r w:rsidRPr="181C8758">
        <w:rPr>
          <w:rFonts w:eastAsia="Arial Unicode MS"/>
          <w:noProof/>
        </w:rPr>
        <w:t xml:space="preserve">agreement is </w:t>
      </w:r>
      <w:r w:rsidR="00542CE1">
        <w:rPr>
          <w:rFonts w:eastAsia="Arial Unicode MS"/>
          <w:noProof/>
        </w:rPr>
        <w:t xml:space="preserve">authorised </w:t>
      </w:r>
      <w:r w:rsidRPr="181C8758">
        <w:rPr>
          <w:rFonts w:eastAsia="Arial Unicode MS"/>
          <w:noProof/>
        </w:rPr>
        <w:t xml:space="preserve">by a </w:t>
      </w:r>
      <w:r w:rsidR="00825C9B">
        <w:rPr>
          <w:rFonts w:eastAsia="Arial Unicode MS"/>
          <w:noProof/>
        </w:rPr>
        <w:t>d</w:t>
      </w:r>
      <w:r w:rsidRPr="181C8758">
        <w:rPr>
          <w:rFonts w:eastAsia="Arial Unicode MS"/>
          <w:noProof/>
        </w:rPr>
        <w:t xml:space="preserve">ecision of the Council. </w:t>
      </w:r>
    </w:p>
    <w:p w:rsidR="00C11FA9" w:rsidRPr="00550536" w:rsidRDefault="00C11FA9" w:rsidP="00A52F19">
      <w:pPr>
        <w:pStyle w:val="ManualHeading1"/>
        <w:rPr>
          <w:noProof/>
        </w:rPr>
      </w:pPr>
      <w:r w:rsidRPr="00550536">
        <w:rPr>
          <w:noProof/>
        </w:rPr>
        <w:t>3.</w:t>
      </w:r>
      <w:r w:rsidRPr="00550536">
        <w:rPr>
          <w:noProof/>
        </w:rPr>
        <w:tab/>
        <w:t>RESULTS OF EX-POST EVALUATIONS, STAKEHOLDER CONSULTATIONS AND IMPACT ASSESSMENTS</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rsidR="00C11FA9" w:rsidRPr="009D60F8" w:rsidRDefault="009D60F8" w:rsidP="00A52F19">
      <w:pPr>
        <w:pBdr>
          <w:top w:val="nil"/>
          <w:left w:val="nil"/>
          <w:bottom w:val="nil"/>
          <w:right w:val="nil"/>
          <w:between w:val="nil"/>
          <w:bar w:val="nil"/>
        </w:pBdr>
        <w:spacing w:before="0" w:after="240"/>
        <w:rPr>
          <w:rFonts w:eastAsia="Arial Unicode MS"/>
          <w:noProof/>
          <w:color w:val="000000" w:themeColor="text1"/>
        </w:rPr>
      </w:pPr>
      <w:r w:rsidRPr="00C11E78">
        <w:rPr>
          <w:noProof/>
        </w:rPr>
        <w:t xml:space="preserve">Not applicable. </w:t>
      </w:r>
    </w:p>
    <w:p w:rsidR="00C11FA9" w:rsidRPr="009D60F8" w:rsidRDefault="00C11FA9" w:rsidP="00A52F19">
      <w:pPr>
        <w:pStyle w:val="ManualHeading2"/>
        <w:rPr>
          <w:rFonts w:eastAsia="Arial Unicode MS"/>
          <w:noProof/>
          <w:color w:val="000000" w:themeColor="text1"/>
          <w:u w:color="000000"/>
          <w:bdr w:val="nil"/>
          <w:lang w:val="en-US" w:eastAsia="en-GB"/>
        </w:rPr>
      </w:pPr>
      <w:r w:rsidRPr="009D60F8">
        <w:rPr>
          <w:rFonts w:eastAsia="Arial Unicode MS"/>
          <w:noProof/>
          <w:color w:val="000000" w:themeColor="text1"/>
          <w:u w:color="000000"/>
          <w:bdr w:val="nil"/>
          <w:lang w:val="en-US" w:eastAsia="en-GB"/>
        </w:rPr>
        <w:t>•</w:t>
      </w:r>
      <w:r w:rsidRPr="009D60F8">
        <w:rPr>
          <w:rFonts w:eastAsia="Arial Unicode MS"/>
          <w:noProof/>
          <w:color w:val="000000" w:themeColor="text1"/>
          <w:u w:color="000000"/>
          <w:bdr w:val="nil"/>
          <w:lang w:val="en-US" w:eastAsia="en-GB"/>
        </w:rPr>
        <w:tab/>
        <w:t>Stakeholder consultations</w:t>
      </w:r>
    </w:p>
    <w:p w:rsidR="00C11FA9" w:rsidRPr="009D60F8" w:rsidRDefault="009D60F8" w:rsidP="00A52F19">
      <w:pPr>
        <w:pBdr>
          <w:top w:val="nil"/>
          <w:left w:val="nil"/>
          <w:bottom w:val="nil"/>
          <w:right w:val="nil"/>
          <w:between w:val="nil"/>
          <w:bar w:val="nil"/>
        </w:pBdr>
        <w:spacing w:before="0" w:after="240"/>
        <w:rPr>
          <w:rFonts w:eastAsia="Arial Unicode MS"/>
          <w:noProof/>
          <w:color w:val="000000" w:themeColor="text1"/>
        </w:rPr>
      </w:pPr>
      <w:r w:rsidRPr="00C11E78">
        <w:rPr>
          <w:noProof/>
        </w:rPr>
        <w:t xml:space="preserve">Not applicable. </w:t>
      </w:r>
    </w:p>
    <w:p w:rsidR="00C11FA9" w:rsidRPr="009D60F8" w:rsidRDefault="00C11FA9" w:rsidP="00A52F19">
      <w:pPr>
        <w:pStyle w:val="ManualHeading2"/>
        <w:rPr>
          <w:rFonts w:eastAsia="Arial Unicode MS"/>
          <w:noProof/>
          <w:color w:val="000000" w:themeColor="text1"/>
          <w:u w:color="000000"/>
          <w:bdr w:val="nil"/>
          <w:lang w:val="en-US" w:eastAsia="en-GB"/>
        </w:rPr>
      </w:pPr>
      <w:r w:rsidRPr="009D60F8">
        <w:rPr>
          <w:rFonts w:eastAsia="Arial Unicode MS"/>
          <w:noProof/>
          <w:color w:val="000000" w:themeColor="text1"/>
          <w:u w:color="000000"/>
          <w:bdr w:val="nil"/>
          <w:lang w:val="en-US" w:eastAsia="en-GB"/>
        </w:rPr>
        <w:t>•</w:t>
      </w:r>
      <w:r w:rsidRPr="009D60F8">
        <w:rPr>
          <w:rFonts w:eastAsia="Arial Unicode MS"/>
          <w:noProof/>
          <w:color w:val="000000" w:themeColor="text1"/>
          <w:u w:color="000000"/>
          <w:bdr w:val="nil"/>
          <w:lang w:val="en-US" w:eastAsia="en-GB"/>
        </w:rPr>
        <w:tab/>
        <w:t>Collection and use of expertise</w:t>
      </w:r>
    </w:p>
    <w:p w:rsidR="00C11FA9" w:rsidRPr="009D60F8" w:rsidRDefault="009D60F8" w:rsidP="00A52F19">
      <w:pPr>
        <w:pBdr>
          <w:top w:val="nil"/>
          <w:left w:val="nil"/>
          <w:bottom w:val="nil"/>
          <w:right w:val="nil"/>
          <w:between w:val="nil"/>
          <w:bar w:val="nil"/>
        </w:pBdr>
        <w:spacing w:before="0" w:after="240"/>
        <w:rPr>
          <w:rFonts w:eastAsia="Arial Unicode MS"/>
          <w:noProof/>
          <w:color w:val="000000" w:themeColor="text1"/>
        </w:rPr>
      </w:pPr>
      <w:r w:rsidRPr="009D60F8">
        <w:rPr>
          <w:rFonts w:eastAsia="Arial Unicode MS"/>
          <w:noProof/>
          <w:color w:val="000000" w:themeColor="text1"/>
        </w:rPr>
        <w:t>In the process of the negotiation, the Commission did not use external expertise.</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rsidR="009D60F8" w:rsidRPr="009D60F8" w:rsidRDefault="009D60F8" w:rsidP="009D60F8">
      <w:pPr>
        <w:pBdr>
          <w:top w:val="nil"/>
          <w:left w:val="nil"/>
          <w:bottom w:val="nil"/>
          <w:right w:val="nil"/>
          <w:between w:val="nil"/>
          <w:bar w:val="nil"/>
        </w:pBdr>
        <w:spacing w:before="0" w:after="240"/>
        <w:rPr>
          <w:rFonts w:eastAsia="Arial Unicode MS"/>
          <w:noProof/>
          <w:color w:val="000000" w:themeColor="text1"/>
        </w:rPr>
      </w:pPr>
      <w:r w:rsidRPr="009D60F8">
        <w:rPr>
          <w:rFonts w:eastAsia="Arial Unicode MS"/>
          <w:noProof/>
          <w:color w:val="000000" w:themeColor="text1"/>
        </w:rPr>
        <w:t xml:space="preserve">Not applicable. </w:t>
      </w:r>
    </w:p>
    <w:p w:rsidR="00C11FA9" w:rsidRPr="009D60F8" w:rsidRDefault="00C11FA9" w:rsidP="00A52F19">
      <w:pPr>
        <w:pStyle w:val="ManualHeading2"/>
        <w:rPr>
          <w:rFonts w:eastAsia="Arial Unicode MS"/>
          <w:noProof/>
          <w:color w:val="000000" w:themeColor="text1"/>
          <w:u w:color="000000"/>
          <w:bdr w:val="nil"/>
          <w:lang w:val="en-US" w:eastAsia="en-GB"/>
        </w:rPr>
      </w:pPr>
      <w:r w:rsidRPr="009D60F8">
        <w:rPr>
          <w:rFonts w:eastAsia="Arial Unicode MS"/>
          <w:noProof/>
          <w:color w:val="000000" w:themeColor="text1"/>
          <w:u w:color="000000"/>
          <w:bdr w:val="nil"/>
          <w:lang w:val="en-US" w:eastAsia="en-GB"/>
        </w:rPr>
        <w:t>•</w:t>
      </w:r>
      <w:r w:rsidRPr="009D60F8">
        <w:rPr>
          <w:rFonts w:eastAsia="Arial Unicode MS"/>
          <w:noProof/>
          <w:color w:val="000000" w:themeColor="text1"/>
          <w:u w:color="000000"/>
          <w:bdr w:val="nil"/>
          <w:lang w:val="en-US" w:eastAsia="en-GB"/>
        </w:rPr>
        <w:tab/>
        <w:t>Regulatory fitness and simplification</w:t>
      </w:r>
    </w:p>
    <w:p w:rsidR="00C11FA9" w:rsidRPr="009D60F8" w:rsidRDefault="009D60F8" w:rsidP="00A52F19">
      <w:pPr>
        <w:pBdr>
          <w:top w:val="nil"/>
          <w:left w:val="nil"/>
          <w:bottom w:val="nil"/>
          <w:right w:val="nil"/>
          <w:between w:val="nil"/>
          <w:bar w:val="nil"/>
        </w:pBdr>
        <w:spacing w:before="0" w:after="240"/>
        <w:rPr>
          <w:rFonts w:eastAsia="Arial Unicode MS"/>
          <w:noProof/>
          <w:color w:val="000000" w:themeColor="text1"/>
        </w:rPr>
      </w:pPr>
      <w:r w:rsidRPr="00C11E78">
        <w:rPr>
          <w:noProof/>
        </w:rPr>
        <w:t xml:space="preserve">Not applicable. </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rsidR="009D60F8" w:rsidRPr="005B49ED" w:rsidRDefault="60EFB503"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The exchange of personal data </w:t>
      </w:r>
      <w:r w:rsidR="133FA085" w:rsidRPr="181C8758">
        <w:rPr>
          <w:rFonts w:eastAsia="Arial Unicode MS"/>
          <w:noProof/>
          <w:color w:val="000000" w:themeColor="text1"/>
        </w:rPr>
        <w:t>and its processing by the authorities of a third country constitutes an interference with the fundamental rights to privacy and</w:t>
      </w:r>
      <w:r w:rsidRPr="181C8758">
        <w:rPr>
          <w:rFonts w:eastAsia="Arial Unicode MS"/>
          <w:noProof/>
          <w:color w:val="000000" w:themeColor="text1"/>
        </w:rPr>
        <w:t xml:space="preserve"> data protection</w:t>
      </w:r>
      <w:r w:rsidR="4D5C51BF" w:rsidRPr="181C8758">
        <w:rPr>
          <w:rFonts w:eastAsia="Arial Unicode MS"/>
          <w:noProof/>
          <w:color w:val="000000" w:themeColor="text1"/>
        </w:rPr>
        <w:t>.</w:t>
      </w:r>
      <w:r w:rsidRPr="181C8758">
        <w:rPr>
          <w:rFonts w:eastAsia="Arial Unicode MS"/>
          <w:noProof/>
          <w:color w:val="000000" w:themeColor="text1"/>
        </w:rPr>
        <w:t xml:space="preserve"> </w:t>
      </w:r>
      <w:r w:rsidR="2502084F" w:rsidRPr="181C8758">
        <w:rPr>
          <w:rFonts w:eastAsia="Arial Unicode MS"/>
          <w:noProof/>
          <w:color w:val="000000" w:themeColor="text1"/>
        </w:rPr>
        <w:t>H</w:t>
      </w:r>
      <w:r w:rsidRPr="181C8758">
        <w:rPr>
          <w:rFonts w:eastAsia="Arial Unicode MS"/>
          <w:noProof/>
          <w:color w:val="000000" w:themeColor="text1"/>
        </w:rPr>
        <w:t>owever, the Agreement</w:t>
      </w:r>
      <w:r w:rsidR="7FE585C2" w:rsidRPr="181C8758">
        <w:rPr>
          <w:rFonts w:eastAsia="Arial Unicode MS"/>
          <w:noProof/>
          <w:color w:val="000000" w:themeColor="text1"/>
        </w:rPr>
        <w:t xml:space="preserve"> ensures the necessity and proportionality of any such interference by guaranteeing the application of adequate data protection safeguards to t</w:t>
      </w:r>
      <w:r w:rsidR="19B62DD9" w:rsidRPr="181C8758">
        <w:rPr>
          <w:rFonts w:eastAsia="Arial Unicode MS"/>
          <w:noProof/>
          <w:color w:val="000000" w:themeColor="text1"/>
        </w:rPr>
        <w:t>he personal data transferred</w:t>
      </w:r>
      <w:r w:rsidRPr="181C8758">
        <w:rPr>
          <w:rFonts w:eastAsia="Arial Unicode MS"/>
          <w:noProof/>
          <w:color w:val="000000" w:themeColor="text1"/>
        </w:rPr>
        <w:t xml:space="preserve">, in line with </w:t>
      </w:r>
      <w:r w:rsidR="00BD3DC7">
        <w:rPr>
          <w:rFonts w:eastAsia="Arial Unicode MS"/>
          <w:noProof/>
          <w:color w:val="000000" w:themeColor="text1"/>
        </w:rPr>
        <w:t>Union</w:t>
      </w:r>
      <w:r w:rsidR="00BD3DC7" w:rsidRPr="181C8758">
        <w:rPr>
          <w:rFonts w:eastAsia="Arial Unicode MS"/>
          <w:noProof/>
          <w:color w:val="000000" w:themeColor="text1"/>
        </w:rPr>
        <w:t xml:space="preserve"> </w:t>
      </w:r>
      <w:r w:rsidRPr="181C8758">
        <w:rPr>
          <w:rFonts w:eastAsia="Arial Unicode MS"/>
          <w:noProof/>
          <w:color w:val="000000" w:themeColor="text1"/>
        </w:rPr>
        <w:t xml:space="preserve">law. </w:t>
      </w:r>
    </w:p>
    <w:p w:rsidR="005B49ED" w:rsidRPr="005B49ED" w:rsidRDefault="009D60F8" w:rsidP="00A52F19">
      <w:pPr>
        <w:pBdr>
          <w:top w:val="nil"/>
          <w:left w:val="nil"/>
          <w:bottom w:val="nil"/>
          <w:right w:val="nil"/>
          <w:between w:val="nil"/>
          <w:bar w:val="nil"/>
        </w:pBdr>
        <w:spacing w:before="0" w:after="240"/>
        <w:rPr>
          <w:rFonts w:eastAsia="Arial Unicode MS"/>
          <w:noProof/>
          <w:color w:val="000000" w:themeColor="text1"/>
        </w:rPr>
      </w:pPr>
      <w:r w:rsidRPr="005B49ED">
        <w:rPr>
          <w:rFonts w:eastAsia="Arial Unicode MS"/>
          <w:noProof/>
          <w:color w:val="000000" w:themeColor="text1"/>
        </w:rPr>
        <w:t>Chapter II provides for the protection of persona</w:t>
      </w:r>
      <w:r w:rsidR="005B49ED" w:rsidRPr="005B49ED">
        <w:rPr>
          <w:rFonts w:eastAsia="Arial Unicode MS"/>
          <w:noProof/>
          <w:color w:val="000000" w:themeColor="text1"/>
        </w:rPr>
        <w:t>l data. On that basis, Articles 10 to 20</w:t>
      </w:r>
      <w:r w:rsidRPr="005B49ED">
        <w:rPr>
          <w:rFonts w:eastAsia="Arial Unicode MS"/>
          <w:noProof/>
          <w:color w:val="000000" w:themeColor="text1"/>
        </w:rPr>
        <w:t xml:space="preserve"> set out fundamental data protection principles, including purpose limitation, data quality and rules applicable to the processing of special categories of data, obligations applicable to controllers, including on retention, keeping of records, security and as regards onward transfers, enforceable individual rights, including on access, rectification and automated decision-making, independent and effective supervision as well as administrative and judicial redress. </w:t>
      </w:r>
    </w:p>
    <w:p w:rsidR="00322586" w:rsidRPr="005B49ED" w:rsidRDefault="60EFB503"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The safeguards cover all forms of processing of personal data in the context of the cooperation between </w:t>
      </w:r>
      <w:r w:rsidR="5090BB18" w:rsidRPr="181C8758">
        <w:rPr>
          <w:rFonts w:eastAsia="Arial Unicode MS"/>
          <w:noProof/>
          <w:color w:val="000000" w:themeColor="text1"/>
        </w:rPr>
        <w:t xml:space="preserve">Eurojust and the Republic of </w:t>
      </w:r>
      <w:r w:rsidR="00250BEA">
        <w:rPr>
          <w:rFonts w:eastAsia="Arial Unicode MS"/>
          <w:noProof/>
          <w:color w:val="000000" w:themeColor="text1"/>
        </w:rPr>
        <w:t>Lebanon</w:t>
      </w:r>
      <w:r w:rsidRPr="181C8758">
        <w:rPr>
          <w:rFonts w:eastAsia="Arial Unicode MS"/>
          <w:noProof/>
          <w:color w:val="000000" w:themeColor="text1"/>
        </w:rPr>
        <w:t xml:space="preserve">. The exercise of certain individual rights can be delayed, limited or refused where necessary and proportionate, taking into account the fundamental rights and interests of the data subject, </w:t>
      </w:r>
      <w:r w:rsidR="2F41C3CD" w:rsidRPr="181C8758">
        <w:rPr>
          <w:rFonts w:eastAsia="Arial Unicode MS"/>
          <w:noProof/>
          <w:color w:val="000000" w:themeColor="text1"/>
        </w:rPr>
        <w:t xml:space="preserve">on important public interest grounds, </w:t>
      </w:r>
      <w:r w:rsidRPr="181C8758">
        <w:rPr>
          <w:rFonts w:eastAsia="Arial Unicode MS"/>
          <w:noProof/>
          <w:color w:val="000000" w:themeColor="text1"/>
        </w:rPr>
        <w:t>in particular to prevent risk</w:t>
      </w:r>
      <w:r w:rsidR="05B3E04B" w:rsidRPr="181C8758">
        <w:rPr>
          <w:rFonts w:eastAsia="Arial Unicode MS"/>
          <w:noProof/>
          <w:color w:val="000000" w:themeColor="text1"/>
        </w:rPr>
        <w:t>s</w:t>
      </w:r>
      <w:r w:rsidRPr="181C8758">
        <w:rPr>
          <w:rFonts w:eastAsia="Arial Unicode MS"/>
          <w:noProof/>
          <w:color w:val="000000" w:themeColor="text1"/>
        </w:rPr>
        <w:t xml:space="preserve"> to an ongoing criminal investigation or prosecution</w:t>
      </w:r>
      <w:r w:rsidR="634695D5" w:rsidRPr="181C8758">
        <w:rPr>
          <w:rFonts w:eastAsia="Arial Unicode MS"/>
          <w:noProof/>
          <w:color w:val="000000" w:themeColor="text1"/>
        </w:rPr>
        <w:t>.</w:t>
      </w:r>
      <w:r w:rsidR="195B0F14" w:rsidRPr="181C8758">
        <w:rPr>
          <w:rFonts w:eastAsia="Arial Unicode MS"/>
          <w:noProof/>
          <w:color w:val="000000" w:themeColor="text1"/>
        </w:rPr>
        <w:t xml:space="preserve"> This</w:t>
      </w:r>
      <w:r w:rsidRPr="181C8758">
        <w:rPr>
          <w:rFonts w:eastAsia="Arial Unicode MS"/>
          <w:noProof/>
          <w:color w:val="000000" w:themeColor="text1"/>
        </w:rPr>
        <w:t xml:space="preserve"> is in line with Union law. </w:t>
      </w:r>
    </w:p>
    <w:p w:rsidR="005B49ED" w:rsidRPr="005B49ED" w:rsidRDefault="60EFB503"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Also, both the European Union and </w:t>
      </w:r>
      <w:r w:rsidR="5090BB18" w:rsidRPr="181C8758">
        <w:rPr>
          <w:rFonts w:eastAsia="Arial Unicode MS"/>
          <w:noProof/>
          <w:color w:val="000000" w:themeColor="text1"/>
        </w:rPr>
        <w:t xml:space="preserve">the Republic of </w:t>
      </w:r>
      <w:r w:rsidR="00250BEA">
        <w:rPr>
          <w:rFonts w:eastAsia="Arial Unicode MS"/>
          <w:noProof/>
          <w:color w:val="000000" w:themeColor="text1"/>
        </w:rPr>
        <w:t>Lebanon</w:t>
      </w:r>
      <w:r w:rsidRPr="181C8758">
        <w:rPr>
          <w:rFonts w:eastAsia="Arial Unicode MS"/>
          <w:noProof/>
          <w:color w:val="000000" w:themeColor="text1"/>
        </w:rPr>
        <w:t xml:space="preserve"> will ensure that an independent public authority responsible for data protection (supervisory authority) oversees matters affecting the privacy of individuals in order to protect the fundamental rights and freedoms of natural persons in relation to the processing of personal data</w:t>
      </w:r>
      <w:r w:rsidR="0491D4E1" w:rsidRPr="181C8758">
        <w:rPr>
          <w:rFonts w:eastAsia="Arial Unicode MS"/>
          <w:noProof/>
          <w:color w:val="000000" w:themeColor="text1"/>
        </w:rPr>
        <w:t xml:space="preserve"> under the Agreement</w:t>
      </w:r>
      <w:r w:rsidRPr="181C8758">
        <w:rPr>
          <w:rFonts w:eastAsia="Arial Unicode MS"/>
          <w:noProof/>
          <w:color w:val="000000" w:themeColor="text1"/>
        </w:rPr>
        <w:t xml:space="preserve">. </w:t>
      </w:r>
    </w:p>
    <w:p w:rsidR="00604C20" w:rsidRPr="006E74BE" w:rsidRDefault="00604C20" w:rsidP="00604C20">
      <w:pPr>
        <w:rPr>
          <w:rFonts w:eastAsia="Arial Unicode MS"/>
          <w:noProof/>
          <w:color w:val="000000" w:themeColor="text1"/>
        </w:rPr>
      </w:pPr>
      <w:r w:rsidRPr="006E74BE">
        <w:rPr>
          <w:rFonts w:eastAsia="Arial Unicode MS"/>
          <w:noProof/>
          <w:color w:val="000000" w:themeColor="text1"/>
        </w:rPr>
        <w:t xml:space="preserve">In accordance with Article 29(3) of the Agreement, the Agreement shall not apply until both parties have notified each other of the fulfilment of the obligations contained in the Agreement, including those related to the protection of personal data, and this notification has been accepted. In addition to that, and to further strengthen the safeguards for the protection of personal data, </w:t>
      </w:r>
      <w:r w:rsidR="004B49D1">
        <w:rPr>
          <w:rFonts w:eastAsia="Arial Unicode MS"/>
          <w:noProof/>
          <w:color w:val="000000" w:themeColor="text1"/>
        </w:rPr>
        <w:t>A</w:t>
      </w:r>
      <w:r w:rsidRPr="006E74BE">
        <w:rPr>
          <w:rFonts w:eastAsia="Arial Unicode MS"/>
          <w:noProof/>
          <w:color w:val="000000" w:themeColor="text1"/>
        </w:rPr>
        <w:t xml:space="preserve">rticle 29(4) of the Agreement states that a Party shall postpone the transfer of personal data for as long as the other Party has not provided for in law and implemented the safeguards and obligations contained in Chapter II of the Agreement (Information exchange and data protection). </w:t>
      </w:r>
    </w:p>
    <w:p w:rsidR="002973B8" w:rsidRDefault="00604E83" w:rsidP="00A52F19">
      <w:pPr>
        <w:pBdr>
          <w:top w:val="nil"/>
          <w:left w:val="nil"/>
          <w:bottom w:val="nil"/>
          <w:right w:val="nil"/>
          <w:between w:val="nil"/>
          <w:bar w:val="nil"/>
        </w:pBdr>
        <w:spacing w:before="0" w:after="240"/>
        <w:rPr>
          <w:rFonts w:eastAsia="Arial Unicode MS"/>
          <w:noProof/>
          <w:color w:val="000000" w:themeColor="text1"/>
        </w:rPr>
      </w:pPr>
      <w:r>
        <w:rPr>
          <w:rFonts w:eastAsia="Arial Unicode MS"/>
          <w:noProof/>
          <w:color w:val="000000" w:themeColor="text1"/>
        </w:rPr>
        <w:t>In addition to Article 29(4), A</w:t>
      </w:r>
      <w:r w:rsidRPr="006E74BE">
        <w:rPr>
          <w:rFonts w:eastAsia="Arial Unicode MS"/>
          <w:noProof/>
          <w:color w:val="000000" w:themeColor="text1"/>
        </w:rPr>
        <w:t>rticle 32(2)</w:t>
      </w:r>
      <w:r>
        <w:rPr>
          <w:rFonts w:eastAsia="Arial Unicode MS"/>
          <w:noProof/>
          <w:color w:val="000000" w:themeColor="text1"/>
        </w:rPr>
        <w:t xml:space="preserve"> of the Agreement provides for the possibility to suspend </w:t>
      </w:r>
      <w:r w:rsidRPr="00611853">
        <w:rPr>
          <w:rFonts w:eastAsia="Arial Unicode MS"/>
          <w:noProof/>
          <w:color w:val="000000" w:themeColor="text1"/>
        </w:rPr>
        <w:t xml:space="preserve">the transfer of personal data </w:t>
      </w:r>
      <w:r>
        <w:rPr>
          <w:rFonts w:eastAsia="Arial Unicode MS"/>
          <w:noProof/>
          <w:color w:val="000000" w:themeColor="text1"/>
        </w:rPr>
        <w:t>in case of a</w:t>
      </w:r>
      <w:r w:rsidRPr="00611853">
        <w:rPr>
          <w:rFonts w:eastAsia="Arial Unicode MS"/>
          <w:noProof/>
          <w:color w:val="000000" w:themeColor="text1"/>
        </w:rPr>
        <w:t xml:space="preserve"> systematic or material breach of the terms of th</w:t>
      </w:r>
      <w:r>
        <w:rPr>
          <w:rFonts w:eastAsia="Arial Unicode MS"/>
          <w:noProof/>
          <w:color w:val="000000" w:themeColor="text1"/>
        </w:rPr>
        <w:t>e</w:t>
      </w:r>
      <w:r w:rsidRPr="00611853">
        <w:rPr>
          <w:rFonts w:eastAsia="Arial Unicode MS"/>
          <w:noProof/>
          <w:color w:val="000000" w:themeColor="text1"/>
        </w:rPr>
        <w:t xml:space="preserve"> Agreement</w:t>
      </w:r>
      <w:r>
        <w:rPr>
          <w:rFonts w:eastAsia="Arial Unicode MS"/>
          <w:noProof/>
          <w:color w:val="000000" w:themeColor="text1"/>
        </w:rPr>
        <w:t>,</w:t>
      </w:r>
      <w:r w:rsidRPr="00611853">
        <w:rPr>
          <w:rFonts w:eastAsia="Arial Unicode MS"/>
          <w:noProof/>
          <w:color w:val="000000" w:themeColor="text1"/>
        </w:rPr>
        <w:t xml:space="preserve"> or </w:t>
      </w:r>
      <w:r>
        <w:rPr>
          <w:rFonts w:eastAsia="Arial Unicode MS"/>
          <w:noProof/>
          <w:color w:val="000000" w:themeColor="text1"/>
        </w:rPr>
        <w:t>if such a</w:t>
      </w:r>
      <w:r w:rsidRPr="00611853">
        <w:rPr>
          <w:rFonts w:eastAsia="Arial Unicode MS"/>
          <w:noProof/>
          <w:color w:val="000000" w:themeColor="text1"/>
        </w:rPr>
        <w:t xml:space="preserve"> breach is imminent</w:t>
      </w:r>
      <w:r>
        <w:rPr>
          <w:rFonts w:eastAsia="Arial Unicode MS"/>
          <w:noProof/>
          <w:color w:val="000000" w:themeColor="text1"/>
        </w:rPr>
        <w:t xml:space="preserve">. </w:t>
      </w:r>
      <w:r w:rsidR="00604C20">
        <w:rPr>
          <w:rFonts w:eastAsia="Arial Unicode MS"/>
          <w:noProof/>
          <w:color w:val="000000" w:themeColor="text1"/>
        </w:rPr>
        <w:t xml:space="preserve">Furthermore, </w:t>
      </w:r>
      <w:r w:rsidR="00604C20" w:rsidRPr="006E74BE">
        <w:rPr>
          <w:rFonts w:eastAsia="Arial Unicode MS"/>
          <w:noProof/>
          <w:color w:val="000000" w:themeColor="text1"/>
        </w:rPr>
        <w:t>article 32 (3)</w:t>
      </w:r>
      <w:r w:rsidRPr="00604E83">
        <w:rPr>
          <w:rFonts w:eastAsia="Arial Unicode MS"/>
          <w:noProof/>
          <w:color w:val="000000" w:themeColor="text1"/>
        </w:rPr>
        <w:t xml:space="preserve"> </w:t>
      </w:r>
      <w:r>
        <w:rPr>
          <w:rFonts w:eastAsia="Arial Unicode MS"/>
          <w:noProof/>
          <w:color w:val="000000" w:themeColor="text1"/>
        </w:rPr>
        <w:t xml:space="preserve">similarly provides for the possibility to suspend, following consultation of the other Party, the application of the Agreement itself, in whole or in part, in case of an existing or imminent material breach </w:t>
      </w:r>
      <w:r w:rsidRPr="00B3217E">
        <w:rPr>
          <w:noProof/>
        </w:rPr>
        <w:t>or non-fulfilment</w:t>
      </w:r>
      <w:r>
        <w:rPr>
          <w:noProof/>
        </w:rPr>
        <w:t xml:space="preserve"> of its terms</w:t>
      </w:r>
      <w:r w:rsidRPr="00604E83">
        <w:rPr>
          <w:rFonts w:eastAsia="Arial Unicode MS"/>
          <w:noProof/>
          <w:color w:val="000000" w:themeColor="text1"/>
        </w:rPr>
        <w:t xml:space="preserve"> </w:t>
      </w:r>
      <w:r>
        <w:rPr>
          <w:rFonts w:eastAsia="Arial Unicode MS"/>
          <w:noProof/>
          <w:color w:val="000000" w:themeColor="text1"/>
        </w:rPr>
        <w:t>The combined provisions of Articles 29 and 32 ensures that the transfers of personal data may not start until all the necessary safeguards are effectively provided for, and may be swiftly delayed or suspended should the necessary conditions cease to be met.</w:t>
      </w:r>
    </w:p>
    <w:p w:rsidR="00C11FA9" w:rsidRPr="005B49ED" w:rsidRDefault="60EFB503" w:rsidP="00A52F19">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Furthermore, the Agreement guarantees that the exchange o</w:t>
      </w:r>
      <w:r w:rsidR="5090BB18" w:rsidRPr="181C8758">
        <w:rPr>
          <w:rFonts w:eastAsia="Arial Unicode MS"/>
          <w:noProof/>
          <w:color w:val="000000" w:themeColor="text1"/>
        </w:rPr>
        <w:t xml:space="preserve">f personal data between Eurojust </w:t>
      </w:r>
      <w:r w:rsidRPr="181C8758">
        <w:rPr>
          <w:rFonts w:eastAsia="Arial Unicode MS"/>
          <w:noProof/>
          <w:color w:val="000000" w:themeColor="text1"/>
        </w:rPr>
        <w:t xml:space="preserve">and </w:t>
      </w:r>
      <w:r w:rsidR="5090BB18" w:rsidRPr="181C8758">
        <w:rPr>
          <w:rFonts w:eastAsia="Arial Unicode MS"/>
          <w:noProof/>
          <w:color w:val="000000" w:themeColor="text1"/>
        </w:rPr>
        <w:t xml:space="preserve">the Republic of </w:t>
      </w:r>
      <w:r w:rsidR="00250BEA">
        <w:rPr>
          <w:rFonts w:eastAsia="Arial Unicode MS"/>
          <w:noProof/>
          <w:color w:val="000000" w:themeColor="text1"/>
        </w:rPr>
        <w:t>Lebanon</w:t>
      </w:r>
      <w:r w:rsidRPr="181C8758">
        <w:rPr>
          <w:rFonts w:eastAsia="Arial Unicode MS"/>
          <w:noProof/>
          <w:color w:val="000000" w:themeColor="text1"/>
        </w:rPr>
        <w:t xml:space="preserve"> is consistent with both the principle of non-discrimination and Article 52(1) of the Charter, which ensure that interferences with fundamental rights </w:t>
      </w:r>
      <w:r w:rsidR="53FCD7DD" w:rsidRPr="181C8758">
        <w:rPr>
          <w:rFonts w:eastAsia="Arial Unicode MS"/>
          <w:noProof/>
          <w:color w:val="000000" w:themeColor="text1"/>
        </w:rPr>
        <w:t>guaranteed under the Charter</w:t>
      </w:r>
      <w:r w:rsidRPr="181C8758">
        <w:rPr>
          <w:rFonts w:eastAsia="Arial Unicode MS"/>
          <w:noProof/>
          <w:color w:val="000000" w:themeColor="text1"/>
        </w:rPr>
        <w:t xml:space="preserve"> are limited to what is strictly necessary to genuinely meet the objectives of general interest pursued, subject to the principle of proportionality</w:t>
      </w:r>
      <w:r w:rsidR="5090BB18" w:rsidRPr="181C8758">
        <w:rPr>
          <w:rFonts w:eastAsia="Arial Unicode MS"/>
          <w:noProof/>
          <w:color w:val="000000" w:themeColor="text1"/>
        </w:rPr>
        <w:t>.</w:t>
      </w:r>
    </w:p>
    <w:p w:rsidR="00C11FA9" w:rsidRPr="00F7558F" w:rsidRDefault="00C11FA9" w:rsidP="00A52F19">
      <w:pPr>
        <w:pStyle w:val="ManualHeading1"/>
        <w:rPr>
          <w:noProof/>
          <w:color w:val="000000" w:themeColor="text1"/>
        </w:rPr>
      </w:pPr>
      <w:r w:rsidRPr="005B49ED">
        <w:rPr>
          <w:noProof/>
          <w:color w:val="000000" w:themeColor="text1"/>
        </w:rPr>
        <w:t>4.</w:t>
      </w:r>
      <w:r w:rsidRPr="005B49ED">
        <w:rPr>
          <w:noProof/>
          <w:color w:val="000000" w:themeColor="text1"/>
        </w:rPr>
        <w:tab/>
      </w:r>
      <w:r w:rsidRPr="00F7558F">
        <w:rPr>
          <w:noProof/>
          <w:color w:val="000000" w:themeColor="text1"/>
        </w:rPr>
        <w:t>BUDGETARY IMPLICATIONS</w:t>
      </w:r>
    </w:p>
    <w:p w:rsidR="00C11FA9" w:rsidRPr="005B49ED" w:rsidRDefault="005B49ED" w:rsidP="00A52F19">
      <w:pPr>
        <w:pBdr>
          <w:top w:val="nil"/>
          <w:left w:val="nil"/>
          <w:bottom w:val="nil"/>
          <w:right w:val="nil"/>
          <w:between w:val="nil"/>
          <w:bar w:val="nil"/>
        </w:pBdr>
        <w:spacing w:before="0" w:after="240"/>
        <w:rPr>
          <w:rFonts w:eastAsia="Arial Unicode MS"/>
          <w:noProof/>
          <w:color w:val="000000" w:themeColor="text1"/>
        </w:rPr>
      </w:pPr>
      <w:r w:rsidRPr="00F7558F">
        <w:rPr>
          <w:noProof/>
        </w:rPr>
        <w:t>There are no budgetary implications for the Union budget.</w:t>
      </w:r>
    </w:p>
    <w:p w:rsidR="00C11FA9" w:rsidRPr="00550536" w:rsidRDefault="00C11FA9" w:rsidP="00A52F19">
      <w:pPr>
        <w:pStyle w:val="ManualHeading1"/>
        <w:rPr>
          <w:noProof/>
        </w:rPr>
      </w:pPr>
      <w:r w:rsidRPr="00550536">
        <w:rPr>
          <w:noProof/>
        </w:rPr>
        <w:t>5.</w:t>
      </w:r>
      <w:r w:rsidRPr="00550536">
        <w:rPr>
          <w:noProof/>
        </w:rPr>
        <w:tab/>
        <w:t>OTHER ELEMENTS</w:t>
      </w:r>
    </w:p>
    <w:p w:rsidR="00C11FA9" w:rsidRDefault="00C11FA9" w:rsidP="00A52F19">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5B49ED" w:rsidRPr="005B49ED" w:rsidRDefault="5090BB18" w:rsidP="005B49ED">
      <w:pPr>
        <w:pBdr>
          <w:top w:val="nil"/>
          <w:left w:val="nil"/>
          <w:bottom w:val="nil"/>
          <w:right w:val="nil"/>
          <w:between w:val="nil"/>
          <w:bar w:val="nil"/>
        </w:pBdr>
        <w:spacing w:before="0" w:after="240"/>
        <w:rPr>
          <w:rFonts w:eastAsia="Arial Unicode MS"/>
          <w:noProof/>
          <w:color w:val="000000" w:themeColor="text1"/>
        </w:rPr>
      </w:pPr>
      <w:r w:rsidRPr="181C8758">
        <w:rPr>
          <w:rFonts w:eastAsia="Arial Unicode MS"/>
          <w:noProof/>
          <w:color w:val="000000" w:themeColor="text1"/>
        </w:rPr>
        <w:t xml:space="preserve">There is no need for an implementation plan, as the Agreement will enter into force on the </w:t>
      </w:r>
      <w:r w:rsidR="00094767">
        <w:rPr>
          <w:rFonts w:eastAsia="Arial Unicode MS"/>
          <w:noProof/>
          <w:color w:val="000000" w:themeColor="text1"/>
        </w:rPr>
        <w:t xml:space="preserve">first day of the second month following the month during which </w:t>
      </w:r>
      <w:r w:rsidR="00BD3DC7">
        <w:rPr>
          <w:rFonts w:eastAsia="Arial Unicode MS"/>
          <w:noProof/>
          <w:color w:val="000000" w:themeColor="text1"/>
        </w:rPr>
        <w:t xml:space="preserve">the European Union and </w:t>
      </w:r>
      <w:r w:rsidR="004A755E">
        <w:rPr>
          <w:rFonts w:eastAsia="Arial Unicode MS"/>
          <w:noProof/>
          <w:color w:val="000000" w:themeColor="text1"/>
        </w:rPr>
        <w:t xml:space="preserve">the Republic of </w:t>
      </w:r>
      <w:r w:rsidR="00250BEA">
        <w:rPr>
          <w:rFonts w:eastAsia="Arial Unicode MS"/>
          <w:noProof/>
          <w:color w:val="000000" w:themeColor="text1"/>
        </w:rPr>
        <w:t>Lebanon</w:t>
      </w:r>
      <w:r w:rsidR="00094767">
        <w:rPr>
          <w:rFonts w:eastAsia="Arial Unicode MS"/>
          <w:noProof/>
          <w:color w:val="000000" w:themeColor="text1"/>
        </w:rPr>
        <w:t xml:space="preserve"> have notified each other that the respective </w:t>
      </w:r>
      <w:r w:rsidRPr="181C8758">
        <w:rPr>
          <w:rFonts w:eastAsia="Arial Unicode MS"/>
          <w:noProof/>
          <w:color w:val="000000" w:themeColor="text1"/>
        </w:rPr>
        <w:t xml:space="preserve">procedures have been completed. </w:t>
      </w:r>
    </w:p>
    <w:p w:rsidR="00C11FA9" w:rsidRPr="00302ACE" w:rsidRDefault="5090BB18" w:rsidP="005B49ED">
      <w:pPr>
        <w:pBdr>
          <w:top w:val="nil"/>
          <w:left w:val="nil"/>
          <w:bottom w:val="nil"/>
          <w:right w:val="nil"/>
          <w:between w:val="nil"/>
          <w:bar w:val="nil"/>
        </w:pBdr>
        <w:spacing w:before="0" w:after="240"/>
        <w:rPr>
          <w:rFonts w:eastAsia="Arial Unicode MS"/>
          <w:noProof/>
        </w:rPr>
      </w:pPr>
      <w:r w:rsidRPr="181C8758">
        <w:rPr>
          <w:rFonts w:eastAsia="Arial Unicode MS"/>
          <w:noProof/>
          <w:color w:val="000000" w:themeColor="text1"/>
        </w:rPr>
        <w:t xml:space="preserve">With regard to monitoring, the European Union and the Republic of </w:t>
      </w:r>
      <w:r w:rsidR="00250BEA">
        <w:rPr>
          <w:rFonts w:eastAsia="Arial Unicode MS"/>
          <w:noProof/>
          <w:color w:val="000000" w:themeColor="text1"/>
        </w:rPr>
        <w:t>Lebanon</w:t>
      </w:r>
      <w:r w:rsidRPr="181C8758">
        <w:rPr>
          <w:rFonts w:eastAsia="Arial Unicode MS"/>
          <w:noProof/>
          <w:color w:val="000000" w:themeColor="text1"/>
        </w:rPr>
        <w:t xml:space="preserve"> shall jointly review the implementation of the Agreement one year after </w:t>
      </w:r>
      <w:r w:rsidR="003E53D7">
        <w:rPr>
          <w:rFonts w:eastAsia="Arial Unicode MS"/>
          <w:noProof/>
          <w:color w:val="000000" w:themeColor="text1"/>
        </w:rPr>
        <w:t>the date of entry into application</w:t>
      </w:r>
      <w:r w:rsidRPr="181C8758">
        <w:rPr>
          <w:rFonts w:eastAsia="Arial Unicode MS"/>
          <w:noProof/>
          <w:color w:val="000000" w:themeColor="text1"/>
        </w:rPr>
        <w:t xml:space="preserve">, and at regular intervals thereafter, and additionally if requested by either </w:t>
      </w:r>
      <w:r w:rsidR="03FFA901" w:rsidRPr="181C8758">
        <w:rPr>
          <w:rFonts w:eastAsia="Arial Unicode MS"/>
          <w:noProof/>
          <w:color w:val="000000" w:themeColor="text1"/>
        </w:rPr>
        <w:t>P</w:t>
      </w:r>
      <w:r w:rsidRPr="181C8758">
        <w:rPr>
          <w:rFonts w:eastAsia="Arial Unicode MS"/>
          <w:noProof/>
          <w:color w:val="000000" w:themeColor="text1"/>
        </w:rPr>
        <w:t>arty and jointly decided</w:t>
      </w:r>
      <w:r w:rsidRPr="181C8758">
        <w:rPr>
          <w:rFonts w:eastAsia="Arial Unicode MS"/>
          <w:noProof/>
          <w:color w:val="0000FF"/>
        </w:rPr>
        <w:t>.</w:t>
      </w:r>
      <w:r w:rsidR="003E53D7">
        <w:rPr>
          <w:rFonts w:eastAsia="Arial Unicode MS"/>
          <w:noProof/>
          <w:color w:val="0000FF"/>
        </w:rPr>
        <w:t xml:space="preserve"> </w:t>
      </w:r>
      <w:r w:rsidR="003E53D7" w:rsidRPr="00302ACE">
        <w:rPr>
          <w:rFonts w:eastAsia="Arial Unicode MS"/>
          <w:noProof/>
        </w:rPr>
        <w:t>Moreover, the Parties shall jointly evaluate the Agreement four years after the date of entry into application.</w:t>
      </w:r>
    </w:p>
    <w:p w:rsidR="00C11FA9" w:rsidRDefault="00C11FA9" w:rsidP="00A52F19">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 xml:space="preserve">Detailed explanation of </w:t>
      </w:r>
      <w:r>
        <w:rPr>
          <w:rFonts w:eastAsia="Arial Unicode MS"/>
          <w:noProof/>
          <w:u w:color="000000"/>
          <w:bdr w:val="nil"/>
          <w:lang w:val="en-US" w:eastAsia="en-GB"/>
        </w:rPr>
        <w:t xml:space="preserve">the </w:t>
      </w:r>
      <w:r w:rsidRPr="007718A8">
        <w:rPr>
          <w:rFonts w:eastAsia="Arial Unicode MS"/>
          <w:noProof/>
          <w:u w:color="000000"/>
          <w:bdr w:val="nil"/>
          <w:lang w:val="en-US" w:eastAsia="en-GB"/>
        </w:rPr>
        <w:t>specific provisions of the proposal</w:t>
      </w:r>
    </w:p>
    <w:p w:rsidR="001F140D" w:rsidRPr="00796CE7" w:rsidRDefault="001F140D" w:rsidP="001F140D">
      <w:pPr>
        <w:rPr>
          <w:noProof/>
        </w:rPr>
      </w:pPr>
      <w:r w:rsidRPr="00796CE7">
        <w:rPr>
          <w:noProof/>
        </w:rPr>
        <w:t>Article 1 includes the objectives of the Agreement.</w:t>
      </w:r>
    </w:p>
    <w:p w:rsidR="001F140D" w:rsidRPr="00796CE7" w:rsidRDefault="001F140D" w:rsidP="001F140D">
      <w:pPr>
        <w:rPr>
          <w:noProof/>
        </w:rPr>
      </w:pPr>
      <w:r w:rsidRPr="00796CE7">
        <w:rPr>
          <w:noProof/>
        </w:rPr>
        <w:t>Article 2 defines the scope of the cooperation.</w:t>
      </w:r>
    </w:p>
    <w:p w:rsidR="001F140D" w:rsidRPr="00796CE7" w:rsidRDefault="001F140D" w:rsidP="001F140D">
      <w:pPr>
        <w:rPr>
          <w:noProof/>
        </w:rPr>
      </w:pPr>
      <w:r w:rsidRPr="00796CE7">
        <w:rPr>
          <w:noProof/>
        </w:rPr>
        <w:t>Article 3 includes the definitions of important terms of the Agreement.</w:t>
      </w:r>
    </w:p>
    <w:p w:rsidR="001F140D" w:rsidRPr="00796CE7" w:rsidRDefault="001F140D" w:rsidP="001F140D">
      <w:pPr>
        <w:rPr>
          <w:noProof/>
        </w:rPr>
      </w:pPr>
      <w:r w:rsidRPr="00796CE7">
        <w:rPr>
          <w:noProof/>
        </w:rPr>
        <w:t xml:space="preserve">Article 4 </w:t>
      </w:r>
      <w:r w:rsidR="00362E60" w:rsidRPr="00796CE7">
        <w:rPr>
          <w:noProof/>
        </w:rPr>
        <w:t>establishe</w:t>
      </w:r>
      <w:r w:rsidR="00362E60">
        <w:rPr>
          <w:noProof/>
        </w:rPr>
        <w:t>s</w:t>
      </w:r>
      <w:r w:rsidR="00362E60" w:rsidRPr="00796CE7">
        <w:rPr>
          <w:noProof/>
        </w:rPr>
        <w:t xml:space="preserve"> </w:t>
      </w:r>
      <w:r w:rsidRPr="00796CE7">
        <w:rPr>
          <w:noProof/>
        </w:rPr>
        <w:t xml:space="preserve">the obligation of </w:t>
      </w:r>
      <w:r w:rsidR="00250BEA">
        <w:rPr>
          <w:noProof/>
        </w:rPr>
        <w:t>Lebanon</w:t>
      </w:r>
      <w:r w:rsidRPr="00796CE7">
        <w:rPr>
          <w:noProof/>
        </w:rPr>
        <w:t xml:space="preserve"> to </w:t>
      </w:r>
      <w:r w:rsidR="00EE347C" w:rsidRPr="00EE347C">
        <w:rPr>
          <w:noProof/>
        </w:rPr>
        <w:t>designate at least one contact point within its domestic competent authorities, who cannot be identical to the Liaison Prosecutor. A contact point shall be d</w:t>
      </w:r>
      <w:r w:rsidR="00EE347C">
        <w:rPr>
          <w:noProof/>
        </w:rPr>
        <w:t xml:space="preserve">esignated </w:t>
      </w:r>
      <w:r w:rsidR="00FE5111">
        <w:rPr>
          <w:noProof/>
        </w:rPr>
        <w:t xml:space="preserve">also </w:t>
      </w:r>
      <w:r w:rsidR="00EE347C">
        <w:rPr>
          <w:noProof/>
        </w:rPr>
        <w:t>for terrorism matters</w:t>
      </w:r>
      <w:r w:rsidRPr="00796CE7">
        <w:rPr>
          <w:noProof/>
        </w:rPr>
        <w:t>.</w:t>
      </w:r>
    </w:p>
    <w:p w:rsidR="001F140D" w:rsidRPr="00F86F0E" w:rsidRDefault="001F140D" w:rsidP="001F140D">
      <w:pPr>
        <w:rPr>
          <w:noProof/>
          <w:lang w:val="en-US"/>
        </w:rPr>
      </w:pPr>
      <w:r w:rsidRPr="00796CE7">
        <w:rPr>
          <w:noProof/>
        </w:rPr>
        <w:t xml:space="preserve">Article 5 provides for the secondment of the Liaison Prosecutor to Eurojust. </w:t>
      </w:r>
    </w:p>
    <w:p w:rsidR="001F140D" w:rsidRPr="00796CE7" w:rsidRDefault="001F140D" w:rsidP="001F140D">
      <w:pPr>
        <w:rPr>
          <w:noProof/>
        </w:rPr>
      </w:pPr>
      <w:r w:rsidRPr="00796CE7">
        <w:rPr>
          <w:noProof/>
        </w:rPr>
        <w:t xml:space="preserve">Article 6 provides for the conditions for the participation of representatives of </w:t>
      </w:r>
      <w:r w:rsidR="00250BEA">
        <w:rPr>
          <w:noProof/>
        </w:rPr>
        <w:t>Lebanon</w:t>
      </w:r>
      <w:r w:rsidRPr="00796CE7">
        <w:rPr>
          <w:noProof/>
        </w:rPr>
        <w:t xml:space="preserve"> in operational and strategic meetings at Eurojust. </w:t>
      </w:r>
    </w:p>
    <w:p w:rsidR="001F140D" w:rsidRPr="00796CE7" w:rsidRDefault="001F140D" w:rsidP="001F140D">
      <w:pPr>
        <w:rPr>
          <w:noProof/>
        </w:rPr>
      </w:pPr>
      <w:r w:rsidRPr="00796CE7">
        <w:rPr>
          <w:noProof/>
        </w:rPr>
        <w:t xml:space="preserve">Article 7 provides that Eurojust may assist </w:t>
      </w:r>
      <w:r w:rsidR="00250BEA">
        <w:rPr>
          <w:noProof/>
        </w:rPr>
        <w:t>Lebanon</w:t>
      </w:r>
      <w:r w:rsidRPr="00796CE7">
        <w:rPr>
          <w:noProof/>
        </w:rPr>
        <w:t xml:space="preserve"> to establish Joint Investigation Teams and may be requested to provide financial or technical assistance.</w:t>
      </w:r>
    </w:p>
    <w:p w:rsidR="001F140D" w:rsidRPr="00796CE7" w:rsidRDefault="001F140D" w:rsidP="001F140D">
      <w:pPr>
        <w:rPr>
          <w:noProof/>
        </w:rPr>
      </w:pPr>
      <w:r w:rsidRPr="00796CE7">
        <w:rPr>
          <w:noProof/>
        </w:rPr>
        <w:t xml:space="preserve">Article 8 provides for the option of Eurojust to post a Liaison Magistrate to </w:t>
      </w:r>
      <w:r w:rsidR="00250BEA">
        <w:rPr>
          <w:noProof/>
        </w:rPr>
        <w:t>Lebanon</w:t>
      </w:r>
      <w:r w:rsidRPr="00796CE7">
        <w:rPr>
          <w:noProof/>
        </w:rPr>
        <w:t>.</w:t>
      </w:r>
    </w:p>
    <w:p w:rsidR="001F140D" w:rsidRPr="00796CE7" w:rsidRDefault="2FBE14DD" w:rsidP="001F140D">
      <w:pPr>
        <w:rPr>
          <w:noProof/>
        </w:rPr>
      </w:pPr>
      <w:r>
        <w:rPr>
          <w:noProof/>
        </w:rPr>
        <w:t>Article 9 sets out the p</w:t>
      </w:r>
      <w:r w:rsidR="17182DCF">
        <w:rPr>
          <w:noProof/>
        </w:rPr>
        <w:t xml:space="preserve">urposes of </w:t>
      </w:r>
      <w:r w:rsidR="0D900ADE">
        <w:rPr>
          <w:noProof/>
        </w:rPr>
        <w:t xml:space="preserve">data </w:t>
      </w:r>
      <w:r w:rsidR="17182DCF">
        <w:rPr>
          <w:noProof/>
        </w:rPr>
        <w:t xml:space="preserve">processing </w:t>
      </w:r>
      <w:r w:rsidR="47761A80">
        <w:rPr>
          <w:noProof/>
        </w:rPr>
        <w:t>under the Agreement</w:t>
      </w:r>
      <w:r w:rsidR="17182DCF">
        <w:rPr>
          <w:noProof/>
        </w:rPr>
        <w:t xml:space="preserve">. </w:t>
      </w:r>
    </w:p>
    <w:p w:rsidR="001F140D" w:rsidRPr="00796CE7" w:rsidRDefault="00796CE7" w:rsidP="001F140D">
      <w:pPr>
        <w:rPr>
          <w:noProof/>
        </w:rPr>
      </w:pPr>
      <w:r w:rsidRPr="00796CE7">
        <w:rPr>
          <w:noProof/>
        </w:rPr>
        <w:t xml:space="preserve">Article 10 lists the </w:t>
      </w:r>
      <w:r w:rsidR="001F140D" w:rsidRPr="00796CE7">
        <w:rPr>
          <w:noProof/>
        </w:rPr>
        <w:t xml:space="preserve">general data protection principles </w:t>
      </w:r>
      <w:r w:rsidRPr="00796CE7">
        <w:rPr>
          <w:noProof/>
        </w:rPr>
        <w:t xml:space="preserve">applicable under the Agreement. </w:t>
      </w:r>
    </w:p>
    <w:p w:rsidR="001F140D" w:rsidRPr="00796CE7" w:rsidRDefault="2FBE14DD" w:rsidP="001F140D">
      <w:pPr>
        <w:rPr>
          <w:noProof/>
        </w:rPr>
      </w:pPr>
      <w:r>
        <w:rPr>
          <w:noProof/>
        </w:rPr>
        <w:t xml:space="preserve">Article 11 </w:t>
      </w:r>
      <w:r w:rsidR="6A19C6B4">
        <w:rPr>
          <w:noProof/>
        </w:rPr>
        <w:t>guarantees</w:t>
      </w:r>
      <w:r>
        <w:rPr>
          <w:noProof/>
        </w:rPr>
        <w:t xml:space="preserve"> </w:t>
      </w:r>
      <w:r w:rsidR="7A11B005">
        <w:rPr>
          <w:noProof/>
        </w:rPr>
        <w:t xml:space="preserve">additional safeguards for </w:t>
      </w:r>
      <w:r w:rsidR="40B9CE7A">
        <w:rPr>
          <w:noProof/>
        </w:rPr>
        <w:t xml:space="preserve">the processing of </w:t>
      </w:r>
      <w:r>
        <w:rPr>
          <w:noProof/>
        </w:rPr>
        <w:t>special categories of personal data and different categories of data subject</w:t>
      </w:r>
      <w:r w:rsidR="17182DCF">
        <w:rPr>
          <w:noProof/>
        </w:rPr>
        <w:t>.</w:t>
      </w:r>
      <w:r>
        <w:rPr>
          <w:noProof/>
        </w:rPr>
        <w:t xml:space="preserve"> </w:t>
      </w:r>
    </w:p>
    <w:p w:rsidR="001F140D" w:rsidRPr="00796CE7" w:rsidRDefault="2FBE14DD" w:rsidP="001F140D">
      <w:pPr>
        <w:rPr>
          <w:noProof/>
        </w:rPr>
      </w:pPr>
      <w:r>
        <w:rPr>
          <w:noProof/>
        </w:rPr>
        <w:t xml:space="preserve">Article 12 limits </w:t>
      </w:r>
      <w:r w:rsidR="7892480D">
        <w:rPr>
          <w:noProof/>
        </w:rPr>
        <w:t xml:space="preserve">fully </w:t>
      </w:r>
      <w:r w:rsidR="17182DCF">
        <w:rPr>
          <w:noProof/>
        </w:rPr>
        <w:t xml:space="preserve">automated </w:t>
      </w:r>
      <w:r w:rsidR="0A50E063">
        <w:rPr>
          <w:noProof/>
        </w:rPr>
        <w:t>decision-making using</w:t>
      </w:r>
      <w:r w:rsidR="17182DCF">
        <w:rPr>
          <w:noProof/>
        </w:rPr>
        <w:t xml:space="preserve"> personal data</w:t>
      </w:r>
      <w:r w:rsidR="4E55917A">
        <w:rPr>
          <w:noProof/>
        </w:rPr>
        <w:t xml:space="preserve"> transferred under the Agreement</w:t>
      </w:r>
      <w:r w:rsidR="17182DCF">
        <w:rPr>
          <w:noProof/>
        </w:rPr>
        <w:t>.</w:t>
      </w:r>
    </w:p>
    <w:p w:rsidR="001F140D" w:rsidRPr="00D72E34" w:rsidRDefault="79B76AD1" w:rsidP="001F140D">
      <w:pPr>
        <w:rPr>
          <w:noProof/>
        </w:rPr>
      </w:pPr>
      <w:r>
        <w:rPr>
          <w:noProof/>
        </w:rPr>
        <w:t>Article 13 restrict</w:t>
      </w:r>
      <w:r w:rsidR="000A5C4F">
        <w:rPr>
          <w:noProof/>
        </w:rPr>
        <w:t>s</w:t>
      </w:r>
      <w:r>
        <w:rPr>
          <w:noProof/>
        </w:rPr>
        <w:t xml:space="preserve"> the o</w:t>
      </w:r>
      <w:r w:rsidR="17182DCF">
        <w:rPr>
          <w:noProof/>
        </w:rPr>
        <w:t>nward transfer of the personal data received.</w:t>
      </w:r>
    </w:p>
    <w:p w:rsidR="00D72E34" w:rsidRPr="00D72E34" w:rsidRDefault="79B76AD1" w:rsidP="001F140D">
      <w:pPr>
        <w:rPr>
          <w:noProof/>
        </w:rPr>
      </w:pPr>
      <w:r>
        <w:rPr>
          <w:noProof/>
        </w:rPr>
        <w:t xml:space="preserve">Article 14 </w:t>
      </w:r>
      <w:r w:rsidR="334B9DD6">
        <w:rPr>
          <w:noProof/>
        </w:rPr>
        <w:t xml:space="preserve">provides for the right of access, </w:t>
      </w:r>
      <w:r w:rsidR="7FA99FE6">
        <w:rPr>
          <w:noProof/>
        </w:rPr>
        <w:t>including to obtain confirmation</w:t>
      </w:r>
      <w:r w:rsidR="334B9DD6">
        <w:rPr>
          <w:noProof/>
        </w:rPr>
        <w:t xml:space="preserve"> on whether personal data relating to </w:t>
      </w:r>
      <w:r w:rsidR="79470C4F">
        <w:rPr>
          <w:noProof/>
        </w:rPr>
        <w:t>the data subject</w:t>
      </w:r>
      <w:r w:rsidR="334B9DD6">
        <w:rPr>
          <w:noProof/>
        </w:rPr>
        <w:t xml:space="preserve"> are processed under the Agreement</w:t>
      </w:r>
      <w:r w:rsidR="6AEA7A4F">
        <w:rPr>
          <w:noProof/>
        </w:rPr>
        <w:t xml:space="preserve"> as well as essential information on the processing</w:t>
      </w:r>
      <w:r w:rsidR="334B9DD6">
        <w:rPr>
          <w:noProof/>
        </w:rPr>
        <w:t>.</w:t>
      </w:r>
    </w:p>
    <w:p w:rsidR="001F140D" w:rsidRPr="00D72E34" w:rsidRDefault="17182DCF" w:rsidP="001F140D">
      <w:pPr>
        <w:rPr>
          <w:noProof/>
        </w:rPr>
      </w:pPr>
      <w:r>
        <w:rPr>
          <w:noProof/>
        </w:rPr>
        <w:t>Article 15</w:t>
      </w:r>
      <w:r w:rsidR="79B76AD1">
        <w:rPr>
          <w:noProof/>
        </w:rPr>
        <w:t xml:space="preserve"> </w:t>
      </w:r>
      <w:r w:rsidR="334B9DD6">
        <w:rPr>
          <w:noProof/>
        </w:rPr>
        <w:t>provides for the right to rectification, erasure, and restriction</w:t>
      </w:r>
      <w:r w:rsidR="6602338B">
        <w:rPr>
          <w:noProof/>
        </w:rPr>
        <w:t xml:space="preserve"> of processing</w:t>
      </w:r>
      <w:r w:rsidR="334B9DD6">
        <w:rPr>
          <w:noProof/>
        </w:rPr>
        <w:t xml:space="preserve">, </w:t>
      </w:r>
      <w:r w:rsidR="67223776">
        <w:rPr>
          <w:noProof/>
        </w:rPr>
        <w:t>under certain conditions</w:t>
      </w:r>
      <w:r>
        <w:rPr>
          <w:noProof/>
        </w:rPr>
        <w:t>.</w:t>
      </w:r>
    </w:p>
    <w:p w:rsidR="001F140D" w:rsidRPr="00D72E34" w:rsidRDefault="79B76AD1" w:rsidP="001F140D">
      <w:pPr>
        <w:rPr>
          <w:noProof/>
        </w:rPr>
      </w:pPr>
      <w:r>
        <w:rPr>
          <w:noProof/>
        </w:rPr>
        <w:t xml:space="preserve">Article 16 </w:t>
      </w:r>
      <w:r w:rsidR="334B9DD6">
        <w:rPr>
          <w:noProof/>
        </w:rPr>
        <w:t xml:space="preserve">provides for the notification of a personal data breach affecting personal data transferred under the Agreement, ensuring that the respective competent authorities notify each other as well as their respective supervisory authority of </w:t>
      </w:r>
      <w:r w:rsidR="69010711">
        <w:rPr>
          <w:noProof/>
        </w:rPr>
        <w:t>such</w:t>
      </w:r>
      <w:r w:rsidR="334B9DD6">
        <w:rPr>
          <w:noProof/>
        </w:rPr>
        <w:t xml:space="preserve"> </w:t>
      </w:r>
      <w:r w:rsidR="00362E60">
        <w:rPr>
          <w:noProof/>
        </w:rPr>
        <w:t xml:space="preserve">a </w:t>
      </w:r>
      <w:r w:rsidR="334B9DD6">
        <w:rPr>
          <w:noProof/>
        </w:rPr>
        <w:t>breach without delay, and take measures to mitigate its possible adverse effects.</w:t>
      </w:r>
    </w:p>
    <w:p w:rsidR="001F140D" w:rsidRPr="00D72E34" w:rsidRDefault="79B76AD1" w:rsidP="001F140D">
      <w:pPr>
        <w:rPr>
          <w:noProof/>
        </w:rPr>
      </w:pPr>
      <w:r>
        <w:rPr>
          <w:noProof/>
        </w:rPr>
        <w:t xml:space="preserve">Article 17 </w:t>
      </w:r>
      <w:r w:rsidR="334B9DD6">
        <w:rPr>
          <w:noProof/>
        </w:rPr>
        <w:t xml:space="preserve">provides for the communication </w:t>
      </w:r>
      <w:r w:rsidR="5E5D592B">
        <w:rPr>
          <w:noProof/>
        </w:rPr>
        <w:t xml:space="preserve">to the data subject </w:t>
      </w:r>
      <w:r w:rsidR="334B9DD6">
        <w:rPr>
          <w:noProof/>
        </w:rPr>
        <w:t xml:space="preserve">of a personal data breach </w:t>
      </w:r>
      <w:r w:rsidR="0B937B24">
        <w:rPr>
          <w:noProof/>
        </w:rPr>
        <w:t xml:space="preserve">likely to have a serious effect </w:t>
      </w:r>
      <w:r w:rsidR="12240BA5">
        <w:rPr>
          <w:noProof/>
        </w:rPr>
        <w:t>upon his or her rights and freedoms</w:t>
      </w:r>
      <w:r w:rsidR="17182DCF">
        <w:rPr>
          <w:noProof/>
        </w:rPr>
        <w:t xml:space="preserve">. </w:t>
      </w:r>
    </w:p>
    <w:p w:rsidR="001F140D" w:rsidRPr="004C67B5" w:rsidRDefault="79B76AD1" w:rsidP="001F140D">
      <w:pPr>
        <w:rPr>
          <w:noProof/>
        </w:rPr>
      </w:pPr>
      <w:r>
        <w:rPr>
          <w:noProof/>
        </w:rPr>
        <w:t xml:space="preserve">Article 18 </w:t>
      </w:r>
      <w:r w:rsidR="685EFA9D">
        <w:rPr>
          <w:noProof/>
        </w:rPr>
        <w:t>includes rules as regards</w:t>
      </w:r>
      <w:r>
        <w:rPr>
          <w:noProof/>
        </w:rPr>
        <w:t xml:space="preserve"> s</w:t>
      </w:r>
      <w:r w:rsidR="17182DCF">
        <w:rPr>
          <w:noProof/>
        </w:rPr>
        <w:t>torage, review, correction and deletion of personal data.</w:t>
      </w:r>
    </w:p>
    <w:p w:rsidR="00E73F37" w:rsidRPr="004C67B5" w:rsidRDefault="79B76AD1" w:rsidP="00E73F37">
      <w:pPr>
        <w:rPr>
          <w:noProof/>
        </w:rPr>
      </w:pPr>
      <w:r>
        <w:rPr>
          <w:noProof/>
        </w:rPr>
        <w:t xml:space="preserve">Article 19 </w:t>
      </w:r>
      <w:r w:rsidR="0CE96B90">
        <w:rPr>
          <w:noProof/>
        </w:rPr>
        <w:t>requires</w:t>
      </w:r>
      <w:r w:rsidR="7C8126FE">
        <w:rPr>
          <w:noProof/>
        </w:rPr>
        <w:t xml:space="preserve"> the keeping of logs of the collection, alteration, access, disclosure including onward transfers, combination and erasure of personal data</w:t>
      </w:r>
      <w:r w:rsidR="17182DCF">
        <w:rPr>
          <w:noProof/>
        </w:rPr>
        <w:t xml:space="preserve">. </w:t>
      </w:r>
    </w:p>
    <w:p w:rsidR="001F140D" w:rsidRPr="004C67B5" w:rsidRDefault="79B76AD1" w:rsidP="00E73F37">
      <w:pPr>
        <w:rPr>
          <w:noProof/>
        </w:rPr>
      </w:pPr>
      <w:r>
        <w:rPr>
          <w:noProof/>
        </w:rPr>
        <w:t xml:space="preserve">Article 20 </w:t>
      </w:r>
      <w:r w:rsidR="262CFD43">
        <w:rPr>
          <w:noProof/>
        </w:rPr>
        <w:t>includes obligations regarding</w:t>
      </w:r>
      <w:r w:rsidR="7C8126FE">
        <w:rPr>
          <w:noProof/>
        </w:rPr>
        <w:t xml:space="preserve"> data security, ensuring the implementation of technical and organizational measures to protect personal data exchanged under this Agreement</w:t>
      </w:r>
      <w:r w:rsidR="17182DCF">
        <w:rPr>
          <w:noProof/>
        </w:rPr>
        <w:t>.</w:t>
      </w:r>
    </w:p>
    <w:p w:rsidR="001F140D" w:rsidRPr="004C67B5" w:rsidRDefault="334B9DD6" w:rsidP="001F140D">
      <w:pPr>
        <w:rPr>
          <w:noProof/>
        </w:rPr>
      </w:pPr>
      <w:r>
        <w:rPr>
          <w:noProof/>
        </w:rPr>
        <w:t xml:space="preserve">Article 21 </w:t>
      </w:r>
      <w:r w:rsidR="080A5401">
        <w:rPr>
          <w:noProof/>
        </w:rPr>
        <w:t xml:space="preserve">requires effective </w:t>
      </w:r>
      <w:r w:rsidR="00C11E78">
        <w:rPr>
          <w:noProof/>
        </w:rPr>
        <w:t>supervision and en</w:t>
      </w:r>
      <w:r w:rsidR="6B6067F9">
        <w:rPr>
          <w:noProof/>
        </w:rPr>
        <w:t>forcement</w:t>
      </w:r>
      <w:r w:rsidR="080A5401">
        <w:rPr>
          <w:noProof/>
        </w:rPr>
        <w:t xml:space="preserve"> of compliance with the safeguards set out in the Agreement</w:t>
      </w:r>
      <w:r w:rsidR="7C8126FE">
        <w:rPr>
          <w:noProof/>
        </w:rPr>
        <w:t>, ensuring that there is an independent public authority responsible for data protection (supervisory authority) to oversee matters affecting the privacy of individuals, including the domestic rules relevant under the Agreement to protect the fundamental rights and freedoms of natural persons in relation to the processing of personal data.</w:t>
      </w:r>
    </w:p>
    <w:p w:rsidR="001F140D" w:rsidRPr="00F86F0E" w:rsidRDefault="001F140D" w:rsidP="001F140D">
      <w:pPr>
        <w:rPr>
          <w:noProof/>
        </w:rPr>
      </w:pPr>
      <w:r w:rsidRPr="00F86F0E">
        <w:rPr>
          <w:noProof/>
        </w:rPr>
        <w:t>Article 22</w:t>
      </w:r>
      <w:r w:rsidR="00F86F0E" w:rsidRPr="00F86F0E">
        <w:rPr>
          <w:noProof/>
        </w:rPr>
        <w:t xml:space="preserve"> provides for administrative and judicial redress, ensuring that data subjects have the right to effective administrative and judicial redress for violations of the rights and safeguards recognized in the Agreement resulting from the processing of their personal data.</w:t>
      </w:r>
    </w:p>
    <w:p w:rsidR="001F140D" w:rsidRPr="00F86F0E" w:rsidRDefault="00F86F0E" w:rsidP="001F140D">
      <w:pPr>
        <w:rPr>
          <w:noProof/>
        </w:rPr>
      </w:pPr>
      <w:r w:rsidRPr="00F86F0E">
        <w:rPr>
          <w:noProof/>
        </w:rPr>
        <w:t>Article 23 provides that the</w:t>
      </w:r>
      <w:r w:rsidR="001F140D" w:rsidRPr="00F86F0E">
        <w:rPr>
          <w:noProof/>
        </w:rPr>
        <w:t xml:space="preserve"> exchange and protection of EU classified and sensitive non-classified information is regulated by a working arrangement on </w:t>
      </w:r>
      <w:r w:rsidR="00691F19">
        <w:rPr>
          <w:noProof/>
        </w:rPr>
        <w:t>c</w:t>
      </w:r>
      <w:r w:rsidR="001F140D" w:rsidRPr="00F86F0E">
        <w:rPr>
          <w:noProof/>
        </w:rPr>
        <w:t xml:space="preserve">onfidentiality concluded between Eurojust and the competent authorities of </w:t>
      </w:r>
      <w:r w:rsidR="00250BEA">
        <w:rPr>
          <w:noProof/>
        </w:rPr>
        <w:t>Lebanon</w:t>
      </w:r>
      <w:r w:rsidR="001F140D" w:rsidRPr="00F86F0E">
        <w:rPr>
          <w:noProof/>
        </w:rPr>
        <w:t>.</w:t>
      </w:r>
    </w:p>
    <w:p w:rsidR="001F140D" w:rsidRPr="00F86F0E" w:rsidRDefault="00F86F0E" w:rsidP="001F140D">
      <w:pPr>
        <w:rPr>
          <w:noProof/>
        </w:rPr>
      </w:pPr>
      <w:r w:rsidRPr="00F86F0E">
        <w:rPr>
          <w:noProof/>
        </w:rPr>
        <w:t>Article 24 provides for the r</w:t>
      </w:r>
      <w:r w:rsidR="001F140D" w:rsidRPr="00F86F0E">
        <w:rPr>
          <w:noProof/>
        </w:rPr>
        <w:t>esponsibili</w:t>
      </w:r>
      <w:r w:rsidRPr="00F86F0E">
        <w:rPr>
          <w:noProof/>
        </w:rPr>
        <w:t>ty of the competent authorities.</w:t>
      </w:r>
      <w:r w:rsidR="001F140D" w:rsidRPr="00F86F0E">
        <w:rPr>
          <w:noProof/>
        </w:rPr>
        <w:t xml:space="preserve"> </w:t>
      </w:r>
      <w:r w:rsidR="00FE5111">
        <w:rPr>
          <w:noProof/>
        </w:rPr>
        <w:t>E.g., t</w:t>
      </w:r>
      <w:r w:rsidR="001F140D" w:rsidRPr="00F86F0E">
        <w:rPr>
          <w:noProof/>
        </w:rPr>
        <w:t xml:space="preserve">he competent authorities shall be liable for any damage caused to an individual as a result of legal or factual errors in information exchanged. </w:t>
      </w:r>
    </w:p>
    <w:p w:rsidR="001F140D" w:rsidRPr="00F86F0E" w:rsidRDefault="00F86F0E" w:rsidP="001F140D">
      <w:pPr>
        <w:rPr>
          <w:noProof/>
        </w:rPr>
      </w:pPr>
      <w:r w:rsidRPr="00F86F0E">
        <w:rPr>
          <w:noProof/>
        </w:rPr>
        <w:t>Article 25 provides that in principle</w:t>
      </w:r>
      <w:r w:rsidR="001F140D" w:rsidRPr="00F86F0E">
        <w:rPr>
          <w:noProof/>
        </w:rPr>
        <w:t>, each Party shall bear its own expenses associated with the implementation of this Agreement.</w:t>
      </w:r>
    </w:p>
    <w:p w:rsidR="001F140D" w:rsidRPr="00475E4B" w:rsidRDefault="00F86F0E" w:rsidP="001F140D">
      <w:pPr>
        <w:rPr>
          <w:noProof/>
        </w:rPr>
      </w:pPr>
      <w:r w:rsidRPr="00475E4B">
        <w:rPr>
          <w:noProof/>
        </w:rPr>
        <w:t>Article 26 provides for the conclusion of a</w:t>
      </w:r>
      <w:r w:rsidR="001F140D" w:rsidRPr="00475E4B">
        <w:rPr>
          <w:noProof/>
        </w:rPr>
        <w:t xml:space="preserve"> working arrangement between Eurojust and the competent authorities of </w:t>
      </w:r>
      <w:r w:rsidR="00250BEA">
        <w:rPr>
          <w:noProof/>
        </w:rPr>
        <w:t>Lebanon</w:t>
      </w:r>
      <w:r w:rsidR="001F140D" w:rsidRPr="00475E4B">
        <w:rPr>
          <w:noProof/>
        </w:rPr>
        <w:t>.</w:t>
      </w:r>
    </w:p>
    <w:p w:rsidR="001F140D" w:rsidRPr="002D4C63" w:rsidRDefault="00475E4B" w:rsidP="001F140D">
      <w:pPr>
        <w:rPr>
          <w:noProof/>
        </w:rPr>
      </w:pPr>
      <w:r w:rsidRPr="002D4C63">
        <w:rPr>
          <w:noProof/>
        </w:rPr>
        <w:t>Article 27</w:t>
      </w:r>
      <w:r w:rsidR="001F140D" w:rsidRPr="002D4C63">
        <w:rPr>
          <w:noProof/>
        </w:rPr>
        <w:t xml:space="preserve"> </w:t>
      </w:r>
      <w:r w:rsidRPr="002D4C63">
        <w:rPr>
          <w:noProof/>
        </w:rPr>
        <w:t xml:space="preserve">provides for the relation with other international instruments, ensuring that the Agreement will not prejudice or affect the legal provisions with regard to the exchange of information foreseen in any treaty, agreement, or arrangement between </w:t>
      </w:r>
      <w:r w:rsidR="00250BEA">
        <w:rPr>
          <w:noProof/>
        </w:rPr>
        <w:t>Lebanon</w:t>
      </w:r>
      <w:r w:rsidRPr="002D4C63">
        <w:rPr>
          <w:noProof/>
        </w:rPr>
        <w:t xml:space="preserve"> and any Member State of the European Union</w:t>
      </w:r>
      <w:r w:rsidR="001F140D" w:rsidRPr="002D4C63">
        <w:rPr>
          <w:noProof/>
        </w:rPr>
        <w:t>.</w:t>
      </w:r>
    </w:p>
    <w:p w:rsidR="001F140D" w:rsidRPr="002D4C63" w:rsidRDefault="00475E4B" w:rsidP="001F140D">
      <w:pPr>
        <w:rPr>
          <w:noProof/>
        </w:rPr>
      </w:pPr>
      <w:r w:rsidRPr="002D4C63">
        <w:rPr>
          <w:noProof/>
        </w:rPr>
        <w:t xml:space="preserve">Article 28 provides for the notification </w:t>
      </w:r>
      <w:r w:rsidR="002D4C63" w:rsidRPr="002D4C63">
        <w:rPr>
          <w:noProof/>
        </w:rPr>
        <w:t xml:space="preserve">of the implementation of the Agreement. </w:t>
      </w:r>
    </w:p>
    <w:p w:rsidR="001F140D" w:rsidRPr="002D4C63" w:rsidRDefault="002D4C63" w:rsidP="001F140D">
      <w:pPr>
        <w:rPr>
          <w:noProof/>
        </w:rPr>
      </w:pPr>
      <w:r w:rsidRPr="002D4C63">
        <w:rPr>
          <w:noProof/>
        </w:rPr>
        <w:t>Article 29</w:t>
      </w:r>
      <w:r w:rsidR="001F140D" w:rsidRPr="002D4C63">
        <w:rPr>
          <w:noProof/>
        </w:rPr>
        <w:t xml:space="preserve"> </w:t>
      </w:r>
      <w:r w:rsidRPr="002D4C63">
        <w:rPr>
          <w:noProof/>
        </w:rPr>
        <w:t xml:space="preserve">provides for </w:t>
      </w:r>
      <w:r w:rsidR="00A947E3">
        <w:rPr>
          <w:noProof/>
        </w:rPr>
        <w:t xml:space="preserve">the </w:t>
      </w:r>
      <w:r w:rsidRPr="002D4C63">
        <w:rPr>
          <w:noProof/>
        </w:rPr>
        <w:t>entry into force and application of the Agreement.</w:t>
      </w:r>
    </w:p>
    <w:p w:rsidR="001F140D" w:rsidRPr="002D4C63" w:rsidRDefault="002D4C63" w:rsidP="001F140D">
      <w:pPr>
        <w:rPr>
          <w:noProof/>
        </w:rPr>
      </w:pPr>
      <w:r w:rsidRPr="002D4C63">
        <w:rPr>
          <w:noProof/>
        </w:rPr>
        <w:t>Article 30</w:t>
      </w:r>
      <w:r w:rsidR="001F140D" w:rsidRPr="002D4C63">
        <w:rPr>
          <w:noProof/>
        </w:rPr>
        <w:t xml:space="preserve"> </w:t>
      </w:r>
      <w:r w:rsidRPr="002D4C63">
        <w:rPr>
          <w:noProof/>
        </w:rPr>
        <w:t xml:space="preserve">provides for amendments </w:t>
      </w:r>
      <w:r w:rsidR="00970FF5">
        <w:rPr>
          <w:noProof/>
        </w:rPr>
        <w:t>to</w:t>
      </w:r>
      <w:r w:rsidR="00970FF5" w:rsidRPr="002D4C63">
        <w:rPr>
          <w:noProof/>
        </w:rPr>
        <w:t xml:space="preserve"> </w:t>
      </w:r>
      <w:r w:rsidRPr="002D4C63">
        <w:rPr>
          <w:noProof/>
        </w:rPr>
        <w:t>the Agreement</w:t>
      </w:r>
      <w:r w:rsidR="001F140D" w:rsidRPr="002D4C63">
        <w:rPr>
          <w:noProof/>
        </w:rPr>
        <w:t>.</w:t>
      </w:r>
    </w:p>
    <w:p w:rsidR="001F140D" w:rsidRPr="002D4C63" w:rsidRDefault="002D4C63" w:rsidP="001F140D">
      <w:pPr>
        <w:rPr>
          <w:noProof/>
        </w:rPr>
      </w:pPr>
      <w:r w:rsidRPr="002D4C63">
        <w:rPr>
          <w:noProof/>
        </w:rPr>
        <w:t>Article 31 provides for the review and evaluation of the Agreement</w:t>
      </w:r>
      <w:r w:rsidR="001F140D" w:rsidRPr="002D4C63">
        <w:rPr>
          <w:noProof/>
        </w:rPr>
        <w:t>.</w:t>
      </w:r>
    </w:p>
    <w:p w:rsidR="001F140D" w:rsidRPr="002D4C63" w:rsidRDefault="002D4C63" w:rsidP="001F140D">
      <w:pPr>
        <w:rPr>
          <w:noProof/>
        </w:rPr>
      </w:pPr>
      <w:r w:rsidRPr="002D4C63">
        <w:rPr>
          <w:noProof/>
        </w:rPr>
        <w:t>Article 32</w:t>
      </w:r>
      <w:r w:rsidR="001F140D" w:rsidRPr="002D4C63">
        <w:rPr>
          <w:noProof/>
        </w:rPr>
        <w:t xml:space="preserve"> provides for a settlement of disputes and suspension clause.</w:t>
      </w:r>
    </w:p>
    <w:p w:rsidR="001F140D" w:rsidRPr="002D4C63" w:rsidRDefault="002D4C63" w:rsidP="001F140D">
      <w:pPr>
        <w:rPr>
          <w:noProof/>
        </w:rPr>
      </w:pPr>
      <w:r w:rsidRPr="002D4C63">
        <w:rPr>
          <w:noProof/>
        </w:rPr>
        <w:t>Article 33</w:t>
      </w:r>
      <w:r w:rsidR="001F140D" w:rsidRPr="002D4C63">
        <w:rPr>
          <w:noProof/>
        </w:rPr>
        <w:t xml:space="preserve"> includes provis</w:t>
      </w:r>
      <w:r w:rsidRPr="002D4C63">
        <w:rPr>
          <w:noProof/>
        </w:rPr>
        <w:t>ions on the termination of the A</w:t>
      </w:r>
      <w:r w:rsidR="001F140D" w:rsidRPr="002D4C63">
        <w:rPr>
          <w:noProof/>
        </w:rPr>
        <w:t>greement.</w:t>
      </w:r>
    </w:p>
    <w:p w:rsidR="00C11FA9" w:rsidRDefault="002D4C63" w:rsidP="00A52F19">
      <w:pPr>
        <w:rPr>
          <w:noProof/>
        </w:rPr>
      </w:pPr>
      <w:r w:rsidRPr="002D4C63">
        <w:rPr>
          <w:noProof/>
        </w:rPr>
        <w:t>Article 34</w:t>
      </w:r>
      <w:r w:rsidR="001F140D" w:rsidRPr="002D4C63">
        <w:rPr>
          <w:noProof/>
        </w:rPr>
        <w:t xml:space="preserve"> </w:t>
      </w:r>
      <w:r w:rsidRPr="002D4C63">
        <w:rPr>
          <w:noProof/>
        </w:rPr>
        <w:t xml:space="preserve">provides for the </w:t>
      </w:r>
      <w:r w:rsidR="009F4D76">
        <w:rPr>
          <w:noProof/>
        </w:rPr>
        <w:t xml:space="preserve">way in which notifications in accordance with this Agreement are </w:t>
      </w:r>
      <w:r w:rsidR="00691F19">
        <w:rPr>
          <w:noProof/>
        </w:rPr>
        <w:t>made.</w:t>
      </w:r>
    </w:p>
    <w:p w:rsidR="00853975" w:rsidRPr="00FD40BA" w:rsidRDefault="00853975" w:rsidP="00853975">
      <w:pPr>
        <w:jc w:val="left"/>
        <w:rPr>
          <w:noProof/>
        </w:rPr>
        <w:sectPr w:rsidR="00853975" w:rsidRPr="00FD40BA" w:rsidSect="002D22F6">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r>
        <w:rPr>
          <w:noProof/>
        </w:rPr>
        <w:t>Article 35 refers to the authentic texts.</w:t>
      </w:r>
    </w:p>
    <w:p w:rsidR="00395DC7" w:rsidRDefault="00B7460E">
      <w:pPr>
        <w:pStyle w:val="Rfrenceinterinstitutionnelle"/>
        <w:rPr>
          <w:noProof/>
        </w:rPr>
      </w:pPr>
      <w:r>
        <w:rPr>
          <w:noProof/>
        </w:rPr>
        <w:t>2024/0155 (NLE)</w:t>
      </w:r>
    </w:p>
    <w:p w:rsidR="00C11FA9" w:rsidRPr="00FD40BA" w:rsidRDefault="00530B8B" w:rsidP="00530B8B">
      <w:pPr>
        <w:pStyle w:val="Statut"/>
        <w:rPr>
          <w:noProof/>
        </w:rPr>
      </w:pPr>
      <w:r w:rsidRPr="00530B8B">
        <w:rPr>
          <w:noProof/>
        </w:rPr>
        <w:t>Proposal for a</w:t>
      </w:r>
    </w:p>
    <w:p w:rsidR="00C11FA9" w:rsidRPr="00FD40BA" w:rsidRDefault="00530B8B" w:rsidP="00530B8B">
      <w:pPr>
        <w:pStyle w:val="Typedudocument"/>
        <w:rPr>
          <w:noProof/>
        </w:rPr>
      </w:pPr>
      <w:r w:rsidRPr="00530B8B">
        <w:rPr>
          <w:noProof/>
        </w:rPr>
        <w:t>COUNCIL DECISION</w:t>
      </w:r>
    </w:p>
    <w:p w:rsidR="00C11FA9" w:rsidRPr="00FD40BA" w:rsidRDefault="00530B8B" w:rsidP="00530B8B">
      <w:pPr>
        <w:pStyle w:val="Titreobjet"/>
        <w:rPr>
          <w:noProof/>
        </w:rPr>
      </w:pPr>
      <w:r w:rsidRPr="00530B8B">
        <w:rPr>
          <w:noProof/>
        </w:rPr>
        <w:t>on the conclusion of an Agreement between the European Union and the Republic of Lebanon on the cooperation between the European Union Agency for Criminal Justice Cooperation (Eurojust) and the authorities of the Republic of Lebanon competent for judicial cooperation in criminal matters</w:t>
      </w:r>
    </w:p>
    <w:p w:rsidR="00C11FA9" w:rsidRPr="00FD40BA" w:rsidRDefault="00C11FA9" w:rsidP="00A52F19">
      <w:pPr>
        <w:pStyle w:val="Institutionquiagit"/>
        <w:rPr>
          <w:noProof/>
        </w:rPr>
      </w:pPr>
      <w:r w:rsidRPr="00FD40BA">
        <w:rPr>
          <w:noProof/>
        </w:rPr>
        <w:t xml:space="preserve">THE COUNCIL OF THE EUROPEAN </w:t>
      </w:r>
      <w:smartTag w:uri="urn:schemas-microsoft-com:office:smarttags" w:element="place">
        <w:r w:rsidRPr="00FD40BA">
          <w:rPr>
            <w:noProof/>
          </w:rPr>
          <w:t>UNION</w:t>
        </w:r>
      </w:smartTag>
      <w:r w:rsidRPr="00FD40BA">
        <w:rPr>
          <w:noProof/>
        </w:rPr>
        <w:t>,</w:t>
      </w:r>
    </w:p>
    <w:p w:rsidR="00C11FA9" w:rsidRPr="008860A7" w:rsidRDefault="00C11FA9" w:rsidP="00A52F19">
      <w:pPr>
        <w:rPr>
          <w:noProof/>
        </w:rPr>
      </w:pPr>
      <w:r w:rsidRPr="008860A7">
        <w:rPr>
          <w:noProof/>
        </w:rPr>
        <w:t xml:space="preserve">Having regard to the Treaty on the Functioning of the European Union, and in particular Article </w:t>
      </w:r>
      <w:r w:rsidR="006920B6" w:rsidRPr="00C11E78">
        <w:rPr>
          <w:noProof/>
        </w:rPr>
        <w:t>16(2)</w:t>
      </w:r>
      <w:r w:rsidR="004B49D1">
        <w:rPr>
          <w:noProof/>
        </w:rPr>
        <w:t xml:space="preserve"> and</w:t>
      </w:r>
      <w:r w:rsidR="006920B6" w:rsidRPr="00C11E78">
        <w:rPr>
          <w:noProof/>
        </w:rPr>
        <w:t xml:space="preserve"> Article 85 in conjunction with Article 218(</w:t>
      </w:r>
      <w:r w:rsidR="00A947E3">
        <w:rPr>
          <w:noProof/>
        </w:rPr>
        <w:t>6</w:t>
      </w:r>
      <w:r w:rsidR="006920B6" w:rsidRPr="00C11E78">
        <w:rPr>
          <w:noProof/>
        </w:rPr>
        <w:t>)</w:t>
      </w:r>
      <w:r w:rsidR="008344D7" w:rsidRPr="008344D7">
        <w:rPr>
          <w:noProof/>
        </w:rPr>
        <w:t xml:space="preserve">, </w:t>
      </w:r>
      <w:r w:rsidR="00A13D02">
        <w:rPr>
          <w:noProof/>
        </w:rPr>
        <w:t xml:space="preserve">second subparagraph, </w:t>
      </w:r>
      <w:r w:rsidR="008344D7" w:rsidRPr="008344D7">
        <w:rPr>
          <w:noProof/>
        </w:rPr>
        <w:t>point (a)</w:t>
      </w:r>
      <w:r w:rsidR="00A13D02">
        <w:rPr>
          <w:noProof/>
        </w:rPr>
        <w:t>(v)</w:t>
      </w:r>
      <w:r w:rsidR="008344D7" w:rsidRPr="008344D7">
        <w:rPr>
          <w:noProof/>
        </w:rPr>
        <w:t>, and Article 218(7)</w:t>
      </w:r>
      <w:r w:rsidR="00205041" w:rsidRPr="00C11E78">
        <w:rPr>
          <w:noProof/>
        </w:rPr>
        <w:t xml:space="preserve"> </w:t>
      </w:r>
      <w:r w:rsidRPr="008860A7">
        <w:rPr>
          <w:noProof/>
        </w:rPr>
        <w:t>thereof,</w:t>
      </w:r>
    </w:p>
    <w:p w:rsidR="00C11FA9" w:rsidRDefault="00C11FA9" w:rsidP="00A52F19">
      <w:pPr>
        <w:rPr>
          <w:noProof/>
        </w:rPr>
      </w:pPr>
      <w:r w:rsidRPr="008860A7">
        <w:rPr>
          <w:noProof/>
        </w:rPr>
        <w:t>Having regard to the proposal from the European Commission,</w:t>
      </w:r>
    </w:p>
    <w:p w:rsidR="00A13D02" w:rsidRPr="008860A7" w:rsidRDefault="00A13D02" w:rsidP="00A52F19">
      <w:pPr>
        <w:rPr>
          <w:noProof/>
        </w:rPr>
      </w:pPr>
      <w:r>
        <w:rPr>
          <w:noProof/>
        </w:rPr>
        <w:t>Having regard to the consent of the European Parliament,</w:t>
      </w:r>
    </w:p>
    <w:p w:rsidR="00C11FA9" w:rsidRPr="008860A7" w:rsidRDefault="00C11FA9" w:rsidP="00A52F19">
      <w:pPr>
        <w:rPr>
          <w:noProof/>
        </w:rPr>
      </w:pPr>
      <w:r w:rsidRPr="008860A7">
        <w:rPr>
          <w:noProof/>
        </w:rPr>
        <w:t>Whereas:</w:t>
      </w:r>
    </w:p>
    <w:p w:rsidR="008860A7" w:rsidRPr="008860A7" w:rsidRDefault="008C10E3" w:rsidP="008C10E3">
      <w:pPr>
        <w:pStyle w:val="ManualConsidrant"/>
        <w:rPr>
          <w:noProof/>
        </w:rPr>
      </w:pPr>
      <w:r w:rsidRPr="008C10E3">
        <w:rPr>
          <w:noProof/>
        </w:rPr>
        <w:t>(1)</w:t>
      </w:r>
      <w:r w:rsidRPr="008C10E3">
        <w:rPr>
          <w:noProof/>
        </w:rPr>
        <w:tab/>
      </w:r>
      <w:r w:rsidR="00A13D02">
        <w:rPr>
          <w:noProof/>
        </w:rPr>
        <w:t xml:space="preserve">Article 47 and 52 of </w:t>
      </w:r>
      <w:r w:rsidR="00370A6C" w:rsidRPr="008860A7">
        <w:rPr>
          <w:noProof/>
        </w:rPr>
        <w:t>Regulation (EU) 2018/1727 of the European Parliament and of the Council</w:t>
      </w:r>
      <w:r w:rsidR="00370A6C" w:rsidRPr="008860A7">
        <w:rPr>
          <w:rStyle w:val="FootnoteReference"/>
          <w:noProof/>
        </w:rPr>
        <w:footnoteReference w:id="15"/>
      </w:r>
      <w:r w:rsidR="00370A6C">
        <w:rPr>
          <w:noProof/>
        </w:rPr>
        <w:t xml:space="preserve"> provide that Eurojust may establish and maintain cooperation with authorities of third countries based on a cooperation strategy. </w:t>
      </w:r>
    </w:p>
    <w:p w:rsidR="006920B6" w:rsidRPr="00C11E78" w:rsidRDefault="008C10E3" w:rsidP="008C10E3">
      <w:pPr>
        <w:pStyle w:val="ManualConsidrant"/>
        <w:rPr>
          <w:noProof/>
        </w:rPr>
      </w:pPr>
      <w:r w:rsidRPr="008C10E3">
        <w:rPr>
          <w:noProof/>
        </w:rPr>
        <w:t>(2)</w:t>
      </w:r>
      <w:r w:rsidRPr="008C10E3">
        <w:rPr>
          <w:noProof/>
        </w:rPr>
        <w:tab/>
      </w:r>
      <w:r w:rsidR="00A13D02">
        <w:rPr>
          <w:noProof/>
        </w:rPr>
        <w:t xml:space="preserve">Article 56 of </w:t>
      </w:r>
      <w:r w:rsidR="4C0502D1">
        <w:rPr>
          <w:noProof/>
        </w:rPr>
        <w:t xml:space="preserve">Regulation (EU) 2018/1727 of the European Parliament and of the Council also </w:t>
      </w:r>
      <w:r w:rsidR="21656315">
        <w:rPr>
          <w:noProof/>
        </w:rPr>
        <w:t xml:space="preserve">provides that Eurojust may transfer personal data to an authority of a third country </w:t>
      </w:r>
      <w:r w:rsidR="21656315" w:rsidRPr="181C8758">
        <w:rPr>
          <w:i/>
          <w:iCs/>
          <w:noProof/>
        </w:rPr>
        <w:t>inter alia</w:t>
      </w:r>
      <w:r w:rsidR="21656315">
        <w:rPr>
          <w:noProof/>
        </w:rPr>
        <w:t xml:space="preserve"> bas</w:t>
      </w:r>
      <w:r w:rsidR="56460EC4">
        <w:rPr>
          <w:noProof/>
        </w:rPr>
        <w:t>ed</w:t>
      </w:r>
      <w:r w:rsidR="21656315">
        <w:rPr>
          <w:noProof/>
        </w:rPr>
        <w:t xml:space="preserve"> o</w:t>
      </w:r>
      <w:r w:rsidR="60BDC447">
        <w:rPr>
          <w:noProof/>
        </w:rPr>
        <w:t>n</w:t>
      </w:r>
      <w:r w:rsidR="21656315">
        <w:rPr>
          <w:noProof/>
        </w:rPr>
        <w:t xml:space="preserve"> an international agreement concluded between the Union and that third country pursuant to Article 218 </w:t>
      </w:r>
      <w:r w:rsidR="004B49D1">
        <w:rPr>
          <w:noProof/>
        </w:rPr>
        <w:t>of the Treaty on the Functioning of the European Union (</w:t>
      </w:r>
      <w:r w:rsidR="21656315">
        <w:rPr>
          <w:noProof/>
        </w:rPr>
        <w:t>TFEU</w:t>
      </w:r>
      <w:r w:rsidR="004B49D1">
        <w:rPr>
          <w:noProof/>
        </w:rPr>
        <w:t>),</w:t>
      </w:r>
      <w:r w:rsidR="21656315">
        <w:rPr>
          <w:noProof/>
        </w:rPr>
        <w:t xml:space="preserve"> </w:t>
      </w:r>
      <w:r w:rsidR="00A13D02">
        <w:rPr>
          <w:noProof/>
        </w:rPr>
        <w:t xml:space="preserve">setting out </w:t>
      </w:r>
      <w:r w:rsidR="21656315">
        <w:rPr>
          <w:noProof/>
        </w:rPr>
        <w:t>adequate safeguards with respect to the protection of privacy and fundamental rights and freedoms of individuals.</w:t>
      </w:r>
    </w:p>
    <w:p w:rsidR="00833346" w:rsidRDefault="008C10E3" w:rsidP="008C10E3">
      <w:pPr>
        <w:pStyle w:val="ManualConsidrant"/>
        <w:rPr>
          <w:noProof/>
        </w:rPr>
      </w:pPr>
      <w:r w:rsidRPr="008C10E3">
        <w:rPr>
          <w:noProof/>
        </w:rPr>
        <w:t>(3)</w:t>
      </w:r>
      <w:r w:rsidRPr="008C10E3">
        <w:rPr>
          <w:noProof/>
        </w:rPr>
        <w:tab/>
      </w:r>
      <w:r w:rsidR="00833346">
        <w:rPr>
          <w:noProof/>
        </w:rPr>
        <w:t xml:space="preserve">In accordance with Council Decision (EU) </w:t>
      </w:r>
      <w:r w:rsidR="00A13D02" w:rsidRPr="00F54C1A">
        <w:rPr>
          <w:noProof/>
        </w:rPr>
        <w:t>[XXXX</w:t>
      </w:r>
      <w:r w:rsidR="00A13D02">
        <w:rPr>
          <w:noProof/>
        </w:rPr>
        <w:t>]</w:t>
      </w:r>
      <w:r w:rsidR="00833346" w:rsidRPr="000C26C9">
        <w:rPr>
          <w:rStyle w:val="FootnoteReference"/>
          <w:noProof/>
        </w:rPr>
        <w:footnoteReference w:id="16"/>
      </w:r>
      <w:r w:rsidR="00833346" w:rsidRPr="000C26C9">
        <w:rPr>
          <w:noProof/>
        </w:rPr>
        <w:t>,</w:t>
      </w:r>
      <w:r w:rsidR="00833346">
        <w:rPr>
          <w:noProof/>
        </w:rPr>
        <w:t xml:space="preserve"> </w:t>
      </w:r>
      <w:bookmarkStart w:id="1" w:name="_Hlk144899955"/>
      <w:r w:rsidR="00833346">
        <w:rPr>
          <w:noProof/>
        </w:rPr>
        <w:t>the Agreement between the European Union</w:t>
      </w:r>
      <w:r w:rsidR="00DC475B">
        <w:rPr>
          <w:noProof/>
        </w:rPr>
        <w:t xml:space="preserve"> </w:t>
      </w:r>
      <w:r w:rsidR="00833346">
        <w:rPr>
          <w:noProof/>
        </w:rPr>
        <w:t xml:space="preserve">and </w:t>
      </w:r>
      <w:r w:rsidR="004A755E">
        <w:rPr>
          <w:noProof/>
        </w:rPr>
        <w:t xml:space="preserve">the Republic of </w:t>
      </w:r>
      <w:r w:rsidR="00250BEA">
        <w:rPr>
          <w:noProof/>
        </w:rPr>
        <w:t>Lebanon</w:t>
      </w:r>
      <w:r w:rsidR="00833346">
        <w:rPr>
          <w:noProof/>
        </w:rPr>
        <w:t xml:space="preserve"> on the </w:t>
      </w:r>
      <w:r w:rsidR="00833346" w:rsidRPr="00833346">
        <w:rPr>
          <w:noProof/>
        </w:rPr>
        <w:t xml:space="preserve">cooperation between the European Union Agency for Criminal Justice Cooperation (Eurojust) and the authorities </w:t>
      </w:r>
      <w:r w:rsidR="00DC475B" w:rsidRPr="00833346">
        <w:rPr>
          <w:noProof/>
        </w:rPr>
        <w:t xml:space="preserve">of the Republic of </w:t>
      </w:r>
      <w:r w:rsidR="00DC475B">
        <w:rPr>
          <w:noProof/>
        </w:rPr>
        <w:t>Lebanon</w:t>
      </w:r>
      <w:r w:rsidR="00DC475B" w:rsidRPr="00833346">
        <w:rPr>
          <w:noProof/>
        </w:rPr>
        <w:t xml:space="preserve"> competent </w:t>
      </w:r>
      <w:r w:rsidR="00833346" w:rsidRPr="00833346">
        <w:rPr>
          <w:noProof/>
        </w:rPr>
        <w:t xml:space="preserve">for judicial cooperation in criminal matters </w:t>
      </w:r>
      <w:bookmarkEnd w:id="1"/>
      <w:r w:rsidR="00833346">
        <w:rPr>
          <w:noProof/>
        </w:rPr>
        <w:t>(</w:t>
      </w:r>
      <w:r w:rsidR="00966CFD">
        <w:rPr>
          <w:noProof/>
        </w:rPr>
        <w:t>‘</w:t>
      </w:r>
      <w:r w:rsidR="00833346">
        <w:rPr>
          <w:noProof/>
        </w:rPr>
        <w:t xml:space="preserve">the Agreement’) was signed on </w:t>
      </w:r>
      <w:r w:rsidR="00833346" w:rsidRPr="00F54C1A">
        <w:rPr>
          <w:noProof/>
        </w:rPr>
        <w:t>[XX.XX.XXXX]</w:t>
      </w:r>
      <w:r w:rsidR="00C2455E" w:rsidRPr="00F54C1A">
        <w:rPr>
          <w:noProof/>
        </w:rPr>
        <w:t>,</w:t>
      </w:r>
      <w:r w:rsidR="00833346">
        <w:rPr>
          <w:noProof/>
        </w:rPr>
        <w:t xml:space="preserve"> subject to its conclusion at a later date.</w:t>
      </w:r>
    </w:p>
    <w:p w:rsidR="006920B6" w:rsidRDefault="008C10E3" w:rsidP="008C10E3">
      <w:pPr>
        <w:pStyle w:val="ManualConsidrant"/>
        <w:rPr>
          <w:noProof/>
        </w:rPr>
      </w:pPr>
      <w:r w:rsidRPr="008C10E3">
        <w:rPr>
          <w:noProof/>
        </w:rPr>
        <w:t>(4)</w:t>
      </w:r>
      <w:r w:rsidRPr="008C10E3">
        <w:rPr>
          <w:noProof/>
        </w:rPr>
        <w:tab/>
      </w:r>
      <w:r w:rsidR="644839D4">
        <w:rPr>
          <w:noProof/>
        </w:rPr>
        <w:t>The Agreement enable</w:t>
      </w:r>
      <w:r w:rsidR="00C2455E">
        <w:rPr>
          <w:noProof/>
        </w:rPr>
        <w:t>s</w:t>
      </w:r>
      <w:r w:rsidR="644839D4">
        <w:rPr>
          <w:noProof/>
        </w:rPr>
        <w:t xml:space="preserve"> the transfer of personal data between Euro</w:t>
      </w:r>
      <w:r w:rsidR="21656315">
        <w:rPr>
          <w:noProof/>
        </w:rPr>
        <w:t>just</w:t>
      </w:r>
      <w:r w:rsidR="644839D4">
        <w:rPr>
          <w:noProof/>
        </w:rPr>
        <w:t xml:space="preserve"> and the competent authorities</w:t>
      </w:r>
      <w:r w:rsidR="00C2455E">
        <w:rPr>
          <w:noProof/>
        </w:rPr>
        <w:t xml:space="preserve"> of Lebanon</w:t>
      </w:r>
      <w:r w:rsidR="644839D4">
        <w:rPr>
          <w:noProof/>
        </w:rPr>
        <w:t xml:space="preserve">, with a view to fighting serious crime and terrorism and protecting the security of the Union and its </w:t>
      </w:r>
      <w:r w:rsidR="0F654D76">
        <w:rPr>
          <w:noProof/>
        </w:rPr>
        <w:t>citizens</w:t>
      </w:r>
      <w:r w:rsidR="644839D4">
        <w:rPr>
          <w:noProof/>
        </w:rPr>
        <w:t>.</w:t>
      </w:r>
    </w:p>
    <w:p w:rsidR="006920B6" w:rsidRDefault="008C10E3" w:rsidP="008C10E3">
      <w:pPr>
        <w:pStyle w:val="ManualConsidrant"/>
        <w:rPr>
          <w:noProof/>
        </w:rPr>
      </w:pPr>
      <w:r w:rsidRPr="008C10E3">
        <w:rPr>
          <w:noProof/>
        </w:rPr>
        <w:t>(5)</w:t>
      </w:r>
      <w:r w:rsidRPr="008C10E3">
        <w:rPr>
          <w:noProof/>
        </w:rPr>
        <w:tab/>
      </w:r>
      <w:r w:rsidR="644839D4">
        <w:rPr>
          <w:noProof/>
        </w:rPr>
        <w:t xml:space="preserve">The Agreement ensures full respect of </w:t>
      </w:r>
      <w:r w:rsidR="023B299E">
        <w:rPr>
          <w:noProof/>
        </w:rPr>
        <w:t xml:space="preserve">the </w:t>
      </w:r>
      <w:r w:rsidR="004B49D1">
        <w:rPr>
          <w:noProof/>
        </w:rPr>
        <w:t>Charter of F</w:t>
      </w:r>
      <w:r w:rsidR="00833346">
        <w:rPr>
          <w:noProof/>
        </w:rPr>
        <w:t>undament</w:t>
      </w:r>
      <w:r w:rsidR="008344D7">
        <w:rPr>
          <w:noProof/>
        </w:rPr>
        <w:t>al</w:t>
      </w:r>
      <w:r w:rsidR="00833346">
        <w:rPr>
          <w:noProof/>
        </w:rPr>
        <w:t xml:space="preserve"> </w:t>
      </w:r>
      <w:r w:rsidR="004B49D1">
        <w:rPr>
          <w:noProof/>
        </w:rPr>
        <w:t>R</w:t>
      </w:r>
      <w:r w:rsidR="00833346">
        <w:rPr>
          <w:noProof/>
        </w:rPr>
        <w:t>ights</w:t>
      </w:r>
      <w:r w:rsidR="004B49D1">
        <w:rPr>
          <w:rStyle w:val="FootnoteReference"/>
          <w:noProof/>
        </w:rPr>
        <w:footnoteReference w:id="17"/>
      </w:r>
      <w:r w:rsidR="644839D4">
        <w:rPr>
          <w:noProof/>
        </w:rPr>
        <w:t xml:space="preserve"> of the </w:t>
      </w:r>
      <w:r w:rsidR="004B49D1">
        <w:rPr>
          <w:noProof/>
        </w:rPr>
        <w:t xml:space="preserve">European </w:t>
      </w:r>
      <w:r w:rsidR="644839D4">
        <w:rPr>
          <w:noProof/>
        </w:rPr>
        <w:t>Union, in particular the right to respect for private and famil</w:t>
      </w:r>
      <w:r w:rsidR="00440EE3">
        <w:rPr>
          <w:noProof/>
        </w:rPr>
        <w:t>y life, recognised in Article 7</w:t>
      </w:r>
      <w:r w:rsidR="644839D4">
        <w:rPr>
          <w:noProof/>
        </w:rPr>
        <w:t>, the right to the protection of personal data, recognised in Article 8</w:t>
      </w:r>
      <w:r w:rsidR="2FFAF7FF">
        <w:rPr>
          <w:noProof/>
        </w:rPr>
        <w:t>,</w:t>
      </w:r>
      <w:r w:rsidR="644839D4">
        <w:rPr>
          <w:noProof/>
        </w:rPr>
        <w:t xml:space="preserve"> and the right to an effective remedy and a fair trial</w:t>
      </w:r>
      <w:r w:rsidR="00A947E3">
        <w:rPr>
          <w:noProof/>
        </w:rPr>
        <w:t>,</w:t>
      </w:r>
      <w:r w:rsidR="644839D4">
        <w:rPr>
          <w:noProof/>
        </w:rPr>
        <w:t xml:space="preserve"> recognised by Article 47</w:t>
      </w:r>
      <w:r w:rsidR="00833346">
        <w:rPr>
          <w:noProof/>
        </w:rPr>
        <w:t xml:space="preserve"> of the Charter</w:t>
      </w:r>
      <w:r w:rsidR="08F99EAE">
        <w:rPr>
          <w:noProof/>
        </w:rPr>
        <w:t>.</w:t>
      </w:r>
      <w:r w:rsidR="19B16F2D">
        <w:rPr>
          <w:noProof/>
        </w:rPr>
        <w:t xml:space="preserve"> In particular, </w:t>
      </w:r>
      <w:r w:rsidR="00C2455E">
        <w:rPr>
          <w:noProof/>
        </w:rPr>
        <w:t xml:space="preserve">the Agreement </w:t>
      </w:r>
      <w:r w:rsidR="19B16F2D">
        <w:rPr>
          <w:noProof/>
        </w:rPr>
        <w:t>includes adequate safeguards for the protection of personal data transferred by Eurojust under the Agreement.</w:t>
      </w:r>
    </w:p>
    <w:p w:rsidR="00833346" w:rsidRDefault="008C10E3" w:rsidP="008C10E3">
      <w:pPr>
        <w:pStyle w:val="ManualConsidrant"/>
        <w:rPr>
          <w:noProof/>
        </w:rPr>
      </w:pPr>
      <w:r w:rsidRPr="008C10E3">
        <w:rPr>
          <w:noProof/>
        </w:rPr>
        <w:t>(6)</w:t>
      </w:r>
      <w:r w:rsidRPr="008C10E3">
        <w:rPr>
          <w:noProof/>
        </w:rPr>
        <w:tab/>
      </w:r>
      <w:r w:rsidR="00833346" w:rsidRPr="00833346">
        <w:rPr>
          <w:noProof/>
        </w:rPr>
        <w:t xml:space="preserve">Pursuant to </w:t>
      </w:r>
      <w:r w:rsidR="00833346" w:rsidRPr="00A01418">
        <w:rPr>
          <w:noProof/>
        </w:rPr>
        <w:t>Article 218(7) TFEU, it is appropriate for the Council to authorise the Commission to approve on the Union’s behalf the modifications of Annexes</w:t>
      </w:r>
      <w:r w:rsidR="008344D7" w:rsidRPr="00A01418">
        <w:rPr>
          <w:noProof/>
        </w:rPr>
        <w:t xml:space="preserve"> I,</w:t>
      </w:r>
      <w:r w:rsidR="00833346" w:rsidRPr="00A01418">
        <w:rPr>
          <w:noProof/>
        </w:rPr>
        <w:t xml:space="preserve"> II</w:t>
      </w:r>
      <w:r w:rsidR="0019632C" w:rsidRPr="00A01418">
        <w:rPr>
          <w:noProof/>
        </w:rPr>
        <w:t xml:space="preserve"> and</w:t>
      </w:r>
      <w:r w:rsidR="00833346" w:rsidRPr="00A01418">
        <w:rPr>
          <w:noProof/>
        </w:rPr>
        <w:t xml:space="preserve"> III, to the Agreement</w:t>
      </w:r>
      <w:r w:rsidR="00C2455E" w:rsidRPr="00A01418">
        <w:rPr>
          <w:noProof/>
        </w:rPr>
        <w:t>,</w:t>
      </w:r>
      <w:r w:rsidR="00C2455E" w:rsidRPr="00F7558F">
        <w:rPr>
          <w:noProof/>
        </w:rPr>
        <w:t xml:space="preserve"> to authorise the Commission to agree modalities for the continued use and storage of the information that has already been communicated between the Parties pursuant to the Agreement and to authorise the Commission to update the information about the addressee of notifications.</w:t>
      </w:r>
    </w:p>
    <w:p w:rsidR="00F072E2" w:rsidRDefault="008C10E3" w:rsidP="008C10E3">
      <w:pPr>
        <w:pStyle w:val="ManualConsidrant"/>
        <w:rPr>
          <w:noProof/>
        </w:rPr>
      </w:pPr>
      <w:r w:rsidRPr="008C10E3">
        <w:rPr>
          <w:noProof/>
        </w:rPr>
        <w:t>(7)</w:t>
      </w:r>
      <w:r w:rsidRPr="008C10E3">
        <w:rPr>
          <w:noProof/>
        </w:rPr>
        <w:tab/>
      </w:r>
      <w:r w:rsidR="008344D7">
        <w:rPr>
          <w:noProof/>
        </w:rPr>
        <w:t xml:space="preserve">Ireland is bound by </w:t>
      </w:r>
      <w:r w:rsidR="00A8596C">
        <w:rPr>
          <w:noProof/>
        </w:rPr>
        <w:t>Regulation (EU) 2018/1727</w:t>
      </w:r>
      <w:r w:rsidR="008344D7">
        <w:rPr>
          <w:noProof/>
        </w:rPr>
        <w:t xml:space="preserve"> and is therefore taking part in the adoption of this Decision.</w:t>
      </w:r>
    </w:p>
    <w:p w:rsidR="006920B6" w:rsidRDefault="008C10E3" w:rsidP="008C10E3">
      <w:pPr>
        <w:pStyle w:val="ManualConsidrant"/>
        <w:rPr>
          <w:noProof/>
        </w:rPr>
      </w:pPr>
      <w:r w:rsidRPr="008C10E3">
        <w:rPr>
          <w:noProof/>
        </w:rPr>
        <w:t>(8)</w:t>
      </w:r>
      <w:r w:rsidRPr="008C10E3">
        <w:rPr>
          <w:noProof/>
        </w:rPr>
        <w:tab/>
      </w:r>
      <w:r w:rsidR="644839D4">
        <w:rPr>
          <w:noProof/>
        </w:rPr>
        <w:t>In accordance with Articles 1 and 2 of Protocol No 22 on the position of Denmark, annexed to the Treaty on European Union and to the Treaty on the Functioning of the European Union, Denmark is not taking part in the adoption of this Decision and is not bound by it or subject to its application</w:t>
      </w:r>
      <w:r w:rsidR="0B4AC891">
        <w:rPr>
          <w:noProof/>
        </w:rPr>
        <w:t>.</w:t>
      </w:r>
    </w:p>
    <w:p w:rsidR="00BC124D" w:rsidRDefault="008C10E3" w:rsidP="008C10E3">
      <w:pPr>
        <w:pStyle w:val="ManualConsidrant"/>
        <w:rPr>
          <w:noProof/>
        </w:rPr>
      </w:pPr>
      <w:r w:rsidRPr="008C10E3">
        <w:rPr>
          <w:noProof/>
        </w:rPr>
        <w:t>(9)</w:t>
      </w:r>
      <w:r w:rsidRPr="008C10E3">
        <w:rPr>
          <w:noProof/>
        </w:rPr>
        <w:tab/>
      </w:r>
      <w:r w:rsidR="00BC124D" w:rsidRPr="00BC124D">
        <w:rPr>
          <w:noProof/>
        </w:rPr>
        <w:t xml:space="preserve">The European Data Protection Supervisor delivered its Opinion </w:t>
      </w:r>
      <w:r w:rsidR="00BC124D" w:rsidRPr="00F54C1A">
        <w:rPr>
          <w:noProof/>
        </w:rPr>
        <w:t>[xxx]</w:t>
      </w:r>
      <w:r w:rsidR="00BC124D" w:rsidRPr="0056708E">
        <w:rPr>
          <w:noProof/>
        </w:rPr>
        <w:t xml:space="preserve"> on </w:t>
      </w:r>
      <w:r w:rsidR="00BC124D" w:rsidRPr="00F54C1A">
        <w:rPr>
          <w:noProof/>
        </w:rPr>
        <w:t>[xx</w:t>
      </w:r>
      <w:r w:rsidR="0056708E" w:rsidRPr="00F54C1A">
        <w:rPr>
          <w:noProof/>
        </w:rPr>
        <w:t>.</w:t>
      </w:r>
      <w:r w:rsidR="00BC124D" w:rsidRPr="00F54C1A">
        <w:rPr>
          <w:noProof/>
        </w:rPr>
        <w:t>xx</w:t>
      </w:r>
      <w:r w:rsidR="0056708E" w:rsidRPr="00F54C1A">
        <w:rPr>
          <w:noProof/>
        </w:rPr>
        <w:t>.xxxx</w:t>
      </w:r>
      <w:r w:rsidR="00BC124D" w:rsidRPr="00F54C1A">
        <w:rPr>
          <w:noProof/>
        </w:rPr>
        <w:t>].</w:t>
      </w:r>
    </w:p>
    <w:p w:rsidR="00B13F79" w:rsidRPr="00050BCF" w:rsidRDefault="008C10E3" w:rsidP="008C10E3">
      <w:pPr>
        <w:pStyle w:val="ManualConsidrant"/>
        <w:rPr>
          <w:noProof/>
        </w:rPr>
      </w:pPr>
      <w:r w:rsidRPr="008C10E3">
        <w:rPr>
          <w:noProof/>
        </w:rPr>
        <w:t>(10)</w:t>
      </w:r>
      <w:r w:rsidRPr="008C10E3">
        <w:rPr>
          <w:noProof/>
        </w:rPr>
        <w:tab/>
      </w:r>
      <w:r w:rsidR="08F99EAE" w:rsidRPr="00050BCF">
        <w:rPr>
          <w:noProof/>
        </w:rPr>
        <w:t xml:space="preserve">The Agreement should be </w:t>
      </w:r>
      <w:r w:rsidR="0019632C" w:rsidRPr="00050BCF">
        <w:rPr>
          <w:noProof/>
        </w:rPr>
        <w:t>approved</w:t>
      </w:r>
      <w:r w:rsidR="000B16F0" w:rsidRPr="00050BCF">
        <w:rPr>
          <w:noProof/>
        </w:rPr>
        <w:t xml:space="preserve"> on behalf of the Union</w:t>
      </w:r>
      <w:r w:rsidR="08F99EAE" w:rsidRPr="00050BCF">
        <w:rPr>
          <w:noProof/>
        </w:rPr>
        <w:t>,</w:t>
      </w:r>
    </w:p>
    <w:p w:rsidR="004B49D1" w:rsidRPr="00050BCF" w:rsidRDefault="008C10E3" w:rsidP="008C10E3">
      <w:pPr>
        <w:pStyle w:val="ManualConsidrant"/>
        <w:rPr>
          <w:noProof/>
        </w:rPr>
      </w:pPr>
      <w:r w:rsidRPr="008C10E3">
        <w:rPr>
          <w:noProof/>
        </w:rPr>
        <w:t>(11)</w:t>
      </w:r>
      <w:r w:rsidRPr="008C10E3">
        <w:rPr>
          <w:noProof/>
        </w:rPr>
        <w:tab/>
      </w:r>
      <w:r w:rsidR="004B49D1" w:rsidRPr="00050BCF">
        <w:rPr>
          <w:noProof/>
        </w:rPr>
        <w:t>In accordance with the Treaties, it is for the Commission to proceed, on behalf of the Union, to</w:t>
      </w:r>
      <w:r w:rsidR="00E20CE8" w:rsidRPr="00050BCF">
        <w:rPr>
          <w:noProof/>
        </w:rPr>
        <w:t xml:space="preserve"> </w:t>
      </w:r>
      <w:r w:rsidR="004B49D1" w:rsidRPr="00050BCF">
        <w:rPr>
          <w:noProof/>
        </w:rPr>
        <w:t>the notification provided for in Article 29(2) of the Agreement, in order to express the consent of the Union to be bound by the Agreement,</w:t>
      </w:r>
    </w:p>
    <w:p w:rsidR="00C11FA9" w:rsidRPr="00FD40BA" w:rsidRDefault="00C11FA9" w:rsidP="00A52F19">
      <w:pPr>
        <w:pStyle w:val="Formuledadoption"/>
        <w:rPr>
          <w:noProof/>
        </w:rPr>
      </w:pPr>
      <w:r w:rsidRPr="00FD40BA">
        <w:rPr>
          <w:noProof/>
        </w:rPr>
        <w:t xml:space="preserve">HAS ADOPTED THIS DECISION: </w:t>
      </w:r>
    </w:p>
    <w:p w:rsidR="00C11FA9" w:rsidRPr="00FD40BA" w:rsidRDefault="00C11FA9" w:rsidP="00A52F19">
      <w:pPr>
        <w:pStyle w:val="Titrearticle"/>
        <w:rPr>
          <w:noProof/>
        </w:rPr>
      </w:pPr>
      <w:r w:rsidRPr="00FD40BA">
        <w:rPr>
          <w:noProof/>
        </w:rPr>
        <w:t>Article 1</w:t>
      </w:r>
    </w:p>
    <w:p w:rsidR="00825C9B" w:rsidRDefault="00C70836" w:rsidP="00A52F19">
      <w:pPr>
        <w:rPr>
          <w:noProof/>
          <w:color w:val="000000" w:themeColor="text1"/>
        </w:rPr>
      </w:pPr>
      <w:r w:rsidRPr="00C11E78">
        <w:rPr>
          <w:noProof/>
        </w:rPr>
        <w:t xml:space="preserve">The </w:t>
      </w:r>
      <w:r w:rsidRPr="00871B4A">
        <w:rPr>
          <w:noProof/>
          <w:color w:val="000000" w:themeColor="text1"/>
        </w:rPr>
        <w:t xml:space="preserve">Agreement between the European Union and the Republic of </w:t>
      </w:r>
      <w:r w:rsidR="00250BEA">
        <w:rPr>
          <w:noProof/>
          <w:color w:val="000000" w:themeColor="text1"/>
        </w:rPr>
        <w:t>Lebanon</w:t>
      </w:r>
      <w:r w:rsidRPr="00871B4A">
        <w:rPr>
          <w:noProof/>
          <w:color w:val="000000" w:themeColor="text1"/>
        </w:rPr>
        <w:t xml:space="preserve"> on </w:t>
      </w:r>
      <w:r w:rsidR="00F83864">
        <w:rPr>
          <w:noProof/>
          <w:color w:val="000000" w:themeColor="text1"/>
        </w:rPr>
        <w:t xml:space="preserve">the </w:t>
      </w:r>
      <w:r w:rsidRPr="00871B4A">
        <w:rPr>
          <w:noProof/>
          <w:color w:val="000000" w:themeColor="text1"/>
        </w:rPr>
        <w:t xml:space="preserve">cooperation between the European Union Agency for Criminal Justice Cooperation (Eurojust) and the authorities </w:t>
      </w:r>
      <w:r w:rsidR="00F83864">
        <w:rPr>
          <w:noProof/>
          <w:color w:val="000000" w:themeColor="text1"/>
        </w:rPr>
        <w:t xml:space="preserve">of the Republic of Lebanon </w:t>
      </w:r>
      <w:r w:rsidR="00F83864" w:rsidRPr="00871B4A">
        <w:rPr>
          <w:noProof/>
          <w:color w:val="000000" w:themeColor="text1"/>
        </w:rPr>
        <w:t xml:space="preserve">competent </w:t>
      </w:r>
      <w:r w:rsidRPr="00871B4A">
        <w:rPr>
          <w:noProof/>
          <w:color w:val="000000" w:themeColor="text1"/>
        </w:rPr>
        <w:t xml:space="preserve">for judicial cooperation in criminal matters (‘the Agreement’) is hereby </w:t>
      </w:r>
      <w:r w:rsidR="00825C9B">
        <w:rPr>
          <w:noProof/>
          <w:color w:val="000000" w:themeColor="text1"/>
        </w:rPr>
        <w:t>approved</w:t>
      </w:r>
      <w:r w:rsidR="00825C9B" w:rsidRPr="00825C9B">
        <w:rPr>
          <w:noProof/>
        </w:rPr>
        <w:t xml:space="preserve"> </w:t>
      </w:r>
      <w:r w:rsidR="00825C9B" w:rsidRPr="00C11E78">
        <w:rPr>
          <w:noProof/>
        </w:rPr>
        <w:t>on behalf of the Union</w:t>
      </w:r>
      <w:r w:rsidRPr="00871B4A">
        <w:rPr>
          <w:noProof/>
          <w:color w:val="000000" w:themeColor="text1"/>
        </w:rPr>
        <w:t>.</w:t>
      </w:r>
    </w:p>
    <w:p w:rsidR="00C70836" w:rsidRPr="00871B4A" w:rsidRDefault="000B16F0" w:rsidP="00A52F19">
      <w:pPr>
        <w:rPr>
          <w:noProof/>
          <w:color w:val="000000" w:themeColor="text1"/>
        </w:rPr>
      </w:pPr>
      <w:r w:rsidRPr="000B16F0">
        <w:rPr>
          <w:noProof/>
          <w:color w:val="000000" w:themeColor="text1"/>
        </w:rPr>
        <w:t>The text of the Agreement is attached to this Decision.</w:t>
      </w:r>
    </w:p>
    <w:p w:rsidR="00C70836" w:rsidRDefault="00C70836" w:rsidP="00A52F19">
      <w:pPr>
        <w:pStyle w:val="Titrearticle"/>
        <w:keepNext w:val="0"/>
        <w:rPr>
          <w:noProof/>
        </w:rPr>
      </w:pPr>
      <w:r>
        <w:rPr>
          <w:noProof/>
        </w:rPr>
        <w:t xml:space="preserve">Article </w:t>
      </w:r>
      <w:r w:rsidR="002C1D40">
        <w:rPr>
          <w:noProof/>
        </w:rPr>
        <w:t>2</w:t>
      </w:r>
    </w:p>
    <w:p w:rsidR="004853F2" w:rsidRDefault="008C10E3" w:rsidP="008C10E3">
      <w:pPr>
        <w:pStyle w:val="ManualNumPar1"/>
        <w:rPr>
          <w:noProof/>
        </w:rPr>
      </w:pPr>
      <w:r w:rsidRPr="008C10E3">
        <w:rPr>
          <w:noProof/>
        </w:rPr>
        <w:t>1.</w:t>
      </w:r>
      <w:r w:rsidRPr="008C10E3">
        <w:rPr>
          <w:noProof/>
        </w:rPr>
        <w:tab/>
      </w:r>
      <w:r w:rsidR="004853F2" w:rsidRPr="004853F2">
        <w:rPr>
          <w:noProof/>
        </w:rPr>
        <w:t xml:space="preserve">For the purposes of Article </w:t>
      </w:r>
      <w:r w:rsidR="00BF615E">
        <w:rPr>
          <w:noProof/>
        </w:rPr>
        <w:t>30</w:t>
      </w:r>
      <w:r w:rsidR="004853F2" w:rsidRPr="004853F2">
        <w:rPr>
          <w:noProof/>
        </w:rPr>
        <w:t>(2) of the Agreement, the position to be taken on behalf of the Union on the modifications of Annexes</w:t>
      </w:r>
      <w:r w:rsidR="000B16F0">
        <w:rPr>
          <w:noProof/>
        </w:rPr>
        <w:t xml:space="preserve"> I,</w:t>
      </w:r>
      <w:r w:rsidR="004853F2" w:rsidRPr="004853F2">
        <w:rPr>
          <w:noProof/>
        </w:rPr>
        <w:t xml:space="preserve"> II</w:t>
      </w:r>
      <w:r w:rsidR="00BF615E">
        <w:rPr>
          <w:noProof/>
        </w:rPr>
        <w:t xml:space="preserve"> </w:t>
      </w:r>
      <w:r w:rsidR="004853F2" w:rsidRPr="004853F2">
        <w:rPr>
          <w:noProof/>
        </w:rPr>
        <w:t>and I</w:t>
      </w:r>
      <w:r w:rsidR="00BF615E">
        <w:rPr>
          <w:noProof/>
        </w:rPr>
        <w:t>II</w:t>
      </w:r>
      <w:r w:rsidR="004853F2" w:rsidRPr="004853F2">
        <w:rPr>
          <w:noProof/>
        </w:rPr>
        <w:t xml:space="preserve"> to the Agreement shall be approved by the Commission after consultation with the Council.</w:t>
      </w:r>
    </w:p>
    <w:p w:rsidR="0012167E" w:rsidRPr="000C26C9" w:rsidRDefault="008C10E3" w:rsidP="008C10E3">
      <w:pPr>
        <w:pStyle w:val="ManualNumPar1"/>
        <w:rPr>
          <w:noProof/>
        </w:rPr>
      </w:pPr>
      <w:r w:rsidRPr="008C10E3">
        <w:rPr>
          <w:noProof/>
        </w:rPr>
        <w:t>2.</w:t>
      </w:r>
      <w:r w:rsidRPr="008C10E3">
        <w:rPr>
          <w:noProof/>
        </w:rPr>
        <w:tab/>
      </w:r>
      <w:r w:rsidR="0012167E">
        <w:rPr>
          <w:noProof/>
        </w:rPr>
        <w:t xml:space="preserve">For the purpose of Article 33(3) of the Agreement, the Commission </w:t>
      </w:r>
      <w:r w:rsidR="00C2455E">
        <w:rPr>
          <w:noProof/>
        </w:rPr>
        <w:t xml:space="preserve">shall be authorised to </w:t>
      </w:r>
      <w:r w:rsidR="0012167E">
        <w:rPr>
          <w:noProof/>
        </w:rPr>
        <w:t xml:space="preserve">agree modalities for the </w:t>
      </w:r>
      <w:r w:rsidR="0012167E" w:rsidRPr="0012167E">
        <w:rPr>
          <w:noProof/>
        </w:rPr>
        <w:t xml:space="preserve">continued use and storage of the information </w:t>
      </w:r>
      <w:r w:rsidR="0012167E" w:rsidRPr="000C26C9">
        <w:rPr>
          <w:noProof/>
        </w:rPr>
        <w:t>that has already been communicated between the Parties pursuant to the Agreement.</w:t>
      </w:r>
    </w:p>
    <w:p w:rsidR="0012167E" w:rsidRPr="000C26C9" w:rsidRDefault="008C10E3" w:rsidP="008C10E3">
      <w:pPr>
        <w:pStyle w:val="ManualNumPar1"/>
        <w:rPr>
          <w:noProof/>
        </w:rPr>
      </w:pPr>
      <w:r w:rsidRPr="008C10E3">
        <w:rPr>
          <w:noProof/>
        </w:rPr>
        <w:t>3.</w:t>
      </w:r>
      <w:r w:rsidRPr="008C10E3">
        <w:rPr>
          <w:noProof/>
        </w:rPr>
        <w:tab/>
      </w:r>
      <w:r w:rsidR="0012167E" w:rsidRPr="000C26C9">
        <w:rPr>
          <w:noProof/>
        </w:rPr>
        <w:t>For the purpose</w:t>
      </w:r>
      <w:r w:rsidR="00732FC1" w:rsidRPr="000C26C9">
        <w:rPr>
          <w:noProof/>
        </w:rPr>
        <w:t xml:space="preserve"> </w:t>
      </w:r>
      <w:r w:rsidR="0012167E" w:rsidRPr="000C26C9">
        <w:rPr>
          <w:noProof/>
        </w:rPr>
        <w:t xml:space="preserve">of Article 34(2) of the Agreement, the Commission </w:t>
      </w:r>
      <w:r w:rsidR="005D0D2F" w:rsidRPr="00F7558F">
        <w:rPr>
          <w:noProof/>
        </w:rPr>
        <w:t xml:space="preserve">shall be authorised to update the information about the addressee of notifications </w:t>
      </w:r>
      <w:r w:rsidR="0012167E" w:rsidRPr="000C26C9">
        <w:rPr>
          <w:noProof/>
        </w:rPr>
        <w:t>after consultation with the Council.</w:t>
      </w:r>
    </w:p>
    <w:p w:rsidR="00732FC1" w:rsidRDefault="004853F2" w:rsidP="007E3C4C">
      <w:pPr>
        <w:pStyle w:val="Titrearticle"/>
        <w:rPr>
          <w:noProof/>
        </w:rPr>
      </w:pPr>
      <w:r>
        <w:rPr>
          <w:noProof/>
        </w:rPr>
        <w:t xml:space="preserve">Article </w:t>
      </w:r>
      <w:r w:rsidR="004B49D1">
        <w:rPr>
          <w:noProof/>
        </w:rPr>
        <w:t>3</w:t>
      </w:r>
    </w:p>
    <w:p w:rsidR="00871B4A" w:rsidRDefault="00871B4A" w:rsidP="00871B4A">
      <w:pPr>
        <w:rPr>
          <w:noProof/>
        </w:rPr>
      </w:pPr>
      <w:r w:rsidRPr="00871B4A">
        <w:rPr>
          <w:noProof/>
        </w:rPr>
        <w:t>This Decision shall enter into force on the date of its adoption.</w:t>
      </w:r>
    </w:p>
    <w:p w:rsidR="00C11FA9" w:rsidRDefault="00530B8B" w:rsidP="007E3C4C">
      <w:pPr>
        <w:pStyle w:val="Fait"/>
        <w:rPr>
          <w:noProof/>
        </w:rPr>
      </w:pPr>
      <w:r>
        <w:rPr>
          <w:noProof/>
        </w:rPr>
        <w:t>Done at Brussels,</w:t>
      </w:r>
    </w:p>
    <w:p w:rsidR="00C11FA9" w:rsidRDefault="00C11FA9" w:rsidP="007E3C4C">
      <w:pPr>
        <w:pStyle w:val="Institutionquisigne"/>
        <w:rPr>
          <w:noProof/>
        </w:rPr>
      </w:pPr>
      <w:r w:rsidRPr="00C11FA9">
        <w:rPr>
          <w:noProof/>
        </w:rPr>
        <w:tab/>
        <w:t>For the Council</w:t>
      </w:r>
    </w:p>
    <w:p w:rsidR="00C11FA9" w:rsidRPr="00C11FA9" w:rsidRDefault="00C11FA9" w:rsidP="00C11FA9">
      <w:pPr>
        <w:pStyle w:val="Personnequisigne"/>
        <w:rPr>
          <w:noProof/>
        </w:rPr>
      </w:pPr>
      <w:r w:rsidRPr="00C11FA9">
        <w:rPr>
          <w:noProof/>
        </w:rPr>
        <w:tab/>
        <w:t>The President</w:t>
      </w:r>
    </w:p>
    <w:sectPr w:rsidR="00C11FA9" w:rsidRPr="00C11FA9" w:rsidSect="002D22F6">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D42" w:rsidRDefault="00810D42" w:rsidP="00C11FA9">
      <w:pPr>
        <w:spacing w:before="0" w:after="0"/>
      </w:pPr>
      <w:r>
        <w:separator/>
      </w:r>
    </w:p>
  </w:endnote>
  <w:endnote w:type="continuationSeparator" w:id="0">
    <w:p w:rsidR="00810D42" w:rsidRDefault="00810D42" w:rsidP="00C11FA9">
      <w:pPr>
        <w:spacing w:before="0" w:after="0"/>
      </w:pPr>
      <w:r>
        <w:continuationSeparator/>
      </w:r>
    </w:p>
  </w:endnote>
  <w:endnote w:type="continuationNotice" w:id="1">
    <w:p w:rsidR="006E3443" w:rsidRDefault="006E344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Pr="002D22F6" w:rsidRDefault="002D22F6" w:rsidP="002D22F6">
    <w:pPr>
      <w:pStyle w:val="Footer"/>
      <w:rPr>
        <w:rFonts w:ascii="Arial" w:hAnsi="Arial" w:cs="Arial"/>
        <w:b/>
        <w:sz w:val="48"/>
      </w:rPr>
    </w:pPr>
    <w:r w:rsidRPr="002D22F6">
      <w:rPr>
        <w:rFonts w:ascii="Arial" w:hAnsi="Arial" w:cs="Arial"/>
        <w:b/>
        <w:sz w:val="48"/>
      </w:rPr>
      <w:t>EN</w:t>
    </w:r>
    <w:r w:rsidRPr="002D22F6">
      <w:rPr>
        <w:rFonts w:ascii="Arial" w:hAnsi="Arial" w:cs="Arial"/>
        <w:b/>
        <w:sz w:val="48"/>
      </w:rPr>
      <w:tab/>
    </w:r>
    <w:r w:rsidRPr="002D22F6">
      <w:rPr>
        <w:rFonts w:ascii="Arial" w:hAnsi="Arial" w:cs="Arial"/>
        <w:b/>
        <w:sz w:val="48"/>
      </w:rPr>
      <w:tab/>
    </w:r>
    <w:r w:rsidRPr="002D22F6">
      <w:tab/>
    </w:r>
    <w:r w:rsidRPr="002D22F6">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Pr="002D22F6" w:rsidRDefault="002D22F6" w:rsidP="002D22F6">
    <w:pPr>
      <w:pStyle w:val="Footer"/>
      <w:rPr>
        <w:rFonts w:ascii="Arial" w:hAnsi="Arial" w:cs="Arial"/>
        <w:b/>
        <w:sz w:val="48"/>
      </w:rPr>
    </w:pPr>
    <w:r w:rsidRPr="002D22F6">
      <w:rPr>
        <w:rFonts w:ascii="Arial" w:hAnsi="Arial" w:cs="Arial"/>
        <w:b/>
        <w:sz w:val="48"/>
      </w:rPr>
      <w:t>EN</w:t>
    </w:r>
    <w:r w:rsidRPr="002D22F6">
      <w:rPr>
        <w:rFonts w:ascii="Arial" w:hAnsi="Arial" w:cs="Arial"/>
        <w:b/>
        <w:sz w:val="48"/>
      </w:rPr>
      <w:tab/>
    </w:r>
    <w:r w:rsidRPr="002D22F6">
      <w:rPr>
        <w:rFonts w:ascii="Arial" w:hAnsi="Arial" w:cs="Arial"/>
        <w:b/>
        <w:sz w:val="48"/>
      </w:rPr>
      <w:tab/>
    </w:r>
    <w:r w:rsidRPr="002D22F6">
      <w:tab/>
    </w:r>
    <w:r w:rsidRPr="002D22F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Default="002D22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Pr="002D22F6" w:rsidRDefault="002D22F6" w:rsidP="002D22F6">
    <w:pPr>
      <w:pStyle w:val="Footer"/>
      <w:rPr>
        <w:rFonts w:ascii="Arial" w:hAnsi="Arial" w:cs="Arial"/>
        <w:b/>
        <w:sz w:val="48"/>
      </w:rPr>
    </w:pPr>
    <w:r w:rsidRPr="002D22F6">
      <w:rPr>
        <w:rFonts w:ascii="Arial" w:hAnsi="Arial" w:cs="Arial"/>
        <w:b/>
        <w:sz w:val="48"/>
      </w:rPr>
      <w:t>EN</w:t>
    </w:r>
    <w:r w:rsidRPr="002D22F6">
      <w:rPr>
        <w:rFonts w:ascii="Arial" w:hAnsi="Arial" w:cs="Arial"/>
        <w:b/>
        <w:sz w:val="48"/>
      </w:rPr>
      <w:tab/>
    </w:r>
    <w:r>
      <w:fldChar w:fldCharType="begin"/>
    </w:r>
    <w:r>
      <w:instrText xml:space="preserve"> PAGE  \* MERGEFORMAT </w:instrText>
    </w:r>
    <w:r>
      <w:fldChar w:fldCharType="separate"/>
    </w:r>
    <w:r w:rsidR="007E3C4C">
      <w:rPr>
        <w:noProof/>
      </w:rPr>
      <w:t>12</w:t>
    </w:r>
    <w:r>
      <w:fldChar w:fldCharType="end"/>
    </w:r>
    <w:r>
      <w:tab/>
    </w:r>
    <w:r w:rsidRPr="002D22F6">
      <w:tab/>
    </w:r>
    <w:r w:rsidRPr="002D22F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Default="002D22F6" w:rsidP="002D2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D42" w:rsidRDefault="00810D42" w:rsidP="00C11FA9">
      <w:pPr>
        <w:spacing w:before="0" w:after="0"/>
      </w:pPr>
      <w:r>
        <w:separator/>
      </w:r>
    </w:p>
  </w:footnote>
  <w:footnote w:type="continuationSeparator" w:id="0">
    <w:p w:rsidR="00810D42" w:rsidRDefault="00810D42" w:rsidP="00C11FA9">
      <w:pPr>
        <w:spacing w:before="0" w:after="0"/>
      </w:pPr>
      <w:r>
        <w:continuationSeparator/>
      </w:r>
    </w:p>
  </w:footnote>
  <w:footnote w:type="continuationNotice" w:id="1">
    <w:p w:rsidR="006E3443" w:rsidRDefault="006E3443">
      <w:pPr>
        <w:spacing w:before="0" w:after="0"/>
      </w:pPr>
    </w:p>
  </w:footnote>
  <w:footnote w:id="2">
    <w:p w:rsidR="00A52F19" w:rsidRPr="00001E5C" w:rsidRDefault="00A52F19">
      <w:pPr>
        <w:pStyle w:val="FootnoteText"/>
        <w:rPr>
          <w:lang w:val="en-US"/>
        </w:rPr>
      </w:pPr>
      <w:r w:rsidRPr="00C11E78">
        <w:rPr>
          <w:rStyle w:val="FootnoteReference"/>
        </w:rPr>
        <w:footnoteRef/>
      </w:r>
      <w:r w:rsidR="00C11E78">
        <w:rPr>
          <w:lang w:val="en-US"/>
        </w:rPr>
        <w:tab/>
      </w:r>
      <w:r w:rsidRPr="00001E5C">
        <w:rPr>
          <w:lang w:val="en-US"/>
        </w:rPr>
        <w:t>Regulation (EU) 2018/1727 of the European P</w:t>
      </w:r>
      <w:r>
        <w:rPr>
          <w:lang w:val="en-US"/>
        </w:rPr>
        <w:t>arliament and of the Council of 14 November 2018</w:t>
      </w:r>
      <w:r w:rsidRPr="00001E5C">
        <w:t>on the European Union Agency for Criminal Justice Cooperation (Eurojust), and replacing and repealing Council Decision 2002/187/JHA</w:t>
      </w:r>
      <w:r>
        <w:t xml:space="preserve">, </w:t>
      </w:r>
      <w:r w:rsidRPr="00001E5C">
        <w:t>OJ L 295, p. 138, 21.11.2018.</w:t>
      </w:r>
    </w:p>
  </w:footnote>
  <w:footnote w:id="3">
    <w:p w:rsidR="006D3752" w:rsidRPr="00F44693" w:rsidRDefault="006D3752">
      <w:pPr>
        <w:pStyle w:val="FootnoteText"/>
        <w:rPr>
          <w:lang w:val="en-IE"/>
        </w:rPr>
      </w:pPr>
      <w:r w:rsidRPr="004051D7">
        <w:rPr>
          <w:rStyle w:val="FootnoteReference"/>
        </w:rPr>
        <w:footnoteRef/>
      </w:r>
      <w:r w:rsidR="004051D7">
        <w:tab/>
      </w:r>
      <w:r>
        <w:t>OJ</w:t>
      </w:r>
      <w:r w:rsidRPr="00554C16">
        <w:t xml:space="preserve"> L 063, 06/03/2002 P. 0001 </w:t>
      </w:r>
      <w:r>
        <w:t>–</w:t>
      </w:r>
      <w:r w:rsidRPr="00554C16">
        <w:t xml:space="preserve"> 0013</w:t>
      </w:r>
      <w:r>
        <w:t>.</w:t>
      </w:r>
    </w:p>
  </w:footnote>
  <w:footnote w:id="4">
    <w:p w:rsidR="00991687" w:rsidRPr="007773A3" w:rsidRDefault="00991687" w:rsidP="00991687">
      <w:pPr>
        <w:pStyle w:val="FootnoteText"/>
      </w:pPr>
      <w:r w:rsidRPr="00C11E78">
        <w:rPr>
          <w:rStyle w:val="FootnoteReference"/>
        </w:rPr>
        <w:footnoteRef/>
      </w:r>
      <w:r w:rsidR="00C11E78">
        <w:rPr>
          <w:lang w:val="en-US"/>
        </w:rPr>
        <w:tab/>
      </w:r>
      <w:r w:rsidRPr="007773A3">
        <w:rPr>
          <w:lang w:val="en-US"/>
        </w:rPr>
        <w:t xml:space="preserve">Recommendation for a Council Decision </w:t>
      </w:r>
      <w:r w:rsidRPr="007773A3">
        <w:t>authorising the opening of negotiations for Agreements between the European Union and Algeria, Armenia, Bosnia and Herzegovina, Egypt, Israel, Jordan, Lebanon, Morocco, Tunisia and Turkey on cooperation between the European Union Agency for Criminal Justice Cooperation (Eurojust) and the competent authorities for judicial cooperation in criminal matters of those third States</w:t>
      </w:r>
      <w:r>
        <w:t>, 19 November 2020, COM(2020) 743 final.</w:t>
      </w:r>
    </w:p>
  </w:footnote>
  <w:footnote w:id="5">
    <w:p w:rsidR="00991687" w:rsidRPr="007773A3" w:rsidRDefault="00991687" w:rsidP="00991687">
      <w:pPr>
        <w:pStyle w:val="FootnoteText"/>
        <w:rPr>
          <w:lang w:val="en-US"/>
        </w:rPr>
      </w:pPr>
      <w:r w:rsidRPr="00C11E78">
        <w:rPr>
          <w:rStyle w:val="FootnoteReference"/>
        </w:rPr>
        <w:footnoteRef/>
      </w:r>
      <w:r w:rsidR="00C11E78">
        <w:tab/>
      </w:r>
      <w:r w:rsidRPr="007773A3">
        <w:t>Council Decision authorising the opening of negotiations for Agreements between the European Union and Algeria, Argentina, Armenia, Bosnia and Herzegovina, Brazil, Colombia, Egypt, Israel, Jordan, Lebanon, Morocco, Tunisia and Turkey on cooperation between the European Union Agency for Criminal Justice Cooperation (Eurojust) and the competent authorities for judicial cooperation in criminal matters of those third States</w:t>
      </w:r>
      <w:r>
        <w:t xml:space="preserve">, </w:t>
      </w:r>
      <w:r w:rsidR="00FA537D">
        <w:t>s</w:t>
      </w:r>
      <w:r w:rsidR="00A13093">
        <w:t xml:space="preserve">ee 6153/21 + ADD 1, Council Decision adopted by written procedure on 1 March 2021 (CM 1990/21). </w:t>
      </w:r>
    </w:p>
  </w:footnote>
  <w:footnote w:id="6">
    <w:p w:rsidR="004A2FD2" w:rsidRPr="00161244" w:rsidRDefault="004A2FD2" w:rsidP="004A2FD2">
      <w:pPr>
        <w:pStyle w:val="FootnoteText"/>
        <w:rPr>
          <w:lang w:val="pt-PT"/>
        </w:rPr>
      </w:pPr>
      <w:r w:rsidRPr="00C11E78">
        <w:rPr>
          <w:rStyle w:val="FootnoteReference"/>
        </w:rPr>
        <w:footnoteRef/>
      </w:r>
      <w:r w:rsidRPr="00161244">
        <w:rPr>
          <w:lang w:val="pt-PT"/>
        </w:rPr>
        <w:tab/>
      </w:r>
      <w:r w:rsidRPr="00081E67">
        <w:rPr>
          <w:lang w:val="pt-PT"/>
        </w:rPr>
        <w:t>R</w:t>
      </w:r>
      <w:r>
        <w:rPr>
          <w:lang w:val="pt-PT"/>
        </w:rPr>
        <w:t>egulation</w:t>
      </w:r>
      <w:r w:rsidRPr="00081E67">
        <w:rPr>
          <w:lang w:val="pt-PT"/>
        </w:rPr>
        <w:t xml:space="preserve"> (EU) 2023/2131 </w:t>
      </w:r>
      <w:r>
        <w:rPr>
          <w:lang w:val="pt-PT"/>
        </w:rPr>
        <w:t>of</w:t>
      </w:r>
      <w:r w:rsidRPr="00081E67">
        <w:rPr>
          <w:lang w:val="pt-PT"/>
        </w:rPr>
        <w:t xml:space="preserve"> </w:t>
      </w:r>
      <w:r>
        <w:rPr>
          <w:lang w:val="pt-PT"/>
        </w:rPr>
        <w:t>the</w:t>
      </w:r>
      <w:r w:rsidRPr="00081E67">
        <w:rPr>
          <w:lang w:val="pt-PT"/>
        </w:rPr>
        <w:t xml:space="preserve"> E</w:t>
      </w:r>
      <w:r>
        <w:rPr>
          <w:lang w:val="pt-PT"/>
        </w:rPr>
        <w:t>uropean</w:t>
      </w:r>
      <w:r w:rsidRPr="00081E67">
        <w:rPr>
          <w:lang w:val="pt-PT"/>
        </w:rPr>
        <w:t xml:space="preserve"> P</w:t>
      </w:r>
      <w:r>
        <w:rPr>
          <w:lang w:val="pt-PT"/>
        </w:rPr>
        <w:t>arliament</w:t>
      </w:r>
      <w:r w:rsidRPr="00081E67">
        <w:rPr>
          <w:lang w:val="pt-PT"/>
        </w:rPr>
        <w:t xml:space="preserve"> </w:t>
      </w:r>
      <w:r>
        <w:rPr>
          <w:lang w:val="pt-PT"/>
        </w:rPr>
        <w:t xml:space="preserve">and of the Council </w:t>
      </w:r>
      <w:r w:rsidRPr="00081E67">
        <w:rPr>
          <w:lang w:val="pt-PT"/>
        </w:rPr>
        <w:t>of 4 October 2023</w:t>
      </w:r>
      <w:r>
        <w:rPr>
          <w:lang w:val="pt-PT"/>
        </w:rPr>
        <w:t xml:space="preserve"> </w:t>
      </w:r>
      <w:r w:rsidRPr="00081E67">
        <w:rPr>
          <w:lang w:val="pt-PT"/>
        </w:rPr>
        <w:t>amending Regulation (EU) 2018/1727 of the European Parliament and of the Council and</w:t>
      </w:r>
      <w:r>
        <w:rPr>
          <w:lang w:val="pt-PT"/>
        </w:rPr>
        <w:t xml:space="preserve"> </w:t>
      </w:r>
      <w:r w:rsidRPr="00081E67">
        <w:rPr>
          <w:lang w:val="pt-PT"/>
        </w:rPr>
        <w:t>Council Decision 2005/671/JHA, as regards digital information exchange in terrorism cases</w:t>
      </w:r>
      <w:r w:rsidR="00C43168">
        <w:rPr>
          <w:lang w:val="pt-PT"/>
        </w:rPr>
        <w:t>.</w:t>
      </w:r>
      <w:r w:rsidRPr="00081E67">
        <w:rPr>
          <w:lang w:val="pt-PT"/>
        </w:rPr>
        <w:t xml:space="preserve"> </w:t>
      </w:r>
    </w:p>
  </w:footnote>
  <w:footnote w:id="7">
    <w:p w:rsidR="004A2FD2" w:rsidRPr="007B2265" w:rsidRDefault="004A2FD2" w:rsidP="004A2FD2">
      <w:pPr>
        <w:pStyle w:val="FootnoteText"/>
        <w:rPr>
          <w:lang w:val="pt-PT"/>
        </w:rPr>
      </w:pPr>
      <w:r w:rsidRPr="00C11E78">
        <w:rPr>
          <w:rStyle w:val="FootnoteReference"/>
        </w:rPr>
        <w:footnoteRef/>
      </w:r>
      <w:r w:rsidRPr="00161244">
        <w:rPr>
          <w:lang w:val="pt-PT"/>
        </w:rPr>
        <w:tab/>
      </w:r>
      <w:r w:rsidRPr="007B2265">
        <w:rPr>
          <w:lang w:val="pt-PT"/>
        </w:rPr>
        <w:t>Regulation (EU) 2022/838 of the European Parliament and of the Council of 30 May 2022 amending Regulation (EU) 2018/1727 as regards the preservation, analysis and storage at Eurojust of evidence relating to genocide, crimes against humanity, war crimes and related criminal offences</w:t>
      </w:r>
      <w:r w:rsidR="00C43168" w:rsidRPr="007B2265">
        <w:rPr>
          <w:lang w:val="pt-PT"/>
        </w:rPr>
        <w:t>.</w:t>
      </w:r>
    </w:p>
  </w:footnote>
  <w:footnote w:id="8">
    <w:p w:rsidR="00222C42" w:rsidRPr="00302ACE" w:rsidRDefault="00222C42">
      <w:pPr>
        <w:pStyle w:val="FootnoteText"/>
        <w:rPr>
          <w:lang w:val="en-IE"/>
        </w:rPr>
      </w:pPr>
      <w:r w:rsidRPr="002C718A">
        <w:rPr>
          <w:rStyle w:val="FootnoteReference"/>
        </w:rPr>
        <w:footnoteRef/>
      </w:r>
      <w:r w:rsidR="002C718A">
        <w:tab/>
      </w:r>
      <w:r w:rsidR="00C10796" w:rsidRPr="007B2265">
        <w:rPr>
          <w:lang w:val="pt-PT"/>
        </w:rPr>
        <w:t>Proposal for a Council Decision on the position to be adopted by the European Community and its Member States within the Association Council established by the Euro-Mediterranean Agreement establishing an association between the European Community and its Member States, of the one part, and the Republic of Lebanon, of the other part, with regard to the adoption of a Recommendation on the implementation of the EU-Lebanon Action Plan</w:t>
      </w:r>
      <w:r w:rsidR="007B2265">
        <w:rPr>
          <w:lang w:val="pt-PT"/>
        </w:rPr>
        <w:t xml:space="preserve">, </w:t>
      </w:r>
      <w:r w:rsidR="00C10796" w:rsidRPr="007B2265">
        <w:rPr>
          <w:lang w:val="pt-PT"/>
        </w:rPr>
        <w:t>COM/2006/0365 final</w:t>
      </w:r>
      <w:r w:rsidR="007B2265">
        <w:rPr>
          <w:lang w:val="pt-PT"/>
        </w:rPr>
        <w:t>.</w:t>
      </w:r>
    </w:p>
  </w:footnote>
  <w:footnote w:id="9">
    <w:p w:rsidR="00222C42" w:rsidRPr="00302ACE" w:rsidRDefault="00222C42">
      <w:pPr>
        <w:pStyle w:val="FootnoteText"/>
        <w:rPr>
          <w:lang w:val="en-IE"/>
        </w:rPr>
      </w:pPr>
      <w:r w:rsidRPr="002C718A">
        <w:rPr>
          <w:rStyle w:val="FootnoteReference"/>
        </w:rPr>
        <w:footnoteRef/>
      </w:r>
      <w:r w:rsidR="002C718A">
        <w:tab/>
      </w:r>
      <w:r w:rsidR="00C10796" w:rsidRPr="007B2265">
        <w:t>Decision No 1/2016 of the EU-Lebanon Association Council agreeing on EU-Lebanon Partnership Priorities</w:t>
      </w:r>
      <w:r w:rsidR="007B2265">
        <w:t>.</w:t>
      </w:r>
    </w:p>
  </w:footnote>
  <w:footnote w:id="10">
    <w:p w:rsidR="00222C42" w:rsidRPr="006C0A2D" w:rsidRDefault="00222C42" w:rsidP="002C718A">
      <w:pPr>
        <w:rPr>
          <w:lang w:val="fr-BE"/>
        </w:rPr>
      </w:pPr>
      <w:r w:rsidRPr="002C718A">
        <w:rPr>
          <w:rStyle w:val="FootnoteReference"/>
        </w:rPr>
        <w:footnoteRef/>
      </w:r>
      <w:r w:rsidR="002C718A">
        <w:tab/>
      </w:r>
      <w:hyperlink r:id="rId1" w:history="1">
        <w:r w:rsidR="00C10796" w:rsidRPr="007B2265">
          <w:rPr>
            <w:sz w:val="20"/>
            <w:szCs w:val="20"/>
            <w:lang w:val="pt-PT"/>
          </w:rPr>
          <w:t>Joint Communication: Renewed partnership with the Southern Neighbourhood - A new agenda for the Mediterranean</w:t>
        </w:r>
      </w:hyperlink>
      <w:r w:rsidR="00C10796" w:rsidRPr="007B2265">
        <w:rPr>
          <w:sz w:val="20"/>
          <w:szCs w:val="20"/>
          <w:lang w:val="pt-PT"/>
        </w:rPr>
        <w:t xml:space="preserve"> - JOIN(2021) 2 final</w:t>
      </w:r>
      <w:r w:rsidR="002973B8">
        <w:rPr>
          <w:sz w:val="20"/>
          <w:szCs w:val="20"/>
          <w:lang w:val="pt-PT"/>
        </w:rPr>
        <w:t>.</w:t>
      </w:r>
      <w:r w:rsidR="00F44693">
        <w:rPr>
          <w:sz w:val="20"/>
          <w:szCs w:val="20"/>
          <w:lang w:val="pt-PT"/>
        </w:rPr>
        <w:t xml:space="preserve"> </w:t>
      </w:r>
      <w:hyperlink r:id="rId2" w:history="1">
        <w:r w:rsidR="00F44693" w:rsidRPr="00F44693">
          <w:rPr>
            <w:rStyle w:val="Hyperlink"/>
            <w:sz w:val="20"/>
            <w:szCs w:val="20"/>
            <w:lang w:val="fr-BE"/>
          </w:rPr>
          <w:t>eur-lex.europa.eu/legal-content/EN/TXT/PDF/?uri=CELEX:52021JC0002&amp;qid=1718394456191</w:t>
        </w:r>
      </w:hyperlink>
    </w:p>
  </w:footnote>
  <w:footnote w:id="11">
    <w:p w:rsidR="00912659" w:rsidRPr="00F7558F" w:rsidRDefault="00912659" w:rsidP="00912659">
      <w:pPr>
        <w:pStyle w:val="FootnoteText"/>
        <w:rPr>
          <w:lang w:val="pt-PT"/>
        </w:rPr>
      </w:pPr>
      <w:r w:rsidRPr="00C11E78">
        <w:rPr>
          <w:rStyle w:val="FootnoteReference"/>
        </w:rPr>
        <w:footnoteRef/>
      </w:r>
      <w:r w:rsidR="00C11E78" w:rsidRPr="00F7558F">
        <w:rPr>
          <w:lang w:val="pt-PT"/>
        </w:rPr>
        <w:tab/>
      </w:r>
      <w:r w:rsidRPr="00F7558F">
        <w:rPr>
          <w:lang w:val="pt-PT"/>
        </w:rPr>
        <w:t>COM(2020) 605 final, 24.7.2020.</w:t>
      </w:r>
    </w:p>
  </w:footnote>
  <w:footnote w:id="12">
    <w:p w:rsidR="00912659" w:rsidRPr="00912659" w:rsidRDefault="00912659" w:rsidP="00912659">
      <w:pPr>
        <w:pStyle w:val="FootnoteText"/>
        <w:rPr>
          <w:lang w:val="en-US"/>
        </w:rPr>
      </w:pPr>
      <w:r>
        <w:rPr>
          <w:rStyle w:val="FootnoteReference"/>
        </w:rPr>
        <w:footnoteRef/>
      </w:r>
      <w:r w:rsidRPr="00912659">
        <w:rPr>
          <w:lang w:val="en-US"/>
        </w:rPr>
        <w:tab/>
      </w:r>
      <w:r w:rsidRPr="00912659">
        <w:t>COM(2020) 795 final, 9.12.2020.</w:t>
      </w:r>
    </w:p>
  </w:footnote>
  <w:footnote w:id="13">
    <w:p w:rsidR="00912659" w:rsidRPr="00912659" w:rsidRDefault="00912659" w:rsidP="00912659">
      <w:pPr>
        <w:pStyle w:val="FootnoteText"/>
        <w:rPr>
          <w:lang w:val="en-US"/>
        </w:rPr>
      </w:pPr>
      <w:r>
        <w:rPr>
          <w:rStyle w:val="FootnoteReference"/>
        </w:rPr>
        <w:footnoteRef/>
      </w:r>
      <w:r w:rsidRPr="00912659">
        <w:rPr>
          <w:lang w:val="en-US"/>
        </w:rPr>
        <w:tab/>
      </w:r>
      <w:r w:rsidRPr="00912659">
        <w:t>COM(2021) 170 final, 14.4.2021.</w:t>
      </w:r>
    </w:p>
  </w:footnote>
  <w:footnote w:id="14">
    <w:p w:rsidR="00CD684E" w:rsidRPr="00CD684E" w:rsidRDefault="00CD684E">
      <w:pPr>
        <w:pStyle w:val="FootnoteText"/>
        <w:rPr>
          <w:lang w:val="en-US"/>
        </w:rPr>
      </w:pPr>
      <w:r>
        <w:rPr>
          <w:rStyle w:val="FootnoteReference"/>
        </w:rPr>
        <w:footnoteRef/>
      </w:r>
      <w:r w:rsidRPr="00CD684E">
        <w:rPr>
          <w:lang w:val="en-US"/>
        </w:rPr>
        <w:tab/>
      </w:r>
      <w:r w:rsidRPr="00CD684E">
        <w:t>Council Decision 7047/20, 23 April 2020, and Council Document CM 2178/20, 13 May 2020.</w:t>
      </w:r>
    </w:p>
  </w:footnote>
  <w:footnote w:id="15">
    <w:p w:rsidR="00370A6C" w:rsidRPr="008860A7" w:rsidRDefault="00585930" w:rsidP="002C718A">
      <w:pPr>
        <w:pStyle w:val="FootnoteText"/>
        <w:rPr>
          <w:lang w:val="en-US"/>
        </w:rPr>
      </w:pPr>
      <w:r>
        <w:rPr>
          <w:rStyle w:val="FootnoteReference"/>
        </w:rPr>
        <w:footnoteRef/>
      </w:r>
      <w:r w:rsidR="00370A6C" w:rsidRPr="008860A7">
        <w:rPr>
          <w:lang w:val="en-US"/>
        </w:rPr>
        <w:tab/>
        <w:t>Regulation (EU) 2018/1727 of the European Parliament and of the Council of 14 November 2018</w:t>
      </w:r>
      <w:r w:rsidR="004B49D1">
        <w:rPr>
          <w:lang w:val="en-US"/>
        </w:rPr>
        <w:t xml:space="preserve"> </w:t>
      </w:r>
      <w:r w:rsidR="00370A6C" w:rsidRPr="008860A7">
        <w:t xml:space="preserve">on the European Union Agency for Criminal Justice Cooperation (Eurojust), and replacing and repealing Council Decision 2002/187/JHA, </w:t>
      </w:r>
      <w:r w:rsidR="00370A6C">
        <w:t>(</w:t>
      </w:r>
      <w:r w:rsidR="00370A6C" w:rsidRPr="008860A7">
        <w:t>OJ L 295, p. 138, 21.11.2018</w:t>
      </w:r>
      <w:r w:rsidR="00370A6C">
        <w:t>)</w:t>
      </w:r>
      <w:r w:rsidR="00370A6C" w:rsidRPr="008860A7">
        <w:t>.</w:t>
      </w:r>
    </w:p>
  </w:footnote>
  <w:footnote w:id="16">
    <w:p w:rsidR="00833346" w:rsidRPr="00F072E2" w:rsidRDefault="00833346">
      <w:pPr>
        <w:pStyle w:val="FootnoteText"/>
        <w:rPr>
          <w:lang w:val="en-IE"/>
        </w:rPr>
      </w:pPr>
      <w:r>
        <w:rPr>
          <w:rStyle w:val="FootnoteReference"/>
        </w:rPr>
        <w:footnoteRef/>
      </w:r>
      <w:r w:rsidRPr="00F072E2">
        <w:rPr>
          <w:lang w:val="en-IE"/>
        </w:rPr>
        <w:tab/>
        <w:t xml:space="preserve">Council Decision (EU) </w:t>
      </w:r>
      <w:r w:rsidR="00A13D02">
        <w:t>[XXXX]</w:t>
      </w:r>
      <w:r w:rsidRPr="00F072E2">
        <w:rPr>
          <w:lang w:val="en-IE"/>
        </w:rPr>
        <w:t xml:space="preserve"> </w:t>
      </w:r>
      <w:r w:rsidRPr="00A80B26">
        <w:rPr>
          <w:lang w:val="en-IE"/>
        </w:rPr>
        <w:t xml:space="preserve">of XX.XX.XXXX on the signing, on behalf of the Union, of </w:t>
      </w:r>
      <w:r w:rsidRPr="00A80B26">
        <w:t>the Agreement between the European Unio</w:t>
      </w:r>
      <w:r w:rsidR="002212B0" w:rsidRPr="00A80B26">
        <w:t>n</w:t>
      </w:r>
      <w:r w:rsidRPr="00A80B26">
        <w:t>, and</w:t>
      </w:r>
      <w:r w:rsidR="004A755E" w:rsidRPr="00A80B26">
        <w:t xml:space="preserve"> </w:t>
      </w:r>
      <w:r w:rsidR="00DC203A" w:rsidRPr="00A80B26">
        <w:t>Lebanon</w:t>
      </w:r>
      <w:r w:rsidRPr="00A80B26">
        <w:t xml:space="preserve">, on the cooperation between the European Union Agency for Criminal Justice Cooperation (Eurojust) and the competent authorities for judicial cooperation in criminal matters of the Republic of </w:t>
      </w:r>
      <w:r w:rsidR="00DC203A" w:rsidRPr="00A80B26">
        <w:t>Lebanon</w:t>
      </w:r>
      <w:r w:rsidRPr="00A80B26">
        <w:t xml:space="preserve"> (XXXX).</w:t>
      </w:r>
    </w:p>
  </w:footnote>
  <w:footnote w:id="17">
    <w:p w:rsidR="004B49D1" w:rsidRPr="00F072E2" w:rsidRDefault="004B49D1" w:rsidP="004B49D1">
      <w:pPr>
        <w:pStyle w:val="FootnoteText"/>
        <w:rPr>
          <w:lang w:val="en-IE"/>
        </w:rPr>
      </w:pPr>
      <w:r>
        <w:rPr>
          <w:rStyle w:val="FootnoteReference"/>
        </w:rPr>
        <w:footnoteRef/>
      </w:r>
      <w:r w:rsidRPr="00F072E2">
        <w:rPr>
          <w:lang w:val="en-IE"/>
        </w:rPr>
        <w:tab/>
        <w:t>O</w:t>
      </w:r>
      <w:r w:rsidRPr="00833346">
        <w:t>J C 326, 26.10.2012, p. 391.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Default="002D2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F6" w:rsidRDefault="002D2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A7E316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B6ADB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2A4BF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9185FF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F181BE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7462A8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7E826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2470411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5"/>
    <w:lvlOverride w:ilvl="0">
      <w:startOverride w:val="1"/>
    </w:lvlOverride>
  </w:num>
  <w:num w:numId="6">
    <w:abstractNumId w:val="22"/>
    <w:lvlOverride w:ilvl="0">
      <w:startOverride w:val="1"/>
    </w:lvlOverride>
  </w:num>
  <w:num w:numId="7">
    <w:abstractNumId w:val="6"/>
  </w:num>
  <w:num w:numId="8">
    <w:abstractNumId w:val="2"/>
  </w:num>
  <w:num w:numId="9">
    <w:abstractNumId w:val="1"/>
  </w:num>
  <w:num w:numId="10">
    <w:abstractNumId w:val="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2"/>
  </w:num>
  <w:num w:numId="14">
    <w:abstractNumId w:val="21"/>
  </w:num>
  <w:num w:numId="15">
    <w:abstractNumId w:val="11"/>
  </w:num>
  <w:num w:numId="16">
    <w:abstractNumId w:val="13"/>
  </w:num>
  <w:num w:numId="17">
    <w:abstractNumId w:val="14"/>
  </w:num>
  <w:num w:numId="18">
    <w:abstractNumId w:val="9"/>
  </w:num>
  <w:num w:numId="19">
    <w:abstractNumId w:val="20"/>
  </w:num>
  <w:num w:numId="20">
    <w:abstractNumId w:val="8"/>
  </w:num>
  <w:num w:numId="21">
    <w:abstractNumId w:val="15"/>
  </w:num>
  <w:num w:numId="22">
    <w:abstractNumId w:val="17"/>
  </w:num>
  <w:num w:numId="23">
    <w:abstractNumId w:val="18"/>
  </w:num>
  <w:num w:numId="24">
    <w:abstractNumId w:val="10"/>
  </w:num>
  <w:num w:numId="25">
    <w:abstractNumId w:val="16"/>
  </w:num>
  <w:num w:numId="26">
    <w:abstractNumId w:val="22"/>
  </w:num>
  <w:num w:numId="27">
    <w:abstractNumId w:val="19"/>
  </w:num>
  <w:num w:numId="28">
    <w:abstractNumId w:val="12"/>
  </w:num>
  <w:num w:numId="29">
    <w:abstractNumId w:val="21"/>
  </w:num>
  <w:num w:numId="30">
    <w:abstractNumId w:val="11"/>
  </w:num>
  <w:num w:numId="31">
    <w:abstractNumId w:val="13"/>
  </w:num>
  <w:num w:numId="32">
    <w:abstractNumId w:val="14"/>
  </w:num>
  <w:num w:numId="33">
    <w:abstractNumId w:val="9"/>
  </w:num>
  <w:num w:numId="34">
    <w:abstractNumId w:val="20"/>
  </w:num>
  <w:num w:numId="35">
    <w:abstractNumId w:val="8"/>
  </w:num>
  <w:num w:numId="36">
    <w:abstractNumId w:val="15"/>
  </w:num>
  <w:num w:numId="37">
    <w:abstractNumId w:val="17"/>
  </w:num>
  <w:num w:numId="38">
    <w:abstractNumId w:val="18"/>
  </w:num>
  <w:num w:numId="39">
    <w:abstractNumId w:val="10"/>
  </w:num>
  <w:num w:numId="40">
    <w:abstractNumId w:val="16"/>
  </w:num>
  <w:num w:numId="4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7-04 10:53:5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F95AE08-7487-4A28-8095-A12B3D8D52E0"/>
    <w:docVar w:name="LW_COVERPAGE_TYPE" w:val="1"/>
    <w:docVar w:name="LW_CROSSREFERENCE" w:val="&lt;UNUSED&gt;"/>
    <w:docVar w:name="LW_DocType" w:val="COM"/>
    <w:docVar w:name="LW_EMISSION" w:val="10.7.2024"/>
    <w:docVar w:name="LW_EMISSION_ISODATE" w:val="2024-07-10"/>
    <w:docVar w:name="LW_EMISSION_LOCATION" w:val="BRX"/>
    <w:docVar w:name="LW_EMISSION_PREFIX" w:val="Brussels, "/>
    <w:docVar w:name="LW_EMISSION_SUFFIX" w:val=" "/>
    <w:docVar w:name="LW_ID_DOCMODEL" w:val="SJ-019"/>
    <w:docVar w:name="LW_ID_DOCSIGNATURE" w:val="SJ-019"/>
    <w:docVar w:name="LW_ID_DOCSTRUCTURE" w:val="COM/PL/ORG"/>
    <w:docVar w:name="LW_ID_DOCTYPE" w:val="SJ-019"/>
    <w:docVar w:name="LW_ID_STATUT" w:val="SJ-019"/>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155"/>
    <w:docVar w:name="LW_REF.II.NEW.CP_YEAR" w:val="2024"/>
    <w:docVar w:name="LW_REF.INST.NEW" w:val="COM"/>
    <w:docVar w:name="LW_REF.INST.NEW_ADOPTED" w:val="final"/>
    <w:docVar w:name="LW_REF.INST.NEW_TEXT" w:val="(2024) 28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conclusion of an Agreement between the European Union and the Republic of Lebanon on the cooperation between the European Union Agency for Criminal Justice Cooperation (Eurojust) and the authorities of the Republic of Lebanon competent for judicial cooperation in criminal matters"/>
    <w:docVar w:name="LW_TYPE.DOC.CP" w:val="COUNCIL DECISION"/>
    <w:docVar w:name="LwApiVersions" w:val="LW4CoDe 1.24.5.0; LW 9.0, Build 20240221"/>
  </w:docVars>
  <w:rsids>
    <w:rsidRoot w:val="00C11FA9"/>
    <w:rsid w:val="00001E5C"/>
    <w:rsid w:val="00002B80"/>
    <w:rsid w:val="00005C64"/>
    <w:rsid w:val="00007945"/>
    <w:rsid w:val="000145E9"/>
    <w:rsid w:val="00036445"/>
    <w:rsid w:val="00044771"/>
    <w:rsid w:val="0004571C"/>
    <w:rsid w:val="00050BCF"/>
    <w:rsid w:val="00057F9A"/>
    <w:rsid w:val="000806AB"/>
    <w:rsid w:val="00082F52"/>
    <w:rsid w:val="00093179"/>
    <w:rsid w:val="0009336C"/>
    <w:rsid w:val="000938CB"/>
    <w:rsid w:val="00094767"/>
    <w:rsid w:val="000A33CF"/>
    <w:rsid w:val="000A5C4F"/>
    <w:rsid w:val="000B16F0"/>
    <w:rsid w:val="000C26C9"/>
    <w:rsid w:val="000F1E08"/>
    <w:rsid w:val="000F2B8C"/>
    <w:rsid w:val="000F40BD"/>
    <w:rsid w:val="001065F5"/>
    <w:rsid w:val="001113AA"/>
    <w:rsid w:val="001136C9"/>
    <w:rsid w:val="0012167E"/>
    <w:rsid w:val="00123173"/>
    <w:rsid w:val="001238EF"/>
    <w:rsid w:val="001258D1"/>
    <w:rsid w:val="001331A5"/>
    <w:rsid w:val="001529E9"/>
    <w:rsid w:val="00156D05"/>
    <w:rsid w:val="00166023"/>
    <w:rsid w:val="00166668"/>
    <w:rsid w:val="00182AD0"/>
    <w:rsid w:val="00191570"/>
    <w:rsid w:val="0019632C"/>
    <w:rsid w:val="001964E9"/>
    <w:rsid w:val="00197613"/>
    <w:rsid w:val="001B63EE"/>
    <w:rsid w:val="001C5337"/>
    <w:rsid w:val="001E25AC"/>
    <w:rsid w:val="001F140D"/>
    <w:rsid w:val="00205041"/>
    <w:rsid w:val="002212B0"/>
    <w:rsid w:val="00222C42"/>
    <w:rsid w:val="00233DC7"/>
    <w:rsid w:val="00242A0D"/>
    <w:rsid w:val="002437EF"/>
    <w:rsid w:val="00247779"/>
    <w:rsid w:val="00250BEA"/>
    <w:rsid w:val="00285BEE"/>
    <w:rsid w:val="00286216"/>
    <w:rsid w:val="00291C54"/>
    <w:rsid w:val="0029533F"/>
    <w:rsid w:val="002973B8"/>
    <w:rsid w:val="002A2013"/>
    <w:rsid w:val="002B30AF"/>
    <w:rsid w:val="002C1D40"/>
    <w:rsid w:val="002C718A"/>
    <w:rsid w:val="002C747B"/>
    <w:rsid w:val="002D1F69"/>
    <w:rsid w:val="002D22F6"/>
    <w:rsid w:val="002D4C63"/>
    <w:rsid w:val="002F5343"/>
    <w:rsid w:val="00302ACE"/>
    <w:rsid w:val="00316035"/>
    <w:rsid w:val="0031742C"/>
    <w:rsid w:val="00322449"/>
    <w:rsid w:val="00322586"/>
    <w:rsid w:val="00323672"/>
    <w:rsid w:val="00326055"/>
    <w:rsid w:val="00331080"/>
    <w:rsid w:val="0033344A"/>
    <w:rsid w:val="00350E10"/>
    <w:rsid w:val="003516A9"/>
    <w:rsid w:val="00362E60"/>
    <w:rsid w:val="00365324"/>
    <w:rsid w:val="00366F29"/>
    <w:rsid w:val="00370A6C"/>
    <w:rsid w:val="00376D68"/>
    <w:rsid w:val="003867D8"/>
    <w:rsid w:val="00395DC7"/>
    <w:rsid w:val="003D450F"/>
    <w:rsid w:val="003E2909"/>
    <w:rsid w:val="003E53D7"/>
    <w:rsid w:val="003E5B2D"/>
    <w:rsid w:val="003E7E60"/>
    <w:rsid w:val="004051D7"/>
    <w:rsid w:val="00410341"/>
    <w:rsid w:val="004233DA"/>
    <w:rsid w:val="0042648E"/>
    <w:rsid w:val="00435E87"/>
    <w:rsid w:val="00440234"/>
    <w:rsid w:val="00440EE3"/>
    <w:rsid w:val="00442B73"/>
    <w:rsid w:val="00475E4B"/>
    <w:rsid w:val="00484B8A"/>
    <w:rsid w:val="004853F2"/>
    <w:rsid w:val="004857D0"/>
    <w:rsid w:val="004936D2"/>
    <w:rsid w:val="00497749"/>
    <w:rsid w:val="004A2FD2"/>
    <w:rsid w:val="004A755E"/>
    <w:rsid w:val="004B49D1"/>
    <w:rsid w:val="004C375E"/>
    <w:rsid w:val="004C67B5"/>
    <w:rsid w:val="004D0AA1"/>
    <w:rsid w:val="004E61F3"/>
    <w:rsid w:val="004F45C6"/>
    <w:rsid w:val="00502416"/>
    <w:rsid w:val="00506652"/>
    <w:rsid w:val="00525D45"/>
    <w:rsid w:val="00530B8B"/>
    <w:rsid w:val="00541180"/>
    <w:rsid w:val="00542CE1"/>
    <w:rsid w:val="00552AA0"/>
    <w:rsid w:val="0056708E"/>
    <w:rsid w:val="0057017D"/>
    <w:rsid w:val="005706FC"/>
    <w:rsid w:val="00571AB0"/>
    <w:rsid w:val="00585050"/>
    <w:rsid w:val="00585930"/>
    <w:rsid w:val="00587D1B"/>
    <w:rsid w:val="0059212A"/>
    <w:rsid w:val="005B1EB6"/>
    <w:rsid w:val="005B49ED"/>
    <w:rsid w:val="005C2A54"/>
    <w:rsid w:val="005D0D2F"/>
    <w:rsid w:val="005E32A0"/>
    <w:rsid w:val="005E43C8"/>
    <w:rsid w:val="005F20A8"/>
    <w:rsid w:val="005F6193"/>
    <w:rsid w:val="00604C20"/>
    <w:rsid w:val="00604E83"/>
    <w:rsid w:val="00607168"/>
    <w:rsid w:val="0060788A"/>
    <w:rsid w:val="00615A14"/>
    <w:rsid w:val="00620245"/>
    <w:rsid w:val="0063390F"/>
    <w:rsid w:val="00661CA0"/>
    <w:rsid w:val="0066386E"/>
    <w:rsid w:val="0067178C"/>
    <w:rsid w:val="00672D84"/>
    <w:rsid w:val="00691F19"/>
    <w:rsid w:val="006920B6"/>
    <w:rsid w:val="00693351"/>
    <w:rsid w:val="006A4365"/>
    <w:rsid w:val="006C0A2D"/>
    <w:rsid w:val="006C4373"/>
    <w:rsid w:val="006D3752"/>
    <w:rsid w:val="006E3443"/>
    <w:rsid w:val="00712040"/>
    <w:rsid w:val="00712D84"/>
    <w:rsid w:val="00715796"/>
    <w:rsid w:val="00732FC1"/>
    <w:rsid w:val="0074531A"/>
    <w:rsid w:val="00746573"/>
    <w:rsid w:val="00753FFB"/>
    <w:rsid w:val="007557B8"/>
    <w:rsid w:val="007577DD"/>
    <w:rsid w:val="0076748E"/>
    <w:rsid w:val="00773331"/>
    <w:rsid w:val="007773A3"/>
    <w:rsid w:val="007932EF"/>
    <w:rsid w:val="0079512F"/>
    <w:rsid w:val="00796CE7"/>
    <w:rsid w:val="007A4099"/>
    <w:rsid w:val="007B2265"/>
    <w:rsid w:val="007B4FFD"/>
    <w:rsid w:val="007C1055"/>
    <w:rsid w:val="007D10F8"/>
    <w:rsid w:val="007E05B0"/>
    <w:rsid w:val="007E3C4C"/>
    <w:rsid w:val="008052BF"/>
    <w:rsid w:val="00810D42"/>
    <w:rsid w:val="00825C9B"/>
    <w:rsid w:val="00833346"/>
    <w:rsid w:val="008344D7"/>
    <w:rsid w:val="00846AB4"/>
    <w:rsid w:val="00847B6B"/>
    <w:rsid w:val="00853975"/>
    <w:rsid w:val="00870960"/>
    <w:rsid w:val="00871B4A"/>
    <w:rsid w:val="00874D22"/>
    <w:rsid w:val="008860A7"/>
    <w:rsid w:val="008864FB"/>
    <w:rsid w:val="008A2914"/>
    <w:rsid w:val="008B53CC"/>
    <w:rsid w:val="008C10E3"/>
    <w:rsid w:val="008D3997"/>
    <w:rsid w:val="008D7693"/>
    <w:rsid w:val="008E0E8C"/>
    <w:rsid w:val="008E251D"/>
    <w:rsid w:val="008E4D8E"/>
    <w:rsid w:val="00912659"/>
    <w:rsid w:val="0092171C"/>
    <w:rsid w:val="009245FA"/>
    <w:rsid w:val="00931531"/>
    <w:rsid w:val="00935B4A"/>
    <w:rsid w:val="00955738"/>
    <w:rsid w:val="009561CC"/>
    <w:rsid w:val="00966CFD"/>
    <w:rsid w:val="00970FF5"/>
    <w:rsid w:val="00991687"/>
    <w:rsid w:val="009B3E7D"/>
    <w:rsid w:val="009B7300"/>
    <w:rsid w:val="009C0F6D"/>
    <w:rsid w:val="009C1C07"/>
    <w:rsid w:val="009D075A"/>
    <w:rsid w:val="009D1B25"/>
    <w:rsid w:val="009D2327"/>
    <w:rsid w:val="009D60F8"/>
    <w:rsid w:val="009E4023"/>
    <w:rsid w:val="009E5643"/>
    <w:rsid w:val="009F2208"/>
    <w:rsid w:val="009F4D76"/>
    <w:rsid w:val="00A01418"/>
    <w:rsid w:val="00A02696"/>
    <w:rsid w:val="00A03BEA"/>
    <w:rsid w:val="00A13093"/>
    <w:rsid w:val="00A13D02"/>
    <w:rsid w:val="00A168C8"/>
    <w:rsid w:val="00A2158B"/>
    <w:rsid w:val="00A23887"/>
    <w:rsid w:val="00A3453B"/>
    <w:rsid w:val="00A42BDA"/>
    <w:rsid w:val="00A503BD"/>
    <w:rsid w:val="00A51131"/>
    <w:rsid w:val="00A52F19"/>
    <w:rsid w:val="00A61A7D"/>
    <w:rsid w:val="00A7356A"/>
    <w:rsid w:val="00A80B26"/>
    <w:rsid w:val="00A8596C"/>
    <w:rsid w:val="00A947E3"/>
    <w:rsid w:val="00AB2544"/>
    <w:rsid w:val="00AD0092"/>
    <w:rsid w:val="00AD0162"/>
    <w:rsid w:val="00AF08A8"/>
    <w:rsid w:val="00AF7A49"/>
    <w:rsid w:val="00B06065"/>
    <w:rsid w:val="00B06F42"/>
    <w:rsid w:val="00B13F79"/>
    <w:rsid w:val="00B22DC3"/>
    <w:rsid w:val="00B477E5"/>
    <w:rsid w:val="00B52C8D"/>
    <w:rsid w:val="00B55224"/>
    <w:rsid w:val="00B6039A"/>
    <w:rsid w:val="00B61E1C"/>
    <w:rsid w:val="00B856E0"/>
    <w:rsid w:val="00B9527F"/>
    <w:rsid w:val="00BA7DC3"/>
    <w:rsid w:val="00BC124D"/>
    <w:rsid w:val="00BC5D00"/>
    <w:rsid w:val="00BC7E9D"/>
    <w:rsid w:val="00BD3DC7"/>
    <w:rsid w:val="00BD53DD"/>
    <w:rsid w:val="00BF56E6"/>
    <w:rsid w:val="00BF615E"/>
    <w:rsid w:val="00C10796"/>
    <w:rsid w:val="00C11E78"/>
    <w:rsid w:val="00C11FA9"/>
    <w:rsid w:val="00C12301"/>
    <w:rsid w:val="00C2455E"/>
    <w:rsid w:val="00C43168"/>
    <w:rsid w:val="00C53376"/>
    <w:rsid w:val="00C54C55"/>
    <w:rsid w:val="00C62289"/>
    <w:rsid w:val="00C70836"/>
    <w:rsid w:val="00CA0100"/>
    <w:rsid w:val="00CD017C"/>
    <w:rsid w:val="00CD4C39"/>
    <w:rsid w:val="00CD684E"/>
    <w:rsid w:val="00CE0FE2"/>
    <w:rsid w:val="00CE1284"/>
    <w:rsid w:val="00CE7B52"/>
    <w:rsid w:val="00D20381"/>
    <w:rsid w:val="00D5090B"/>
    <w:rsid w:val="00D535F7"/>
    <w:rsid w:val="00D626D5"/>
    <w:rsid w:val="00D72E34"/>
    <w:rsid w:val="00D75E99"/>
    <w:rsid w:val="00D81AE0"/>
    <w:rsid w:val="00D91778"/>
    <w:rsid w:val="00D96DAB"/>
    <w:rsid w:val="00DB6E25"/>
    <w:rsid w:val="00DC203A"/>
    <w:rsid w:val="00DC2182"/>
    <w:rsid w:val="00DC475B"/>
    <w:rsid w:val="00DD0996"/>
    <w:rsid w:val="00DF4A2F"/>
    <w:rsid w:val="00DF4FF4"/>
    <w:rsid w:val="00E00FF0"/>
    <w:rsid w:val="00E1233B"/>
    <w:rsid w:val="00E20CE8"/>
    <w:rsid w:val="00E30D18"/>
    <w:rsid w:val="00E326C3"/>
    <w:rsid w:val="00E63153"/>
    <w:rsid w:val="00E67E02"/>
    <w:rsid w:val="00E73F37"/>
    <w:rsid w:val="00E92866"/>
    <w:rsid w:val="00E929AC"/>
    <w:rsid w:val="00E96BD2"/>
    <w:rsid w:val="00EA5CF2"/>
    <w:rsid w:val="00EA7FE6"/>
    <w:rsid w:val="00EC48E5"/>
    <w:rsid w:val="00EC7F7B"/>
    <w:rsid w:val="00EE347C"/>
    <w:rsid w:val="00EF5FC0"/>
    <w:rsid w:val="00F0093C"/>
    <w:rsid w:val="00F03016"/>
    <w:rsid w:val="00F0531E"/>
    <w:rsid w:val="00F072E2"/>
    <w:rsid w:val="00F34249"/>
    <w:rsid w:val="00F44693"/>
    <w:rsid w:val="00F54C1A"/>
    <w:rsid w:val="00F7307F"/>
    <w:rsid w:val="00F7558F"/>
    <w:rsid w:val="00F8327B"/>
    <w:rsid w:val="00F83864"/>
    <w:rsid w:val="00F86F0E"/>
    <w:rsid w:val="00FA537D"/>
    <w:rsid w:val="00FB61B8"/>
    <w:rsid w:val="00FC38F8"/>
    <w:rsid w:val="00FE5111"/>
    <w:rsid w:val="00FE567A"/>
    <w:rsid w:val="01E516BF"/>
    <w:rsid w:val="023B299E"/>
    <w:rsid w:val="023F2F78"/>
    <w:rsid w:val="02C300BC"/>
    <w:rsid w:val="02D0EC2C"/>
    <w:rsid w:val="035F617B"/>
    <w:rsid w:val="03F5EC94"/>
    <w:rsid w:val="03FFA901"/>
    <w:rsid w:val="046EAA33"/>
    <w:rsid w:val="0491D4E1"/>
    <w:rsid w:val="052FE10D"/>
    <w:rsid w:val="05A983FC"/>
    <w:rsid w:val="05B3E04B"/>
    <w:rsid w:val="0615B686"/>
    <w:rsid w:val="065F44EF"/>
    <w:rsid w:val="068E82A6"/>
    <w:rsid w:val="06CBB16E"/>
    <w:rsid w:val="06CCFA53"/>
    <w:rsid w:val="07533DB5"/>
    <w:rsid w:val="07EDB4C4"/>
    <w:rsid w:val="080A5401"/>
    <w:rsid w:val="08F99EAE"/>
    <w:rsid w:val="09739319"/>
    <w:rsid w:val="09987C29"/>
    <w:rsid w:val="0A04EF50"/>
    <w:rsid w:val="0A50E063"/>
    <w:rsid w:val="0A5A30AF"/>
    <w:rsid w:val="0B4AC891"/>
    <w:rsid w:val="0B7900E7"/>
    <w:rsid w:val="0B937B24"/>
    <w:rsid w:val="0C502EC0"/>
    <w:rsid w:val="0CE96B90"/>
    <w:rsid w:val="0D25140B"/>
    <w:rsid w:val="0D3F8E48"/>
    <w:rsid w:val="0D900ADE"/>
    <w:rsid w:val="0DEFCF94"/>
    <w:rsid w:val="0E76DE66"/>
    <w:rsid w:val="0F654D76"/>
    <w:rsid w:val="0F78A9E8"/>
    <w:rsid w:val="10C334C5"/>
    <w:rsid w:val="112689A8"/>
    <w:rsid w:val="11C92EE1"/>
    <w:rsid w:val="12240BA5"/>
    <w:rsid w:val="124E121F"/>
    <w:rsid w:val="125CA59D"/>
    <w:rsid w:val="129D4BDB"/>
    <w:rsid w:val="12D7C2C5"/>
    <w:rsid w:val="12EC25D9"/>
    <w:rsid w:val="1337B311"/>
    <w:rsid w:val="133FA085"/>
    <w:rsid w:val="144AF65A"/>
    <w:rsid w:val="14567A4D"/>
    <w:rsid w:val="14AD463A"/>
    <w:rsid w:val="15095958"/>
    <w:rsid w:val="160F6387"/>
    <w:rsid w:val="16269E3E"/>
    <w:rsid w:val="16E20809"/>
    <w:rsid w:val="16EB9D47"/>
    <w:rsid w:val="17182DCF"/>
    <w:rsid w:val="181C8758"/>
    <w:rsid w:val="18B031B2"/>
    <w:rsid w:val="18C85E04"/>
    <w:rsid w:val="195B0F14"/>
    <w:rsid w:val="19B16F2D"/>
    <w:rsid w:val="19B62DD9"/>
    <w:rsid w:val="1B299C99"/>
    <w:rsid w:val="1B77131B"/>
    <w:rsid w:val="1C05E76C"/>
    <w:rsid w:val="1D9BCF27"/>
    <w:rsid w:val="1ED61885"/>
    <w:rsid w:val="1F3D882E"/>
    <w:rsid w:val="2133ECF5"/>
    <w:rsid w:val="21656315"/>
    <w:rsid w:val="2367ED66"/>
    <w:rsid w:val="240B10AB"/>
    <w:rsid w:val="2502084F"/>
    <w:rsid w:val="258F0C35"/>
    <w:rsid w:val="262CFD43"/>
    <w:rsid w:val="27F58404"/>
    <w:rsid w:val="28F9C898"/>
    <w:rsid w:val="2925D9D0"/>
    <w:rsid w:val="2BC2EACC"/>
    <w:rsid w:val="2BDA397E"/>
    <w:rsid w:val="2C24D835"/>
    <w:rsid w:val="2C4BDE93"/>
    <w:rsid w:val="2C772A92"/>
    <w:rsid w:val="2DFE3FEE"/>
    <w:rsid w:val="2E3886BC"/>
    <w:rsid w:val="2E4CE9D0"/>
    <w:rsid w:val="2EAD9504"/>
    <w:rsid w:val="2F377298"/>
    <w:rsid w:val="2F41C3CD"/>
    <w:rsid w:val="2F5C78F7"/>
    <w:rsid w:val="2FBE14DD"/>
    <w:rsid w:val="2FD4571D"/>
    <w:rsid w:val="2FFAF7FF"/>
    <w:rsid w:val="3067E616"/>
    <w:rsid w:val="3068926A"/>
    <w:rsid w:val="30AC0B55"/>
    <w:rsid w:val="30BB6741"/>
    <w:rsid w:val="312DE783"/>
    <w:rsid w:val="316E39D8"/>
    <w:rsid w:val="3179A8AF"/>
    <w:rsid w:val="31C2C382"/>
    <w:rsid w:val="32587116"/>
    <w:rsid w:val="325A0F45"/>
    <w:rsid w:val="32899C7D"/>
    <w:rsid w:val="334B9DD6"/>
    <w:rsid w:val="3415E244"/>
    <w:rsid w:val="357A7550"/>
    <w:rsid w:val="358A58FB"/>
    <w:rsid w:val="36281E08"/>
    <w:rsid w:val="365D58D1"/>
    <w:rsid w:val="371645B1"/>
    <w:rsid w:val="38B21612"/>
    <w:rsid w:val="38EFB5B6"/>
    <w:rsid w:val="38F8DE01"/>
    <w:rsid w:val="38FE7567"/>
    <w:rsid w:val="3952F5AA"/>
    <w:rsid w:val="39D528D4"/>
    <w:rsid w:val="3A98637F"/>
    <w:rsid w:val="3ACF504E"/>
    <w:rsid w:val="3BE62AFF"/>
    <w:rsid w:val="3C452CD4"/>
    <w:rsid w:val="40B9CE7A"/>
    <w:rsid w:val="42E6FEEB"/>
    <w:rsid w:val="4304DA97"/>
    <w:rsid w:val="43CB3B61"/>
    <w:rsid w:val="44111953"/>
    <w:rsid w:val="45DF4E8F"/>
    <w:rsid w:val="46BC78DB"/>
    <w:rsid w:val="47761A80"/>
    <w:rsid w:val="48A84368"/>
    <w:rsid w:val="49066B08"/>
    <w:rsid w:val="4A9D88CC"/>
    <w:rsid w:val="4BD9370B"/>
    <w:rsid w:val="4C0502D1"/>
    <w:rsid w:val="4D5C51BF"/>
    <w:rsid w:val="4D8A7028"/>
    <w:rsid w:val="4DB6AEF4"/>
    <w:rsid w:val="4E55917A"/>
    <w:rsid w:val="4E8D804C"/>
    <w:rsid w:val="4EAD82EA"/>
    <w:rsid w:val="4EC0C2A1"/>
    <w:rsid w:val="4F048AA0"/>
    <w:rsid w:val="5007E385"/>
    <w:rsid w:val="502950AD"/>
    <w:rsid w:val="502B3E53"/>
    <w:rsid w:val="5049534B"/>
    <w:rsid w:val="5087CA1C"/>
    <w:rsid w:val="5090BB18"/>
    <w:rsid w:val="52B4A340"/>
    <w:rsid w:val="52DE5B7A"/>
    <w:rsid w:val="534AA1B9"/>
    <w:rsid w:val="53FCD7DD"/>
    <w:rsid w:val="540F4E34"/>
    <w:rsid w:val="545CCE41"/>
    <w:rsid w:val="55AE13A4"/>
    <w:rsid w:val="56460EC4"/>
    <w:rsid w:val="56717E64"/>
    <w:rsid w:val="574CBED8"/>
    <w:rsid w:val="57F61655"/>
    <w:rsid w:val="5867863F"/>
    <w:rsid w:val="59922D6B"/>
    <w:rsid w:val="5A13665B"/>
    <w:rsid w:val="5B5577D0"/>
    <w:rsid w:val="5B984E5B"/>
    <w:rsid w:val="5C8F537F"/>
    <w:rsid w:val="5CD48C6C"/>
    <w:rsid w:val="5D11AEE1"/>
    <w:rsid w:val="5D2FC3D9"/>
    <w:rsid w:val="5D955406"/>
    <w:rsid w:val="5E5D592B"/>
    <w:rsid w:val="5F4451D9"/>
    <w:rsid w:val="5F7090A5"/>
    <w:rsid w:val="6000BB11"/>
    <w:rsid w:val="6067649B"/>
    <w:rsid w:val="60B7856E"/>
    <w:rsid w:val="60BDC447"/>
    <w:rsid w:val="60EFB503"/>
    <w:rsid w:val="60FA1152"/>
    <w:rsid w:val="61E3325E"/>
    <w:rsid w:val="62E921C3"/>
    <w:rsid w:val="634695D5"/>
    <w:rsid w:val="63A9EB7A"/>
    <w:rsid w:val="644839D4"/>
    <w:rsid w:val="648ADACA"/>
    <w:rsid w:val="64D5C412"/>
    <w:rsid w:val="6602338B"/>
    <w:rsid w:val="66ADF19D"/>
    <w:rsid w:val="67223776"/>
    <w:rsid w:val="678B3E37"/>
    <w:rsid w:val="67BFA2AD"/>
    <w:rsid w:val="67EF84B5"/>
    <w:rsid w:val="685EFA9D"/>
    <w:rsid w:val="68727680"/>
    <w:rsid w:val="68D364DA"/>
    <w:rsid w:val="69010711"/>
    <w:rsid w:val="695E4BED"/>
    <w:rsid w:val="69D7098C"/>
    <w:rsid w:val="6A19C6B4"/>
    <w:rsid w:val="6AB5985E"/>
    <w:rsid w:val="6AEA7A4F"/>
    <w:rsid w:val="6B2B2077"/>
    <w:rsid w:val="6B6067F9"/>
    <w:rsid w:val="6C35ADE7"/>
    <w:rsid w:val="6C826F2E"/>
    <w:rsid w:val="6D2712FA"/>
    <w:rsid w:val="6F451D7F"/>
    <w:rsid w:val="6F466DC1"/>
    <w:rsid w:val="6FF23CDA"/>
    <w:rsid w:val="71B577C1"/>
    <w:rsid w:val="71C4A80D"/>
    <w:rsid w:val="72209732"/>
    <w:rsid w:val="72A4EF6B"/>
    <w:rsid w:val="72B4287B"/>
    <w:rsid w:val="736137A0"/>
    <w:rsid w:val="738D59CD"/>
    <w:rsid w:val="740D5424"/>
    <w:rsid w:val="7596EFBA"/>
    <w:rsid w:val="78548532"/>
    <w:rsid w:val="786E1FCC"/>
    <w:rsid w:val="7892480D"/>
    <w:rsid w:val="78C47FE5"/>
    <w:rsid w:val="78FA7CAD"/>
    <w:rsid w:val="79470C4F"/>
    <w:rsid w:val="79B76AD1"/>
    <w:rsid w:val="79BED9A6"/>
    <w:rsid w:val="79F32D36"/>
    <w:rsid w:val="7A11B005"/>
    <w:rsid w:val="7A61D7FB"/>
    <w:rsid w:val="7A777CAA"/>
    <w:rsid w:val="7A964D0E"/>
    <w:rsid w:val="7AE0F049"/>
    <w:rsid w:val="7B1244F8"/>
    <w:rsid w:val="7B464802"/>
    <w:rsid w:val="7B8EFD97"/>
    <w:rsid w:val="7C8126FE"/>
    <w:rsid w:val="7CD5285D"/>
    <w:rsid w:val="7D5A5B30"/>
    <w:rsid w:val="7E7725AB"/>
    <w:rsid w:val="7EAF63A2"/>
    <w:rsid w:val="7FA99FE6"/>
    <w:rsid w:val="7FD27664"/>
    <w:rsid w:val="7FE58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40D"/>
    <w:pPr>
      <w:spacing w:before="0" w:after="160" w:line="259" w:lineRule="auto"/>
      <w:ind w:left="720"/>
      <w:contextualSpacing/>
      <w:jc w:val="left"/>
    </w:pPr>
    <w:rPr>
      <w:rFonts w:asciiTheme="minorHAnsi" w:hAnsiTheme="minorHAnsi" w:cstheme="minorBidi"/>
      <w:sz w:val="22"/>
      <w:lang w:val="en-US"/>
    </w:rPr>
  </w:style>
  <w:style w:type="character" w:styleId="CommentReference">
    <w:name w:val="annotation reference"/>
    <w:basedOn w:val="DefaultParagraphFont"/>
    <w:uiPriority w:val="99"/>
    <w:semiHidden/>
    <w:unhideWhenUsed/>
    <w:rsid w:val="009561CC"/>
    <w:rPr>
      <w:sz w:val="16"/>
      <w:szCs w:val="16"/>
    </w:rPr>
  </w:style>
  <w:style w:type="paragraph" w:styleId="CommentText">
    <w:name w:val="annotation text"/>
    <w:basedOn w:val="Normal"/>
    <w:link w:val="CommentTextChar"/>
    <w:uiPriority w:val="99"/>
    <w:unhideWhenUsed/>
    <w:rsid w:val="009561CC"/>
    <w:rPr>
      <w:sz w:val="20"/>
      <w:szCs w:val="20"/>
    </w:rPr>
  </w:style>
  <w:style w:type="character" w:customStyle="1" w:styleId="CommentTextChar">
    <w:name w:val="Comment Text Char"/>
    <w:basedOn w:val="DefaultParagraphFont"/>
    <w:link w:val="CommentText"/>
    <w:uiPriority w:val="99"/>
    <w:rsid w:val="009561CC"/>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561CC"/>
    <w:rPr>
      <w:b/>
      <w:bCs/>
    </w:rPr>
  </w:style>
  <w:style w:type="character" w:customStyle="1" w:styleId="CommentSubjectChar">
    <w:name w:val="Comment Subject Char"/>
    <w:basedOn w:val="CommentTextChar"/>
    <w:link w:val="CommentSubject"/>
    <w:uiPriority w:val="99"/>
    <w:semiHidden/>
    <w:rsid w:val="009561CC"/>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9561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1CC"/>
    <w:rPr>
      <w:rFonts w:ascii="Segoe UI" w:hAnsi="Segoe UI" w:cs="Segoe UI"/>
      <w:sz w:val="18"/>
      <w:szCs w:val="18"/>
      <w:lang w:val="en-GB"/>
    </w:rPr>
  </w:style>
  <w:style w:type="paragraph" w:styleId="ListBullet">
    <w:name w:val="List Bullet"/>
    <w:basedOn w:val="Normal"/>
    <w:uiPriority w:val="99"/>
    <w:semiHidden/>
    <w:unhideWhenUsed/>
    <w:rsid w:val="00991687"/>
    <w:pPr>
      <w:numPr>
        <w:numId w:val="1"/>
      </w:numPr>
      <w:contextualSpacing/>
    </w:pPr>
  </w:style>
  <w:style w:type="paragraph" w:styleId="ListBullet2">
    <w:name w:val="List Bullet 2"/>
    <w:basedOn w:val="Normal"/>
    <w:uiPriority w:val="99"/>
    <w:semiHidden/>
    <w:unhideWhenUsed/>
    <w:rsid w:val="00991687"/>
    <w:pPr>
      <w:numPr>
        <w:numId w:val="2"/>
      </w:numPr>
      <w:contextualSpacing/>
    </w:pPr>
  </w:style>
  <w:style w:type="paragraph" w:styleId="ListBullet3">
    <w:name w:val="List Bullet 3"/>
    <w:basedOn w:val="Normal"/>
    <w:uiPriority w:val="99"/>
    <w:semiHidden/>
    <w:unhideWhenUsed/>
    <w:rsid w:val="00991687"/>
    <w:pPr>
      <w:numPr>
        <w:numId w:val="3"/>
      </w:numPr>
      <w:contextualSpacing/>
    </w:pPr>
  </w:style>
  <w:style w:type="paragraph" w:styleId="ListBullet4">
    <w:name w:val="List Bullet 4"/>
    <w:basedOn w:val="Normal"/>
    <w:uiPriority w:val="99"/>
    <w:semiHidden/>
    <w:unhideWhenUsed/>
    <w:rsid w:val="00991687"/>
    <w:pPr>
      <w:numPr>
        <w:numId w:val="4"/>
      </w:numPr>
      <w:contextualSpacing/>
    </w:pPr>
  </w:style>
  <w:style w:type="paragraph" w:styleId="Revision">
    <w:name w:val="Revision"/>
    <w:hidden/>
    <w:uiPriority w:val="99"/>
    <w:semiHidden/>
    <w:rsid w:val="00FA537D"/>
    <w:pPr>
      <w:spacing w:after="0" w:line="240" w:lineRule="auto"/>
    </w:pPr>
    <w:rPr>
      <w:rFonts w:ascii="Times New Roman" w:hAnsi="Times New Roman" w:cs="Times New Roman"/>
      <w:sz w:val="24"/>
      <w:lang w:val="en-GB"/>
    </w:rPr>
  </w:style>
  <w:style w:type="character" w:customStyle="1" w:styleId="Mention1">
    <w:name w:val="Mention1"/>
    <w:basedOn w:val="DefaultParagraphFont"/>
    <w:uiPriority w:val="99"/>
    <w:unhideWhenUsed/>
    <w:rPr>
      <w:color w:val="2B579A"/>
      <w:shd w:val="clear" w:color="auto" w:fill="E6E6E6"/>
    </w:rPr>
  </w:style>
  <w:style w:type="paragraph" w:styleId="Caption">
    <w:name w:val="caption"/>
    <w:basedOn w:val="Normal"/>
    <w:next w:val="Normal"/>
    <w:uiPriority w:val="35"/>
    <w:semiHidden/>
    <w:unhideWhenUsed/>
    <w:qFormat/>
    <w:rsid w:val="0079512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79512F"/>
    <w:pPr>
      <w:spacing w:after="0"/>
    </w:pPr>
  </w:style>
  <w:style w:type="paragraph" w:styleId="ListNumber">
    <w:name w:val="List Number"/>
    <w:basedOn w:val="Normal"/>
    <w:uiPriority w:val="99"/>
    <w:semiHidden/>
    <w:unhideWhenUsed/>
    <w:rsid w:val="0079512F"/>
    <w:pPr>
      <w:numPr>
        <w:numId w:val="7"/>
      </w:numPr>
      <w:contextualSpacing/>
    </w:pPr>
  </w:style>
  <w:style w:type="paragraph" w:styleId="ListNumber2">
    <w:name w:val="List Number 2"/>
    <w:basedOn w:val="Normal"/>
    <w:uiPriority w:val="99"/>
    <w:semiHidden/>
    <w:unhideWhenUsed/>
    <w:rsid w:val="0079512F"/>
    <w:pPr>
      <w:numPr>
        <w:numId w:val="8"/>
      </w:numPr>
      <w:contextualSpacing/>
    </w:pPr>
  </w:style>
  <w:style w:type="paragraph" w:styleId="ListNumber3">
    <w:name w:val="List Number 3"/>
    <w:basedOn w:val="Normal"/>
    <w:uiPriority w:val="99"/>
    <w:semiHidden/>
    <w:unhideWhenUsed/>
    <w:rsid w:val="0079512F"/>
    <w:pPr>
      <w:numPr>
        <w:numId w:val="9"/>
      </w:numPr>
      <w:contextualSpacing/>
    </w:pPr>
  </w:style>
  <w:style w:type="paragraph" w:styleId="ListNumber4">
    <w:name w:val="List Number 4"/>
    <w:basedOn w:val="Normal"/>
    <w:uiPriority w:val="99"/>
    <w:semiHidden/>
    <w:unhideWhenUsed/>
    <w:rsid w:val="0079512F"/>
    <w:pPr>
      <w:numPr>
        <w:numId w:val="10"/>
      </w:numPr>
      <w:contextualSpacing/>
    </w:pPr>
  </w:style>
  <w:style w:type="paragraph" w:customStyle="1" w:styleId="li">
    <w:name w:val="li"/>
    <w:basedOn w:val="Normal"/>
    <w:rsid w:val="008344D7"/>
    <w:pPr>
      <w:spacing w:before="100" w:beforeAutospacing="1" w:after="100" w:afterAutospacing="1"/>
      <w:jc w:val="left"/>
    </w:pPr>
    <w:rPr>
      <w:rFonts w:eastAsia="Times New Roman"/>
      <w:szCs w:val="24"/>
      <w:lang w:val="en-US"/>
    </w:rPr>
  </w:style>
  <w:style w:type="paragraph" w:customStyle="1" w:styleId="Normal1">
    <w:name w:val="Normal1"/>
    <w:basedOn w:val="Normal"/>
    <w:rsid w:val="008344D7"/>
    <w:pPr>
      <w:spacing w:before="100" w:beforeAutospacing="1" w:after="100" w:afterAutospacing="1"/>
      <w:jc w:val="left"/>
    </w:pPr>
    <w:rPr>
      <w:rFonts w:eastAsia="Times New Roman"/>
      <w:szCs w:val="24"/>
      <w:lang w:val="en-US"/>
    </w:rPr>
  </w:style>
  <w:style w:type="paragraph" w:customStyle="1" w:styleId="Arti">
    <w:name w:val="Arti"/>
    <w:basedOn w:val="Normal"/>
    <w:rsid w:val="00732FC1"/>
  </w:style>
  <w:style w:type="paragraph" w:customStyle="1" w:styleId="Article">
    <w:name w:val="Article"/>
    <w:basedOn w:val="Arti"/>
    <w:rsid w:val="00732FC1"/>
  </w:style>
  <w:style w:type="character" w:styleId="Hyperlink">
    <w:name w:val="Hyperlink"/>
    <w:basedOn w:val="DefaultParagraphFont"/>
    <w:uiPriority w:val="99"/>
    <w:unhideWhenUsed/>
    <w:rsid w:val="00AD0092"/>
    <w:rPr>
      <w:color w:val="0000FF" w:themeColor="hyperlink"/>
      <w:u w:val="single"/>
    </w:rPr>
  </w:style>
  <w:style w:type="character" w:customStyle="1" w:styleId="UnresolvedMention">
    <w:name w:val="Unresolved Mention"/>
    <w:basedOn w:val="DefaultParagraphFont"/>
    <w:uiPriority w:val="99"/>
    <w:semiHidden/>
    <w:unhideWhenUsed/>
    <w:rsid w:val="00442B73"/>
    <w:rPr>
      <w:color w:val="605E5C"/>
      <w:shd w:val="clear" w:color="auto" w:fill="E1DFDD"/>
    </w:rPr>
  </w:style>
  <w:style w:type="character" w:customStyle="1" w:styleId="HeaderChar">
    <w:name w:val="Header Char"/>
    <w:basedOn w:val="DefaultParagraphFont"/>
    <w:link w:val="Header"/>
    <w:uiPriority w:val="99"/>
    <w:rsid w:val="002D22F6"/>
    <w:rPr>
      <w:rFonts w:ascii="Times New Roman" w:hAnsi="Times New Roman" w:cs="Times New Roman"/>
      <w:sz w:val="24"/>
      <w:lang w:val="en-GB"/>
    </w:rPr>
  </w:style>
  <w:style w:type="character" w:customStyle="1" w:styleId="FooterChar">
    <w:name w:val="Footer Char"/>
    <w:basedOn w:val="DefaultParagraphFont"/>
    <w:link w:val="Footer"/>
    <w:uiPriority w:val="99"/>
    <w:rsid w:val="002D22F6"/>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D22F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D22F6"/>
    <w:pPr>
      <w:spacing w:before="0"/>
      <w:jc w:val="right"/>
    </w:pPr>
    <w:rPr>
      <w:sz w:val="28"/>
    </w:rPr>
  </w:style>
  <w:style w:type="paragraph" w:customStyle="1" w:styleId="FooterSensitivity">
    <w:name w:val="Footer Sensitivity"/>
    <w:basedOn w:val="Normal"/>
    <w:rsid w:val="002D22F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7"/>
      </w:numPr>
    </w:pPr>
  </w:style>
  <w:style w:type="paragraph" w:customStyle="1" w:styleId="Tiret1">
    <w:name w:val="Tiret 1"/>
    <w:basedOn w:val="Point1"/>
    <w:pPr>
      <w:numPr>
        <w:numId w:val="28"/>
      </w:numPr>
    </w:pPr>
  </w:style>
  <w:style w:type="paragraph" w:customStyle="1" w:styleId="Tiret2">
    <w:name w:val="Tiret 2"/>
    <w:basedOn w:val="Point2"/>
    <w:pPr>
      <w:numPr>
        <w:numId w:val="29"/>
      </w:numPr>
    </w:pPr>
  </w:style>
  <w:style w:type="paragraph" w:customStyle="1" w:styleId="Tiret3">
    <w:name w:val="Tiret 3"/>
    <w:basedOn w:val="Point3"/>
    <w:pPr>
      <w:numPr>
        <w:numId w:val="30"/>
      </w:numPr>
    </w:pPr>
  </w:style>
  <w:style w:type="paragraph" w:customStyle="1" w:styleId="Tiret4">
    <w:name w:val="Tiret 4"/>
    <w:basedOn w:val="Point4"/>
    <w:pPr>
      <w:numPr>
        <w:numId w:val="31"/>
      </w:numPr>
    </w:pPr>
  </w:style>
  <w:style w:type="paragraph" w:customStyle="1" w:styleId="Tiret5">
    <w:name w:val="Tiret 5"/>
    <w:basedOn w:val="Point5"/>
    <w:pPr>
      <w:numPr>
        <w:numId w:val="3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3"/>
      </w:numPr>
    </w:pPr>
  </w:style>
  <w:style w:type="paragraph" w:customStyle="1" w:styleId="NumPar2">
    <w:name w:val="NumPar 2"/>
    <w:basedOn w:val="Normal"/>
    <w:next w:val="Text1"/>
    <w:pPr>
      <w:numPr>
        <w:ilvl w:val="1"/>
        <w:numId w:val="33"/>
      </w:numPr>
    </w:pPr>
  </w:style>
  <w:style w:type="paragraph" w:customStyle="1" w:styleId="NumPar3">
    <w:name w:val="NumPar 3"/>
    <w:basedOn w:val="Normal"/>
    <w:next w:val="Text1"/>
    <w:pPr>
      <w:numPr>
        <w:ilvl w:val="2"/>
        <w:numId w:val="33"/>
      </w:numPr>
    </w:pPr>
  </w:style>
  <w:style w:type="paragraph" w:customStyle="1" w:styleId="NumPar4">
    <w:name w:val="NumPar 4"/>
    <w:basedOn w:val="Normal"/>
    <w:next w:val="Text1"/>
    <w:pPr>
      <w:numPr>
        <w:ilvl w:val="3"/>
        <w:numId w:val="33"/>
      </w:numPr>
    </w:pPr>
  </w:style>
  <w:style w:type="paragraph" w:customStyle="1" w:styleId="NumPar5">
    <w:name w:val="NumPar 5"/>
    <w:basedOn w:val="Normal"/>
    <w:next w:val="Text2"/>
    <w:pPr>
      <w:numPr>
        <w:ilvl w:val="4"/>
        <w:numId w:val="33"/>
      </w:numPr>
    </w:pPr>
  </w:style>
  <w:style w:type="paragraph" w:customStyle="1" w:styleId="NumPar6">
    <w:name w:val="NumPar 6"/>
    <w:basedOn w:val="Normal"/>
    <w:next w:val="Text2"/>
    <w:pPr>
      <w:numPr>
        <w:ilvl w:val="5"/>
        <w:numId w:val="33"/>
      </w:numPr>
    </w:pPr>
  </w:style>
  <w:style w:type="paragraph" w:customStyle="1" w:styleId="NumPar7">
    <w:name w:val="NumPar 7"/>
    <w:basedOn w:val="Normal"/>
    <w:next w:val="Text2"/>
    <w:pPr>
      <w:numPr>
        <w:ilvl w:val="6"/>
        <w:numId w:val="3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5"/>
      </w:numPr>
    </w:pPr>
  </w:style>
  <w:style w:type="paragraph" w:customStyle="1" w:styleId="Point1number">
    <w:name w:val="Point 1 (number)"/>
    <w:basedOn w:val="Normal"/>
    <w:pPr>
      <w:numPr>
        <w:ilvl w:val="2"/>
        <w:numId w:val="35"/>
      </w:numPr>
    </w:pPr>
  </w:style>
  <w:style w:type="paragraph" w:customStyle="1" w:styleId="Point2number">
    <w:name w:val="Point 2 (number)"/>
    <w:basedOn w:val="Normal"/>
    <w:pPr>
      <w:numPr>
        <w:ilvl w:val="4"/>
        <w:numId w:val="35"/>
      </w:numPr>
    </w:pPr>
  </w:style>
  <w:style w:type="paragraph" w:customStyle="1" w:styleId="Point3number">
    <w:name w:val="Point 3 (number)"/>
    <w:basedOn w:val="Normal"/>
    <w:pPr>
      <w:numPr>
        <w:ilvl w:val="6"/>
        <w:numId w:val="35"/>
      </w:numPr>
    </w:pPr>
  </w:style>
  <w:style w:type="paragraph" w:customStyle="1" w:styleId="Point0letter">
    <w:name w:val="Point 0 (letter)"/>
    <w:basedOn w:val="Normal"/>
    <w:pPr>
      <w:numPr>
        <w:ilvl w:val="1"/>
        <w:numId w:val="35"/>
      </w:numPr>
    </w:pPr>
  </w:style>
  <w:style w:type="paragraph" w:customStyle="1" w:styleId="Point1letter">
    <w:name w:val="Point 1 (letter)"/>
    <w:basedOn w:val="Normal"/>
    <w:pPr>
      <w:numPr>
        <w:ilvl w:val="3"/>
        <w:numId w:val="35"/>
      </w:numPr>
    </w:pPr>
  </w:style>
  <w:style w:type="paragraph" w:customStyle="1" w:styleId="Point2letter">
    <w:name w:val="Point 2 (letter)"/>
    <w:basedOn w:val="Normal"/>
    <w:pPr>
      <w:numPr>
        <w:ilvl w:val="5"/>
        <w:numId w:val="35"/>
      </w:numPr>
    </w:pPr>
  </w:style>
  <w:style w:type="paragraph" w:customStyle="1" w:styleId="Point3letter">
    <w:name w:val="Point 3 (letter)"/>
    <w:basedOn w:val="Normal"/>
    <w:pPr>
      <w:numPr>
        <w:ilvl w:val="7"/>
        <w:numId w:val="35"/>
      </w:numPr>
    </w:pPr>
  </w:style>
  <w:style w:type="paragraph" w:customStyle="1" w:styleId="Point4letter">
    <w:name w:val="Point 4 (letter)"/>
    <w:basedOn w:val="Normal"/>
    <w:pPr>
      <w:numPr>
        <w:ilvl w:val="8"/>
        <w:numId w:val="35"/>
      </w:numPr>
    </w:pPr>
  </w:style>
  <w:style w:type="paragraph" w:customStyle="1" w:styleId="Bullet0">
    <w:name w:val="Bullet 0"/>
    <w:basedOn w:val="Normal"/>
    <w:pPr>
      <w:numPr>
        <w:numId w:val="36"/>
      </w:numPr>
    </w:pPr>
  </w:style>
  <w:style w:type="paragraph" w:customStyle="1" w:styleId="Bullet1">
    <w:name w:val="Bullet 1"/>
    <w:basedOn w:val="Normal"/>
    <w:pPr>
      <w:numPr>
        <w:numId w:val="37"/>
      </w:numPr>
    </w:pPr>
  </w:style>
  <w:style w:type="paragraph" w:customStyle="1" w:styleId="Bullet2">
    <w:name w:val="Bullet 2"/>
    <w:basedOn w:val="Normal"/>
    <w:pPr>
      <w:numPr>
        <w:numId w:val="38"/>
      </w:numPr>
    </w:pPr>
  </w:style>
  <w:style w:type="paragraph" w:customStyle="1" w:styleId="Bullet3">
    <w:name w:val="Bullet 3"/>
    <w:basedOn w:val="Normal"/>
    <w:pPr>
      <w:numPr>
        <w:numId w:val="39"/>
      </w:numPr>
    </w:pPr>
  </w:style>
  <w:style w:type="paragraph" w:customStyle="1" w:styleId="Bullet4">
    <w:name w:val="Bullet 4"/>
    <w:basedOn w:val="Normal"/>
    <w:pPr>
      <w:numPr>
        <w:numId w:val="4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D22F6"/>
    <w:pPr>
      <w:tabs>
        <w:tab w:val="center" w:pos="4535"/>
        <w:tab w:val="right" w:pos="9071"/>
      </w:tabs>
      <w:spacing w:before="0"/>
    </w:pPr>
  </w:style>
  <w:style w:type="paragraph" w:customStyle="1" w:styleId="HeaderLandscape">
    <w:name w:val="HeaderLandscape"/>
    <w:basedOn w:val="Normal"/>
    <w:rsid w:val="002D22F6"/>
    <w:pPr>
      <w:tabs>
        <w:tab w:val="center" w:pos="7285"/>
        <w:tab w:val="right" w:pos="14003"/>
      </w:tabs>
      <w:spacing w:before="0"/>
    </w:pPr>
  </w:style>
  <w:style w:type="paragraph" w:styleId="Footer">
    <w:name w:val="footer"/>
    <w:basedOn w:val="Normal"/>
    <w:link w:val="FooterChar"/>
    <w:uiPriority w:val="99"/>
    <w:unhideWhenUsed/>
    <w:rsid w:val="002D22F6"/>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D22F6"/>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41382">
      <w:bodyDiv w:val="1"/>
      <w:marLeft w:val="0"/>
      <w:marRight w:val="0"/>
      <w:marTop w:val="0"/>
      <w:marBottom w:val="0"/>
      <w:divBdr>
        <w:top w:val="none" w:sz="0" w:space="0" w:color="auto"/>
        <w:left w:val="none" w:sz="0" w:space="0" w:color="auto"/>
        <w:bottom w:val="none" w:sz="0" w:space="0" w:color="auto"/>
        <w:right w:val="none" w:sz="0" w:space="0" w:color="auto"/>
      </w:divBdr>
    </w:div>
    <w:div w:id="1670019155">
      <w:bodyDiv w:val="1"/>
      <w:marLeft w:val="0"/>
      <w:marRight w:val="0"/>
      <w:marTop w:val="0"/>
      <w:marBottom w:val="0"/>
      <w:divBdr>
        <w:top w:val="none" w:sz="0" w:space="0" w:color="auto"/>
        <w:left w:val="none" w:sz="0" w:space="0" w:color="auto"/>
        <w:bottom w:val="none" w:sz="0" w:space="0" w:color="auto"/>
        <w:right w:val="none" w:sz="0" w:space="0" w:color="auto"/>
      </w:divBdr>
    </w:div>
    <w:div w:id="214442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52021JC0002&amp;qid=1718394456191" TargetMode="External"/><Relationship Id="rId1" Type="http://schemas.openxmlformats.org/officeDocument/2006/relationships/hyperlink" Target="https://eeas.europa.eu/sites/default/files/joint_communication_renewed_partnership_southern_neighbourhoo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8" ma:contentTypeDescription="Create a new document." ma:contentTypeScope="" ma:versionID="d6326afae702ce4c4fc4a71726ec50f7">
  <xsd:schema xmlns:xsd="http://www.w3.org/2001/XMLSchema" xmlns:xs="http://www.w3.org/2001/XMLSchema" xmlns:p="http://schemas.microsoft.com/office/2006/metadata/properties" xmlns:ns2="b2332242-72eb-4c56-ab66-572cc47fcb14" xmlns:ns3="97c12176-f42e-47a4-9c39-4993e896fb64" targetNamespace="http://schemas.microsoft.com/office/2006/metadata/properties" ma:root="true" ma:fieldsID="8753c35b264f8b6ad35378c7ac41734c" ns2:_="" ns3:_="">
    <xsd:import namespace="b2332242-72eb-4c56-ab66-572cc47fcb14"/>
    <xsd:import namespace="97c12176-f42e-47a4-9c39-4993e896fb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12176-f42e-47a4-9c39-4993e896fb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AE235-C253-489B-8459-88DDCED7D90A}">
  <ds:schemaRefs>
    <ds:schemaRef ds:uri="http://schemas.microsoft.com/sharepoint/v3/contenttype/forms"/>
  </ds:schemaRefs>
</ds:datastoreItem>
</file>

<file path=customXml/itemProps2.xml><?xml version="1.0" encoding="utf-8"?>
<ds:datastoreItem xmlns:ds="http://schemas.openxmlformats.org/officeDocument/2006/customXml" ds:itemID="{C8AA205A-AC6A-42D8-B98A-17CE8F2BDCA1}">
  <ds:schemaRefs>
    <ds:schemaRef ds:uri="http://schemas.microsoft.com/office/infopath/2007/PartnerControls"/>
    <ds:schemaRef ds:uri="http://www.w3.org/XML/1998/namespace"/>
    <ds:schemaRef ds:uri="b2332242-72eb-4c56-ab66-572cc47fcb14"/>
    <ds:schemaRef ds:uri="http://purl.org/dc/terms/"/>
    <ds:schemaRef ds:uri="http://purl.org/dc/dcmitype/"/>
    <ds:schemaRef ds:uri="http://schemas.microsoft.com/office/2006/documentManagement/types"/>
    <ds:schemaRef ds:uri="http://purl.org/dc/elements/1.1/"/>
    <ds:schemaRef ds:uri="http://schemas.openxmlformats.org/package/2006/metadata/core-properties"/>
    <ds:schemaRef ds:uri="97c12176-f42e-47a4-9c39-4993e896fb64"/>
    <ds:schemaRef ds:uri="http://schemas.microsoft.com/office/2006/metadata/properties"/>
  </ds:schemaRefs>
</ds:datastoreItem>
</file>

<file path=customXml/itemProps3.xml><?xml version="1.0" encoding="utf-8"?>
<ds:datastoreItem xmlns:ds="http://schemas.openxmlformats.org/officeDocument/2006/customXml" ds:itemID="{ABB449D9-6947-44F1-8F04-B4EAA32D2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97c12176-f42e-47a4-9c39-4993e896f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AC4E35-E30F-42CA-8D66-F703E1E3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4289</Words>
  <Characters>24448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2024-07-01T12:48:00Z</dcterms:created>
  <dcterms:modified xsi:type="dcterms:W3CDTF">2024-07-04T08:53:00Z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Category">
    <vt:lpwstr>COM/PL/ORG</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2023-07-03T08:34:22Z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1cc9b214-39e5-49ed-8dc9-8503820f5bac</vt:lpwstr>
  </property>
  <property fmtid="{D5CDD505-2E9C-101B-9397-08002B2CF9AE}" pid="11" name="MSIP_Label_6bd9ddd1-4d20-43f6-abfa-fc3c07406f94_ContentBits">
    <vt:lpwstr>0</vt:lpwstr>
  </property>
  <property fmtid="{D5CDD505-2E9C-101B-9397-08002B2CF9AE}" pid="12" name="Part">
    <vt:lpwstr>1</vt:lpwstr>
  </property>
  <property fmtid="{D5CDD505-2E9C-101B-9397-08002B2CF9AE}" pid="13" name="Total parts">
    <vt:lpwstr>1</vt:lpwstr>
  </property>
  <property fmtid="{D5CDD505-2E9C-101B-9397-08002B2CF9AE}" pid="14" name="LWTemplateID">
    <vt:lpwstr>SJ-019</vt:lpwstr>
  </property>
  <property fmtid="{D5CDD505-2E9C-101B-9397-08002B2CF9AE}" pid="15" name="ContentTypeId">
    <vt:lpwstr>0x010100FF1B87D5ABF651429579392F313233BD</vt:lpwstr>
  </property>
  <property fmtid="{D5CDD505-2E9C-101B-9397-08002B2CF9AE}" pid="16" name="DQCStatus">
    <vt:lpwstr>Green (DQC version 03)</vt:lpwstr>
  </property>
</Properties>
</file>