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1BF88" w14:textId="64D42BB4" w:rsidR="00B4753A" w:rsidRDefault="003015AD" w:rsidP="003015AD">
      <w:pPr>
        <w:pStyle w:val="Pagedecouverture"/>
        <w:rPr>
          <w:noProof/>
        </w:rPr>
      </w:pPr>
      <w:bookmarkStart w:id="0" w:name="LW_BM_COVERPAGE"/>
      <w:r>
        <w:rPr>
          <w:noProof/>
        </w:rPr>
        <w:pict w14:anchorId="64C51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99235AC-01A9-4831-B218-3FA865879E2E" style="width:455.25pt;height:310.5pt">
            <v:imagedata r:id="rId8" o:title=""/>
          </v:shape>
        </w:pict>
      </w:r>
    </w:p>
    <w:bookmarkEnd w:id="0"/>
    <w:p w14:paraId="69A1DF73" w14:textId="2CF77149" w:rsidR="00744CB0" w:rsidRDefault="00744CB0" w:rsidP="00744CB0">
      <w:pPr>
        <w:rPr>
          <w:noProof/>
        </w:rPr>
        <w:sectPr w:rsidR="00744CB0" w:rsidSect="003015A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3BD1D55B" w14:textId="77777777" w:rsidR="00D677E6" w:rsidRPr="008E60F2" w:rsidRDefault="00D677E6" w:rsidP="00D677E6">
      <w:pPr>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32"/>
        </w:rPr>
      </w:pPr>
      <w:bookmarkStart w:id="1" w:name="_Toc525734915"/>
      <w:bookmarkStart w:id="2" w:name="_Toc525736646"/>
      <w:bookmarkStart w:id="3" w:name="_Toc526175174"/>
      <w:bookmarkStart w:id="4" w:name="_Toc525734916"/>
      <w:bookmarkStart w:id="5" w:name="_Toc525736647"/>
      <w:bookmarkStart w:id="6" w:name="_Toc526175175"/>
      <w:bookmarkStart w:id="7" w:name="_Toc525734917"/>
      <w:bookmarkStart w:id="8" w:name="_Toc525736648"/>
      <w:bookmarkStart w:id="9" w:name="_Toc526175176"/>
      <w:bookmarkStart w:id="10" w:name="_Toc229306111"/>
      <w:bookmarkStart w:id="11" w:name="_Toc413145207"/>
      <w:bookmarkStart w:id="12" w:name="_Toc127957592"/>
      <w:bookmarkStart w:id="13" w:name="_Toc244054015"/>
      <w:bookmarkStart w:id="14" w:name="_Toc413145209"/>
      <w:bookmarkStart w:id="15" w:name="_Toc147135954"/>
      <w:bookmarkStart w:id="16" w:name="_GoBack"/>
      <w:bookmarkEnd w:id="1"/>
      <w:bookmarkEnd w:id="2"/>
      <w:bookmarkEnd w:id="3"/>
      <w:bookmarkEnd w:id="4"/>
      <w:bookmarkEnd w:id="5"/>
      <w:bookmarkEnd w:id="6"/>
      <w:bookmarkEnd w:id="7"/>
      <w:bookmarkEnd w:id="8"/>
      <w:bookmarkEnd w:id="9"/>
      <w:bookmarkEnd w:id="16"/>
      <w:r>
        <w:rPr>
          <w:rFonts w:ascii="Times New Roman" w:hAnsi="Times New Roman"/>
          <w:b/>
          <w:smallCaps/>
          <w:noProof/>
          <w:sz w:val="24"/>
        </w:rPr>
        <w:lastRenderedPageBreak/>
        <w:t>Az EMGA 2024. évi költségvetési eljárása</w:t>
      </w:r>
      <w:bookmarkEnd w:id="10"/>
      <w:bookmarkEnd w:id="11"/>
      <w:bookmarkEnd w:id="12"/>
    </w:p>
    <w:p w14:paraId="7BF2E72F" w14:textId="7E6A0C3A" w:rsidR="00D677E6" w:rsidRPr="00A726EC" w:rsidRDefault="00D677E6" w:rsidP="00D677E6">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2023. november 22-én az Európai Parlament elfogadta az Európai Unió 2024. évi általános költségvetését. Az Európai Mezőgazdasági Garanciaalap (EMGA) költségvetése 40 517 millió EUR kötelezettségvállalási előirányzatot és 40 505 EUR kifizetési előirányzatot foglal magában. Az előirányzatok említett két típusához kapcsolódó összegek közötti eltérés annak tudható be, hogy bizonyos, közvetlenül a Bizottság által végrehajtott intézkedések esetében differenciált előirányzatok alkalmazandóak. Ezek főként a mezőgazdasági termékek promóciójára irányuló, valamint a szakpolitikai stratégiával, a koordinációval és az ellenőrzéssel összefüggő intézkedésekhez kapcsolódnak.</w:t>
      </w:r>
    </w:p>
    <w:p w14:paraId="309C0231" w14:textId="77777777" w:rsidR="00D677E6" w:rsidRPr="00782D00" w:rsidRDefault="00D677E6" w:rsidP="00D677E6">
      <w:pPr>
        <w:pStyle w:val="ListParagraph"/>
        <w:spacing w:before="120" w:after="120"/>
        <w:ind w:left="850"/>
        <w:rPr>
          <w:noProof/>
          <w:szCs w:val="24"/>
        </w:rPr>
      </w:pPr>
    </w:p>
    <w:p w14:paraId="0C7B42B1" w14:textId="77777777" w:rsidR="00D677E6" w:rsidRDefault="00D677E6" w:rsidP="00D677E6">
      <w:pPr>
        <w:pStyle w:val="ListParagraph"/>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Az EMGA-hoz rendelt címzett bevételek</w:t>
      </w:r>
    </w:p>
    <w:p w14:paraId="6FBA399E" w14:textId="77777777" w:rsidR="00D677E6" w:rsidRPr="008E60F2" w:rsidRDefault="00D677E6" w:rsidP="00D677E6">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 xml:space="preserve">Az (EU) 2021/2116 rendelet 45. cikkében foglalt rendelkezések alapján a záróelszámolási és teljesítményalapú záróelszámolási határozatok szerinti pénzügyi kiigazításokból és szabálytalanságokból eredő bevételek az EMGA-kiadások finanszírozására fordítandó címzett bevételek. </w:t>
      </w:r>
    </w:p>
    <w:p w14:paraId="564160E0" w14:textId="5BFF2C68" w:rsidR="00D677E6" w:rsidRDefault="00D677E6" w:rsidP="00D677E6">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A 45. cikk (2) bekezdése értelmében e címzett bevételek az EMGA-ból fedezett bármely kiadás finanszírozási igényeire újrafelhasználhatók. Az adott költségvetési évben beszedett és fel nem használt címzett bevételek automatikusan átvezetésre kerülnek a következő költségvetési évre</w:t>
      </w:r>
      <w:r w:rsidRPr="00F75247">
        <w:rPr>
          <w:rFonts w:ascii="Times New Roman" w:eastAsia="Times New Roman" w:hAnsi="Times New Roman" w:cs="Times New Roman"/>
          <w:noProof/>
          <w:sz w:val="24"/>
          <w:szCs w:val="24"/>
          <w:vertAlign w:val="superscript"/>
        </w:rPr>
        <w:footnoteReference w:id="2"/>
      </w:r>
      <w:r>
        <w:rPr>
          <w:rFonts w:ascii="Times New Roman" w:hAnsi="Times New Roman"/>
          <w:noProof/>
          <w:sz w:val="24"/>
        </w:rPr>
        <w:t>.</w:t>
      </w:r>
    </w:p>
    <w:p w14:paraId="252E6298" w14:textId="05093DDC" w:rsidR="00D677E6" w:rsidRPr="008E60F2" w:rsidRDefault="00D677E6" w:rsidP="00D677E6">
      <w:pPr>
        <w:spacing w:before="120" w:after="0" w:line="240" w:lineRule="auto"/>
        <w:ind w:left="851"/>
        <w:jc w:val="both"/>
        <w:rPr>
          <w:rFonts w:ascii="Times New Roman" w:eastAsia="Times New Roman" w:hAnsi="Times New Roman" w:cs="Times New Roman"/>
          <w:noProof/>
          <w:sz w:val="24"/>
          <w:szCs w:val="24"/>
        </w:rPr>
      </w:pPr>
      <w:r>
        <w:rPr>
          <w:rFonts w:ascii="Times New Roman" w:hAnsi="Times New Roman"/>
          <w:noProof/>
          <w:sz w:val="24"/>
        </w:rPr>
        <w:t>A 2024. évi EMGA-költségvetés a következőket tartalmazza:</w:t>
      </w:r>
    </w:p>
    <w:p w14:paraId="7F89264D" w14:textId="41E5DA02" w:rsidR="00D677E6" w:rsidRPr="008E60F2" w:rsidRDefault="00D677E6" w:rsidP="00D677E6">
      <w:pPr>
        <w:numPr>
          <w:ilvl w:val="0"/>
          <w:numId w:val="2"/>
        </w:numPr>
        <w:spacing w:before="120" w:after="0" w:line="240" w:lineRule="auto"/>
        <w:jc w:val="both"/>
        <w:rPr>
          <w:rFonts w:ascii="Times New Roman" w:eastAsia="Times New Roman" w:hAnsi="Times New Roman" w:cs="Times New Roman"/>
          <w:noProof/>
          <w:sz w:val="24"/>
          <w:szCs w:val="24"/>
        </w:rPr>
      </w:pPr>
      <w:bookmarkStart w:id="17" w:name="_Hlk170990895"/>
      <w:r>
        <w:rPr>
          <w:rFonts w:ascii="Times New Roman" w:hAnsi="Times New Roman"/>
          <w:noProof/>
          <w:sz w:val="24"/>
        </w:rPr>
        <w:t>a piaci intézkedésekhez, a közvetlen kifizetésekhez, valamint a közvetlen és közvetett irányítás alá tartozó egyéb kiadásokhoz kapcsolódó finanszírozási igények Bizottság általi becslését;</w:t>
      </w:r>
    </w:p>
    <w:bookmarkEnd w:id="17"/>
    <w:p w14:paraId="4B8F43F2" w14:textId="77777777" w:rsidR="00D677E6" w:rsidRPr="008E60F2" w:rsidRDefault="00D677E6" w:rsidP="00D677E6">
      <w:pPr>
        <w:numPr>
          <w:ilvl w:val="0"/>
          <w:numId w:val="2"/>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a költségvetési év során várhatóan befolyó címzett bevételek becslését.</w:t>
      </w:r>
    </w:p>
    <w:p w14:paraId="522E6B03" w14:textId="77777777" w:rsidR="00D677E6" w:rsidRPr="00B23149" w:rsidRDefault="00D677E6" w:rsidP="00D677E6">
      <w:pPr>
        <w:spacing w:before="120" w:after="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 xml:space="preserve">Az EMGA 2024. évi költségvetési előirányzataira vonatkozó javaslatában a Bizottság figyelembe vette a várható összes címzett bevételt. A 2024. évi költségvetésre vonatkozóan a Bizottság a becsült címzett bevételnek a becsült szükségletekből való levonásával kiszámított előirányzatok szintjét kérte. A költségvetési hatóság elfogadta a várható címzett bevételek figyelembevételével összeállított 2024. évi EMGA-költségvetést. </w:t>
      </w:r>
    </w:p>
    <w:p w14:paraId="59CC3299" w14:textId="285A47B5" w:rsidR="00D677E6" w:rsidRDefault="00D677E6" w:rsidP="00D677E6">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 xml:space="preserve">A 2024. évi költségvetés kidolgozásakor a Bizottság a rendelkezésre álló címzett bevételek összegét 739,8 millió EUR-ra becsülte, amelyből 339,8 millió EUR a 2023. évi költségvetésből került átvezetésre. A fenntarthatóságot elősegítő, alapszintű jövedelemtámogatásra vonatkozó (08 02 04 01. jogcím) előirányzatok iránti kérelemben a Bizottság figyelembe vette a szóban forgó átvezetett összeget és a 2024-ben várhatóan befolyó bevételek becslését. </w:t>
      </w:r>
      <w:bookmarkStart w:id="18" w:name="_Hlk170477336"/>
      <w:r>
        <w:rPr>
          <w:rFonts w:ascii="Times New Roman" w:hAnsi="Times New Roman"/>
          <w:noProof/>
          <w:sz w:val="24"/>
        </w:rPr>
        <w:t xml:space="preserve">Az e rendszerhez kapcsolódó megszavazott előirányzatok és a becsült címzett bevételek együttes összege 19 022 millió EUR. </w:t>
      </w:r>
      <w:bookmarkEnd w:id="18"/>
    </w:p>
    <w:p w14:paraId="1B2502B8" w14:textId="7AA85F50" w:rsidR="00371E68" w:rsidRPr="00643D28" w:rsidRDefault="00371E68" w:rsidP="00D677E6">
      <w:pPr>
        <w:spacing w:before="120" w:after="120" w:line="240" w:lineRule="auto"/>
        <w:ind w:left="850"/>
        <w:jc w:val="both"/>
        <w:rPr>
          <w:rFonts w:ascii="Times New Roman" w:eastAsia="Times New Roman" w:hAnsi="Times New Roman" w:cs="Times New Roman"/>
          <w:noProof/>
          <w:sz w:val="24"/>
          <w:szCs w:val="24"/>
        </w:rPr>
      </w:pPr>
      <w:bookmarkStart w:id="19" w:name="_Hlk170477692"/>
      <w:r>
        <w:rPr>
          <w:rFonts w:ascii="Times New Roman" w:hAnsi="Times New Roman"/>
          <w:noProof/>
          <w:sz w:val="24"/>
        </w:rPr>
        <w:t>A címzett bevételek 2023-ról átvezetett összege végül a becsültnél némileg magasabb, 340,3 millió EUR volt.</w:t>
      </w:r>
    </w:p>
    <w:bookmarkEnd w:id="19"/>
    <w:p w14:paraId="409B1D04" w14:textId="1D693E32" w:rsidR="00BC2959" w:rsidRDefault="00BC2959" w:rsidP="00010116">
      <w:pPr>
        <w:pStyle w:val="ListParagraph"/>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Az ideiglenes felhasználás összefoglaló táblázata, 2024. március 31-i állapot</w:t>
      </w:r>
    </w:p>
    <w:p w14:paraId="5BDA4A24" w14:textId="5F815FB4" w:rsidR="00746AE7" w:rsidRDefault="00C9142D" w:rsidP="00374F5D">
      <w:pPr>
        <w:pStyle w:val="Text1"/>
        <w:rPr>
          <w:noProof/>
        </w:rPr>
      </w:pPr>
      <w:r>
        <w:rPr>
          <w:noProof/>
        </w:rPr>
        <w:t xml:space="preserve">Ez a jelentés az EMGA 2024. évi költségvetésének ideiglenes végrehajtását mutatja be a 2024. március 31-i állapotnak megfelelően, a részleteket az alábbi táblázatban ismertetve. </w:t>
      </w:r>
    </w:p>
    <w:p w14:paraId="0B716C69" w14:textId="346C5E35" w:rsidR="009D3A0F" w:rsidRDefault="008C6F0A" w:rsidP="00374F5D">
      <w:pPr>
        <w:pStyle w:val="Text1"/>
        <w:rPr>
          <w:noProof/>
        </w:rPr>
      </w:pPr>
      <w:r>
        <w:rPr>
          <w:noProof/>
        </w:rPr>
        <w:t>E célból a végrehajtás szintjét összeveti az (EU) 2021/2116 rendelet 19. cikkének rendelkezései alapján kialakított korai előrejelző rendszer szerinti kiadási profillal.</w:t>
      </w:r>
    </w:p>
    <w:p w14:paraId="797F8067" w14:textId="20CE65D8" w:rsidR="009C739F" w:rsidRDefault="009C739F" w:rsidP="00374F5D">
      <w:pPr>
        <w:pStyle w:val="Text1"/>
        <w:rPr>
          <w:noProof/>
        </w:rPr>
      </w:pPr>
    </w:p>
    <w:p w14:paraId="4E5D8A1D" w14:textId="5586980F" w:rsidR="004566BF" w:rsidRDefault="004566BF" w:rsidP="00374F5D">
      <w:pPr>
        <w:pStyle w:val="Text1"/>
        <w:rPr>
          <w:noProof/>
        </w:rPr>
      </w:pPr>
      <w:r w:rsidRPr="004566BF">
        <w:rPr>
          <w:noProof/>
          <w:lang w:val="en-GB" w:eastAsia="en-GB"/>
        </w:rPr>
        <w:drawing>
          <wp:inline distT="0" distB="0" distL="0" distR="0" wp14:anchorId="7859ECB8" wp14:editId="01EA9E7A">
            <wp:extent cx="5272446" cy="7874947"/>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2906" cy="7890570"/>
                    </a:xfrm>
                    <a:prstGeom prst="rect">
                      <a:avLst/>
                    </a:prstGeom>
                    <a:noFill/>
                    <a:ln>
                      <a:noFill/>
                    </a:ln>
                  </pic:spPr>
                </pic:pic>
              </a:graphicData>
            </a:graphic>
          </wp:inline>
        </w:drawing>
      </w:r>
    </w:p>
    <w:p w14:paraId="7F51A3F9" w14:textId="74F00C0B" w:rsidR="004566BF" w:rsidRDefault="004566BF" w:rsidP="00D23471">
      <w:pPr>
        <w:spacing w:before="120" w:after="120" w:line="240" w:lineRule="auto"/>
        <w:ind w:left="-240"/>
        <w:jc w:val="both"/>
        <w:rPr>
          <w:rFonts w:ascii="Times New Roman" w:eastAsia="Times New Roman" w:hAnsi="Times New Roman" w:cs="Times New Roman"/>
          <w:b/>
          <w:bCs/>
          <w:smallCaps/>
          <w:noProof/>
          <w:sz w:val="24"/>
          <w:szCs w:val="32"/>
        </w:rPr>
      </w:pPr>
      <w:r w:rsidRPr="004566BF">
        <w:rPr>
          <w:noProof/>
          <w:lang w:val="en-GB" w:eastAsia="en-GB"/>
        </w:rPr>
        <w:drawing>
          <wp:inline distT="0" distB="0" distL="0" distR="0" wp14:anchorId="63E343BF" wp14:editId="4FB2E76F">
            <wp:extent cx="5943600" cy="3579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79495"/>
                    </a:xfrm>
                    <a:prstGeom prst="rect">
                      <a:avLst/>
                    </a:prstGeom>
                    <a:noFill/>
                    <a:ln>
                      <a:noFill/>
                    </a:ln>
                  </pic:spPr>
                </pic:pic>
              </a:graphicData>
            </a:graphic>
          </wp:inline>
        </w:drawing>
      </w:r>
    </w:p>
    <w:p w14:paraId="1DB4B72E" w14:textId="77777777" w:rsidR="003700D3" w:rsidRPr="00E95687" w:rsidRDefault="003700D3" w:rsidP="00BC2959">
      <w:pPr>
        <w:pStyle w:val="ListParagraph"/>
        <w:keepNext/>
        <w:spacing w:before="360" w:after="120" w:line="240" w:lineRule="auto"/>
        <w:ind w:left="850"/>
        <w:jc w:val="both"/>
        <w:outlineLvl w:val="0"/>
        <w:rPr>
          <w:rFonts w:ascii="Times New Roman" w:eastAsia="Times New Roman" w:hAnsi="Times New Roman" w:cs="Times New Roman"/>
          <w:b/>
          <w:bCs/>
          <w:smallCaps/>
          <w:noProof/>
          <w:sz w:val="24"/>
          <w:szCs w:val="32"/>
          <w:lang w:val="en-US"/>
        </w:rPr>
      </w:pPr>
    </w:p>
    <w:p w14:paraId="63CACF44" w14:textId="56DE3A66" w:rsidR="00010116" w:rsidRDefault="00010116" w:rsidP="00010116">
      <w:pPr>
        <w:pStyle w:val="ListParagraph"/>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 xml:space="preserve">Észrevételek a 2024. évi mezőgazdasági tartalékkal kapcsolatban  </w:t>
      </w:r>
      <w:bookmarkEnd w:id="13"/>
      <w:bookmarkEnd w:id="14"/>
      <w:bookmarkEnd w:id="15"/>
    </w:p>
    <w:p w14:paraId="4F3E4CCA" w14:textId="03E5C0FA" w:rsidR="003700D3" w:rsidDel="00CC7DB0" w:rsidRDefault="00335B0C" w:rsidP="0050177E">
      <w:pPr>
        <w:spacing w:before="120" w:after="120" w:line="240" w:lineRule="auto"/>
        <w:ind w:left="840"/>
        <w:jc w:val="both"/>
        <w:rPr>
          <w:rFonts w:ascii="Times New Roman" w:eastAsia="Times New Roman" w:hAnsi="Times New Roman" w:cs="Times New Roman"/>
          <w:noProof/>
          <w:sz w:val="24"/>
          <w:szCs w:val="24"/>
        </w:rPr>
      </w:pPr>
      <w:r>
        <w:rPr>
          <w:rFonts w:ascii="Times New Roman" w:hAnsi="Times New Roman"/>
          <w:noProof/>
          <w:sz w:val="24"/>
        </w:rPr>
        <w:t xml:space="preserve">A 2024. évi költségvetésben 832 millió EUR-t különítettek el a mezőgazdasági tartalék céljára, amelyből 315,5 millió EUR-t a 2023. évi költségvetésből vezettek át. </w:t>
      </w:r>
    </w:p>
    <w:p w14:paraId="1DF10818" w14:textId="4DD17E7A" w:rsidR="00DB7409" w:rsidRDefault="003700D3" w:rsidP="0050177E">
      <w:pPr>
        <w:spacing w:before="120" w:after="120" w:line="240" w:lineRule="auto"/>
        <w:ind w:left="840"/>
        <w:jc w:val="both"/>
        <w:rPr>
          <w:rFonts w:ascii="Times New Roman" w:hAnsi="Times New Roman"/>
          <w:noProof/>
          <w:sz w:val="24"/>
        </w:rPr>
      </w:pPr>
      <w:r>
        <w:rPr>
          <w:rFonts w:ascii="Times New Roman" w:hAnsi="Times New Roman"/>
          <w:noProof/>
          <w:sz w:val="24"/>
        </w:rPr>
        <w:t>Két intézkedést fogadtak el, összesen 98,3 millió EUR értékben</w:t>
      </w:r>
      <w:r w:rsidR="005D6441" w:rsidRPr="00DF6A09" w:rsidDel="00CC7DB0">
        <w:rPr>
          <w:rStyle w:val="FootnoteReference"/>
          <w:rFonts w:ascii="Times New Roman" w:eastAsia="Times New Roman" w:hAnsi="Times New Roman" w:cs="Times New Roman"/>
          <w:noProof/>
          <w:sz w:val="24"/>
          <w:szCs w:val="24"/>
        </w:rPr>
        <w:footnoteReference w:id="3"/>
      </w:r>
      <w:r>
        <w:rPr>
          <w:rFonts w:ascii="Times New Roman" w:hAnsi="Times New Roman"/>
          <w:noProof/>
          <w:sz w:val="24"/>
        </w:rPr>
        <w:t xml:space="preserve">. Ezek finanszírozása kizárólag a 2024. évi mezőgazdasági tartalékból, azaz a 2024. évi költségvetésből történik. </w:t>
      </w:r>
    </w:p>
    <w:p w14:paraId="70EC434B" w14:textId="7F6F1B88" w:rsidR="009D4375" w:rsidRPr="0050177E" w:rsidDel="00CC7DB0" w:rsidRDefault="000128E5" w:rsidP="0050177E">
      <w:pPr>
        <w:spacing w:before="120" w:after="120" w:line="240" w:lineRule="auto"/>
        <w:ind w:left="840"/>
        <w:jc w:val="both"/>
        <w:rPr>
          <w:rFonts w:ascii="Times New Roman" w:hAnsi="Times New Roman"/>
          <w:noProof/>
          <w:sz w:val="24"/>
        </w:rPr>
      </w:pPr>
      <w:r>
        <w:rPr>
          <w:rFonts w:ascii="Times New Roman" w:hAnsi="Times New Roman"/>
          <w:noProof/>
          <w:sz w:val="24"/>
        </w:rPr>
        <w:t>Ami a kiadásokat illeti, a tagállamok eddig összesen 375,3 millió EUR-t jelentettek be. A kifizetett összeg a 2023. évi költségvetés keretében elfogadott, de részben a 2024. évi költségvetésből finanszírozott utolsó két rendkívüli intézkedéshez kapcsolódik (második és harmadik csomag).</w:t>
      </w:r>
    </w:p>
    <w:p w14:paraId="09BD0C36" w14:textId="1136C0AD" w:rsidR="00C572C6" w:rsidRDefault="00C572C6" w:rsidP="009D4375">
      <w:pPr>
        <w:pStyle w:val="ListParagraph"/>
        <w:spacing w:before="120" w:after="120" w:line="240" w:lineRule="auto"/>
        <w:ind w:left="2290"/>
        <w:jc w:val="both"/>
        <w:rPr>
          <w:rFonts w:ascii="Times New Roman" w:hAnsi="Times New Roman"/>
          <w:noProof/>
          <w:sz w:val="24"/>
        </w:rPr>
      </w:pPr>
    </w:p>
    <w:p w14:paraId="7C8A747A" w14:textId="27A8594E" w:rsidR="009D4375" w:rsidRPr="009D4375" w:rsidRDefault="009D4375" w:rsidP="009D4375">
      <w:pPr>
        <w:pStyle w:val="ListParagraph"/>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32"/>
        </w:rPr>
      </w:pPr>
      <w:bookmarkStart w:id="20" w:name="_Toc66369575"/>
      <w:bookmarkStart w:id="21" w:name="_Toc147135960"/>
      <w:r>
        <w:rPr>
          <w:rFonts w:ascii="Times New Roman" w:hAnsi="Times New Roman"/>
          <w:b/>
          <w:smallCaps/>
          <w:noProof/>
          <w:sz w:val="24"/>
        </w:rPr>
        <w:t>Észrevételek az EMGA 2024. évi költségvetésének ideiglenes végrehajtásával kapcsolatban</w:t>
      </w:r>
      <w:bookmarkEnd w:id="20"/>
      <w:bookmarkEnd w:id="21"/>
    </w:p>
    <w:p w14:paraId="24DC297C" w14:textId="77777777" w:rsidR="006C2EB6" w:rsidRDefault="00ED2798" w:rsidP="00EF4CCF">
      <w:pPr>
        <w:spacing w:before="120" w:after="120" w:line="240" w:lineRule="auto"/>
        <w:ind w:left="850"/>
        <w:jc w:val="both"/>
        <w:rPr>
          <w:rFonts w:ascii="Times New Roman" w:eastAsia="Times New Roman" w:hAnsi="Times New Roman" w:cs="Times New Roman"/>
          <w:noProof/>
          <w:sz w:val="24"/>
          <w:szCs w:val="24"/>
        </w:rPr>
      </w:pPr>
      <w:bookmarkStart w:id="22" w:name="_Hlk122430466"/>
      <w:r>
        <w:rPr>
          <w:rFonts w:ascii="Times New Roman" w:hAnsi="Times New Roman"/>
          <w:noProof/>
          <w:sz w:val="24"/>
        </w:rPr>
        <w:t>Bizonyos ágazatokban a legtöbb beavatkozástípus esetében a KAP-stratégiai tervekben előírt kiadások végrehajtása a 2023-as pénzügyi évben kezdődött. A tervek szerinti közvetlen kifizetési beavatkozástípusokhoz kapcsolódó első kifizetésekre a 2024-es pénzügyi évben került sor. Ez azt jelenti, hogy gyakorlatilag nem álltak rendelkezésre múltbeli adatok e beavatkozások 2024-es költségvetési évre vonatkozó kiadási profiljának elkészítéséhez. E kiadások havi profilja ezért a piaci ágazatok hasonló kiadásaira és a stratégiai terveken kívüli közvetlen kifizetésekre vonatkozóan megfigyelt múltbeli profilokon alapul, és figyelembe veszi a 2024-es pénzügyi év első két hónapjában eszközölt, tervek szerinti beavatkozások tényleges kiadásait is.</w:t>
      </w:r>
    </w:p>
    <w:p w14:paraId="0C3BB332" w14:textId="4AAA1F44" w:rsidR="00935C0D" w:rsidRDefault="00EF4CCF" w:rsidP="00EF4CCF">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Az EMGA 2024. évi költségvetési előirányzatainak ideiglenes végrehajtása a 2024. március 31-ig tartó időszak tekintetében igen közel áll a kiszámított kiadási profilhoz (−0,5 százalékpont). </w:t>
      </w:r>
    </w:p>
    <w:p w14:paraId="3A349F87" w14:textId="2701BE1F" w:rsidR="00376717" w:rsidRDefault="001D60F1" w:rsidP="00376717">
      <w:pPr>
        <w:pStyle w:val="Text1"/>
        <w:rPr>
          <w:noProof/>
        </w:rPr>
      </w:pPr>
      <w:r>
        <w:rPr>
          <w:noProof/>
        </w:rPr>
        <w:t xml:space="preserve">A tervek szerinti szinte valamennyi ágazati beavatkozástípus (08 02 02) kiadásai esetében lefelé történő eltérés mutatkozik a profilhoz képest, ám kisebb mértékben, mint az előző pénzügyi évben. </w:t>
      </w:r>
    </w:p>
    <w:p w14:paraId="084B7CE0" w14:textId="1EC3FD53" w:rsidR="00CC7DB0" w:rsidRDefault="00EF4CCF" w:rsidP="00EF4CCF">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Eddig 606,2 millió EUR címzett bevétel (6 2 0 0) vált elérhetővé, amelyet a pénzügyi év során várhatóan további összegek egészítenek majd ki.</w:t>
      </w:r>
    </w:p>
    <w:p w14:paraId="526D1186" w14:textId="022B436A" w:rsidR="00010116" w:rsidRPr="001E1BE2" w:rsidRDefault="00EF4CCF" w:rsidP="00374F5D">
      <w:pPr>
        <w:pStyle w:val="Text1"/>
        <w:rPr>
          <w:noProof/>
        </w:rPr>
      </w:pPr>
      <w:r>
        <w:rPr>
          <w:noProof/>
        </w:rPr>
        <w:t>A Bizottság jelenleg úgy ítéli meg, hogy az elfogadott előirányzatok, valamint a költségvetési év végéig elérhetővé váló címzett bevételek összege együtt elegendők lesznek az összes kiadás fedezésére.</w:t>
      </w:r>
      <w:bookmarkStart w:id="23" w:name="_Toc525722902"/>
      <w:bookmarkStart w:id="24" w:name="_Toc525734906"/>
      <w:bookmarkStart w:id="25" w:name="_Toc525736637"/>
      <w:bookmarkStart w:id="26" w:name="_Toc526175165"/>
      <w:bookmarkEnd w:id="23"/>
      <w:bookmarkEnd w:id="24"/>
      <w:bookmarkEnd w:id="25"/>
      <w:bookmarkEnd w:id="26"/>
      <w:bookmarkEnd w:id="22"/>
    </w:p>
    <w:sectPr w:rsidR="00010116" w:rsidRPr="001E1BE2" w:rsidSect="0078603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BAC61" w14:textId="77777777" w:rsidR="00050499" w:rsidRDefault="00050499" w:rsidP="00010116">
      <w:pPr>
        <w:spacing w:after="0" w:line="240" w:lineRule="auto"/>
      </w:pPr>
      <w:r>
        <w:separator/>
      </w:r>
    </w:p>
  </w:endnote>
  <w:endnote w:type="continuationSeparator" w:id="0">
    <w:p w14:paraId="5F3D0DD1" w14:textId="77777777" w:rsidR="00050499" w:rsidRDefault="00050499" w:rsidP="00010116">
      <w:pPr>
        <w:spacing w:after="0" w:line="240" w:lineRule="auto"/>
      </w:pPr>
      <w:r>
        <w:continuationSeparator/>
      </w:r>
    </w:p>
  </w:endnote>
  <w:endnote w:type="continuationNotice" w:id="1">
    <w:p w14:paraId="18D77A12" w14:textId="77777777" w:rsidR="00050499" w:rsidRDefault="00050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E66A" w14:textId="2968F7A2" w:rsidR="003015AD" w:rsidRPr="003015AD" w:rsidRDefault="003015AD" w:rsidP="003015AD">
    <w:pPr>
      <w:pStyle w:val="FooterCoverPage"/>
      <w:rPr>
        <w:rFonts w:ascii="Arial" w:hAnsi="Arial" w:cs="Arial"/>
        <w:b/>
        <w:sz w:val="48"/>
      </w:rPr>
    </w:pPr>
    <w:r w:rsidRPr="003015AD">
      <w:rPr>
        <w:rFonts w:ascii="Arial" w:hAnsi="Arial" w:cs="Arial"/>
        <w:b/>
        <w:sz w:val="48"/>
      </w:rPr>
      <w:t>HU</w:t>
    </w:r>
    <w:r w:rsidRPr="003015AD">
      <w:rPr>
        <w:rFonts w:ascii="Arial" w:hAnsi="Arial" w:cs="Arial"/>
        <w:b/>
        <w:sz w:val="48"/>
      </w:rPr>
      <w:tab/>
    </w:r>
    <w:r w:rsidRPr="003015AD">
      <w:rPr>
        <w:rFonts w:ascii="Arial" w:hAnsi="Arial" w:cs="Arial"/>
        <w:b/>
        <w:sz w:val="48"/>
      </w:rPr>
      <w:tab/>
    </w:r>
    <w:r w:rsidRPr="003015AD">
      <w:tab/>
    </w:r>
    <w:r w:rsidRPr="003015AD">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F973" w14:textId="46847DA4" w:rsidR="003015AD" w:rsidRPr="003015AD" w:rsidRDefault="003015AD" w:rsidP="003015AD">
    <w:pPr>
      <w:pStyle w:val="FooterCoverPage"/>
      <w:rPr>
        <w:rFonts w:ascii="Arial" w:hAnsi="Arial" w:cs="Arial"/>
        <w:b/>
        <w:sz w:val="48"/>
      </w:rPr>
    </w:pPr>
    <w:r w:rsidRPr="003015AD">
      <w:rPr>
        <w:rFonts w:ascii="Arial" w:hAnsi="Arial" w:cs="Arial"/>
        <w:b/>
        <w:sz w:val="48"/>
      </w:rPr>
      <w:t>HU</w:t>
    </w:r>
    <w:r w:rsidRPr="003015AD">
      <w:rPr>
        <w:rFonts w:ascii="Arial" w:hAnsi="Arial" w:cs="Arial"/>
        <w:b/>
        <w:sz w:val="48"/>
      </w:rPr>
      <w:tab/>
    </w:r>
    <w:r w:rsidRPr="003015AD">
      <w:rPr>
        <w:rFonts w:ascii="Arial" w:hAnsi="Arial" w:cs="Arial"/>
        <w:b/>
        <w:sz w:val="48"/>
      </w:rPr>
      <w:tab/>
    </w:r>
    <w:r w:rsidRPr="003015AD">
      <w:tab/>
    </w:r>
    <w:r w:rsidRPr="003015AD">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996D" w14:textId="77777777" w:rsidR="003015AD" w:rsidRPr="003015AD" w:rsidRDefault="003015AD" w:rsidP="003015A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072C" w14:textId="77777777" w:rsidR="002A634A" w:rsidRPr="00F4454F" w:rsidRDefault="002A634A" w:rsidP="00F445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297250"/>
      <w:docPartObj>
        <w:docPartGallery w:val="Page Numbers (Bottom of Page)"/>
        <w:docPartUnique/>
      </w:docPartObj>
    </w:sdtPr>
    <w:sdtEndPr>
      <w:rPr>
        <w:noProof/>
      </w:rPr>
    </w:sdtEndPr>
    <w:sdtContent>
      <w:p w14:paraId="4E4AC9B4" w14:textId="08C1B6FD" w:rsidR="002A634A" w:rsidRDefault="00877BE2">
        <w:pPr>
          <w:pStyle w:val="Footer"/>
          <w:jc w:val="center"/>
        </w:pPr>
        <w:r>
          <w:fldChar w:fldCharType="begin"/>
        </w:r>
        <w:r>
          <w:instrText xml:space="preserve"> PAGE   \* MERGEFORMAT </w:instrText>
        </w:r>
        <w:r>
          <w:fldChar w:fldCharType="separate"/>
        </w:r>
        <w:r w:rsidR="003015AD">
          <w:rPr>
            <w:noProof/>
          </w:rPr>
          <w:t>1</w:t>
        </w:r>
        <w:r>
          <w:fldChar w:fldCharType="end"/>
        </w:r>
      </w:p>
    </w:sdtContent>
  </w:sdt>
  <w:p w14:paraId="2628DA8E" w14:textId="77777777" w:rsidR="002A634A" w:rsidRPr="00F4454F" w:rsidRDefault="002A634A" w:rsidP="00F4454F">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6A84E" w14:textId="77777777" w:rsidR="002A634A" w:rsidRPr="00F4454F" w:rsidRDefault="002A634A" w:rsidP="00F4454F">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A56A0" w14:textId="77777777" w:rsidR="00050499" w:rsidRDefault="00050499" w:rsidP="00010116">
      <w:pPr>
        <w:spacing w:after="0" w:line="240" w:lineRule="auto"/>
      </w:pPr>
      <w:r>
        <w:separator/>
      </w:r>
    </w:p>
  </w:footnote>
  <w:footnote w:type="continuationSeparator" w:id="0">
    <w:p w14:paraId="3C74AE6E" w14:textId="77777777" w:rsidR="00050499" w:rsidRDefault="00050499" w:rsidP="00010116">
      <w:pPr>
        <w:spacing w:after="0" w:line="240" w:lineRule="auto"/>
      </w:pPr>
      <w:r>
        <w:continuationSeparator/>
      </w:r>
    </w:p>
  </w:footnote>
  <w:footnote w:type="continuationNotice" w:id="1">
    <w:p w14:paraId="3D646A91" w14:textId="77777777" w:rsidR="00050499" w:rsidRDefault="00050499">
      <w:pPr>
        <w:spacing w:after="0" w:line="240" w:lineRule="auto"/>
      </w:pPr>
    </w:p>
  </w:footnote>
  <w:footnote w:id="2">
    <w:p w14:paraId="569E9102" w14:textId="77777777" w:rsidR="00D677E6" w:rsidRPr="00AC0ACC" w:rsidRDefault="00D677E6" w:rsidP="00D677E6">
      <w:pPr>
        <w:pStyle w:val="FootnoteText"/>
        <w:spacing w:after="60"/>
        <w:ind w:left="851" w:hanging="851"/>
        <w:jc w:val="both"/>
      </w:pPr>
      <w:r>
        <w:rPr>
          <w:rStyle w:val="FootnoteReference"/>
          <w:rFonts w:ascii="Times New Roman" w:hAnsi="Times New Roman"/>
        </w:rPr>
        <w:footnoteRef/>
      </w:r>
      <w:r>
        <w:tab/>
      </w:r>
      <w:r>
        <w:rPr>
          <w:rFonts w:ascii="Times New Roman" w:hAnsi="Times New Roman"/>
        </w:rPr>
        <w:t>Az Unió általános költségvetésére alkalmazandó pénzügyi szabályokról szóló (EU, Euratom) 2018/1046 európai parlamenti és tanácsi rendelet 12. cikke (4) bekezdésének b) pontja értelmében a belső címzett bevételeknek megfelelő előirányzatokat kizárólag a következő pénzügyi évre lehet átvinni.</w:t>
      </w:r>
      <w:r>
        <w:t xml:space="preserve"> </w:t>
      </w:r>
      <w:r>
        <w:rPr>
          <w:rFonts w:ascii="Times New Roman" w:hAnsi="Times New Roman"/>
        </w:rPr>
        <w:t>Ezért a hatékony és eredményes költségvetési gazdálkodás érdekében ezek a címzett bevételek általában elsőként, az érintett költségvetési jogcímcsoport elfogadott előirányzatainak felhasználását megelőzően kerülnek felhasználásra.</w:t>
      </w:r>
    </w:p>
  </w:footnote>
  <w:footnote w:id="3">
    <w:p w14:paraId="7995B5B0" w14:textId="63A43C66" w:rsidR="003D6ECA" w:rsidRPr="004E5493" w:rsidRDefault="005D6441" w:rsidP="00EA27C1">
      <w:pPr>
        <w:pStyle w:val="FootnoteText"/>
        <w:rPr>
          <w:rFonts w:ascii="Times New Roman" w:hAnsi="Times New Roman" w:cs="Times New Roman"/>
        </w:rPr>
      </w:pPr>
      <w:r>
        <w:rPr>
          <w:rStyle w:val="FootnoteReference"/>
        </w:rPr>
        <w:footnoteRef/>
      </w:r>
      <w:r>
        <w:tab/>
      </w:r>
      <w:r>
        <w:rPr>
          <w:rFonts w:ascii="Times New Roman" w:hAnsi="Times New Roman"/>
        </w:rPr>
        <w:t xml:space="preserve">A Bizottság (EU) 2023/2820 végrehajtási rendelete (2023. december 15.) Görögországban és Szlovéniában a természeti katasztrófák által sújtott mezőgazdasági ágazatoknak szánt szükséghelyzeti pénzügyi támogatásról </w:t>
      </w:r>
      <w:r>
        <w:rPr>
          <w:rFonts w:ascii="Times New Roman" w:hAnsi="Times New Roman"/>
          <w:i/>
        </w:rPr>
        <w:t xml:space="preserve">(HL L 2023/2820., 2023.12.18., ELI: </w:t>
      </w:r>
      <w:hyperlink r:id="rId1" w:tgtFrame="_blank" w:tooltip="Az ELI (európai jogszabály-azonosító) URI-hivatkozása révén biztosít hozzáférést a dokumentumhoz." w:history="1">
        <w:r>
          <w:rPr>
            <w:rStyle w:val="Hyperlink"/>
            <w:rFonts w:ascii="Times New Roman" w:hAnsi="Times New Roman"/>
            <w:i/>
          </w:rPr>
          <w:t>http://data.europa.eu/eli/reg_impl/2023/2820/oj</w:t>
        </w:r>
      </w:hyperlink>
      <w:r>
        <w:rPr>
          <w:rFonts w:ascii="Times New Roman" w:hAnsi="Times New Roman"/>
          <w:i/>
        </w:rPr>
        <w:t>)</w:t>
      </w:r>
      <w:r>
        <w:rPr>
          <w:rFonts w:ascii="Times New Roman" w:hAnsi="Times New Roman"/>
        </w:rPr>
        <w:t xml:space="preserve">; A Bizottság (EU) 2024/453 végrehajtási rendelete (2024. február 5.) az olaszországi tojás- és baromfihús-ágazatot érintő rendkívüli piactámogatási intézkedésekről </w:t>
      </w:r>
      <w:r>
        <w:rPr>
          <w:rFonts w:ascii="Times New Roman" w:hAnsi="Times New Roman"/>
          <w:i/>
        </w:rPr>
        <w:t xml:space="preserve">(HL L 2024/453., 2024.2.6., ELI: </w:t>
      </w:r>
      <w:hyperlink r:id="rId2" w:tgtFrame="_blank" w:tooltip="Az ELI (európai jogszabály-azonosító) URI-hivatkozása révén biztosít hozzáférést a dokumentumhoz." w:history="1">
        <w:r>
          <w:rPr>
            <w:rStyle w:val="Hyperlink"/>
            <w:rFonts w:ascii="Times New Roman" w:hAnsi="Times New Roman"/>
            <w:i/>
          </w:rPr>
          <w:t>http://data.europa.eu/eli/reg_impl/2024/453/oj</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EAB3" w14:textId="77777777" w:rsidR="003015AD" w:rsidRPr="003015AD" w:rsidRDefault="003015AD" w:rsidP="003015A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EBEF" w14:textId="77777777" w:rsidR="003015AD" w:rsidRPr="003015AD" w:rsidRDefault="003015AD" w:rsidP="003015A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514A" w14:textId="77777777" w:rsidR="003015AD" w:rsidRPr="003015AD" w:rsidRDefault="003015AD" w:rsidP="003015A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D529" w14:textId="77777777" w:rsidR="002A634A" w:rsidRPr="00F4454F" w:rsidRDefault="002A634A" w:rsidP="00F445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218F" w14:textId="77777777" w:rsidR="002A634A" w:rsidRPr="00F4454F" w:rsidRDefault="002A634A" w:rsidP="00F4454F">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5B4CF" w14:textId="77777777" w:rsidR="002A634A" w:rsidRPr="00F4454F" w:rsidRDefault="002A634A" w:rsidP="00F4454F">
    <w:pPr>
      <w:pStyle w:val="HeaderCover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697"/>
    <w:multiLevelType w:val="hybridMultilevel"/>
    <w:tmpl w:val="65E208FE"/>
    <w:lvl w:ilvl="0" w:tplc="18090001">
      <w:start w:val="1"/>
      <w:numFmt w:val="bullet"/>
      <w:lvlText w:val=""/>
      <w:lvlJc w:val="left"/>
      <w:pPr>
        <w:ind w:left="1570" w:hanging="360"/>
      </w:pPr>
      <w:rPr>
        <w:rFonts w:ascii="Symbol" w:hAnsi="Symbol" w:hint="default"/>
      </w:rPr>
    </w:lvl>
    <w:lvl w:ilvl="1" w:tplc="18090003">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1" w15:restartNumberingAfterBreak="0">
    <w:nsid w:val="12E871E7"/>
    <w:multiLevelType w:val="hybridMultilevel"/>
    <w:tmpl w:val="E9C0EF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2D850A4A"/>
    <w:multiLevelType w:val="hybridMultilevel"/>
    <w:tmpl w:val="BEA8B052"/>
    <w:lvl w:ilvl="0" w:tplc="04090001">
      <w:start w:val="1"/>
      <w:numFmt w:val="bullet"/>
      <w:lvlText w:val=""/>
      <w:lvlJc w:val="left"/>
      <w:pPr>
        <w:ind w:left="1630" w:hanging="360"/>
      </w:pPr>
      <w:rPr>
        <w:rFonts w:ascii="Symbol" w:hAnsi="Symbol"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3" w15:restartNumberingAfterBreak="0">
    <w:nsid w:val="4E1A982C"/>
    <w:multiLevelType w:val="multilevel"/>
    <w:tmpl w:val="C2AA8F80"/>
    <w:name w:val="ListBulletNumbering"/>
    <w:lvl w:ilvl="0">
      <w:start w:val="1"/>
      <w:numFmt w:val="bullet"/>
      <w:pStyle w:val="ListBullet"/>
      <w:lvlText w:val=""/>
      <w:lvlJc w:val="left"/>
      <w:pPr>
        <w:tabs>
          <w:tab w:val="num" w:pos="567"/>
        </w:tabs>
        <w:ind w:left="567" w:hanging="283"/>
      </w:pPr>
      <w:rPr>
        <w:rFonts w:ascii="Symbol" w:hAnsi="Symbol"/>
      </w:rPr>
    </w:lvl>
    <w:lvl w:ilvl="1">
      <w:start w:val="1"/>
      <w:numFmt w:val="bullet"/>
      <w:pStyle w:val="ListBulletLevel2"/>
      <w:lvlText w:val=""/>
      <w:lvlJc w:val="left"/>
      <w:pPr>
        <w:tabs>
          <w:tab w:val="num" w:pos="851"/>
        </w:tabs>
        <w:ind w:left="851" w:hanging="284"/>
      </w:pPr>
      <w:rPr>
        <w:rFonts w:ascii="Symbol" w:hAnsi="Symbol"/>
      </w:rPr>
    </w:lvl>
    <w:lvl w:ilvl="2">
      <w:start w:val="1"/>
      <w:numFmt w:val="bullet"/>
      <w:pStyle w:val="ListBulletLevel3"/>
      <w:lvlText w:val=""/>
      <w:lvlJc w:val="left"/>
      <w:pPr>
        <w:tabs>
          <w:tab w:val="num" w:pos="1134"/>
        </w:tabs>
        <w:ind w:left="1134" w:hanging="283"/>
      </w:pPr>
      <w:rPr>
        <w:rFonts w:ascii="Symbol" w:hAnsi="Symbol"/>
      </w:rPr>
    </w:lvl>
    <w:lvl w:ilvl="3">
      <w:start w:val="1"/>
      <w:numFmt w:val="bullet"/>
      <w:pStyle w:val="ListBulletLevel4"/>
      <w:lvlText w:val=""/>
      <w:lvlJc w:val="left"/>
      <w:pPr>
        <w:tabs>
          <w:tab w:val="num" w:pos="1418"/>
        </w:tabs>
        <w:ind w:left="1418"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64A12FA4"/>
    <w:multiLevelType w:val="multilevel"/>
    <w:tmpl w:val="428ECF3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
  </w:num>
  <w:num w:numId="3">
    <w:abstractNumId w:val="3"/>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99235AC-01A9-4831-B218-3FA865879E2E"/>
    <w:docVar w:name="LW_COVERPAGE_TYPE" w:val="1"/>
    <w:docVar w:name="LW_CROSSREFERENCE" w:val="&lt;UNUSED&gt;"/>
    <w:docVar w:name="LW_DocType" w:val="NORMAL"/>
    <w:docVar w:name="LW_EMISSION" w:val="2024.7.18."/>
    <w:docVar w:name="LW_EMISSION_ISODATE" w:val="2024-07-18"/>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4) 31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MGA-ból fedezett kiadásokról_x000d__x000d__x000d__x000d__x000d__x000d__x000d__x000d__x000d__x000d__x000d__x000d__x000d__x000d__x000d__x000d__x000d__x000b_Korai el\u337?rejelz\u337? rendszer, 2024/1-6. szám"/>
    <w:docVar w:name="LW_TYPE.DOC.CP" w:val="A BIZOTTSÁG JELENTÉSE AZ EURÓPAI PARLAMENTNEK ÉS A TANÁCSNAK"/>
    <w:docVar w:name="LwApiVersions" w:val="LW4CoDe 1.24.5.0; LW 9.0, Build 20240221"/>
  </w:docVars>
  <w:rsids>
    <w:rsidRoot w:val="00010116"/>
    <w:rsid w:val="000004CF"/>
    <w:rsid w:val="000014F9"/>
    <w:rsid w:val="000028A8"/>
    <w:rsid w:val="00004AF1"/>
    <w:rsid w:val="00010116"/>
    <w:rsid w:val="00012113"/>
    <w:rsid w:val="000128E5"/>
    <w:rsid w:val="00021561"/>
    <w:rsid w:val="0002621E"/>
    <w:rsid w:val="00026438"/>
    <w:rsid w:val="00026F4F"/>
    <w:rsid w:val="00027293"/>
    <w:rsid w:val="00031470"/>
    <w:rsid w:val="00035A43"/>
    <w:rsid w:val="00036024"/>
    <w:rsid w:val="00044A51"/>
    <w:rsid w:val="00050499"/>
    <w:rsid w:val="00051725"/>
    <w:rsid w:val="00052939"/>
    <w:rsid w:val="00055ACB"/>
    <w:rsid w:val="00056F76"/>
    <w:rsid w:val="00060405"/>
    <w:rsid w:val="00067E56"/>
    <w:rsid w:val="00070C67"/>
    <w:rsid w:val="00071F17"/>
    <w:rsid w:val="00072B14"/>
    <w:rsid w:val="00073D2D"/>
    <w:rsid w:val="00074BE9"/>
    <w:rsid w:val="000777EC"/>
    <w:rsid w:val="00082D7A"/>
    <w:rsid w:val="00084895"/>
    <w:rsid w:val="000848AD"/>
    <w:rsid w:val="00092FEA"/>
    <w:rsid w:val="00094A25"/>
    <w:rsid w:val="000974A0"/>
    <w:rsid w:val="000A10E3"/>
    <w:rsid w:val="000A1B97"/>
    <w:rsid w:val="000A3FC8"/>
    <w:rsid w:val="000A6E6C"/>
    <w:rsid w:val="000B1604"/>
    <w:rsid w:val="000B25D0"/>
    <w:rsid w:val="000B2762"/>
    <w:rsid w:val="000B3A91"/>
    <w:rsid w:val="000C20D1"/>
    <w:rsid w:val="000C5265"/>
    <w:rsid w:val="000D13B4"/>
    <w:rsid w:val="000D5BBD"/>
    <w:rsid w:val="000E2FEA"/>
    <w:rsid w:val="000E3618"/>
    <w:rsid w:val="000F1099"/>
    <w:rsid w:val="000F4780"/>
    <w:rsid w:val="00104B71"/>
    <w:rsid w:val="00114E0A"/>
    <w:rsid w:val="00120994"/>
    <w:rsid w:val="00131C6C"/>
    <w:rsid w:val="001349FB"/>
    <w:rsid w:val="0014195F"/>
    <w:rsid w:val="00143C91"/>
    <w:rsid w:val="00146667"/>
    <w:rsid w:val="0015425A"/>
    <w:rsid w:val="001547B9"/>
    <w:rsid w:val="00161BF3"/>
    <w:rsid w:val="001724A2"/>
    <w:rsid w:val="001743FB"/>
    <w:rsid w:val="00182D83"/>
    <w:rsid w:val="00183F01"/>
    <w:rsid w:val="00185B46"/>
    <w:rsid w:val="00187427"/>
    <w:rsid w:val="00190E84"/>
    <w:rsid w:val="00191178"/>
    <w:rsid w:val="001922D3"/>
    <w:rsid w:val="001930F6"/>
    <w:rsid w:val="001A40B0"/>
    <w:rsid w:val="001B1AC1"/>
    <w:rsid w:val="001B5298"/>
    <w:rsid w:val="001B5A55"/>
    <w:rsid w:val="001B7B92"/>
    <w:rsid w:val="001C0EE2"/>
    <w:rsid w:val="001D02EB"/>
    <w:rsid w:val="001D4660"/>
    <w:rsid w:val="001D60F1"/>
    <w:rsid w:val="001E1BE2"/>
    <w:rsid w:val="001F0011"/>
    <w:rsid w:val="001F271D"/>
    <w:rsid w:val="001F2DAD"/>
    <w:rsid w:val="001F32A8"/>
    <w:rsid w:val="001F5CF5"/>
    <w:rsid w:val="001F7B7B"/>
    <w:rsid w:val="001F7BB1"/>
    <w:rsid w:val="00204F37"/>
    <w:rsid w:val="0020521C"/>
    <w:rsid w:val="002201FF"/>
    <w:rsid w:val="00221E55"/>
    <w:rsid w:val="00224A64"/>
    <w:rsid w:val="0023735E"/>
    <w:rsid w:val="00241CA0"/>
    <w:rsid w:val="00242EF6"/>
    <w:rsid w:val="00243011"/>
    <w:rsid w:val="002457DD"/>
    <w:rsid w:val="00247C48"/>
    <w:rsid w:val="00250F09"/>
    <w:rsid w:val="002514F1"/>
    <w:rsid w:val="00257947"/>
    <w:rsid w:val="00260986"/>
    <w:rsid w:val="00261842"/>
    <w:rsid w:val="00261DDB"/>
    <w:rsid w:val="00261E97"/>
    <w:rsid w:val="00264E17"/>
    <w:rsid w:val="0027086F"/>
    <w:rsid w:val="002827E1"/>
    <w:rsid w:val="00283640"/>
    <w:rsid w:val="00283787"/>
    <w:rsid w:val="00285535"/>
    <w:rsid w:val="00287E48"/>
    <w:rsid w:val="00290C8E"/>
    <w:rsid w:val="00296553"/>
    <w:rsid w:val="002A33F2"/>
    <w:rsid w:val="002A3943"/>
    <w:rsid w:val="002A439A"/>
    <w:rsid w:val="002A634A"/>
    <w:rsid w:val="002A64B8"/>
    <w:rsid w:val="002C458A"/>
    <w:rsid w:val="002D0D27"/>
    <w:rsid w:val="002E1F37"/>
    <w:rsid w:val="002E2927"/>
    <w:rsid w:val="002E47CA"/>
    <w:rsid w:val="002E4A80"/>
    <w:rsid w:val="002F51E0"/>
    <w:rsid w:val="00300DAA"/>
    <w:rsid w:val="003015AD"/>
    <w:rsid w:val="00302B5A"/>
    <w:rsid w:val="00303147"/>
    <w:rsid w:val="0030622F"/>
    <w:rsid w:val="00310CDF"/>
    <w:rsid w:val="00317927"/>
    <w:rsid w:val="00317E5F"/>
    <w:rsid w:val="003203B6"/>
    <w:rsid w:val="00326E0F"/>
    <w:rsid w:val="0032751E"/>
    <w:rsid w:val="00327F2F"/>
    <w:rsid w:val="003324BD"/>
    <w:rsid w:val="0033576F"/>
    <w:rsid w:val="00335B0C"/>
    <w:rsid w:val="003363F3"/>
    <w:rsid w:val="00337E78"/>
    <w:rsid w:val="003431AC"/>
    <w:rsid w:val="00346D32"/>
    <w:rsid w:val="00351CDD"/>
    <w:rsid w:val="00352690"/>
    <w:rsid w:val="00355354"/>
    <w:rsid w:val="00355E93"/>
    <w:rsid w:val="00360685"/>
    <w:rsid w:val="00362A6E"/>
    <w:rsid w:val="00362C2F"/>
    <w:rsid w:val="00362E22"/>
    <w:rsid w:val="00367011"/>
    <w:rsid w:val="0036777F"/>
    <w:rsid w:val="003700D3"/>
    <w:rsid w:val="00371E68"/>
    <w:rsid w:val="00374F5D"/>
    <w:rsid w:val="00376717"/>
    <w:rsid w:val="003834B7"/>
    <w:rsid w:val="00390C9B"/>
    <w:rsid w:val="00390CCD"/>
    <w:rsid w:val="0039166B"/>
    <w:rsid w:val="003926D1"/>
    <w:rsid w:val="003951A7"/>
    <w:rsid w:val="003961C3"/>
    <w:rsid w:val="003A2FDD"/>
    <w:rsid w:val="003B593D"/>
    <w:rsid w:val="003C00DC"/>
    <w:rsid w:val="003C568E"/>
    <w:rsid w:val="003C5828"/>
    <w:rsid w:val="003C7992"/>
    <w:rsid w:val="003D41A1"/>
    <w:rsid w:val="003D4E71"/>
    <w:rsid w:val="003D577A"/>
    <w:rsid w:val="003D6ECA"/>
    <w:rsid w:val="003F04B3"/>
    <w:rsid w:val="003F5658"/>
    <w:rsid w:val="0040101B"/>
    <w:rsid w:val="00410BC3"/>
    <w:rsid w:val="00410BEC"/>
    <w:rsid w:val="00412155"/>
    <w:rsid w:val="004137D6"/>
    <w:rsid w:val="00415ED1"/>
    <w:rsid w:val="00417470"/>
    <w:rsid w:val="00423D9D"/>
    <w:rsid w:val="004256F9"/>
    <w:rsid w:val="00425E03"/>
    <w:rsid w:val="004348E2"/>
    <w:rsid w:val="004349D0"/>
    <w:rsid w:val="0043740A"/>
    <w:rsid w:val="0044339A"/>
    <w:rsid w:val="004514F7"/>
    <w:rsid w:val="00453500"/>
    <w:rsid w:val="004566BF"/>
    <w:rsid w:val="0046463C"/>
    <w:rsid w:val="00465F5B"/>
    <w:rsid w:val="00466072"/>
    <w:rsid w:val="004677BD"/>
    <w:rsid w:val="00471E64"/>
    <w:rsid w:val="00473CD5"/>
    <w:rsid w:val="00481798"/>
    <w:rsid w:val="004826FC"/>
    <w:rsid w:val="00483409"/>
    <w:rsid w:val="00491877"/>
    <w:rsid w:val="004A3000"/>
    <w:rsid w:val="004A3063"/>
    <w:rsid w:val="004A3443"/>
    <w:rsid w:val="004A5C7E"/>
    <w:rsid w:val="004A7D7C"/>
    <w:rsid w:val="004B2248"/>
    <w:rsid w:val="004C04F9"/>
    <w:rsid w:val="004C1C59"/>
    <w:rsid w:val="004C5B78"/>
    <w:rsid w:val="004D3664"/>
    <w:rsid w:val="004D463E"/>
    <w:rsid w:val="004D53BC"/>
    <w:rsid w:val="004D7EAB"/>
    <w:rsid w:val="004E0E13"/>
    <w:rsid w:val="004E3B71"/>
    <w:rsid w:val="004E5493"/>
    <w:rsid w:val="004E5EA0"/>
    <w:rsid w:val="004E65AA"/>
    <w:rsid w:val="004F1032"/>
    <w:rsid w:val="004F19D6"/>
    <w:rsid w:val="004F520E"/>
    <w:rsid w:val="0050177E"/>
    <w:rsid w:val="005019A4"/>
    <w:rsid w:val="0051319B"/>
    <w:rsid w:val="005154EA"/>
    <w:rsid w:val="005157ED"/>
    <w:rsid w:val="005160CD"/>
    <w:rsid w:val="005277C8"/>
    <w:rsid w:val="0053469F"/>
    <w:rsid w:val="0053638B"/>
    <w:rsid w:val="00551562"/>
    <w:rsid w:val="00552B7A"/>
    <w:rsid w:val="0055498F"/>
    <w:rsid w:val="0055682C"/>
    <w:rsid w:val="00564DD1"/>
    <w:rsid w:val="00565091"/>
    <w:rsid w:val="0056551C"/>
    <w:rsid w:val="00565EA1"/>
    <w:rsid w:val="00576C20"/>
    <w:rsid w:val="00580CEC"/>
    <w:rsid w:val="00582B36"/>
    <w:rsid w:val="00593AB4"/>
    <w:rsid w:val="005A14A3"/>
    <w:rsid w:val="005B038C"/>
    <w:rsid w:val="005B163F"/>
    <w:rsid w:val="005B46F4"/>
    <w:rsid w:val="005B4DDB"/>
    <w:rsid w:val="005B5871"/>
    <w:rsid w:val="005B60D3"/>
    <w:rsid w:val="005B6A7E"/>
    <w:rsid w:val="005B6D43"/>
    <w:rsid w:val="005B70EA"/>
    <w:rsid w:val="005B7BAF"/>
    <w:rsid w:val="005C4811"/>
    <w:rsid w:val="005C5606"/>
    <w:rsid w:val="005C6A2C"/>
    <w:rsid w:val="005D0B86"/>
    <w:rsid w:val="005D1E7B"/>
    <w:rsid w:val="005D3CC8"/>
    <w:rsid w:val="005D6441"/>
    <w:rsid w:val="005E16D4"/>
    <w:rsid w:val="005E2C15"/>
    <w:rsid w:val="005E33C8"/>
    <w:rsid w:val="005E4161"/>
    <w:rsid w:val="005E421F"/>
    <w:rsid w:val="005E5640"/>
    <w:rsid w:val="005F0686"/>
    <w:rsid w:val="005F36F3"/>
    <w:rsid w:val="005F6797"/>
    <w:rsid w:val="005F69ED"/>
    <w:rsid w:val="005F722E"/>
    <w:rsid w:val="00605291"/>
    <w:rsid w:val="00610A38"/>
    <w:rsid w:val="00611D3E"/>
    <w:rsid w:val="00612332"/>
    <w:rsid w:val="006202A6"/>
    <w:rsid w:val="006203F3"/>
    <w:rsid w:val="00620CD6"/>
    <w:rsid w:val="0062126C"/>
    <w:rsid w:val="006256C5"/>
    <w:rsid w:val="0062765C"/>
    <w:rsid w:val="006341E0"/>
    <w:rsid w:val="00634E89"/>
    <w:rsid w:val="00637618"/>
    <w:rsid w:val="00645227"/>
    <w:rsid w:val="0064687D"/>
    <w:rsid w:val="00654840"/>
    <w:rsid w:val="0066056C"/>
    <w:rsid w:val="0066619E"/>
    <w:rsid w:val="00671E08"/>
    <w:rsid w:val="0069238C"/>
    <w:rsid w:val="0069684A"/>
    <w:rsid w:val="00697C2D"/>
    <w:rsid w:val="006A2E76"/>
    <w:rsid w:val="006A7921"/>
    <w:rsid w:val="006B05CF"/>
    <w:rsid w:val="006B0EEF"/>
    <w:rsid w:val="006B1F93"/>
    <w:rsid w:val="006B1F99"/>
    <w:rsid w:val="006B47CF"/>
    <w:rsid w:val="006C20E8"/>
    <w:rsid w:val="006C2EB6"/>
    <w:rsid w:val="006C6EA7"/>
    <w:rsid w:val="006D08E9"/>
    <w:rsid w:val="006D3BB7"/>
    <w:rsid w:val="006D6313"/>
    <w:rsid w:val="006E37F7"/>
    <w:rsid w:val="006E503F"/>
    <w:rsid w:val="007002DC"/>
    <w:rsid w:val="00707CD4"/>
    <w:rsid w:val="00710136"/>
    <w:rsid w:val="00712712"/>
    <w:rsid w:val="00716467"/>
    <w:rsid w:val="007171A2"/>
    <w:rsid w:val="00722982"/>
    <w:rsid w:val="007233FF"/>
    <w:rsid w:val="00725492"/>
    <w:rsid w:val="00730CF7"/>
    <w:rsid w:val="00731301"/>
    <w:rsid w:val="00731C61"/>
    <w:rsid w:val="007322F9"/>
    <w:rsid w:val="0073326A"/>
    <w:rsid w:val="007352D9"/>
    <w:rsid w:val="0073697C"/>
    <w:rsid w:val="0073713F"/>
    <w:rsid w:val="00740010"/>
    <w:rsid w:val="007401F1"/>
    <w:rsid w:val="00740EF5"/>
    <w:rsid w:val="00744CB0"/>
    <w:rsid w:val="00746AE7"/>
    <w:rsid w:val="00754DE9"/>
    <w:rsid w:val="00761828"/>
    <w:rsid w:val="00767140"/>
    <w:rsid w:val="0077093E"/>
    <w:rsid w:val="007717DF"/>
    <w:rsid w:val="00771BC9"/>
    <w:rsid w:val="007745B0"/>
    <w:rsid w:val="00780E2D"/>
    <w:rsid w:val="007856DE"/>
    <w:rsid w:val="007868ED"/>
    <w:rsid w:val="0079035F"/>
    <w:rsid w:val="00790C5B"/>
    <w:rsid w:val="00792238"/>
    <w:rsid w:val="00797744"/>
    <w:rsid w:val="007A280A"/>
    <w:rsid w:val="007A283A"/>
    <w:rsid w:val="007A2CCD"/>
    <w:rsid w:val="007A3C48"/>
    <w:rsid w:val="007B12DE"/>
    <w:rsid w:val="007B5949"/>
    <w:rsid w:val="007C1316"/>
    <w:rsid w:val="007C351D"/>
    <w:rsid w:val="007C6F8D"/>
    <w:rsid w:val="007E1F8D"/>
    <w:rsid w:val="007F459A"/>
    <w:rsid w:val="007F6597"/>
    <w:rsid w:val="00800324"/>
    <w:rsid w:val="00801035"/>
    <w:rsid w:val="008039AF"/>
    <w:rsid w:val="00811252"/>
    <w:rsid w:val="008115A4"/>
    <w:rsid w:val="00812100"/>
    <w:rsid w:val="00814013"/>
    <w:rsid w:val="0081627C"/>
    <w:rsid w:val="00817012"/>
    <w:rsid w:val="00821A24"/>
    <w:rsid w:val="00821C26"/>
    <w:rsid w:val="00822F09"/>
    <w:rsid w:val="008233C4"/>
    <w:rsid w:val="008318EA"/>
    <w:rsid w:val="0083401A"/>
    <w:rsid w:val="00836577"/>
    <w:rsid w:val="00841ED3"/>
    <w:rsid w:val="00843E31"/>
    <w:rsid w:val="008475E9"/>
    <w:rsid w:val="008574FC"/>
    <w:rsid w:val="00864149"/>
    <w:rsid w:val="008650F9"/>
    <w:rsid w:val="00877BE2"/>
    <w:rsid w:val="00884F06"/>
    <w:rsid w:val="008901E4"/>
    <w:rsid w:val="00895BFE"/>
    <w:rsid w:val="008A230F"/>
    <w:rsid w:val="008A4C3B"/>
    <w:rsid w:val="008A65E8"/>
    <w:rsid w:val="008A7D14"/>
    <w:rsid w:val="008B1774"/>
    <w:rsid w:val="008B36A1"/>
    <w:rsid w:val="008B3C67"/>
    <w:rsid w:val="008B5222"/>
    <w:rsid w:val="008C6F0A"/>
    <w:rsid w:val="008C7D72"/>
    <w:rsid w:val="008D2CD4"/>
    <w:rsid w:val="008D6E02"/>
    <w:rsid w:val="008F18D8"/>
    <w:rsid w:val="008F4CDE"/>
    <w:rsid w:val="00905886"/>
    <w:rsid w:val="00906873"/>
    <w:rsid w:val="0091209B"/>
    <w:rsid w:val="00917786"/>
    <w:rsid w:val="00917902"/>
    <w:rsid w:val="00917E02"/>
    <w:rsid w:val="00921814"/>
    <w:rsid w:val="0092794B"/>
    <w:rsid w:val="00932059"/>
    <w:rsid w:val="00935C0D"/>
    <w:rsid w:val="009444B4"/>
    <w:rsid w:val="0094486B"/>
    <w:rsid w:val="00944E40"/>
    <w:rsid w:val="00955039"/>
    <w:rsid w:val="009566DA"/>
    <w:rsid w:val="00957562"/>
    <w:rsid w:val="009615C3"/>
    <w:rsid w:val="009628CE"/>
    <w:rsid w:val="0096743B"/>
    <w:rsid w:val="00970DF3"/>
    <w:rsid w:val="00971E21"/>
    <w:rsid w:val="00974935"/>
    <w:rsid w:val="00975849"/>
    <w:rsid w:val="00983E11"/>
    <w:rsid w:val="0098608D"/>
    <w:rsid w:val="009909F4"/>
    <w:rsid w:val="009B00F8"/>
    <w:rsid w:val="009B0EA3"/>
    <w:rsid w:val="009B17A0"/>
    <w:rsid w:val="009B5BBA"/>
    <w:rsid w:val="009C0C07"/>
    <w:rsid w:val="009C0DE2"/>
    <w:rsid w:val="009C6F30"/>
    <w:rsid w:val="009C6FD1"/>
    <w:rsid w:val="009C72BF"/>
    <w:rsid w:val="009C739F"/>
    <w:rsid w:val="009D3A0F"/>
    <w:rsid w:val="009D4375"/>
    <w:rsid w:val="009E0975"/>
    <w:rsid w:val="009F0B26"/>
    <w:rsid w:val="009F1BAF"/>
    <w:rsid w:val="009F31DA"/>
    <w:rsid w:val="009F640A"/>
    <w:rsid w:val="009F7F2E"/>
    <w:rsid w:val="00A02A94"/>
    <w:rsid w:val="00A12196"/>
    <w:rsid w:val="00A136DA"/>
    <w:rsid w:val="00A15E0E"/>
    <w:rsid w:val="00A2100A"/>
    <w:rsid w:val="00A22430"/>
    <w:rsid w:val="00A23473"/>
    <w:rsid w:val="00A23938"/>
    <w:rsid w:val="00A24B5E"/>
    <w:rsid w:val="00A31C01"/>
    <w:rsid w:val="00A3320D"/>
    <w:rsid w:val="00A348D8"/>
    <w:rsid w:val="00A3650B"/>
    <w:rsid w:val="00A376A2"/>
    <w:rsid w:val="00A3790D"/>
    <w:rsid w:val="00A44352"/>
    <w:rsid w:val="00A57B74"/>
    <w:rsid w:val="00A61696"/>
    <w:rsid w:val="00A65901"/>
    <w:rsid w:val="00A66D9D"/>
    <w:rsid w:val="00A83C09"/>
    <w:rsid w:val="00A847ED"/>
    <w:rsid w:val="00A86399"/>
    <w:rsid w:val="00A97EC1"/>
    <w:rsid w:val="00AA2E0A"/>
    <w:rsid w:val="00AA3EA9"/>
    <w:rsid w:val="00AB2848"/>
    <w:rsid w:val="00AC4004"/>
    <w:rsid w:val="00AC4180"/>
    <w:rsid w:val="00AD228A"/>
    <w:rsid w:val="00AD22E8"/>
    <w:rsid w:val="00AD2392"/>
    <w:rsid w:val="00AD2432"/>
    <w:rsid w:val="00AD46E0"/>
    <w:rsid w:val="00AD5AA4"/>
    <w:rsid w:val="00AD6734"/>
    <w:rsid w:val="00AD792F"/>
    <w:rsid w:val="00AE4C42"/>
    <w:rsid w:val="00AF2B87"/>
    <w:rsid w:val="00AF4E8A"/>
    <w:rsid w:val="00B14304"/>
    <w:rsid w:val="00B15E2F"/>
    <w:rsid w:val="00B1708D"/>
    <w:rsid w:val="00B203FF"/>
    <w:rsid w:val="00B222AB"/>
    <w:rsid w:val="00B23040"/>
    <w:rsid w:val="00B246B9"/>
    <w:rsid w:val="00B248A9"/>
    <w:rsid w:val="00B2713E"/>
    <w:rsid w:val="00B27377"/>
    <w:rsid w:val="00B302A4"/>
    <w:rsid w:val="00B36879"/>
    <w:rsid w:val="00B40D69"/>
    <w:rsid w:val="00B428EA"/>
    <w:rsid w:val="00B4753A"/>
    <w:rsid w:val="00B47DE6"/>
    <w:rsid w:val="00B52904"/>
    <w:rsid w:val="00B640A4"/>
    <w:rsid w:val="00B66689"/>
    <w:rsid w:val="00B702CA"/>
    <w:rsid w:val="00B7037F"/>
    <w:rsid w:val="00B74C78"/>
    <w:rsid w:val="00B76A15"/>
    <w:rsid w:val="00B835BD"/>
    <w:rsid w:val="00B841AF"/>
    <w:rsid w:val="00B87433"/>
    <w:rsid w:val="00B93E1E"/>
    <w:rsid w:val="00BA098D"/>
    <w:rsid w:val="00BA19BE"/>
    <w:rsid w:val="00BA4E9E"/>
    <w:rsid w:val="00BB46B2"/>
    <w:rsid w:val="00BB4B10"/>
    <w:rsid w:val="00BB6E89"/>
    <w:rsid w:val="00BC11B3"/>
    <w:rsid w:val="00BC2959"/>
    <w:rsid w:val="00BC2BAD"/>
    <w:rsid w:val="00BC424F"/>
    <w:rsid w:val="00BC4C43"/>
    <w:rsid w:val="00BC63DC"/>
    <w:rsid w:val="00BD07EF"/>
    <w:rsid w:val="00BD449A"/>
    <w:rsid w:val="00BD5A1A"/>
    <w:rsid w:val="00BD5C81"/>
    <w:rsid w:val="00BE0A99"/>
    <w:rsid w:val="00BE0CCC"/>
    <w:rsid w:val="00BE3B42"/>
    <w:rsid w:val="00BE5E6F"/>
    <w:rsid w:val="00BF6091"/>
    <w:rsid w:val="00BF672A"/>
    <w:rsid w:val="00C247B4"/>
    <w:rsid w:val="00C25C41"/>
    <w:rsid w:val="00C25DA9"/>
    <w:rsid w:val="00C264A6"/>
    <w:rsid w:val="00C267D4"/>
    <w:rsid w:val="00C32508"/>
    <w:rsid w:val="00C374F7"/>
    <w:rsid w:val="00C431BC"/>
    <w:rsid w:val="00C45B86"/>
    <w:rsid w:val="00C467C0"/>
    <w:rsid w:val="00C47C38"/>
    <w:rsid w:val="00C5121D"/>
    <w:rsid w:val="00C535E0"/>
    <w:rsid w:val="00C572C6"/>
    <w:rsid w:val="00C60E9F"/>
    <w:rsid w:val="00C63E7C"/>
    <w:rsid w:val="00C706D5"/>
    <w:rsid w:val="00C7318F"/>
    <w:rsid w:val="00C9142D"/>
    <w:rsid w:val="00CA2079"/>
    <w:rsid w:val="00CA3819"/>
    <w:rsid w:val="00CA5000"/>
    <w:rsid w:val="00CA602A"/>
    <w:rsid w:val="00CA60C0"/>
    <w:rsid w:val="00CA6702"/>
    <w:rsid w:val="00CB20E8"/>
    <w:rsid w:val="00CB2163"/>
    <w:rsid w:val="00CB5ED9"/>
    <w:rsid w:val="00CB6165"/>
    <w:rsid w:val="00CB6AC8"/>
    <w:rsid w:val="00CC1529"/>
    <w:rsid w:val="00CC46E7"/>
    <w:rsid w:val="00CC53B7"/>
    <w:rsid w:val="00CC6B83"/>
    <w:rsid w:val="00CC7DB0"/>
    <w:rsid w:val="00CD5AEF"/>
    <w:rsid w:val="00CD77BB"/>
    <w:rsid w:val="00CE1742"/>
    <w:rsid w:val="00CE2E88"/>
    <w:rsid w:val="00CE310B"/>
    <w:rsid w:val="00CE6B6E"/>
    <w:rsid w:val="00CF50A9"/>
    <w:rsid w:val="00CF5943"/>
    <w:rsid w:val="00D043CB"/>
    <w:rsid w:val="00D075B8"/>
    <w:rsid w:val="00D131BA"/>
    <w:rsid w:val="00D15D3D"/>
    <w:rsid w:val="00D23471"/>
    <w:rsid w:val="00D23AF8"/>
    <w:rsid w:val="00D276F8"/>
    <w:rsid w:val="00D415B5"/>
    <w:rsid w:val="00D45C15"/>
    <w:rsid w:val="00D47E46"/>
    <w:rsid w:val="00D5133D"/>
    <w:rsid w:val="00D51CE4"/>
    <w:rsid w:val="00D55906"/>
    <w:rsid w:val="00D5604B"/>
    <w:rsid w:val="00D579FB"/>
    <w:rsid w:val="00D67174"/>
    <w:rsid w:val="00D677E6"/>
    <w:rsid w:val="00D703F4"/>
    <w:rsid w:val="00D74452"/>
    <w:rsid w:val="00D76A1A"/>
    <w:rsid w:val="00D81E9A"/>
    <w:rsid w:val="00D835A2"/>
    <w:rsid w:val="00D87402"/>
    <w:rsid w:val="00D91C16"/>
    <w:rsid w:val="00DA11FB"/>
    <w:rsid w:val="00DA1641"/>
    <w:rsid w:val="00DA1E5B"/>
    <w:rsid w:val="00DA1F63"/>
    <w:rsid w:val="00DA3CAE"/>
    <w:rsid w:val="00DA65F7"/>
    <w:rsid w:val="00DA6C27"/>
    <w:rsid w:val="00DB7409"/>
    <w:rsid w:val="00DC1818"/>
    <w:rsid w:val="00DC5D54"/>
    <w:rsid w:val="00DC7DCB"/>
    <w:rsid w:val="00DD024E"/>
    <w:rsid w:val="00DD7740"/>
    <w:rsid w:val="00DE5C36"/>
    <w:rsid w:val="00DF01FA"/>
    <w:rsid w:val="00DF2AED"/>
    <w:rsid w:val="00DF2E62"/>
    <w:rsid w:val="00DF3EFA"/>
    <w:rsid w:val="00DF4B15"/>
    <w:rsid w:val="00DF6A09"/>
    <w:rsid w:val="00E05A1B"/>
    <w:rsid w:val="00E13614"/>
    <w:rsid w:val="00E148AC"/>
    <w:rsid w:val="00E154AD"/>
    <w:rsid w:val="00E15DFA"/>
    <w:rsid w:val="00E1611C"/>
    <w:rsid w:val="00E21C02"/>
    <w:rsid w:val="00E21EE9"/>
    <w:rsid w:val="00E23539"/>
    <w:rsid w:val="00E30FCA"/>
    <w:rsid w:val="00E31046"/>
    <w:rsid w:val="00E32D36"/>
    <w:rsid w:val="00E3415D"/>
    <w:rsid w:val="00E410BC"/>
    <w:rsid w:val="00E41E06"/>
    <w:rsid w:val="00E445FA"/>
    <w:rsid w:val="00E44E38"/>
    <w:rsid w:val="00E45A1C"/>
    <w:rsid w:val="00E51C2C"/>
    <w:rsid w:val="00E56401"/>
    <w:rsid w:val="00E56A91"/>
    <w:rsid w:val="00E61C68"/>
    <w:rsid w:val="00E64340"/>
    <w:rsid w:val="00E65D66"/>
    <w:rsid w:val="00E6692E"/>
    <w:rsid w:val="00E70997"/>
    <w:rsid w:val="00E767D6"/>
    <w:rsid w:val="00E777B2"/>
    <w:rsid w:val="00E82D8C"/>
    <w:rsid w:val="00E901C3"/>
    <w:rsid w:val="00E93A90"/>
    <w:rsid w:val="00E93CA8"/>
    <w:rsid w:val="00E947B0"/>
    <w:rsid w:val="00E95687"/>
    <w:rsid w:val="00E95D9D"/>
    <w:rsid w:val="00E975E7"/>
    <w:rsid w:val="00EA1AB0"/>
    <w:rsid w:val="00EA27C1"/>
    <w:rsid w:val="00EA5F7B"/>
    <w:rsid w:val="00EA7BAF"/>
    <w:rsid w:val="00EB4094"/>
    <w:rsid w:val="00EB5D9B"/>
    <w:rsid w:val="00EB65BB"/>
    <w:rsid w:val="00EB692C"/>
    <w:rsid w:val="00EC0F69"/>
    <w:rsid w:val="00EC7D31"/>
    <w:rsid w:val="00ED0015"/>
    <w:rsid w:val="00ED2798"/>
    <w:rsid w:val="00ED5773"/>
    <w:rsid w:val="00EE08D5"/>
    <w:rsid w:val="00EE38A2"/>
    <w:rsid w:val="00EE5ECB"/>
    <w:rsid w:val="00EF0F75"/>
    <w:rsid w:val="00EF49ED"/>
    <w:rsid w:val="00EF4CCF"/>
    <w:rsid w:val="00F0022C"/>
    <w:rsid w:val="00F04BA4"/>
    <w:rsid w:val="00F1066B"/>
    <w:rsid w:val="00F1280A"/>
    <w:rsid w:val="00F15315"/>
    <w:rsid w:val="00F161FE"/>
    <w:rsid w:val="00F21341"/>
    <w:rsid w:val="00F21C70"/>
    <w:rsid w:val="00F244CE"/>
    <w:rsid w:val="00F271D3"/>
    <w:rsid w:val="00F30909"/>
    <w:rsid w:val="00F35BB0"/>
    <w:rsid w:val="00F37C8A"/>
    <w:rsid w:val="00F4239F"/>
    <w:rsid w:val="00F46DF5"/>
    <w:rsid w:val="00F4706F"/>
    <w:rsid w:val="00F5617C"/>
    <w:rsid w:val="00F60A7E"/>
    <w:rsid w:val="00F66364"/>
    <w:rsid w:val="00F75247"/>
    <w:rsid w:val="00F8052D"/>
    <w:rsid w:val="00F8728A"/>
    <w:rsid w:val="00F87322"/>
    <w:rsid w:val="00F87726"/>
    <w:rsid w:val="00F87B8E"/>
    <w:rsid w:val="00F916DC"/>
    <w:rsid w:val="00F9708F"/>
    <w:rsid w:val="00F97599"/>
    <w:rsid w:val="00FA0385"/>
    <w:rsid w:val="00FB0B46"/>
    <w:rsid w:val="00FB0ED1"/>
    <w:rsid w:val="00FB3422"/>
    <w:rsid w:val="00FB67F5"/>
    <w:rsid w:val="00FB6DB5"/>
    <w:rsid w:val="00FC2B0B"/>
    <w:rsid w:val="00FC5B93"/>
    <w:rsid w:val="00FD249D"/>
    <w:rsid w:val="00FD2DE5"/>
    <w:rsid w:val="00FD6E5D"/>
    <w:rsid w:val="00FE064B"/>
    <w:rsid w:val="00FE172D"/>
    <w:rsid w:val="00FE3156"/>
    <w:rsid w:val="00FE3237"/>
    <w:rsid w:val="00FE52D0"/>
    <w:rsid w:val="00FF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E3C33B"/>
  <w15:chartTrackingRefBased/>
  <w15:docId w15:val="{21C402E5-6BED-43CC-A5B0-A626B4BD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1C"/>
  </w:style>
  <w:style w:type="paragraph" w:styleId="Heading1">
    <w:name w:val="heading 1"/>
    <w:basedOn w:val="Normal"/>
    <w:next w:val="Normal"/>
    <w:link w:val="Heading1Char"/>
    <w:uiPriority w:val="9"/>
    <w:qFormat/>
    <w:rsid w:val="000101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rsid w:val="00010116"/>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010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116"/>
    <w:rPr>
      <w:lang w:val="hu-HU"/>
    </w:rPr>
  </w:style>
  <w:style w:type="paragraph" w:styleId="Footer">
    <w:name w:val="footer"/>
    <w:basedOn w:val="Normal"/>
    <w:link w:val="FooterChar"/>
    <w:uiPriority w:val="99"/>
    <w:unhideWhenUsed/>
    <w:rsid w:val="00010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116"/>
    <w:rPr>
      <w:lang w:val="hu-HU"/>
    </w:rPr>
  </w:style>
  <w:style w:type="paragraph" w:customStyle="1" w:styleId="FooterCoverPage">
    <w:name w:val="Footer Cover Page"/>
    <w:basedOn w:val="Normal"/>
    <w:link w:val="FooterCoverPageChar"/>
    <w:rsid w:val="0001011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10116"/>
    <w:rPr>
      <w:rFonts w:ascii="Times New Roman" w:hAnsi="Times New Roman" w:cs="Times New Roman"/>
      <w:sz w:val="24"/>
    </w:rPr>
  </w:style>
  <w:style w:type="paragraph" w:customStyle="1" w:styleId="HeaderCoverPage">
    <w:name w:val="Header Cover Page"/>
    <w:basedOn w:val="Normal"/>
    <w:link w:val="HeaderCoverPageChar"/>
    <w:rsid w:val="0001011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10116"/>
    <w:rPr>
      <w:rFonts w:ascii="Times New Roman" w:hAnsi="Times New Roman" w:cs="Times New Roman"/>
      <w:sz w:val="24"/>
    </w:rPr>
  </w:style>
  <w:style w:type="paragraph" w:styleId="TOC1">
    <w:name w:val="toc 1"/>
    <w:basedOn w:val="Normal"/>
    <w:next w:val="Normal"/>
    <w:autoRedefine/>
    <w:uiPriority w:val="39"/>
    <w:unhideWhenUsed/>
    <w:qFormat/>
    <w:rsid w:val="00801035"/>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011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010116"/>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rsid w:val="00010116"/>
    <w:pPr>
      <w:tabs>
        <w:tab w:val="left" w:pos="850"/>
        <w:tab w:val="right" w:leader="dot" w:pos="9062"/>
      </w:tabs>
      <w:spacing w:after="200" w:line="276" w:lineRule="auto"/>
      <w:ind w:left="220"/>
    </w:pPr>
    <w:rPr>
      <w:rFonts w:ascii="Times New Roman" w:eastAsia="Times New Roman" w:hAnsi="Times New Roman" w:cs="Times New Roman"/>
      <w:b/>
      <w:bCs/>
      <w:iCs/>
      <w:noProof/>
    </w:rPr>
  </w:style>
  <w:style w:type="character" w:styleId="Hyperlink">
    <w:name w:val="Hyperlink"/>
    <w:uiPriority w:val="99"/>
    <w:unhideWhenUsed/>
    <w:rsid w:val="00010116"/>
    <w:rPr>
      <w:color w:val="0000FF"/>
      <w:u w:val="single"/>
    </w:rPr>
  </w:style>
  <w:style w:type="paragraph" w:styleId="FootnoteText">
    <w:name w:val="footnote text"/>
    <w:basedOn w:val="Normal"/>
    <w:link w:val="FootnoteTextChar"/>
    <w:unhideWhenUsed/>
    <w:rsid w:val="00010116"/>
    <w:pPr>
      <w:spacing w:after="0" w:line="240" w:lineRule="auto"/>
    </w:pPr>
    <w:rPr>
      <w:sz w:val="20"/>
      <w:szCs w:val="20"/>
    </w:rPr>
  </w:style>
  <w:style w:type="character" w:customStyle="1" w:styleId="FootnoteTextChar">
    <w:name w:val="Footnote Text Char"/>
    <w:basedOn w:val="DefaultParagraphFont"/>
    <w:link w:val="FootnoteText"/>
    <w:rsid w:val="00010116"/>
    <w:rPr>
      <w:sz w:val="20"/>
      <w:szCs w:val="20"/>
      <w:lang w:val="hu-HU"/>
    </w:rPr>
  </w:style>
  <w:style w:type="character" w:styleId="FootnoteReference">
    <w:name w:val="footnote reference"/>
    <w:semiHidden/>
    <w:unhideWhenUsed/>
    <w:rsid w:val="00010116"/>
    <w:rPr>
      <w:vertAlign w:val="superscript"/>
    </w:rPr>
  </w:style>
  <w:style w:type="paragraph" w:styleId="ListParagraph">
    <w:name w:val="List Paragraph"/>
    <w:basedOn w:val="Normal"/>
    <w:uiPriority w:val="34"/>
    <w:qFormat/>
    <w:rsid w:val="00010116"/>
    <w:pPr>
      <w:spacing w:after="200" w:line="276" w:lineRule="auto"/>
      <w:ind w:left="720"/>
      <w:contextualSpacing/>
    </w:pPr>
  </w:style>
  <w:style w:type="paragraph" w:customStyle="1" w:styleId="Text1">
    <w:name w:val="Text 1"/>
    <w:basedOn w:val="Normal"/>
    <w:link w:val="Text1Char"/>
    <w:qFormat/>
    <w:rsid w:val="00010116"/>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locked/>
    <w:rsid w:val="00010116"/>
    <w:rPr>
      <w:rFonts w:ascii="Times New Roman" w:eastAsia="Times New Roman" w:hAnsi="Times New Roman" w:cs="Times New Roman"/>
      <w:sz w:val="24"/>
      <w:szCs w:val="24"/>
      <w:lang w:val="hu-HU"/>
    </w:rPr>
  </w:style>
  <w:style w:type="paragraph" w:styleId="ListBullet">
    <w:name w:val="List Bullet"/>
    <w:basedOn w:val="Normal"/>
    <w:uiPriority w:val="1"/>
    <w:rsid w:val="00010116"/>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Level2">
    <w:name w:val="List Bullet (Level 2)"/>
    <w:basedOn w:val="Text1"/>
    <w:uiPriority w:val="1"/>
    <w:rsid w:val="00010116"/>
    <w:pPr>
      <w:numPr>
        <w:ilvl w:val="1"/>
        <w:numId w:val="3"/>
      </w:numPr>
      <w:tabs>
        <w:tab w:val="clear" w:pos="851"/>
        <w:tab w:val="num" w:pos="360"/>
      </w:tabs>
      <w:spacing w:before="0" w:after="240"/>
      <w:ind w:left="850" w:firstLine="0"/>
    </w:pPr>
    <w:rPr>
      <w:szCs w:val="20"/>
    </w:rPr>
  </w:style>
  <w:style w:type="paragraph" w:customStyle="1" w:styleId="ListBulletLevel3">
    <w:name w:val="List Bullet (Level 3)"/>
    <w:basedOn w:val="Text1"/>
    <w:uiPriority w:val="1"/>
    <w:semiHidden/>
    <w:unhideWhenUsed/>
    <w:rsid w:val="00010116"/>
    <w:pPr>
      <w:numPr>
        <w:ilvl w:val="2"/>
        <w:numId w:val="3"/>
      </w:numPr>
      <w:tabs>
        <w:tab w:val="clear" w:pos="1134"/>
        <w:tab w:val="num" w:pos="360"/>
      </w:tabs>
      <w:spacing w:before="0" w:after="240"/>
      <w:ind w:left="850" w:firstLine="0"/>
    </w:pPr>
    <w:rPr>
      <w:szCs w:val="20"/>
    </w:rPr>
  </w:style>
  <w:style w:type="paragraph" w:customStyle="1" w:styleId="ListBulletLevel4">
    <w:name w:val="List Bullet (Level 4)"/>
    <w:basedOn w:val="Text1"/>
    <w:uiPriority w:val="1"/>
    <w:semiHidden/>
    <w:unhideWhenUsed/>
    <w:rsid w:val="00010116"/>
    <w:pPr>
      <w:numPr>
        <w:ilvl w:val="3"/>
        <w:numId w:val="3"/>
      </w:numPr>
      <w:tabs>
        <w:tab w:val="clear" w:pos="1418"/>
        <w:tab w:val="num" w:pos="360"/>
      </w:tabs>
      <w:spacing w:before="0" w:after="240"/>
      <w:ind w:left="850" w:firstLine="0"/>
    </w:pPr>
    <w:rPr>
      <w:szCs w:val="20"/>
    </w:rPr>
  </w:style>
  <w:style w:type="character" w:styleId="CommentReference">
    <w:name w:val="annotation reference"/>
    <w:basedOn w:val="DefaultParagraphFont"/>
    <w:uiPriority w:val="99"/>
    <w:semiHidden/>
    <w:unhideWhenUsed/>
    <w:rsid w:val="001743FB"/>
    <w:rPr>
      <w:sz w:val="16"/>
      <w:szCs w:val="16"/>
    </w:rPr>
  </w:style>
  <w:style w:type="paragraph" w:styleId="CommentText">
    <w:name w:val="annotation text"/>
    <w:basedOn w:val="Normal"/>
    <w:link w:val="CommentTextChar"/>
    <w:uiPriority w:val="99"/>
    <w:unhideWhenUsed/>
    <w:rsid w:val="001743FB"/>
    <w:pPr>
      <w:spacing w:line="240" w:lineRule="auto"/>
    </w:pPr>
    <w:rPr>
      <w:sz w:val="20"/>
      <w:szCs w:val="20"/>
    </w:rPr>
  </w:style>
  <w:style w:type="character" w:customStyle="1" w:styleId="CommentTextChar">
    <w:name w:val="Comment Text Char"/>
    <w:basedOn w:val="DefaultParagraphFont"/>
    <w:link w:val="CommentText"/>
    <w:uiPriority w:val="99"/>
    <w:rsid w:val="001743FB"/>
    <w:rPr>
      <w:sz w:val="20"/>
      <w:szCs w:val="20"/>
    </w:rPr>
  </w:style>
  <w:style w:type="paragraph" w:styleId="CommentSubject">
    <w:name w:val="annotation subject"/>
    <w:basedOn w:val="CommentText"/>
    <w:next w:val="CommentText"/>
    <w:link w:val="CommentSubjectChar"/>
    <w:uiPriority w:val="99"/>
    <w:semiHidden/>
    <w:unhideWhenUsed/>
    <w:rsid w:val="001743FB"/>
    <w:rPr>
      <w:b/>
      <w:bCs/>
    </w:rPr>
  </w:style>
  <w:style w:type="character" w:customStyle="1" w:styleId="CommentSubjectChar">
    <w:name w:val="Comment Subject Char"/>
    <w:basedOn w:val="CommentTextChar"/>
    <w:link w:val="CommentSubject"/>
    <w:uiPriority w:val="99"/>
    <w:semiHidden/>
    <w:rsid w:val="001743FB"/>
    <w:rPr>
      <w:b/>
      <w:bCs/>
      <w:sz w:val="20"/>
      <w:szCs w:val="20"/>
    </w:rPr>
  </w:style>
  <w:style w:type="paragraph" w:styleId="Revision">
    <w:name w:val="Revision"/>
    <w:hidden/>
    <w:uiPriority w:val="99"/>
    <w:semiHidden/>
    <w:rsid w:val="001743FB"/>
    <w:pPr>
      <w:spacing w:after="0" w:line="240" w:lineRule="auto"/>
    </w:pPr>
  </w:style>
  <w:style w:type="paragraph" w:styleId="BalloonText">
    <w:name w:val="Balloon Text"/>
    <w:basedOn w:val="Normal"/>
    <w:link w:val="BalloonTextChar"/>
    <w:uiPriority w:val="99"/>
    <w:semiHidden/>
    <w:unhideWhenUsed/>
    <w:rsid w:val="00740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010"/>
    <w:rPr>
      <w:rFonts w:ascii="Segoe UI" w:hAnsi="Segoe UI" w:cs="Segoe UI"/>
      <w:sz w:val="18"/>
      <w:szCs w:val="18"/>
    </w:rPr>
  </w:style>
  <w:style w:type="character" w:customStyle="1" w:styleId="Marker">
    <w:name w:val="Marker"/>
    <w:basedOn w:val="DefaultParagraphFont"/>
    <w:rsid w:val="007717DF"/>
    <w:rPr>
      <w:color w:val="0000FF"/>
      <w:shd w:val="clear" w:color="auto" w:fill="auto"/>
    </w:rPr>
  </w:style>
  <w:style w:type="paragraph" w:customStyle="1" w:styleId="FooterSensitivity">
    <w:name w:val="Footer Sensitivity"/>
    <w:basedOn w:val="Normal"/>
    <w:link w:val="FooterSensitivityChar"/>
    <w:rsid w:val="007717D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717DF"/>
    <w:rPr>
      <w:rFonts w:ascii="Times New Roman" w:hAnsi="Times New Roman" w:cs="Times New Roman"/>
      <w:b/>
      <w:sz w:val="32"/>
    </w:rPr>
  </w:style>
  <w:style w:type="paragraph" w:customStyle="1" w:styleId="HeaderSensitivity">
    <w:name w:val="Header Sensitivity"/>
    <w:basedOn w:val="Normal"/>
    <w:link w:val="HeaderSensitivityChar"/>
    <w:rsid w:val="007717D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717DF"/>
    <w:rPr>
      <w:rFonts w:ascii="Times New Roman" w:hAnsi="Times New Roman" w:cs="Times New Roman"/>
      <w:b/>
      <w:sz w:val="32"/>
    </w:rPr>
  </w:style>
  <w:style w:type="paragraph" w:customStyle="1" w:styleId="HeaderSensitivityRight">
    <w:name w:val="Header Sensitivity Right"/>
    <w:basedOn w:val="Normal"/>
    <w:link w:val="HeaderSensitivityRightChar"/>
    <w:rsid w:val="007717D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717DF"/>
    <w:rPr>
      <w:rFonts w:ascii="Times New Roman" w:hAnsi="Times New Roman" w:cs="Times New Roman"/>
      <w:sz w:val="28"/>
    </w:rPr>
  </w:style>
  <w:style w:type="character" w:customStyle="1" w:styleId="markedcontent">
    <w:name w:val="markedcontent"/>
    <w:basedOn w:val="DefaultParagraphFont"/>
    <w:rsid w:val="008039AF"/>
  </w:style>
  <w:style w:type="character" w:styleId="FollowedHyperlink">
    <w:name w:val="FollowedHyperlink"/>
    <w:basedOn w:val="DefaultParagraphFont"/>
    <w:uiPriority w:val="99"/>
    <w:semiHidden/>
    <w:unhideWhenUsed/>
    <w:rsid w:val="008233C4"/>
    <w:rPr>
      <w:color w:val="954F72" w:themeColor="followedHyperlink"/>
      <w:u w:val="single"/>
    </w:rPr>
  </w:style>
  <w:style w:type="character" w:styleId="Emphasis">
    <w:name w:val="Emphasis"/>
    <w:basedOn w:val="DefaultParagraphFont"/>
    <w:uiPriority w:val="20"/>
    <w:qFormat/>
    <w:rsid w:val="000B25D0"/>
    <w:rPr>
      <w:i/>
      <w:iCs/>
    </w:rPr>
  </w:style>
  <w:style w:type="character" w:customStyle="1" w:styleId="UnresolvedMention1">
    <w:name w:val="Unresolved Mention1"/>
    <w:basedOn w:val="DefaultParagraphFont"/>
    <w:uiPriority w:val="99"/>
    <w:semiHidden/>
    <w:unhideWhenUsed/>
    <w:rsid w:val="00C60E9F"/>
    <w:rPr>
      <w:color w:val="605E5C"/>
      <w:shd w:val="clear" w:color="auto" w:fill="E1DFDD"/>
    </w:rPr>
  </w:style>
  <w:style w:type="character" w:customStyle="1" w:styleId="rynqvb">
    <w:name w:val="rynqvb"/>
    <w:basedOn w:val="DefaultParagraphFont"/>
    <w:rsid w:val="005F0686"/>
  </w:style>
  <w:style w:type="character" w:customStyle="1" w:styleId="UnresolvedMention">
    <w:name w:val="Unresolved Mention"/>
    <w:basedOn w:val="DefaultParagraphFont"/>
    <w:uiPriority w:val="99"/>
    <w:semiHidden/>
    <w:unhideWhenUsed/>
    <w:rsid w:val="003D6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6842">
      <w:bodyDiv w:val="1"/>
      <w:marLeft w:val="0"/>
      <w:marRight w:val="0"/>
      <w:marTop w:val="0"/>
      <w:marBottom w:val="0"/>
      <w:divBdr>
        <w:top w:val="none" w:sz="0" w:space="0" w:color="auto"/>
        <w:left w:val="none" w:sz="0" w:space="0" w:color="auto"/>
        <w:bottom w:val="none" w:sz="0" w:space="0" w:color="auto"/>
        <w:right w:val="none" w:sz="0" w:space="0" w:color="auto"/>
      </w:divBdr>
    </w:div>
    <w:div w:id="145435421">
      <w:bodyDiv w:val="1"/>
      <w:marLeft w:val="0"/>
      <w:marRight w:val="0"/>
      <w:marTop w:val="0"/>
      <w:marBottom w:val="0"/>
      <w:divBdr>
        <w:top w:val="none" w:sz="0" w:space="0" w:color="auto"/>
        <w:left w:val="none" w:sz="0" w:space="0" w:color="auto"/>
        <w:bottom w:val="none" w:sz="0" w:space="0" w:color="auto"/>
        <w:right w:val="none" w:sz="0" w:space="0" w:color="auto"/>
      </w:divBdr>
    </w:div>
    <w:div w:id="166408419">
      <w:bodyDiv w:val="1"/>
      <w:marLeft w:val="0"/>
      <w:marRight w:val="0"/>
      <w:marTop w:val="0"/>
      <w:marBottom w:val="0"/>
      <w:divBdr>
        <w:top w:val="none" w:sz="0" w:space="0" w:color="auto"/>
        <w:left w:val="none" w:sz="0" w:space="0" w:color="auto"/>
        <w:bottom w:val="none" w:sz="0" w:space="0" w:color="auto"/>
        <w:right w:val="none" w:sz="0" w:space="0" w:color="auto"/>
      </w:divBdr>
    </w:div>
    <w:div w:id="175508769">
      <w:bodyDiv w:val="1"/>
      <w:marLeft w:val="0"/>
      <w:marRight w:val="0"/>
      <w:marTop w:val="0"/>
      <w:marBottom w:val="0"/>
      <w:divBdr>
        <w:top w:val="none" w:sz="0" w:space="0" w:color="auto"/>
        <w:left w:val="none" w:sz="0" w:space="0" w:color="auto"/>
        <w:bottom w:val="none" w:sz="0" w:space="0" w:color="auto"/>
        <w:right w:val="none" w:sz="0" w:space="0" w:color="auto"/>
      </w:divBdr>
    </w:div>
    <w:div w:id="674847699">
      <w:bodyDiv w:val="1"/>
      <w:marLeft w:val="0"/>
      <w:marRight w:val="0"/>
      <w:marTop w:val="0"/>
      <w:marBottom w:val="0"/>
      <w:divBdr>
        <w:top w:val="none" w:sz="0" w:space="0" w:color="auto"/>
        <w:left w:val="none" w:sz="0" w:space="0" w:color="auto"/>
        <w:bottom w:val="none" w:sz="0" w:space="0" w:color="auto"/>
        <w:right w:val="none" w:sz="0" w:space="0" w:color="auto"/>
      </w:divBdr>
    </w:div>
    <w:div w:id="735974098">
      <w:bodyDiv w:val="1"/>
      <w:marLeft w:val="0"/>
      <w:marRight w:val="0"/>
      <w:marTop w:val="0"/>
      <w:marBottom w:val="0"/>
      <w:divBdr>
        <w:top w:val="none" w:sz="0" w:space="0" w:color="auto"/>
        <w:left w:val="none" w:sz="0" w:space="0" w:color="auto"/>
        <w:bottom w:val="none" w:sz="0" w:space="0" w:color="auto"/>
        <w:right w:val="none" w:sz="0" w:space="0" w:color="auto"/>
      </w:divBdr>
    </w:div>
    <w:div w:id="774403812">
      <w:bodyDiv w:val="1"/>
      <w:marLeft w:val="0"/>
      <w:marRight w:val="0"/>
      <w:marTop w:val="0"/>
      <w:marBottom w:val="0"/>
      <w:divBdr>
        <w:top w:val="none" w:sz="0" w:space="0" w:color="auto"/>
        <w:left w:val="none" w:sz="0" w:space="0" w:color="auto"/>
        <w:bottom w:val="none" w:sz="0" w:space="0" w:color="auto"/>
        <w:right w:val="none" w:sz="0" w:space="0" w:color="auto"/>
      </w:divBdr>
    </w:div>
    <w:div w:id="1127356908">
      <w:bodyDiv w:val="1"/>
      <w:marLeft w:val="0"/>
      <w:marRight w:val="0"/>
      <w:marTop w:val="0"/>
      <w:marBottom w:val="0"/>
      <w:divBdr>
        <w:top w:val="none" w:sz="0" w:space="0" w:color="auto"/>
        <w:left w:val="none" w:sz="0" w:space="0" w:color="auto"/>
        <w:bottom w:val="none" w:sz="0" w:space="0" w:color="auto"/>
        <w:right w:val="none" w:sz="0" w:space="0" w:color="auto"/>
      </w:divBdr>
    </w:div>
    <w:div w:id="1147283365">
      <w:bodyDiv w:val="1"/>
      <w:marLeft w:val="0"/>
      <w:marRight w:val="0"/>
      <w:marTop w:val="0"/>
      <w:marBottom w:val="0"/>
      <w:divBdr>
        <w:top w:val="none" w:sz="0" w:space="0" w:color="auto"/>
        <w:left w:val="none" w:sz="0" w:space="0" w:color="auto"/>
        <w:bottom w:val="none" w:sz="0" w:space="0" w:color="auto"/>
        <w:right w:val="none" w:sz="0" w:space="0" w:color="auto"/>
      </w:divBdr>
    </w:div>
    <w:div w:id="1265575042">
      <w:bodyDiv w:val="1"/>
      <w:marLeft w:val="0"/>
      <w:marRight w:val="0"/>
      <w:marTop w:val="0"/>
      <w:marBottom w:val="0"/>
      <w:divBdr>
        <w:top w:val="none" w:sz="0" w:space="0" w:color="auto"/>
        <w:left w:val="none" w:sz="0" w:space="0" w:color="auto"/>
        <w:bottom w:val="none" w:sz="0" w:space="0" w:color="auto"/>
        <w:right w:val="none" w:sz="0" w:space="0" w:color="auto"/>
      </w:divBdr>
    </w:div>
    <w:div w:id="1451784743">
      <w:bodyDiv w:val="1"/>
      <w:marLeft w:val="0"/>
      <w:marRight w:val="0"/>
      <w:marTop w:val="0"/>
      <w:marBottom w:val="0"/>
      <w:divBdr>
        <w:top w:val="none" w:sz="0" w:space="0" w:color="auto"/>
        <w:left w:val="none" w:sz="0" w:space="0" w:color="auto"/>
        <w:bottom w:val="none" w:sz="0" w:space="0" w:color="auto"/>
        <w:right w:val="none" w:sz="0" w:space="0" w:color="auto"/>
      </w:divBdr>
    </w:div>
    <w:div w:id="1515800047">
      <w:bodyDiv w:val="1"/>
      <w:marLeft w:val="0"/>
      <w:marRight w:val="0"/>
      <w:marTop w:val="0"/>
      <w:marBottom w:val="0"/>
      <w:divBdr>
        <w:top w:val="none" w:sz="0" w:space="0" w:color="auto"/>
        <w:left w:val="none" w:sz="0" w:space="0" w:color="auto"/>
        <w:bottom w:val="none" w:sz="0" w:space="0" w:color="auto"/>
        <w:right w:val="none" w:sz="0" w:space="0" w:color="auto"/>
      </w:divBdr>
    </w:div>
    <w:div w:id="1617909928">
      <w:bodyDiv w:val="1"/>
      <w:marLeft w:val="0"/>
      <w:marRight w:val="0"/>
      <w:marTop w:val="0"/>
      <w:marBottom w:val="0"/>
      <w:divBdr>
        <w:top w:val="none" w:sz="0" w:space="0" w:color="auto"/>
        <w:left w:val="none" w:sz="0" w:space="0" w:color="auto"/>
        <w:bottom w:val="none" w:sz="0" w:space="0" w:color="auto"/>
        <w:right w:val="none" w:sz="0" w:space="0" w:color="auto"/>
      </w:divBdr>
    </w:div>
    <w:div w:id="1632058414">
      <w:bodyDiv w:val="1"/>
      <w:marLeft w:val="0"/>
      <w:marRight w:val="0"/>
      <w:marTop w:val="0"/>
      <w:marBottom w:val="0"/>
      <w:divBdr>
        <w:top w:val="none" w:sz="0" w:space="0" w:color="auto"/>
        <w:left w:val="none" w:sz="0" w:space="0" w:color="auto"/>
        <w:bottom w:val="none" w:sz="0" w:space="0" w:color="auto"/>
        <w:right w:val="none" w:sz="0" w:space="0" w:color="auto"/>
      </w:divBdr>
    </w:div>
    <w:div w:id="19939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_impl/2024/453/oj" TargetMode="External"/><Relationship Id="rId1" Type="http://schemas.openxmlformats.org/officeDocument/2006/relationships/hyperlink" Target="http://data.europa.eu/eli/reg_impl/2023/2820/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A68F6-7EAD-4462-802A-907962F4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12</cp:revision>
  <cp:lastPrinted>2024-06-07T13:57:00Z</cp:lastPrinted>
  <dcterms:created xsi:type="dcterms:W3CDTF">2024-07-08T12:49:00Z</dcterms:created>
  <dcterms:modified xsi:type="dcterms:W3CDTF">2024-07-18T13:07:00Z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2022-11-18T14:02:27Z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95c4cf85-ff36-4dab-a4e5-9bf065f04951</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8.1, Build 20220902</vt:lpwstr>
  </property>
</Properties>
</file>