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3061" w14:textId="11C3E4BB" w:rsidR="004D10F7" w:rsidRDefault="00516763" w:rsidP="00516763">
      <w:pPr>
        <w:pStyle w:val="Pagedecouverture"/>
        <w:rPr>
          <w:noProof/>
        </w:rPr>
      </w:pPr>
      <w:bookmarkStart w:id="0" w:name="LW_BM_COVERPAGE"/>
      <w:r>
        <w:rPr>
          <w:noProof/>
        </w:rPr>
        <w:pict w14:anchorId="05626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D37E947-0471-42A1-AFD9-FE4191F1C775" style="width:455.25pt;height:324pt">
            <v:imagedata r:id="rId8" o:title=""/>
          </v:shape>
        </w:pict>
      </w:r>
    </w:p>
    <w:bookmarkEnd w:id="0"/>
    <w:p w14:paraId="02E5F61C" w14:textId="1A7AD3B9" w:rsidR="008910A0" w:rsidRPr="008910A0" w:rsidRDefault="008910A0" w:rsidP="00316F69">
      <w:pPr>
        <w:pStyle w:val="Pagedecouverture"/>
        <w:rPr>
          <w:noProof/>
        </w:rPr>
        <w:sectPr w:rsidR="008910A0" w:rsidRPr="008910A0" w:rsidSect="0051676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A927C0D" w14:textId="7CBBE7CB" w:rsidR="00BD74C7" w:rsidRDefault="00BD74C7" w:rsidP="00316F69">
      <w:pPr>
        <w:rPr>
          <w:noProof/>
        </w:rPr>
      </w:pPr>
      <w:bookmarkStart w:id="1" w:name="_GoBack"/>
      <w:bookmarkEnd w:id="1"/>
    </w:p>
    <w:p w14:paraId="4FB841AB" w14:textId="77777777" w:rsidR="009A6BEE" w:rsidRDefault="009A6BEE" w:rsidP="00316F69">
      <w:pPr>
        <w:rPr>
          <w:noProof/>
        </w:rPr>
      </w:pPr>
    </w:p>
    <w:sdt>
      <w:sdtPr>
        <w:rPr>
          <w:rFonts w:ascii="Times New Roman" w:eastAsiaTheme="minorHAnsi" w:hAnsi="Times New Roman" w:cs="Times New Roman"/>
          <w:b w:val="0"/>
          <w:bCs w:val="0"/>
          <w:noProof/>
          <w:color w:val="auto"/>
          <w:sz w:val="24"/>
          <w:szCs w:val="24"/>
        </w:rPr>
        <w:id w:val="139007645"/>
        <w:docPartObj>
          <w:docPartGallery w:val="Table of Contents"/>
          <w:docPartUnique/>
        </w:docPartObj>
      </w:sdtPr>
      <w:sdtEndPr/>
      <w:sdtContent>
        <w:p w14:paraId="5ABD2C8C" w14:textId="64BB6528" w:rsidR="0093587B" w:rsidRDefault="0093587B" w:rsidP="0093587B">
          <w:pPr>
            <w:pStyle w:val="TOCHeading"/>
            <w:numPr>
              <w:ilvl w:val="0"/>
              <w:numId w:val="0"/>
            </w:numPr>
            <w:ind w:left="480" w:hanging="480"/>
            <w:rPr>
              <w:noProof/>
            </w:rPr>
          </w:pPr>
          <w:r>
            <w:rPr>
              <w:noProof/>
            </w:rPr>
            <w:t>Satura rādītājs</w:t>
          </w:r>
        </w:p>
        <w:p w14:paraId="264E405C" w14:textId="5A3FE969" w:rsidR="00B63058" w:rsidRDefault="0093587B">
          <w:pPr>
            <w:pStyle w:val="TOC1"/>
            <w:rPr>
              <w:rFonts w:asciiTheme="minorHAnsi" w:eastAsiaTheme="minorEastAsia" w:hAnsiTheme="minorHAnsi" w:cstheme="minorBidi"/>
              <w:noProof/>
              <w:kern w:val="2"/>
              <w:sz w:val="22"/>
              <w:szCs w:val="22"/>
              <w:lang w:val="en-US"/>
              <w14:ligatures w14:val="standardContextual"/>
            </w:rPr>
          </w:pPr>
          <w:r>
            <w:rPr>
              <w:noProof/>
            </w:rPr>
            <w:fldChar w:fldCharType="begin"/>
          </w:r>
          <w:r>
            <w:rPr>
              <w:noProof/>
            </w:rPr>
            <w:instrText xml:space="preserve"> TOC \o "1-3" \h \z \u </w:instrText>
          </w:r>
          <w:r>
            <w:rPr>
              <w:noProof/>
            </w:rPr>
            <w:fldChar w:fldCharType="separate"/>
          </w:r>
          <w:hyperlink w:anchor="_Toc172645201" w:history="1">
            <w:r w:rsidR="00B63058" w:rsidRPr="00071C6A">
              <w:rPr>
                <w:rStyle w:val="Hyperlink"/>
                <w:noProof/>
              </w:rPr>
              <w:t>I daļa. Konteksts</w:t>
            </w:r>
            <w:r w:rsidR="00B63058">
              <w:rPr>
                <w:noProof/>
                <w:webHidden/>
              </w:rPr>
              <w:tab/>
            </w:r>
            <w:r w:rsidR="00B63058">
              <w:rPr>
                <w:noProof/>
                <w:webHidden/>
              </w:rPr>
              <w:fldChar w:fldCharType="begin"/>
            </w:r>
            <w:r w:rsidR="00B63058">
              <w:rPr>
                <w:noProof/>
                <w:webHidden/>
              </w:rPr>
              <w:instrText xml:space="preserve"> PAGEREF _Toc172645201 \h </w:instrText>
            </w:r>
            <w:r w:rsidR="00B63058">
              <w:rPr>
                <w:noProof/>
                <w:webHidden/>
              </w:rPr>
            </w:r>
            <w:r w:rsidR="00B63058">
              <w:rPr>
                <w:noProof/>
                <w:webHidden/>
              </w:rPr>
              <w:fldChar w:fldCharType="separate"/>
            </w:r>
            <w:r w:rsidR="00B63058">
              <w:rPr>
                <w:noProof/>
                <w:webHidden/>
              </w:rPr>
              <w:t>3</w:t>
            </w:r>
            <w:r w:rsidR="00B63058">
              <w:rPr>
                <w:noProof/>
                <w:webHidden/>
              </w:rPr>
              <w:fldChar w:fldCharType="end"/>
            </w:r>
          </w:hyperlink>
        </w:p>
        <w:p w14:paraId="2307C13F" w14:textId="71F84CB7"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02" w:history="1">
            <w:r w:rsidR="00B63058" w:rsidRPr="00071C6A">
              <w:rPr>
                <w:rStyle w:val="Hyperlink"/>
                <w:noProof/>
              </w:rPr>
              <w:t>1.</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Ievads</w:t>
            </w:r>
            <w:r w:rsidR="00B63058">
              <w:rPr>
                <w:noProof/>
                <w:webHidden/>
              </w:rPr>
              <w:tab/>
            </w:r>
            <w:r w:rsidR="00B63058">
              <w:rPr>
                <w:noProof/>
                <w:webHidden/>
              </w:rPr>
              <w:fldChar w:fldCharType="begin"/>
            </w:r>
            <w:r w:rsidR="00B63058">
              <w:rPr>
                <w:noProof/>
                <w:webHidden/>
              </w:rPr>
              <w:instrText xml:space="preserve"> PAGEREF _Toc172645202 \h </w:instrText>
            </w:r>
            <w:r w:rsidR="00B63058">
              <w:rPr>
                <w:noProof/>
                <w:webHidden/>
              </w:rPr>
            </w:r>
            <w:r w:rsidR="00B63058">
              <w:rPr>
                <w:noProof/>
                <w:webHidden/>
              </w:rPr>
              <w:fldChar w:fldCharType="separate"/>
            </w:r>
            <w:r w:rsidR="00B63058">
              <w:rPr>
                <w:noProof/>
                <w:webHidden/>
              </w:rPr>
              <w:t>3</w:t>
            </w:r>
            <w:r w:rsidR="00B63058">
              <w:rPr>
                <w:noProof/>
                <w:webHidden/>
              </w:rPr>
              <w:fldChar w:fldCharType="end"/>
            </w:r>
          </w:hyperlink>
        </w:p>
        <w:p w14:paraId="7B8D4DB9" w14:textId="2F0707CD"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03" w:history="1">
            <w:r w:rsidR="00B63058" w:rsidRPr="00071C6A">
              <w:rPr>
                <w:rStyle w:val="Hyperlink"/>
                <w:noProof/>
              </w:rPr>
              <w:t>2.</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Īsumā par SPTAJ regulu</w:t>
            </w:r>
            <w:r w:rsidR="00B63058">
              <w:rPr>
                <w:noProof/>
                <w:webHidden/>
              </w:rPr>
              <w:tab/>
            </w:r>
            <w:r w:rsidR="00B63058">
              <w:rPr>
                <w:noProof/>
                <w:webHidden/>
              </w:rPr>
              <w:fldChar w:fldCharType="begin"/>
            </w:r>
            <w:r w:rsidR="00B63058">
              <w:rPr>
                <w:noProof/>
                <w:webHidden/>
              </w:rPr>
              <w:instrText xml:space="preserve"> PAGEREF _Toc172645203 \h </w:instrText>
            </w:r>
            <w:r w:rsidR="00B63058">
              <w:rPr>
                <w:noProof/>
                <w:webHidden/>
              </w:rPr>
            </w:r>
            <w:r w:rsidR="00B63058">
              <w:rPr>
                <w:noProof/>
                <w:webHidden/>
              </w:rPr>
              <w:fldChar w:fldCharType="separate"/>
            </w:r>
            <w:r w:rsidR="00B63058">
              <w:rPr>
                <w:noProof/>
                <w:webHidden/>
              </w:rPr>
              <w:t>4</w:t>
            </w:r>
            <w:r w:rsidR="00B63058">
              <w:rPr>
                <w:noProof/>
                <w:webHidden/>
              </w:rPr>
              <w:fldChar w:fldCharType="end"/>
            </w:r>
          </w:hyperlink>
        </w:p>
        <w:p w14:paraId="76EBA91D" w14:textId="4759896F"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04" w:history="1">
            <w:r w:rsidR="00B63058" w:rsidRPr="00071C6A">
              <w:rPr>
                <w:rStyle w:val="Hyperlink"/>
                <w:noProof/>
              </w:rPr>
              <w:t>2.1.</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Darbības joma un mērķi</w:t>
            </w:r>
            <w:r w:rsidR="00B63058">
              <w:rPr>
                <w:noProof/>
                <w:webHidden/>
              </w:rPr>
              <w:tab/>
            </w:r>
            <w:r w:rsidR="00B63058">
              <w:rPr>
                <w:noProof/>
                <w:webHidden/>
              </w:rPr>
              <w:fldChar w:fldCharType="begin"/>
            </w:r>
            <w:r w:rsidR="00B63058">
              <w:rPr>
                <w:noProof/>
                <w:webHidden/>
              </w:rPr>
              <w:instrText xml:space="preserve"> PAGEREF _Toc172645204 \h </w:instrText>
            </w:r>
            <w:r w:rsidR="00B63058">
              <w:rPr>
                <w:noProof/>
                <w:webHidden/>
              </w:rPr>
            </w:r>
            <w:r w:rsidR="00B63058">
              <w:rPr>
                <w:noProof/>
                <w:webHidden/>
              </w:rPr>
              <w:fldChar w:fldCharType="separate"/>
            </w:r>
            <w:r w:rsidR="00B63058">
              <w:rPr>
                <w:noProof/>
                <w:webHidden/>
              </w:rPr>
              <w:t>4</w:t>
            </w:r>
            <w:r w:rsidR="00B63058">
              <w:rPr>
                <w:noProof/>
                <w:webHidden/>
              </w:rPr>
              <w:fldChar w:fldCharType="end"/>
            </w:r>
          </w:hyperlink>
        </w:p>
        <w:p w14:paraId="49C3C7ED" w14:textId="16EFEF8E"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05" w:history="1">
            <w:r w:rsidR="00B63058" w:rsidRPr="00071C6A">
              <w:rPr>
                <w:rStyle w:val="Hyperlink"/>
                <w:noProof/>
              </w:rPr>
              <w:t>2.2.</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Darbības</w:t>
            </w:r>
            <w:r w:rsidR="00B63058">
              <w:rPr>
                <w:noProof/>
                <w:webHidden/>
              </w:rPr>
              <w:tab/>
            </w:r>
            <w:r w:rsidR="00B63058">
              <w:rPr>
                <w:noProof/>
                <w:webHidden/>
              </w:rPr>
              <w:fldChar w:fldCharType="begin"/>
            </w:r>
            <w:r w:rsidR="00B63058">
              <w:rPr>
                <w:noProof/>
                <w:webHidden/>
              </w:rPr>
              <w:instrText xml:space="preserve"> PAGEREF _Toc172645205 \h </w:instrText>
            </w:r>
            <w:r w:rsidR="00B63058">
              <w:rPr>
                <w:noProof/>
                <w:webHidden/>
              </w:rPr>
            </w:r>
            <w:r w:rsidR="00B63058">
              <w:rPr>
                <w:noProof/>
                <w:webHidden/>
              </w:rPr>
              <w:fldChar w:fldCharType="separate"/>
            </w:r>
            <w:r w:rsidR="00B63058">
              <w:rPr>
                <w:noProof/>
                <w:webHidden/>
              </w:rPr>
              <w:t>4</w:t>
            </w:r>
            <w:r w:rsidR="00B63058">
              <w:rPr>
                <w:noProof/>
                <w:webHidden/>
              </w:rPr>
              <w:fldChar w:fldCharType="end"/>
            </w:r>
          </w:hyperlink>
        </w:p>
        <w:p w14:paraId="76D9BBD1" w14:textId="6843E3E9" w:rsidR="00B63058" w:rsidRDefault="00516763">
          <w:pPr>
            <w:pStyle w:val="TOC3"/>
            <w:tabs>
              <w:tab w:val="left" w:pos="1320"/>
              <w:tab w:val="right" w:leader="dot" w:pos="9350"/>
            </w:tabs>
            <w:rPr>
              <w:rFonts w:asciiTheme="minorHAnsi" w:eastAsiaTheme="minorEastAsia" w:hAnsiTheme="minorHAnsi" w:cstheme="minorBidi"/>
              <w:noProof/>
              <w:kern w:val="2"/>
              <w:sz w:val="22"/>
              <w:szCs w:val="22"/>
              <w:lang w:val="en-US"/>
              <w14:ligatures w14:val="standardContextual"/>
            </w:rPr>
          </w:pPr>
          <w:hyperlink w:anchor="_Toc172645206" w:history="1">
            <w:r w:rsidR="00B63058" w:rsidRPr="00071C6A">
              <w:rPr>
                <w:rStyle w:val="Hyperlink"/>
                <w:noProof/>
              </w:rPr>
              <w:t>2.2.1.</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Savstarpējās palīdzības lūgumi</w:t>
            </w:r>
            <w:r w:rsidR="00B63058">
              <w:rPr>
                <w:noProof/>
                <w:webHidden/>
              </w:rPr>
              <w:tab/>
            </w:r>
            <w:r w:rsidR="00B63058">
              <w:rPr>
                <w:noProof/>
                <w:webHidden/>
              </w:rPr>
              <w:fldChar w:fldCharType="begin"/>
            </w:r>
            <w:r w:rsidR="00B63058">
              <w:rPr>
                <w:noProof/>
                <w:webHidden/>
              </w:rPr>
              <w:instrText xml:space="preserve"> PAGEREF _Toc172645206 \h </w:instrText>
            </w:r>
            <w:r w:rsidR="00B63058">
              <w:rPr>
                <w:noProof/>
                <w:webHidden/>
              </w:rPr>
            </w:r>
            <w:r w:rsidR="00B63058">
              <w:rPr>
                <w:noProof/>
                <w:webHidden/>
              </w:rPr>
              <w:fldChar w:fldCharType="separate"/>
            </w:r>
            <w:r w:rsidR="00B63058">
              <w:rPr>
                <w:noProof/>
                <w:webHidden/>
              </w:rPr>
              <w:t>4</w:t>
            </w:r>
            <w:r w:rsidR="00B63058">
              <w:rPr>
                <w:noProof/>
                <w:webHidden/>
              </w:rPr>
              <w:fldChar w:fldCharType="end"/>
            </w:r>
          </w:hyperlink>
        </w:p>
        <w:p w14:paraId="1A073046" w14:textId="16AF006D" w:rsidR="00B63058" w:rsidRDefault="00516763">
          <w:pPr>
            <w:pStyle w:val="TOC3"/>
            <w:tabs>
              <w:tab w:val="left" w:pos="1320"/>
              <w:tab w:val="right" w:leader="dot" w:pos="9350"/>
            </w:tabs>
            <w:rPr>
              <w:rFonts w:asciiTheme="minorHAnsi" w:eastAsiaTheme="minorEastAsia" w:hAnsiTheme="minorHAnsi" w:cstheme="minorBidi"/>
              <w:noProof/>
              <w:kern w:val="2"/>
              <w:sz w:val="22"/>
              <w:szCs w:val="22"/>
              <w:lang w:val="en-US"/>
              <w14:ligatures w14:val="standardContextual"/>
            </w:rPr>
          </w:pPr>
          <w:hyperlink w:anchor="_Toc172645207" w:history="1">
            <w:r w:rsidR="00B63058" w:rsidRPr="00071C6A">
              <w:rPr>
                <w:rStyle w:val="Hyperlink"/>
                <w:noProof/>
              </w:rPr>
              <w:t>2.2.2.</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Brīdinājumi un ārējie brīdinājumi</w:t>
            </w:r>
            <w:r w:rsidR="00B63058">
              <w:rPr>
                <w:noProof/>
                <w:webHidden/>
              </w:rPr>
              <w:tab/>
            </w:r>
            <w:r w:rsidR="00B63058">
              <w:rPr>
                <w:noProof/>
                <w:webHidden/>
              </w:rPr>
              <w:fldChar w:fldCharType="begin"/>
            </w:r>
            <w:r w:rsidR="00B63058">
              <w:rPr>
                <w:noProof/>
                <w:webHidden/>
              </w:rPr>
              <w:instrText xml:space="preserve"> PAGEREF _Toc172645207 \h </w:instrText>
            </w:r>
            <w:r w:rsidR="00B63058">
              <w:rPr>
                <w:noProof/>
                <w:webHidden/>
              </w:rPr>
            </w:r>
            <w:r w:rsidR="00B63058">
              <w:rPr>
                <w:noProof/>
                <w:webHidden/>
              </w:rPr>
              <w:fldChar w:fldCharType="separate"/>
            </w:r>
            <w:r w:rsidR="00B63058">
              <w:rPr>
                <w:noProof/>
                <w:webHidden/>
              </w:rPr>
              <w:t>5</w:t>
            </w:r>
            <w:r w:rsidR="00B63058">
              <w:rPr>
                <w:noProof/>
                <w:webHidden/>
              </w:rPr>
              <w:fldChar w:fldCharType="end"/>
            </w:r>
          </w:hyperlink>
        </w:p>
        <w:p w14:paraId="20D39DE9" w14:textId="4B130093" w:rsidR="00B63058" w:rsidRDefault="00516763">
          <w:pPr>
            <w:pStyle w:val="TOC3"/>
            <w:tabs>
              <w:tab w:val="left" w:pos="1320"/>
              <w:tab w:val="right" w:leader="dot" w:pos="9350"/>
            </w:tabs>
            <w:rPr>
              <w:rFonts w:asciiTheme="minorHAnsi" w:eastAsiaTheme="minorEastAsia" w:hAnsiTheme="minorHAnsi" w:cstheme="minorBidi"/>
              <w:noProof/>
              <w:kern w:val="2"/>
              <w:sz w:val="22"/>
              <w:szCs w:val="22"/>
              <w:lang w:val="en-US"/>
              <w14:ligatures w14:val="standardContextual"/>
            </w:rPr>
          </w:pPr>
          <w:hyperlink w:anchor="_Toc172645208" w:history="1">
            <w:r w:rsidR="00B63058" w:rsidRPr="00071C6A">
              <w:rPr>
                <w:rStyle w:val="Hyperlink"/>
                <w:noProof/>
              </w:rPr>
              <w:t>2.2.3.</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Koordinēta rīcība</w:t>
            </w:r>
            <w:r w:rsidR="00B63058">
              <w:rPr>
                <w:noProof/>
                <w:webHidden/>
              </w:rPr>
              <w:tab/>
            </w:r>
            <w:r w:rsidR="00B63058">
              <w:rPr>
                <w:noProof/>
                <w:webHidden/>
              </w:rPr>
              <w:fldChar w:fldCharType="begin"/>
            </w:r>
            <w:r w:rsidR="00B63058">
              <w:rPr>
                <w:noProof/>
                <w:webHidden/>
              </w:rPr>
              <w:instrText xml:space="preserve"> PAGEREF _Toc172645208 \h </w:instrText>
            </w:r>
            <w:r w:rsidR="00B63058">
              <w:rPr>
                <w:noProof/>
                <w:webHidden/>
              </w:rPr>
            </w:r>
            <w:r w:rsidR="00B63058">
              <w:rPr>
                <w:noProof/>
                <w:webHidden/>
              </w:rPr>
              <w:fldChar w:fldCharType="separate"/>
            </w:r>
            <w:r w:rsidR="00B63058">
              <w:rPr>
                <w:noProof/>
                <w:webHidden/>
              </w:rPr>
              <w:t>5</w:t>
            </w:r>
            <w:r w:rsidR="00B63058">
              <w:rPr>
                <w:noProof/>
                <w:webHidden/>
              </w:rPr>
              <w:fldChar w:fldCharType="end"/>
            </w:r>
          </w:hyperlink>
        </w:p>
        <w:p w14:paraId="715DBB20" w14:textId="59458F6B" w:rsidR="00B63058" w:rsidRDefault="00516763">
          <w:pPr>
            <w:pStyle w:val="TOC3"/>
            <w:tabs>
              <w:tab w:val="left" w:pos="1320"/>
              <w:tab w:val="right" w:leader="dot" w:pos="9350"/>
            </w:tabs>
            <w:rPr>
              <w:rFonts w:asciiTheme="minorHAnsi" w:eastAsiaTheme="minorEastAsia" w:hAnsiTheme="minorHAnsi" w:cstheme="minorBidi"/>
              <w:noProof/>
              <w:kern w:val="2"/>
              <w:sz w:val="22"/>
              <w:szCs w:val="22"/>
              <w:lang w:val="en-US"/>
              <w14:ligatures w14:val="standardContextual"/>
            </w:rPr>
          </w:pPr>
          <w:hyperlink w:anchor="_Toc172645209" w:history="1">
            <w:r w:rsidR="00B63058" w:rsidRPr="00071C6A">
              <w:rPr>
                <w:rStyle w:val="Hyperlink"/>
                <w:noProof/>
              </w:rPr>
              <w:t>2.2.4.</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Kontrolreidi</w:t>
            </w:r>
            <w:r w:rsidR="00B63058">
              <w:rPr>
                <w:noProof/>
                <w:webHidden/>
              </w:rPr>
              <w:tab/>
            </w:r>
            <w:r w:rsidR="00B63058">
              <w:rPr>
                <w:noProof/>
                <w:webHidden/>
              </w:rPr>
              <w:fldChar w:fldCharType="begin"/>
            </w:r>
            <w:r w:rsidR="00B63058">
              <w:rPr>
                <w:noProof/>
                <w:webHidden/>
              </w:rPr>
              <w:instrText xml:space="preserve"> PAGEREF _Toc172645209 \h </w:instrText>
            </w:r>
            <w:r w:rsidR="00B63058">
              <w:rPr>
                <w:noProof/>
                <w:webHidden/>
              </w:rPr>
            </w:r>
            <w:r w:rsidR="00B63058">
              <w:rPr>
                <w:noProof/>
                <w:webHidden/>
              </w:rPr>
              <w:fldChar w:fldCharType="separate"/>
            </w:r>
            <w:r w:rsidR="00B63058">
              <w:rPr>
                <w:noProof/>
                <w:webHidden/>
              </w:rPr>
              <w:t>6</w:t>
            </w:r>
            <w:r w:rsidR="00B63058">
              <w:rPr>
                <w:noProof/>
                <w:webHidden/>
              </w:rPr>
              <w:fldChar w:fldCharType="end"/>
            </w:r>
          </w:hyperlink>
        </w:p>
        <w:p w14:paraId="33E09F68" w14:textId="32F6C008" w:rsidR="00B63058" w:rsidRDefault="00516763">
          <w:pPr>
            <w:pStyle w:val="TOC3"/>
            <w:tabs>
              <w:tab w:val="left" w:pos="1320"/>
              <w:tab w:val="right" w:leader="dot" w:pos="9350"/>
            </w:tabs>
            <w:rPr>
              <w:rFonts w:asciiTheme="minorHAnsi" w:eastAsiaTheme="minorEastAsia" w:hAnsiTheme="minorHAnsi" w:cstheme="minorBidi"/>
              <w:noProof/>
              <w:kern w:val="2"/>
              <w:sz w:val="22"/>
              <w:szCs w:val="22"/>
              <w:lang w:val="en-US"/>
              <w14:ligatures w14:val="standardContextual"/>
            </w:rPr>
          </w:pPr>
          <w:hyperlink w:anchor="_Toc172645210" w:history="1">
            <w:r w:rsidR="00B63058" w:rsidRPr="00071C6A">
              <w:rPr>
                <w:rStyle w:val="Hyperlink"/>
                <w:noProof/>
              </w:rPr>
              <w:t>2.2.5.</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Citas darbības</w:t>
            </w:r>
            <w:r w:rsidR="00B63058">
              <w:rPr>
                <w:noProof/>
                <w:webHidden/>
              </w:rPr>
              <w:tab/>
            </w:r>
            <w:r w:rsidR="00B63058">
              <w:rPr>
                <w:noProof/>
                <w:webHidden/>
              </w:rPr>
              <w:fldChar w:fldCharType="begin"/>
            </w:r>
            <w:r w:rsidR="00B63058">
              <w:rPr>
                <w:noProof/>
                <w:webHidden/>
              </w:rPr>
              <w:instrText xml:space="preserve"> PAGEREF _Toc172645210 \h </w:instrText>
            </w:r>
            <w:r w:rsidR="00B63058">
              <w:rPr>
                <w:noProof/>
                <w:webHidden/>
              </w:rPr>
            </w:r>
            <w:r w:rsidR="00B63058">
              <w:rPr>
                <w:noProof/>
                <w:webHidden/>
              </w:rPr>
              <w:fldChar w:fldCharType="separate"/>
            </w:r>
            <w:r w:rsidR="00B63058">
              <w:rPr>
                <w:noProof/>
                <w:webHidden/>
              </w:rPr>
              <w:t>6</w:t>
            </w:r>
            <w:r w:rsidR="00B63058">
              <w:rPr>
                <w:noProof/>
                <w:webHidden/>
              </w:rPr>
              <w:fldChar w:fldCharType="end"/>
            </w:r>
          </w:hyperlink>
        </w:p>
        <w:p w14:paraId="4B501818" w14:textId="555CD309"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11" w:history="1">
            <w:r w:rsidR="00B63058" w:rsidRPr="00071C6A">
              <w:rPr>
                <w:rStyle w:val="Hyperlink"/>
                <w:noProof/>
              </w:rPr>
              <w:t>3.</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Galvenās tirgus norises kopš SPTAJ regulas pieņemšanas</w:t>
            </w:r>
            <w:r w:rsidR="00B63058">
              <w:rPr>
                <w:noProof/>
                <w:webHidden/>
              </w:rPr>
              <w:tab/>
            </w:r>
            <w:r w:rsidR="00B63058">
              <w:rPr>
                <w:noProof/>
                <w:webHidden/>
              </w:rPr>
              <w:fldChar w:fldCharType="begin"/>
            </w:r>
            <w:r w:rsidR="00B63058">
              <w:rPr>
                <w:noProof/>
                <w:webHidden/>
              </w:rPr>
              <w:instrText xml:space="preserve"> PAGEREF _Toc172645211 \h </w:instrText>
            </w:r>
            <w:r w:rsidR="00B63058">
              <w:rPr>
                <w:noProof/>
                <w:webHidden/>
              </w:rPr>
            </w:r>
            <w:r w:rsidR="00B63058">
              <w:rPr>
                <w:noProof/>
                <w:webHidden/>
              </w:rPr>
              <w:fldChar w:fldCharType="separate"/>
            </w:r>
            <w:r w:rsidR="00B63058">
              <w:rPr>
                <w:noProof/>
                <w:webHidden/>
              </w:rPr>
              <w:t>6</w:t>
            </w:r>
            <w:r w:rsidR="00B63058">
              <w:rPr>
                <w:noProof/>
                <w:webHidden/>
              </w:rPr>
              <w:fldChar w:fldCharType="end"/>
            </w:r>
          </w:hyperlink>
        </w:p>
        <w:p w14:paraId="5AB93D37" w14:textId="26AB459E"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12" w:history="1">
            <w:r w:rsidR="00B63058" w:rsidRPr="00071C6A">
              <w:rPr>
                <w:rStyle w:val="Hyperlink"/>
                <w:noProof/>
              </w:rPr>
              <w:t>3.1.</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E-komercijas, tiešsaistes reklāmas un tirgus koncentrācijas strauja izaugsme</w:t>
            </w:r>
            <w:r w:rsidR="00B63058">
              <w:rPr>
                <w:noProof/>
                <w:webHidden/>
              </w:rPr>
              <w:tab/>
            </w:r>
            <w:r w:rsidR="00B63058">
              <w:rPr>
                <w:noProof/>
                <w:webHidden/>
              </w:rPr>
              <w:fldChar w:fldCharType="begin"/>
            </w:r>
            <w:r w:rsidR="00B63058">
              <w:rPr>
                <w:noProof/>
                <w:webHidden/>
              </w:rPr>
              <w:instrText xml:space="preserve"> PAGEREF _Toc172645212 \h </w:instrText>
            </w:r>
            <w:r w:rsidR="00B63058">
              <w:rPr>
                <w:noProof/>
                <w:webHidden/>
              </w:rPr>
            </w:r>
            <w:r w:rsidR="00B63058">
              <w:rPr>
                <w:noProof/>
                <w:webHidden/>
              </w:rPr>
              <w:fldChar w:fldCharType="separate"/>
            </w:r>
            <w:r w:rsidR="00B63058">
              <w:rPr>
                <w:noProof/>
                <w:webHidden/>
              </w:rPr>
              <w:t>6</w:t>
            </w:r>
            <w:r w:rsidR="00B63058">
              <w:rPr>
                <w:noProof/>
                <w:webHidden/>
              </w:rPr>
              <w:fldChar w:fldCharType="end"/>
            </w:r>
          </w:hyperlink>
        </w:p>
        <w:p w14:paraId="0F6E416C" w14:textId="56E07076"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13" w:history="1">
            <w:r w:rsidR="00B63058" w:rsidRPr="00071C6A">
              <w:rPr>
                <w:rStyle w:val="Hyperlink"/>
                <w:noProof/>
              </w:rPr>
              <w:t>3.2.</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Plašāka pārrobežu iepirkšanās, tostarp no trešo valstu tirgotājiem</w:t>
            </w:r>
            <w:r w:rsidR="00B63058">
              <w:rPr>
                <w:noProof/>
                <w:webHidden/>
              </w:rPr>
              <w:tab/>
            </w:r>
            <w:r w:rsidR="00B63058">
              <w:rPr>
                <w:noProof/>
                <w:webHidden/>
              </w:rPr>
              <w:fldChar w:fldCharType="begin"/>
            </w:r>
            <w:r w:rsidR="00B63058">
              <w:rPr>
                <w:noProof/>
                <w:webHidden/>
              </w:rPr>
              <w:instrText xml:space="preserve"> PAGEREF _Toc172645213 \h </w:instrText>
            </w:r>
            <w:r w:rsidR="00B63058">
              <w:rPr>
                <w:noProof/>
                <w:webHidden/>
              </w:rPr>
            </w:r>
            <w:r w:rsidR="00B63058">
              <w:rPr>
                <w:noProof/>
                <w:webHidden/>
              </w:rPr>
              <w:fldChar w:fldCharType="separate"/>
            </w:r>
            <w:r w:rsidR="00B63058">
              <w:rPr>
                <w:noProof/>
                <w:webHidden/>
              </w:rPr>
              <w:t>8</w:t>
            </w:r>
            <w:r w:rsidR="00B63058">
              <w:rPr>
                <w:noProof/>
                <w:webHidden/>
              </w:rPr>
              <w:fldChar w:fldCharType="end"/>
            </w:r>
          </w:hyperlink>
        </w:p>
        <w:p w14:paraId="13D088EE" w14:textId="724D8C73"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14" w:history="1">
            <w:r w:rsidR="00B63058" w:rsidRPr="00071C6A">
              <w:rPr>
                <w:rStyle w:val="Hyperlink"/>
                <w:noProof/>
              </w:rPr>
              <w:t>3.3.</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Jauni digitālās uzņēmējdarbības modeļi</w:t>
            </w:r>
            <w:r w:rsidR="00B63058">
              <w:rPr>
                <w:noProof/>
                <w:webHidden/>
              </w:rPr>
              <w:tab/>
            </w:r>
            <w:r w:rsidR="00B63058">
              <w:rPr>
                <w:noProof/>
                <w:webHidden/>
              </w:rPr>
              <w:fldChar w:fldCharType="begin"/>
            </w:r>
            <w:r w:rsidR="00B63058">
              <w:rPr>
                <w:noProof/>
                <w:webHidden/>
              </w:rPr>
              <w:instrText xml:space="preserve"> PAGEREF _Toc172645214 \h </w:instrText>
            </w:r>
            <w:r w:rsidR="00B63058">
              <w:rPr>
                <w:noProof/>
                <w:webHidden/>
              </w:rPr>
            </w:r>
            <w:r w:rsidR="00B63058">
              <w:rPr>
                <w:noProof/>
                <w:webHidden/>
              </w:rPr>
              <w:fldChar w:fldCharType="separate"/>
            </w:r>
            <w:r w:rsidR="00B63058">
              <w:rPr>
                <w:noProof/>
                <w:webHidden/>
              </w:rPr>
              <w:t>8</w:t>
            </w:r>
            <w:r w:rsidR="00B63058">
              <w:rPr>
                <w:noProof/>
                <w:webHidden/>
              </w:rPr>
              <w:fldChar w:fldCharType="end"/>
            </w:r>
          </w:hyperlink>
        </w:p>
        <w:p w14:paraId="4221CAE2" w14:textId="7CB5DEFF"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15" w:history="1">
            <w:r w:rsidR="00B63058" w:rsidRPr="00071C6A">
              <w:rPr>
                <w:rStyle w:val="Hyperlink"/>
                <w:noProof/>
              </w:rPr>
              <w:t>3.4.</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Maldinoši apgalvojumi par ilgtspēju</w:t>
            </w:r>
            <w:r w:rsidR="00B63058">
              <w:rPr>
                <w:noProof/>
                <w:webHidden/>
              </w:rPr>
              <w:tab/>
            </w:r>
            <w:r w:rsidR="00B63058">
              <w:rPr>
                <w:noProof/>
                <w:webHidden/>
              </w:rPr>
              <w:fldChar w:fldCharType="begin"/>
            </w:r>
            <w:r w:rsidR="00B63058">
              <w:rPr>
                <w:noProof/>
                <w:webHidden/>
              </w:rPr>
              <w:instrText xml:space="preserve"> PAGEREF _Toc172645215 \h </w:instrText>
            </w:r>
            <w:r w:rsidR="00B63058">
              <w:rPr>
                <w:noProof/>
                <w:webHidden/>
              </w:rPr>
            </w:r>
            <w:r w:rsidR="00B63058">
              <w:rPr>
                <w:noProof/>
                <w:webHidden/>
              </w:rPr>
              <w:fldChar w:fldCharType="separate"/>
            </w:r>
            <w:r w:rsidR="00B63058">
              <w:rPr>
                <w:noProof/>
                <w:webHidden/>
              </w:rPr>
              <w:t>9</w:t>
            </w:r>
            <w:r w:rsidR="00B63058">
              <w:rPr>
                <w:noProof/>
                <w:webHidden/>
              </w:rPr>
              <w:fldChar w:fldCharType="end"/>
            </w:r>
          </w:hyperlink>
        </w:p>
        <w:p w14:paraId="25711153" w14:textId="2546CB74"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16" w:history="1">
            <w:r w:rsidR="00B63058" w:rsidRPr="00071C6A">
              <w:rPr>
                <w:rStyle w:val="Hyperlink"/>
                <w:noProof/>
              </w:rPr>
              <w:t>3.5.</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Augsts ES patērētāju tiesību aktu neievērošanas līmenis un strauja pārkāpumu izplatība tirgus nozarēs</w:t>
            </w:r>
            <w:r w:rsidR="00B63058">
              <w:rPr>
                <w:noProof/>
                <w:webHidden/>
              </w:rPr>
              <w:tab/>
            </w:r>
            <w:r w:rsidR="00B63058">
              <w:rPr>
                <w:noProof/>
                <w:webHidden/>
              </w:rPr>
              <w:fldChar w:fldCharType="begin"/>
            </w:r>
            <w:r w:rsidR="00B63058">
              <w:rPr>
                <w:noProof/>
                <w:webHidden/>
              </w:rPr>
              <w:instrText xml:space="preserve"> PAGEREF _Toc172645216 \h </w:instrText>
            </w:r>
            <w:r w:rsidR="00B63058">
              <w:rPr>
                <w:noProof/>
                <w:webHidden/>
              </w:rPr>
            </w:r>
            <w:r w:rsidR="00B63058">
              <w:rPr>
                <w:noProof/>
                <w:webHidden/>
              </w:rPr>
              <w:fldChar w:fldCharType="separate"/>
            </w:r>
            <w:r w:rsidR="00B63058">
              <w:rPr>
                <w:noProof/>
                <w:webHidden/>
              </w:rPr>
              <w:t>10</w:t>
            </w:r>
            <w:r w:rsidR="00B63058">
              <w:rPr>
                <w:noProof/>
                <w:webHidden/>
              </w:rPr>
              <w:fldChar w:fldCharType="end"/>
            </w:r>
          </w:hyperlink>
        </w:p>
        <w:p w14:paraId="7DB27317" w14:textId="41ACD86F"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17" w:history="1">
            <w:r w:rsidR="00B63058" w:rsidRPr="00071C6A">
              <w:rPr>
                <w:rStyle w:val="Hyperlink"/>
                <w:noProof/>
              </w:rPr>
              <w:t>II daļa. SPTAJ regulas piemērošanas novērtējuma rezultāti</w:t>
            </w:r>
            <w:r w:rsidR="00B63058">
              <w:rPr>
                <w:noProof/>
                <w:webHidden/>
              </w:rPr>
              <w:tab/>
            </w:r>
            <w:r w:rsidR="00B63058">
              <w:rPr>
                <w:noProof/>
                <w:webHidden/>
              </w:rPr>
              <w:fldChar w:fldCharType="begin"/>
            </w:r>
            <w:r w:rsidR="00B63058">
              <w:rPr>
                <w:noProof/>
                <w:webHidden/>
              </w:rPr>
              <w:instrText xml:space="preserve"> PAGEREF _Toc172645217 \h </w:instrText>
            </w:r>
            <w:r w:rsidR="00B63058">
              <w:rPr>
                <w:noProof/>
                <w:webHidden/>
              </w:rPr>
            </w:r>
            <w:r w:rsidR="00B63058">
              <w:rPr>
                <w:noProof/>
                <w:webHidden/>
              </w:rPr>
              <w:fldChar w:fldCharType="separate"/>
            </w:r>
            <w:r w:rsidR="00B63058">
              <w:rPr>
                <w:noProof/>
                <w:webHidden/>
              </w:rPr>
              <w:t>12</w:t>
            </w:r>
            <w:r w:rsidR="00B63058">
              <w:rPr>
                <w:noProof/>
                <w:webHidden/>
              </w:rPr>
              <w:fldChar w:fldCharType="end"/>
            </w:r>
          </w:hyperlink>
        </w:p>
        <w:p w14:paraId="41F646AC" w14:textId="25ACEA4C"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18" w:history="1">
            <w:r w:rsidR="00B63058" w:rsidRPr="00071C6A">
              <w:rPr>
                <w:rStyle w:val="Hyperlink"/>
                <w:noProof/>
              </w:rPr>
              <w:t>4.</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SPTAJ regulas galvenie mērķi</w:t>
            </w:r>
            <w:r w:rsidR="00B63058">
              <w:rPr>
                <w:noProof/>
                <w:webHidden/>
              </w:rPr>
              <w:tab/>
            </w:r>
            <w:r w:rsidR="00B63058">
              <w:rPr>
                <w:noProof/>
                <w:webHidden/>
              </w:rPr>
              <w:fldChar w:fldCharType="begin"/>
            </w:r>
            <w:r w:rsidR="00B63058">
              <w:rPr>
                <w:noProof/>
                <w:webHidden/>
              </w:rPr>
              <w:instrText xml:space="preserve"> PAGEREF _Toc172645218 \h </w:instrText>
            </w:r>
            <w:r w:rsidR="00B63058">
              <w:rPr>
                <w:noProof/>
                <w:webHidden/>
              </w:rPr>
            </w:r>
            <w:r w:rsidR="00B63058">
              <w:rPr>
                <w:noProof/>
                <w:webHidden/>
              </w:rPr>
              <w:fldChar w:fldCharType="separate"/>
            </w:r>
            <w:r w:rsidR="00B63058">
              <w:rPr>
                <w:noProof/>
                <w:webHidden/>
              </w:rPr>
              <w:t>12</w:t>
            </w:r>
            <w:r w:rsidR="00B63058">
              <w:rPr>
                <w:noProof/>
                <w:webHidden/>
              </w:rPr>
              <w:fldChar w:fldCharType="end"/>
            </w:r>
          </w:hyperlink>
        </w:p>
        <w:p w14:paraId="2001FE24" w14:textId="5C10F862"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19" w:history="1">
            <w:r w:rsidR="00B63058" w:rsidRPr="00071C6A">
              <w:rPr>
                <w:rStyle w:val="Hyperlink"/>
                <w:noProof/>
              </w:rPr>
              <w:t>4.1.</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Pārkāpumu atklāšana</w:t>
            </w:r>
            <w:r w:rsidR="00B63058">
              <w:rPr>
                <w:noProof/>
                <w:webHidden/>
              </w:rPr>
              <w:tab/>
            </w:r>
            <w:r w:rsidR="00B63058">
              <w:rPr>
                <w:noProof/>
                <w:webHidden/>
              </w:rPr>
              <w:fldChar w:fldCharType="begin"/>
            </w:r>
            <w:r w:rsidR="00B63058">
              <w:rPr>
                <w:noProof/>
                <w:webHidden/>
              </w:rPr>
              <w:instrText xml:space="preserve"> PAGEREF _Toc172645219 \h </w:instrText>
            </w:r>
            <w:r w:rsidR="00B63058">
              <w:rPr>
                <w:noProof/>
                <w:webHidden/>
              </w:rPr>
            </w:r>
            <w:r w:rsidR="00B63058">
              <w:rPr>
                <w:noProof/>
                <w:webHidden/>
              </w:rPr>
              <w:fldChar w:fldCharType="separate"/>
            </w:r>
            <w:r w:rsidR="00B63058">
              <w:rPr>
                <w:noProof/>
                <w:webHidden/>
              </w:rPr>
              <w:t>12</w:t>
            </w:r>
            <w:r w:rsidR="00B63058">
              <w:rPr>
                <w:noProof/>
                <w:webHidden/>
              </w:rPr>
              <w:fldChar w:fldCharType="end"/>
            </w:r>
          </w:hyperlink>
        </w:p>
        <w:p w14:paraId="077F73C3" w14:textId="4ABCE6A5"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0" w:history="1">
            <w:r w:rsidR="00B63058" w:rsidRPr="00071C6A">
              <w:rPr>
                <w:rStyle w:val="Hyperlink"/>
                <w:noProof/>
              </w:rPr>
              <w:t>4.2.</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Konsekventāka tiesību aktu izpilde patērētāju tiesību aizsardzības jomā</w:t>
            </w:r>
            <w:r w:rsidR="00B63058">
              <w:rPr>
                <w:noProof/>
                <w:webHidden/>
              </w:rPr>
              <w:tab/>
            </w:r>
            <w:r w:rsidR="00B63058">
              <w:rPr>
                <w:noProof/>
                <w:webHidden/>
              </w:rPr>
              <w:fldChar w:fldCharType="begin"/>
            </w:r>
            <w:r w:rsidR="00B63058">
              <w:rPr>
                <w:noProof/>
                <w:webHidden/>
              </w:rPr>
              <w:instrText xml:space="preserve"> PAGEREF _Toc172645220 \h </w:instrText>
            </w:r>
            <w:r w:rsidR="00B63058">
              <w:rPr>
                <w:noProof/>
                <w:webHidden/>
              </w:rPr>
            </w:r>
            <w:r w:rsidR="00B63058">
              <w:rPr>
                <w:noProof/>
                <w:webHidden/>
              </w:rPr>
              <w:fldChar w:fldCharType="separate"/>
            </w:r>
            <w:r w:rsidR="00B63058">
              <w:rPr>
                <w:noProof/>
                <w:webHidden/>
              </w:rPr>
              <w:t>13</w:t>
            </w:r>
            <w:r w:rsidR="00B63058">
              <w:rPr>
                <w:noProof/>
                <w:webHidden/>
              </w:rPr>
              <w:fldChar w:fldCharType="end"/>
            </w:r>
          </w:hyperlink>
        </w:p>
        <w:p w14:paraId="3F88BAA9" w14:textId="0C887518"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1" w:history="1">
            <w:r w:rsidR="00B63058" w:rsidRPr="00071C6A">
              <w:rPr>
                <w:rStyle w:val="Hyperlink"/>
                <w:noProof/>
              </w:rPr>
              <w:t>4.3.</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Vēršanās pret vienādu ļaunprātīgu praksi, kas izplatās visā ES</w:t>
            </w:r>
            <w:r w:rsidR="00B63058">
              <w:rPr>
                <w:noProof/>
                <w:webHidden/>
              </w:rPr>
              <w:tab/>
            </w:r>
            <w:r w:rsidR="00B63058">
              <w:rPr>
                <w:noProof/>
                <w:webHidden/>
              </w:rPr>
              <w:fldChar w:fldCharType="begin"/>
            </w:r>
            <w:r w:rsidR="00B63058">
              <w:rPr>
                <w:noProof/>
                <w:webHidden/>
              </w:rPr>
              <w:instrText xml:space="preserve"> PAGEREF _Toc172645221 \h </w:instrText>
            </w:r>
            <w:r w:rsidR="00B63058">
              <w:rPr>
                <w:noProof/>
                <w:webHidden/>
              </w:rPr>
            </w:r>
            <w:r w:rsidR="00B63058">
              <w:rPr>
                <w:noProof/>
                <w:webHidden/>
              </w:rPr>
              <w:fldChar w:fldCharType="separate"/>
            </w:r>
            <w:r w:rsidR="00B63058">
              <w:rPr>
                <w:noProof/>
                <w:webHidden/>
              </w:rPr>
              <w:t>14</w:t>
            </w:r>
            <w:r w:rsidR="00B63058">
              <w:rPr>
                <w:noProof/>
                <w:webHidden/>
              </w:rPr>
              <w:fldChar w:fldCharType="end"/>
            </w:r>
          </w:hyperlink>
        </w:p>
        <w:p w14:paraId="7B6DAF6C" w14:textId="6EF1E108"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22" w:history="1">
            <w:r w:rsidR="00B63058" w:rsidRPr="00071C6A">
              <w:rPr>
                <w:rStyle w:val="Hyperlink"/>
                <w:noProof/>
              </w:rPr>
              <w:t>5.</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SPTAJ regulas efektivitāte, ņemot vērā patēriņa tirgu neseno attīstību ES</w:t>
            </w:r>
            <w:r w:rsidR="00B63058">
              <w:rPr>
                <w:noProof/>
                <w:webHidden/>
              </w:rPr>
              <w:tab/>
            </w:r>
            <w:r w:rsidR="00B63058">
              <w:rPr>
                <w:noProof/>
                <w:webHidden/>
              </w:rPr>
              <w:fldChar w:fldCharType="begin"/>
            </w:r>
            <w:r w:rsidR="00B63058">
              <w:rPr>
                <w:noProof/>
                <w:webHidden/>
              </w:rPr>
              <w:instrText xml:space="preserve"> PAGEREF _Toc172645222 \h </w:instrText>
            </w:r>
            <w:r w:rsidR="00B63058">
              <w:rPr>
                <w:noProof/>
                <w:webHidden/>
              </w:rPr>
            </w:r>
            <w:r w:rsidR="00B63058">
              <w:rPr>
                <w:noProof/>
                <w:webHidden/>
              </w:rPr>
              <w:fldChar w:fldCharType="separate"/>
            </w:r>
            <w:r w:rsidR="00B63058">
              <w:rPr>
                <w:noProof/>
                <w:webHidden/>
              </w:rPr>
              <w:t>15</w:t>
            </w:r>
            <w:r w:rsidR="00B63058">
              <w:rPr>
                <w:noProof/>
                <w:webHidden/>
              </w:rPr>
              <w:fldChar w:fldCharType="end"/>
            </w:r>
          </w:hyperlink>
        </w:p>
        <w:p w14:paraId="39EFADC2" w14:textId="6F72AF1E"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23" w:history="1">
            <w:r w:rsidR="00B63058" w:rsidRPr="00071C6A">
              <w:rPr>
                <w:rStyle w:val="Hyperlink"/>
                <w:noProof/>
              </w:rPr>
              <w:t>6.</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Regulā (ES) 2017/2394 paredzētā SPTAJ sadarbības satvara trūkumi</w:t>
            </w:r>
            <w:r w:rsidR="00B63058">
              <w:rPr>
                <w:noProof/>
                <w:webHidden/>
              </w:rPr>
              <w:tab/>
            </w:r>
            <w:r w:rsidR="00B63058">
              <w:rPr>
                <w:noProof/>
                <w:webHidden/>
              </w:rPr>
              <w:fldChar w:fldCharType="begin"/>
            </w:r>
            <w:r w:rsidR="00B63058">
              <w:rPr>
                <w:noProof/>
                <w:webHidden/>
              </w:rPr>
              <w:instrText xml:space="preserve"> PAGEREF _Toc172645223 \h </w:instrText>
            </w:r>
            <w:r w:rsidR="00B63058">
              <w:rPr>
                <w:noProof/>
                <w:webHidden/>
              </w:rPr>
            </w:r>
            <w:r w:rsidR="00B63058">
              <w:rPr>
                <w:noProof/>
                <w:webHidden/>
              </w:rPr>
              <w:fldChar w:fldCharType="separate"/>
            </w:r>
            <w:r w:rsidR="00B63058">
              <w:rPr>
                <w:noProof/>
                <w:webHidden/>
              </w:rPr>
              <w:t>15</w:t>
            </w:r>
            <w:r w:rsidR="00B63058">
              <w:rPr>
                <w:noProof/>
                <w:webHidden/>
              </w:rPr>
              <w:fldChar w:fldCharType="end"/>
            </w:r>
          </w:hyperlink>
        </w:p>
        <w:p w14:paraId="3AE9B821" w14:textId="25F66A27"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4" w:history="1">
            <w:r w:rsidR="00B63058" w:rsidRPr="00071C6A">
              <w:rPr>
                <w:rStyle w:val="Hyperlink"/>
                <w:noProof/>
              </w:rPr>
              <w:t>6.1.</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Atšķirīga izpildes spēja valstu līmenī</w:t>
            </w:r>
            <w:r w:rsidR="00B63058">
              <w:rPr>
                <w:noProof/>
                <w:webHidden/>
              </w:rPr>
              <w:tab/>
            </w:r>
            <w:r w:rsidR="00B63058">
              <w:rPr>
                <w:noProof/>
                <w:webHidden/>
              </w:rPr>
              <w:fldChar w:fldCharType="begin"/>
            </w:r>
            <w:r w:rsidR="00B63058">
              <w:rPr>
                <w:noProof/>
                <w:webHidden/>
              </w:rPr>
              <w:instrText xml:space="preserve"> PAGEREF _Toc172645224 \h </w:instrText>
            </w:r>
            <w:r w:rsidR="00B63058">
              <w:rPr>
                <w:noProof/>
                <w:webHidden/>
              </w:rPr>
            </w:r>
            <w:r w:rsidR="00B63058">
              <w:rPr>
                <w:noProof/>
                <w:webHidden/>
              </w:rPr>
              <w:fldChar w:fldCharType="separate"/>
            </w:r>
            <w:r w:rsidR="00B63058">
              <w:rPr>
                <w:noProof/>
                <w:webHidden/>
              </w:rPr>
              <w:t>15</w:t>
            </w:r>
            <w:r w:rsidR="00B63058">
              <w:rPr>
                <w:noProof/>
                <w:webHidden/>
              </w:rPr>
              <w:fldChar w:fldCharType="end"/>
            </w:r>
          </w:hyperlink>
        </w:p>
        <w:p w14:paraId="33499CDC" w14:textId="78E37867"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5" w:history="1">
            <w:r w:rsidR="00B63058" w:rsidRPr="00071C6A">
              <w:rPr>
                <w:rStyle w:val="Hyperlink"/>
                <w:noProof/>
              </w:rPr>
              <w:t>6.2.</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Atšķirības SPTAJ regulas piemērošanā</w:t>
            </w:r>
            <w:r w:rsidR="00B63058">
              <w:rPr>
                <w:noProof/>
                <w:webHidden/>
              </w:rPr>
              <w:tab/>
            </w:r>
            <w:r w:rsidR="00B63058">
              <w:rPr>
                <w:noProof/>
                <w:webHidden/>
              </w:rPr>
              <w:fldChar w:fldCharType="begin"/>
            </w:r>
            <w:r w:rsidR="00B63058">
              <w:rPr>
                <w:noProof/>
                <w:webHidden/>
              </w:rPr>
              <w:instrText xml:space="preserve"> PAGEREF _Toc172645225 \h </w:instrText>
            </w:r>
            <w:r w:rsidR="00B63058">
              <w:rPr>
                <w:noProof/>
                <w:webHidden/>
              </w:rPr>
            </w:r>
            <w:r w:rsidR="00B63058">
              <w:rPr>
                <w:noProof/>
                <w:webHidden/>
              </w:rPr>
              <w:fldChar w:fldCharType="separate"/>
            </w:r>
            <w:r w:rsidR="00B63058">
              <w:rPr>
                <w:noProof/>
                <w:webHidden/>
              </w:rPr>
              <w:t>15</w:t>
            </w:r>
            <w:r w:rsidR="00B63058">
              <w:rPr>
                <w:noProof/>
                <w:webHidden/>
              </w:rPr>
              <w:fldChar w:fldCharType="end"/>
            </w:r>
          </w:hyperlink>
        </w:p>
        <w:p w14:paraId="2A1379B7" w14:textId="5AA42A42"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6" w:history="1">
            <w:r w:rsidR="00B63058" w:rsidRPr="00071C6A">
              <w:rPr>
                <w:rStyle w:val="Hyperlink"/>
                <w:noProof/>
              </w:rPr>
              <w:t>6.3.</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Brīdinājumu nevienmērīga izmantošana</w:t>
            </w:r>
            <w:r w:rsidR="00B63058">
              <w:rPr>
                <w:noProof/>
                <w:webHidden/>
              </w:rPr>
              <w:tab/>
            </w:r>
            <w:r w:rsidR="00B63058">
              <w:rPr>
                <w:noProof/>
                <w:webHidden/>
              </w:rPr>
              <w:fldChar w:fldCharType="begin"/>
            </w:r>
            <w:r w:rsidR="00B63058">
              <w:rPr>
                <w:noProof/>
                <w:webHidden/>
              </w:rPr>
              <w:instrText xml:space="preserve"> PAGEREF _Toc172645226 \h </w:instrText>
            </w:r>
            <w:r w:rsidR="00B63058">
              <w:rPr>
                <w:noProof/>
                <w:webHidden/>
              </w:rPr>
            </w:r>
            <w:r w:rsidR="00B63058">
              <w:rPr>
                <w:noProof/>
                <w:webHidden/>
              </w:rPr>
              <w:fldChar w:fldCharType="separate"/>
            </w:r>
            <w:r w:rsidR="00B63058">
              <w:rPr>
                <w:noProof/>
                <w:webHidden/>
              </w:rPr>
              <w:t>16</w:t>
            </w:r>
            <w:r w:rsidR="00B63058">
              <w:rPr>
                <w:noProof/>
                <w:webHidden/>
              </w:rPr>
              <w:fldChar w:fldCharType="end"/>
            </w:r>
          </w:hyperlink>
        </w:p>
        <w:p w14:paraId="48313A7F" w14:textId="6A38C9EF"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7" w:history="1">
            <w:r w:rsidR="00B63058" w:rsidRPr="00071C6A">
              <w:rPr>
                <w:rStyle w:val="Hyperlink"/>
                <w:noProof/>
              </w:rPr>
              <w:t>6.4.</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Grūtības novērst pārkāpumus, ko izdarījuši tirgotāji, kuri veic uzņēmējdarbību ārpus Savienības</w:t>
            </w:r>
            <w:r w:rsidR="00B63058">
              <w:rPr>
                <w:noProof/>
                <w:webHidden/>
              </w:rPr>
              <w:tab/>
            </w:r>
            <w:r w:rsidR="00B63058">
              <w:rPr>
                <w:noProof/>
                <w:webHidden/>
              </w:rPr>
              <w:fldChar w:fldCharType="begin"/>
            </w:r>
            <w:r w:rsidR="00B63058">
              <w:rPr>
                <w:noProof/>
                <w:webHidden/>
              </w:rPr>
              <w:instrText xml:space="preserve"> PAGEREF _Toc172645227 \h </w:instrText>
            </w:r>
            <w:r w:rsidR="00B63058">
              <w:rPr>
                <w:noProof/>
                <w:webHidden/>
              </w:rPr>
            </w:r>
            <w:r w:rsidR="00B63058">
              <w:rPr>
                <w:noProof/>
                <w:webHidden/>
              </w:rPr>
              <w:fldChar w:fldCharType="separate"/>
            </w:r>
            <w:r w:rsidR="00B63058">
              <w:rPr>
                <w:noProof/>
                <w:webHidden/>
              </w:rPr>
              <w:t>16</w:t>
            </w:r>
            <w:r w:rsidR="00B63058">
              <w:rPr>
                <w:noProof/>
                <w:webHidden/>
              </w:rPr>
              <w:fldChar w:fldCharType="end"/>
            </w:r>
          </w:hyperlink>
        </w:p>
        <w:p w14:paraId="239DEBE3" w14:textId="1743D72B"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8" w:history="1">
            <w:r w:rsidR="00B63058" w:rsidRPr="00071C6A">
              <w:rPr>
                <w:rStyle w:val="Hyperlink"/>
                <w:noProof/>
              </w:rPr>
              <w:t>6.5.</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SPTAJ regulējuma preventīvās ietekmes trūkums, jo netiek piemēroti vienkārši naudas sodi</w:t>
            </w:r>
            <w:r w:rsidR="00B63058">
              <w:rPr>
                <w:noProof/>
                <w:webHidden/>
              </w:rPr>
              <w:tab/>
            </w:r>
            <w:r w:rsidR="00B63058">
              <w:rPr>
                <w:noProof/>
                <w:webHidden/>
              </w:rPr>
              <w:fldChar w:fldCharType="begin"/>
            </w:r>
            <w:r w:rsidR="00B63058">
              <w:rPr>
                <w:noProof/>
                <w:webHidden/>
              </w:rPr>
              <w:instrText xml:space="preserve"> PAGEREF _Toc172645228 \h </w:instrText>
            </w:r>
            <w:r w:rsidR="00B63058">
              <w:rPr>
                <w:noProof/>
                <w:webHidden/>
              </w:rPr>
            </w:r>
            <w:r w:rsidR="00B63058">
              <w:rPr>
                <w:noProof/>
                <w:webHidden/>
              </w:rPr>
              <w:fldChar w:fldCharType="separate"/>
            </w:r>
            <w:r w:rsidR="00B63058">
              <w:rPr>
                <w:noProof/>
                <w:webHidden/>
              </w:rPr>
              <w:t>16</w:t>
            </w:r>
            <w:r w:rsidR="00B63058">
              <w:rPr>
                <w:noProof/>
                <w:webHidden/>
              </w:rPr>
              <w:fldChar w:fldCharType="end"/>
            </w:r>
          </w:hyperlink>
        </w:p>
        <w:p w14:paraId="7C6F1D75" w14:textId="2F806372"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29" w:history="1">
            <w:r w:rsidR="00B63058" w:rsidRPr="00071C6A">
              <w:rPr>
                <w:rStyle w:val="Hyperlink"/>
                <w:noProof/>
              </w:rPr>
              <w:t>6.6.</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Spēju trūkums valsts līmenī, lai atklātu jaunus pārkāpumus</w:t>
            </w:r>
            <w:r w:rsidR="00B63058">
              <w:rPr>
                <w:noProof/>
                <w:webHidden/>
              </w:rPr>
              <w:tab/>
            </w:r>
            <w:r w:rsidR="00B63058">
              <w:rPr>
                <w:noProof/>
                <w:webHidden/>
              </w:rPr>
              <w:fldChar w:fldCharType="begin"/>
            </w:r>
            <w:r w:rsidR="00B63058">
              <w:rPr>
                <w:noProof/>
                <w:webHidden/>
              </w:rPr>
              <w:instrText xml:space="preserve"> PAGEREF _Toc172645229 \h </w:instrText>
            </w:r>
            <w:r w:rsidR="00B63058">
              <w:rPr>
                <w:noProof/>
                <w:webHidden/>
              </w:rPr>
            </w:r>
            <w:r w:rsidR="00B63058">
              <w:rPr>
                <w:noProof/>
                <w:webHidden/>
              </w:rPr>
              <w:fldChar w:fldCharType="separate"/>
            </w:r>
            <w:r w:rsidR="00B63058">
              <w:rPr>
                <w:noProof/>
                <w:webHidden/>
              </w:rPr>
              <w:t>17</w:t>
            </w:r>
            <w:r w:rsidR="00B63058">
              <w:rPr>
                <w:noProof/>
                <w:webHidden/>
              </w:rPr>
              <w:fldChar w:fldCharType="end"/>
            </w:r>
          </w:hyperlink>
        </w:p>
        <w:p w14:paraId="4DCA01F9" w14:textId="2961B39E" w:rsidR="00B63058" w:rsidRDefault="00516763">
          <w:pPr>
            <w:pStyle w:val="TOC2"/>
            <w:rPr>
              <w:rFonts w:asciiTheme="minorHAnsi" w:eastAsiaTheme="minorEastAsia" w:hAnsiTheme="minorHAnsi" w:cstheme="minorBidi"/>
              <w:noProof/>
              <w:kern w:val="2"/>
              <w:sz w:val="22"/>
              <w:szCs w:val="22"/>
              <w:lang w:val="en-US"/>
              <w14:ligatures w14:val="standardContextual"/>
            </w:rPr>
          </w:pPr>
          <w:hyperlink w:anchor="_Toc172645230" w:history="1">
            <w:r w:rsidR="00B63058" w:rsidRPr="00071C6A">
              <w:rPr>
                <w:rStyle w:val="Hyperlink"/>
                <w:noProof/>
              </w:rPr>
              <w:t>6.7.</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Ilgas SPTAJ procedūras</w:t>
            </w:r>
            <w:r w:rsidR="00B63058">
              <w:rPr>
                <w:noProof/>
                <w:webHidden/>
              </w:rPr>
              <w:tab/>
            </w:r>
            <w:r w:rsidR="00B63058">
              <w:rPr>
                <w:noProof/>
                <w:webHidden/>
              </w:rPr>
              <w:fldChar w:fldCharType="begin"/>
            </w:r>
            <w:r w:rsidR="00B63058">
              <w:rPr>
                <w:noProof/>
                <w:webHidden/>
              </w:rPr>
              <w:instrText xml:space="preserve"> PAGEREF _Toc172645230 \h </w:instrText>
            </w:r>
            <w:r w:rsidR="00B63058">
              <w:rPr>
                <w:noProof/>
                <w:webHidden/>
              </w:rPr>
            </w:r>
            <w:r w:rsidR="00B63058">
              <w:rPr>
                <w:noProof/>
                <w:webHidden/>
              </w:rPr>
              <w:fldChar w:fldCharType="separate"/>
            </w:r>
            <w:r w:rsidR="00B63058">
              <w:rPr>
                <w:noProof/>
                <w:webHidden/>
              </w:rPr>
              <w:t>17</w:t>
            </w:r>
            <w:r w:rsidR="00B63058">
              <w:rPr>
                <w:noProof/>
                <w:webHidden/>
              </w:rPr>
              <w:fldChar w:fldCharType="end"/>
            </w:r>
          </w:hyperlink>
        </w:p>
        <w:p w14:paraId="59BA79A8" w14:textId="6E8A11BF"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31" w:history="1">
            <w:r w:rsidR="00B63058" w:rsidRPr="00071C6A">
              <w:rPr>
                <w:rStyle w:val="Hyperlink"/>
                <w:noProof/>
              </w:rPr>
              <w:t>7.</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Regulas 9. pantā noteikto kompetento iestāžu minimālo pilnvaru efektivitāte</w:t>
            </w:r>
            <w:r w:rsidR="00B63058">
              <w:rPr>
                <w:noProof/>
                <w:webHidden/>
              </w:rPr>
              <w:tab/>
            </w:r>
            <w:r w:rsidR="00B63058">
              <w:rPr>
                <w:noProof/>
                <w:webHidden/>
              </w:rPr>
              <w:fldChar w:fldCharType="begin"/>
            </w:r>
            <w:r w:rsidR="00B63058">
              <w:rPr>
                <w:noProof/>
                <w:webHidden/>
              </w:rPr>
              <w:instrText xml:space="preserve"> PAGEREF _Toc172645231 \h </w:instrText>
            </w:r>
            <w:r w:rsidR="00B63058">
              <w:rPr>
                <w:noProof/>
                <w:webHidden/>
              </w:rPr>
            </w:r>
            <w:r w:rsidR="00B63058">
              <w:rPr>
                <w:noProof/>
                <w:webHidden/>
              </w:rPr>
              <w:fldChar w:fldCharType="separate"/>
            </w:r>
            <w:r w:rsidR="00B63058">
              <w:rPr>
                <w:noProof/>
                <w:webHidden/>
              </w:rPr>
              <w:t>19</w:t>
            </w:r>
            <w:r w:rsidR="00B63058">
              <w:rPr>
                <w:noProof/>
                <w:webHidden/>
              </w:rPr>
              <w:fldChar w:fldCharType="end"/>
            </w:r>
          </w:hyperlink>
        </w:p>
        <w:p w14:paraId="61DA17D1" w14:textId="7FC83B2D"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32" w:history="1">
            <w:r w:rsidR="00B63058" w:rsidRPr="00071C6A">
              <w:rPr>
                <w:rStyle w:val="Hyperlink"/>
                <w:noProof/>
              </w:rPr>
              <w:t>8.</w:t>
            </w:r>
            <w:r w:rsidR="00B63058">
              <w:rPr>
                <w:rFonts w:asciiTheme="minorHAnsi" w:eastAsiaTheme="minorEastAsia" w:hAnsiTheme="minorHAnsi" w:cstheme="minorBidi"/>
                <w:noProof/>
                <w:kern w:val="2"/>
                <w:sz w:val="22"/>
                <w:szCs w:val="22"/>
                <w:lang w:val="en-US"/>
                <w14:ligatures w14:val="standardContextual"/>
              </w:rPr>
              <w:tab/>
            </w:r>
            <w:r w:rsidR="00B63058" w:rsidRPr="00071C6A">
              <w:rPr>
                <w:rStyle w:val="Hyperlink"/>
                <w:noProof/>
              </w:rPr>
              <w:t>Tirgotāju atbilstība galvenajos patēriņa tirgos, uz kuriem attiecas pārrobežu tirdzniecība</w:t>
            </w:r>
            <w:r w:rsidR="00B63058">
              <w:rPr>
                <w:noProof/>
                <w:webHidden/>
              </w:rPr>
              <w:tab/>
            </w:r>
            <w:r w:rsidR="00B63058">
              <w:rPr>
                <w:noProof/>
                <w:webHidden/>
              </w:rPr>
              <w:fldChar w:fldCharType="begin"/>
            </w:r>
            <w:r w:rsidR="00B63058">
              <w:rPr>
                <w:noProof/>
                <w:webHidden/>
              </w:rPr>
              <w:instrText xml:space="preserve"> PAGEREF _Toc172645232 \h </w:instrText>
            </w:r>
            <w:r w:rsidR="00B63058">
              <w:rPr>
                <w:noProof/>
                <w:webHidden/>
              </w:rPr>
            </w:r>
            <w:r w:rsidR="00B63058">
              <w:rPr>
                <w:noProof/>
                <w:webHidden/>
              </w:rPr>
              <w:fldChar w:fldCharType="separate"/>
            </w:r>
            <w:r w:rsidR="00B63058">
              <w:rPr>
                <w:noProof/>
                <w:webHidden/>
              </w:rPr>
              <w:t>20</w:t>
            </w:r>
            <w:r w:rsidR="00B63058">
              <w:rPr>
                <w:noProof/>
                <w:webHidden/>
              </w:rPr>
              <w:fldChar w:fldCharType="end"/>
            </w:r>
          </w:hyperlink>
        </w:p>
        <w:p w14:paraId="06D09B73" w14:textId="7576E0C8" w:rsidR="00B63058" w:rsidRDefault="00516763">
          <w:pPr>
            <w:pStyle w:val="TOC1"/>
            <w:rPr>
              <w:rFonts w:asciiTheme="minorHAnsi" w:eastAsiaTheme="minorEastAsia" w:hAnsiTheme="minorHAnsi" w:cstheme="minorBidi"/>
              <w:noProof/>
              <w:kern w:val="2"/>
              <w:sz w:val="22"/>
              <w:szCs w:val="22"/>
              <w:lang w:val="en-US"/>
              <w14:ligatures w14:val="standardContextual"/>
            </w:rPr>
          </w:pPr>
          <w:hyperlink w:anchor="_Toc172645233" w:history="1">
            <w:r w:rsidR="00B63058" w:rsidRPr="00071C6A">
              <w:rPr>
                <w:rStyle w:val="Hyperlink"/>
                <w:noProof/>
              </w:rPr>
              <w:t>III daļa. Secinājumi un turpmākā virzība</w:t>
            </w:r>
            <w:r w:rsidR="00B63058">
              <w:rPr>
                <w:noProof/>
                <w:webHidden/>
              </w:rPr>
              <w:tab/>
            </w:r>
            <w:r w:rsidR="00B63058">
              <w:rPr>
                <w:noProof/>
                <w:webHidden/>
              </w:rPr>
              <w:fldChar w:fldCharType="begin"/>
            </w:r>
            <w:r w:rsidR="00B63058">
              <w:rPr>
                <w:noProof/>
                <w:webHidden/>
              </w:rPr>
              <w:instrText xml:space="preserve"> PAGEREF _Toc172645233 \h </w:instrText>
            </w:r>
            <w:r w:rsidR="00B63058">
              <w:rPr>
                <w:noProof/>
                <w:webHidden/>
              </w:rPr>
            </w:r>
            <w:r w:rsidR="00B63058">
              <w:rPr>
                <w:noProof/>
                <w:webHidden/>
              </w:rPr>
              <w:fldChar w:fldCharType="separate"/>
            </w:r>
            <w:r w:rsidR="00B63058">
              <w:rPr>
                <w:noProof/>
                <w:webHidden/>
              </w:rPr>
              <w:t>24</w:t>
            </w:r>
            <w:r w:rsidR="00B63058">
              <w:rPr>
                <w:noProof/>
                <w:webHidden/>
              </w:rPr>
              <w:fldChar w:fldCharType="end"/>
            </w:r>
          </w:hyperlink>
        </w:p>
        <w:p w14:paraId="2662EBC0" w14:textId="0BE83B2F" w:rsidR="0093587B" w:rsidRDefault="0093587B">
          <w:pPr>
            <w:rPr>
              <w:noProof/>
            </w:rPr>
          </w:pPr>
          <w:r>
            <w:rPr>
              <w:b/>
              <w:noProof/>
            </w:rPr>
            <w:fldChar w:fldCharType="end"/>
          </w:r>
        </w:p>
      </w:sdtContent>
    </w:sdt>
    <w:p w14:paraId="6E045B0B" w14:textId="56660254" w:rsidR="009A6BEE" w:rsidRDefault="009A6BEE">
      <w:pPr>
        <w:jc w:val="left"/>
        <w:rPr>
          <w:rFonts w:asciiTheme="majorHAnsi" w:eastAsiaTheme="majorEastAsia" w:hAnsiTheme="majorHAnsi" w:cstheme="majorBidi"/>
          <w:b/>
          <w:bCs/>
          <w:noProof/>
          <w:color w:val="2E74B5" w:themeColor="accent1" w:themeShade="BF"/>
          <w:sz w:val="32"/>
          <w:szCs w:val="32"/>
        </w:rPr>
      </w:pPr>
    </w:p>
    <w:p w14:paraId="227439B8" w14:textId="27F809CF" w:rsidR="0093587B" w:rsidRDefault="0093587B">
      <w:pPr>
        <w:jc w:val="left"/>
        <w:rPr>
          <w:rFonts w:asciiTheme="majorHAnsi" w:eastAsiaTheme="majorEastAsia" w:hAnsiTheme="majorHAnsi" w:cstheme="majorBidi"/>
          <w:b/>
          <w:bCs/>
          <w:noProof/>
          <w:color w:val="2E74B5" w:themeColor="accent1" w:themeShade="BF"/>
          <w:sz w:val="32"/>
          <w:szCs w:val="32"/>
        </w:rPr>
      </w:pPr>
    </w:p>
    <w:p w14:paraId="719D2443" w14:textId="74EBFC7D" w:rsidR="0093587B" w:rsidRDefault="0093587B">
      <w:pPr>
        <w:jc w:val="left"/>
        <w:rPr>
          <w:rFonts w:asciiTheme="majorHAnsi" w:eastAsiaTheme="majorEastAsia" w:hAnsiTheme="majorHAnsi" w:cstheme="majorBidi"/>
          <w:b/>
          <w:bCs/>
          <w:noProof/>
          <w:color w:val="2E74B5" w:themeColor="accent1" w:themeShade="BF"/>
          <w:sz w:val="32"/>
          <w:szCs w:val="32"/>
        </w:rPr>
      </w:pPr>
    </w:p>
    <w:p w14:paraId="1C423D0D" w14:textId="788B0DB0" w:rsidR="0093587B" w:rsidRDefault="0093587B">
      <w:pPr>
        <w:jc w:val="left"/>
        <w:rPr>
          <w:rFonts w:asciiTheme="majorHAnsi" w:eastAsiaTheme="majorEastAsia" w:hAnsiTheme="majorHAnsi" w:cstheme="majorBidi"/>
          <w:b/>
          <w:bCs/>
          <w:noProof/>
          <w:color w:val="2E74B5" w:themeColor="accent1" w:themeShade="BF"/>
          <w:sz w:val="32"/>
          <w:szCs w:val="32"/>
        </w:rPr>
      </w:pPr>
    </w:p>
    <w:p w14:paraId="09991F23" w14:textId="35C2E76A" w:rsidR="0093587B" w:rsidRDefault="0093587B">
      <w:pPr>
        <w:jc w:val="left"/>
        <w:rPr>
          <w:rFonts w:asciiTheme="majorHAnsi" w:eastAsiaTheme="majorEastAsia" w:hAnsiTheme="majorHAnsi" w:cstheme="majorBidi"/>
          <w:b/>
          <w:bCs/>
          <w:noProof/>
          <w:color w:val="2E74B5" w:themeColor="accent1" w:themeShade="BF"/>
          <w:sz w:val="32"/>
          <w:szCs w:val="32"/>
        </w:rPr>
      </w:pPr>
    </w:p>
    <w:p w14:paraId="113492BF" w14:textId="44646C42" w:rsidR="0093587B" w:rsidRDefault="0093587B">
      <w:pPr>
        <w:jc w:val="left"/>
        <w:rPr>
          <w:rFonts w:asciiTheme="majorHAnsi" w:eastAsiaTheme="majorEastAsia" w:hAnsiTheme="majorHAnsi" w:cstheme="majorBidi"/>
          <w:b/>
          <w:bCs/>
          <w:noProof/>
          <w:color w:val="2E74B5" w:themeColor="accent1" w:themeShade="BF"/>
          <w:sz w:val="32"/>
          <w:szCs w:val="32"/>
        </w:rPr>
      </w:pPr>
    </w:p>
    <w:p w14:paraId="5B99E6A2" w14:textId="0B0C4FF0" w:rsidR="0093587B" w:rsidRDefault="0093587B">
      <w:pPr>
        <w:jc w:val="left"/>
        <w:rPr>
          <w:rFonts w:asciiTheme="majorHAnsi" w:eastAsiaTheme="majorEastAsia" w:hAnsiTheme="majorHAnsi" w:cstheme="majorBidi"/>
          <w:b/>
          <w:bCs/>
          <w:noProof/>
          <w:color w:val="2E74B5" w:themeColor="accent1" w:themeShade="BF"/>
          <w:sz w:val="32"/>
          <w:szCs w:val="32"/>
        </w:rPr>
      </w:pPr>
    </w:p>
    <w:p w14:paraId="72636FB8" w14:textId="2E2B4E73" w:rsidR="0093587B" w:rsidRDefault="0093587B">
      <w:pPr>
        <w:jc w:val="left"/>
        <w:rPr>
          <w:rFonts w:asciiTheme="majorHAnsi" w:eastAsiaTheme="majorEastAsia" w:hAnsiTheme="majorHAnsi" w:cstheme="majorBidi"/>
          <w:b/>
          <w:bCs/>
          <w:noProof/>
          <w:color w:val="2E74B5" w:themeColor="accent1" w:themeShade="BF"/>
          <w:sz w:val="32"/>
          <w:szCs w:val="32"/>
        </w:rPr>
      </w:pPr>
    </w:p>
    <w:p w14:paraId="4E6D6D0A" w14:textId="686543D2" w:rsidR="0093587B" w:rsidRDefault="0093587B">
      <w:pPr>
        <w:jc w:val="left"/>
        <w:rPr>
          <w:rFonts w:asciiTheme="majorHAnsi" w:eastAsiaTheme="majorEastAsia" w:hAnsiTheme="majorHAnsi" w:cstheme="majorBidi"/>
          <w:b/>
          <w:bCs/>
          <w:noProof/>
          <w:color w:val="2E74B5" w:themeColor="accent1" w:themeShade="BF"/>
          <w:sz w:val="32"/>
          <w:szCs w:val="32"/>
        </w:rPr>
      </w:pPr>
    </w:p>
    <w:p w14:paraId="0FE7C322" w14:textId="6C414B3E" w:rsidR="0093587B" w:rsidRDefault="0093587B">
      <w:pPr>
        <w:jc w:val="left"/>
        <w:rPr>
          <w:rFonts w:asciiTheme="majorHAnsi" w:eastAsiaTheme="majorEastAsia" w:hAnsiTheme="majorHAnsi" w:cstheme="majorBidi"/>
          <w:b/>
          <w:bCs/>
          <w:noProof/>
          <w:color w:val="2E74B5" w:themeColor="accent1" w:themeShade="BF"/>
          <w:sz w:val="32"/>
          <w:szCs w:val="32"/>
        </w:rPr>
      </w:pPr>
    </w:p>
    <w:p w14:paraId="1FF07100" w14:textId="34F0573D" w:rsidR="0093587B" w:rsidRDefault="0093587B">
      <w:pPr>
        <w:jc w:val="left"/>
        <w:rPr>
          <w:rFonts w:asciiTheme="majorHAnsi" w:eastAsiaTheme="majorEastAsia" w:hAnsiTheme="majorHAnsi" w:cstheme="majorBidi"/>
          <w:b/>
          <w:bCs/>
          <w:noProof/>
          <w:color w:val="2E74B5" w:themeColor="accent1" w:themeShade="BF"/>
          <w:sz w:val="32"/>
          <w:szCs w:val="32"/>
        </w:rPr>
      </w:pPr>
    </w:p>
    <w:p w14:paraId="034F7C15" w14:textId="77777777" w:rsidR="0093587B" w:rsidRDefault="0093587B">
      <w:pPr>
        <w:jc w:val="left"/>
        <w:rPr>
          <w:rFonts w:asciiTheme="majorHAnsi" w:eastAsiaTheme="majorEastAsia" w:hAnsiTheme="majorHAnsi" w:cstheme="majorBidi"/>
          <w:b/>
          <w:bCs/>
          <w:noProof/>
          <w:color w:val="2E74B5" w:themeColor="accent1" w:themeShade="BF"/>
          <w:sz w:val="32"/>
          <w:szCs w:val="32"/>
        </w:rPr>
      </w:pPr>
    </w:p>
    <w:p w14:paraId="536A2D3A" w14:textId="4F7A9070" w:rsidR="005042B5" w:rsidRDefault="005042B5" w:rsidP="005042B5">
      <w:pPr>
        <w:pStyle w:val="Heading1"/>
        <w:numPr>
          <w:ilvl w:val="0"/>
          <w:numId w:val="0"/>
        </w:numPr>
        <w:ind w:left="480" w:hanging="480"/>
        <w:rPr>
          <w:noProof/>
        </w:rPr>
      </w:pPr>
      <w:bookmarkStart w:id="2" w:name="_Toc155107999"/>
      <w:bookmarkStart w:id="3" w:name="_Toc172645201"/>
      <w:r>
        <w:rPr>
          <w:noProof/>
        </w:rPr>
        <w:t>I daļa. Konteksts</w:t>
      </w:r>
      <w:bookmarkEnd w:id="2"/>
      <w:bookmarkEnd w:id="3"/>
    </w:p>
    <w:p w14:paraId="30ADAC48" w14:textId="2AC7F0B6" w:rsidR="00F07507" w:rsidRPr="003E5B4D" w:rsidRDefault="00BD74C7" w:rsidP="00316F69">
      <w:pPr>
        <w:pStyle w:val="Heading1"/>
        <w:rPr>
          <w:noProof/>
        </w:rPr>
      </w:pPr>
      <w:bookmarkStart w:id="4" w:name="_Toc155108000"/>
      <w:bookmarkStart w:id="5" w:name="_Ref165025057"/>
      <w:bookmarkStart w:id="6" w:name="_Ref165025069"/>
      <w:bookmarkStart w:id="7" w:name="_Toc172645202"/>
      <w:r>
        <w:rPr>
          <w:noProof/>
        </w:rPr>
        <w:t>Ievads</w:t>
      </w:r>
      <w:bookmarkEnd w:id="4"/>
      <w:bookmarkEnd w:id="5"/>
      <w:bookmarkEnd w:id="6"/>
      <w:bookmarkEnd w:id="7"/>
    </w:p>
    <w:p w14:paraId="11B70A6B" w14:textId="39E197B2" w:rsidR="00C3249A" w:rsidRDefault="00BD74C7" w:rsidP="000219BD">
      <w:pPr>
        <w:rPr>
          <w:noProof/>
        </w:rPr>
      </w:pPr>
      <w:r>
        <w:rPr>
          <w:noProof/>
        </w:rPr>
        <w:t>Regulā (ES) 2017/2394</w:t>
      </w:r>
      <w:r w:rsidR="00F07507">
        <w:rPr>
          <w:rStyle w:val="FootnoteReference"/>
          <w:noProof/>
        </w:rPr>
        <w:footnoteReference w:id="1"/>
      </w:r>
      <w:r>
        <w:rPr>
          <w:noProof/>
        </w:rPr>
        <w:t xml:space="preserve"> par sadarbību starp valstu iestādēm, kas atbild par tiesību aktu izpildi patērētāju tiesību aizsardzības jomā (“SPTAJ regula” vai “regula”), ir paredzēti nosacījumi, saskaņā ar kuriem dalībvalstu kompetentās iestādes sadarbojas un koordinē darbības savā starpā un ar Komisiju, lai panāktu atbilstību ES tiesību aktiem patērētāju tiesību jomā nolūkā nodrošināt netraucētu iekšējā tirgus darbību un stiprināt patērētāju ekonomisko interešu aizsardzību. SPTAJ regula tika pieņemta 2017. gada decembrī, un to sāka piemērot 2020. gada 17. janvārī. Tā atcēla Regulu 2006/2004</w:t>
      </w:r>
      <w:r w:rsidR="009B212E">
        <w:rPr>
          <w:rStyle w:val="FootnoteReference"/>
          <w:noProof/>
          <w:lang w:val="en-GB"/>
        </w:rPr>
        <w:footnoteReference w:id="2"/>
      </w:r>
      <w:r>
        <w:rPr>
          <w:noProof/>
        </w:rPr>
        <w:t xml:space="preserve"> un atjaunināja SPTAJ režīmu, precizējot un paplašinot tā darbības jomu un procedūras, kā arī vēl vairāk saskaņojot SPTAJ iestāžu minimālās pilnvaras. </w:t>
      </w:r>
    </w:p>
    <w:p w14:paraId="3617708E" w14:textId="0C9E9666" w:rsidR="00FB0CD1" w:rsidRDefault="00BD74C7" w:rsidP="00316F69">
      <w:pPr>
        <w:rPr>
          <w:noProof/>
        </w:rPr>
      </w:pPr>
      <w:r>
        <w:rPr>
          <w:noProof/>
        </w:rPr>
        <w:t xml:space="preserve">SPTAJ regulas 40. pantā noteikts, ka Komisijai ir jāiesniedz Eiropas Parlamentam un Padomei ziņojums par SPTAJ regulas piemērošanu. Šajā ziņojumā iekļauj SPTAJ regulas piemērošanas novērtējumu un izvērtē regulā paredzēto ES patērētāju tiesību aizsardzības tiesību aktu izpildes efektivitāti, jo īpaši attiecībā uz kompetento iestāžu pilnvarām. Tajā jāaplūko arī, kā ir attīstījusies tiesību aktu ievērošana no tirgotāju puses galvenajos patēriņa tirgos, kurus ietekmē pārrobežu tirdzniecība. Vajadzības gadījumā ziņojumam pievieno tiesību akta priekšlikumu.  </w:t>
      </w:r>
    </w:p>
    <w:p w14:paraId="5D588885" w14:textId="2FBCB75E" w:rsidR="00D32528" w:rsidRDefault="00FB0CD1" w:rsidP="00316F69">
      <w:pPr>
        <w:rPr>
          <w:noProof/>
        </w:rPr>
      </w:pPr>
      <w:r>
        <w:rPr>
          <w:noProof/>
        </w:rPr>
        <w:t>Lai sagatavotu ziņojumu, Komisija uzsāka ārēju pētījumu</w:t>
      </w:r>
      <w:r w:rsidR="007612A7">
        <w:rPr>
          <w:rStyle w:val="FootnoteReference"/>
          <w:noProof/>
          <w:lang w:val="en-GB"/>
        </w:rPr>
        <w:footnoteReference w:id="3"/>
      </w:r>
      <w:r>
        <w:rPr>
          <w:noProof/>
        </w:rPr>
        <w:t xml:space="preserve"> (“pētījums”), kas ietvēra: a) dokumentu izpēti, b) intervijas ar valstu vienotajiem sadarbības birojiem (</w:t>
      </w:r>
      <w:r>
        <w:rPr>
          <w:i/>
          <w:noProof/>
        </w:rPr>
        <w:t>SLO</w:t>
      </w:r>
      <w:r>
        <w:rPr>
          <w:noProof/>
        </w:rPr>
        <w:t xml:space="preserve">) un SPTAJ iestādēm no 30 ES/EEZ valstīm, c) tiešsaistes aptaujas, kurās piedalījās </w:t>
      </w:r>
      <w:r>
        <w:rPr>
          <w:i/>
          <w:noProof/>
        </w:rPr>
        <w:t>SLO</w:t>
      </w:r>
      <w:r>
        <w:rPr>
          <w:noProof/>
        </w:rPr>
        <w:t>, SPTAJ iestādes, struktūras, kas tiesīgas izdot brīdinājumus, un tirgotāji, pret kuriem tika vērsta SPTAJ koordinētā rīcība, un d) intervijas ar plašāku ieinteresēto personu loku konkrētu gadījumu izpētes ietvaros</w:t>
      </w:r>
      <w:r w:rsidR="0000773C">
        <w:rPr>
          <w:rStyle w:val="FootnoteReference"/>
          <w:noProof/>
          <w:lang w:val="en-GB"/>
        </w:rPr>
        <w:footnoteReference w:id="4"/>
      </w:r>
      <w:r>
        <w:rPr>
          <w:noProof/>
        </w:rPr>
        <w:t xml:space="preserve">. Šā ziņojuma konstatējumu pamatā ir pētījumā apkopotie dati. </w:t>
      </w:r>
    </w:p>
    <w:p w14:paraId="5C2F24F8" w14:textId="17AA2F77" w:rsidR="005B564A" w:rsidRDefault="005B564A" w:rsidP="00316F69">
      <w:pPr>
        <w:rPr>
          <w:noProof/>
          <w:lang w:val="en-GB"/>
        </w:rPr>
      </w:pPr>
    </w:p>
    <w:p w14:paraId="76EB94E2" w14:textId="607E0B8D" w:rsidR="005B564A" w:rsidRDefault="005B564A" w:rsidP="00316F69">
      <w:pPr>
        <w:rPr>
          <w:noProof/>
          <w:lang w:val="en-GB"/>
        </w:rPr>
      </w:pPr>
    </w:p>
    <w:p w14:paraId="5E8E1BC7" w14:textId="77777777" w:rsidR="005B564A" w:rsidRPr="008A6287" w:rsidRDefault="005B564A" w:rsidP="00316F69">
      <w:pPr>
        <w:rPr>
          <w:noProof/>
          <w:lang w:val="en-GB"/>
        </w:rPr>
      </w:pPr>
    </w:p>
    <w:p w14:paraId="29880B62" w14:textId="03D5A028" w:rsidR="00FF38B5" w:rsidRPr="00FF38B5" w:rsidRDefault="00564E61" w:rsidP="00316F69">
      <w:pPr>
        <w:pStyle w:val="Heading1"/>
        <w:rPr>
          <w:noProof/>
        </w:rPr>
      </w:pPr>
      <w:bookmarkStart w:id="8" w:name="_Toc155108001"/>
      <w:bookmarkStart w:id="9" w:name="_Toc172645203"/>
      <w:r>
        <w:rPr>
          <w:noProof/>
        </w:rPr>
        <w:t>Īsumā par SPTAJ regulu</w:t>
      </w:r>
      <w:bookmarkEnd w:id="8"/>
      <w:bookmarkEnd w:id="9"/>
    </w:p>
    <w:p w14:paraId="2D1BDD3B" w14:textId="1FC09F2A" w:rsidR="00381263" w:rsidRPr="003E5B4D" w:rsidRDefault="002206AE" w:rsidP="00F000A2">
      <w:pPr>
        <w:pStyle w:val="Heading2"/>
        <w:rPr>
          <w:noProof/>
        </w:rPr>
      </w:pPr>
      <w:bookmarkStart w:id="10" w:name="_Toc155108002"/>
      <w:bookmarkStart w:id="11" w:name="_Toc172645204"/>
      <w:r>
        <w:rPr>
          <w:noProof/>
        </w:rPr>
        <w:t>Darbības joma un mērķi</w:t>
      </w:r>
      <w:bookmarkEnd w:id="10"/>
      <w:bookmarkEnd w:id="11"/>
      <w:r>
        <w:rPr>
          <w:noProof/>
        </w:rPr>
        <w:t xml:space="preserve"> </w:t>
      </w:r>
    </w:p>
    <w:p w14:paraId="24B5C16E" w14:textId="307E22AD" w:rsidR="00FD0795" w:rsidRPr="00FD0795" w:rsidRDefault="00FD0795" w:rsidP="00316F69">
      <w:pPr>
        <w:rPr>
          <w:noProof/>
        </w:rPr>
      </w:pPr>
      <w:r>
        <w:rPr>
          <w:noProof/>
        </w:rPr>
        <w:t xml:space="preserve">SPTAJ regula paredz regulējumu (1.–3. pants), kas ļauj valstu patērētāju aizsardzības (SPTAJ) iestādēm sadarboties un koordinēt savu darbu, lai panāktu stingru un konsekventu Savienības patērētāju tiesību aktu izpildi vienotajā tirgū.  2. pantā ir paskaidrots, ka </w:t>
      </w:r>
      <w:r>
        <w:rPr>
          <w:noProof/>
        </w:rPr>
        <w:br/>
        <w:t>Regulas mērķis ir vērsties pret praksi, kas neatbilst Savienības tiesību aktiem un kam ir pārrobežu dimensija. Regulā ir paredzētas dažādas sadarbības procedūras attiecībā uz šādām pārkāpumu kategorijām: Savienībā izdarīti pārkāpumi, plaši izplatīti pārkāpumi un Savienības mēroga plaši izplatīti pārkāpumi.</w:t>
      </w:r>
      <w:r w:rsidR="00BA5375">
        <w:rPr>
          <w:rStyle w:val="FootnoteReference"/>
          <w:noProof/>
        </w:rPr>
        <w:footnoteReference w:id="5"/>
      </w:r>
      <w:r>
        <w:rPr>
          <w:noProof/>
        </w:rPr>
        <w:t xml:space="preserve"> Savienības tiesību akti, uz kuriem var attiekties šādi pārkāpumi, ir izklāstīti SPTAJ regulas pielikumā. </w:t>
      </w:r>
    </w:p>
    <w:p w14:paraId="0CD72BAB" w14:textId="0B86D161" w:rsidR="00030082" w:rsidRDefault="00786423" w:rsidP="00316F69">
      <w:pPr>
        <w:rPr>
          <w:noProof/>
        </w:rPr>
      </w:pPr>
      <w:r>
        <w:rPr>
          <w:noProof/>
        </w:rPr>
        <w:t>SPTAJ regulas galvenie mērķi ir: 1) veicināt pārrobežu pārkāpumu efektīvu un iedarbīgu atklāšanu; 2) veicināt SPTAJ iestāžu efektīvas un iedarbīgas darbības, lai novērstu minētos pārkāpumus; 3) atbalstīt konsekventu pieeju, lai vērstos pret to pašu praksi visās dalībvalstīs; 4) nodrošināt vienotu koordinētu procesu, lai vērstos pret plaši izplatītiem pārkāpumiem un Savienības mēroga plaši izplatītiem pārkāpumiem</w:t>
      </w:r>
      <w:r w:rsidR="001079B4" w:rsidRPr="00D64420">
        <w:rPr>
          <w:rStyle w:val="FootnoteReference"/>
          <w:noProof/>
          <w:lang w:val="en-GB"/>
        </w:rPr>
        <w:footnoteReference w:id="6"/>
      </w:r>
      <w:r>
        <w:rPr>
          <w:noProof/>
        </w:rPr>
        <w:t xml:space="preserve"> un veicinātu vienlīdzīgus konkurences apstākļus visiem uzņēmumiem, kas darbojas vienotajā tirgū.  </w:t>
      </w:r>
    </w:p>
    <w:p w14:paraId="5912C774" w14:textId="655B41DB" w:rsidR="00541317" w:rsidRPr="00541317" w:rsidRDefault="0006196E" w:rsidP="00F000A2">
      <w:pPr>
        <w:pStyle w:val="Heading2"/>
        <w:rPr>
          <w:noProof/>
        </w:rPr>
      </w:pPr>
      <w:bookmarkStart w:id="12" w:name="_Toc155108003"/>
      <w:bookmarkStart w:id="13" w:name="_Toc172645205"/>
      <w:r>
        <w:rPr>
          <w:noProof/>
        </w:rPr>
        <w:t>Darbības</w:t>
      </w:r>
      <w:bookmarkEnd w:id="12"/>
      <w:bookmarkEnd w:id="13"/>
      <w:r>
        <w:rPr>
          <w:noProof/>
        </w:rPr>
        <w:t xml:space="preserve"> </w:t>
      </w:r>
    </w:p>
    <w:p w14:paraId="1ADD5F3A" w14:textId="77777777" w:rsidR="00EA1FCF" w:rsidRPr="00EA1FCF" w:rsidRDefault="00767E41" w:rsidP="00EA1FCF">
      <w:pPr>
        <w:pStyle w:val="BodyText"/>
        <w:rPr>
          <w:rFonts w:ascii="Times New Roman" w:hAnsi="Times New Roman"/>
          <w:noProof/>
        </w:rPr>
      </w:pPr>
      <w:r>
        <w:rPr>
          <w:rFonts w:ascii="Times New Roman" w:hAnsi="Times New Roman"/>
          <w:noProof/>
        </w:rPr>
        <w:t>SPTAJ regula paredz vairākus mehānismus, lai SPTAJ iestādes un Komisija varētu apmainīties ar informāciju un koordinēt izmeklēšanas un izpildes pasākumus SPTAJ tīklā, ko veido valstu iestādes, kuras ir atbildīgas par ES patērētāju tiesību aizsardzības tiesību aktu izpildi.</w:t>
      </w:r>
      <w:bookmarkStart w:id="14" w:name="_Toc155108004"/>
      <w:r>
        <w:rPr>
          <w:rFonts w:ascii="Times New Roman" w:hAnsi="Times New Roman"/>
          <w:noProof/>
        </w:rPr>
        <w:t xml:space="preserve"> </w:t>
      </w:r>
    </w:p>
    <w:p w14:paraId="0675C4A9" w14:textId="61AF3DA9" w:rsidR="0006196E" w:rsidRPr="003E5B4D" w:rsidRDefault="0006196E" w:rsidP="00FD332C">
      <w:pPr>
        <w:pStyle w:val="Heading3"/>
        <w:rPr>
          <w:noProof/>
        </w:rPr>
      </w:pPr>
      <w:bookmarkStart w:id="15" w:name="_Toc172645206"/>
      <w:r>
        <w:rPr>
          <w:noProof/>
        </w:rPr>
        <w:t>Savstarpējās palīdzības lūgumi</w:t>
      </w:r>
      <w:bookmarkEnd w:id="14"/>
      <w:bookmarkEnd w:id="15"/>
      <w:r>
        <w:rPr>
          <w:noProof/>
        </w:rPr>
        <w:t xml:space="preserve"> </w:t>
      </w:r>
    </w:p>
    <w:p w14:paraId="11E51A80" w14:textId="2F94F2CE" w:rsidR="0097793A" w:rsidRPr="003E5B4D" w:rsidRDefault="00640C8D" w:rsidP="00EE738C">
      <w:pPr>
        <w:pStyle w:val="ListBullet"/>
        <w:numPr>
          <w:ilvl w:val="0"/>
          <w:numId w:val="0"/>
        </w:numPr>
        <w:rPr>
          <w:noProof/>
        </w:rPr>
      </w:pPr>
      <w:r>
        <w:rPr>
          <w:noProof/>
        </w:rPr>
        <w:t>Savstarpējās palīdzības lūgumi (11.–14. pants) ir šādi: i) informācijas lūgumi no vienas dalībvalsts SPTAJ iestādēm citas dalībvalsts iestādēm, lai noteiktu, vai tās teritorijā notiek vai ir noticis pārrobežu pārkāpums (“informācijas lūgumi”), vai ii) lūgumi tās dalībvalsts SPTAJ iestādēm, kurā ir sācies pārkāpums vai kurā tirgotājs veic uzņēmējdarbību vai kurā tam ir aktīvi, veikt visus nepieciešamos un samērīgos izpildes pasākumus, lai izbeigtu pārkāpumu (“lūgumi veikt izpildes pasākumus”).</w:t>
      </w:r>
    </w:p>
    <w:p w14:paraId="0809966F" w14:textId="30D6E853" w:rsidR="0006196E" w:rsidRPr="00E80DB8" w:rsidRDefault="0006196E" w:rsidP="00316F69">
      <w:pPr>
        <w:pStyle w:val="Heading3"/>
        <w:rPr>
          <w:noProof/>
        </w:rPr>
      </w:pPr>
      <w:bookmarkStart w:id="16" w:name="_Toc155108005"/>
      <w:bookmarkStart w:id="17" w:name="_Toc172645207"/>
      <w:r>
        <w:rPr>
          <w:noProof/>
        </w:rPr>
        <w:t>Brīdinājumi un ārējie brīdinājumi</w:t>
      </w:r>
      <w:bookmarkEnd w:id="16"/>
      <w:bookmarkEnd w:id="17"/>
    </w:p>
    <w:p w14:paraId="44F52441" w14:textId="48B286CD" w:rsidR="0097793A" w:rsidRDefault="002B2795" w:rsidP="00AF7DDC">
      <w:pPr>
        <w:pStyle w:val="ListBullet"/>
        <w:numPr>
          <w:ilvl w:val="0"/>
          <w:numId w:val="0"/>
        </w:numPr>
        <w:rPr>
          <w:noProof/>
        </w:rPr>
      </w:pPr>
      <w:r>
        <w:rPr>
          <w:noProof/>
        </w:rPr>
        <w:t>SPTAJ iestādes, Komisija un pilnvarotas struktūras, piemēram, Eiropas Patērētāju centri (</w:t>
      </w:r>
      <w:r>
        <w:rPr>
          <w:i/>
          <w:noProof/>
        </w:rPr>
        <w:t>ECC</w:t>
      </w:r>
      <w:r>
        <w:rPr>
          <w:noProof/>
        </w:rPr>
        <w:t>) vai patērētāju un tirgotāju organizācijas, kas neietilpst SPTAJ tīklā bet ko šajā nolūkā pilnvarojušas dalībvalstis vai Komisija, var apmainīties ar informāciju par iespējamiem pārkāpumiem, izmantojot brīdinājumus (17., 26., 27. un 28. pants). Atkarībā no vajadzības ir dažādi brīdinājumu veidi: brīdinājumi informācijai vai brīdinājumi rīcībai.</w:t>
      </w:r>
      <w:r w:rsidR="00A84D7C">
        <w:rPr>
          <w:rStyle w:val="FootnoteReference"/>
          <w:noProof/>
        </w:rPr>
        <w:footnoteReference w:id="7"/>
      </w:r>
      <w:r>
        <w:rPr>
          <w:noProof/>
        </w:rPr>
        <w:t xml:space="preserve"> Brīdinājumu apmaiņa notiek, izmantojot SPTAJ-</w:t>
      </w:r>
      <w:r>
        <w:rPr>
          <w:i/>
          <w:noProof/>
        </w:rPr>
        <w:t>IMI</w:t>
      </w:r>
      <w:r>
        <w:rPr>
          <w:noProof/>
        </w:rPr>
        <w:t xml:space="preserve"> sistēmu (Iekšējā tirgus informācijas (</w:t>
      </w:r>
      <w:r>
        <w:rPr>
          <w:i/>
          <w:noProof/>
        </w:rPr>
        <w:t>IMI</w:t>
      </w:r>
      <w:r>
        <w:rPr>
          <w:noProof/>
        </w:rPr>
        <w:t xml:space="preserve">) sistēmu, ko pārvalda Komisija, lai starp valstu iestādēm apmainītos ar dažāda veida informāciju). </w:t>
      </w:r>
    </w:p>
    <w:p w14:paraId="49F4578C" w14:textId="7404449D" w:rsidR="006E36F5" w:rsidRPr="006E36F5" w:rsidRDefault="006E36F5" w:rsidP="00316F69">
      <w:pPr>
        <w:pStyle w:val="Heading3"/>
        <w:rPr>
          <w:noProof/>
        </w:rPr>
      </w:pPr>
      <w:bookmarkStart w:id="18" w:name="_Toc155108006"/>
      <w:bookmarkStart w:id="19" w:name="_Toc172645208"/>
      <w:r>
        <w:rPr>
          <w:noProof/>
        </w:rPr>
        <w:t>Koordinēta rīcība</w:t>
      </w:r>
      <w:bookmarkEnd w:id="18"/>
      <w:bookmarkEnd w:id="19"/>
    </w:p>
    <w:p w14:paraId="15C4BDD4" w14:textId="13DC0BED" w:rsidR="00E7009C" w:rsidRDefault="0083708F" w:rsidP="00316F69">
      <w:pPr>
        <w:rPr>
          <w:noProof/>
        </w:rPr>
      </w:pPr>
      <w:r>
        <w:rPr>
          <w:noProof/>
        </w:rPr>
        <w:t>SPTAJ iestādes ar Komisijas atbalstu koordinē savas izmeklēšanas un izpildes darbības (15.–25. pants), lai vērstos pret ES patērētāju tiesību aktu pārkāpumiem, kas skar vairāk nekā divas dalībvalstis (t. i., “plaši izplatīts pārkāpums”) vai lielāko daļu dalībvalstu</w:t>
      </w:r>
      <w:r w:rsidR="00812947">
        <w:rPr>
          <w:rStyle w:val="FootnoteReference"/>
          <w:noProof/>
        </w:rPr>
        <w:footnoteReference w:id="8"/>
      </w:r>
      <w:r>
        <w:rPr>
          <w:noProof/>
        </w:rPr>
        <w:t xml:space="preserve"> (t. i., “Savienības mēroga plaši izplatīts pārkāpums”). Ja ir pamatotas aizdomas par Savienības mēroga plaši izplatītu pārkāpumu, Komisija var brīdināt SPTAJ tīklu. Valsts iestādēm ir viens mēnesis laika, lai pārbaudītu pieejamos pierādījumus un izlemtu, vai sākt koordinētu rīcību. Šādu rīcību koordinē Komisija. </w:t>
      </w:r>
    </w:p>
    <w:p w14:paraId="70C9A3A0" w14:textId="5981F5FF" w:rsidR="000727BD" w:rsidRDefault="00082CAC" w:rsidP="00316F69">
      <w:pPr>
        <w:rPr>
          <w:noProof/>
        </w:rPr>
      </w:pPr>
      <w:r>
        <w:rPr>
          <w:noProof/>
        </w:rPr>
        <w:t xml:space="preserve">Pēc koordinētas rīcības uzsākšanas attiecīgās iestādes apspriež izmeklēšanas plānu un vienojas par to, kopīgi izstrādā kopēju nostāju, kurā ietverts to juridiskais novērtējums par praksi, ko tās uzskata par tādu, ar kuru tiek pārkāptas attiecīgās materiālo tiesību normas, kas uzskaitītas SPTAJ regulas pielikumā. Kopējo nostāju pēc tam nosūta attiecīgajam tirgotājam ar lūgumu risināt problēmas, apņemoties mainīt savu praksi, lai panāktu to atbilstību tiesību aktiem. Atkarībā no konkrētā gadījuma parasti notiek dialogs starp tirgotāju un SPTAJ tīklu, kura laikā var sniegt skaidrojumus un apspriest saistības, līdz SPTAJ iestādes ir apmierinātas ar ierosinātajām saistībām. </w:t>
      </w:r>
    </w:p>
    <w:p w14:paraId="0FA06349" w14:textId="375F1507" w:rsidR="006E36F5" w:rsidRDefault="00A53348" w:rsidP="00316F69">
      <w:pPr>
        <w:rPr>
          <w:noProof/>
        </w:rPr>
      </w:pPr>
      <w:r>
        <w:rPr>
          <w:noProof/>
        </w:rPr>
        <w:t xml:space="preserve">Ja par pārkāpumu atbildīgais tirgotājs neapņemas mainīt savu praksi vai ja tā saistības ir nepietiekamas, vai ja tas pēc tam tās neievēro, SPTAJ iestādes var koordinēti veikt oficiālus izpildes pasākumus, tostarp piemērot sodus, attiecīgās valsts līmenī. </w:t>
      </w:r>
    </w:p>
    <w:p w14:paraId="1C1C704C" w14:textId="3597BBD1" w:rsidR="006E36F5" w:rsidRPr="006E36F5" w:rsidRDefault="006E36F5" w:rsidP="00316F69">
      <w:pPr>
        <w:pStyle w:val="Heading3"/>
        <w:rPr>
          <w:noProof/>
        </w:rPr>
      </w:pPr>
      <w:bookmarkStart w:id="20" w:name="_Toc155108007"/>
      <w:bookmarkStart w:id="21" w:name="_Toc172645209"/>
      <w:r>
        <w:rPr>
          <w:noProof/>
        </w:rPr>
        <w:t>Kontrolreidi</w:t>
      </w:r>
      <w:bookmarkEnd w:id="20"/>
      <w:bookmarkEnd w:id="21"/>
    </w:p>
    <w:p w14:paraId="190D1CDE" w14:textId="3DBCB1C3" w:rsidR="006E36F5" w:rsidRDefault="006E36F5" w:rsidP="00316F69">
      <w:pPr>
        <w:rPr>
          <w:noProof/>
        </w:rPr>
      </w:pPr>
      <w:r>
        <w:rPr>
          <w:noProof/>
        </w:rPr>
        <w:t xml:space="preserve">“Kotnrolreidi” </w:t>
      </w:r>
      <w:bookmarkStart w:id="22" w:name="_Hlk163595987"/>
      <w:r>
        <w:rPr>
          <w:noProof/>
        </w:rPr>
        <w:t>(29. pants) ir saskaņota izmeklēšana patēriņa tirgos, vienlaicīgi veicot koordinētas uzraudzības darbības, lai atklātu iespējamus pārkāpumus. Līdz šim kontrolreidi ir veikti,</w:t>
      </w:r>
      <w:bookmarkEnd w:id="22"/>
      <w:r>
        <w:rPr>
          <w:noProof/>
        </w:rPr>
        <w:t xml:space="preserve"> pārbaudot tīmekļa vietnes, ko SPTAJ iestādes veic vienlaikus, lai pārbaudītu tīmekļa vietņu atbilstību tiesību aktiem patērētāju tiesību aizsardzības jomā vai atklātu pārkāpumus. Ja vien kompetentās iestādes nevienojas citādi, kontrolreidus koordinē Komisija. Lai gan dalība kontrolreidā nav obligāta, gandrīz visas SPTAJ iestādes parasti piedalās. Pēc pārbaudes SPTAJ iestādes vajadzības gadījumā koordinēti veic atbilstošus turpmākos pasākumus, lai iegūtu papildu pierādījumus un lūgtu tirgotājiem labot situāciju un nodrošināt atbilstību.</w:t>
      </w:r>
    </w:p>
    <w:p w14:paraId="7657E3CF" w14:textId="4064EB4A" w:rsidR="005D04EF" w:rsidRPr="005D04EF" w:rsidRDefault="005D04EF" w:rsidP="00316F69">
      <w:pPr>
        <w:pStyle w:val="Heading3"/>
        <w:rPr>
          <w:noProof/>
        </w:rPr>
      </w:pPr>
      <w:bookmarkStart w:id="23" w:name="_Toc155108008"/>
      <w:bookmarkStart w:id="24" w:name="_Toc172645210"/>
      <w:r>
        <w:rPr>
          <w:noProof/>
        </w:rPr>
        <w:t>Citas darbības</w:t>
      </w:r>
      <w:bookmarkEnd w:id="23"/>
      <w:bookmarkEnd w:id="24"/>
    </w:p>
    <w:p w14:paraId="0461B445" w14:textId="6A9C5188" w:rsidR="006E36F5" w:rsidRDefault="000E0276" w:rsidP="00316F69">
      <w:pPr>
        <w:rPr>
          <w:noProof/>
        </w:rPr>
      </w:pPr>
      <w:r>
        <w:rPr>
          <w:noProof/>
        </w:rPr>
        <w:t xml:space="preserve">Saskaņā ar SPTAJ regulas 30. pantu dalībvalstis tiek mudinātas informēt cita citu un Komisiju, lai koordinētu un kopīgi organizētu citas darbības, piemēram, SPTAJ regulas piemērošanā iesaistīto amatpersonu apmācību, patērētāju sūdzību datu vākšanu, klasificēšanu un apmaiņu, ierēdņu tīklu izveidi konkrētās nozarēs un informācijas un saziņas līdzekļu izstrādi. </w:t>
      </w:r>
    </w:p>
    <w:p w14:paraId="35B2F479" w14:textId="39BC5997" w:rsidR="008A6287" w:rsidRDefault="00564E61" w:rsidP="00EF7EC5">
      <w:pPr>
        <w:pStyle w:val="Heading1"/>
        <w:rPr>
          <w:noProof/>
        </w:rPr>
      </w:pPr>
      <w:bookmarkStart w:id="25" w:name="_Ref132108219"/>
      <w:bookmarkStart w:id="26" w:name="_Toc155108009"/>
      <w:bookmarkStart w:id="27" w:name="_Toc172645211"/>
      <w:r>
        <w:rPr>
          <w:noProof/>
        </w:rPr>
        <w:t>Galvenās tirgus norises kopš SPTAJ regulas pieņemšanas</w:t>
      </w:r>
      <w:bookmarkEnd w:id="25"/>
      <w:bookmarkEnd w:id="26"/>
      <w:bookmarkEnd w:id="27"/>
    </w:p>
    <w:p w14:paraId="62707121" w14:textId="443148E7" w:rsidR="00960B18" w:rsidRDefault="00960B18" w:rsidP="00316F69">
      <w:pPr>
        <w:rPr>
          <w:noProof/>
        </w:rPr>
      </w:pPr>
      <w:r>
        <w:rPr>
          <w:noProof/>
        </w:rPr>
        <w:t xml:space="preserve">Plašākā pasaules līmenī pieaugošās globalizācijas, digitalizācijas un zaļās pārkārtošanās tendenču ietvaros ES patēriņa tirgi ir ievērojami attīstījušies, un patērētāju uzvedība kopš SPTAJ regulas pieņemšanas 2017. gadā ir būtiski mainījusies. </w:t>
      </w:r>
    </w:p>
    <w:p w14:paraId="2D598606" w14:textId="1F8282BF" w:rsidR="00E72878" w:rsidRDefault="00960B18" w:rsidP="00316F69">
      <w:pPr>
        <w:rPr>
          <w:noProof/>
        </w:rPr>
      </w:pPr>
      <w:r>
        <w:rPr>
          <w:noProof/>
        </w:rPr>
        <w:t xml:space="preserve">Šīs jaunās tendences ir radījušas lielāku varbūtību, ka patērētāji tiks pakļauti arī nelikumīgai praksei, un tādējādi ir palielinājušas vajadzību pēc sadarbības starp SPTAJ iestādēm. Būtiska problēma izpildes iestādēm ir ES patērētāju tiesību aktu neievērošanas līmeņa palielināšanās, jo īpaši: i) proporcionāli vairāk pārkāpumu saistībā ar pirkumiem, kas veikti tiešsaistē; </w:t>
      </w:r>
      <w:r>
        <w:rPr>
          <w:noProof/>
        </w:rPr>
        <w:br/>
        <w:t>ii) ievērojamu skaitu patērētāju ietekmē nelikumīga prakse, ko veic tirgotāji, kuru mērķis ir ES tirgus, bet kuriem Savienībā nav uzņēmuma vai aktīvu; iii) dažādas problēmas, kas izriet no jaunizveidotiem tiešsaistes uzņēmējdarbības modeļiem, kas kļūst arvien sarežģītāki, jo īpaši apvienojot dažādas tehnoloģijas, piemēram, personas datu vākšanu, apstrādi un analīzi, MI izmantošanu, lietu internetu (</w:t>
      </w:r>
      <w:r>
        <w:rPr>
          <w:i/>
          <w:noProof/>
        </w:rPr>
        <w:t>IoT</w:t>
      </w:r>
      <w:r>
        <w:rPr>
          <w:noProof/>
        </w:rPr>
        <w:t>).</w:t>
      </w:r>
    </w:p>
    <w:p w14:paraId="68314E11" w14:textId="77777777" w:rsidR="00807C7D" w:rsidRDefault="00807C7D" w:rsidP="00316F69">
      <w:pPr>
        <w:rPr>
          <w:noProof/>
        </w:rPr>
      </w:pPr>
    </w:p>
    <w:p w14:paraId="26B0C168" w14:textId="592A50E4" w:rsidR="00316F69" w:rsidRDefault="00316F69" w:rsidP="00F000A2">
      <w:pPr>
        <w:pStyle w:val="Heading2"/>
        <w:rPr>
          <w:noProof/>
        </w:rPr>
      </w:pPr>
      <w:bookmarkStart w:id="28" w:name="_Toc155108010"/>
      <w:bookmarkStart w:id="29" w:name="_Toc172645212"/>
      <w:r>
        <w:rPr>
          <w:noProof/>
        </w:rPr>
        <w:t>E-komercijas, tiešsaistes reklāmas un tirgus koncentrācijas strauja izaugsme</w:t>
      </w:r>
      <w:bookmarkEnd w:id="28"/>
      <w:bookmarkEnd w:id="29"/>
    </w:p>
    <w:p w14:paraId="3B7DBB41" w14:textId="79294E0E" w:rsidR="00613394" w:rsidRPr="00613394" w:rsidRDefault="00316F69" w:rsidP="00613394">
      <w:pPr>
        <w:rPr>
          <w:noProof/>
        </w:rPr>
      </w:pPr>
      <w:r>
        <w:rPr>
          <w:noProof/>
        </w:rPr>
        <w:t xml:space="preserve">Covid-19 pandēmijas laikā e-komercijas paplašināšanās ir paātrinājusies. Paredzams, </w:t>
      </w:r>
      <w:r>
        <w:rPr>
          <w:noProof/>
        </w:rPr>
        <w:br/>
        <w:t>ka pasaules e-komercijas apjoms, kas 2014. gadā sasniedza 4,25 triljonus USD, 2025. gadā sasniegs 7,39 triljonus USD</w:t>
      </w:r>
      <w:r w:rsidRPr="3FCAF35E">
        <w:rPr>
          <w:rStyle w:val="FootnoteReference"/>
          <w:rFonts w:cstheme="minorBidi"/>
          <w:noProof/>
        </w:rPr>
        <w:footnoteReference w:id="9"/>
      </w:r>
      <w:r>
        <w:rPr>
          <w:noProof/>
        </w:rPr>
        <w:t xml:space="preserve"> (t. i., vairāk nekā Francijas un Vācijas IKP kopsumma), pieaugot par 74 %. Tiek prognozēts, ka tajā pašā laikposmā pasaules mazumtirdzniecības apjoms palielināsies tikai par 34 %</w:t>
      </w:r>
      <w:r w:rsidRPr="00A725B1">
        <w:rPr>
          <w:rStyle w:val="FootnoteReference"/>
          <w:rFonts w:cstheme="minorBidi"/>
          <w:noProof/>
        </w:rPr>
        <w:footnoteReference w:id="10"/>
      </w:r>
      <w:r>
        <w:rPr>
          <w:noProof/>
        </w:rPr>
        <w:t xml:space="preserve">, tāpēc e-komercijas tirgus daļa katru gadu pieaug par </w:t>
      </w:r>
      <w:r>
        <w:rPr>
          <w:noProof/>
        </w:rPr>
        <w:br/>
        <w:t xml:space="preserve">vidēji 1 procentpunktu. </w:t>
      </w:r>
    </w:p>
    <w:p w14:paraId="33874B44" w14:textId="41A49928" w:rsidR="007B51C0" w:rsidRPr="005B564A" w:rsidRDefault="00FF4E48" w:rsidP="006F7B42">
      <w:pPr>
        <w:rPr>
          <w:rStyle w:val="normaltextrun"/>
          <w:rFonts w:cstheme="minorBidi"/>
          <w:noProof/>
        </w:rPr>
      </w:pPr>
      <w:r>
        <w:rPr>
          <w:noProof/>
        </w:rPr>
        <w:t xml:space="preserve">2021. gadā vidējais to interneta lietotāju īpatsvars ES, kuri vismaz vienu reizi iegādājās preces vai pakalpojumus tiešsaistē, palielinājās līdz 74 % salīdzinājumā ar 63 % 2016. gadā. Turpmāk sniegtajā attēlā redzams, ka laikposmā no 2016. līdz 2021. gadam valstu atšķirības e-iepirkumos ir izlīdzinājušās, galvenokārt tāpēc ka strauji paātrinājās e-komercijas izaugsme, ko veicināja pandēmija. </w:t>
      </w:r>
    </w:p>
    <w:p w14:paraId="2249AE29" w14:textId="77777777" w:rsidR="007B51C0" w:rsidRDefault="007B51C0" w:rsidP="006F7B42">
      <w:pPr>
        <w:rPr>
          <w:rStyle w:val="normaltextrun"/>
          <w:noProof/>
        </w:rPr>
      </w:pPr>
    </w:p>
    <w:p w14:paraId="7511D1B6" w14:textId="3A218235" w:rsidR="005B564A" w:rsidRPr="005B564A" w:rsidRDefault="007B51C0" w:rsidP="00253223">
      <w:pPr>
        <w:pStyle w:val="paragraph"/>
        <w:rPr>
          <w:noProof/>
          <w:sz w:val="19"/>
          <w:szCs w:val="19"/>
          <w:vertAlign w:val="superscript"/>
        </w:rPr>
      </w:pPr>
      <w:r>
        <w:rPr>
          <w:noProof/>
          <w:lang w:val="en-GB" w:eastAsia="en-GB"/>
        </w:rPr>
        <w:drawing>
          <wp:anchor distT="0" distB="0" distL="114300" distR="114300" simplePos="0" relativeHeight="251661312" behindDoc="0" locked="0" layoutInCell="1" allowOverlap="1" wp14:anchorId="1F45AB3F" wp14:editId="36252400">
            <wp:simplePos x="0" y="0"/>
            <wp:positionH relativeFrom="column">
              <wp:posOffset>20662</wp:posOffset>
            </wp:positionH>
            <wp:positionV relativeFrom="paragraph">
              <wp:posOffset>11430</wp:posOffset>
            </wp:positionV>
            <wp:extent cx="5829300" cy="3475990"/>
            <wp:effectExtent l="19050" t="19050" r="19050" b="1016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29300" cy="3475990"/>
                    </a:xfrm>
                    <a:prstGeom prst="rect">
                      <a:avLst/>
                    </a:prstGeom>
                    <a:ln>
                      <a:solidFill>
                        <a:srgbClr val="5B9BD5"/>
                      </a:solidFill>
                    </a:ln>
                  </pic:spPr>
                </pic:pic>
              </a:graphicData>
            </a:graphic>
            <wp14:sizeRelH relativeFrom="margin">
              <wp14:pctWidth>0</wp14:pctWidth>
            </wp14:sizeRelH>
            <wp14:sizeRelV relativeFrom="margin">
              <wp14:pctHeight>0</wp14:pctHeight>
            </wp14:sizeRelV>
          </wp:anchor>
        </w:drawing>
      </w:r>
      <w:r>
        <w:rPr>
          <w:rStyle w:val="normaltextrun"/>
          <w:noProof/>
        </w:rPr>
        <w:t>Uzņēmumu apgrozījuma daļa no e-komercijas Eiropas Savienībā palielinājās no 16 % 2016. gadā līdz 20 % 2021. gadā; lielajiem uzņēmumiem vien tā pieauga no 22 % 2016. gadā līdz 27 % 2021. gadā.</w:t>
      </w:r>
      <w:r>
        <w:rPr>
          <w:rStyle w:val="FootnoteReference"/>
          <w:noProof/>
        </w:rPr>
        <w:footnoteReference w:id="11"/>
      </w:r>
      <w:r>
        <w:rPr>
          <w:rStyle w:val="normaltextrun"/>
          <w:noProof/>
        </w:rPr>
        <w:t xml:space="preserve"> </w:t>
      </w:r>
      <w:r>
        <w:rPr>
          <w:rStyle w:val="normaltextrun"/>
          <w:noProof/>
        </w:rPr>
        <w:br/>
        <w:t>E-komercijas pārdošanas apjoma devums ES IKP (t. i., e-IKP) palielinājās no 2,5 % 2017. gadā līdz 4 % 2021. gadā.</w:t>
      </w:r>
      <w:r>
        <w:rPr>
          <w:rStyle w:val="FootnoteReference"/>
          <w:noProof/>
        </w:rPr>
        <w:footnoteReference w:id="12"/>
      </w:r>
      <w:r>
        <w:rPr>
          <w:rStyle w:val="superscript"/>
          <w:noProof/>
          <w:sz w:val="19"/>
          <w:vertAlign w:val="superscript"/>
        </w:rPr>
        <w:t xml:space="preserve">  </w:t>
      </w:r>
    </w:p>
    <w:p w14:paraId="4D6A4AED" w14:textId="197555F0" w:rsidR="00316F69" w:rsidRPr="00316F69" w:rsidRDefault="00FF4E48" w:rsidP="006E5645">
      <w:pPr>
        <w:rPr>
          <w:noProof/>
        </w:rPr>
      </w:pPr>
      <w:r>
        <w:rPr>
          <w:noProof/>
        </w:rPr>
        <w:t xml:space="preserve">E-komercijai ir raksturīga arvien lielāka tiešsaistes mazumtirdzniecības un tirdzniecības vietu darījumu koncentrācija. 2021. gadā visvairāk apmeklētais tiešsaistes tirgotājs visā pasaulē – </w:t>
      </w:r>
      <w:r>
        <w:rPr>
          <w:i/>
          <w:noProof/>
        </w:rPr>
        <w:t>Amazon</w:t>
      </w:r>
      <w:r>
        <w:rPr>
          <w:noProof/>
        </w:rPr>
        <w:t xml:space="preserve"> – reģistrēja 5,2 miljardus apmeklējumu (ņemot vērā visas tīmekļa vietnes reģionālās versijas), savukārt otrajam visvairāk apmeklētajam tirgotājam </w:t>
      </w:r>
      <w:r>
        <w:rPr>
          <w:i/>
          <w:noProof/>
        </w:rPr>
        <w:t>eBay</w:t>
      </w:r>
      <w:r>
        <w:rPr>
          <w:noProof/>
        </w:rPr>
        <w:t xml:space="preserve"> bija 1,7 miljardi apmeklējumu. Salīdzinājumam – 10. vietā ierindotais tirgotājs – Ķīnas </w:t>
      </w:r>
      <w:r>
        <w:rPr>
          <w:i/>
          <w:noProof/>
        </w:rPr>
        <w:t>Pinduoduo</w:t>
      </w:r>
      <w:r>
        <w:rPr>
          <w:noProof/>
        </w:rPr>
        <w:t xml:space="preserve"> – saņēma tikai 242 miljonus apmeklējumu, un 80. vietā ierindotais Dānijas tirgotājs </w:t>
      </w:r>
      <w:r>
        <w:rPr>
          <w:i/>
          <w:noProof/>
        </w:rPr>
        <w:t>dba</w:t>
      </w:r>
      <w:r>
        <w:rPr>
          <w:noProof/>
        </w:rPr>
        <w:t xml:space="preserve"> reģistrēja 13,5 miljonus apmeklējumu.</w:t>
      </w:r>
      <w:r w:rsidR="00316F69" w:rsidRPr="7EB7C091">
        <w:rPr>
          <w:rStyle w:val="FootnoteReference"/>
          <w:rFonts w:cstheme="minorBidi"/>
          <w:noProof/>
        </w:rPr>
        <w:footnoteReference w:id="13"/>
      </w:r>
      <w:r>
        <w:rPr>
          <w:noProof/>
        </w:rPr>
        <w:t xml:space="preserve"> </w:t>
      </w:r>
    </w:p>
    <w:p w14:paraId="01C94509" w14:textId="49A33DFE" w:rsidR="00316F69" w:rsidRPr="00A725B1" w:rsidRDefault="00316F69" w:rsidP="00316F69">
      <w:pPr>
        <w:rPr>
          <w:noProof/>
        </w:rPr>
      </w:pPr>
      <w:r>
        <w:rPr>
          <w:noProof/>
        </w:rPr>
        <w:t xml:space="preserve">Arī tiešsaistē un fiziskajos veikalos pārdoto preču un pakalpojumu tirgvedība arvien vairāk tiek veikta, izmantojot digitālos kanālus. Izdevumi par digitālo reklāmu 2021. gadā visā pasaulē veidoja 65 % no kopējiem reklāmas ieņēmumiem, un aplēses liecina par pastāvīgu izaugsmes tendenci, līdz 2025. gadam sasniedzot 70 %. Tāpat kā e-komercijas tendences, arī reklāmas tirgus ir ļoti koncentrēts: </w:t>
      </w:r>
      <w:r>
        <w:rPr>
          <w:i/>
          <w:noProof/>
        </w:rPr>
        <w:t>Google</w:t>
      </w:r>
      <w:r>
        <w:rPr>
          <w:noProof/>
        </w:rPr>
        <w:t xml:space="preserve"> un </w:t>
      </w:r>
      <w:r>
        <w:rPr>
          <w:i/>
          <w:noProof/>
        </w:rPr>
        <w:t>Meta</w:t>
      </w:r>
      <w:r>
        <w:rPr>
          <w:noProof/>
        </w:rPr>
        <w:t xml:space="preserve"> vien 2022. gadā veidoja aptuveni 53 % no kopējiem izdevumiem reklāmai, pieaugot salīdzinājumā ar 46 % 2016. gadā.</w:t>
      </w:r>
      <w:r w:rsidRPr="7EB7C091">
        <w:rPr>
          <w:rStyle w:val="FootnoteReference"/>
          <w:rFonts w:cstheme="minorBidi"/>
          <w:noProof/>
        </w:rPr>
        <w:footnoteReference w:id="14"/>
      </w:r>
      <w:r>
        <w:rPr>
          <w:noProof/>
        </w:rPr>
        <w:t xml:space="preserve"> </w:t>
      </w:r>
      <w:r>
        <w:rPr>
          <w:i/>
          <w:noProof/>
        </w:rPr>
        <w:t>Amazon</w:t>
      </w:r>
      <w:r>
        <w:rPr>
          <w:noProof/>
        </w:rPr>
        <w:t xml:space="preserve"> un </w:t>
      </w:r>
      <w:r>
        <w:rPr>
          <w:i/>
          <w:noProof/>
        </w:rPr>
        <w:t>TikTok</w:t>
      </w:r>
      <w:r>
        <w:rPr>
          <w:noProof/>
        </w:rPr>
        <w:t xml:space="preserve"> arī ir piedzīvojuši strauju globālās reklāmas daļas pieaugumu, savukārt tradicionālo mediju reklāmas īpatsvars turpina pastāvīgi samazināties.</w:t>
      </w:r>
      <w:r>
        <w:rPr>
          <w:rStyle w:val="FootnoteReference"/>
          <w:rFonts w:cstheme="minorBidi"/>
          <w:noProof/>
        </w:rPr>
        <w:footnoteReference w:id="15"/>
      </w:r>
    </w:p>
    <w:p w14:paraId="216A2311" w14:textId="3A0C5C98" w:rsidR="00316F69" w:rsidRPr="00DC04FC" w:rsidRDefault="00316F69" w:rsidP="00F000A2">
      <w:pPr>
        <w:pStyle w:val="Heading2"/>
        <w:rPr>
          <w:noProof/>
        </w:rPr>
      </w:pPr>
      <w:bookmarkStart w:id="30" w:name="_Toc155108011"/>
      <w:bookmarkStart w:id="31" w:name="_Toc172645213"/>
      <w:r>
        <w:rPr>
          <w:noProof/>
        </w:rPr>
        <w:t>Plašāka pārrobežu iepirkšanās, tostarp no trešo valstu tirgotājiem</w:t>
      </w:r>
      <w:bookmarkEnd w:id="30"/>
      <w:bookmarkEnd w:id="31"/>
    </w:p>
    <w:p w14:paraId="7FD010E0" w14:textId="269F162C" w:rsidR="00316F69" w:rsidRDefault="00316F69" w:rsidP="00316F69">
      <w:pPr>
        <w:rPr>
          <w:noProof/>
        </w:rPr>
      </w:pPr>
      <w:r>
        <w:rPr>
          <w:noProof/>
        </w:rPr>
        <w:t>2021. gadā 18 % ES iedzīvotāju iesaistījās darījumos ar tirgotājiem, kas atrodas citā dalībvalstī, savukārt regulāru e-komercijas dalībnieku vidū, t. i., to, kuri preces vai pakalpojumus iegādājušies tiešsaistē iepriekšējo trīs mēnešu laikā, šis rādītājs palielinājās līdz 32 %. Attiecīgie rādītāji 2020. gadā bija 16,5 % un 31 %. Pārrobežu iepirkšanās īpatsvara pieaugums ietver arī darījumus starp patērētājiem, kas dzīvo ES, un tirgotājiem, kuri veic uzņēmējdarbību ārpus ES, gan 2020., gan 2021. gadā 12 % patērētāju un katram piektajam regulārajam e-pircējam veicot pirkumus no trešo valstu tirgotājiem.</w:t>
      </w:r>
      <w:r w:rsidRPr="7EB7C091">
        <w:rPr>
          <w:rStyle w:val="FootnoteReference"/>
          <w:rFonts w:cstheme="minorBidi"/>
          <w:noProof/>
        </w:rPr>
        <w:footnoteReference w:id="16"/>
      </w:r>
      <w:r>
        <w:rPr>
          <w:noProof/>
        </w:rPr>
        <w:t xml:space="preserve"> </w:t>
      </w:r>
    </w:p>
    <w:p w14:paraId="55C313AC" w14:textId="77777777" w:rsidR="00F000A2" w:rsidRDefault="00F000A2" w:rsidP="00316F69">
      <w:pPr>
        <w:rPr>
          <w:noProof/>
        </w:rPr>
      </w:pPr>
    </w:p>
    <w:p w14:paraId="26A1F585" w14:textId="77777777" w:rsidR="00F000A2" w:rsidRDefault="00F000A2" w:rsidP="00316F69">
      <w:pPr>
        <w:rPr>
          <w:noProof/>
        </w:rPr>
      </w:pPr>
    </w:p>
    <w:p w14:paraId="3BBB07B6" w14:textId="77777777" w:rsidR="00F000A2" w:rsidRDefault="00F000A2" w:rsidP="00316F69">
      <w:pPr>
        <w:rPr>
          <w:noProof/>
        </w:rPr>
      </w:pPr>
    </w:p>
    <w:p w14:paraId="654D38EC" w14:textId="77777777" w:rsidR="00F000A2" w:rsidRDefault="00F000A2" w:rsidP="00316F69">
      <w:pPr>
        <w:rPr>
          <w:noProof/>
        </w:rPr>
      </w:pPr>
    </w:p>
    <w:p w14:paraId="6C246014" w14:textId="77777777" w:rsidR="00316F69" w:rsidRDefault="00316F69" w:rsidP="00F000A2">
      <w:pPr>
        <w:pStyle w:val="Heading2"/>
        <w:rPr>
          <w:noProof/>
        </w:rPr>
      </w:pPr>
      <w:bookmarkStart w:id="32" w:name="_Toc155108012"/>
      <w:bookmarkStart w:id="33" w:name="_Toc172645214"/>
      <w:r>
        <w:rPr>
          <w:noProof/>
        </w:rPr>
        <w:t>Jauni digitālās uzņēmējdarbības modeļi</w:t>
      </w:r>
      <w:bookmarkEnd w:id="32"/>
      <w:bookmarkEnd w:id="33"/>
    </w:p>
    <w:p w14:paraId="4689161A" w14:textId="2218A68A" w:rsidR="004145E2" w:rsidRDefault="00316F69" w:rsidP="00D166B9">
      <w:pPr>
        <w:rPr>
          <w:noProof/>
        </w:rPr>
      </w:pPr>
      <w:r>
        <w:rPr>
          <w:noProof/>
        </w:rPr>
        <w:t xml:space="preserve">Pēdējos desmit gados digitālās uzņēmējdarbības modeļos ir notikušas būtiskas pārmaiņas, galvenokārt tāpēc, ka dominē “bezmaksas” tiešsaistes pakalpojumi, kas monetizē personas datus. </w:t>
      </w:r>
      <w:r>
        <w:rPr>
          <w:noProof/>
        </w:rPr>
        <w:br/>
        <w:t>Pēdējā laikā tas noticis, arī pateicoties straujajam progresam pakalpojumos, ko darbina mākslīgais intelekts. Lai gan šīs norises ļauj tirgotājiem piedāvāt unikālu iepirkšanās pieredzi ar personalizētiem piedāvājumiem, viņi var izmantot patērētāju ierobežoto digitālo pratību, veicot manipulācijas ar patērētāju personas datiem un tos ļaunprātīgi izmantojot. Jo īpaši gados jauni patērētāji, ņemot vērā ievērojamo laiku, ko viņi pavada tiešsaistē, un milzīgo komerciālā satura apjomu, ar ko viņi saskaras, var ciest no manipulatīvas prakses tiešsaistē, jo izklaide un reklāma digitālajās telpās kļūst pilnībā savstarpēji saistītas.</w:t>
      </w:r>
    </w:p>
    <w:p w14:paraId="6ACA8078" w14:textId="65A182D5" w:rsidR="005B564A" w:rsidRDefault="00D166B9" w:rsidP="00D166B9">
      <w:pPr>
        <w:rPr>
          <w:noProof/>
        </w:rPr>
      </w:pPr>
      <w:r>
        <w:rPr>
          <w:noProof/>
        </w:rPr>
        <w:t>Turklāt sociālo mediju platformas arvien vairāk tiek izmantotas, lai tirgotu preces un pakalpojumus, jo īpaši ar ietekmētāju starpniecību.</w:t>
      </w:r>
      <w:r>
        <w:rPr>
          <w:rStyle w:val="FootnoteReference"/>
          <w:noProof/>
        </w:rPr>
        <w:footnoteReference w:id="17"/>
      </w:r>
      <w:r>
        <w:rPr>
          <w:noProof/>
        </w:rPr>
        <w:t xml:space="preserve">  </w:t>
      </w:r>
    </w:p>
    <w:p w14:paraId="040A9E1F" w14:textId="77777777" w:rsidR="004F1CFA" w:rsidRPr="00D166B9" w:rsidRDefault="004F1CFA" w:rsidP="00D166B9">
      <w:pPr>
        <w:rPr>
          <w:noProof/>
        </w:rPr>
      </w:pPr>
    </w:p>
    <w:tbl>
      <w:tblPr>
        <w:tblStyle w:val="TableGrid"/>
        <w:tblW w:w="0" w:type="auto"/>
        <w:tblLook w:val="04A0" w:firstRow="1" w:lastRow="0" w:firstColumn="1" w:lastColumn="0" w:noHBand="0" w:noVBand="1"/>
      </w:tblPr>
      <w:tblGrid>
        <w:gridCol w:w="9576"/>
      </w:tblGrid>
      <w:tr w:rsidR="008E32E0" w14:paraId="029F4C94" w14:textId="77777777" w:rsidTr="008E32E0">
        <w:tc>
          <w:tcPr>
            <w:tcW w:w="9576" w:type="dxa"/>
          </w:tcPr>
          <w:p w14:paraId="7635FB62" w14:textId="315E95DD" w:rsidR="008E32E0" w:rsidRPr="003C41F9" w:rsidRDefault="008E32E0" w:rsidP="008E32E0">
            <w:pPr>
              <w:jc w:val="center"/>
              <w:rPr>
                <w:b/>
                <w:bCs/>
                <w:noProof/>
              </w:rPr>
            </w:pPr>
            <w:r>
              <w:rPr>
                <w:b/>
                <w:noProof/>
              </w:rPr>
              <w:t>Tirgvedības prakses piemēri sociālo mediju platformās</w:t>
            </w:r>
          </w:p>
          <w:p w14:paraId="615F665D" w14:textId="77777777" w:rsidR="00A60BE0" w:rsidRDefault="00A60BE0" w:rsidP="008E32E0">
            <w:pPr>
              <w:rPr>
                <w:noProof/>
              </w:rPr>
            </w:pPr>
          </w:p>
          <w:p w14:paraId="40D691AC" w14:textId="31102065" w:rsidR="008E32E0" w:rsidRPr="008E32E0" w:rsidRDefault="008E32E0" w:rsidP="00316F69">
            <w:pPr>
              <w:rPr>
                <w:noProof/>
              </w:rPr>
            </w:pPr>
            <w:r>
              <w:rPr>
                <w:noProof/>
              </w:rPr>
              <w:t xml:space="preserve">2021. gadā </w:t>
            </w:r>
            <w:r>
              <w:rPr>
                <w:i/>
                <w:noProof/>
              </w:rPr>
              <w:t>Shopify</w:t>
            </w:r>
            <w:r>
              <w:rPr>
                <w:noProof/>
              </w:rPr>
              <w:t xml:space="preserve"> un </w:t>
            </w:r>
            <w:r>
              <w:rPr>
                <w:i/>
                <w:noProof/>
              </w:rPr>
              <w:t>TikTok</w:t>
            </w:r>
            <w:r>
              <w:rPr>
                <w:noProof/>
              </w:rPr>
              <w:t xml:space="preserve"> apvienoja spēkus, lai izveidotu </w:t>
            </w:r>
            <w:r>
              <w:rPr>
                <w:i/>
                <w:noProof/>
              </w:rPr>
              <w:t>TikTok Shopping</w:t>
            </w:r>
            <w:r>
              <w:rPr>
                <w:noProof/>
              </w:rPr>
              <w:t xml:space="preserve"> – lietošanai gatavu tīmekļa veikalu </w:t>
            </w:r>
            <w:r>
              <w:rPr>
                <w:i/>
                <w:noProof/>
              </w:rPr>
              <w:t>TikTok</w:t>
            </w:r>
            <w:r>
              <w:rPr>
                <w:noProof/>
              </w:rPr>
              <w:t xml:space="preserve"> satura nodrošinātājiem un jo īpaši ietekmētājiem. </w:t>
            </w:r>
            <w:r>
              <w:rPr>
                <w:i/>
                <w:noProof/>
              </w:rPr>
              <w:t>TikTok</w:t>
            </w:r>
            <w:r>
              <w:rPr>
                <w:noProof/>
              </w:rPr>
              <w:t xml:space="preserve"> lietotāji var iegādāties preces, neizejot no platformas, un var ātri veikt pirkumus saskaņā ar ieteikumiem, kas sniegti video ziņās. Šo uzņēmējdarbības modeli sauc par “tiešraides iepirkšanos”.</w:t>
            </w:r>
            <w:r w:rsidRPr="7EB7C091">
              <w:rPr>
                <w:rStyle w:val="FootnoteReference"/>
                <w:rFonts w:cstheme="minorBidi"/>
                <w:noProof/>
              </w:rPr>
              <w:footnoteReference w:id="18"/>
            </w:r>
            <w:r w:rsidRPr="7EB7C091">
              <w:rPr>
                <w:rStyle w:val="FootnoteReference"/>
                <w:rFonts w:cstheme="minorBidi"/>
                <w:noProof/>
              </w:rPr>
              <w:t xml:space="preserve"> </w:t>
            </w:r>
            <w:r>
              <w:rPr>
                <w:rStyle w:val="FootnoteReference"/>
                <w:noProof/>
              </w:rPr>
              <w:t xml:space="preserve"> </w:t>
            </w:r>
            <w:r>
              <w:rPr>
                <w:noProof/>
              </w:rPr>
              <w:t xml:space="preserve">Drīz pēc tam to ieviesa </w:t>
            </w:r>
            <w:r>
              <w:rPr>
                <w:i/>
                <w:noProof/>
              </w:rPr>
              <w:t>Twitter</w:t>
            </w:r>
            <w:r>
              <w:rPr>
                <w:noProof/>
              </w:rPr>
              <w:t xml:space="preserve"> un </w:t>
            </w:r>
            <w:r>
              <w:rPr>
                <w:i/>
                <w:noProof/>
              </w:rPr>
              <w:t>Meta</w:t>
            </w:r>
            <w:r>
              <w:rPr>
                <w:noProof/>
              </w:rPr>
              <w:t xml:space="preserve"> (</w:t>
            </w:r>
            <w:r>
              <w:rPr>
                <w:i/>
                <w:noProof/>
              </w:rPr>
              <w:t>Facebook</w:t>
            </w:r>
            <w:r>
              <w:rPr>
                <w:noProof/>
              </w:rPr>
              <w:t xml:space="preserve"> un </w:t>
            </w:r>
            <w:r>
              <w:rPr>
                <w:i/>
                <w:noProof/>
              </w:rPr>
              <w:t>Instagram</w:t>
            </w:r>
            <w:r>
              <w:rPr>
                <w:noProof/>
              </w:rPr>
              <w:t xml:space="preserve">). 2022. gadā </w:t>
            </w:r>
            <w:r>
              <w:rPr>
                <w:i/>
                <w:noProof/>
              </w:rPr>
              <w:t>Twitter</w:t>
            </w:r>
            <w:r>
              <w:rPr>
                <w:noProof/>
              </w:rPr>
              <w:t xml:space="preserve"> izveidoja </w:t>
            </w:r>
            <w:r>
              <w:rPr>
                <w:i/>
                <w:noProof/>
              </w:rPr>
              <w:t>“Twitter Shops”</w:t>
            </w:r>
            <w:r>
              <w:rPr>
                <w:noProof/>
              </w:rPr>
              <w:t xml:space="preserve">, kas darbojas līdzīgi kā </w:t>
            </w:r>
            <w:r>
              <w:rPr>
                <w:i/>
                <w:noProof/>
              </w:rPr>
              <w:t>TikTok Shopping</w:t>
            </w:r>
            <w:r>
              <w:rPr>
                <w:noProof/>
              </w:rPr>
              <w:t>,</w:t>
            </w:r>
            <w:r w:rsidRPr="7EB7C091">
              <w:rPr>
                <w:rStyle w:val="FootnoteReference"/>
                <w:rFonts w:cstheme="minorBidi"/>
                <w:noProof/>
              </w:rPr>
              <w:footnoteReference w:id="19"/>
            </w:r>
            <w:r>
              <w:rPr>
                <w:noProof/>
              </w:rPr>
              <w:t xml:space="preserve"> savukārt </w:t>
            </w:r>
            <w:r>
              <w:rPr>
                <w:i/>
                <w:noProof/>
              </w:rPr>
              <w:t>Meta</w:t>
            </w:r>
            <w:r>
              <w:rPr>
                <w:noProof/>
              </w:rPr>
              <w:t xml:space="preserve"> tagad ļauj sasaistīt </w:t>
            </w:r>
            <w:r>
              <w:rPr>
                <w:i/>
                <w:noProof/>
              </w:rPr>
              <w:t>Facebook</w:t>
            </w:r>
            <w:r>
              <w:rPr>
                <w:noProof/>
              </w:rPr>
              <w:t xml:space="preserve"> un </w:t>
            </w:r>
            <w:r>
              <w:rPr>
                <w:i/>
                <w:noProof/>
              </w:rPr>
              <w:t>Instagram</w:t>
            </w:r>
            <w:r>
              <w:rPr>
                <w:noProof/>
              </w:rPr>
              <w:t xml:space="preserve"> lietotāju kontus ar </w:t>
            </w:r>
            <w:r>
              <w:rPr>
                <w:i/>
                <w:noProof/>
              </w:rPr>
              <w:t>Shopify</w:t>
            </w:r>
            <w:r>
              <w:rPr>
                <w:noProof/>
              </w:rPr>
              <w:t xml:space="preserve"> kontiem un tiem darboties kā iepirkšanās kanāliem.</w:t>
            </w:r>
            <w:r w:rsidRPr="7EB7C091">
              <w:rPr>
                <w:rStyle w:val="FootnoteReference"/>
                <w:rFonts w:cstheme="minorBidi"/>
                <w:noProof/>
              </w:rPr>
              <w:footnoteReference w:id="20"/>
            </w:r>
            <w:r>
              <w:rPr>
                <w:noProof/>
              </w:rPr>
              <w:t xml:space="preserve"> Šiem jaunajiem darījumdarbības modeļiem ir jāievēro piemērojamie tiesību akti, piemēram, patērētāju tiesību aizsardzības jomā. Tomēr rodas jautājumi par to, vai valsts iestādes ir aprīkotas un labi sagatavotas šādu tirgu uzraudzībai. </w:t>
            </w:r>
          </w:p>
        </w:tc>
      </w:tr>
    </w:tbl>
    <w:p w14:paraId="4A86BF19" w14:textId="3C240375" w:rsidR="00316F69" w:rsidRPr="00B63058" w:rsidRDefault="00316F69" w:rsidP="00316F69">
      <w:pPr>
        <w:rPr>
          <w:noProof/>
        </w:rPr>
      </w:pPr>
    </w:p>
    <w:p w14:paraId="0EF3987F" w14:textId="77777777" w:rsidR="00D166B9" w:rsidRPr="00E63C55" w:rsidRDefault="00D166B9" w:rsidP="00F000A2">
      <w:pPr>
        <w:pStyle w:val="Heading2"/>
        <w:rPr>
          <w:noProof/>
        </w:rPr>
      </w:pPr>
      <w:bookmarkStart w:id="34" w:name="_Toc155108013"/>
      <w:bookmarkStart w:id="35" w:name="_Toc172645215"/>
      <w:r>
        <w:rPr>
          <w:noProof/>
        </w:rPr>
        <w:t>Maldinoši apgalvojumi par ilgtspēju</w:t>
      </w:r>
      <w:bookmarkEnd w:id="34"/>
      <w:bookmarkEnd w:id="35"/>
    </w:p>
    <w:p w14:paraId="1378737F" w14:textId="5E79469B" w:rsidR="00D166B9" w:rsidRDefault="00D166B9" w:rsidP="00316F69">
      <w:pPr>
        <w:rPr>
          <w:noProof/>
        </w:rPr>
      </w:pPr>
      <w:r>
        <w:rPr>
          <w:noProof/>
        </w:rPr>
        <w:t xml:space="preserve">Mūsdienās patērētāji arvien vairāk interesējas par iegādāto preču un pakalpojumu ietekmi uz vidi. Reaģējot uz šo tendenci, lielākā daļa tirgotāju cenšas uzlabot savu preču ilgtspēju. Tomēr šī tendence ir arī izraisījusi dažādu “zaļmaldināšanas paņēmienu” strauju attīstību, kas ietver nepatiesas vai maldinošas informācijas sniegšanu, lai tirgotāju piedāvātās preces šķistu videi draudzīgākas, nekā tās ir. </w:t>
      </w:r>
    </w:p>
    <w:p w14:paraId="50492B80" w14:textId="77777777" w:rsidR="00F000A2" w:rsidRDefault="00F000A2" w:rsidP="00316F69">
      <w:pPr>
        <w:rPr>
          <w:noProof/>
        </w:rPr>
      </w:pPr>
    </w:p>
    <w:p w14:paraId="5113F70C" w14:textId="50562EDD" w:rsidR="00922FA9" w:rsidRPr="008E32E0" w:rsidRDefault="003F2F0E" w:rsidP="00316F69">
      <w:pPr>
        <w:rPr>
          <w:noProof/>
        </w:rPr>
      </w:pPr>
      <w:r>
        <w:rPr>
          <w:noProof/>
        </w:rPr>
        <w:t>Līdz ar to mazinās patērētāju uzticēšanās zaļuma norādēm. Lai gan lielākā daļa patērētāju jūtas pārliecināti attiecībā uz apgalvojumiem par viņu iegādāto produktu vidiskajiem rādītājiem (56 % patērētāju piekrīt/pilnībā piekrīt, ka šīs norādes ir uzticamas), saskaņā ar 2023. gada patēriņa rezultātu apkopojumu 39 % patērētāju nepiekrīt/pilnībā nepiekrīt tam, ka vidiskuma norādes ir ticamas.</w:t>
      </w:r>
      <w:r w:rsidR="00E03421">
        <w:rPr>
          <w:rStyle w:val="FootnoteReference"/>
          <w:noProof/>
        </w:rPr>
        <w:footnoteReference w:id="21"/>
      </w:r>
      <w:r>
        <w:rPr>
          <w:noProof/>
        </w:rPr>
        <w:t xml:space="preserve"> Rezultāti liecina par uzticēšanās līmeņa pazemināšanos salīdzinājumā ar līdzīgiem datiem, kas savākti 2020. gadā, un to respondentu īpatsvars, kuri uzticas vidiskuma norādēm, sarucis gandrīz par pieciem procentpunktiem.</w:t>
      </w:r>
    </w:p>
    <w:p w14:paraId="56CC6B3D" w14:textId="73340BEE" w:rsidR="00316F69" w:rsidRDefault="00635E96" w:rsidP="00F000A2">
      <w:pPr>
        <w:pStyle w:val="Heading2"/>
        <w:rPr>
          <w:noProof/>
        </w:rPr>
      </w:pPr>
      <w:bookmarkStart w:id="36" w:name="_Toc155108014"/>
      <w:bookmarkStart w:id="37" w:name="_Toc172645216"/>
      <w:r>
        <w:rPr>
          <w:noProof/>
        </w:rPr>
        <w:t>Augsts ES patērētāju tiesību aktu neievērošanas līmenis un strauja pārkāpumu izplatība tirgus nozarēs</w:t>
      </w:r>
      <w:bookmarkEnd w:id="36"/>
      <w:bookmarkEnd w:id="37"/>
    </w:p>
    <w:p w14:paraId="1658E71B" w14:textId="29D313F2" w:rsidR="005B564A" w:rsidRPr="00EF6126" w:rsidRDefault="00316F69" w:rsidP="00316F69">
      <w:pPr>
        <w:rPr>
          <w:rFonts w:cstheme="minorHAnsi"/>
          <w:noProof/>
          <w:color w:val="2B579A"/>
          <w:shd w:val="clear" w:color="auto" w:fill="E6E6E6"/>
        </w:rPr>
      </w:pPr>
      <w:r>
        <w:rPr>
          <w:noProof/>
        </w:rPr>
        <w:t>2021. gadā 37 % ES e-pircēju ziņoja par nesenu problēmu saistībā ar iepirkšanos tiešsaistē, kas nav novēlota piegāde.</w:t>
      </w:r>
      <w:r w:rsidRPr="7EB7C091">
        <w:rPr>
          <w:rStyle w:val="FootnoteReference"/>
          <w:rFonts w:cstheme="minorBidi"/>
          <w:noProof/>
        </w:rPr>
        <w:footnoteReference w:id="22"/>
      </w:r>
      <w:r>
        <w:rPr>
          <w:noProof/>
        </w:rPr>
        <w:t xml:space="preserve"> Vismaz divi no trim patērētājiem, meklējot vai pērkot preces tiešsaistē, saskārušies ar negodīgu komercpraksi, piemēram, slēptām reklāmām vai patērētāju atsauksmēm, kas nešķita īstas.</w:t>
      </w:r>
      <w:r>
        <w:rPr>
          <w:rStyle w:val="FootnoteReference"/>
          <w:rFonts w:cstheme="minorBidi"/>
          <w:noProof/>
        </w:rPr>
        <w:footnoteReference w:id="23"/>
      </w:r>
      <w:r>
        <w:rPr>
          <w:noProof/>
        </w:rPr>
        <w:t xml:space="preserve"> </w:t>
      </w:r>
    </w:p>
    <w:p w14:paraId="65E343E3" w14:textId="6BA6B7FE" w:rsidR="004F1CFA" w:rsidRDefault="005B564A" w:rsidP="00A111CA">
      <w:pPr>
        <w:rPr>
          <w:noProof/>
        </w:rPr>
      </w:pPr>
      <w:r>
        <w:rPr>
          <w:noProof/>
          <w:color w:val="2B579A"/>
          <w:shd w:val="clear" w:color="auto" w:fill="E6E6E6"/>
          <w:lang w:val="en-GB" w:eastAsia="en-GB"/>
        </w:rPr>
        <w:drawing>
          <wp:inline distT="0" distB="0" distL="0" distR="0" wp14:anchorId="57D4F6CF" wp14:editId="468E1FD7">
            <wp:extent cx="6095936" cy="337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9182" cy="3385541"/>
                    </a:xfrm>
                    <a:prstGeom prst="rect">
                      <a:avLst/>
                    </a:prstGeom>
                    <a:noFill/>
                    <a:effectLst/>
                  </pic:spPr>
                </pic:pic>
              </a:graphicData>
            </a:graphic>
          </wp:inline>
        </w:drawing>
      </w:r>
    </w:p>
    <w:p w14:paraId="0385A649" w14:textId="77777777" w:rsidR="004F1CFA" w:rsidRDefault="004F1CFA" w:rsidP="00A111CA">
      <w:pPr>
        <w:rPr>
          <w:noProof/>
        </w:rPr>
      </w:pPr>
    </w:p>
    <w:p w14:paraId="2CD5BC54" w14:textId="14FEADB2" w:rsidR="004F1CFA" w:rsidRPr="005B564A" w:rsidRDefault="00A111CA" w:rsidP="005B564A">
      <w:pPr>
        <w:rPr>
          <w:noProof/>
        </w:rPr>
      </w:pPr>
      <w:r>
        <w:rPr>
          <w:noProof/>
        </w:rPr>
        <w:t>Komisijas uzvedības pētījumā par maldinošām saskarnēm</w:t>
      </w:r>
      <w:r w:rsidRPr="7EB7C091">
        <w:rPr>
          <w:rStyle w:val="FootnoteReference"/>
          <w:rFonts w:cstheme="minorBidi"/>
          <w:noProof/>
        </w:rPr>
        <w:footnoteReference w:id="24"/>
      </w:r>
      <w:r>
        <w:rPr>
          <w:noProof/>
        </w:rPr>
        <w:t xml:space="preserve"> atklājās, ka 97 % no 75 </w:t>
      </w:r>
      <w:r>
        <w:rPr>
          <w:noProof/>
          <w:u w:val="single"/>
        </w:rPr>
        <w:t>populārākajām</w:t>
      </w:r>
      <w:r>
        <w:rPr>
          <w:noProof/>
        </w:rPr>
        <w:t xml:space="preserve"> tīmekļa vietnēm un lietotnēm, ko izmanto ES patērētāji, izmanto vismaz vienu maldinošu saskarni, </w:t>
      </w:r>
      <w:r>
        <w:rPr>
          <w:noProof/>
        </w:rPr>
        <w:br/>
        <w:t>t. i., digitālo saskarņu praksi, kas potenciāli maldina, manipulē vai citādi būtiski kropļo vai vājina pakalpojumu saņēmēju spēju pieņemt brīvus un informētus lēmumus.</w:t>
      </w:r>
      <w:r>
        <w:rPr>
          <w:rStyle w:val="FootnoteReference"/>
          <w:rFonts w:cstheme="minorBidi"/>
          <w:noProof/>
        </w:rPr>
        <w:footnoteReference w:id="25"/>
      </w:r>
      <w:r>
        <w:rPr>
          <w:noProof/>
        </w:rPr>
        <w:t xml:space="preserve"> 2022. gadā SPTAJ tīkls Komisijas vadībā veica kontrolreidu plašākā izlasē (399 tīmekļa vietnes) un konstatēja, ka 37 % no šīm tīmekļa vietnēm izmanto maldinošas saskarnes.</w:t>
      </w:r>
      <w:r>
        <w:rPr>
          <w:rStyle w:val="FootnoteReference"/>
          <w:rFonts w:cstheme="minorBidi"/>
          <w:noProof/>
        </w:rPr>
        <w:footnoteReference w:id="26"/>
      </w:r>
    </w:p>
    <w:p w14:paraId="1F9B4AE7" w14:textId="10365E8E" w:rsidR="005B71E4" w:rsidRDefault="003F2F0E" w:rsidP="003C765B">
      <w:pPr>
        <w:pStyle w:val="ListParagraph"/>
        <w:ind w:left="0"/>
        <w:rPr>
          <w:rFonts w:cstheme="minorBidi"/>
          <w:noProof/>
        </w:rPr>
      </w:pPr>
      <w:r>
        <w:rPr>
          <w:noProof/>
        </w:rPr>
        <w:t xml:space="preserve">Turklāt, kā parādīts zemāk sniegtajā tabulā, lielā daļā tīmekļa veikalu, kurus SPTAJ iestādes pārbaudīja nesen veiktajos kontrolreidos, prasībām neatbilstoša prakse ir ļoti izplatīta. </w:t>
      </w:r>
    </w:p>
    <w:p w14:paraId="499AA74C" w14:textId="1E5A3D88" w:rsidR="005B71E4" w:rsidRDefault="005B71E4" w:rsidP="003C765B">
      <w:pPr>
        <w:pStyle w:val="ListParagraph"/>
        <w:ind w:left="0"/>
        <w:rPr>
          <w:rFonts w:cstheme="minorBidi"/>
          <w:noProof/>
        </w:rPr>
      </w:pPr>
    </w:p>
    <w:p w14:paraId="7D4034B1" w14:textId="6B4B98CD" w:rsidR="005B564A" w:rsidRPr="00922FA9" w:rsidRDefault="00922FA9" w:rsidP="003C765B">
      <w:pPr>
        <w:pStyle w:val="ListParagraph"/>
        <w:ind w:left="0"/>
        <w:rPr>
          <w:rFonts w:cstheme="minorBidi"/>
          <w:b/>
          <w:bCs/>
          <w:noProof/>
          <w:u w:val="single"/>
        </w:rPr>
      </w:pPr>
      <w:r>
        <w:rPr>
          <w:b/>
          <w:noProof/>
          <w:u w:val="single"/>
        </w:rPr>
        <w:t>Kontrolreidu rezultāti</w:t>
      </w:r>
    </w:p>
    <w:p w14:paraId="7D7314A3" w14:textId="77777777" w:rsidR="00C12A34" w:rsidRDefault="00C12A34" w:rsidP="003C765B">
      <w:pPr>
        <w:pStyle w:val="ListParagraph"/>
        <w:ind w:left="0"/>
        <w:rPr>
          <w:rFonts w:cstheme="minorBidi"/>
          <w:noProof/>
        </w:rPr>
      </w:pPr>
    </w:p>
    <w:p w14:paraId="36ECE914" w14:textId="77777777" w:rsidR="00C12A34" w:rsidRDefault="00C12A34" w:rsidP="003C765B">
      <w:pPr>
        <w:pStyle w:val="ListParagraph"/>
        <w:ind w:left="0"/>
        <w:rPr>
          <w:rFonts w:cstheme="minorBidi"/>
          <w:noProof/>
        </w:rPr>
      </w:pPr>
    </w:p>
    <w:tbl>
      <w:tblPr>
        <w:tblStyle w:val="TableGrid"/>
        <w:tblW w:w="0" w:type="auto"/>
        <w:tblLook w:val="04A0" w:firstRow="1" w:lastRow="0" w:firstColumn="1" w:lastColumn="0" w:noHBand="0" w:noVBand="1"/>
      </w:tblPr>
      <w:tblGrid>
        <w:gridCol w:w="3192"/>
        <w:gridCol w:w="3192"/>
        <w:gridCol w:w="3192"/>
      </w:tblGrid>
      <w:tr w:rsidR="00C12A34" w14:paraId="6EDB7349" w14:textId="77777777" w:rsidTr="00C12A34">
        <w:tc>
          <w:tcPr>
            <w:tcW w:w="3192" w:type="dxa"/>
          </w:tcPr>
          <w:p w14:paraId="76924D96" w14:textId="6B32FE1E" w:rsidR="00C12A34" w:rsidRPr="00C12A34" w:rsidRDefault="00C12A34" w:rsidP="00C12A34">
            <w:pPr>
              <w:pStyle w:val="ListParagraph"/>
              <w:ind w:left="0"/>
              <w:jc w:val="center"/>
              <w:rPr>
                <w:rFonts w:cstheme="minorBidi"/>
                <w:b/>
                <w:bCs/>
                <w:noProof/>
              </w:rPr>
            </w:pPr>
            <w:r>
              <w:rPr>
                <w:b/>
                <w:noProof/>
              </w:rPr>
              <w:t>Kontrolreidos pārbaudītās tiešsaistes tirdzniecības vietas pēc SPTAJ regulas (ES) 2017/2394 piemērošanas (2020. gada janvāris)</w:t>
            </w:r>
          </w:p>
        </w:tc>
        <w:tc>
          <w:tcPr>
            <w:tcW w:w="3192" w:type="dxa"/>
          </w:tcPr>
          <w:p w14:paraId="65B77D6F" w14:textId="60FDF04D" w:rsidR="00C12A34" w:rsidRPr="00C12A34" w:rsidRDefault="00C12A34" w:rsidP="00C12A34">
            <w:pPr>
              <w:pStyle w:val="ListParagraph"/>
              <w:ind w:left="0"/>
              <w:jc w:val="center"/>
              <w:rPr>
                <w:rFonts w:cstheme="minorBidi"/>
                <w:b/>
                <w:bCs/>
                <w:noProof/>
              </w:rPr>
            </w:pPr>
            <w:r>
              <w:rPr>
                <w:b/>
                <w:noProof/>
              </w:rPr>
              <w:t>Pārbaudīto tīmekļa vietņu skaits</w:t>
            </w:r>
          </w:p>
        </w:tc>
        <w:tc>
          <w:tcPr>
            <w:tcW w:w="3192" w:type="dxa"/>
          </w:tcPr>
          <w:p w14:paraId="4B53F499" w14:textId="1E47352F" w:rsidR="00C12A34" w:rsidRPr="00C12A34" w:rsidRDefault="00C12A34" w:rsidP="00C12A34">
            <w:pPr>
              <w:pStyle w:val="ListParagraph"/>
              <w:ind w:left="0"/>
              <w:jc w:val="center"/>
              <w:rPr>
                <w:rFonts w:cstheme="minorBidi"/>
                <w:b/>
                <w:bCs/>
                <w:noProof/>
              </w:rPr>
            </w:pPr>
            <w:r>
              <w:rPr>
                <w:b/>
                <w:noProof/>
              </w:rPr>
              <w:t>Neatbilstības līmenis</w:t>
            </w:r>
          </w:p>
        </w:tc>
      </w:tr>
      <w:tr w:rsidR="00C12A34" w14:paraId="53711560" w14:textId="77777777" w:rsidTr="00C12A34">
        <w:tc>
          <w:tcPr>
            <w:tcW w:w="3192" w:type="dxa"/>
          </w:tcPr>
          <w:p w14:paraId="73E2B253" w14:textId="7EF7A425" w:rsidR="00C12A34" w:rsidRDefault="00C12A34" w:rsidP="003C765B">
            <w:pPr>
              <w:pStyle w:val="ListParagraph"/>
              <w:ind w:left="0"/>
              <w:rPr>
                <w:rFonts w:cstheme="minorBidi"/>
                <w:noProof/>
              </w:rPr>
            </w:pPr>
            <w:r>
              <w:rPr>
                <w:noProof/>
              </w:rPr>
              <w:t>Kontrolreidi par patērētāju krāpšanu saistībā ar Covid-19 pandēmiju 2020. gadā</w:t>
            </w:r>
          </w:p>
        </w:tc>
        <w:tc>
          <w:tcPr>
            <w:tcW w:w="3192" w:type="dxa"/>
          </w:tcPr>
          <w:p w14:paraId="2AA72DA6" w14:textId="77777777" w:rsidR="00C12A34" w:rsidRPr="00921399" w:rsidRDefault="00C12A34" w:rsidP="003C765B">
            <w:pPr>
              <w:pStyle w:val="ListParagraph"/>
              <w:ind w:left="0"/>
              <w:rPr>
                <w:rFonts w:cstheme="minorBidi"/>
                <w:i/>
                <w:iCs/>
                <w:noProof/>
              </w:rPr>
            </w:pPr>
            <w:r>
              <w:rPr>
                <w:i/>
                <w:noProof/>
              </w:rPr>
              <w:t xml:space="preserve">Plaša mēroga skrīnings </w:t>
            </w:r>
          </w:p>
          <w:p w14:paraId="037E9042" w14:textId="77777777" w:rsidR="00C12A34" w:rsidRDefault="00C12A34" w:rsidP="003C765B">
            <w:pPr>
              <w:pStyle w:val="ListParagraph"/>
              <w:ind w:left="0"/>
              <w:rPr>
                <w:rFonts w:cstheme="minorBidi"/>
                <w:noProof/>
              </w:rPr>
            </w:pPr>
            <w:r>
              <w:rPr>
                <w:noProof/>
              </w:rPr>
              <w:t>73</w:t>
            </w:r>
          </w:p>
          <w:p w14:paraId="785BB89C" w14:textId="77777777" w:rsidR="00C12A34" w:rsidRDefault="00C12A34" w:rsidP="003C765B">
            <w:pPr>
              <w:pStyle w:val="ListParagraph"/>
              <w:ind w:left="0"/>
              <w:rPr>
                <w:rFonts w:cstheme="minorBidi"/>
                <w:noProof/>
              </w:rPr>
            </w:pPr>
            <w:r>
              <w:rPr>
                <w:noProof/>
              </w:rPr>
              <w:t>126</w:t>
            </w:r>
          </w:p>
          <w:p w14:paraId="5B7F8236" w14:textId="77777777" w:rsidR="00C12A34" w:rsidRPr="00921399" w:rsidRDefault="00C12A34" w:rsidP="003C765B">
            <w:pPr>
              <w:pStyle w:val="ListParagraph"/>
              <w:ind w:left="0"/>
              <w:rPr>
                <w:rFonts w:cstheme="minorBidi"/>
                <w:i/>
                <w:iCs/>
                <w:noProof/>
              </w:rPr>
            </w:pPr>
            <w:r>
              <w:rPr>
                <w:i/>
                <w:noProof/>
              </w:rPr>
              <w:t>Padziļinātais kontrolreids</w:t>
            </w:r>
          </w:p>
          <w:p w14:paraId="5AE00F44" w14:textId="19E5C22E" w:rsidR="00C12A34" w:rsidRDefault="00C12A34" w:rsidP="003C765B">
            <w:pPr>
              <w:pStyle w:val="ListParagraph"/>
              <w:ind w:left="0"/>
              <w:rPr>
                <w:rFonts w:cstheme="minorBidi"/>
                <w:noProof/>
              </w:rPr>
            </w:pPr>
            <w:r>
              <w:rPr>
                <w:noProof/>
              </w:rPr>
              <w:t>268</w:t>
            </w:r>
          </w:p>
        </w:tc>
        <w:tc>
          <w:tcPr>
            <w:tcW w:w="3192" w:type="dxa"/>
          </w:tcPr>
          <w:p w14:paraId="486AE0E0" w14:textId="77777777" w:rsidR="00C12A34" w:rsidRDefault="00C12A34" w:rsidP="003C765B">
            <w:pPr>
              <w:pStyle w:val="ListParagraph"/>
              <w:ind w:left="0"/>
              <w:rPr>
                <w:rFonts w:cstheme="minorBidi"/>
                <w:noProof/>
              </w:rPr>
            </w:pPr>
          </w:p>
          <w:p w14:paraId="7A59A416" w14:textId="77777777" w:rsidR="00C12A34" w:rsidRDefault="00C12A34" w:rsidP="003C765B">
            <w:pPr>
              <w:pStyle w:val="ListParagraph"/>
              <w:ind w:left="0"/>
              <w:rPr>
                <w:rFonts w:cstheme="minorBidi"/>
                <w:noProof/>
              </w:rPr>
            </w:pPr>
            <w:r>
              <w:rPr>
                <w:noProof/>
              </w:rPr>
              <w:t>31,5 %</w:t>
            </w:r>
          </w:p>
          <w:p w14:paraId="5993197D" w14:textId="77777777" w:rsidR="00C12A34" w:rsidRDefault="00C12A34" w:rsidP="003C765B">
            <w:pPr>
              <w:pStyle w:val="ListParagraph"/>
              <w:ind w:left="0"/>
              <w:rPr>
                <w:rFonts w:cstheme="minorBidi"/>
                <w:noProof/>
              </w:rPr>
            </w:pPr>
            <w:r>
              <w:rPr>
                <w:noProof/>
              </w:rPr>
              <w:t>30,2 %</w:t>
            </w:r>
          </w:p>
          <w:p w14:paraId="735F3912" w14:textId="77777777" w:rsidR="00C12A34" w:rsidRDefault="00C12A34" w:rsidP="003C765B">
            <w:pPr>
              <w:pStyle w:val="ListParagraph"/>
              <w:ind w:left="0"/>
              <w:rPr>
                <w:rFonts w:cstheme="minorBidi"/>
                <w:noProof/>
              </w:rPr>
            </w:pPr>
          </w:p>
          <w:p w14:paraId="60B679F2" w14:textId="4B740EDD" w:rsidR="00C12A34" w:rsidRDefault="00C12A34" w:rsidP="003C765B">
            <w:pPr>
              <w:pStyle w:val="ListParagraph"/>
              <w:ind w:left="0"/>
              <w:rPr>
                <w:rFonts w:cstheme="minorBidi"/>
                <w:noProof/>
              </w:rPr>
            </w:pPr>
            <w:r>
              <w:rPr>
                <w:noProof/>
              </w:rPr>
              <w:t>76,9 %</w:t>
            </w:r>
          </w:p>
        </w:tc>
      </w:tr>
      <w:tr w:rsidR="00C12A34" w14:paraId="76CDB72D" w14:textId="77777777" w:rsidTr="00C12A34">
        <w:tc>
          <w:tcPr>
            <w:tcW w:w="3192" w:type="dxa"/>
          </w:tcPr>
          <w:p w14:paraId="344DE342" w14:textId="3559509E" w:rsidR="00C12A34" w:rsidRDefault="00C12A34" w:rsidP="003C765B">
            <w:pPr>
              <w:pStyle w:val="ListParagraph"/>
              <w:ind w:left="0"/>
              <w:rPr>
                <w:rFonts w:cstheme="minorBidi"/>
                <w:noProof/>
              </w:rPr>
            </w:pPr>
            <w:r>
              <w:rPr>
                <w:noProof/>
              </w:rPr>
              <w:t>Kontrolreids par maldinošām ilgtspējas norādēm (2020)</w:t>
            </w:r>
          </w:p>
        </w:tc>
        <w:tc>
          <w:tcPr>
            <w:tcW w:w="3192" w:type="dxa"/>
          </w:tcPr>
          <w:p w14:paraId="2B143D95" w14:textId="2196298A" w:rsidR="00C12A34" w:rsidRDefault="00C12A34" w:rsidP="003C765B">
            <w:pPr>
              <w:pStyle w:val="ListParagraph"/>
              <w:ind w:left="0"/>
              <w:rPr>
                <w:rFonts w:cstheme="minorBidi"/>
                <w:noProof/>
              </w:rPr>
            </w:pPr>
            <w:r>
              <w:rPr>
                <w:noProof/>
              </w:rPr>
              <w:t>344</w:t>
            </w:r>
          </w:p>
        </w:tc>
        <w:tc>
          <w:tcPr>
            <w:tcW w:w="3192" w:type="dxa"/>
          </w:tcPr>
          <w:p w14:paraId="428B5877" w14:textId="478B0355" w:rsidR="00C12A34" w:rsidRDefault="00C12A34" w:rsidP="003C765B">
            <w:pPr>
              <w:pStyle w:val="ListParagraph"/>
              <w:ind w:left="0"/>
              <w:rPr>
                <w:rFonts w:cstheme="minorBidi"/>
                <w:noProof/>
              </w:rPr>
            </w:pPr>
            <w:r>
              <w:rPr>
                <w:noProof/>
              </w:rPr>
              <w:t>Gandrīz 50 %</w:t>
            </w:r>
          </w:p>
        </w:tc>
      </w:tr>
      <w:tr w:rsidR="00C12A34" w14:paraId="770D3C9D" w14:textId="77777777" w:rsidTr="00C12A34">
        <w:tc>
          <w:tcPr>
            <w:tcW w:w="3192" w:type="dxa"/>
          </w:tcPr>
          <w:p w14:paraId="4CF93368" w14:textId="4E483771" w:rsidR="00C12A34" w:rsidRDefault="00C12A34" w:rsidP="003C765B">
            <w:pPr>
              <w:pStyle w:val="ListParagraph"/>
              <w:ind w:left="0"/>
              <w:rPr>
                <w:rFonts w:cstheme="minorBidi"/>
                <w:noProof/>
              </w:rPr>
            </w:pPr>
            <w:r>
              <w:rPr>
                <w:noProof/>
              </w:rPr>
              <w:t>Mini kontrolreids par patēriņa kredītiem (2021)</w:t>
            </w:r>
          </w:p>
        </w:tc>
        <w:tc>
          <w:tcPr>
            <w:tcW w:w="3192" w:type="dxa"/>
          </w:tcPr>
          <w:p w14:paraId="0F35F294" w14:textId="27A1A6C0" w:rsidR="00C12A34" w:rsidRDefault="00C12A34" w:rsidP="003C765B">
            <w:pPr>
              <w:pStyle w:val="ListParagraph"/>
              <w:ind w:left="0"/>
              <w:rPr>
                <w:rFonts w:cstheme="minorBidi"/>
                <w:noProof/>
              </w:rPr>
            </w:pPr>
            <w:r>
              <w:rPr>
                <w:noProof/>
              </w:rPr>
              <w:t>118</w:t>
            </w:r>
          </w:p>
        </w:tc>
        <w:tc>
          <w:tcPr>
            <w:tcW w:w="3192" w:type="dxa"/>
          </w:tcPr>
          <w:p w14:paraId="23A7CA6B" w14:textId="019A7258" w:rsidR="00C12A34" w:rsidRDefault="00C12A34" w:rsidP="003C765B">
            <w:pPr>
              <w:pStyle w:val="ListParagraph"/>
              <w:ind w:left="0"/>
              <w:rPr>
                <w:rFonts w:cstheme="minorBidi"/>
                <w:noProof/>
              </w:rPr>
            </w:pPr>
            <w:r>
              <w:rPr>
                <w:noProof/>
              </w:rPr>
              <w:t>36 %</w:t>
            </w:r>
          </w:p>
        </w:tc>
      </w:tr>
      <w:tr w:rsidR="00C12A34" w14:paraId="3B409937" w14:textId="77777777" w:rsidTr="00C12A34">
        <w:tc>
          <w:tcPr>
            <w:tcW w:w="3192" w:type="dxa"/>
          </w:tcPr>
          <w:p w14:paraId="51DB59C1" w14:textId="00F541FF" w:rsidR="00C12A34" w:rsidRDefault="00C12A34" w:rsidP="003C765B">
            <w:pPr>
              <w:pStyle w:val="ListParagraph"/>
              <w:ind w:left="0"/>
              <w:rPr>
                <w:rFonts w:cstheme="minorBidi"/>
                <w:noProof/>
              </w:rPr>
            </w:pPr>
            <w:r>
              <w:rPr>
                <w:noProof/>
              </w:rPr>
              <w:t>Kontrolreids par tiešsaistes patērētāju atsauksmēm (2021)</w:t>
            </w:r>
          </w:p>
        </w:tc>
        <w:tc>
          <w:tcPr>
            <w:tcW w:w="3192" w:type="dxa"/>
          </w:tcPr>
          <w:p w14:paraId="670F31BA" w14:textId="19A215C0" w:rsidR="00C12A34" w:rsidRDefault="00C12A34" w:rsidP="003C765B">
            <w:pPr>
              <w:pStyle w:val="ListParagraph"/>
              <w:ind w:left="0"/>
              <w:rPr>
                <w:rFonts w:cstheme="minorBidi"/>
                <w:noProof/>
              </w:rPr>
            </w:pPr>
            <w:r>
              <w:rPr>
                <w:noProof/>
              </w:rPr>
              <w:t>223</w:t>
            </w:r>
          </w:p>
        </w:tc>
        <w:tc>
          <w:tcPr>
            <w:tcW w:w="3192" w:type="dxa"/>
          </w:tcPr>
          <w:p w14:paraId="4CF3ACFF" w14:textId="0734BB5D" w:rsidR="00C12A34" w:rsidRDefault="00C12A34" w:rsidP="003C765B">
            <w:pPr>
              <w:pStyle w:val="ListParagraph"/>
              <w:ind w:left="0"/>
              <w:rPr>
                <w:rFonts w:cstheme="minorBidi"/>
                <w:noProof/>
              </w:rPr>
            </w:pPr>
            <w:r>
              <w:rPr>
                <w:noProof/>
              </w:rPr>
              <w:t>55 %</w:t>
            </w:r>
          </w:p>
        </w:tc>
      </w:tr>
    </w:tbl>
    <w:p w14:paraId="168809C9" w14:textId="77777777" w:rsidR="00C12A34" w:rsidRDefault="00C12A34" w:rsidP="003C765B">
      <w:pPr>
        <w:pStyle w:val="ListParagraph"/>
        <w:ind w:left="0"/>
        <w:rPr>
          <w:rFonts w:cstheme="minorBidi"/>
          <w:noProof/>
        </w:rPr>
      </w:pPr>
    </w:p>
    <w:p w14:paraId="19277C55" w14:textId="520C5E54" w:rsidR="00A111CA" w:rsidRDefault="00A111CA" w:rsidP="00A111CA">
      <w:pPr>
        <w:pStyle w:val="ListParagraph"/>
        <w:ind w:left="0"/>
        <w:rPr>
          <w:rFonts w:cstheme="minorBidi"/>
          <w:noProof/>
        </w:rPr>
      </w:pPr>
      <w:bookmarkStart w:id="38" w:name="_Toc155108015"/>
    </w:p>
    <w:p w14:paraId="1C5A3619" w14:textId="233266D5" w:rsidR="00D354B8" w:rsidRPr="00D354B8" w:rsidRDefault="00D354B8" w:rsidP="005B564A">
      <w:pPr>
        <w:jc w:val="left"/>
        <w:rPr>
          <w:noProof/>
        </w:rPr>
      </w:pPr>
      <w:r>
        <w:rPr>
          <w:noProof/>
        </w:rPr>
        <w:br w:type="page"/>
      </w:r>
    </w:p>
    <w:p w14:paraId="0C99977F" w14:textId="77777777" w:rsidR="00D354B8" w:rsidRPr="00D354B8" w:rsidRDefault="00D354B8" w:rsidP="00D354B8">
      <w:pPr>
        <w:rPr>
          <w:noProof/>
        </w:rPr>
      </w:pPr>
    </w:p>
    <w:p w14:paraId="14D452C3" w14:textId="0212FB3F" w:rsidR="005848B3" w:rsidRDefault="005042B5" w:rsidP="005042B5">
      <w:pPr>
        <w:pStyle w:val="Heading1"/>
        <w:numPr>
          <w:ilvl w:val="0"/>
          <w:numId w:val="0"/>
        </w:numPr>
        <w:ind w:left="480" w:hanging="480"/>
        <w:rPr>
          <w:noProof/>
        </w:rPr>
      </w:pPr>
      <w:bookmarkStart w:id="39" w:name="_Toc172645217"/>
      <w:r>
        <w:rPr>
          <w:noProof/>
        </w:rPr>
        <w:t>II daļa. SPTAJ regulas piemērošanas novērtējuma rezultāti</w:t>
      </w:r>
      <w:bookmarkEnd w:id="38"/>
      <w:bookmarkEnd w:id="39"/>
    </w:p>
    <w:p w14:paraId="5E629EAF" w14:textId="3D4187F8" w:rsidR="005042B5" w:rsidRPr="00ED1DD5" w:rsidRDefault="005848B3" w:rsidP="005848B3">
      <w:pPr>
        <w:rPr>
          <w:noProof/>
        </w:rPr>
      </w:pPr>
      <w:r>
        <w:rPr>
          <w:noProof/>
        </w:rPr>
        <w:t xml:space="preserve">Turpmākajās iedaļās ir apkopoti Komisijas 2022. gadā pieprasītā ārējā novērtējuma rezultāti un izskatīti SPTAJ regulas 40. panta 2. punktā minētie jautājumi.  Kā paskaidrots </w:t>
      </w:r>
      <w:r w:rsidR="00ED1DD5">
        <w:rPr>
          <w:noProof/>
        </w:rPr>
        <w:fldChar w:fldCharType="begin"/>
      </w:r>
      <w:r w:rsidR="00ED1DD5">
        <w:rPr>
          <w:noProof/>
        </w:rPr>
        <w:instrText xml:space="preserve"> REF _Ref165025057 \r \h </w:instrText>
      </w:r>
      <w:r w:rsidR="00ED1DD5">
        <w:rPr>
          <w:noProof/>
        </w:rPr>
      </w:r>
      <w:r w:rsidR="00ED1DD5">
        <w:rPr>
          <w:noProof/>
        </w:rPr>
        <w:fldChar w:fldCharType="separate"/>
      </w:r>
      <w:r w:rsidR="00BC0C04">
        <w:rPr>
          <w:noProof/>
        </w:rPr>
        <w:t>1</w:t>
      </w:r>
      <w:r w:rsidR="00ED1DD5">
        <w:rPr>
          <w:noProof/>
        </w:rPr>
        <w:fldChar w:fldCharType="end"/>
      </w:r>
      <w:r>
        <w:rPr>
          <w:noProof/>
        </w:rPr>
        <w:t>. iedaļā, ārējais pētījums</w:t>
      </w:r>
      <w:r w:rsidR="00ED1DD5">
        <w:rPr>
          <w:rStyle w:val="FootnoteReference"/>
          <w:noProof/>
          <w:lang w:val="en-GB"/>
        </w:rPr>
        <w:footnoteReference w:id="27"/>
      </w:r>
      <w:r>
        <w:rPr>
          <w:noProof/>
        </w:rPr>
        <w:t xml:space="preserve"> (“pētījums”) apkopoja pierādījumus, izmantojot: a) dokumentu izpēti, b) intervijas ar valstu vienotajiem sadarbības birojiem (</w:t>
      </w:r>
      <w:r>
        <w:rPr>
          <w:i/>
          <w:noProof/>
        </w:rPr>
        <w:t>SLO</w:t>
      </w:r>
      <w:r>
        <w:rPr>
          <w:noProof/>
        </w:rPr>
        <w:t xml:space="preserve">) un SPTAJ iestādēm no 30 ES/EEZ valstīm, c) tiešsaistes aptaujas, kurās piedalījās </w:t>
      </w:r>
      <w:r>
        <w:rPr>
          <w:i/>
          <w:noProof/>
        </w:rPr>
        <w:t>SLO</w:t>
      </w:r>
      <w:r>
        <w:rPr>
          <w:noProof/>
        </w:rPr>
        <w:t>, SPTAJ iestādes, struktūras, kas tiesīgas izdot brīdinājumus, un tirgotāji, pret kuriem tika vērsta SPTAJ koordinētā rīcība, un d) intervijas ar plašāku ieinteresēto personu loku konkrētu gadījumu izpētes ietvaros</w:t>
      </w:r>
      <w:r w:rsidR="0000773C">
        <w:rPr>
          <w:rStyle w:val="FootnoteReference"/>
          <w:noProof/>
          <w:lang w:val="en-GB"/>
        </w:rPr>
        <w:footnoteReference w:id="28"/>
      </w:r>
      <w:r>
        <w:rPr>
          <w:noProof/>
        </w:rPr>
        <w:t xml:space="preserve">. </w:t>
      </w:r>
    </w:p>
    <w:p w14:paraId="07EC59BF" w14:textId="4DF94259" w:rsidR="002A152B" w:rsidRPr="001F66D3" w:rsidRDefault="009A6BEE" w:rsidP="00316F69">
      <w:pPr>
        <w:pStyle w:val="Heading1"/>
        <w:rPr>
          <w:noProof/>
        </w:rPr>
      </w:pPr>
      <w:bookmarkStart w:id="41" w:name="_Toc155108016"/>
      <w:bookmarkStart w:id="42" w:name="_Toc172645218"/>
      <w:r>
        <w:rPr>
          <w:noProof/>
        </w:rPr>
        <w:t>SPTAJ regulas galvenie mērķi</w:t>
      </w:r>
      <w:bookmarkEnd w:id="41"/>
      <w:bookmarkEnd w:id="42"/>
      <w:r>
        <w:rPr>
          <w:noProof/>
        </w:rPr>
        <w:t xml:space="preserve"> </w:t>
      </w:r>
    </w:p>
    <w:p w14:paraId="45D7E397" w14:textId="08D86A47" w:rsidR="002035C2" w:rsidRPr="001F66D3" w:rsidRDefault="00E4388F" w:rsidP="00F000A2">
      <w:pPr>
        <w:pStyle w:val="Heading2"/>
        <w:rPr>
          <w:noProof/>
        </w:rPr>
      </w:pPr>
      <w:bookmarkStart w:id="43" w:name="_Toc155108017"/>
      <w:bookmarkStart w:id="44" w:name="_Toc172645219"/>
      <w:r>
        <w:rPr>
          <w:noProof/>
        </w:rPr>
        <w:t>Pārkāpumu atklāšana</w:t>
      </w:r>
      <w:bookmarkEnd w:id="43"/>
      <w:bookmarkEnd w:id="44"/>
    </w:p>
    <w:p w14:paraId="61B7487E" w14:textId="0080F7D0" w:rsidR="002303B3" w:rsidRPr="001F66D3" w:rsidRDefault="005042B5" w:rsidP="00316F69">
      <w:pPr>
        <w:rPr>
          <w:noProof/>
        </w:rPr>
      </w:pPr>
      <w:r>
        <w:rPr>
          <w:noProof/>
        </w:rPr>
        <w:t>Pētījums liecina, ka SPTAJ regula atvieglo pārrobežu, plaši izplatītu un ES mēroga pārkāpumu atklāšanu. Vienotie sadarbības biroji (</w:t>
      </w:r>
      <w:r>
        <w:rPr>
          <w:i/>
          <w:noProof/>
        </w:rPr>
        <w:t>SLO</w:t>
      </w:r>
      <w:r>
        <w:rPr>
          <w:noProof/>
        </w:rPr>
        <w:t xml:space="preserve">) un SPTAJ iestādes tiešsaistes aptaujās un intervijās atzīst, ka ar regulu izveidotais tīkls ir efektīvāks nekā divpusēji sadarbības nolīgumi starp atsevišķām dalībvalstīm. </w:t>
      </w:r>
    </w:p>
    <w:p w14:paraId="16E4F582" w14:textId="19ADE084" w:rsidR="001F66D3" w:rsidRDefault="005042B5" w:rsidP="00316F69">
      <w:pPr>
        <w:rPr>
          <w:noProof/>
        </w:rPr>
      </w:pPr>
      <w:r>
        <w:rPr>
          <w:noProof/>
        </w:rPr>
        <w:t xml:space="preserve">Kontrolreidi tiek uzskatīti par efektīvu instrumentu pārkāpumu atklāšanai, jo tie nodrošina iespēju atklāt pārkāpumus, kurus SPTAJ iestādes citādi nebūtu konstatējušas. Tiem ir vajadzīgs salīdzinoši neliels laiks no SPTAJ iestāžu puses, tie ir viegli īstenojami un sniedz pozitīvus rezultātus, tāpēc kontrolreidu ietvaros resursi tiek efektīvi izmantoti. </w:t>
      </w:r>
      <w:r>
        <w:rPr>
          <w:noProof/>
        </w:rPr>
        <w:br/>
        <w:t xml:space="preserve">Tika arī uzsvērts, ka ieguvumi, ko sniedz koordinācija un pieredzes apmaiņa starp iestādēm kontrolreida procesā, sniedz iestādēm labāku izpratni par attiecīgo tiesību aktu īstenošanu citās dalībvalstīs. Tomēr dažas iestādes ir ierosinājušas, ka SPTAJ tīklam būtu sistemātiskāk jāveic turpmākās darbības pēc kontrolreidiem, tostarp vajadzības gadījumā uzsākot koordinētas izpildes darbības. </w:t>
      </w:r>
    </w:p>
    <w:p w14:paraId="49224BBA" w14:textId="4FA72D8C" w:rsidR="002035C2" w:rsidRPr="002303B3" w:rsidRDefault="00EE5182" w:rsidP="00316F69">
      <w:pPr>
        <w:rPr>
          <w:noProof/>
        </w:rPr>
      </w:pPr>
      <w:r>
        <w:rPr>
          <w:noProof/>
        </w:rPr>
        <w:t>Brīdinājumi ir palielinājuši pārrobežu pārkāpumu atklāšanas efektivitāti. Lielākā daļa SPTAJ iestāžu uzskata, ka brīdinājumi rada izpratni par pārrobežu jautājumiem un veicina efektīvu izpildes darbību sākšanu. Vairākas SPTAJ iestādes arī uzsver brīdinājumu pievienoto vērtību pārrobežu pārkāpumu tendenču noteikšanā, kas tām palīdz paredzēt iespējamus turpmākus pārkāpumus. Turklāt SPTAJ iestādes uzskata, ka informācija no brīdinājumiem ir noderīga, lai noteiktu to turpmākās prioritātes un stratēģijas. Ārējo brīdinājumu, t. i., to brīdinājumu izmantošana, ko SPTAJ tīklam iesniegušas struktūras ārpus SPTAJ tīkla, piemēram, Eiropas Patērētāju centri (</w:t>
      </w:r>
      <w:r>
        <w:rPr>
          <w:i/>
          <w:noProof/>
        </w:rPr>
        <w:t>ECC</w:t>
      </w:r>
      <w:r>
        <w:rPr>
          <w:noProof/>
        </w:rPr>
        <w:t>) vai patērētāju un tirgotāju organizācijas, ko šajā nolūkā pilnvarojušas dalībvalstis vai Komisija, joprojām ir nedaudz ierobežota.</w:t>
      </w:r>
      <w:r w:rsidR="0071418A">
        <w:rPr>
          <w:rStyle w:val="FootnoteReference"/>
          <w:noProof/>
        </w:rPr>
        <w:footnoteReference w:id="29"/>
      </w:r>
      <w:r>
        <w:rPr>
          <w:noProof/>
        </w:rPr>
        <w:t xml:space="preserve"> Tomēr lielākā daļa organizāciju, kas ir izdevušas ārējus brīdinājumus, un SPTAJ iestādes, kas tos ir saņēmušas, uzskata, ka tie ir uzlabojuši SPTAJ tīkla veikto pārrobežu pārkāpumu atklāšanu un turpmāko izpildi. </w:t>
      </w:r>
    </w:p>
    <w:p w14:paraId="5002049C" w14:textId="0FE60F64" w:rsidR="002303B3" w:rsidRPr="00A84D7C" w:rsidRDefault="00E4388F" w:rsidP="00F000A2">
      <w:pPr>
        <w:pStyle w:val="Heading2"/>
        <w:rPr>
          <w:noProof/>
        </w:rPr>
      </w:pPr>
      <w:bookmarkStart w:id="45" w:name="_Toc155108018"/>
      <w:bookmarkStart w:id="46" w:name="_Toc172645220"/>
      <w:r>
        <w:rPr>
          <w:noProof/>
        </w:rPr>
        <w:t>Konsekventāka tiesību aktu izpilde patērētāju tiesību aizsardzības jomā</w:t>
      </w:r>
      <w:bookmarkEnd w:id="45"/>
      <w:bookmarkEnd w:id="46"/>
    </w:p>
    <w:p w14:paraId="696BE9AA" w14:textId="312F87D5" w:rsidR="00F272D0" w:rsidRDefault="00A84D7C" w:rsidP="00316F69">
      <w:pPr>
        <w:rPr>
          <w:noProof/>
        </w:rPr>
      </w:pPr>
      <w:r>
        <w:rPr>
          <w:noProof/>
        </w:rPr>
        <w:t xml:space="preserve">Lielākā daļa </w:t>
      </w:r>
      <w:r>
        <w:rPr>
          <w:i/>
          <w:noProof/>
        </w:rPr>
        <w:t>SLO</w:t>
      </w:r>
      <w:r>
        <w:rPr>
          <w:noProof/>
        </w:rPr>
        <w:t xml:space="preserve"> un SPTAJ iestāžu norādīja, ka regula uzlabo un palielina patērētāju tiesību aizsardzības tiesību aktu izpildes konsekvenci ar koordinētas rīcības palīdzību. Tas savukārt veicina vienlīdzīgus konkurences apstākļus tirgotājiem un ES vienotā tirgus netraucētu darbību. Vienlaikus jāatzīmē, ka ne visi </w:t>
      </w:r>
      <w:r>
        <w:rPr>
          <w:i/>
          <w:noProof/>
        </w:rPr>
        <w:t>SLO</w:t>
      </w:r>
      <w:r>
        <w:rPr>
          <w:noProof/>
        </w:rPr>
        <w:t xml:space="preserve"> un SPTAJ iestādes aktīvi iesaistās koordinētā rīcībā, galvenokārt ierobežoto resursu dēļ vai tāpēc, ka lieta konkrētajā valstī nav būtiska. </w:t>
      </w:r>
    </w:p>
    <w:p w14:paraId="292F6E8E" w14:textId="077AD58B" w:rsidR="001D3EE8" w:rsidRDefault="00625647" w:rsidP="00004792">
      <w:pPr>
        <w:rPr>
          <w:noProof/>
        </w:rPr>
      </w:pPr>
      <w:r>
        <w:rPr>
          <w:i/>
          <w:noProof/>
        </w:rPr>
        <w:t>SLO</w:t>
      </w:r>
      <w:r>
        <w:rPr>
          <w:noProof/>
        </w:rPr>
        <w:t xml:space="preserve"> un SPTAJ iestādes atzīst koordinētās rīcības pozitīvo ietekmi, jo īpaši attiecībā uz tādu pārkāpumu novēršanu, kuros iesaistīti starptautiski uzņēmumi. Vairāku valstu SPTAJ iestāžu sadarbības spēks nozīmē lielāku spiedienu uz tirgotājiem mainīt savu praksi salīdzinājumā ar spiedienu, ko izdara viena valsts patērētāju aizsardzības iestāde. Jo īpaši mazākas valstis uzskata, ka šī ietekme ir svarīga.</w:t>
      </w:r>
    </w:p>
    <w:p w14:paraId="0A9BE20F" w14:textId="02C4423A" w:rsidR="00773776" w:rsidRDefault="001D3EE8" w:rsidP="00004792">
      <w:pPr>
        <w:rPr>
          <w:noProof/>
        </w:rPr>
      </w:pPr>
      <w:r>
        <w:rPr>
          <w:noProof/>
        </w:rPr>
        <w:t>Sešu gadījumu analīzes rezultāti, kas ir ārējā novērtējuma neatņemama daļa, apstiprina koordinētas rīcības pozitīvo ietekmi uz patērētāju tiesību pārrobežu izpildi. Piemēram, koordinētajā rīcībā pret 16 aviokompānijām</w:t>
      </w:r>
      <w:r w:rsidR="00D87B6B">
        <w:rPr>
          <w:rStyle w:val="FootnoteReference"/>
          <w:noProof/>
        </w:rPr>
        <w:footnoteReference w:id="30"/>
      </w:r>
      <w:r>
        <w:rPr>
          <w:noProof/>
        </w:rPr>
        <w:t>, kas bija pirmā ļoti liela mēroga koordinētā rīcība, visi tirgotāji, izņemot vienu, apņēmās īstenot visus SPTAJ tīkla pieprasītos pasākumus. Pētījuma ietvaros intervētās ieinteresētās personas</w:t>
      </w:r>
      <w:r w:rsidR="00AE5654">
        <w:rPr>
          <w:rStyle w:val="FootnoteReference"/>
          <w:noProof/>
        </w:rPr>
        <w:footnoteReference w:id="31"/>
      </w:r>
      <w:r>
        <w:rPr>
          <w:noProof/>
        </w:rPr>
        <w:t xml:space="preserve"> uzskata, ka šīs rīcības rezultātā attiecīgajiem patērētājiem tika rasts konkrēts un efektīvs risinājums. </w:t>
      </w:r>
    </w:p>
    <w:p w14:paraId="244B1403" w14:textId="77777777" w:rsidR="0000773C" w:rsidRDefault="0000773C" w:rsidP="00004792">
      <w:pPr>
        <w:rPr>
          <w:noProof/>
        </w:rPr>
      </w:pPr>
    </w:p>
    <w:p w14:paraId="7382B4FE" w14:textId="77777777" w:rsidR="0000773C" w:rsidRDefault="0000773C" w:rsidP="00004792">
      <w:pPr>
        <w:rPr>
          <w:noProof/>
        </w:rPr>
      </w:pPr>
    </w:p>
    <w:p w14:paraId="6A855A6D" w14:textId="77777777" w:rsidR="0000773C" w:rsidRDefault="0000773C" w:rsidP="00004792">
      <w:pPr>
        <w:rPr>
          <w:noProof/>
        </w:rPr>
      </w:pPr>
    </w:p>
    <w:p w14:paraId="0D23C18B" w14:textId="77777777" w:rsidR="0000773C" w:rsidRDefault="0000773C" w:rsidP="00004792">
      <w:pPr>
        <w:rPr>
          <w:noProof/>
        </w:rPr>
      </w:pPr>
    </w:p>
    <w:p w14:paraId="15A0B6C2" w14:textId="77777777" w:rsidR="0000773C" w:rsidRDefault="0000773C" w:rsidP="00004792">
      <w:pPr>
        <w:rPr>
          <w:noProof/>
        </w:rPr>
      </w:pPr>
    </w:p>
    <w:p w14:paraId="1AA4380A" w14:textId="77777777" w:rsidR="0000773C" w:rsidRDefault="0000773C" w:rsidP="00004792">
      <w:pPr>
        <w:rPr>
          <w:noProof/>
        </w:rPr>
      </w:pPr>
    </w:p>
    <w:p w14:paraId="701D9F4F" w14:textId="77777777" w:rsidR="0000773C" w:rsidRDefault="0000773C" w:rsidP="00004792">
      <w:pPr>
        <w:rPr>
          <w:noProof/>
        </w:rPr>
      </w:pPr>
    </w:p>
    <w:p w14:paraId="006B7B88" w14:textId="181D8A57" w:rsidR="00DA78B8" w:rsidRDefault="00DA78B8" w:rsidP="00DA78B8">
      <w:pPr>
        <w:pBdr>
          <w:top w:val="single" w:sz="4" w:space="1" w:color="auto"/>
          <w:left w:val="single" w:sz="4" w:space="4" w:color="auto"/>
          <w:bottom w:val="single" w:sz="4" w:space="1" w:color="auto"/>
          <w:right w:val="single" w:sz="4" w:space="4" w:color="auto"/>
        </w:pBdr>
        <w:jc w:val="center"/>
        <w:rPr>
          <w:rFonts w:cstheme="minorBidi"/>
          <w:noProof/>
        </w:rPr>
      </w:pPr>
      <w:r>
        <w:rPr>
          <w:b/>
          <w:noProof/>
        </w:rPr>
        <w:t>Aviosabiedrību lidojumu atcelšanas prakse saistībā ar Covid-19 pandēmiju</w:t>
      </w:r>
      <w:r>
        <w:rPr>
          <w:noProof/>
        </w:rPr>
        <w:t xml:space="preserve"> </w:t>
      </w:r>
    </w:p>
    <w:p w14:paraId="4E647F11" w14:textId="7D429B6C" w:rsidR="00DA78B8" w:rsidRPr="000E041E" w:rsidRDefault="00DA78B8" w:rsidP="000E041E">
      <w:pPr>
        <w:pBdr>
          <w:top w:val="single" w:sz="4" w:space="1" w:color="auto"/>
          <w:left w:val="single" w:sz="4" w:space="4" w:color="auto"/>
          <w:bottom w:val="single" w:sz="4" w:space="1" w:color="auto"/>
          <w:right w:val="single" w:sz="4" w:space="4" w:color="auto"/>
        </w:pBdr>
        <w:rPr>
          <w:rFonts w:cstheme="minorBidi"/>
          <w:noProof/>
        </w:rPr>
      </w:pPr>
      <w:r>
        <w:rPr>
          <w:noProof/>
        </w:rPr>
        <w:t>Covid-19 pandēmija smagi ietekmēja gaisa pārvadājumu nozari ES. Tā kā valdības visā pasaulē ieviesa starptautiskās ceļošanas ierobežojumus, Eiropas aviosabiedrības bija spiestas apturēt lielāko daļu savas flotes gandrīz vienas nakts laikā. 2020. gada aprīlī ES bija par 88 % mazāk lidojumu nekā attiecīgajā mēnesī pirms gada. Pasažieru skaits mēnesī Savienībā samazinājās no 70 miljoniem 2020. gada janvārī un februārī līdz tikai 1 miljonam aprīlī, kas ir par 99 % mazāk nekā 2019. gada aprīlī. Turklāt tiek lēsts, ka laikposmā no 2020. gada marta līdz maijam tika atcelti aptuveni 50 miljoni biļešu.</w:t>
      </w:r>
      <w:r w:rsidRPr="7EB7C091">
        <w:rPr>
          <w:rStyle w:val="FootnoteReference"/>
          <w:rFonts w:cstheme="minorBidi"/>
          <w:noProof/>
        </w:rPr>
        <w:footnoteReference w:id="32"/>
      </w:r>
      <w:r>
        <w:rPr>
          <w:noProof/>
        </w:rPr>
        <w:t xml:space="preserve"> Ņemot vērā šo ārkārtas situāciju, daudzi pasažieri konstatēja, ka aviosabiedrības viņus nav pietiekami labi informējušas par viņu tiesībām, un daudziem pasažieriem netika pienācīgi piedāvāta iespēja izvēlēties, vai lidojuma atcelšanas gadījumā viņi vēlas saņemt kompensāciju vai mainīt rezervāciju. SPTAJ koordinētās rīcības rezultātā 16 lielākās aviosabiedrības, kas darbojas ES, piedāvāja atmaksāt skaidrā naudā visus neizmantotos vaučerus, kas tika uzspiesti patērētājiem. </w:t>
      </w:r>
    </w:p>
    <w:p w14:paraId="05550DB7" w14:textId="0F9213BE" w:rsidR="001D3EE8" w:rsidRPr="00940825" w:rsidRDefault="00AC2EE9" w:rsidP="00004792">
      <w:pPr>
        <w:rPr>
          <w:noProof/>
        </w:rPr>
      </w:pPr>
      <w:r>
        <w:rPr>
          <w:noProof/>
        </w:rPr>
        <w:t xml:space="preserve">SPTAJ koordinētā rīcība pret </w:t>
      </w:r>
      <w:r>
        <w:rPr>
          <w:i/>
          <w:noProof/>
        </w:rPr>
        <w:t>AliExpress</w:t>
      </w:r>
      <w:r w:rsidR="00D87B6B" w:rsidRPr="00940825">
        <w:rPr>
          <w:rStyle w:val="FootnoteReference"/>
          <w:noProof/>
        </w:rPr>
        <w:footnoteReference w:id="33"/>
      </w:r>
      <w:r>
        <w:rPr>
          <w:noProof/>
        </w:rPr>
        <w:t xml:space="preserve"> bija veiksmīga, un uzņēmums uzņēmās ES mēroga saistības nodrošināt, ka tā prakse un platformā aktīvi darbojošos pārdevēju prakse atbilst ES tiesību aktiem patērētāju tiesību aizsardzības jomā. Koordinētā rīcība pret pieciem vadošajiem Eiropas automobiļu nomas uzņēmumiem</w:t>
      </w:r>
      <w:r w:rsidR="00D87B6B" w:rsidRPr="00940825">
        <w:rPr>
          <w:rStyle w:val="FootnoteReference"/>
          <w:noProof/>
        </w:rPr>
        <w:footnoteReference w:id="34"/>
      </w:r>
      <w:r>
        <w:rPr>
          <w:noProof/>
        </w:rPr>
        <w:t xml:space="preserve"> panāca to, ka visi tirgotāji īstenoja pasākumus, par kuriem vienojās ar SPTAJ tīklu. Turklāt šī rīcība palielināja atbilstību visā nozarē. </w:t>
      </w:r>
    </w:p>
    <w:p w14:paraId="27F500A6" w14:textId="14A8ACAE" w:rsidR="00BA5375" w:rsidRPr="00712684" w:rsidRDefault="00712684" w:rsidP="00F000A2">
      <w:pPr>
        <w:pStyle w:val="Heading2"/>
        <w:rPr>
          <w:noProof/>
        </w:rPr>
      </w:pPr>
      <w:bookmarkStart w:id="47" w:name="_Toc155108019"/>
      <w:bookmarkStart w:id="48" w:name="_Toc172645221"/>
      <w:r>
        <w:rPr>
          <w:noProof/>
        </w:rPr>
        <w:t>Vēršanās pret vienādu ļaunprātīgu praksi, kas izplatās visā ES</w:t>
      </w:r>
      <w:bookmarkEnd w:id="47"/>
      <w:bookmarkEnd w:id="48"/>
    </w:p>
    <w:p w14:paraId="5CE1DCA0" w14:textId="3AF3836B" w:rsidR="00712684" w:rsidRPr="00A84D7C" w:rsidRDefault="002A152B" w:rsidP="00316F69">
      <w:pPr>
        <w:rPr>
          <w:noProof/>
        </w:rPr>
      </w:pPr>
      <w:r>
        <w:rPr>
          <w:noProof/>
        </w:rPr>
        <w:t xml:space="preserve">SPTAJ regula nodrošina konsekventu pieeju, lai vērstos pret vienādiem plaši izplatītiem un ES mēroga pārkāpumiem, kas skar dažādas dalībvalstis. </w:t>
      </w:r>
      <w:r>
        <w:rPr>
          <w:i/>
          <w:noProof/>
        </w:rPr>
        <w:t>SLO</w:t>
      </w:r>
      <w:r>
        <w:rPr>
          <w:noProof/>
        </w:rPr>
        <w:t xml:space="preserve"> un SPTAJ iestādes ziņoja, ka regula, jo īpaši ar koordinētu rīcību, palīdz konsolidēt atšķirīgas tiesību aktu interpretācijas dažādās dalībvalstīs. SPTAJ regulas piemērošana sniedz lielākas izredzes gūt panākumus, un tai ir lielāka preventīvā ietekme. </w:t>
      </w:r>
    </w:p>
    <w:p w14:paraId="7EBF74FC" w14:textId="52D22C63" w:rsidR="00951AC3" w:rsidRPr="006B7EAF" w:rsidRDefault="0097793A" w:rsidP="00316F69">
      <w:pPr>
        <w:rPr>
          <w:noProof/>
        </w:rPr>
      </w:pPr>
      <w:r>
        <w:rPr>
          <w:noProof/>
        </w:rPr>
        <w:t xml:space="preserve">Attiecībā uz uzņēmumiem, kas darbojas vienā un tajā pašā ekonomikas nozarē un veic vienādas vai līdzīgas nelikumīgas darbības visā vienotajā tirgū, </w:t>
      </w:r>
      <w:r>
        <w:rPr>
          <w:i/>
          <w:noProof/>
        </w:rPr>
        <w:t>SLO</w:t>
      </w:r>
      <w:r>
        <w:rPr>
          <w:noProof/>
        </w:rPr>
        <w:t xml:space="preserve"> un SPTAJ iestādes uzsvēra vairākas problēmas, kuras SPTAJ regula var palīdzēt efektīvi risināt un kuras ietver iesaistīto dalībnieku daudzveidību, atkārtotus un sistemātiskus pārkāpumus, dažādu dalībvalstu pieeju nekonsekvenci sodu piemērošanā utt. Lielākā daļa </w:t>
      </w:r>
      <w:r>
        <w:rPr>
          <w:i/>
          <w:noProof/>
        </w:rPr>
        <w:t>SLO</w:t>
      </w:r>
      <w:r>
        <w:rPr>
          <w:noProof/>
        </w:rPr>
        <w:t xml:space="preserve"> un SPTAJ iestāžu pauda pozitīvus viedokļus</w:t>
      </w:r>
      <w:r w:rsidR="00D72F5D">
        <w:rPr>
          <w:rStyle w:val="FootnoteReference"/>
          <w:noProof/>
        </w:rPr>
        <w:footnoteReference w:id="35"/>
      </w:r>
      <w:r>
        <w:rPr>
          <w:noProof/>
        </w:rPr>
        <w:t xml:space="preserve"> par regulas efektivitāti šādu pārkāpumu novēršanā. Atsevišķas </w:t>
      </w:r>
      <w:r>
        <w:rPr>
          <w:i/>
          <w:noProof/>
        </w:rPr>
        <w:t>SLO</w:t>
      </w:r>
      <w:r>
        <w:rPr>
          <w:noProof/>
        </w:rPr>
        <w:t xml:space="preserve"> un SPTAJ iestādes pat uzskata, ka koordinēta rīcība ir vienīgais risinājums to risināšanai. Dažas arī uzsvēra, ka SPTAJ pārrobežu izmeklēšanu rezultāti rada precedentu attiecībā uz līdzīgām mazāka apjoma lietām, kas būtu jārisina valsts līmenī. </w:t>
      </w:r>
    </w:p>
    <w:p w14:paraId="164FEE24" w14:textId="37CD128C" w:rsidR="007500DA" w:rsidRDefault="009A6BEE" w:rsidP="009A6BEE">
      <w:pPr>
        <w:pStyle w:val="Heading1"/>
        <w:rPr>
          <w:noProof/>
        </w:rPr>
      </w:pPr>
      <w:bookmarkStart w:id="49" w:name="_Toc155108020"/>
      <w:bookmarkStart w:id="50" w:name="_Toc172645222"/>
      <w:r>
        <w:rPr>
          <w:noProof/>
        </w:rPr>
        <w:t>SPTAJ regulas efektivitāte, ņemot vērā patēriņa tirgu neseno attīstību ES</w:t>
      </w:r>
      <w:bookmarkEnd w:id="49"/>
      <w:bookmarkEnd w:id="50"/>
    </w:p>
    <w:p w14:paraId="0676EEBE" w14:textId="3366C38F" w:rsidR="00F7552F" w:rsidRDefault="006D76C3" w:rsidP="00316F69">
      <w:pPr>
        <w:rPr>
          <w:noProof/>
        </w:rPr>
      </w:pPr>
      <w:r>
        <w:rPr>
          <w:noProof/>
        </w:rPr>
        <w:t xml:space="preserve">Kā aprakstīts </w:t>
      </w:r>
      <w:r w:rsidR="008353BD">
        <w:rPr>
          <w:noProof/>
        </w:rPr>
        <w:fldChar w:fldCharType="begin"/>
      </w:r>
      <w:r w:rsidR="008353BD">
        <w:rPr>
          <w:noProof/>
        </w:rPr>
        <w:instrText xml:space="preserve"> REF _Ref132108219 \r \h </w:instrText>
      </w:r>
      <w:r w:rsidR="008353BD">
        <w:rPr>
          <w:noProof/>
        </w:rPr>
      </w:r>
      <w:r w:rsidR="008353BD">
        <w:rPr>
          <w:noProof/>
        </w:rPr>
        <w:fldChar w:fldCharType="separate"/>
      </w:r>
      <w:r w:rsidR="00BC0C04">
        <w:rPr>
          <w:noProof/>
        </w:rPr>
        <w:t>3</w:t>
      </w:r>
      <w:r w:rsidR="008353BD">
        <w:rPr>
          <w:noProof/>
        </w:rPr>
        <w:fldChar w:fldCharType="end"/>
      </w:r>
      <w:r>
        <w:rPr>
          <w:noProof/>
        </w:rPr>
        <w:t>. iedaļā, vairākas patēriņa tirgus tendences ir ietekmējušas un turpinās ietekmēt vidi, kurā darbojas SPTAJ regula. Šajā kontekstā rodas jautājums, vai SPTAJ regula var efektīvi risināt jaunās problēmas, kas izriet no šīm tirgus pārmaiņām.</w:t>
      </w:r>
    </w:p>
    <w:p w14:paraId="450D51DA" w14:textId="0FFFDC1B" w:rsidR="00D23B7E" w:rsidRDefault="00882707" w:rsidP="00316F69">
      <w:pPr>
        <w:rPr>
          <w:noProof/>
        </w:rPr>
      </w:pPr>
      <w:r>
        <w:rPr>
          <w:noProof/>
        </w:rPr>
        <w:t xml:space="preserve">Šajā sakarā </w:t>
      </w:r>
      <w:r>
        <w:rPr>
          <w:i/>
          <w:noProof/>
        </w:rPr>
        <w:t>SLO</w:t>
      </w:r>
      <w:r>
        <w:rPr>
          <w:noProof/>
        </w:rPr>
        <w:t xml:space="preserve"> un SPTAJ iestādes uzskata, ka regula ir pietiekami elastīga un tai ir potenciāls tikt galā ar jauniem uzņēmējdarbības modeļiem un tirgvedības praksi, tostarp digitālajā jomā. </w:t>
      </w:r>
      <w:r>
        <w:rPr>
          <w:i/>
          <w:noProof/>
        </w:rPr>
        <w:t>SLO</w:t>
      </w:r>
      <w:r>
        <w:rPr>
          <w:noProof/>
        </w:rPr>
        <w:t xml:space="preserve"> un SPTAJ iestādes, kurām ir vienots viedoklis, uzskata, ka minimālās pilnvaras </w:t>
      </w:r>
      <w:r>
        <w:rPr>
          <w:noProof/>
        </w:rPr>
        <w:br/>
        <w:t xml:space="preserve">(sk. SPTAJ regulas 9. pantu) ļauj efektīvi reaģēt uz jaunām vajadzībām. SPTAJ tīkls arī nodrošina platformu informācijas apmaiņai, </w:t>
      </w:r>
      <w:r>
        <w:rPr>
          <w:noProof/>
        </w:rPr>
        <w:br/>
        <w:t xml:space="preserve">kas ļauj izplatīt informāciju par jaunām tirgus norisēm dalībvalstīm. </w:t>
      </w:r>
      <w:r>
        <w:rPr>
          <w:noProof/>
        </w:rPr>
        <w:br/>
        <w:t xml:space="preserve">Tomēr vispārēja problēma, kas rada bažas, ir darba slodze un laiks, kas nepieciešams, lai paralēli sekotu līdzi daudzām koordinētām darbībām, kuras varētu izraisīt straujā patērētāju tiešsaistes darbību attīstība. </w:t>
      </w:r>
    </w:p>
    <w:p w14:paraId="233C4BCF" w14:textId="0F2A8217" w:rsidR="001129AB" w:rsidRPr="00C40BD9" w:rsidRDefault="00A909A0" w:rsidP="00316F69">
      <w:pPr>
        <w:rPr>
          <w:noProof/>
        </w:rPr>
      </w:pPr>
      <w:r>
        <w:rPr>
          <w:i/>
          <w:noProof/>
        </w:rPr>
        <w:t>SLO</w:t>
      </w:r>
      <w:r>
        <w:rPr>
          <w:noProof/>
        </w:rPr>
        <w:t xml:space="preserve"> un SPTAJ iestādes kopumā pozitīvi vērtē to, kā SPTAJ regula risināja ar Covid-19 krīzi saistītos jautājumus. Lielākā daļa no viņiem uzskata, ka SPTAJ regula ir elastīgs instruments, ko var efektīvi izmantot, lai risinātu krīzes situācijas, piemēram, Covid-19 krīzi.  </w:t>
      </w:r>
    </w:p>
    <w:p w14:paraId="6939B441" w14:textId="4E78265F" w:rsidR="008A6287" w:rsidRDefault="009A6BEE" w:rsidP="008E32E0">
      <w:pPr>
        <w:pStyle w:val="Heading1"/>
        <w:rPr>
          <w:noProof/>
        </w:rPr>
      </w:pPr>
      <w:bookmarkStart w:id="51" w:name="_Toc155108021"/>
      <w:bookmarkStart w:id="52" w:name="_Toc172645223"/>
      <w:r>
        <w:rPr>
          <w:noProof/>
        </w:rPr>
        <w:t>Regulā (ES) 2017/2394 paredzētā SPTAJ sadarbības satvara trūkumi</w:t>
      </w:r>
      <w:bookmarkEnd w:id="51"/>
      <w:bookmarkEnd w:id="52"/>
    </w:p>
    <w:p w14:paraId="2F507756" w14:textId="5C934C35" w:rsidR="005314EA" w:rsidRDefault="005314EA" w:rsidP="00316F69">
      <w:pPr>
        <w:rPr>
          <w:noProof/>
        </w:rPr>
      </w:pPr>
      <w:r>
        <w:rPr>
          <w:noProof/>
        </w:rPr>
        <w:t xml:space="preserve">Neraugoties uz SPTAJ regulas pozitīvo ieguldījumu tās mērķu sasniegšanā, ir konstatēti daži trūkumi un jomas, kurās būtu jāuzlabo sadarbība, kas izriet no iestāžu un dažādu ieinteresēto personu atsauksmēm. </w:t>
      </w:r>
    </w:p>
    <w:p w14:paraId="3F47D974" w14:textId="38CEBC71" w:rsidR="005314EA" w:rsidRDefault="005314EA" w:rsidP="00F000A2">
      <w:pPr>
        <w:pStyle w:val="Heading2"/>
        <w:rPr>
          <w:noProof/>
        </w:rPr>
      </w:pPr>
      <w:bookmarkStart w:id="53" w:name="_Toc155108022"/>
      <w:bookmarkStart w:id="54" w:name="_Toc172645224"/>
      <w:r>
        <w:rPr>
          <w:noProof/>
        </w:rPr>
        <w:t>Atšķirīga izpildes spēja valstu līmenī</w:t>
      </w:r>
      <w:bookmarkEnd w:id="53"/>
      <w:bookmarkEnd w:id="54"/>
    </w:p>
    <w:p w14:paraId="32C0CE30" w14:textId="5C0643F6" w:rsidR="001A77D6" w:rsidRDefault="001A77D6" w:rsidP="00316F69">
      <w:pPr>
        <w:rPr>
          <w:noProof/>
        </w:rPr>
      </w:pPr>
      <w:r>
        <w:rPr>
          <w:noProof/>
        </w:rPr>
        <w:t xml:space="preserve">Dalībvalstīs atšķiras veids, kādā tiek ieguldīti resursi pārrobežu izpildē valsts līmenī, un tas nozīmē, ka ne visas valstis spēj vienādā mērā piemērot SPTAJ regulu. Šķiet arī, ka </w:t>
      </w:r>
      <w:r>
        <w:rPr>
          <w:i/>
          <w:noProof/>
        </w:rPr>
        <w:t>SLO</w:t>
      </w:r>
      <w:r>
        <w:rPr>
          <w:noProof/>
        </w:rPr>
        <w:t xml:space="preserve"> un SPTAJ iestādes uzskata, ka resursu atšķirības ir viens no galvenajiem šķēršļiem efektīvākai sadarbībai izpildes jomā. Valstīs, kurās iestādēm ir mazāk resursu, lietu izskatīšanas process ir lēnāks, tāpēc sniegtā informācija ir mazāk būtiska un/vai tā tiek sniegta ar kavēšanos. Daži </w:t>
      </w:r>
      <w:r>
        <w:rPr>
          <w:i/>
          <w:noProof/>
        </w:rPr>
        <w:t>SLO</w:t>
      </w:r>
      <w:r>
        <w:rPr>
          <w:noProof/>
        </w:rPr>
        <w:t xml:space="preserve"> un SPTAJ iestādes norādīja, ka resursu trūkums liedz aktīvi piedalīties </w:t>
      </w:r>
      <w:r>
        <w:rPr>
          <w:i/>
          <w:noProof/>
        </w:rPr>
        <w:t>SLO</w:t>
      </w:r>
      <w:r>
        <w:rPr>
          <w:noProof/>
        </w:rPr>
        <w:t xml:space="preserve"> koordinētā rīcībā vai kontrolreidos. </w:t>
      </w:r>
    </w:p>
    <w:p w14:paraId="66B55962" w14:textId="77777777" w:rsidR="00F000A2" w:rsidRDefault="00F000A2" w:rsidP="00316F69">
      <w:pPr>
        <w:rPr>
          <w:noProof/>
        </w:rPr>
      </w:pPr>
    </w:p>
    <w:p w14:paraId="78F3E210" w14:textId="77777777" w:rsidR="00F000A2" w:rsidRPr="001A77D6" w:rsidRDefault="00F000A2" w:rsidP="00316F69">
      <w:pPr>
        <w:rPr>
          <w:noProof/>
        </w:rPr>
      </w:pPr>
    </w:p>
    <w:p w14:paraId="1A47DDAD" w14:textId="6B935F1B" w:rsidR="001A77D6" w:rsidRPr="00F000A2" w:rsidRDefault="007B3058" w:rsidP="00F000A2">
      <w:pPr>
        <w:pStyle w:val="Heading2"/>
        <w:rPr>
          <w:noProof/>
        </w:rPr>
      </w:pPr>
      <w:bookmarkStart w:id="55" w:name="_Toc172645225"/>
      <w:bookmarkStart w:id="56" w:name="_Toc155108023"/>
      <w:bookmarkStart w:id="57" w:name="_Ref156319279"/>
      <w:r>
        <w:rPr>
          <w:noProof/>
        </w:rPr>
        <w:t>Atšķirības SPTAJ regulas piemērošanā</w:t>
      </w:r>
      <w:bookmarkEnd w:id="55"/>
      <w:r>
        <w:rPr>
          <w:noProof/>
        </w:rPr>
        <w:t xml:space="preserve"> </w:t>
      </w:r>
      <w:bookmarkEnd w:id="56"/>
      <w:bookmarkEnd w:id="57"/>
      <w:r>
        <w:rPr>
          <w:noProof/>
        </w:rPr>
        <w:t xml:space="preserve"> </w:t>
      </w:r>
    </w:p>
    <w:p w14:paraId="7E8BD2B2" w14:textId="560B1C1F" w:rsidR="00732F11" w:rsidRDefault="00DE52AD" w:rsidP="00316F69">
      <w:pPr>
        <w:rPr>
          <w:noProof/>
        </w:rPr>
      </w:pPr>
      <w:r>
        <w:rPr>
          <w:noProof/>
        </w:rPr>
        <w:t>No ES direktīvām un regulām izrietošo tiesību aktu izpilde patērētāju tiesību aizsardzības jomā ir dalībvalstu SPTAJ iestāžu ziņā. Atšķirīgās juridiskās tradīcijās patērētāju tiesību aizsardzības jomas tiesību aktu izpildē valsts līmenī un dažu 2006. gada SPTAJ regulas noteikumu atšķirīgā interpretācija izraisīja izpildes sadrumstalotību. Tas bija viens no galvenajiem iemesliem 2017. gada SPTAJ regulas pieņemšanai. Tomēr no intervijām ar dalībvalstu iestādēm</w:t>
      </w:r>
      <w:r w:rsidR="0092768A" w:rsidRPr="00D64420">
        <w:rPr>
          <w:rStyle w:val="FootnoteReference"/>
          <w:noProof/>
        </w:rPr>
        <w:footnoteReference w:id="36"/>
      </w:r>
      <w:r>
        <w:rPr>
          <w:noProof/>
        </w:rPr>
        <w:t xml:space="preserve"> izriet, ka dalībvalstīs joprojām pastāv zināma nekonsekvence izpildē.  </w:t>
      </w:r>
    </w:p>
    <w:p w14:paraId="1F98CC02" w14:textId="1CAE46A2" w:rsidR="001A77D6" w:rsidRPr="00146BEA" w:rsidRDefault="00732F11" w:rsidP="00316F69">
      <w:pPr>
        <w:rPr>
          <w:noProof/>
        </w:rPr>
      </w:pPr>
      <w:r>
        <w:rPr>
          <w:noProof/>
        </w:rPr>
        <w:t>Starp dalībvalstu iestādēm pastāv arī daudzas atšķirības attiecībā uz to, kāds ir to rīcības brīvības līmenis sūdzību izmeklēšanā un pieejas izvēlē attiecībā uz tirgotājiem, par kuriem ir aizdomas par pārkāpumiem. Patērētāju organizācijas arī norādīja</w:t>
      </w:r>
      <w:r w:rsidR="0092768A">
        <w:rPr>
          <w:rStyle w:val="FootnoteReference"/>
          <w:noProof/>
        </w:rPr>
        <w:footnoteReference w:id="37"/>
      </w:r>
      <w:r>
        <w:rPr>
          <w:noProof/>
        </w:rPr>
        <w:t xml:space="preserve"> uz dažādu iestāžu atšķirīgajām pieejām, vienlaikus atzīstot tīkla un Komisijas darba pievienoto vērtību zināma pieeju saskaņotības līmeņa saglabāšanā.  </w:t>
      </w:r>
    </w:p>
    <w:p w14:paraId="559FE712" w14:textId="6D7C6C0D" w:rsidR="001A77D6" w:rsidRDefault="00CC7C94" w:rsidP="00F000A2">
      <w:pPr>
        <w:pStyle w:val="Heading2"/>
        <w:rPr>
          <w:noProof/>
        </w:rPr>
      </w:pPr>
      <w:bookmarkStart w:id="58" w:name="_Toc155108024"/>
      <w:bookmarkStart w:id="59" w:name="_Toc172645226"/>
      <w:r>
        <w:rPr>
          <w:noProof/>
        </w:rPr>
        <w:t>Brīdinājumu nevienmērīga izmantošana</w:t>
      </w:r>
      <w:bookmarkEnd w:id="58"/>
      <w:bookmarkEnd w:id="59"/>
    </w:p>
    <w:p w14:paraId="7EE0B233" w14:textId="5CA82B27" w:rsidR="001A77D6" w:rsidRPr="00055949" w:rsidRDefault="000A35C9" w:rsidP="00316F69">
      <w:pPr>
        <w:rPr>
          <w:noProof/>
        </w:rPr>
      </w:pPr>
      <w:r>
        <w:rPr>
          <w:noProof/>
        </w:rPr>
        <w:t xml:space="preserve">Lai gan </w:t>
      </w:r>
      <w:r>
        <w:rPr>
          <w:i/>
          <w:noProof/>
        </w:rPr>
        <w:t>SLO</w:t>
      </w:r>
      <w:r>
        <w:rPr>
          <w:noProof/>
        </w:rPr>
        <w:t xml:space="preserve">, SPTAJ iestāžu un Komisijas savstarpējie brīdinājumi ir efektīvi, ir dažas jomas, kurās vajadzīgi uzlabojumi. Dažos gadījumos </w:t>
      </w:r>
      <w:r>
        <w:rPr>
          <w:i/>
          <w:noProof/>
        </w:rPr>
        <w:t>SLO</w:t>
      </w:r>
      <w:r>
        <w:rPr>
          <w:noProof/>
        </w:rPr>
        <w:t xml:space="preserve"> un SPTAJ iestādes uzskata, ka brīdinājumos ietvertās informācijas kvalitāte ir nepietiekama (piemēram, trūkst tādas būtiskas informācijas kā tirgotāja nosaukums, prakses veids utt.). Daži </w:t>
      </w:r>
      <w:r>
        <w:rPr>
          <w:i/>
          <w:noProof/>
        </w:rPr>
        <w:t>SLO</w:t>
      </w:r>
      <w:r>
        <w:rPr>
          <w:noProof/>
        </w:rPr>
        <w:t xml:space="preserve"> un SPTAJ iestādes ziņoja par pārslodzi liela skaita brīdinājumu dēļ. Kā vājais punkts tika minēts arī konsekvences un saskaņotības trūkums brīdinājumu apstrādē, proti, dažas SPTAJ iestādes izmeklē lietu pirms brīdinājuma nosūtīšanas, savukārt citas nekad nesūta brīdinājumu, neraugoties uz to, ka lietai, iespējams, ir pārrobežu raksturs. </w:t>
      </w:r>
    </w:p>
    <w:p w14:paraId="44EE03B3" w14:textId="2CED1CDE" w:rsidR="001A77D6" w:rsidRDefault="007355B6" w:rsidP="00F000A2">
      <w:pPr>
        <w:pStyle w:val="Heading2"/>
        <w:rPr>
          <w:noProof/>
        </w:rPr>
      </w:pPr>
      <w:bookmarkStart w:id="60" w:name="_Ref156321822"/>
      <w:bookmarkStart w:id="61" w:name="_Toc172645227"/>
      <w:bookmarkStart w:id="62" w:name="_Toc155108025"/>
      <w:r>
        <w:rPr>
          <w:noProof/>
        </w:rPr>
        <w:t>Grūtības novērst pārkāpumus, ko izdarījuši tirgotāji, kuri veic uzņēmējdarbību ārpus Savienības</w:t>
      </w:r>
      <w:bookmarkEnd w:id="60"/>
      <w:bookmarkEnd w:id="61"/>
      <w:r>
        <w:rPr>
          <w:noProof/>
        </w:rPr>
        <w:t xml:space="preserve"> </w:t>
      </w:r>
      <w:bookmarkEnd w:id="62"/>
    </w:p>
    <w:p w14:paraId="136F5576" w14:textId="0F58F3E1" w:rsidR="00427008" w:rsidRDefault="00427008" w:rsidP="00316F69">
      <w:pPr>
        <w:rPr>
          <w:noProof/>
        </w:rPr>
      </w:pPr>
      <w:r>
        <w:rPr>
          <w:noProof/>
        </w:rPr>
        <w:t xml:space="preserve">Lielākā daļa SPTAJ iestāžu ziņoja, ka tās saskaras ar problēmām pārkāpumu lietu risināšanā, ja tirgotājs veic uzņēmējdarbību ārpus Savienības, bet tā mērķauditorija ir patērētāji Savienībā. Ieinteresētās personas, ar kurām notika apspriešanās e-komercijas gadījuma analīzes ietvaros, norādīja, ka dažas SPTAJ iestādes, šķiet, nevēlas vērsties pret uzņēmumiem, kas neveic uzņēmējdarbību Savienībā. </w:t>
      </w:r>
    </w:p>
    <w:p w14:paraId="4A56D514" w14:textId="7222C797" w:rsidR="00272983" w:rsidRPr="00E211BC" w:rsidRDefault="00272983" w:rsidP="00316F69">
      <w:pPr>
        <w:rPr>
          <w:noProof/>
        </w:rPr>
      </w:pPr>
      <w:r>
        <w:rPr>
          <w:noProof/>
        </w:rPr>
        <w:t xml:space="preserve">SPTAJ regulas piemērošana un kopējo minimālo pilnvaru piemērošana tirgotājiem, kas neveic uzņēmējdarbību Savienībā, rada jautājumus par to, kā kontaktēties ar šiem tirgotājiem un kā nodrošināt to atbilstību, ja tie neatbild uz SPTAJ tīkla pieprasījumiem. Vispārējais uzskats ir tāds, ka regula attiecībā uz šādiem tirgotājiem ir jāpastiprina. </w:t>
      </w:r>
    </w:p>
    <w:p w14:paraId="562ABC8A" w14:textId="1CEFF74A" w:rsidR="001A77D6" w:rsidRDefault="00CC7C94" w:rsidP="00F000A2">
      <w:pPr>
        <w:pStyle w:val="Heading2"/>
        <w:rPr>
          <w:noProof/>
        </w:rPr>
      </w:pPr>
      <w:bookmarkStart w:id="63" w:name="_Toc155108026"/>
      <w:bookmarkStart w:id="64" w:name="_Toc172645228"/>
      <w:r>
        <w:rPr>
          <w:noProof/>
        </w:rPr>
        <w:t>SPTAJ regulējuma preventīvās ietekmes trūkums, jo netiek piemēroti vienkārši naudas sodi</w:t>
      </w:r>
      <w:bookmarkEnd w:id="63"/>
      <w:bookmarkEnd w:id="64"/>
    </w:p>
    <w:p w14:paraId="51843A61" w14:textId="61575482" w:rsidR="00DA78B8" w:rsidRDefault="00C5143B" w:rsidP="008E32E0">
      <w:pPr>
        <w:rPr>
          <w:noProof/>
        </w:rPr>
      </w:pPr>
      <w:r>
        <w:rPr>
          <w:noProof/>
        </w:rPr>
        <w:t>SPTAJ iestādes intervijās</w:t>
      </w:r>
      <w:r w:rsidR="002178F2" w:rsidRPr="002178F2">
        <w:rPr>
          <w:rStyle w:val="FootnoteReference"/>
          <w:noProof/>
        </w:rPr>
        <w:footnoteReference w:id="38"/>
      </w:r>
      <w:r>
        <w:rPr>
          <w:noProof/>
        </w:rPr>
        <w:t xml:space="preserve"> ziņoja, ka regulas preventīvo ietekmi mazina stingrāku izpildes pasākumu trūkums, jo SPTAJ koordinētās rīcības ietvaros līdz šim sodi nav piemēroti. Tā vietā SPTAJ iestādes deva priekšroku “vienoties par rezultātiem” ar tirgotājiem, kuri uzņemas saistības izbeigt pārkāpumu, pat ja tas bieži vien ir izrādījies diezgan ilgs process.</w:t>
      </w:r>
    </w:p>
    <w:p w14:paraId="601AC216" w14:textId="3264293E" w:rsidR="00691A3C" w:rsidRPr="005C7669" w:rsidRDefault="00495B5F" w:rsidP="008E32E0">
      <w:pPr>
        <w:rPr>
          <w:noProof/>
        </w:rPr>
      </w:pPr>
      <w:r>
        <w:rPr>
          <w:noProof/>
        </w:rPr>
        <w:t>Neraugoties uz noteikumiem par naudas sodiem konkrētos gadījumos, uz kuriem attiecas SPTAJ koordinētā rīcība, kas ieviesti saistībā ar Labākas izpildes un modernizācijas direktīvu (ES) 2019/2161</w:t>
      </w:r>
      <w:r w:rsidR="00F73AFC">
        <w:rPr>
          <w:rStyle w:val="FootnoteReference"/>
          <w:noProof/>
        </w:rPr>
        <w:footnoteReference w:id="39"/>
      </w:r>
      <w:r>
        <w:rPr>
          <w:noProof/>
        </w:rPr>
        <w:t>, vairāki SLO un SPTAJ iestādes</w:t>
      </w:r>
      <w:r w:rsidR="005C7669" w:rsidRPr="00C5143D">
        <w:rPr>
          <w:rStyle w:val="FootnoteReference"/>
          <w:noProof/>
        </w:rPr>
        <w:footnoteReference w:id="40"/>
      </w:r>
      <w:r>
        <w:rPr>
          <w:noProof/>
        </w:rPr>
        <w:t xml:space="preserve"> ierosināja apsvērt iespēju vēl vairāk pastiprināt sodus, lai uzlabotu SPTAJ sistēmas preventīvo ietekmi.  Turklāt plašāka saziņa par SPTAJ koordinēto rīcību varētu arī palielināt preventīvo ietekmi uz citiem tirgotājiem, kas izmanto tādu pašu vai līdzīgu nelikumīgu praksi. </w:t>
      </w:r>
    </w:p>
    <w:p w14:paraId="6372590D" w14:textId="4D0DF86B" w:rsidR="001A77D6" w:rsidRPr="001A77D6" w:rsidRDefault="00CC7C94" w:rsidP="00F000A2">
      <w:pPr>
        <w:pStyle w:val="Heading2"/>
        <w:rPr>
          <w:noProof/>
        </w:rPr>
      </w:pPr>
      <w:bookmarkStart w:id="66" w:name="_Toc155108027"/>
      <w:bookmarkStart w:id="67" w:name="_Toc172645229"/>
      <w:r>
        <w:rPr>
          <w:noProof/>
        </w:rPr>
        <w:t>Spēju trūkums valsts līmenī, lai atklātu jaunus pārkāpumus</w:t>
      </w:r>
      <w:bookmarkEnd w:id="66"/>
      <w:bookmarkEnd w:id="67"/>
      <w:r>
        <w:rPr>
          <w:noProof/>
        </w:rPr>
        <w:t xml:space="preserve"> </w:t>
      </w:r>
    </w:p>
    <w:p w14:paraId="017DF139" w14:textId="2201A78D" w:rsidR="001B24BE" w:rsidRDefault="00642053" w:rsidP="008E32E0">
      <w:pPr>
        <w:rPr>
          <w:noProof/>
        </w:rPr>
      </w:pPr>
      <w:r>
        <w:rPr>
          <w:i/>
          <w:noProof/>
        </w:rPr>
        <w:t>SLO</w:t>
      </w:r>
      <w:r>
        <w:rPr>
          <w:noProof/>
        </w:rPr>
        <w:t xml:space="preserve"> un SPTAJ iestādes norādīja, ka SPTAJ tīklam ne vienmēr ir atbilstošs spēju un prasmju līmenis, lai identificētu un atklātu jaunus pārkāpumu veidus digitālajā vidē (piemēram, IT un MI eksperti). Daži </w:t>
      </w:r>
      <w:r>
        <w:rPr>
          <w:i/>
          <w:noProof/>
        </w:rPr>
        <w:t>SLO</w:t>
      </w:r>
      <w:r>
        <w:rPr>
          <w:noProof/>
        </w:rPr>
        <w:t xml:space="preserve"> un SPTAJ iestādes skaidri pauda gandarījumu par ES e-Lab projektu</w:t>
      </w:r>
      <w:r w:rsidR="00640D97" w:rsidRPr="00221E74">
        <w:rPr>
          <w:noProof/>
          <w:vertAlign w:val="superscript"/>
        </w:rPr>
        <w:footnoteReference w:id="41"/>
      </w:r>
      <w:r>
        <w:rPr>
          <w:noProof/>
        </w:rPr>
        <w:t xml:space="preserve"> un e-izpildes akadēmiju</w:t>
      </w:r>
      <w:r w:rsidR="00EC6E64">
        <w:rPr>
          <w:rStyle w:val="FootnoteReference"/>
          <w:noProof/>
        </w:rPr>
        <w:footnoteReference w:id="42"/>
      </w:r>
      <w:r>
        <w:rPr>
          <w:noProof/>
        </w:rPr>
        <w:t>, jo tie ir soļi pareizajā virzienā, lai uzlabotu patērētāju tiesību aizsardzības pārkāpumu atklāšanu un izpildi digitālajā vidē. Tomēr valdīja vienprātība par to, ka jāpieliek lielākas pūles, jo specializētu datu tehnoloģiju un analītisku sistēmu izmantošana kļūst par svarīgu faktoru patērētāju tiesību aizsardzības jomā.</w:t>
      </w:r>
    </w:p>
    <w:p w14:paraId="05A95D28" w14:textId="77777777" w:rsidR="00F000A2" w:rsidRDefault="00F000A2" w:rsidP="008E32E0">
      <w:pPr>
        <w:rPr>
          <w:noProof/>
        </w:rPr>
      </w:pPr>
    </w:p>
    <w:p w14:paraId="33044230" w14:textId="24C3A2CB" w:rsidR="00CC7C94" w:rsidRPr="001A77D6" w:rsidRDefault="00CC7C94" w:rsidP="00F000A2">
      <w:pPr>
        <w:pStyle w:val="Heading2"/>
        <w:rPr>
          <w:noProof/>
        </w:rPr>
      </w:pPr>
      <w:bookmarkStart w:id="68" w:name="_Toc155108028"/>
      <w:bookmarkStart w:id="69" w:name="_Toc172645230"/>
      <w:r>
        <w:rPr>
          <w:noProof/>
        </w:rPr>
        <w:t>Ilgas SPTAJ procedūras</w:t>
      </w:r>
      <w:bookmarkEnd w:id="68"/>
      <w:bookmarkEnd w:id="69"/>
      <w:r>
        <w:rPr>
          <w:noProof/>
        </w:rPr>
        <w:t xml:space="preserve"> </w:t>
      </w:r>
    </w:p>
    <w:p w14:paraId="1C8C1417" w14:textId="7BDBC083" w:rsidR="00361298" w:rsidRDefault="001B24BE" w:rsidP="00DA78B8">
      <w:pPr>
        <w:rPr>
          <w:rFonts w:cstheme="minorBidi"/>
          <w:noProof/>
        </w:rPr>
      </w:pPr>
      <w:r>
        <w:rPr>
          <w:noProof/>
        </w:rPr>
        <w:t xml:space="preserve">Lai izpilde būtu efektīva, ir svarīgi, lai tā būtu savlaicīga. Dažas SPTAJ iestādes un citas ieinteresētās personas, jo īpaši patērētāju organizācijas, kritizēja ar koordinēto rīcību saistītās procedūras un procesus kā pārāk ilgus. No rīcības uzsākšanas līdz brīdim, kad SPTAJ tīkls pārbauda tirgotāja ierosināto saistību īstenošanu, var paiet vairāki mēneši vai gadi. Tomēr šajā laikposmā patērētāji joprojām cieš no pārkāpuma sekām. </w:t>
      </w:r>
    </w:p>
    <w:p w14:paraId="319A2F16" w14:textId="52DFBEBC" w:rsidR="00DA78B8" w:rsidRPr="008D6F0F" w:rsidRDefault="00DA78B8" w:rsidP="008D6F0F">
      <w:pPr>
        <w:rPr>
          <w:noProof/>
        </w:rPr>
      </w:pPr>
      <w:r>
        <w:rPr>
          <w:noProof/>
        </w:rPr>
        <w:t>Turpmākajā diagrammā ir sniegts rīcības (anonimizētā veidā) grafika piemērs no SPTAJ tīkla un attiecīgā tirgotāja dialogu sākuma līdz papildu pārkāpumu konstatēšanai saistībā ar saistību pareizas īstenošanas uzraudzību.</w:t>
      </w:r>
    </w:p>
    <w:p w14:paraId="54D2F34C" w14:textId="2DFFD692" w:rsidR="00DA78B8" w:rsidRPr="00260B34" w:rsidRDefault="00260B34" w:rsidP="00260B34">
      <w:pPr>
        <w:pStyle w:val="ListParagraph"/>
        <w:ind w:left="0"/>
        <w:rPr>
          <w:rFonts w:cstheme="minorBidi"/>
          <w:noProof/>
        </w:rPr>
      </w:pPr>
      <w:r>
        <w:rPr>
          <w:noProof/>
          <w:lang w:val="en-GB" w:eastAsia="en-GB"/>
        </w:rPr>
        <w:drawing>
          <wp:inline distT="0" distB="0" distL="0" distR="0" wp14:anchorId="3BCA91B9" wp14:editId="17C63DE8">
            <wp:extent cx="6141748" cy="4281805"/>
            <wp:effectExtent l="133350" t="114300" r="106680" b="137795"/>
            <wp:docPr id="640286304" name="Picture 640286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266629" cy="43688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4B05B5E" w14:textId="77777777" w:rsidR="00F000A2" w:rsidRDefault="00F000A2" w:rsidP="008E32E0">
      <w:pPr>
        <w:rPr>
          <w:noProof/>
        </w:rPr>
      </w:pPr>
    </w:p>
    <w:p w14:paraId="47C05CBE" w14:textId="77777777" w:rsidR="00F000A2" w:rsidRDefault="00F000A2" w:rsidP="008E32E0">
      <w:pPr>
        <w:rPr>
          <w:noProof/>
        </w:rPr>
      </w:pPr>
    </w:p>
    <w:p w14:paraId="16B613F7" w14:textId="77777777" w:rsidR="00F000A2" w:rsidRDefault="00F000A2" w:rsidP="008E32E0">
      <w:pPr>
        <w:rPr>
          <w:noProof/>
        </w:rPr>
      </w:pPr>
    </w:p>
    <w:p w14:paraId="0CF17138" w14:textId="66D29C56" w:rsidR="001B24BE" w:rsidRPr="00A9570F" w:rsidRDefault="00361298" w:rsidP="008E32E0">
      <w:pPr>
        <w:rPr>
          <w:noProof/>
        </w:rPr>
      </w:pPr>
      <w:r>
        <w:rPr>
          <w:noProof/>
        </w:rPr>
        <w:t xml:space="preserve">SPTAJ procedūras arī tika kritizētas par to, ka tās nav pietiekami elastīgas, jo īpaši gadījumos, kad ir nepieciešama ātra reakcija, t. i., attiecībā uz konkrētiem pārkāpumu veidiem, kas ir plaši izplatīti, bet īslaicīgi, kā tas bieži notiek digitālajos tirgos, saistībā ar reklāmas kampaņām vai ar krīzi (sk. iepriekšējo izcēlumu par aviosabiedrību lidojumu atcelšanas praksi Covid-19 krīzes agrīnajos posmos). Šajā sakarā </w:t>
      </w:r>
      <w:r>
        <w:rPr>
          <w:i/>
          <w:noProof/>
        </w:rPr>
        <w:t>SLO</w:t>
      </w:r>
      <w:r>
        <w:rPr>
          <w:noProof/>
        </w:rPr>
        <w:t xml:space="preserve"> un SPTAJ iestāžu un patērētāju organizāciju atsauksmes liecina, ka SPTAJ regulējumu varētu uzlabot, lai konkrētos gadījumos būtu iespējams strauji un attiecīgi pielāgotā veidā reaģēt (piemēram, procedūras attiecībā uz pilnīgi skaidriem gadījumiem, pārkāpumiem digitālajā jomā, piemēram, krāpniecisku veikalu izveidi u. c.). </w:t>
      </w:r>
    </w:p>
    <w:p w14:paraId="51CF98B9" w14:textId="6AEE408B" w:rsidR="00DE421A" w:rsidRDefault="00DE421A" w:rsidP="008E32E0">
      <w:pPr>
        <w:pStyle w:val="Heading1"/>
        <w:rPr>
          <w:noProof/>
        </w:rPr>
      </w:pPr>
      <w:bookmarkStart w:id="70" w:name="_Toc155108029"/>
      <w:bookmarkStart w:id="71" w:name="_Toc172645231"/>
      <w:r>
        <w:rPr>
          <w:noProof/>
        </w:rPr>
        <w:t>Regulas 9. pantā noteikto kompetento iestāžu minimālo pilnvaru efektivitāte</w:t>
      </w:r>
      <w:bookmarkEnd w:id="70"/>
      <w:bookmarkEnd w:id="71"/>
    </w:p>
    <w:p w14:paraId="2422E26D" w14:textId="0262EAE5" w:rsidR="00954965" w:rsidRDefault="0079150A" w:rsidP="00316F69">
      <w:pPr>
        <w:rPr>
          <w:noProof/>
        </w:rPr>
      </w:pPr>
      <w:r>
        <w:rPr>
          <w:noProof/>
        </w:rPr>
        <w:t xml:space="preserve">Efektīva pārrobežu sadarbība starp kompetentajām iestādēm prasa, lai to rīcībā būtu vienots minimālo pilnvaru kopums attiecīgās informācijas vākšanai un nepieciešamo izpildes pasākumu veikšanai. Tāpēc SPTAJ regulā katrai dalībvalstij ir noteikts pienākums nodrošināt, ka to kompetentās iestādes var izmantot vienu un to pašu izmeklēšanas un izpildes pilnvaru instrumentu kopumu. Tomēr lēmums par to, kā iestādes var īstenot savas pilnvaras, paliek katras dalībvalsts ziņā. Minimālās pilnvaras ir paredzētas SPTAJ regulas 9. pantā, un tās ir sadalītas “izmeklēšanas pilnvarās” (9. panta 3. punkts) un “izpildes pilnvarās” (9. panta 4. punkts). </w:t>
      </w:r>
    </w:p>
    <w:p w14:paraId="04D2E330" w14:textId="6B7410C1" w:rsidR="00A87AD8" w:rsidRDefault="00154612" w:rsidP="00316F69">
      <w:pPr>
        <w:rPr>
          <w:noProof/>
        </w:rPr>
      </w:pPr>
      <w:r>
        <w:rPr>
          <w:noProof/>
        </w:rPr>
        <w:t>Lai gan dalībvalstis ir nodrošinājušas, ka kompetentajām iestādēm ir minimālās izmeklēšanas un izpildes pilnvaras, kas paredzētas SPTAJ regulā, dažu dalībvalstu iestādes ir ziņojušas</w:t>
      </w:r>
      <w:r w:rsidR="00731224">
        <w:rPr>
          <w:rStyle w:val="FootnoteReference"/>
          <w:noProof/>
          <w:lang w:val="en-GB"/>
        </w:rPr>
        <w:footnoteReference w:id="43"/>
      </w:r>
      <w:r>
        <w:rPr>
          <w:noProof/>
        </w:rPr>
        <w:t xml:space="preserve"> par grūtībām tās piemērot praksē vai ir ziņojušas, ka tās nekad nav piemērojušas dažas pilnvaras. Pierādījumu par to, kā SPTAJ iestādes ir izmantojušas izpildes un izmeklēšanas pilnvaras praksē, ir maz. No </w:t>
      </w:r>
      <w:r>
        <w:rPr>
          <w:i/>
          <w:noProof/>
        </w:rPr>
        <w:t>SLO</w:t>
      </w:r>
      <w:r>
        <w:rPr>
          <w:noProof/>
        </w:rPr>
        <w:t xml:space="preserve"> un SPTAJ iestādēm saņemtās atsauksmes liecina, ka, lai gan SPTAJ iestādes nebaidās īstenot pilnvaras, to izmantošanu praksē kavē ierobežoti finanšu resursi un cilvēkresursi. SLO un SPTAJ iestādes arī uzsvēra, ka konkrētu pilnvaru īstenošana, piemēram, pilnvaras veikt pārbaudes uz vietas, kontrolpirkumi, pārbaudes pirkumi vai pilnvaras slēgt tīmekļa vietnes, ir grūti īstenot, jo tām ir vajadzīgi plašas procesuālās darbības, atbilstība VDAR vai arī tās atbilst funkcijai, ko patērētāju tiesību aizsardzības iestādes nevar praktiski izpildīt vienas pašas, bet kam būtu vajadzīga citu iestāžu palīdzība, piemēram, policijas palīdzība pārbaudēs uz vietas. </w:t>
      </w:r>
    </w:p>
    <w:p w14:paraId="6E6921DE" w14:textId="493A459B" w:rsidR="00C61811" w:rsidRDefault="0030269E" w:rsidP="00316F69">
      <w:pPr>
        <w:rPr>
          <w:bCs/>
          <w:noProof/>
        </w:rPr>
      </w:pPr>
      <w:r>
        <w:rPr>
          <w:noProof/>
        </w:rPr>
        <w:t xml:space="preserve">Dažas SPTAJ iestādes ziņoja par problēmām saistībā ar to tirgotāju tīmekļa vietņu slēgšanu, kuri pārkāpj patērētāju tiesību aktus, jo īpaši gadījumos, kad šie tirgotāji veic uzņēmējdarbību trešās valstīs. </w:t>
      </w:r>
    </w:p>
    <w:p w14:paraId="0F1849D2" w14:textId="77777777" w:rsidR="00236792" w:rsidRPr="001062B2" w:rsidRDefault="00236792" w:rsidP="00316F69">
      <w:pPr>
        <w:rPr>
          <w:bCs/>
          <w:noProof/>
        </w:rPr>
      </w:pPr>
    </w:p>
    <w:p w14:paraId="3BF4629F" w14:textId="2341AD1E" w:rsidR="00C722F9" w:rsidRPr="00C722F9" w:rsidRDefault="00855ABE" w:rsidP="008E32E0">
      <w:pPr>
        <w:rPr>
          <w:noProof/>
        </w:rPr>
      </w:pPr>
      <w:r>
        <w:rPr>
          <w:noProof/>
        </w:rPr>
        <w:t xml:space="preserve">Vispārīgāks aspekts, kas jāņem vērā, ir tas, ka SPTAJ iestāžu pilnvaru izmantošanu ietekmē arī atšķirīgās juridiskās tradīcijas patērētāju tiesību aizsardzības nodrošināšanā valsts līmenī un patērētāju materiālo tiesību normu vai pašas SPTAJ regulas interpretācijas (sk. </w:t>
      </w:r>
      <w:r w:rsidR="001062B2">
        <w:rPr>
          <w:noProof/>
        </w:rPr>
        <w:fldChar w:fldCharType="begin"/>
      </w:r>
      <w:r w:rsidR="001062B2">
        <w:rPr>
          <w:noProof/>
        </w:rPr>
        <w:instrText xml:space="preserve"> REF _Ref156319279 \r \h </w:instrText>
      </w:r>
      <w:r w:rsidR="001062B2">
        <w:rPr>
          <w:noProof/>
        </w:rPr>
      </w:r>
      <w:r w:rsidR="001062B2">
        <w:rPr>
          <w:noProof/>
        </w:rPr>
        <w:fldChar w:fldCharType="separate"/>
      </w:r>
      <w:r w:rsidR="00BC0C04">
        <w:rPr>
          <w:noProof/>
        </w:rPr>
        <w:t>6.2</w:t>
      </w:r>
      <w:r w:rsidR="001062B2">
        <w:rPr>
          <w:noProof/>
        </w:rPr>
        <w:fldChar w:fldCharType="end"/>
      </w:r>
      <w:r>
        <w:rPr>
          <w:noProof/>
        </w:rPr>
        <w:t xml:space="preserve">. iedaļu iepriekš). Lai panāktu konsekventāku pieeju izmeklēšanas un izpildes pilnvaru īstenošanai praksē, Komisija nodrošina pastāvīgu atbalstu un apmācību, jo īpaši izmantojot e-izpildes akadēmiju un e-Lab digitālo rīkkopu. </w:t>
      </w:r>
      <w:r>
        <w:rPr>
          <w:i/>
          <w:noProof/>
        </w:rPr>
        <w:t>SLO</w:t>
      </w:r>
      <w:r>
        <w:rPr>
          <w:noProof/>
        </w:rPr>
        <w:t xml:space="preserve"> un SPTAJ iestādes ziņoja, ka tās uzskata šo atbalstu par ļoti noderīgu.</w:t>
      </w:r>
    </w:p>
    <w:p w14:paraId="297849ED" w14:textId="40DBFF0A" w:rsidR="00B73E78" w:rsidRDefault="009A6BEE" w:rsidP="008E32E0">
      <w:pPr>
        <w:pStyle w:val="Heading1"/>
        <w:rPr>
          <w:noProof/>
        </w:rPr>
      </w:pPr>
      <w:bookmarkStart w:id="72" w:name="_Ref132126334"/>
      <w:bookmarkStart w:id="73" w:name="_Toc155108030"/>
      <w:bookmarkStart w:id="74" w:name="_Toc172645232"/>
      <w:r>
        <w:rPr>
          <w:noProof/>
        </w:rPr>
        <w:t>Tirgotāju atbilstība galvenajos patēriņa tirgos, uz kuriem attiecas pārrobežu tirdzniecība</w:t>
      </w:r>
      <w:bookmarkEnd w:id="72"/>
      <w:bookmarkEnd w:id="73"/>
      <w:bookmarkEnd w:id="74"/>
    </w:p>
    <w:p w14:paraId="642D7250" w14:textId="2A4E41E1" w:rsidR="00F52BB0" w:rsidRDefault="00572754" w:rsidP="00316F69">
      <w:pPr>
        <w:rPr>
          <w:noProof/>
        </w:rPr>
      </w:pPr>
      <w:r>
        <w:rPr>
          <w:noProof/>
        </w:rPr>
        <w:t xml:space="preserve">SPTAJ regulas mērķis ir uzlabot patērētāju tiesību aizsardzību, uzlabojot tirgotāju atbilstību tiesību aktiem patērētāju tiesību aizsardzības jomā, un nodrošināt netraucētu iekšējā tirgus darbību. </w:t>
      </w:r>
    </w:p>
    <w:p w14:paraId="1F5C508C" w14:textId="3E291728" w:rsidR="00AB6C84" w:rsidRPr="00ED28FC" w:rsidRDefault="00E94792" w:rsidP="008E32E0">
      <w:pPr>
        <w:rPr>
          <w:noProof/>
        </w:rPr>
      </w:pPr>
      <w:r>
        <w:rPr>
          <w:noProof/>
        </w:rPr>
        <w:t xml:space="preserve">Kopumā </w:t>
      </w:r>
      <w:r>
        <w:rPr>
          <w:i/>
          <w:noProof/>
        </w:rPr>
        <w:t>SLO</w:t>
      </w:r>
      <w:r>
        <w:rPr>
          <w:noProof/>
        </w:rPr>
        <w:t xml:space="preserve"> un SPTAJ iestādes ir vienisprātis, ka SPTAJ regula veicina ES patērētāju tiesību aktu konsekventu izpildi visā ES. Ir pierādījies, ka īpaši koordinētā rīcība ir efektīvs instruments, lai cīnītos pret sistemātiskiem pārkāpumiem un pārkāpumiem, kuros iesaistīti starptautiski uzņēmumi – sadarbība, ko veido vairāku dažādu valstu iestāžu tīkls, palielina spiedienu uz attiecīgajiem tirgotājiem salīdzinājumā ar vienas valsts iestādēm, kas darbojas atsevišķi.</w:t>
      </w:r>
    </w:p>
    <w:p w14:paraId="338AD4F7" w14:textId="496A27C2" w:rsidR="00357101" w:rsidRPr="004756E2" w:rsidRDefault="00572754" w:rsidP="008E32E0">
      <w:pPr>
        <w:rPr>
          <w:noProof/>
        </w:rPr>
      </w:pPr>
      <w:r>
        <w:rPr>
          <w:i/>
          <w:noProof/>
        </w:rPr>
        <w:t>SLO</w:t>
      </w:r>
      <w:r>
        <w:rPr>
          <w:noProof/>
        </w:rPr>
        <w:t xml:space="preserve"> un SPTAJ iestādes pusē no dalībvalstīm, kas tika aptaujātas pētījuma</w:t>
      </w:r>
      <w:r w:rsidR="0057529B" w:rsidRPr="00ED28FC">
        <w:rPr>
          <w:rStyle w:val="FootnoteReference"/>
          <w:bCs/>
          <w:noProof/>
        </w:rPr>
        <w:footnoteReference w:id="44"/>
      </w:r>
      <w:r>
        <w:rPr>
          <w:noProof/>
        </w:rPr>
        <w:t xml:space="preserve"> vajadzībām, uzskatīja, ka SPTAJ sistēmai ir preventīva ietekme uz tirgotājiem. Citi </w:t>
      </w:r>
      <w:r>
        <w:rPr>
          <w:i/>
          <w:noProof/>
        </w:rPr>
        <w:t>SLO</w:t>
      </w:r>
      <w:r>
        <w:rPr>
          <w:noProof/>
        </w:rPr>
        <w:t xml:space="preserve"> un SPTAJ iestādes nebija pārliecinātas par preventīvo ietekmi vai uzskatīja, ka tā ir ierobežota. </w:t>
      </w:r>
    </w:p>
    <w:p w14:paraId="7018D3DB" w14:textId="0884093C" w:rsidR="003C67AF" w:rsidRDefault="006868B6" w:rsidP="008E32E0">
      <w:pPr>
        <w:rPr>
          <w:noProof/>
        </w:rPr>
      </w:pPr>
      <w:r>
        <w:rPr>
          <w:noProof/>
        </w:rPr>
        <w:t xml:space="preserve">SPTAJ iestādes, kas piekrita, ka SPTAJ regulai ir preventīva ietekme, uzskata, ka pastiprinātai sadarbībai un koordinācijai starp SPTAJ iestādēm SPTAJ tīklā un ar Komisiju ir lielāka iespēja piespiest tirgotājus, kas darbojas vairākās dalībvalstīs, ievērot noteikumus, jo pastāv draudi, ka pret tiem tiks vērsta SPTAJ rīcība. </w:t>
      </w:r>
    </w:p>
    <w:p w14:paraId="03846762" w14:textId="106B11DB" w:rsidR="00357101" w:rsidRDefault="00357101" w:rsidP="008E32E0">
      <w:pPr>
        <w:rPr>
          <w:noProof/>
        </w:rPr>
      </w:pPr>
      <w:r>
        <w:rPr>
          <w:noProof/>
        </w:rPr>
        <w:t>Tomēr vairāki</w:t>
      </w:r>
      <w:r>
        <w:rPr>
          <w:i/>
          <w:noProof/>
        </w:rPr>
        <w:t xml:space="preserve"> SLO</w:t>
      </w:r>
      <w:r>
        <w:rPr>
          <w:noProof/>
        </w:rPr>
        <w:t xml:space="preserve"> un SPTAJ iestādes apšaubīja, ka tirgotājiem ir labi zināma SPTAJ. </w:t>
      </w:r>
      <w:r>
        <w:rPr>
          <w:noProof/>
        </w:rPr>
        <w:br/>
        <w:t>Tās arī nebija pārliecinātas, vai tirgotāji tiek pietiekami atturēti, jo līdz šim nav notikusi koordinācija attiecībā uz sodu un naudas sodu piemērošanu saskaņā ar SPTAJ regulu</w:t>
      </w:r>
      <w:r w:rsidR="00680A3D" w:rsidRPr="00680A3D">
        <w:rPr>
          <w:rStyle w:val="FootnoteReference"/>
          <w:noProof/>
        </w:rPr>
        <w:footnoteReference w:id="45"/>
      </w:r>
      <w:r>
        <w:rPr>
          <w:noProof/>
        </w:rPr>
        <w:t xml:space="preserve">. </w:t>
      </w:r>
    </w:p>
    <w:p w14:paraId="5EAF3E37" w14:textId="1045C75E" w:rsidR="00167331" w:rsidRDefault="00167331" w:rsidP="008E32E0">
      <w:pPr>
        <w:rPr>
          <w:noProof/>
        </w:rPr>
      </w:pPr>
      <w:r>
        <w:rPr>
          <w:noProof/>
        </w:rPr>
        <w:t>Gadījumu analīze sniedza papildu padziļinātus datus par tirgotāju atbilstību, galveno uzmanību pievēršot konkrētiem patēriņa tirgiem: gaisa pārvadājumi, transportlīdzekļu noma, izmitināšanas rezervācijas platformas, e-komercijas tīmekļa vietnes un pirkumi lietotnēs.</w:t>
      </w:r>
    </w:p>
    <w:p w14:paraId="03F2AA43" w14:textId="2E4B23DD" w:rsidR="00B33517" w:rsidRDefault="00B33517" w:rsidP="008E32E0">
      <w:pPr>
        <w:rPr>
          <w:noProof/>
        </w:rPr>
      </w:pPr>
      <w:r>
        <w:rPr>
          <w:noProof/>
        </w:rPr>
        <w:t xml:space="preserve">SPTAJ koordinētā rīcība pret aviosabiedrībām panāca to, ka 15 no 16 tirgotājiem piekrita vairākām saistībām attiecībā uz to, kā tie rīkojas lidojuma atcelšanas gadījumā. Kopumā ieinteresēto personu (SPTAJ iestāžu, aviosabiedrību, patērētāju organizāciju) atsauksmes apliecināja rīcības efektivitāti. Aviosabiedrības ziņoja, ka kopš Covid-19 pandēmijas sākuma tās ir mainījušas savu praksi, bet radusies ievērojama aizkavēšanās ar kompensāciju izmaksu. SPTAJ rīcība, kas skāra daudzas lielākās aviosabiedrības, bija stimuls ātrāk novērst šo kavēšanos. </w:t>
      </w:r>
      <w:r>
        <w:rPr>
          <w:noProof/>
        </w:rPr>
        <w:br/>
        <w:t>Dažas aviosabiedrības pat pārsniedza savas saistības un vēl vairāk uzlaboja savu praksi patērētāju informēšanā par lidojumu atcelšanu un to, kā tās apstrādā atmaksas pieprasījumus, tādējādi uzlabojot savu noturību pret krīzēm. SPTAJ rīcībai attiecībā uz aviosabiedrībām bija arī būtiska nozīme, lai sāktu apspriest jautājumus saistībā ar biļešu rezervēšanu, izmantojot starpniekus, kā rezultāts bija turpmāka SPTAJ rīcība, aptverot lielākos Eiropas aviosabiedrību starpniekus.</w:t>
      </w:r>
      <w:r w:rsidR="00A719F3" w:rsidRPr="0033018E">
        <w:rPr>
          <w:rStyle w:val="FootnoteReference"/>
          <w:noProof/>
        </w:rPr>
        <w:footnoteReference w:id="46"/>
      </w:r>
      <w:r>
        <w:rPr>
          <w:noProof/>
        </w:rPr>
        <w:t xml:space="preserve"> </w:t>
      </w:r>
    </w:p>
    <w:p w14:paraId="0F7A7D7F" w14:textId="7D3413CB" w:rsidR="0049270D" w:rsidRDefault="00DF5C70" w:rsidP="008E32E0">
      <w:pPr>
        <w:rPr>
          <w:noProof/>
        </w:rPr>
      </w:pPr>
      <w:r>
        <w:rPr>
          <w:noProof/>
        </w:rPr>
        <w:t>SPTAJ tīkls ir pabeidzis koordinētu rīcību pret trim lielākajām izmitināšanas vietu rezervēšanas tiešsaistes platformām un cita starpā ir panācis saistību uzņemšanos attiecībā uz patērētāju labāku informēšanu par piedāvājumiem, atlaidēm un cenām, diferenciāciju starp privātiem un profesionāliem mitinātājiem (ar dažām saistību atšķirībām atkarībā no platformas).</w:t>
      </w:r>
      <w:r>
        <w:rPr>
          <w:rStyle w:val="FootnoteReference"/>
          <w:noProof/>
          <w:color w:val="000000" w:themeColor="text1"/>
        </w:rPr>
        <w:footnoteReference w:id="47"/>
      </w:r>
      <w:r>
        <w:rPr>
          <w:noProof/>
        </w:rPr>
        <w:t xml:space="preserve"> Visas ieinteresētās personas uzskatīja, ka šis sadarbības process kopumā darbojas labi. Tirgotāji uzskata, ka lielu pievienoto vērtību rada tas, ka ir viens kontaktpunkts, nevis jāsazinās ar visām attiecīgajām dalībvalstīm. Tās uzskata, ka saistības nodrošināja ES līmeņa vienošanos par to, kāda komercprakse tiek sagaidīta, un tiešsaistes rezervācijas platformas varēja uz to paļauties un to pat paplašināt visā nozarē. Tomēr tās uzskata procedūras ilgumu par vājāku punktu, vienlaikus atzīstot arī savu iekšējo procesu sarežģītību, </w:t>
      </w:r>
      <w:r>
        <w:rPr>
          <w:noProof/>
        </w:rPr>
        <w:br/>
        <w:t>t. i., saistībām nepieciešams iekšējais apstiprinājums no dažādiem departamentiem. Rezervācijas gadījuma analīzē</w:t>
      </w:r>
      <w:r w:rsidR="008F03E6">
        <w:rPr>
          <w:rStyle w:val="FootnoteReference"/>
          <w:noProof/>
        </w:rPr>
        <w:footnoteReference w:id="48"/>
      </w:r>
      <w:r>
        <w:rPr>
          <w:noProof/>
        </w:rPr>
        <w:t xml:space="preserve"> aptaujātie tirgotāji uzskatīja, ka SPTAJ tīkla galvenā problēma ir nepieciešamība atrast kopsaucēju saistībās, kas būtu pieņemamas visām SPTAJ iestādēm, kuras skar koordinētā rīcība.</w:t>
      </w:r>
    </w:p>
    <w:p w14:paraId="3FD370DD" w14:textId="13BEA94C" w:rsidR="00AA6A13" w:rsidRDefault="00B33517" w:rsidP="008E32E0">
      <w:pPr>
        <w:rPr>
          <w:noProof/>
        </w:rPr>
      </w:pPr>
      <w:r>
        <w:rPr>
          <w:noProof/>
        </w:rPr>
        <w:t>SPTAJ koordinētā rīcība automobiļu nomas nozarē</w:t>
      </w:r>
      <w:r w:rsidR="00D87B6B">
        <w:rPr>
          <w:rStyle w:val="FootnoteReference"/>
          <w:bCs/>
          <w:noProof/>
          <w:lang w:eastAsia="en-GB"/>
        </w:rPr>
        <w:footnoteReference w:id="49"/>
      </w:r>
      <w:r>
        <w:rPr>
          <w:noProof/>
        </w:rPr>
        <w:t xml:space="preserve"> veicināja to, ka rīcībā iesaistītie tirgotāji, kā arī citi tirgotāji, kurus rīcība neskāra un kuri savu praksi saskaņoja ar koordinētās rīcības iznākumu, uzlaboja atbilstību. Tomēr šķiet, ka SPTAJ rīcībai nav bijusi tāda pati plašāka ietekme uz mazākiem tirgotājiem un starpniekiem, kas darbojas tikai valsts līmenī. Tāpēc šķiet, ka koordinētās rīcības preventīvā ietekme ir spēcīgāka attiecībā uz lieliem stabiliem starptautiskajiem un iekšzemes tirgotājiem, taču tai ir ierobežotāka ietekme uz mazākiem tirgotājiem, kas bieži darbojas tūrisma zonās. </w:t>
      </w:r>
    </w:p>
    <w:p w14:paraId="6FF0A5E2" w14:textId="6E8215C6" w:rsidR="00805865" w:rsidRDefault="001359A1" w:rsidP="008E32E0">
      <w:pPr>
        <w:rPr>
          <w:noProof/>
        </w:rPr>
      </w:pPr>
      <w:r>
        <w:rPr>
          <w:noProof/>
        </w:rPr>
        <w:t>SPTAJ tīklam bija svarīga loma, nodrošinot to, ka tirgotāji, izstrādājot lietotnes, ievēro patērētāju tiesības. 2014. gada kopējā nostāja par tiešsaistes spēļu lietotnēs veikto pirkumu</w:t>
      </w:r>
      <w:r w:rsidR="00805865" w:rsidRPr="008F03E6">
        <w:rPr>
          <w:rStyle w:val="FootnoteReference"/>
          <w:noProof/>
        </w:rPr>
        <w:footnoteReference w:id="50"/>
      </w:r>
      <w:r>
        <w:rPr>
          <w:noProof/>
        </w:rPr>
        <w:t xml:space="preserve"> pārredzamību tika plaši atbalstīta, un tās rezultātā tika veiktas būtiskas izmaiņas lietotņu jomā izmantotajos uzņēmējdarbības modeļos. Būtībā lietotņu izstrādātāji un lietotņu veikali palielināja pārredzamību attiecībā uz to preču esamību, nosacījumiem un vērtību, kuras var iegādāties lietotnē pēc lietotnes lejupielādes no lietotņu veikala. Nozares pārstāvji atzinīgi novērtēja SPTAJ kopējās nostājas centralizēto raksturu, ņemot vērā, ka šī pieeja palīdz nodrošināt vienlīdzīgākus konkurences apstākļus tirgotājiem, kas ievēro noteikumus. Tā kā uzņēmējdarbībai lietotņu jomā ir pārrobežu raksturs, sadrumstaloti lēmumi un atsevišķu SPTAJ iestāžu individuāla rīcība nespētu radīt tādu pašu pozitīvu ietekmi.  Cieša sadarbība starp patērētāju tiesību aizsardzības iestādēm dažādās dalībvalstīs palīdz nodrošināt konsekventu pieeju visā ES un bieži vien atvieglo uzņēmumiem patērētāju tiesību aizsardzības noteikumu ievērošanu.</w:t>
      </w:r>
    </w:p>
    <w:p w14:paraId="75791DC9" w14:textId="4F22C3CA" w:rsidR="00852EC0" w:rsidRDefault="00D3044D" w:rsidP="008E32E0">
      <w:pPr>
        <w:rPr>
          <w:noProof/>
        </w:rPr>
      </w:pPr>
      <w:r>
        <w:rPr>
          <w:noProof/>
        </w:rPr>
        <w:t xml:space="preserve">Attiecībā uz patērētāju tiesību aktu izpildi e-komercijas nozarē gandrīz visas intervētās ieinteresētās personas (nozare, NVO, </w:t>
      </w:r>
      <w:r>
        <w:rPr>
          <w:i/>
          <w:noProof/>
        </w:rPr>
        <w:t>SLO</w:t>
      </w:r>
      <w:r>
        <w:rPr>
          <w:noProof/>
        </w:rPr>
        <w:t xml:space="preserve"> un dažādas SPTAJ iestādes) uzskata, ka SPTAJ koordinētajai rīcībai un kontrolreidiem ir tikai ierobežota pozitīva ietekme. Lielākā daļa </w:t>
      </w:r>
      <w:r>
        <w:rPr>
          <w:i/>
          <w:noProof/>
        </w:rPr>
        <w:t>SLO</w:t>
      </w:r>
      <w:r>
        <w:rPr>
          <w:noProof/>
        </w:rPr>
        <w:t xml:space="preserve"> un SPTAJ iestāžu norāda, ka izmaiņas savā praksē īstenoja tikai tie uzņēmumi, kurus tieši skāra SPTAJ koordinētā rīcība, neraugoties uz to, ka saistības bija publiski pieejamas visai nozarei. Saskaņā ar nozares pārstāvju sniegto informāciju viens no galvenajiem iemesliem ir informācijas un saziņas trūkums par SPTAJ darbībām, </w:t>
      </w:r>
      <w:r>
        <w:rPr>
          <w:noProof/>
        </w:rPr>
        <w:br/>
        <w:t xml:space="preserve">t. i., par koordinēto rīcību vai kontrolreidiem. Lielākā daļa tirgotāju, pret kuriem SPTAJ tīkls tiešā veidā nav vērsies, visticamāk, nezina par SPTAJ rīcību vai kontrolreidiem un par to, kā viņi no tiem varētu mācīties un uzlabot savu praksi. </w:t>
      </w:r>
    </w:p>
    <w:p w14:paraId="2281CA4B" w14:textId="4B14DBAA" w:rsidR="00124558" w:rsidRDefault="00EA5702" w:rsidP="008E32E0">
      <w:pPr>
        <w:rPr>
          <w:noProof/>
        </w:rPr>
      </w:pPr>
      <w:r>
        <w:rPr>
          <w:noProof/>
        </w:rPr>
        <w:t xml:space="preserve">SPTAJ koordinētajā rīcībā pret </w:t>
      </w:r>
      <w:r>
        <w:rPr>
          <w:i/>
          <w:noProof/>
        </w:rPr>
        <w:t>Google</w:t>
      </w:r>
      <w:r w:rsidR="000A3D6D">
        <w:rPr>
          <w:rStyle w:val="FootnoteReference"/>
          <w:noProof/>
        </w:rPr>
        <w:footnoteReference w:id="51"/>
      </w:r>
      <w:r>
        <w:rPr>
          <w:noProof/>
        </w:rPr>
        <w:t xml:space="preserve"> SPTAJ iestādes lūdza uzņēmumu risināt jautājumus, kas saistīti ar tā praksi, ar kuru tiek pārkāpta Ģeogrāfiskās bloķēšanas regula (ĢBR).</w:t>
      </w:r>
      <w:r w:rsidR="00D93339">
        <w:rPr>
          <w:rStyle w:val="FootnoteReference"/>
          <w:noProof/>
        </w:rPr>
        <w:footnoteReference w:id="52"/>
      </w:r>
      <w:r>
        <w:rPr>
          <w:noProof/>
        </w:rPr>
        <w:t xml:space="preserve"> Eiropas Parlaments rezolūcijā</w:t>
      </w:r>
      <w:r w:rsidR="00D93339">
        <w:rPr>
          <w:rStyle w:val="FootnoteReference"/>
          <w:noProof/>
        </w:rPr>
        <w:footnoteReference w:id="53"/>
      </w:r>
      <w:r>
        <w:rPr>
          <w:noProof/>
        </w:rPr>
        <w:t xml:space="preserve">, kurā dalībvalstis tika aicinātas pilnībā piemērot un izpildīt regulu, izlēmīgi vērsties pret uzņēmumiem, kas to pārkāpj, un Komisija tika aicināta stiprināt tās izpildi, bija uzsvērta SPTAJ tīkla nozīme ĢBR izpildē. </w:t>
      </w:r>
    </w:p>
    <w:p w14:paraId="5BDF2619" w14:textId="0280A0FC" w:rsidR="00852EC0" w:rsidRDefault="00244447" w:rsidP="008E32E0">
      <w:pPr>
        <w:rPr>
          <w:noProof/>
        </w:rPr>
      </w:pPr>
      <w:r>
        <w:rPr>
          <w:noProof/>
        </w:rPr>
        <w:t xml:space="preserve">Tomēr pat to uzņēmumu atbilstība, kurus tieši skar SPTAJ koordinētā rīcība, ne vienmēr ir apmierinoša. Lai gan daži uzņēmumi ļoti ātri piedāvā un īsteno saistības, lai izbeigtu pārkāpumu, citi izmanto dažādu novilcināšanas taktiku un/vai tikai daļēji risina iestāžu bažas. </w:t>
      </w:r>
    </w:p>
    <w:p w14:paraId="250D5F86" w14:textId="07D31A09" w:rsidR="00516443" w:rsidRPr="00FD0795" w:rsidRDefault="00852EC0" w:rsidP="008E32E0">
      <w:pPr>
        <w:rPr>
          <w:noProof/>
        </w:rPr>
      </w:pPr>
      <w:r>
        <w:rPr>
          <w:noProof/>
        </w:rPr>
        <w:t xml:space="preserve">Turklāt, kā paskaidrots iepriekš </w:t>
      </w:r>
      <w:r w:rsidR="009227F9">
        <w:rPr>
          <w:noProof/>
        </w:rPr>
        <w:fldChar w:fldCharType="begin"/>
      </w:r>
      <w:r w:rsidR="009227F9">
        <w:rPr>
          <w:noProof/>
        </w:rPr>
        <w:instrText xml:space="preserve"> REF _Ref156321822 \r \h </w:instrText>
      </w:r>
      <w:r w:rsidR="009227F9">
        <w:rPr>
          <w:noProof/>
        </w:rPr>
      </w:r>
      <w:r w:rsidR="009227F9">
        <w:rPr>
          <w:noProof/>
        </w:rPr>
        <w:fldChar w:fldCharType="separate"/>
      </w:r>
      <w:r w:rsidR="00BC0C04">
        <w:rPr>
          <w:noProof/>
        </w:rPr>
        <w:t>6.4</w:t>
      </w:r>
      <w:r w:rsidR="009227F9">
        <w:rPr>
          <w:noProof/>
        </w:rPr>
        <w:fldChar w:fldCharType="end"/>
      </w:r>
      <w:r>
        <w:rPr>
          <w:noProof/>
        </w:rPr>
        <w:t>. iedaļā, bieži vien ir grūti atrast kontaktu ar uzņēmumiem, kas neveic uzņēmējdarbību ES. Tomēr izredzes saskarties ar daudzu valstu veiktām izpildes darbībām mudina tirgotājus iesaistīties dialogā ar SPTAJ tīklu. Tajā pašā laikā dažas nozares ieinteresētās personas norādīja, ka, tā kā brīvprātīga dalība SPTAJ dialogā un saistībās neliedz valstu iestādēm turpināt izpildes pasākumus to jurisdikcijā, tas var atturēt tirgotājus un mazināt viņu uzticēšanos SPTAJ sistēmai. Turpretī patērētāju tiesību aizsardzības organizācijas norādīja, ka, lai gan SPTAJ koordinētā rīcība risina sistēmiskas problēmas, šī rīcība skar tikai uz vienu vai dažus atlasītus tirgotājus. Lai atrisinātu šo problēmu, SPTAJ tīklam būtu jāapsver iespēja izmantot horizontālu, nozares mēroga pieeju, kas varētu aptvert vairākus tirgotājus, kuri vienlaikus iesaistās vienādā vai līdzīgā nelikumīgā praksē.</w:t>
      </w:r>
    </w:p>
    <w:p w14:paraId="04C8625D" w14:textId="00E2A3AF" w:rsidR="00167331" w:rsidRPr="00167331" w:rsidRDefault="00516443" w:rsidP="00316F69">
      <w:pPr>
        <w:rPr>
          <w:noProof/>
        </w:rPr>
      </w:pPr>
      <w:r>
        <w:rPr>
          <w:noProof/>
        </w:rPr>
        <w:t>Visbeidzot, iestādes uzskatīja, ka SPTAJ regulas kopējā ietekme uz tirgotāju atbilstību ir pozitīva. Tomēr tās pauž nožēlu arī par to, ka līdz šim nav piemēroti koordinēti sodi saskaņā ar SPTAJ regulas 21. panta 1. punktu. Tas nepārprotami ierobežo SPTAJ tīkla preventīvo ietekmi uz tirgotājiem. Turklāt preventīvā ietekme mēdz būt spēcīgāka attiecībā uz lieliem starptautiskiem tirgotājiem, bet mazāka – attiecībā uz tirgotājiem no trešām valstīm. SPTAJ rīcība bieži vien ir pārāk lēna un tādējādi nav pietiekami efektīva, lai ātri atjaunotu godīgu konkurenci starp visiem tirgotājiem, kas pārdod preces ES.</w:t>
      </w:r>
    </w:p>
    <w:p w14:paraId="35CC4894" w14:textId="77777777" w:rsidR="009A6BEE" w:rsidRDefault="009A6BEE">
      <w:pPr>
        <w:jc w:val="left"/>
        <w:rPr>
          <w:rFonts w:asciiTheme="majorHAnsi" w:eastAsiaTheme="majorEastAsia" w:hAnsiTheme="majorHAnsi" w:cstheme="majorBidi"/>
          <w:b/>
          <w:bCs/>
          <w:noProof/>
          <w:color w:val="2E74B5" w:themeColor="accent1" w:themeShade="BF"/>
          <w:sz w:val="32"/>
          <w:szCs w:val="32"/>
        </w:rPr>
      </w:pPr>
      <w:r>
        <w:rPr>
          <w:noProof/>
        </w:rPr>
        <w:br w:type="page"/>
      </w:r>
    </w:p>
    <w:p w14:paraId="3A195A8D" w14:textId="0ACF3613" w:rsidR="00DB1C07" w:rsidRPr="00DB1C07" w:rsidRDefault="00F60241" w:rsidP="00F60241">
      <w:pPr>
        <w:pStyle w:val="Heading1"/>
        <w:numPr>
          <w:ilvl w:val="0"/>
          <w:numId w:val="0"/>
        </w:numPr>
        <w:ind w:left="480" w:hanging="480"/>
        <w:rPr>
          <w:noProof/>
        </w:rPr>
      </w:pPr>
      <w:bookmarkStart w:id="75" w:name="_Toc155108031"/>
      <w:bookmarkStart w:id="76" w:name="_Toc172645233"/>
      <w:r>
        <w:rPr>
          <w:noProof/>
        </w:rPr>
        <w:t>III daļa. Secinājumi un turpmākā virzība</w:t>
      </w:r>
      <w:bookmarkEnd w:id="75"/>
      <w:bookmarkEnd w:id="76"/>
    </w:p>
    <w:p w14:paraId="432BF72D" w14:textId="07EE2447" w:rsidR="00CA76B3" w:rsidRDefault="002A6BF1" w:rsidP="005E4F32">
      <w:pPr>
        <w:rPr>
          <w:noProof/>
        </w:rPr>
      </w:pPr>
      <w:r>
        <w:rPr>
          <w:noProof/>
        </w:rPr>
        <w:t xml:space="preserve">Ieinteresētās personas uzskata, ka SPTAJ regula kopumā ir sasniegusi savus mērķus, proti, efektīvi panākt atbilstību minētās regulas pielikumā izklāstītajiem ES tiesību aktiem un nodrošināt netraucētu vienotā tirgus darbību, uzlabot tirgotāju izdarīto tiesību aktu pārkāpumu atklāšanu patērētāju tiesību aizsardzības jomā, Savienības patērētāju tiesību aktu izpildes konsekvenci un ļaut vērsties pret tiem pašiem pārkāpumiem, ko uzņēmumi izdarījuši vairākās dalībvalstīs. </w:t>
      </w:r>
    </w:p>
    <w:p w14:paraId="590A31CD" w14:textId="6B99A612" w:rsidR="00CA76B3" w:rsidRDefault="002A6BF1" w:rsidP="005E4F32">
      <w:pPr>
        <w:rPr>
          <w:noProof/>
        </w:rPr>
      </w:pPr>
      <w:r>
        <w:rPr>
          <w:noProof/>
        </w:rPr>
        <w:t>Sadarbība saskaņā ar regulu sniedza pievienoto vērtību valstu patērētāju tiesību aizsardzības iestādēm, kuras kopīgi uzlaboja savu efektivitāti un spēja risināt daudzus ES līmeņa pārkāpumus, ko izdarījuši lielie uzņēmumi. Nodrošinot saskaņotu procedūru kopumu, lai vērstos pret pārkāpumiem, kas skar vairākas vai lielāko daļu dalībvalstu, SPTAJ regula arī ievērojami palielina patērētāju tiesību aizsardzības efektivitāti. Bez SPTAJC sistēmas katras dalībvalsts patērētāju tiesību aizsardzības iestādēm būtu jāuzsāk paralēlas procedūras pret vienu un to pašu tirgotāju attiecīgās valsts līmenī, kas noteikti radītu lielākas izmaksas, un, visticamāk, valstu atšķirīgo izpildes tradīciju dēļ varētu novest pie patērētāju tiesību aizsardzības saskaņoto noteikumu atšķirīgas interpretācijas.</w:t>
      </w:r>
    </w:p>
    <w:p w14:paraId="4D2ACB44" w14:textId="7A3BF7F3" w:rsidR="005E4F32" w:rsidRDefault="0065138F" w:rsidP="005E4F32">
      <w:pPr>
        <w:rPr>
          <w:noProof/>
        </w:rPr>
      </w:pPr>
      <w:r>
        <w:rPr>
          <w:noProof/>
        </w:rPr>
        <w:t xml:space="preserve">Tirgotāji, pret kuriem bija vērsta SPTAJ rīcība, atzinīgi novērtēja, ka tie ir iesaistīti vienotā un centralizētā dialogā, un ka nav jāsaskaras ar, iespējams, </w:t>
      </w:r>
      <w:r>
        <w:rPr>
          <w:noProof/>
          <w:color w:val="000000" w:themeColor="text1"/>
        </w:rPr>
        <w:t>27 dažādām patērētāju tiesību aizsardzības iestādēm ES dalībvalstīs.</w:t>
      </w:r>
      <w:r>
        <w:rPr>
          <w:noProof/>
        </w:rPr>
        <w:t xml:space="preserve"> </w:t>
      </w:r>
    </w:p>
    <w:p w14:paraId="7AD84B7E" w14:textId="233F4297" w:rsidR="00E610E5" w:rsidRDefault="00CA76B3" w:rsidP="005E4F32">
      <w:pPr>
        <w:rPr>
          <w:noProof/>
        </w:rPr>
      </w:pPr>
      <w:r>
        <w:rPr>
          <w:noProof/>
        </w:rPr>
        <w:t xml:space="preserve">Tomēr patērētāju pārstāvji uzskata, ka SPTAJ regula nav pietiekama, lai būtiski samazinātu patērētājiem nodarīto kaitējumu vidējā termiņā. Jo īpaši tās uzskata, ka kopš SPTAJ regulas (ES) 2017/2394 pieņemšanas patēriņa tirgu straujā attīstība vienlaikus ar strauji progresējošo zaļo un digitālo pārkārtošanos ir novedusi pie tā, ka arvien vairāk patērētāju ir pakļauti jauniem draudiem gan tiešsaistē, gan saistībā ar “zaļmaldināšnu”. Šo neseno tirgus norišu rezultātā ES patēriņa tirgiem ir raksturīgs augsts nelikumīgas prakses izplatības līmenis, savukārt SPTAJ iestādes saskaras ar jaunām izpildes problēmām, kas mazina to spēju efektīvi koordinēt savas izpildes darbības saskaņā ar SPTAJ regulas (ES) noteikto regulējumu. </w:t>
      </w:r>
    </w:p>
    <w:p w14:paraId="630734D8" w14:textId="1D92A3AD" w:rsidR="002A6BF1" w:rsidRDefault="00E610E5" w:rsidP="005E4F32">
      <w:pPr>
        <w:rPr>
          <w:noProof/>
        </w:rPr>
      </w:pPr>
      <w:r>
        <w:rPr>
          <w:noProof/>
        </w:rPr>
        <w:t xml:space="preserve">Šīs izpildes problēmas ir šādas: </w:t>
      </w:r>
    </w:p>
    <w:p w14:paraId="036D1895" w14:textId="3D6E57E2" w:rsidR="00FA2DA6" w:rsidRDefault="002A6BF1" w:rsidP="00FA2DA6">
      <w:pPr>
        <w:pStyle w:val="ListParagraph"/>
        <w:numPr>
          <w:ilvl w:val="0"/>
          <w:numId w:val="23"/>
        </w:numPr>
        <w:rPr>
          <w:noProof/>
        </w:rPr>
      </w:pPr>
      <w:r>
        <w:rPr>
          <w:noProof/>
        </w:rPr>
        <w:t>Procedūras, kas reglamentē koordinētas izpildes darbības, ir ilgas un apgrūtinošas, un tādējādi tās nav optimālas digitalizētiem tirgiem, kas attīstās ļoti strauji.</w:t>
      </w:r>
    </w:p>
    <w:p w14:paraId="6A91AA8C" w14:textId="71867BAB" w:rsidR="00FA2DA6" w:rsidRDefault="00BE1BD8" w:rsidP="00FA2DA6">
      <w:pPr>
        <w:pStyle w:val="ListParagraph"/>
        <w:numPr>
          <w:ilvl w:val="0"/>
          <w:numId w:val="23"/>
        </w:numPr>
        <w:rPr>
          <w:noProof/>
        </w:rPr>
      </w:pPr>
      <w:r>
        <w:rPr>
          <w:noProof/>
        </w:rPr>
        <w:t>Digitalizācija un uzņēmējdarbības modeļu attīstība ļauj nelikumīgai praksei vieglāk un daudz ātrāk izplatīties pāri robežām.</w:t>
      </w:r>
    </w:p>
    <w:p w14:paraId="02D2123B" w14:textId="55481DBB" w:rsidR="00FA2DA6" w:rsidRDefault="00FA2DA6" w:rsidP="00FA2DA6">
      <w:pPr>
        <w:pStyle w:val="ListParagraph"/>
        <w:numPr>
          <w:ilvl w:val="0"/>
          <w:numId w:val="23"/>
        </w:numPr>
        <w:rPr>
          <w:noProof/>
        </w:rPr>
      </w:pPr>
      <w:r>
        <w:rPr>
          <w:noProof/>
        </w:rPr>
        <w:t>Lieliem starptautiskiem tirgotājiem ir liela ietekme uz veselu ekonomikas nozaru, piemēram, tiešsaistes ceļojumu pakalpojumu, e-komercijas vai izklaides, kopējo atbilstības līmeni.</w:t>
      </w:r>
    </w:p>
    <w:p w14:paraId="26C4ED80" w14:textId="38D4C9EA" w:rsidR="00DB1C07" w:rsidRPr="00310EA3" w:rsidRDefault="00FA2DA6" w:rsidP="00316F69">
      <w:pPr>
        <w:pStyle w:val="ListParagraph"/>
        <w:numPr>
          <w:ilvl w:val="0"/>
          <w:numId w:val="23"/>
        </w:numPr>
        <w:rPr>
          <w:noProof/>
        </w:rPr>
      </w:pPr>
      <w:r>
        <w:rPr>
          <w:noProof/>
        </w:rPr>
        <w:t xml:space="preserve">Jaunus uzņēmējdarbības modeļus virza jaunās tehnoloģijas, piemēram, virtuālās pasaules un MI, un tāpēc izpildiestādēm ir jāattīsta specializētas zināšanas valsts līmenī. </w:t>
      </w:r>
    </w:p>
    <w:p w14:paraId="29FAF189" w14:textId="5475C888" w:rsidR="00261360" w:rsidRDefault="00261360" w:rsidP="00310EA3">
      <w:pPr>
        <w:pStyle w:val="ListParagraph"/>
        <w:numPr>
          <w:ilvl w:val="0"/>
          <w:numId w:val="24"/>
        </w:numPr>
        <w:rPr>
          <w:noProof/>
        </w:rPr>
      </w:pPr>
      <w:r>
        <w:rPr>
          <w:noProof/>
        </w:rPr>
        <w:t xml:space="preserve">SPTAJ regulas piemērošanai tirgotājiem, kas neveic uzņēmējdarbību vai kam nav aktīvi ES/EEZ un kuru mērķauditorija ir patērētāj, kas dzīvo ES, vajadzētu būt daudz vienkāršākai. </w:t>
      </w:r>
    </w:p>
    <w:p w14:paraId="5C19034E" w14:textId="26407584" w:rsidR="000F7FBF" w:rsidRDefault="00261360" w:rsidP="000F7FBF">
      <w:pPr>
        <w:pStyle w:val="ListParagraph"/>
        <w:numPr>
          <w:ilvl w:val="0"/>
          <w:numId w:val="24"/>
        </w:numPr>
        <w:rPr>
          <w:noProof/>
        </w:rPr>
      </w:pPr>
      <w:r>
        <w:rPr>
          <w:noProof/>
        </w:rPr>
        <w:t>SPTAJ regulas efektivitāti kavē atšķirības valstu iestāžu spējā izskatīt SPTAJ lietas, jo resursi ir ierobežoti, regulas un ES patērētāju tiesību aizsardzības noteikumu interpretācija ir atšķirīga un pastāv atšķirības minimālo izmeklēšanas un izpildes pilnvaru īstenošanā.</w:t>
      </w:r>
    </w:p>
    <w:p w14:paraId="10F17D52" w14:textId="46A0A359" w:rsidR="00310EA3" w:rsidRDefault="001A1A53" w:rsidP="000F7FBF">
      <w:pPr>
        <w:pStyle w:val="ListParagraph"/>
        <w:numPr>
          <w:ilvl w:val="0"/>
          <w:numId w:val="24"/>
        </w:numPr>
        <w:rPr>
          <w:noProof/>
        </w:rPr>
      </w:pPr>
      <w:r>
        <w:rPr>
          <w:noProof/>
        </w:rPr>
        <w:t>Tā kā SPTAJ iestādēm ir grūtības efektīvi koordinēt naudas sodu uzlikšanu koordinētās rīcības ietvaros, SPTAJ regulas preventīvā ietekme joprojām ir ierobežota.</w:t>
      </w:r>
    </w:p>
    <w:p w14:paraId="55D5CCD4" w14:textId="2F3546FB" w:rsidR="00270EAB" w:rsidRPr="00FF440C" w:rsidRDefault="00E610E5" w:rsidP="00E610E5">
      <w:pPr>
        <w:rPr>
          <w:noProof/>
        </w:rPr>
      </w:pPr>
      <w:r>
        <w:rPr>
          <w:noProof/>
        </w:rPr>
        <w:t>Iespējams, ka šīs novērotās tirgus tendences turpināsies arī turpmāk, radot līdzīgas problēmas izpildiestādēm visā Savienībā. Tāpēc ir būtiski sākt pārdomas par to, kā vēl vairāk stiprināt SPTAJ regulu, jo īpaši apsverot šādus jautājumus:</w:t>
      </w:r>
    </w:p>
    <w:p w14:paraId="560885D1" w14:textId="3F1E3570" w:rsidR="00270EAB" w:rsidRPr="00FF440C" w:rsidRDefault="0086124B" w:rsidP="00270EAB">
      <w:pPr>
        <w:pStyle w:val="ListParagraph"/>
        <w:numPr>
          <w:ilvl w:val="0"/>
          <w:numId w:val="25"/>
        </w:numPr>
        <w:rPr>
          <w:noProof/>
        </w:rPr>
      </w:pPr>
      <w:r>
        <w:rPr>
          <w:noProof/>
        </w:rPr>
        <w:t>Kā varētu precizēt regulas piemērošanu trešo valstu tirgotājiem, kuru mērķauditorija ir patērētāji no valstīm ārpus ES?</w:t>
      </w:r>
    </w:p>
    <w:p w14:paraId="0B02D793" w14:textId="65935AD5" w:rsidR="00270EAB" w:rsidRPr="00FF440C" w:rsidRDefault="00AD594D" w:rsidP="00270EAB">
      <w:pPr>
        <w:pStyle w:val="ListParagraph"/>
        <w:numPr>
          <w:ilvl w:val="0"/>
          <w:numId w:val="25"/>
        </w:numPr>
        <w:rPr>
          <w:noProof/>
        </w:rPr>
      </w:pPr>
      <w:r>
        <w:rPr>
          <w:noProof/>
        </w:rPr>
        <w:t>Vai ir nepieciešams pielāgot SPTAJ procedūras, lai tās efektīvi darbotos arī tādu pārkāpumu izmeklēšanā un novēršanā, kuriem ir īpaši liela ietekme uz ES vienoto tirgu vai kuri skar veselas uzņēmējdarbības nozares?</w:t>
      </w:r>
    </w:p>
    <w:p w14:paraId="19E4287D" w14:textId="4BC3B4FC" w:rsidR="0044099D" w:rsidRPr="00FF440C" w:rsidRDefault="00AD594D" w:rsidP="00270EAB">
      <w:pPr>
        <w:pStyle w:val="ListParagraph"/>
        <w:numPr>
          <w:ilvl w:val="0"/>
          <w:numId w:val="25"/>
        </w:numPr>
        <w:rPr>
          <w:noProof/>
        </w:rPr>
      </w:pPr>
      <w:r>
        <w:rPr>
          <w:noProof/>
        </w:rPr>
        <w:t xml:space="preserve">Vai ir vajadzīgi papildu pasākumi, lai nodrošinātu konsekventāku tiesību aktu izpildi patērētāju tiesību aizsardzības jomā un iedarbīgāku SPTAJ regulas preventīvo ietekmi, tostarp palielinot Komisijas lomu, tādējādi uzlabojot patērētāju kolektīvās intereses vienotajā tirgū? </w:t>
      </w:r>
    </w:p>
    <w:p w14:paraId="04B236D2" w14:textId="5E1E41A4" w:rsidR="00270EAB" w:rsidRPr="00FF440C" w:rsidRDefault="0086124B" w:rsidP="00270EAB">
      <w:pPr>
        <w:pStyle w:val="ListParagraph"/>
        <w:numPr>
          <w:ilvl w:val="0"/>
          <w:numId w:val="25"/>
        </w:numPr>
        <w:rPr>
          <w:noProof/>
        </w:rPr>
      </w:pPr>
      <w:r>
        <w:rPr>
          <w:noProof/>
        </w:rPr>
        <w:t>Kā palielināt e-izpildes rīku pieejamību, kurus Komisija un SPTAJ iestādes var izmantot ES līmenī un valstu līmenī?</w:t>
      </w:r>
    </w:p>
    <w:p w14:paraId="11443A3E" w14:textId="70C10B99" w:rsidR="001C59A4" w:rsidRPr="00A17B28" w:rsidRDefault="00AF1B0F" w:rsidP="00310EA3">
      <w:pPr>
        <w:rPr>
          <w:noProof/>
        </w:rPr>
      </w:pPr>
      <w:r>
        <w:rPr>
          <w:noProof/>
        </w:rPr>
        <w:t>Lai noteiktu labāko iespējamo veidu, kā izmantot SPTAJ regulējumu mazumtirdzniecības tirgu netraucētai darbībai ES, Komisija pašlaik veic ietekmes novērtējuma pētījumus. Tajos tiek izskatītas visas iespējas, kas pieejamas šajā ziņojumā aprakstīto turpmāko izpildes problēmu risināšanai, lai izlemtu, vai saglabāt pašreizējo regulējumu vai ieviest jaunus tiesību aktus. Tam būtu jākļūst par pamatu, lai Komisija varētu lemt par visefektīvāko politisko reakciju.</w:t>
      </w:r>
    </w:p>
    <w:sectPr w:rsidR="001C59A4" w:rsidRPr="00A17B28" w:rsidSect="004D10F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BC343" w14:textId="77777777" w:rsidR="00F64AA0" w:rsidRDefault="00F64AA0" w:rsidP="00316F69">
      <w:r>
        <w:separator/>
      </w:r>
    </w:p>
  </w:endnote>
  <w:endnote w:type="continuationSeparator" w:id="0">
    <w:p w14:paraId="754ABD5D" w14:textId="77777777" w:rsidR="00F64AA0" w:rsidRDefault="00F64AA0" w:rsidP="0031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CCFCB" w14:textId="5AA34D8D" w:rsidR="00516763" w:rsidRPr="00516763" w:rsidRDefault="00516763" w:rsidP="00516763">
    <w:pPr>
      <w:pStyle w:val="FooterCoverPage"/>
      <w:rPr>
        <w:rFonts w:ascii="Arial" w:hAnsi="Arial" w:cs="Arial"/>
        <w:b/>
        <w:sz w:val="48"/>
      </w:rPr>
    </w:pPr>
    <w:r w:rsidRPr="00516763">
      <w:rPr>
        <w:rFonts w:ascii="Arial" w:hAnsi="Arial" w:cs="Arial"/>
        <w:b/>
        <w:sz w:val="48"/>
      </w:rPr>
      <w:t>LV</w:t>
    </w:r>
    <w:r w:rsidRPr="00516763">
      <w:rPr>
        <w:rFonts w:ascii="Arial" w:hAnsi="Arial" w:cs="Arial"/>
        <w:b/>
        <w:sz w:val="48"/>
      </w:rPr>
      <w:tab/>
    </w:r>
    <w:r w:rsidRPr="00516763">
      <w:rPr>
        <w:rFonts w:ascii="Arial" w:hAnsi="Arial" w:cs="Arial"/>
        <w:b/>
        <w:sz w:val="48"/>
      </w:rPr>
      <w:tab/>
    </w:r>
    <w:r w:rsidRPr="00516763">
      <w:tab/>
    </w:r>
    <w:r w:rsidRPr="00516763">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7740" w14:textId="1EC449D1" w:rsidR="00516763" w:rsidRPr="00516763" w:rsidRDefault="00516763" w:rsidP="00516763">
    <w:pPr>
      <w:pStyle w:val="FooterCoverPage"/>
      <w:rPr>
        <w:rFonts w:ascii="Arial" w:hAnsi="Arial" w:cs="Arial"/>
        <w:b/>
        <w:sz w:val="48"/>
      </w:rPr>
    </w:pPr>
    <w:r w:rsidRPr="00516763">
      <w:rPr>
        <w:rFonts w:ascii="Arial" w:hAnsi="Arial" w:cs="Arial"/>
        <w:b/>
        <w:sz w:val="48"/>
      </w:rPr>
      <w:t>LV</w:t>
    </w:r>
    <w:r w:rsidRPr="00516763">
      <w:rPr>
        <w:rFonts w:ascii="Arial" w:hAnsi="Arial" w:cs="Arial"/>
        <w:b/>
        <w:sz w:val="48"/>
      </w:rPr>
      <w:tab/>
    </w:r>
    <w:r w:rsidRPr="00516763">
      <w:rPr>
        <w:rFonts w:ascii="Arial" w:hAnsi="Arial" w:cs="Arial"/>
        <w:b/>
        <w:sz w:val="48"/>
      </w:rPr>
      <w:tab/>
    </w:r>
    <w:r w:rsidRPr="00516763">
      <w:tab/>
    </w:r>
    <w:r w:rsidRPr="00516763">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83D4" w14:textId="77777777" w:rsidR="00516763" w:rsidRPr="00516763" w:rsidRDefault="00516763" w:rsidP="0051676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F3DE0" w14:textId="77777777" w:rsidR="00332C16" w:rsidRDefault="00332C16" w:rsidP="00316F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672536"/>
      <w:docPartObj>
        <w:docPartGallery w:val="Page Numbers (Bottom of Page)"/>
        <w:docPartUnique/>
      </w:docPartObj>
    </w:sdtPr>
    <w:sdtEndPr>
      <w:rPr>
        <w:noProof/>
      </w:rPr>
    </w:sdtEndPr>
    <w:sdtContent>
      <w:p w14:paraId="2A8D82C2" w14:textId="400C8B16" w:rsidR="00332C16" w:rsidRDefault="00332C16" w:rsidP="00004792">
        <w:pPr>
          <w:pStyle w:val="Footer"/>
          <w:jc w:val="center"/>
        </w:pPr>
        <w:r>
          <w:fldChar w:fldCharType="begin"/>
        </w:r>
        <w:r>
          <w:instrText xml:space="preserve"> PAGE   \* MERGEFORMAT </w:instrText>
        </w:r>
        <w:r>
          <w:fldChar w:fldCharType="separate"/>
        </w:r>
        <w:r w:rsidR="00516763">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B2ED" w14:textId="77777777" w:rsidR="00332C16" w:rsidRDefault="00332C16" w:rsidP="0031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948F" w14:textId="77777777" w:rsidR="00F64AA0" w:rsidRDefault="00F64AA0" w:rsidP="00316F69">
      <w:r>
        <w:separator/>
      </w:r>
    </w:p>
  </w:footnote>
  <w:footnote w:type="continuationSeparator" w:id="0">
    <w:p w14:paraId="387DEC8F" w14:textId="77777777" w:rsidR="00F64AA0" w:rsidRDefault="00F64AA0" w:rsidP="00316F69">
      <w:r>
        <w:continuationSeparator/>
      </w:r>
    </w:p>
  </w:footnote>
  <w:footnote w:id="1">
    <w:p w14:paraId="7070F164" w14:textId="39E70B90" w:rsidR="00332C16" w:rsidRPr="001814D6" w:rsidRDefault="00332C16" w:rsidP="00EF7EC5">
      <w:pPr>
        <w:pStyle w:val="footnote"/>
        <w:rPr>
          <w:iCs/>
          <w:sz w:val="18"/>
          <w:szCs w:val="18"/>
        </w:rPr>
      </w:pPr>
      <w:r>
        <w:rPr>
          <w:rStyle w:val="FootnoteReference"/>
        </w:rPr>
        <w:footnoteRef/>
      </w:r>
      <w:r>
        <w:t xml:space="preserve"> </w:t>
      </w:r>
      <w:r>
        <w:rPr>
          <w:sz w:val="18"/>
        </w:rPr>
        <w:t>Eiropas Parlamenta un Padomes Regula (ES) 2017/2394 (2017. gada 12. decembris) par sadarbību starp valstu iestādēm, kas atbild par tiesību aktu izpildi patērētāju tiesību aizsardzības jomā, un ar ko atceļ Regulu (EK) Nr. 2006/2004 (</w:t>
      </w:r>
      <w:r>
        <w:rPr>
          <w:rStyle w:val="Emphasis"/>
          <w:i w:val="0"/>
          <w:color w:val="333333"/>
          <w:sz w:val="18"/>
        </w:rPr>
        <w:t>OV L 345, 27.12.2017., 1. lpp.)</w:t>
      </w:r>
      <w:r>
        <w:t>.</w:t>
      </w:r>
      <w:r>
        <w:rPr>
          <w:rStyle w:val="Emphasis"/>
          <w:i w:val="0"/>
          <w:color w:val="333333"/>
          <w:sz w:val="18"/>
        </w:rPr>
        <w:t xml:space="preserve"> </w:t>
      </w:r>
    </w:p>
  </w:footnote>
  <w:footnote w:id="2">
    <w:p w14:paraId="37E98D5A" w14:textId="2B1B6167" w:rsidR="00332C16" w:rsidRPr="001814D6" w:rsidRDefault="00332C16" w:rsidP="00EF7EC5">
      <w:pPr>
        <w:pStyle w:val="footnote"/>
        <w:rPr>
          <w:sz w:val="18"/>
          <w:szCs w:val="18"/>
        </w:rPr>
      </w:pPr>
      <w:r>
        <w:rPr>
          <w:rStyle w:val="FootnoteReference"/>
          <w:sz w:val="18"/>
          <w:szCs w:val="18"/>
        </w:rPr>
        <w:footnoteRef/>
      </w:r>
      <w:r>
        <w:t xml:space="preserve"> </w:t>
      </w:r>
      <w:r>
        <w:rPr>
          <w:sz w:val="18"/>
        </w:rPr>
        <w:t>Eiropas Parlamenta un Padomes Regula (EK) Nr. 2006/2004 (2004. gada 27. oktobris) par sadarbību starp valstu iestādēm, kas atbildīgas par tiesību aktu īstenošanu patērētāju tiesību aizsardzības jomā (“Regula par sadarbību patērētāju tiesību aizsardzības jomā”) (</w:t>
      </w:r>
      <w:r>
        <w:rPr>
          <w:rStyle w:val="Emphasis"/>
          <w:i w:val="0"/>
          <w:color w:val="333333"/>
          <w:sz w:val="18"/>
        </w:rPr>
        <w:t>OV L 364, 9.12.2004., 1. lpp.).</w:t>
      </w:r>
    </w:p>
  </w:footnote>
  <w:footnote w:id="3">
    <w:p w14:paraId="15E091A3" w14:textId="31EEE429" w:rsidR="00332C16" w:rsidRPr="001814D6" w:rsidRDefault="00332C16" w:rsidP="00EF7EC5">
      <w:pPr>
        <w:pStyle w:val="footnote"/>
        <w:rPr>
          <w:sz w:val="18"/>
          <w:szCs w:val="18"/>
        </w:rPr>
      </w:pPr>
      <w:r>
        <w:rPr>
          <w:rStyle w:val="FootnoteReference"/>
          <w:sz w:val="18"/>
          <w:szCs w:val="18"/>
        </w:rPr>
        <w:footnoteRef/>
      </w:r>
      <w:r>
        <w:t xml:space="preserve"> </w:t>
      </w:r>
      <w:r>
        <w:rPr>
          <w:i/>
          <w:sz w:val="18"/>
        </w:rPr>
        <w:t>“Information gathering for assisting the European Commission in complying with its obligations under Article 40 (“reporting”) of Regulation (EU) 2017/2394 on Consumer Protection Cooperation”</w:t>
      </w:r>
      <w:r>
        <w:rPr>
          <w:sz w:val="18"/>
        </w:rPr>
        <w:t xml:space="preserve"> – https://op.europa.eu/lv/publication-detail/-/publication/f3eb3b4c-e819-11ee-9ea8-01aa75ed71a1. </w:t>
      </w:r>
    </w:p>
  </w:footnote>
  <w:footnote w:id="4">
    <w:p w14:paraId="6D22830D" w14:textId="5EF581DE" w:rsidR="0000773C" w:rsidRPr="0000773C" w:rsidRDefault="0000773C">
      <w:pPr>
        <w:pStyle w:val="FootnoteText"/>
      </w:pPr>
      <w:r>
        <w:rPr>
          <w:rStyle w:val="FootnoteReference"/>
        </w:rPr>
        <w:footnoteRef/>
      </w:r>
      <w:r>
        <w:t xml:space="preserve"> </w:t>
      </w:r>
      <w:hyperlink r:id="rId1" w:history="1">
        <w:r>
          <w:rPr>
            <w:rStyle w:val="Hyperlink"/>
          </w:rPr>
          <w:t>https://commission.europa.eu/publications/information-gathering-assisting-european-commission-complying-its-obligations-under-article-40_en?prefLang=lv</w:t>
        </w:r>
      </w:hyperlink>
      <w:r>
        <w:t>.</w:t>
      </w:r>
    </w:p>
  </w:footnote>
  <w:footnote w:id="5">
    <w:p w14:paraId="27188BAA" w14:textId="20797864" w:rsidR="00A362C3" w:rsidRPr="00F000A2" w:rsidRDefault="00BA5375" w:rsidP="00A362C3">
      <w:pPr>
        <w:pStyle w:val="footnote"/>
        <w:rPr>
          <w:sz w:val="20"/>
          <w:szCs w:val="20"/>
        </w:rPr>
      </w:pPr>
      <w:r>
        <w:rPr>
          <w:rStyle w:val="FootnoteReference"/>
          <w:sz w:val="20"/>
          <w:szCs w:val="20"/>
        </w:rPr>
        <w:footnoteRef/>
      </w:r>
      <w:r>
        <w:t xml:space="preserve"> </w:t>
      </w:r>
      <w:r>
        <w:rPr>
          <w:sz w:val="20"/>
        </w:rPr>
        <w:t>3. panta 2. punkts: “Savienībā izdarīts pārkāpums” ir jebkura darbība vai bezdarbība, kas ir pretrunā Savienības tiesību aktiem, kuri aizsargā patērētāju intereses, un kas ir radījusi, rada vai varētu radīt kaitējumu tādu patērētāju kolektīvajām interesēm, kuri dzīvo dalībvalstī, kas nav tā pati dalībvalsts, kurā: a) sākusies vai notikusi attiecīgā darbība vai bezdarbība; b) veic uzņēmējdarbību par darbību vai bezdarbību atbildīgais tirgotājs; vai c) atrodas pierādījumi vai tirgotāja aktīvi, kas attiecas uz šo darbību vai bezdarbību.</w:t>
      </w:r>
    </w:p>
    <w:p w14:paraId="73B2BA51" w14:textId="77777777" w:rsidR="00A362C3" w:rsidRPr="00F000A2" w:rsidRDefault="00A362C3" w:rsidP="00A362C3">
      <w:pPr>
        <w:pStyle w:val="footnote"/>
        <w:rPr>
          <w:sz w:val="20"/>
          <w:szCs w:val="20"/>
        </w:rPr>
      </w:pPr>
      <w:r>
        <w:rPr>
          <w:sz w:val="20"/>
        </w:rPr>
        <w:t>3. panta 3. punkts: “plaši izplatīts pārkāpums” ir: a) jebkura darbība vai bezdarbība, kas ir pretrunā Savienības tiesību aktiem, kuri aizsargā patērētāju intereses, un kas ir radījusi, rada vai varētu radīt kaitējumu tādu patērētāju kolektīvajām interesēm, kuri dzīvo vismaz divās dalībvalstīs, no kurām neviena nav tā pati dalībvalsts, kurā: i) sākusies vai notikusi attiecīgā darbība vai bezdarbība; ii) veic uzņēmējdarbību par darbību vai bezdarbību atbildīgais tirgotājs; vai iii) atrodas pierādījumi vai tirgotāja aktīvi, kas attiecas uz šo darbību vai bezdarbību; vai b) jebkuras darbības vai bezdarbības, kas ir pretrunā Savienības tiesību aktiem, kuri aizsargā patērētāju intereses, un kas ir radījušas, rada vai varētu radīt kaitējumu patērētāju kolektīvajām interesēm, un kam ir kopīgas iezīmes, tostarp viena un tā pati nelikumīgā prakse, tiek pārkāptas vienas un tās pašas intereses, un ko viens un tas pats tirgotājs vienlaikus izdara vismaz trīs dalībvalstīs.</w:t>
      </w:r>
    </w:p>
    <w:p w14:paraId="71D6F772" w14:textId="082A1D73" w:rsidR="00BA5375" w:rsidRPr="00F000A2" w:rsidRDefault="00A362C3" w:rsidP="00EF7EC5">
      <w:pPr>
        <w:pStyle w:val="footnote"/>
        <w:rPr>
          <w:sz w:val="20"/>
          <w:szCs w:val="20"/>
        </w:rPr>
      </w:pPr>
      <w:r>
        <w:rPr>
          <w:sz w:val="20"/>
        </w:rPr>
        <w:t xml:space="preserve">4. panta 3. punkts: “Savienības mēroga plaši izplatīts pārkāpums” ir plaši izplatīts pārkāpums, kas ir radījis, rada vai varētu radīt kaitējumu patērētāju kolektīvajām interesēm vismaz divās trešdaļās dalībvalstu, kuru kopējais iedzīvotāju skaits veido vismaz divas trešdaļas no Savienības iedzīvotāju skaita.  </w:t>
      </w:r>
    </w:p>
  </w:footnote>
  <w:footnote w:id="6">
    <w:p w14:paraId="6691ED1F" w14:textId="6386ABD1" w:rsidR="001079B4" w:rsidRPr="001079B4" w:rsidRDefault="001079B4">
      <w:pPr>
        <w:pStyle w:val="FootnoteText"/>
      </w:pPr>
      <w:r>
        <w:rPr>
          <w:rStyle w:val="FootnoteReference"/>
        </w:rPr>
        <w:footnoteRef/>
      </w:r>
      <w:r>
        <w:t xml:space="preserve"> 15.–25. pants. </w:t>
      </w:r>
    </w:p>
  </w:footnote>
  <w:footnote w:id="7">
    <w:p w14:paraId="319C923A" w14:textId="6F54514F" w:rsidR="00A84D7C" w:rsidRPr="005B564A" w:rsidRDefault="00A84D7C" w:rsidP="00EF7EC5">
      <w:pPr>
        <w:pStyle w:val="footnote"/>
        <w:rPr>
          <w:sz w:val="18"/>
          <w:szCs w:val="18"/>
        </w:rPr>
      </w:pPr>
      <w:r>
        <w:rPr>
          <w:rStyle w:val="FootnoteReference"/>
          <w:sz w:val="18"/>
          <w:szCs w:val="18"/>
        </w:rPr>
        <w:footnoteRef/>
      </w:r>
      <w:r>
        <w:t xml:space="preserve"> Pastāv</w:t>
      </w:r>
      <w:r>
        <w:rPr>
          <w:sz w:val="18"/>
        </w:rPr>
        <w:t xml:space="preserve"> šādi dažādi brīdinājumu veidi: i) brīdinājumu informācijai (26. panta 1. un 2. punkts un 28. pants) var izmantot dalībvalstu kompetentās iestādes, ja tām ir aizdomas, ka pārkāpums to teritorijā var ietekmēt patērētājus citās dalībvalstīs; ii) brīdinājumā, kas lūdz veikt pārbaudi (26. panta 4. punkts), iekļauts lūgums kompetentajām iestādēm un Komisijai pārbaudīt, vai citās dalībvalstīs nenotiek līdzīgi iespējami pārkāpumi un/vai jau ir veikti izpildes pasākumi, un iii) brīdinājums saistībā ar iespējamu koordinētu rīcību (17. un 26. pants), ar kuru dalībvalstu kompetentās iestādes informē Komisiju un citas kompetentās iestādes, ja tām ir aizdomas, ka iespējamais Savienības mēroga pārkāpums to teritorijā var ietekmēt patērētājus citās dalībvalstīs.</w:t>
      </w:r>
    </w:p>
  </w:footnote>
  <w:footnote w:id="8">
    <w:p w14:paraId="7FFFBA19" w14:textId="496ED234" w:rsidR="00812947" w:rsidRPr="00812947" w:rsidRDefault="00812947">
      <w:pPr>
        <w:pStyle w:val="FootnoteText"/>
      </w:pPr>
      <w:r>
        <w:rPr>
          <w:rStyle w:val="FootnoteReference"/>
          <w:sz w:val="18"/>
          <w:szCs w:val="18"/>
        </w:rPr>
        <w:footnoteRef/>
      </w:r>
      <w:r>
        <w:t xml:space="preserve"> </w:t>
      </w:r>
      <w:r>
        <w:rPr>
          <w:sz w:val="18"/>
        </w:rPr>
        <w:t>Var kaitēt patērētājiem, kuri dzīvo vismaz divās trešdaļās dalībvalstu un veido vismaz divas trešdaļas ES iedzīvotāju.</w:t>
      </w:r>
      <w:r>
        <w:t xml:space="preserve"> </w:t>
      </w:r>
    </w:p>
  </w:footnote>
  <w:footnote w:id="9">
    <w:p w14:paraId="5F5AFDF2" w14:textId="77777777" w:rsidR="00316F69" w:rsidRPr="005B564A" w:rsidRDefault="00316F69" w:rsidP="00EF7EC5">
      <w:pPr>
        <w:pStyle w:val="footnote"/>
        <w:rPr>
          <w:sz w:val="18"/>
          <w:szCs w:val="18"/>
        </w:rPr>
      </w:pPr>
      <w:r>
        <w:rPr>
          <w:rStyle w:val="FootnoteReference"/>
          <w:sz w:val="18"/>
          <w:szCs w:val="18"/>
        </w:rPr>
        <w:footnoteRef/>
      </w:r>
      <w:r>
        <w:rPr>
          <w:sz w:val="18"/>
        </w:rPr>
        <w:t xml:space="preserve"> </w:t>
      </w:r>
      <w:r>
        <w:rPr>
          <w:i/>
          <w:sz w:val="18"/>
        </w:rPr>
        <w:t>eMarketer</w:t>
      </w:r>
      <w:r>
        <w:rPr>
          <w:sz w:val="18"/>
        </w:rPr>
        <w:t xml:space="preserve">. “Mazumtirdzniecības e-komercijas pārdošanas apjoms pasaulē no 2014. līdz 2026. gadam (miljardos ASV dolāru).” Diagramma. 2022. gada 29. jūlijs. </w:t>
      </w:r>
      <w:r>
        <w:rPr>
          <w:i/>
          <w:sz w:val="18"/>
        </w:rPr>
        <w:t>Statista</w:t>
      </w:r>
      <w:r>
        <w:rPr>
          <w:sz w:val="18"/>
        </w:rPr>
        <w:t xml:space="preserve">. Skatīts 2023. gada 10. janvārī. </w:t>
      </w:r>
      <w:hyperlink r:id="rId2" w:history="1">
        <w:r>
          <w:rPr>
            <w:rStyle w:val="Hyperlink"/>
            <w:sz w:val="18"/>
          </w:rPr>
          <w:t>https://www.statista.com/statistics/379046/worldwide-retail-e-commerce-sales/</w:t>
        </w:r>
      </w:hyperlink>
      <w:r>
        <w:t>.</w:t>
      </w:r>
    </w:p>
  </w:footnote>
  <w:footnote w:id="10">
    <w:p w14:paraId="40CD1E81" w14:textId="4D67A697" w:rsidR="00316F69" w:rsidRPr="00FF440C" w:rsidRDefault="00316F69" w:rsidP="00EF7EC5">
      <w:pPr>
        <w:pStyle w:val="footnote"/>
        <w:rPr>
          <w:sz w:val="18"/>
          <w:szCs w:val="18"/>
        </w:rPr>
      </w:pPr>
      <w:r>
        <w:rPr>
          <w:rStyle w:val="FootnoteReference"/>
          <w:sz w:val="18"/>
          <w:szCs w:val="18"/>
        </w:rPr>
        <w:footnoteRef/>
      </w:r>
      <w:r>
        <w:rPr>
          <w:sz w:val="18"/>
        </w:rPr>
        <w:t xml:space="preserve"> Aplēses pamatā ir</w:t>
      </w:r>
      <w:r>
        <w:rPr>
          <w:rFonts w:ascii="Helvetica" w:hAnsi="Helvetica"/>
          <w:color w:val="444444"/>
          <w:sz w:val="18"/>
          <w:shd w:val="clear" w:color="auto" w:fill="FAFAFA"/>
        </w:rPr>
        <w:t xml:space="preserve"> </w:t>
      </w:r>
      <w:r>
        <w:rPr>
          <w:i/>
          <w:sz w:val="18"/>
        </w:rPr>
        <w:t>eMarketer</w:t>
      </w:r>
      <w:r>
        <w:rPr>
          <w:sz w:val="18"/>
        </w:rPr>
        <w:t xml:space="preserve"> dati. “Kopējais mazumtirdzniecības apjoms pasaulē no 2020. gada līdz 2025. gadam (triljonos ASV dolāru).” Diagramma. 2022. gada 3. februāris. </w:t>
      </w:r>
      <w:r>
        <w:rPr>
          <w:i/>
          <w:sz w:val="18"/>
        </w:rPr>
        <w:t>Statista</w:t>
      </w:r>
      <w:r>
        <w:rPr>
          <w:sz w:val="18"/>
        </w:rPr>
        <w:t xml:space="preserve">. Skatīts 2023. gada 11. janvārī. </w:t>
      </w:r>
      <w:hyperlink r:id="rId3" w:history="1">
        <w:r>
          <w:rPr>
            <w:rStyle w:val="Hyperlink"/>
            <w:sz w:val="18"/>
          </w:rPr>
          <w:t>https://www.statista.com/statistics/443522/global-retail-sales/</w:t>
        </w:r>
      </w:hyperlink>
      <w:r>
        <w:t>.</w:t>
      </w:r>
    </w:p>
  </w:footnote>
  <w:footnote w:id="11">
    <w:p w14:paraId="4C10F6C8" w14:textId="6C54F5AB" w:rsidR="007B51C0" w:rsidRPr="005B564A" w:rsidRDefault="007B51C0" w:rsidP="007B51C0">
      <w:pPr>
        <w:pStyle w:val="footnote"/>
        <w:rPr>
          <w:sz w:val="18"/>
          <w:szCs w:val="18"/>
        </w:rPr>
      </w:pPr>
      <w:r>
        <w:rPr>
          <w:rStyle w:val="FootnoteReference"/>
          <w:sz w:val="18"/>
          <w:szCs w:val="18"/>
        </w:rPr>
        <w:footnoteRef/>
      </w:r>
      <w:r>
        <w:rPr>
          <w:sz w:val="18"/>
        </w:rPr>
        <w:t xml:space="preserve"> </w:t>
      </w:r>
      <w:r>
        <w:rPr>
          <w:i/>
          <w:sz w:val="18"/>
        </w:rPr>
        <w:t>Eurostat</w:t>
      </w:r>
      <w:r>
        <w:rPr>
          <w:sz w:val="18"/>
        </w:rPr>
        <w:t>, Uzņēmumu apgrozījuma daļa e-komercijā – %,</w:t>
      </w:r>
      <w:r>
        <w:t xml:space="preserve"> </w:t>
      </w:r>
      <w:hyperlink r:id="rId4" w:history="1">
        <w:r>
          <w:rPr>
            <w:rStyle w:val="Hyperlink"/>
            <w:sz w:val="18"/>
          </w:rPr>
          <w:t>https://ec.europa.eu/eurostat/databrowser/view/tin00110/default/table?lang=en</w:t>
        </w:r>
      </w:hyperlink>
      <w:r>
        <w:rPr>
          <w:sz w:val="18"/>
        </w:rPr>
        <w:t>. Tiešsaistes datu kods: TIN00110.</w:t>
      </w:r>
      <w:r>
        <w:rPr>
          <w:b/>
          <w:sz w:val="18"/>
        </w:rPr>
        <w:t xml:space="preserve"> </w:t>
      </w:r>
    </w:p>
  </w:footnote>
  <w:footnote w:id="12">
    <w:p w14:paraId="41D84028" w14:textId="77777777" w:rsidR="007B51C0" w:rsidRPr="00316F69" w:rsidRDefault="007B51C0" w:rsidP="007B51C0">
      <w:pPr>
        <w:pStyle w:val="footnote"/>
      </w:pPr>
      <w:r>
        <w:rPr>
          <w:rStyle w:val="FootnoteReference"/>
          <w:sz w:val="18"/>
          <w:szCs w:val="18"/>
        </w:rPr>
        <w:footnoteRef/>
      </w:r>
      <w:r>
        <w:t xml:space="preserve"> </w:t>
      </w:r>
      <w:r>
        <w:rPr>
          <w:sz w:val="18"/>
        </w:rPr>
        <w:t xml:space="preserve">2021. gada Eiropas e-komercijas ziņojums, </w:t>
      </w:r>
      <w:hyperlink r:id="rId5" w:history="1">
        <w:r>
          <w:rPr>
            <w:rStyle w:val="Hyperlink"/>
            <w:sz w:val="18"/>
          </w:rPr>
          <w:t>2021-European-E-commerce-Report-LIGHT-VERSION.pdf (ecommerce-europe.eu)</w:t>
        </w:r>
      </w:hyperlink>
      <w:r>
        <w:t>.</w:t>
      </w:r>
    </w:p>
  </w:footnote>
  <w:footnote w:id="13">
    <w:p w14:paraId="3A95BBD1" w14:textId="77777777" w:rsidR="00316F69" w:rsidRPr="005B564A" w:rsidRDefault="00316F69" w:rsidP="00EF7EC5">
      <w:pPr>
        <w:pStyle w:val="footnote"/>
        <w:rPr>
          <w:sz w:val="18"/>
          <w:szCs w:val="18"/>
        </w:rPr>
      </w:pPr>
      <w:r>
        <w:rPr>
          <w:rStyle w:val="FootnoteReference"/>
          <w:sz w:val="18"/>
          <w:szCs w:val="18"/>
        </w:rPr>
        <w:footnoteRef/>
      </w:r>
      <w:r>
        <w:rPr>
          <w:i/>
          <w:sz w:val="18"/>
        </w:rPr>
        <w:t xml:space="preserve"> WebRetailer, </w:t>
      </w:r>
      <w:hyperlink r:id="rId6" w:history="1">
        <w:r>
          <w:rPr>
            <w:rStyle w:val="Hyperlink"/>
            <w:sz w:val="18"/>
          </w:rPr>
          <w:t>https://www.webretailer.com/b/online-marketplaces/</w:t>
        </w:r>
      </w:hyperlink>
      <w:r>
        <w:rPr>
          <w:sz w:val="18"/>
        </w:rPr>
        <w:t>.</w:t>
      </w:r>
    </w:p>
  </w:footnote>
  <w:footnote w:id="14">
    <w:p w14:paraId="187B85E6" w14:textId="77777777" w:rsidR="00316F69" w:rsidRPr="005B564A" w:rsidRDefault="00316F69" w:rsidP="00EF7EC5">
      <w:pPr>
        <w:pStyle w:val="footnote"/>
        <w:rPr>
          <w:sz w:val="18"/>
          <w:szCs w:val="18"/>
        </w:rPr>
      </w:pPr>
      <w:r>
        <w:rPr>
          <w:rStyle w:val="FootnoteReference"/>
          <w:sz w:val="18"/>
          <w:szCs w:val="18"/>
        </w:rPr>
        <w:footnoteRef/>
      </w:r>
      <w:r>
        <w:rPr>
          <w:sz w:val="18"/>
        </w:rPr>
        <w:t xml:space="preserve"> </w:t>
      </w:r>
      <w:r>
        <w:rPr>
          <w:i/>
          <w:sz w:val="18"/>
        </w:rPr>
        <w:t>eMarketer</w:t>
      </w:r>
      <w:r>
        <w:rPr>
          <w:sz w:val="18"/>
        </w:rPr>
        <w:t xml:space="preserve">, </w:t>
      </w:r>
      <w:hyperlink r:id="rId7" w:history="1">
        <w:r>
          <w:rPr>
            <w:rStyle w:val="Hyperlink"/>
            <w:sz w:val="18"/>
          </w:rPr>
          <w:t>https://www.emarketer.com/content/duopoly-still-rules-global-digital-ad-market-alibaba-amazon-on-prowl</w:t>
        </w:r>
      </w:hyperlink>
      <w:r>
        <w:rPr>
          <w:sz w:val="18"/>
        </w:rPr>
        <w:t xml:space="preserve">. </w:t>
      </w:r>
    </w:p>
  </w:footnote>
  <w:footnote w:id="15">
    <w:p w14:paraId="55CC7D01" w14:textId="77777777" w:rsidR="00316F69" w:rsidRPr="005B564A" w:rsidRDefault="00316F69" w:rsidP="00EF7EC5">
      <w:pPr>
        <w:pStyle w:val="footnote"/>
        <w:rPr>
          <w:sz w:val="18"/>
          <w:szCs w:val="18"/>
        </w:rPr>
      </w:pPr>
      <w:r>
        <w:rPr>
          <w:rStyle w:val="FootnoteReference"/>
          <w:sz w:val="18"/>
          <w:szCs w:val="18"/>
        </w:rPr>
        <w:footnoteRef/>
      </w:r>
      <w:r>
        <w:rPr>
          <w:sz w:val="18"/>
        </w:rPr>
        <w:t xml:space="preserve"> Plašāku informāciju sk. šeit: </w:t>
      </w:r>
      <w:hyperlink r:id="rId8" w:history="1">
        <w:r>
          <w:rPr>
            <w:rStyle w:val="Hyperlink"/>
            <w:i/>
            <w:sz w:val="18"/>
          </w:rPr>
          <w:t>Google and Meta’s Advertising Dominance Fades as TikTok, Streamers Emerge</w:t>
        </w:r>
        <w:r>
          <w:rPr>
            <w:rStyle w:val="Hyperlink"/>
            <w:sz w:val="18"/>
          </w:rPr>
          <w:t xml:space="preserve"> – </w:t>
        </w:r>
        <w:r>
          <w:rPr>
            <w:rStyle w:val="Hyperlink"/>
            <w:i/>
            <w:sz w:val="18"/>
          </w:rPr>
          <w:t>WSJ</w:t>
        </w:r>
      </w:hyperlink>
      <w:r>
        <w:t>.</w:t>
      </w:r>
    </w:p>
  </w:footnote>
  <w:footnote w:id="16">
    <w:p w14:paraId="20E46EE6" w14:textId="5C51EAF3" w:rsidR="00316F69" w:rsidRPr="005B564A" w:rsidRDefault="00316F69" w:rsidP="00EF7EC5">
      <w:pPr>
        <w:pStyle w:val="footnote"/>
        <w:rPr>
          <w:sz w:val="18"/>
          <w:szCs w:val="18"/>
        </w:rPr>
      </w:pPr>
      <w:r>
        <w:rPr>
          <w:rStyle w:val="FootnoteReference"/>
          <w:sz w:val="18"/>
          <w:szCs w:val="18"/>
        </w:rPr>
        <w:footnoteRef/>
      </w:r>
      <w:r>
        <w:rPr>
          <w:sz w:val="18"/>
        </w:rPr>
        <w:t xml:space="preserve"> </w:t>
      </w:r>
      <w:r>
        <w:rPr>
          <w:i/>
          <w:sz w:val="18"/>
        </w:rPr>
        <w:t>Eurostat</w:t>
      </w:r>
      <w:r>
        <w:rPr>
          <w:sz w:val="18"/>
        </w:rPr>
        <w:t>, Pirkumi internetā – pārdevēju izcelsme (no 2020. gada),</w:t>
      </w:r>
      <w:r>
        <w:rPr>
          <w:sz w:val="18"/>
        </w:rPr>
        <w:tab/>
        <w:t xml:space="preserve"> </w:t>
      </w:r>
      <w:hyperlink r:id="rId9" w:history="1">
        <w:r>
          <w:rPr>
            <w:rStyle w:val="Hyperlink"/>
            <w:sz w:val="18"/>
          </w:rPr>
          <w:t>https://ec.europa.eu/eurostat/databrowser/view/ISOC_EC_IBOS__custom_3007818/default/table?lang=en</w:t>
        </w:r>
      </w:hyperlink>
      <w:r>
        <w:rPr>
          <w:sz w:val="18"/>
        </w:rPr>
        <w:t>. Tiešsaistes datu kods: ISOC_EC_IBOS.</w:t>
      </w:r>
    </w:p>
  </w:footnote>
  <w:footnote w:id="17">
    <w:p w14:paraId="4CA560D7" w14:textId="77777777" w:rsidR="00D166B9" w:rsidRPr="004F1CFA" w:rsidRDefault="00D166B9" w:rsidP="00EF7EC5">
      <w:pPr>
        <w:pStyle w:val="footnote"/>
        <w:rPr>
          <w:sz w:val="20"/>
          <w:szCs w:val="20"/>
        </w:rPr>
      </w:pPr>
      <w:r>
        <w:rPr>
          <w:rStyle w:val="FootnoteReference"/>
          <w:sz w:val="18"/>
          <w:szCs w:val="18"/>
        </w:rPr>
        <w:footnoteRef/>
      </w:r>
      <w:r>
        <w:t xml:space="preserve"> </w:t>
      </w:r>
      <w:r>
        <w:rPr>
          <w:i/>
          <w:sz w:val="18"/>
        </w:rPr>
        <w:t>Statista</w:t>
      </w:r>
      <w:r>
        <w:rPr>
          <w:sz w:val="18"/>
        </w:rPr>
        <w:t xml:space="preserve">, 2021, Ietekmētāju tirgvedības tirgus lielums 2016.–2021. gadā. Pieejams: </w:t>
      </w:r>
      <w:hyperlink r:id="rId10" w:history="1">
        <w:r>
          <w:rPr>
            <w:rStyle w:val="Hyperlink"/>
            <w:sz w:val="18"/>
          </w:rPr>
          <w:t>https://www.statista.com/statistics/1092819/global-influencer-market-size/</w:t>
        </w:r>
      </w:hyperlink>
      <w:r>
        <w:rPr>
          <w:sz w:val="18"/>
        </w:rPr>
        <w:t>.</w:t>
      </w:r>
    </w:p>
  </w:footnote>
  <w:footnote w:id="18">
    <w:p w14:paraId="0689A8D0" w14:textId="77777777" w:rsidR="008E32E0" w:rsidRPr="005B564A" w:rsidRDefault="008E32E0" w:rsidP="008E32E0">
      <w:pPr>
        <w:pStyle w:val="footnote"/>
        <w:rPr>
          <w:sz w:val="18"/>
          <w:szCs w:val="18"/>
        </w:rPr>
      </w:pPr>
      <w:r>
        <w:rPr>
          <w:rStyle w:val="FootnoteReference"/>
          <w:sz w:val="18"/>
          <w:szCs w:val="18"/>
        </w:rPr>
        <w:footnoteRef/>
      </w:r>
      <w:r>
        <w:t xml:space="preserve"> </w:t>
      </w:r>
      <w:r>
        <w:rPr>
          <w:sz w:val="18"/>
        </w:rPr>
        <w:t xml:space="preserve">Simpson E. (2021). </w:t>
      </w:r>
      <w:r>
        <w:rPr>
          <w:i/>
          <w:sz w:val="18"/>
        </w:rPr>
        <w:t>TikTok jumps on online shopping bandwagon</w:t>
      </w:r>
      <w:r>
        <w:rPr>
          <w:sz w:val="18"/>
        </w:rPr>
        <w:t xml:space="preserve">, </w:t>
      </w:r>
      <w:r>
        <w:rPr>
          <w:i/>
          <w:sz w:val="18"/>
        </w:rPr>
        <w:t>BBC</w:t>
      </w:r>
      <w:r>
        <w:rPr>
          <w:sz w:val="18"/>
        </w:rPr>
        <w:t xml:space="preserve">, pieejams šeit: </w:t>
      </w:r>
      <w:hyperlink r:id="rId11" w:history="1">
        <w:hyperlink r:id="rId12" w:history="1">
          <w:r>
            <w:rPr>
              <w:sz w:val="18"/>
            </w:rPr>
            <w:t>https://www.bbc.com/news/business-59563238</w:t>
          </w:r>
        </w:hyperlink>
      </w:hyperlink>
      <w:r>
        <w:rPr>
          <w:sz w:val="18"/>
        </w:rPr>
        <w:t>.</w:t>
      </w:r>
    </w:p>
  </w:footnote>
  <w:footnote w:id="19">
    <w:p w14:paraId="6A1DF592" w14:textId="77777777" w:rsidR="008E32E0" w:rsidRPr="005B564A" w:rsidRDefault="008E32E0" w:rsidP="008E32E0">
      <w:pPr>
        <w:pStyle w:val="footnote"/>
        <w:rPr>
          <w:sz w:val="18"/>
          <w:szCs w:val="18"/>
        </w:rPr>
      </w:pPr>
      <w:r>
        <w:rPr>
          <w:rStyle w:val="FootnoteReference"/>
          <w:sz w:val="18"/>
          <w:szCs w:val="18"/>
        </w:rPr>
        <w:footnoteRef/>
      </w:r>
      <w:r>
        <w:rPr>
          <w:sz w:val="18"/>
        </w:rPr>
        <w:t xml:space="preserve"> Turpat.</w:t>
      </w:r>
    </w:p>
  </w:footnote>
  <w:footnote w:id="20">
    <w:p w14:paraId="1A62E338" w14:textId="77777777" w:rsidR="008E32E0" w:rsidRPr="005B564A" w:rsidRDefault="008E32E0" w:rsidP="008E32E0">
      <w:pPr>
        <w:pStyle w:val="footnote"/>
        <w:rPr>
          <w:sz w:val="18"/>
          <w:szCs w:val="18"/>
        </w:rPr>
      </w:pPr>
      <w:r>
        <w:rPr>
          <w:rStyle w:val="FootnoteReference"/>
          <w:sz w:val="18"/>
          <w:szCs w:val="18"/>
        </w:rPr>
        <w:footnoteRef/>
      </w:r>
      <w:r>
        <w:rPr>
          <w:sz w:val="18"/>
        </w:rPr>
        <w:t xml:space="preserve"> </w:t>
      </w:r>
      <w:r>
        <w:rPr>
          <w:i/>
          <w:sz w:val="18"/>
        </w:rPr>
        <w:t>Shopify</w:t>
      </w:r>
      <w:r>
        <w:rPr>
          <w:sz w:val="18"/>
        </w:rPr>
        <w:t xml:space="preserve">. </w:t>
      </w:r>
      <w:r>
        <w:rPr>
          <w:i/>
          <w:sz w:val="18"/>
        </w:rPr>
        <w:t>Grow your business with Facebook and Instagram — from one place</w:t>
      </w:r>
      <w:r>
        <w:rPr>
          <w:sz w:val="18"/>
        </w:rPr>
        <w:t xml:space="preserve">, pieejams šeit: </w:t>
      </w:r>
      <w:hyperlink r:id="rId13" w:history="1">
        <w:hyperlink r:id="rId14" w:history="1">
          <w:r>
            <w:rPr>
              <w:sz w:val="18"/>
            </w:rPr>
            <w:t>https://www.shopify.com/facebook-instagram</w:t>
          </w:r>
        </w:hyperlink>
      </w:hyperlink>
      <w:r>
        <w:rPr>
          <w:sz w:val="18"/>
        </w:rPr>
        <w:t>.</w:t>
      </w:r>
    </w:p>
  </w:footnote>
  <w:footnote w:id="21">
    <w:p w14:paraId="40F5B2CA" w14:textId="4920890F" w:rsidR="00E03421" w:rsidRPr="006C5F81" w:rsidRDefault="00E03421" w:rsidP="00E03421">
      <w:pPr>
        <w:pStyle w:val="footnote"/>
        <w:rPr>
          <w:sz w:val="18"/>
          <w:szCs w:val="18"/>
        </w:rPr>
      </w:pPr>
      <w:r>
        <w:rPr>
          <w:rStyle w:val="FootnoteReference"/>
          <w:sz w:val="18"/>
          <w:szCs w:val="18"/>
        </w:rPr>
        <w:footnoteRef/>
      </w:r>
      <w:r>
        <w:rPr>
          <w:sz w:val="18"/>
        </w:rPr>
        <w:t xml:space="preserve"> https://commission.europa.eu/document/89ea35fe-728f-4749-b95d-88544687583c_en</w:t>
      </w:r>
      <w:r w:rsidR="00EE71A4" w:rsidRPr="006C5F81">
        <w:fldChar w:fldCharType="begin"/>
      </w:r>
      <w:r w:rsidR="00EE71A4" w:rsidRPr="006C5F81">
        <w:instrText>"https://commission.europa.eu/system/files/2023-10/consumer_conditions_scoreboard_2023_v1.1.pdf"</w:instrText>
      </w:r>
      <w:r w:rsidR="00EE71A4" w:rsidRPr="006C5F81">
        <w:fldChar w:fldCharType="separate"/>
      </w:r>
      <w:r w:rsidRPr="00C12A34">
        <w:rPr>
          <w:rStyle w:val="Hyperlink"/>
          <w:sz w:val="18"/>
        </w:rPr>
        <w:t>https://commission.europa.eu/system/files/2023-10/consumer_conditions_scoreboard_2023_v1.1.pdf</w:t>
      </w:r>
      <w:r w:rsidR="00EE71A4" w:rsidRPr="006C5F81">
        <w:rPr>
          <w:rStyle w:val="Hyperlink"/>
          <w:sz w:val="18"/>
        </w:rPr>
        <w:fldChar w:fldCharType="end"/>
      </w:r>
      <w:r>
        <w:rPr>
          <w:sz w:val="18"/>
        </w:rPr>
        <w:t>, 18. lpp.</w:t>
      </w:r>
    </w:p>
  </w:footnote>
  <w:footnote w:id="22">
    <w:p w14:paraId="41FDBDEC" w14:textId="77777777" w:rsidR="00316F69" w:rsidRPr="00F54937" w:rsidRDefault="00316F69" w:rsidP="00BF3783">
      <w:pPr>
        <w:pStyle w:val="footnote"/>
        <w:rPr>
          <w:sz w:val="18"/>
          <w:szCs w:val="18"/>
        </w:rPr>
      </w:pPr>
      <w:r>
        <w:rPr>
          <w:rStyle w:val="FootnoteReference"/>
          <w:sz w:val="18"/>
          <w:szCs w:val="18"/>
        </w:rPr>
        <w:footnoteRef/>
      </w:r>
      <w:r>
        <w:t xml:space="preserve"> </w:t>
      </w:r>
      <w:r>
        <w:rPr>
          <w:sz w:val="18"/>
        </w:rPr>
        <w:t xml:space="preserve">E-komercijas statistika par privātpersonām, </w:t>
      </w:r>
      <w:hyperlink r:id="rId15" w:anchor="Purchasing_online_and_problems_encountered" w:history="1">
        <w:r>
          <w:rPr>
            <w:rStyle w:val="Hyperlink"/>
            <w:sz w:val="18"/>
          </w:rPr>
          <w:t>https://ec.europa.eu/eurostat/statistics-explained/index.php?title=E-commerce_statistics_for_individuals#Purchasing_online_and_problems_encountered</w:t>
        </w:r>
      </w:hyperlink>
      <w:r>
        <w:rPr>
          <w:sz w:val="18"/>
        </w:rPr>
        <w:t xml:space="preserve">. </w:t>
      </w:r>
    </w:p>
  </w:footnote>
  <w:footnote w:id="23">
    <w:p w14:paraId="3E6BF0C2" w14:textId="77777777" w:rsidR="00316F69" w:rsidRPr="00316F69" w:rsidRDefault="00316F69" w:rsidP="00BF3783">
      <w:pPr>
        <w:pStyle w:val="footnote"/>
      </w:pPr>
      <w:r>
        <w:rPr>
          <w:rStyle w:val="FootnoteReference"/>
          <w:sz w:val="18"/>
          <w:szCs w:val="18"/>
        </w:rPr>
        <w:footnoteRef/>
      </w:r>
      <w:r>
        <w:rPr>
          <w:sz w:val="18"/>
        </w:rPr>
        <w:t xml:space="preserve"> Sk. </w:t>
      </w:r>
      <w:r>
        <w:rPr>
          <w:i/>
          <w:sz w:val="18"/>
        </w:rPr>
        <w:t>Consumer Condition Survey:</w:t>
      </w:r>
      <w:r>
        <w:rPr>
          <w:sz w:val="18"/>
        </w:rPr>
        <w:t xml:space="preserve"> </w:t>
      </w:r>
      <w:r>
        <w:rPr>
          <w:i/>
          <w:sz w:val="18"/>
        </w:rPr>
        <w:t>Consumers at home in the single market – 2021 edition</w:t>
      </w:r>
      <w:r>
        <w:rPr>
          <w:sz w:val="18"/>
        </w:rPr>
        <w:t xml:space="preserve">, pieejams šeit: </w:t>
      </w:r>
      <w:hyperlink r:id="rId16" w:history="1">
        <w:r>
          <w:rPr>
            <w:rStyle w:val="Hyperlink"/>
            <w:sz w:val="18"/>
          </w:rPr>
          <w:t>https://commission.europa.eu/system/files/2021-03/ccs_ppt_120321_final.pdf</w:t>
        </w:r>
      </w:hyperlink>
      <w:r>
        <w:t xml:space="preserve">. </w:t>
      </w:r>
    </w:p>
  </w:footnote>
  <w:footnote w:id="24">
    <w:p w14:paraId="0F06FDCF" w14:textId="77777777" w:rsidR="00A111CA" w:rsidRPr="005B564A" w:rsidRDefault="00A111CA" w:rsidP="00A111CA">
      <w:pPr>
        <w:pStyle w:val="footnote"/>
        <w:rPr>
          <w:sz w:val="18"/>
          <w:szCs w:val="18"/>
        </w:rPr>
      </w:pPr>
      <w:r>
        <w:rPr>
          <w:rStyle w:val="FootnoteReference"/>
          <w:sz w:val="18"/>
          <w:szCs w:val="18"/>
        </w:rPr>
        <w:footnoteRef/>
      </w:r>
      <w:r>
        <w:rPr>
          <w:sz w:val="18"/>
        </w:rPr>
        <w:t xml:space="preserve"> </w:t>
      </w:r>
      <w:r>
        <w:rPr>
          <w:i/>
          <w:sz w:val="18"/>
        </w:rPr>
        <w:t>Behavioural study on unfair commercial practices in the digital environment:</w:t>
      </w:r>
      <w:r>
        <w:rPr>
          <w:sz w:val="18"/>
        </w:rPr>
        <w:t xml:space="preserve"> </w:t>
      </w:r>
      <w:r>
        <w:rPr>
          <w:i/>
          <w:sz w:val="18"/>
        </w:rPr>
        <w:t>Dark patterns and manipulative personalization</w:t>
      </w:r>
      <w:r>
        <w:rPr>
          <w:sz w:val="18"/>
        </w:rPr>
        <w:t xml:space="preserve">, Eiropas Komisija, </w:t>
      </w:r>
      <w:r>
        <w:rPr>
          <w:i/>
          <w:sz w:val="18"/>
        </w:rPr>
        <w:t>Open Evidence</w:t>
      </w:r>
      <w:r>
        <w:rPr>
          <w:sz w:val="18"/>
        </w:rPr>
        <w:t xml:space="preserve"> vadītais konsorcijs (2022), </w:t>
      </w:r>
      <w:hyperlink r:id="rId17" w:history="1">
        <w:r>
          <w:rPr>
            <w:rStyle w:val="Hyperlink"/>
            <w:sz w:val="18"/>
          </w:rPr>
          <w:t>https://op.europa.eu/en/publication-detail/-/publication/606365bc-d58b-11ec-a95f-01aa75ed71a1/language-en/format-PDF/source-257599418</w:t>
        </w:r>
      </w:hyperlink>
      <w:r>
        <w:rPr>
          <w:sz w:val="18"/>
        </w:rPr>
        <w:t xml:space="preserve">. </w:t>
      </w:r>
    </w:p>
  </w:footnote>
  <w:footnote w:id="25">
    <w:p w14:paraId="1A439EC1" w14:textId="77777777" w:rsidR="00A111CA" w:rsidRPr="005B564A" w:rsidRDefault="00A111CA" w:rsidP="00A111CA">
      <w:pPr>
        <w:pStyle w:val="footnote"/>
        <w:rPr>
          <w:sz w:val="18"/>
          <w:szCs w:val="18"/>
        </w:rPr>
      </w:pPr>
      <w:r>
        <w:rPr>
          <w:rStyle w:val="FootnoteReference"/>
          <w:sz w:val="18"/>
          <w:szCs w:val="18"/>
        </w:rPr>
        <w:footnoteRef/>
      </w:r>
      <w:r>
        <w:t xml:space="preserve"> </w:t>
      </w:r>
      <w:r>
        <w:rPr>
          <w:sz w:val="18"/>
        </w:rPr>
        <w:t>Viens no izplatītākajiem maldinošo saskarņu veidiem, kas konstatēti pētījumā, bija 1) slēpta informācija/viltus hierarhija, 2) priekšatlase, 3) uzmākšanās (piemēram, uznirstošie logi, kas aicina uzaicināt citus cilvēkus vai iemaksāt vairāk naudas tīmekļa vietnē), 4) sarežģīta atcelšana un 5) piespiedu reģistrācija.</w:t>
      </w:r>
    </w:p>
  </w:footnote>
  <w:footnote w:id="26">
    <w:p w14:paraId="0CC55413" w14:textId="77777777" w:rsidR="00A111CA" w:rsidRPr="005B564A" w:rsidRDefault="00A111CA" w:rsidP="00A111CA">
      <w:pPr>
        <w:pStyle w:val="footnote"/>
        <w:rPr>
          <w:sz w:val="18"/>
          <w:szCs w:val="18"/>
        </w:rPr>
      </w:pPr>
      <w:r>
        <w:rPr>
          <w:rStyle w:val="FootnoteReference"/>
          <w:sz w:val="18"/>
          <w:szCs w:val="18"/>
        </w:rPr>
        <w:footnoteRef/>
      </w:r>
      <w:r>
        <w:t xml:space="preserve"> </w:t>
      </w:r>
      <w:r>
        <w:rPr>
          <w:sz w:val="18"/>
        </w:rPr>
        <w:t xml:space="preserve">Preses paziņojums pieejams šeit: </w:t>
      </w:r>
      <w:hyperlink r:id="rId18" w:history="1">
        <w:r>
          <w:rPr>
            <w:rStyle w:val="Hyperlink"/>
            <w:sz w:val="18"/>
          </w:rPr>
          <w:t>https://ec.europa.eu/commission/presscorner/detail/lv/ip_23_418</w:t>
        </w:r>
      </w:hyperlink>
      <w:r>
        <w:rPr>
          <w:sz w:val="18"/>
        </w:rPr>
        <w:t xml:space="preserve">. </w:t>
      </w:r>
    </w:p>
  </w:footnote>
  <w:footnote w:id="27">
    <w:p w14:paraId="28DB76DB" w14:textId="77777777" w:rsidR="00ED1DD5" w:rsidRPr="001814D6" w:rsidRDefault="00ED1DD5" w:rsidP="00ED1DD5">
      <w:pPr>
        <w:pStyle w:val="footnote"/>
        <w:rPr>
          <w:sz w:val="18"/>
          <w:szCs w:val="18"/>
        </w:rPr>
      </w:pPr>
      <w:r>
        <w:rPr>
          <w:rStyle w:val="FootnoteReference"/>
          <w:sz w:val="18"/>
          <w:szCs w:val="18"/>
        </w:rPr>
        <w:footnoteRef/>
      </w:r>
      <w:r>
        <w:rPr>
          <w:sz w:val="18"/>
        </w:rPr>
        <w:t xml:space="preserve"> </w:t>
      </w:r>
      <w:bookmarkStart w:id="40" w:name="_Hlk165629472"/>
      <w:r>
        <w:rPr>
          <w:i/>
          <w:sz w:val="18"/>
        </w:rPr>
        <w:t>“Information gathering for assisting the European Commission in complying with its obligations under Article 40 (“reporting”) of Regulation (EU) 2017/2394 on Consumer Protection Cooperation”</w:t>
      </w:r>
      <w:r>
        <w:rPr>
          <w:sz w:val="18"/>
        </w:rPr>
        <w:t xml:space="preserve"> – https://op.europa.eu/lv/publication-detail/-/publication/f3eb3b4c-e819-11ee-9ea8-01aa75ed71a1. </w:t>
      </w:r>
    </w:p>
    <w:bookmarkEnd w:id="40"/>
  </w:footnote>
  <w:footnote w:id="28">
    <w:p w14:paraId="1E0BAF7A" w14:textId="7970F38E" w:rsidR="0000773C" w:rsidRPr="0000773C" w:rsidRDefault="0000773C">
      <w:pPr>
        <w:pStyle w:val="FootnoteText"/>
      </w:pPr>
      <w:r>
        <w:rPr>
          <w:rStyle w:val="FootnoteReference"/>
        </w:rPr>
        <w:footnoteRef/>
      </w:r>
      <w:r>
        <w:t xml:space="preserve"> </w:t>
      </w:r>
      <w:hyperlink r:id="rId19" w:history="1">
        <w:r>
          <w:rPr>
            <w:rStyle w:val="Hyperlink"/>
          </w:rPr>
          <w:t>https://commission.europa.eu/publications/information-gathering-assisting-european-commission-complying-its-obligations-under-article-40_en?prefLang=lv</w:t>
        </w:r>
      </w:hyperlink>
      <w:r>
        <w:t>.</w:t>
      </w:r>
    </w:p>
  </w:footnote>
  <w:footnote w:id="29">
    <w:p w14:paraId="0B1BE708" w14:textId="31E91DFC" w:rsidR="0071418A" w:rsidRPr="00B443E3" w:rsidRDefault="0071418A" w:rsidP="00DA78B8">
      <w:pPr>
        <w:pStyle w:val="footnote"/>
        <w:rPr>
          <w:sz w:val="18"/>
          <w:szCs w:val="18"/>
        </w:rPr>
      </w:pPr>
      <w:r>
        <w:rPr>
          <w:rStyle w:val="FootnoteReference"/>
          <w:sz w:val="18"/>
          <w:szCs w:val="18"/>
        </w:rPr>
        <w:footnoteRef/>
      </w:r>
      <w:r>
        <w:t xml:space="preserve"> </w:t>
      </w:r>
      <w:r>
        <w:rPr>
          <w:sz w:val="18"/>
        </w:rPr>
        <w:t xml:space="preserve">Mehānismu izmanto tikai aptuveni puse no struktūrām, kurām ir tiesības iesniegt ārējus brīdinājumus. Iespējamie galvenie iemesli ir šādi: i) dažas organizācijas dod priekšroku tieši brīdināt iestādes, nevis izmantojot sistēmu; ii) dažas organizācijas nesaskārās ar attiecīgiem pārkāpumiem, par kuriem būtu jāziņo iii) informācijas trūkums par tirgotāju, lai varētu izdot brīdinājumu, vai uzskats, ka procedūra ir sarežģīta. </w:t>
      </w:r>
    </w:p>
  </w:footnote>
  <w:footnote w:id="30">
    <w:p w14:paraId="7660767E" w14:textId="093CD64F" w:rsidR="00D87B6B" w:rsidRPr="00B443E3" w:rsidRDefault="00D87B6B" w:rsidP="00DA78B8">
      <w:pPr>
        <w:pStyle w:val="footnote"/>
        <w:rPr>
          <w:sz w:val="18"/>
          <w:szCs w:val="18"/>
        </w:rPr>
      </w:pPr>
      <w:r>
        <w:rPr>
          <w:rStyle w:val="FootnoteReference"/>
          <w:sz w:val="18"/>
          <w:szCs w:val="18"/>
        </w:rPr>
        <w:footnoteRef/>
      </w:r>
      <w:r>
        <w:t xml:space="preserve"> </w:t>
      </w:r>
      <w:hyperlink r:id="rId20" w:history="1">
        <w:r>
          <w:rPr>
            <w:rStyle w:val="Hyperlink"/>
            <w:sz w:val="18"/>
          </w:rPr>
          <w:t>https://commission.europa.eu/live-work-travel-eu/consumer-rights-and-complaints/enforcement-consumer-protection/coordinated-actions/air-travel_lv</w:t>
        </w:r>
      </w:hyperlink>
      <w:r>
        <w:t>.</w:t>
      </w:r>
      <w:r>
        <w:rPr>
          <w:sz w:val="18"/>
        </w:rPr>
        <w:t xml:space="preserve"> </w:t>
      </w:r>
    </w:p>
  </w:footnote>
  <w:footnote w:id="31">
    <w:p w14:paraId="3E2D666A" w14:textId="33025A43" w:rsidR="00AE5654" w:rsidRPr="00AE5654" w:rsidRDefault="00AE5654">
      <w:pPr>
        <w:pStyle w:val="FootnoteText"/>
      </w:pPr>
      <w:r>
        <w:rPr>
          <w:rStyle w:val="FootnoteReference"/>
        </w:rPr>
        <w:footnoteRef/>
      </w:r>
      <w:r>
        <w:t xml:space="preserve"> Iestādes, tirgotāji un patērētāju organizācijas. </w:t>
      </w:r>
    </w:p>
  </w:footnote>
  <w:footnote w:id="32">
    <w:p w14:paraId="52E4A0B2" w14:textId="1CDEF643" w:rsidR="00DA78B8" w:rsidRPr="0000773C" w:rsidRDefault="00DA78B8" w:rsidP="00DA78B8">
      <w:pPr>
        <w:pStyle w:val="FootnoteText"/>
      </w:pPr>
      <w:r>
        <w:rPr>
          <w:rStyle w:val="FootnoteReference"/>
        </w:rPr>
        <w:footnoteRef/>
      </w:r>
      <w:r>
        <w:t xml:space="preserve"> ERP Īpašais ziņojums Nr. 15/2021, 13. lpp.: </w:t>
      </w:r>
      <w:hyperlink r:id="rId21">
        <w:r>
          <w:rPr>
            <w:rStyle w:val="Hyperlink"/>
          </w:rPr>
          <w:t>Īpašais ziņojums 15/2021:</w:t>
        </w:r>
      </w:hyperlink>
      <w:hyperlink r:id="rId22">
        <w:r>
          <w:rPr>
            <w:rStyle w:val="Hyperlink"/>
          </w:rPr>
          <w:t xml:space="preserve"> Aviopasažieru tiesības Covid-19 pandēmijas laikā:</w:t>
        </w:r>
      </w:hyperlink>
      <w:hyperlink r:id="rId23">
        <w:r>
          <w:rPr>
            <w:rStyle w:val="Hyperlink"/>
          </w:rPr>
          <w:t xml:space="preserve"> (europa.eu)</w:t>
        </w:r>
      </w:hyperlink>
      <w:r>
        <w:t>.</w:t>
      </w:r>
    </w:p>
  </w:footnote>
  <w:footnote w:id="33">
    <w:p w14:paraId="4BCE38B1" w14:textId="392C6025" w:rsidR="00D87B6B" w:rsidRPr="0000773C" w:rsidRDefault="00D87B6B" w:rsidP="00DA78B8">
      <w:pPr>
        <w:pStyle w:val="footnote"/>
        <w:rPr>
          <w:sz w:val="20"/>
          <w:szCs w:val="20"/>
        </w:rPr>
      </w:pPr>
      <w:r>
        <w:rPr>
          <w:rStyle w:val="FootnoteReference"/>
          <w:sz w:val="20"/>
          <w:szCs w:val="20"/>
        </w:rPr>
        <w:footnoteRef/>
      </w:r>
      <w:r>
        <w:t xml:space="preserve"> </w:t>
      </w:r>
      <w:hyperlink r:id="rId24" w:anchor="aliexpress-and-wish" w:history="1">
        <w:r>
          <w:rPr>
            <w:rStyle w:val="Hyperlink"/>
            <w:sz w:val="20"/>
          </w:rPr>
          <w:t>https://commission.europa.eu/live-work-travel-eu/consumer-rights-and-complaints/enforcement-consumer-protection/coordinated-actions/market-places-and-digital-services_lv#aliexpress-and-wish</w:t>
        </w:r>
      </w:hyperlink>
      <w:r>
        <w:t>.</w:t>
      </w:r>
      <w:r>
        <w:rPr>
          <w:sz w:val="20"/>
        </w:rPr>
        <w:t xml:space="preserve"> </w:t>
      </w:r>
    </w:p>
  </w:footnote>
  <w:footnote w:id="34">
    <w:p w14:paraId="14595C96" w14:textId="4576D22F" w:rsidR="00D87B6B" w:rsidRPr="0000773C" w:rsidRDefault="00D87B6B" w:rsidP="00DA78B8">
      <w:pPr>
        <w:pStyle w:val="footnote"/>
        <w:rPr>
          <w:sz w:val="20"/>
          <w:szCs w:val="20"/>
        </w:rPr>
      </w:pPr>
      <w:r>
        <w:rPr>
          <w:rStyle w:val="FootnoteReference"/>
          <w:sz w:val="20"/>
          <w:szCs w:val="20"/>
        </w:rPr>
        <w:footnoteRef/>
      </w:r>
      <w:r>
        <w:t xml:space="preserve"> </w:t>
      </w:r>
      <w:hyperlink r:id="rId25" w:history="1">
        <w:r>
          <w:rPr>
            <w:rStyle w:val="Hyperlink"/>
            <w:sz w:val="20"/>
          </w:rPr>
          <w:t>https://commission.europa.eu/live-work-travel-eu/consumer-rights-and-complaints/enforcement-consumer-protection/coordinated-actions/other-travel-services_lv</w:t>
        </w:r>
      </w:hyperlink>
      <w:r>
        <w:t>.</w:t>
      </w:r>
      <w:r>
        <w:rPr>
          <w:sz w:val="20"/>
        </w:rPr>
        <w:t xml:space="preserve"> </w:t>
      </w:r>
    </w:p>
  </w:footnote>
  <w:footnote w:id="35">
    <w:p w14:paraId="22C03F06" w14:textId="52A1E739" w:rsidR="00D72F5D" w:rsidRPr="0000773C" w:rsidRDefault="00D72F5D" w:rsidP="00D72F5D">
      <w:pPr>
        <w:pStyle w:val="footnote"/>
        <w:rPr>
          <w:sz w:val="20"/>
          <w:szCs w:val="20"/>
        </w:rPr>
      </w:pPr>
      <w:r>
        <w:rPr>
          <w:rStyle w:val="FootnoteReference"/>
          <w:sz w:val="20"/>
          <w:szCs w:val="20"/>
        </w:rPr>
        <w:footnoteRef/>
      </w:r>
      <w:r>
        <w:t xml:space="preserve"> </w:t>
      </w:r>
      <w:r>
        <w:rPr>
          <w:sz w:val="20"/>
        </w:rPr>
        <w:t xml:space="preserve">Sk. pētījuma 72. un 73. lpp. </w:t>
      </w:r>
    </w:p>
    <w:p w14:paraId="2DE41A21" w14:textId="443E9695" w:rsidR="00D72F5D" w:rsidRPr="00D72F5D" w:rsidRDefault="00D72F5D">
      <w:pPr>
        <w:pStyle w:val="FootnoteText"/>
      </w:pPr>
    </w:p>
  </w:footnote>
  <w:footnote w:id="36">
    <w:p w14:paraId="2B32E052" w14:textId="03A43CBC" w:rsidR="0092768A" w:rsidRPr="00C27C15" w:rsidRDefault="0092768A" w:rsidP="002178F2">
      <w:pPr>
        <w:pStyle w:val="footnote"/>
        <w:rPr>
          <w:sz w:val="20"/>
          <w:szCs w:val="20"/>
        </w:rPr>
      </w:pPr>
      <w:r>
        <w:rPr>
          <w:rStyle w:val="FootnoteReference"/>
          <w:sz w:val="20"/>
          <w:szCs w:val="20"/>
        </w:rPr>
        <w:footnoteRef/>
      </w:r>
      <w:r>
        <w:rPr>
          <w:sz w:val="20"/>
        </w:rPr>
        <w:t xml:space="preserve"> Sk. pētījuma 70. lpp.</w:t>
      </w:r>
    </w:p>
  </w:footnote>
  <w:footnote w:id="37">
    <w:p w14:paraId="75A80DF8" w14:textId="6F025335" w:rsidR="0092768A" w:rsidRPr="00C27C15" w:rsidRDefault="0092768A" w:rsidP="002178F2">
      <w:pPr>
        <w:pStyle w:val="footnote"/>
        <w:rPr>
          <w:sz w:val="20"/>
          <w:szCs w:val="20"/>
        </w:rPr>
      </w:pPr>
      <w:r>
        <w:rPr>
          <w:rStyle w:val="FootnoteReference"/>
          <w:sz w:val="20"/>
          <w:szCs w:val="20"/>
        </w:rPr>
        <w:footnoteRef/>
      </w:r>
      <w:r>
        <w:rPr>
          <w:sz w:val="20"/>
        </w:rPr>
        <w:t xml:space="preserve"> Turpat.</w:t>
      </w:r>
    </w:p>
  </w:footnote>
  <w:footnote w:id="38">
    <w:p w14:paraId="24E50B29" w14:textId="59EA7546" w:rsidR="002178F2" w:rsidRPr="00F000A2" w:rsidRDefault="002178F2" w:rsidP="00731224">
      <w:pPr>
        <w:pStyle w:val="footnote"/>
        <w:rPr>
          <w:sz w:val="20"/>
          <w:szCs w:val="20"/>
        </w:rPr>
      </w:pPr>
      <w:r>
        <w:rPr>
          <w:rStyle w:val="FootnoteReference"/>
          <w:sz w:val="20"/>
          <w:szCs w:val="20"/>
        </w:rPr>
        <w:footnoteRef/>
      </w:r>
      <w:r>
        <w:rPr>
          <w:sz w:val="20"/>
        </w:rPr>
        <w:t xml:space="preserve"> Sk. pētījuma </w:t>
      </w:r>
      <w:bookmarkStart w:id="65" w:name="_Hlk165639770"/>
      <w:r>
        <w:rPr>
          <w:sz w:val="20"/>
        </w:rPr>
        <w:t>81.–82. lpp.</w:t>
      </w:r>
      <w:bookmarkEnd w:id="65"/>
    </w:p>
  </w:footnote>
  <w:footnote w:id="39">
    <w:p w14:paraId="6EFB30D4" w14:textId="305BCB71" w:rsidR="00F73AFC" w:rsidRPr="00F000A2" w:rsidRDefault="00F73AFC" w:rsidP="004E4E2B">
      <w:pPr>
        <w:pStyle w:val="title-bold"/>
        <w:shd w:val="clear" w:color="auto" w:fill="FFFFFF"/>
        <w:spacing w:before="0" w:beforeAutospacing="0" w:after="75" w:afterAutospacing="0"/>
        <w:rPr>
          <w:color w:val="333333"/>
          <w:sz w:val="20"/>
          <w:szCs w:val="20"/>
        </w:rPr>
      </w:pPr>
      <w:r>
        <w:rPr>
          <w:rStyle w:val="FootnoteReference"/>
          <w:sz w:val="20"/>
          <w:szCs w:val="20"/>
        </w:rPr>
        <w:footnoteRef/>
      </w:r>
      <w:r>
        <w:rPr>
          <w:sz w:val="20"/>
        </w:rPr>
        <w:t xml:space="preserve"> </w:t>
      </w:r>
      <w:r>
        <w:rPr>
          <w:color w:val="333333"/>
          <w:sz w:val="20"/>
        </w:rPr>
        <w:t>Eiropas Parlamenta un Padomes Direktīva (ES) 2019/2161 (2019. gada 27. novembris), ar ko groza Padomes Direktīvu 93/13/EEK un Eiropas Parlamenta un Padomes Direktīvas 98/6/EK, 2005/29/EK un 2011/83/ES attiecībā uz Savienības patērētāju tiesību aizsardzības noteikumu labāku izpildi un modernizēšanu (OV L 328, 18.12.2019., 7. lpp.).</w:t>
      </w:r>
    </w:p>
  </w:footnote>
  <w:footnote w:id="40">
    <w:p w14:paraId="31E97F9B" w14:textId="639FCF57" w:rsidR="005C7669" w:rsidRPr="00F000A2" w:rsidRDefault="005C7669" w:rsidP="00DA78B8">
      <w:pPr>
        <w:pStyle w:val="footnote"/>
        <w:rPr>
          <w:sz w:val="20"/>
          <w:szCs w:val="20"/>
        </w:rPr>
      </w:pPr>
      <w:r>
        <w:rPr>
          <w:rStyle w:val="FootnoteReference"/>
          <w:sz w:val="20"/>
          <w:szCs w:val="20"/>
        </w:rPr>
        <w:footnoteRef/>
      </w:r>
      <w:r>
        <w:t xml:space="preserve"> </w:t>
      </w:r>
      <w:r>
        <w:rPr>
          <w:sz w:val="20"/>
        </w:rPr>
        <w:t xml:space="preserve">Ieteikumi, kas sniegti intervijās ar SPTAJ iestādēm piecās dalībvalstīs. </w:t>
      </w:r>
    </w:p>
  </w:footnote>
  <w:footnote w:id="41">
    <w:p w14:paraId="02BF4C9B" w14:textId="509D5A06" w:rsidR="00640D97" w:rsidRPr="00F000A2" w:rsidRDefault="00640D97" w:rsidP="00B40707">
      <w:pPr>
        <w:autoSpaceDE w:val="0"/>
        <w:autoSpaceDN w:val="0"/>
        <w:spacing w:after="0" w:line="240" w:lineRule="auto"/>
        <w:rPr>
          <w:rFonts w:eastAsia="Times New Roman"/>
          <w:sz w:val="20"/>
          <w:szCs w:val="20"/>
        </w:rPr>
      </w:pPr>
      <w:r>
        <w:rPr>
          <w:rStyle w:val="FootnoteReference"/>
          <w:sz w:val="20"/>
          <w:szCs w:val="20"/>
        </w:rPr>
        <w:footnoteRef/>
      </w:r>
      <w:r>
        <w:rPr>
          <w:sz w:val="20"/>
        </w:rPr>
        <w:t xml:space="preserve"> Lai atbalstītu iestādes saskaņā ar SPTAJ regulu, Komisija finansēja projektu nolūkā izveidot “ES e-Lab” “kā platformu, kas nodrošinās kopēju instrumentu kopumu, ko iestādes var izmantot, lai tiešsaistē veiktu izmeklēšanu un uzraudzītu tiešsaistē pārdotos bīstamos produktus”. Instrumentu kopums ietver “progresīvu IT risinājumu, mākslīgā intelekta, datizraces metožu un tīmekļa meklēšanas robotu” izmantošanu. Sk. Komisijas paziņojumu Eiropas Parlamentam un Padomei “Jaunā patērētāju tiesību aizsardzības programma. Patērētāju noturības stiprināšana, lai panāktu ilgtspējīgu atveseļošanos”, Brisele, 13.11.2020., COM(2020) 696 final. To finansē no</w:t>
      </w:r>
      <w:r>
        <w:t xml:space="preserve"> </w:t>
      </w:r>
      <w:hyperlink r:id="rId26" w:history="1">
        <w:r>
          <w:rPr>
            <w:color w:val="0000FF"/>
            <w:sz w:val="20"/>
            <w:u w:val="single"/>
          </w:rPr>
          <w:t>programmas “Digitālā Eiropa” – Darbības rezultāti – Eiropas Komisija (europa.eu)</w:t>
        </w:r>
      </w:hyperlink>
      <w:r>
        <w:rPr>
          <w:sz w:val="20"/>
        </w:rPr>
        <w:t xml:space="preserve">. </w:t>
      </w:r>
    </w:p>
  </w:footnote>
  <w:footnote w:id="42">
    <w:p w14:paraId="38FA8EE6" w14:textId="0A4E84D2" w:rsidR="00EC6E64" w:rsidRPr="00F000A2" w:rsidRDefault="00EC6E64">
      <w:pPr>
        <w:pStyle w:val="FootnoteText"/>
      </w:pPr>
      <w:r>
        <w:rPr>
          <w:rStyle w:val="FootnoteReference"/>
        </w:rPr>
        <w:footnoteRef/>
      </w:r>
      <w:r>
        <w:t xml:space="preserve"> E-izpildes akadēmija nodrošina pašreizējam stāvoklim atbilstošu apmācību par tiešsaistes izmeklēšanu, lai atbalstītu Sadarbības tīkla patērētāju tiesību aizsardzības jomā (SPTAJ) un Patēriņa preču drošuma (</w:t>
      </w:r>
      <w:r>
        <w:rPr>
          <w:i/>
        </w:rPr>
        <w:t>CSN</w:t>
      </w:r>
      <w:r>
        <w:t xml:space="preserve">) tīkla darbu. To finansē </w:t>
      </w:r>
      <w:hyperlink r:id="rId27" w:history="1">
        <w:r>
          <w:rPr>
            <w:rStyle w:val="Hyperlink"/>
          </w:rPr>
          <w:t>Vienotā tirgus programma</w:t>
        </w:r>
      </w:hyperlink>
      <w:r>
        <w:t>, pamatojoties uz Eiropas Parlamenta un Padomes Regulu (ES) 2021/690 (2021. gada 28. aprīlis), ar ko izveido iekšējā tirgus, uzņēmumu, tostarp mazo un vidējo uzņēmumu, konkurētspējas, augu, dzīvnieku, pārtikas aprites un dzīvnieku barības jomas un Eiropas statistikas programmu</w:t>
      </w:r>
      <w:r>
        <w:rPr>
          <w:color w:val="26324B"/>
          <w:shd w:val="clear" w:color="auto" w:fill="F3F5FB"/>
        </w:rPr>
        <w:t>.</w:t>
      </w:r>
    </w:p>
  </w:footnote>
  <w:footnote w:id="43">
    <w:p w14:paraId="15B55751" w14:textId="3B78A1AD" w:rsidR="00731224" w:rsidRPr="001814D6" w:rsidRDefault="00731224" w:rsidP="00731224">
      <w:pPr>
        <w:pStyle w:val="footnote"/>
        <w:rPr>
          <w:sz w:val="18"/>
          <w:szCs w:val="18"/>
        </w:rPr>
      </w:pPr>
      <w:r>
        <w:rPr>
          <w:rStyle w:val="FootnoteReference"/>
          <w:sz w:val="20"/>
          <w:szCs w:val="20"/>
        </w:rPr>
        <w:footnoteRef/>
      </w:r>
      <w:r>
        <w:t xml:space="preserve"> </w:t>
      </w:r>
      <w:r>
        <w:rPr>
          <w:sz w:val="20"/>
        </w:rPr>
        <w:t>Sk. pētījuma 115., 116., 123., 129. un 130. lpp.</w:t>
      </w:r>
      <w:r>
        <w:t xml:space="preserve">  </w:t>
      </w:r>
    </w:p>
    <w:p w14:paraId="527BEB49" w14:textId="68E38588" w:rsidR="00731224" w:rsidRPr="00731224" w:rsidRDefault="00731224">
      <w:pPr>
        <w:pStyle w:val="FootnoteText"/>
      </w:pPr>
    </w:p>
  </w:footnote>
  <w:footnote w:id="44">
    <w:p w14:paraId="6FF2F133" w14:textId="0A037EC1" w:rsidR="00332C16" w:rsidRPr="00274A53" w:rsidRDefault="00332C16" w:rsidP="00316F69">
      <w:pPr>
        <w:pStyle w:val="FootnoteText"/>
      </w:pPr>
      <w:r>
        <w:rPr>
          <w:rStyle w:val="FootnoteReference"/>
        </w:rPr>
        <w:footnoteRef/>
      </w:r>
      <w:r>
        <w:t xml:space="preserve"> SPTAJ iestādes, kas tika intervētas11 dalībvalstīs no 20 dalībvalstīm, kuras sniedza atbildi uz šo jautājumu.</w:t>
      </w:r>
    </w:p>
  </w:footnote>
  <w:footnote w:id="45">
    <w:p w14:paraId="4B1A5259" w14:textId="1CCB338F" w:rsidR="00680A3D" w:rsidRPr="00274A53" w:rsidRDefault="00680A3D">
      <w:pPr>
        <w:pStyle w:val="FootnoteText"/>
      </w:pPr>
      <w:r>
        <w:rPr>
          <w:rStyle w:val="FootnoteReference"/>
        </w:rPr>
        <w:footnoteRef/>
      </w:r>
      <w:r>
        <w:t xml:space="preserve"> Pētījuma 82. un 115. lpp. </w:t>
      </w:r>
    </w:p>
  </w:footnote>
  <w:footnote w:id="46">
    <w:p w14:paraId="561C121C" w14:textId="78432D62" w:rsidR="00332C16" w:rsidRPr="00274A53" w:rsidRDefault="00332C16" w:rsidP="00316F69">
      <w:pPr>
        <w:pStyle w:val="FootnoteText"/>
      </w:pPr>
      <w:r>
        <w:rPr>
          <w:rStyle w:val="FootnoteReference"/>
        </w:rPr>
        <w:footnoteRef/>
      </w:r>
      <w:r>
        <w:t xml:space="preserve"> </w:t>
      </w:r>
      <w:hyperlink r:id="rId28" w:anchor="airline-intermediaries" w:history="1">
        <w:r>
          <w:rPr>
            <w:rStyle w:val="Hyperlink"/>
          </w:rPr>
          <w:t>https://commission.europa.eu/live-work-travel-eu/consumer-rights-and-complaints/enforcement-consumer-protection/coordinated-actions/air-travel_lv#airline-intermediaries</w:t>
        </w:r>
      </w:hyperlink>
      <w:r>
        <w:t xml:space="preserve">. </w:t>
      </w:r>
    </w:p>
  </w:footnote>
  <w:footnote w:id="47">
    <w:p w14:paraId="0DEF9B42" w14:textId="21589F01" w:rsidR="00332C16" w:rsidRPr="00B815F7" w:rsidRDefault="00332C16" w:rsidP="00316F69">
      <w:pPr>
        <w:pStyle w:val="FootnoteText"/>
      </w:pPr>
      <w:r>
        <w:rPr>
          <w:rStyle w:val="FootnoteReference"/>
        </w:rPr>
        <w:footnoteRef/>
      </w:r>
      <w:r>
        <w:t xml:space="preserve"> </w:t>
      </w:r>
      <w:hyperlink r:id="rId29" w:history="1">
        <w:r>
          <w:rPr>
            <w:rStyle w:val="Hyperlink"/>
          </w:rPr>
          <w:t>https://commission.europa.eu/live-work-travel-eu/consumer-rights-and-complaints/enforcement-consumer-protection/coordinated-actions/accommodation-booking_lv</w:t>
        </w:r>
      </w:hyperlink>
      <w:r>
        <w:t xml:space="preserve">. </w:t>
      </w:r>
    </w:p>
  </w:footnote>
  <w:footnote w:id="48">
    <w:p w14:paraId="35928608" w14:textId="78697CA4" w:rsidR="008F03E6" w:rsidRPr="008F03E6" w:rsidRDefault="008F03E6">
      <w:pPr>
        <w:pStyle w:val="FootnoteText"/>
      </w:pPr>
      <w:r>
        <w:rPr>
          <w:rStyle w:val="FootnoteReference"/>
        </w:rPr>
        <w:footnoteRef/>
      </w:r>
      <w:r>
        <w:t xml:space="preserve"> </w:t>
      </w:r>
      <w:hyperlink r:id="rId30" w:history="1">
        <w:r>
          <w:rPr>
            <w:rStyle w:val="Hyperlink"/>
          </w:rPr>
          <w:t>https://commission.europa.eu/publications/information-gathering-assisting-european-commission-complying-its-obligations-under-article-40_en?prefLang=lv</w:t>
        </w:r>
      </w:hyperlink>
      <w:r>
        <w:t>.</w:t>
      </w:r>
    </w:p>
  </w:footnote>
  <w:footnote w:id="49">
    <w:p w14:paraId="016C747F" w14:textId="4C78E2CB" w:rsidR="00B815F7" w:rsidRPr="00B815F7" w:rsidRDefault="00D87B6B" w:rsidP="008E32E0">
      <w:pPr>
        <w:pStyle w:val="footnote"/>
        <w:rPr>
          <w:sz w:val="20"/>
          <w:szCs w:val="20"/>
        </w:rPr>
      </w:pPr>
      <w:r>
        <w:rPr>
          <w:rStyle w:val="FootnoteReference"/>
          <w:sz w:val="20"/>
          <w:szCs w:val="20"/>
        </w:rPr>
        <w:footnoteRef/>
      </w:r>
      <w:r>
        <w:t xml:space="preserve"> </w:t>
      </w:r>
      <w:hyperlink r:id="rId31" w:history="1">
        <w:r>
          <w:rPr>
            <w:rStyle w:val="Hyperlink"/>
            <w:sz w:val="20"/>
          </w:rPr>
          <w:t>https://commission.europa.eu/live-work-travel-eu/consumer-rights-and-complaints/enforcement-consumer-protection/coordinated-actions/other-travel-services_lv</w:t>
        </w:r>
      </w:hyperlink>
      <w:r>
        <w:t>.</w:t>
      </w:r>
      <w:r>
        <w:rPr>
          <w:sz w:val="20"/>
        </w:rPr>
        <w:t xml:space="preserve"> </w:t>
      </w:r>
    </w:p>
  </w:footnote>
  <w:footnote w:id="50">
    <w:p w14:paraId="48BF7B07" w14:textId="3AC12647" w:rsidR="00332C16" w:rsidRDefault="00332C16" w:rsidP="008E32E0">
      <w:pPr>
        <w:pStyle w:val="footnote"/>
        <w:rPr>
          <w:sz w:val="20"/>
          <w:szCs w:val="20"/>
        </w:rPr>
      </w:pPr>
      <w:r>
        <w:rPr>
          <w:rStyle w:val="FootnoteReference"/>
          <w:sz w:val="20"/>
          <w:szCs w:val="20"/>
        </w:rPr>
        <w:footnoteRef/>
      </w:r>
      <w:r>
        <w:t xml:space="preserve"> </w:t>
      </w:r>
      <w:hyperlink r:id="rId32" w:anchor="in-app-purchases" w:history="1">
        <w:r>
          <w:rPr>
            <w:rStyle w:val="Hyperlink"/>
            <w:sz w:val="20"/>
          </w:rPr>
          <w:t>https://commission.europa.eu/live-work-travel-eu/consumer-rights-and-complaints/enforcement-consumer-protection/coordinated-actions/market-places-and-digital-services_lv#in-app-purchases</w:t>
        </w:r>
      </w:hyperlink>
      <w:r>
        <w:t>.</w:t>
      </w:r>
    </w:p>
    <w:p w14:paraId="3191ECFA" w14:textId="77777777" w:rsidR="00B815F7" w:rsidRPr="00B63058" w:rsidRDefault="00B815F7" w:rsidP="008E32E0">
      <w:pPr>
        <w:pStyle w:val="footnote"/>
        <w:rPr>
          <w:sz w:val="20"/>
          <w:szCs w:val="20"/>
        </w:rPr>
      </w:pPr>
    </w:p>
  </w:footnote>
  <w:footnote w:id="51">
    <w:p w14:paraId="0D48818A" w14:textId="77777777" w:rsidR="000A3D6D" w:rsidRPr="00274A53" w:rsidRDefault="000A3D6D" w:rsidP="000A3D6D">
      <w:pPr>
        <w:pStyle w:val="FootnoteText"/>
      </w:pPr>
      <w:r>
        <w:rPr>
          <w:rStyle w:val="FootnoteReference"/>
          <w:color w:val="000000" w:themeColor="text1"/>
        </w:rPr>
        <w:footnoteRef/>
      </w:r>
      <w:r>
        <w:t xml:space="preserve"> </w:t>
      </w:r>
      <w:r>
        <w:rPr>
          <w:color w:val="000000" w:themeColor="text1"/>
        </w:rPr>
        <w:t>https://commission.europa.eu/live-work-travel-eu/consumer-rights-and-complaints/enforcement-consumer-protection/coordinated-actions/social-media-and-search-engines_lv#google.</w:t>
      </w:r>
    </w:p>
  </w:footnote>
  <w:footnote w:id="52">
    <w:p w14:paraId="2349DE83" w14:textId="489A7FF2" w:rsidR="00D93339" w:rsidRPr="00274A53" w:rsidRDefault="00D93339" w:rsidP="00D93339">
      <w:pPr>
        <w:pStyle w:val="title-bold"/>
        <w:shd w:val="clear" w:color="auto" w:fill="FFFFFF"/>
        <w:spacing w:before="0" w:beforeAutospacing="0" w:after="75" w:afterAutospacing="0"/>
        <w:rPr>
          <w:sz w:val="20"/>
          <w:szCs w:val="20"/>
        </w:rPr>
      </w:pPr>
      <w:r>
        <w:rPr>
          <w:rStyle w:val="FootnoteReference"/>
          <w:sz w:val="20"/>
          <w:szCs w:val="20"/>
        </w:rPr>
        <w:footnoteRef/>
      </w:r>
      <w:r>
        <w:rPr>
          <w:sz w:val="20"/>
        </w:rPr>
        <w:t xml:space="preserve"> </w:t>
      </w:r>
      <w:r>
        <w:rPr>
          <w:color w:val="000000" w:themeColor="text1"/>
          <w:sz w:val="20"/>
        </w:rPr>
        <w:t>Eiropas Parlamenta un Padomes Regula (ES) 2018/302 (2018. gada 28. februāris), ar ko novērš nepamatotu ģeogrāfisko bloķēšanu un citus diskriminācijas veidus iekšējā tirgū klientu valstspiederības, dzīvesvietas vai uzņēmējdarbības veikšanas vietas dēļ un groza Regulas (EK) Nr. 2006/2004 un (ES) 2017/2394 un Direktīvu 2009/22/EK (OV L 60I, 2.3.2018., 1. lpp.)</w:t>
      </w:r>
      <w:r>
        <w:rPr>
          <w:i/>
          <w:color w:val="000000" w:themeColor="text1"/>
          <w:sz w:val="20"/>
        </w:rPr>
        <w:t>. </w:t>
      </w:r>
    </w:p>
  </w:footnote>
  <w:footnote w:id="53">
    <w:p w14:paraId="593117BA" w14:textId="7DB80798" w:rsidR="00D93339" w:rsidRPr="00D93339" w:rsidRDefault="00D93339">
      <w:pPr>
        <w:pStyle w:val="FootnoteText"/>
      </w:pPr>
      <w:r>
        <w:rPr>
          <w:rStyle w:val="FootnoteReference"/>
        </w:rPr>
        <w:footnoteRef/>
      </w:r>
      <w:hyperlink r:id="rId33" w:history="1">
        <w:r>
          <w:rPr>
            <w:rStyle w:val="Hyperlink"/>
          </w:rPr>
          <w:t>https://www.europarl.europa.eu/doceo/document/TA-9-2023-0473_LV.html</w:t>
        </w:r>
      </w:hyperlink>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F14B" w14:textId="77777777" w:rsidR="00516763" w:rsidRPr="00516763" w:rsidRDefault="00516763" w:rsidP="0051676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A63A" w14:textId="77777777" w:rsidR="00516763" w:rsidRPr="00516763" w:rsidRDefault="00516763" w:rsidP="0051676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0670" w14:textId="77777777" w:rsidR="00516763" w:rsidRPr="00516763" w:rsidRDefault="00516763" w:rsidP="0051676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5585" w14:textId="77777777" w:rsidR="00332C16" w:rsidRDefault="00332C16" w:rsidP="00316F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8E2D" w14:textId="77777777" w:rsidR="00332C16" w:rsidRDefault="00332C16" w:rsidP="00316F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A1E1" w14:textId="77777777" w:rsidR="00332C16" w:rsidRDefault="00332C16" w:rsidP="00316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E6EDAAA"/>
    <w:lvl w:ilvl="0">
      <w:start w:val="1"/>
      <w:numFmt w:val="bullet"/>
      <w:pStyle w:val="ListBullet2"/>
      <w:lvlText w:val="-"/>
      <w:lvlJc w:val="left"/>
      <w:pPr>
        <w:ind w:left="927" w:hanging="360"/>
      </w:pPr>
      <w:rPr>
        <w:rFonts w:ascii="Courier New" w:hAnsi="Courier New" w:hint="default"/>
        <w:color w:val="16622E"/>
      </w:rPr>
    </w:lvl>
  </w:abstractNum>
  <w:abstractNum w:abstractNumId="1" w15:restartNumberingAfterBreak="0">
    <w:nsid w:val="FFFFFF88"/>
    <w:multiLevelType w:val="singleLevel"/>
    <w:tmpl w:val="543865C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03056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A2A5E"/>
    <w:multiLevelType w:val="hybridMultilevel"/>
    <w:tmpl w:val="2D1CE462"/>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7877A7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342863"/>
    <w:multiLevelType w:val="multilevel"/>
    <w:tmpl w:val="483A42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D0295"/>
    <w:multiLevelType w:val="hybridMultilevel"/>
    <w:tmpl w:val="5810ECD6"/>
    <w:lvl w:ilvl="0" w:tplc="03A8C7E6">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5E35F9"/>
    <w:multiLevelType w:val="multilevel"/>
    <w:tmpl w:val="89A64040"/>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145"/>
        </w:tabs>
        <w:ind w:left="1145"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A264D0"/>
    <w:multiLevelType w:val="multilevel"/>
    <w:tmpl w:val="FB7EA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D87C3E"/>
    <w:multiLevelType w:val="multilevel"/>
    <w:tmpl w:val="FB7EA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586398"/>
    <w:multiLevelType w:val="hybridMultilevel"/>
    <w:tmpl w:val="239EBDB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3875DE"/>
    <w:multiLevelType w:val="hybridMultilevel"/>
    <w:tmpl w:val="B6043E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E6A76C9"/>
    <w:multiLevelType w:val="hybridMultilevel"/>
    <w:tmpl w:val="B95C986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D018A7"/>
    <w:multiLevelType w:val="hybridMultilevel"/>
    <w:tmpl w:val="8536016C"/>
    <w:lvl w:ilvl="0" w:tplc="7E02AC82">
      <w:start w:val="1"/>
      <w:numFmt w:val="bullet"/>
      <w:lvlText w:val="-"/>
      <w:lvlJc w:val="left"/>
      <w:pPr>
        <w:ind w:left="720" w:hanging="360"/>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59B4BBE"/>
    <w:multiLevelType w:val="hybridMultilevel"/>
    <w:tmpl w:val="F2CE7B2E"/>
    <w:lvl w:ilvl="0" w:tplc="A03A5E6C">
      <w:start w:val="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5E2E4D"/>
    <w:multiLevelType w:val="hybridMultilevel"/>
    <w:tmpl w:val="A254164C"/>
    <w:lvl w:ilvl="0" w:tplc="D16E0F2C">
      <w:start w:val="1"/>
      <w:numFmt w:val="bullet"/>
      <w:lvlText w:val=""/>
      <w:lvlJc w:val="left"/>
      <w:pPr>
        <w:ind w:left="720" w:hanging="360"/>
      </w:pPr>
      <w:rPr>
        <w:rFonts w:ascii="Symbol" w:hAnsi="Symbol" w:hint="default"/>
      </w:rPr>
    </w:lvl>
    <w:lvl w:ilvl="1" w:tplc="590EF408">
      <w:start w:val="1"/>
      <w:numFmt w:val="bullet"/>
      <w:lvlText w:val="o"/>
      <w:lvlJc w:val="left"/>
      <w:pPr>
        <w:ind w:left="1440" w:hanging="360"/>
      </w:pPr>
      <w:rPr>
        <w:rFonts w:ascii="Courier New" w:hAnsi="Courier New" w:hint="default"/>
      </w:rPr>
    </w:lvl>
    <w:lvl w:ilvl="2" w:tplc="607A9CCA">
      <w:start w:val="1"/>
      <w:numFmt w:val="bullet"/>
      <w:lvlText w:val=""/>
      <w:lvlJc w:val="left"/>
      <w:pPr>
        <w:ind w:left="2160" w:hanging="360"/>
      </w:pPr>
      <w:rPr>
        <w:rFonts w:ascii="Wingdings" w:hAnsi="Wingdings" w:hint="default"/>
      </w:rPr>
    </w:lvl>
    <w:lvl w:ilvl="3" w:tplc="781AE79C">
      <w:start w:val="1"/>
      <w:numFmt w:val="bullet"/>
      <w:lvlText w:val=""/>
      <w:lvlJc w:val="left"/>
      <w:pPr>
        <w:ind w:left="2880" w:hanging="360"/>
      </w:pPr>
      <w:rPr>
        <w:rFonts w:ascii="Symbol" w:hAnsi="Symbol" w:hint="default"/>
      </w:rPr>
    </w:lvl>
    <w:lvl w:ilvl="4" w:tplc="D018B0C2">
      <w:start w:val="1"/>
      <w:numFmt w:val="bullet"/>
      <w:lvlText w:val="o"/>
      <w:lvlJc w:val="left"/>
      <w:pPr>
        <w:ind w:left="3600" w:hanging="360"/>
      </w:pPr>
      <w:rPr>
        <w:rFonts w:ascii="Courier New" w:hAnsi="Courier New" w:hint="default"/>
      </w:rPr>
    </w:lvl>
    <w:lvl w:ilvl="5" w:tplc="AED6B496">
      <w:start w:val="1"/>
      <w:numFmt w:val="bullet"/>
      <w:lvlText w:val=""/>
      <w:lvlJc w:val="left"/>
      <w:pPr>
        <w:ind w:left="4320" w:hanging="360"/>
      </w:pPr>
      <w:rPr>
        <w:rFonts w:ascii="Wingdings" w:hAnsi="Wingdings" w:hint="default"/>
      </w:rPr>
    </w:lvl>
    <w:lvl w:ilvl="6" w:tplc="908029B0">
      <w:start w:val="1"/>
      <w:numFmt w:val="bullet"/>
      <w:lvlText w:val=""/>
      <w:lvlJc w:val="left"/>
      <w:pPr>
        <w:ind w:left="5040" w:hanging="360"/>
      </w:pPr>
      <w:rPr>
        <w:rFonts w:ascii="Symbol" w:hAnsi="Symbol" w:hint="default"/>
      </w:rPr>
    </w:lvl>
    <w:lvl w:ilvl="7" w:tplc="CCFA514E">
      <w:start w:val="1"/>
      <w:numFmt w:val="bullet"/>
      <w:lvlText w:val="o"/>
      <w:lvlJc w:val="left"/>
      <w:pPr>
        <w:ind w:left="5760" w:hanging="360"/>
      </w:pPr>
      <w:rPr>
        <w:rFonts w:ascii="Courier New" w:hAnsi="Courier New" w:hint="default"/>
      </w:rPr>
    </w:lvl>
    <w:lvl w:ilvl="8" w:tplc="747EA8BA">
      <w:start w:val="1"/>
      <w:numFmt w:val="bullet"/>
      <w:lvlText w:val=""/>
      <w:lvlJc w:val="left"/>
      <w:pPr>
        <w:ind w:left="6480" w:hanging="360"/>
      </w:pPr>
      <w:rPr>
        <w:rFonts w:ascii="Wingdings" w:hAnsi="Wingdings" w:hint="default"/>
      </w:rPr>
    </w:lvl>
  </w:abstractNum>
  <w:abstractNum w:abstractNumId="16" w15:restartNumberingAfterBreak="0">
    <w:nsid w:val="52443A40"/>
    <w:multiLevelType w:val="multilevel"/>
    <w:tmpl w:val="59DA6236"/>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523EE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28504D"/>
    <w:multiLevelType w:val="hybridMultilevel"/>
    <w:tmpl w:val="B55409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EC662A9"/>
    <w:multiLevelType w:val="hybridMultilevel"/>
    <w:tmpl w:val="AF8633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5BD244B"/>
    <w:multiLevelType w:val="hybridMultilevel"/>
    <w:tmpl w:val="3224F4D0"/>
    <w:lvl w:ilvl="0" w:tplc="080C0001">
      <w:start w:val="1"/>
      <w:numFmt w:val="bullet"/>
      <w:lvlText w:val=""/>
      <w:lvlJc w:val="left"/>
      <w:pPr>
        <w:ind w:left="779" w:hanging="360"/>
      </w:pPr>
      <w:rPr>
        <w:rFonts w:ascii="Symbol" w:hAnsi="Symbol" w:hint="default"/>
      </w:rPr>
    </w:lvl>
    <w:lvl w:ilvl="1" w:tplc="080C0003" w:tentative="1">
      <w:start w:val="1"/>
      <w:numFmt w:val="bullet"/>
      <w:lvlText w:val="o"/>
      <w:lvlJc w:val="left"/>
      <w:pPr>
        <w:ind w:left="1499" w:hanging="360"/>
      </w:pPr>
      <w:rPr>
        <w:rFonts w:ascii="Courier New" w:hAnsi="Courier New" w:cs="Courier New" w:hint="default"/>
      </w:rPr>
    </w:lvl>
    <w:lvl w:ilvl="2" w:tplc="080C0005" w:tentative="1">
      <w:start w:val="1"/>
      <w:numFmt w:val="bullet"/>
      <w:lvlText w:val=""/>
      <w:lvlJc w:val="left"/>
      <w:pPr>
        <w:ind w:left="2219" w:hanging="360"/>
      </w:pPr>
      <w:rPr>
        <w:rFonts w:ascii="Wingdings" w:hAnsi="Wingdings" w:hint="default"/>
      </w:rPr>
    </w:lvl>
    <w:lvl w:ilvl="3" w:tplc="080C0001" w:tentative="1">
      <w:start w:val="1"/>
      <w:numFmt w:val="bullet"/>
      <w:lvlText w:val=""/>
      <w:lvlJc w:val="left"/>
      <w:pPr>
        <w:ind w:left="2939" w:hanging="360"/>
      </w:pPr>
      <w:rPr>
        <w:rFonts w:ascii="Symbol" w:hAnsi="Symbol" w:hint="default"/>
      </w:rPr>
    </w:lvl>
    <w:lvl w:ilvl="4" w:tplc="080C0003" w:tentative="1">
      <w:start w:val="1"/>
      <w:numFmt w:val="bullet"/>
      <w:lvlText w:val="o"/>
      <w:lvlJc w:val="left"/>
      <w:pPr>
        <w:ind w:left="3659" w:hanging="360"/>
      </w:pPr>
      <w:rPr>
        <w:rFonts w:ascii="Courier New" w:hAnsi="Courier New" w:cs="Courier New" w:hint="default"/>
      </w:rPr>
    </w:lvl>
    <w:lvl w:ilvl="5" w:tplc="080C0005" w:tentative="1">
      <w:start w:val="1"/>
      <w:numFmt w:val="bullet"/>
      <w:lvlText w:val=""/>
      <w:lvlJc w:val="left"/>
      <w:pPr>
        <w:ind w:left="4379" w:hanging="360"/>
      </w:pPr>
      <w:rPr>
        <w:rFonts w:ascii="Wingdings" w:hAnsi="Wingdings" w:hint="default"/>
      </w:rPr>
    </w:lvl>
    <w:lvl w:ilvl="6" w:tplc="080C0001" w:tentative="1">
      <w:start w:val="1"/>
      <w:numFmt w:val="bullet"/>
      <w:lvlText w:val=""/>
      <w:lvlJc w:val="left"/>
      <w:pPr>
        <w:ind w:left="5099" w:hanging="360"/>
      </w:pPr>
      <w:rPr>
        <w:rFonts w:ascii="Symbol" w:hAnsi="Symbol" w:hint="default"/>
      </w:rPr>
    </w:lvl>
    <w:lvl w:ilvl="7" w:tplc="080C0003" w:tentative="1">
      <w:start w:val="1"/>
      <w:numFmt w:val="bullet"/>
      <w:lvlText w:val="o"/>
      <w:lvlJc w:val="left"/>
      <w:pPr>
        <w:ind w:left="5819" w:hanging="360"/>
      </w:pPr>
      <w:rPr>
        <w:rFonts w:ascii="Courier New" w:hAnsi="Courier New" w:cs="Courier New" w:hint="default"/>
      </w:rPr>
    </w:lvl>
    <w:lvl w:ilvl="8" w:tplc="080C0005" w:tentative="1">
      <w:start w:val="1"/>
      <w:numFmt w:val="bullet"/>
      <w:lvlText w:val=""/>
      <w:lvlJc w:val="left"/>
      <w:pPr>
        <w:ind w:left="6539" w:hanging="360"/>
      </w:pPr>
      <w:rPr>
        <w:rFonts w:ascii="Wingdings" w:hAnsi="Wingdings" w:hint="default"/>
      </w:rPr>
    </w:lvl>
  </w:abstractNum>
  <w:abstractNum w:abstractNumId="21" w15:restartNumberingAfterBreak="0">
    <w:nsid w:val="7C4D6711"/>
    <w:multiLevelType w:val="hybridMultilevel"/>
    <w:tmpl w:val="DD6E4D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0"/>
  </w:num>
  <w:num w:numId="3">
    <w:abstractNumId w:val="1"/>
    <w:lvlOverride w:ilvl="0">
      <w:startOverride w:val="1"/>
    </w:lvlOverride>
  </w:num>
  <w:num w:numId="4">
    <w:abstractNumId w:val="1"/>
  </w:num>
  <w:num w:numId="5">
    <w:abstractNumId w:val="13"/>
  </w:num>
  <w:num w:numId="6">
    <w:abstractNumId w:val="11"/>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6"/>
  </w:num>
  <w:num w:numId="12">
    <w:abstractNumId w:val="9"/>
  </w:num>
  <w:num w:numId="13">
    <w:abstractNumId w:val="7"/>
  </w:num>
  <w:num w:numId="14">
    <w:abstractNumId w:val="3"/>
  </w:num>
  <w:num w:numId="15">
    <w:abstractNumId w:val="15"/>
  </w:num>
  <w:num w:numId="16">
    <w:abstractNumId w:val="4"/>
  </w:num>
  <w:num w:numId="17">
    <w:abstractNumId w:val="17"/>
  </w:num>
  <w:num w:numId="18">
    <w:abstractNumId w:val="5"/>
  </w:num>
  <w:num w:numId="19">
    <w:abstractNumId w:val="19"/>
  </w:num>
  <w:num w:numId="20">
    <w:abstractNumId w:val="21"/>
  </w:num>
  <w:num w:numId="21">
    <w:abstractNumId w:val="1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da-DK"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9D37E947-0471-42A1-AFD9-FE4191F1C775"/>
    <w:docVar w:name="LW_COVERPAGE_TYPE" w:val="1"/>
    <w:docVar w:name="LW_CROSSREFERENCE" w:val="&lt;UNUSED&gt;"/>
    <w:docVar w:name="LW_DocType" w:val="NORMAL"/>
    <w:docVar w:name="LW_EMISSION" w:val="25.7.2024"/>
    <w:docVar w:name="LW_EMISSION_ISODATE" w:val="2024-07-25"/>
    <w:docVar w:name="LW_EMISSION_LOCATION" w:val="BRX"/>
    <w:docVar w:name="LW_EMISSION_PREFIX" w:val="Brisel\u275?, "/>
    <w:docVar w:name="LW_EMISSION_SUFFIX" w:val="."/>
    <w:docVar w:name="LW_ID_DOCTYPE_NONLW" w:val="CP-006"/>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4) 31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ar Eiropas Parlamenta un Padomes Regulas (ES) 2017/2394 par sadarb\u299?bu starp valstu iest\u257?d\u275?m, kas atbild par ties\u299?bu aktu izpildi pat\u275?r\u275?t\u257?ju ties\u299?bu aizsardz\u299?bas jom\u257?, piem\u275?ro\u353?anu&lt;/FMT&gt;"/>
    <w:docVar w:name="LW_TYPE.DOC.CP" w:val="KOMISIJAS ZI\u325?OJUMS EIROPAS PARLAMENTAM UN PADOMEI"/>
    <w:docVar w:name="LwApiVersions" w:val="LW4CoDe 1.24.5.0; LW 9.0, Build 20240221"/>
  </w:docVars>
  <w:rsids>
    <w:rsidRoot w:val="004D10F7"/>
    <w:rsid w:val="00004792"/>
    <w:rsid w:val="000052EC"/>
    <w:rsid w:val="000059D9"/>
    <w:rsid w:val="0000773C"/>
    <w:rsid w:val="00007BD4"/>
    <w:rsid w:val="00011BE1"/>
    <w:rsid w:val="0001226B"/>
    <w:rsid w:val="000219BD"/>
    <w:rsid w:val="00025945"/>
    <w:rsid w:val="00030082"/>
    <w:rsid w:val="000313E1"/>
    <w:rsid w:val="00032BAD"/>
    <w:rsid w:val="00035BBE"/>
    <w:rsid w:val="00040AB6"/>
    <w:rsid w:val="00041D34"/>
    <w:rsid w:val="0004655D"/>
    <w:rsid w:val="00055728"/>
    <w:rsid w:val="00055949"/>
    <w:rsid w:val="00056247"/>
    <w:rsid w:val="00057790"/>
    <w:rsid w:val="00060553"/>
    <w:rsid w:val="00060F50"/>
    <w:rsid w:val="0006196E"/>
    <w:rsid w:val="00064C54"/>
    <w:rsid w:val="000672FA"/>
    <w:rsid w:val="00070B4C"/>
    <w:rsid w:val="00071086"/>
    <w:rsid w:val="000727BD"/>
    <w:rsid w:val="00082CAC"/>
    <w:rsid w:val="00083C94"/>
    <w:rsid w:val="000859CC"/>
    <w:rsid w:val="0009338C"/>
    <w:rsid w:val="00094CA8"/>
    <w:rsid w:val="000A35C9"/>
    <w:rsid w:val="000A3D6D"/>
    <w:rsid w:val="000B6DCA"/>
    <w:rsid w:val="000C7497"/>
    <w:rsid w:val="000C7FE4"/>
    <w:rsid w:val="000E0276"/>
    <w:rsid w:val="000E041E"/>
    <w:rsid w:val="000E5634"/>
    <w:rsid w:val="000F7679"/>
    <w:rsid w:val="000F7FBF"/>
    <w:rsid w:val="001034FF"/>
    <w:rsid w:val="001062B2"/>
    <w:rsid w:val="001079B4"/>
    <w:rsid w:val="001120CB"/>
    <w:rsid w:val="001129AB"/>
    <w:rsid w:val="001147F8"/>
    <w:rsid w:val="00117A3F"/>
    <w:rsid w:val="001239C0"/>
    <w:rsid w:val="00124558"/>
    <w:rsid w:val="00124D2B"/>
    <w:rsid w:val="0012796C"/>
    <w:rsid w:val="001345B1"/>
    <w:rsid w:val="001359A1"/>
    <w:rsid w:val="00135CBB"/>
    <w:rsid w:val="001425B2"/>
    <w:rsid w:val="00146BEA"/>
    <w:rsid w:val="00153280"/>
    <w:rsid w:val="00154612"/>
    <w:rsid w:val="00167331"/>
    <w:rsid w:val="00170839"/>
    <w:rsid w:val="00170995"/>
    <w:rsid w:val="00171C03"/>
    <w:rsid w:val="00177A9F"/>
    <w:rsid w:val="001814D6"/>
    <w:rsid w:val="001A0C35"/>
    <w:rsid w:val="001A1A53"/>
    <w:rsid w:val="001A77D6"/>
    <w:rsid w:val="001A79CE"/>
    <w:rsid w:val="001B24BE"/>
    <w:rsid w:val="001C59A4"/>
    <w:rsid w:val="001D0A2F"/>
    <w:rsid w:val="001D3C2A"/>
    <w:rsid w:val="001D3EE8"/>
    <w:rsid w:val="001E459F"/>
    <w:rsid w:val="001F0858"/>
    <w:rsid w:val="001F66D3"/>
    <w:rsid w:val="001F6D2A"/>
    <w:rsid w:val="001F6FC0"/>
    <w:rsid w:val="00200BE9"/>
    <w:rsid w:val="002027E6"/>
    <w:rsid w:val="002035C2"/>
    <w:rsid w:val="00210387"/>
    <w:rsid w:val="00214158"/>
    <w:rsid w:val="0021738E"/>
    <w:rsid w:val="002178F2"/>
    <w:rsid w:val="002206AE"/>
    <w:rsid w:val="002219C5"/>
    <w:rsid w:val="00221E74"/>
    <w:rsid w:val="002303B3"/>
    <w:rsid w:val="00231E40"/>
    <w:rsid w:val="00236792"/>
    <w:rsid w:val="002367D7"/>
    <w:rsid w:val="00237EA0"/>
    <w:rsid w:val="002400F0"/>
    <w:rsid w:val="00241CAB"/>
    <w:rsid w:val="00244447"/>
    <w:rsid w:val="00247119"/>
    <w:rsid w:val="00247CA6"/>
    <w:rsid w:val="00253223"/>
    <w:rsid w:val="00260B34"/>
    <w:rsid w:val="00260DEB"/>
    <w:rsid w:val="00260EE8"/>
    <w:rsid w:val="00261360"/>
    <w:rsid w:val="00263E23"/>
    <w:rsid w:val="002678A5"/>
    <w:rsid w:val="00270EAB"/>
    <w:rsid w:val="00272983"/>
    <w:rsid w:val="00273C28"/>
    <w:rsid w:val="00274A53"/>
    <w:rsid w:val="00281CA4"/>
    <w:rsid w:val="0029639D"/>
    <w:rsid w:val="00297E0E"/>
    <w:rsid w:val="002A152B"/>
    <w:rsid w:val="002A26C3"/>
    <w:rsid w:val="002A4E3D"/>
    <w:rsid w:val="002A56A9"/>
    <w:rsid w:val="002A5AD6"/>
    <w:rsid w:val="002A6BF1"/>
    <w:rsid w:val="002B1AE9"/>
    <w:rsid w:val="002B2795"/>
    <w:rsid w:val="002B735D"/>
    <w:rsid w:val="002C1F3F"/>
    <w:rsid w:val="002C4770"/>
    <w:rsid w:val="002C49B0"/>
    <w:rsid w:val="002C54BE"/>
    <w:rsid w:val="002C5F6D"/>
    <w:rsid w:val="002C6D24"/>
    <w:rsid w:val="002D124D"/>
    <w:rsid w:val="002D2048"/>
    <w:rsid w:val="002D43AD"/>
    <w:rsid w:val="002E2C7E"/>
    <w:rsid w:val="002E6C91"/>
    <w:rsid w:val="002F4A3C"/>
    <w:rsid w:val="0030114C"/>
    <w:rsid w:val="0030269E"/>
    <w:rsid w:val="003040D4"/>
    <w:rsid w:val="0030722B"/>
    <w:rsid w:val="0031040B"/>
    <w:rsid w:val="00310EA3"/>
    <w:rsid w:val="003111EA"/>
    <w:rsid w:val="00316F69"/>
    <w:rsid w:val="003175D8"/>
    <w:rsid w:val="00317E66"/>
    <w:rsid w:val="0032620B"/>
    <w:rsid w:val="0033018E"/>
    <w:rsid w:val="003318FC"/>
    <w:rsid w:val="00331F1A"/>
    <w:rsid w:val="00332C16"/>
    <w:rsid w:val="00335B53"/>
    <w:rsid w:val="0033737A"/>
    <w:rsid w:val="00337D89"/>
    <w:rsid w:val="00343316"/>
    <w:rsid w:val="00354882"/>
    <w:rsid w:val="00356633"/>
    <w:rsid w:val="00357101"/>
    <w:rsid w:val="00357E70"/>
    <w:rsid w:val="00361298"/>
    <w:rsid w:val="00362897"/>
    <w:rsid w:val="00366506"/>
    <w:rsid w:val="0036690C"/>
    <w:rsid w:val="003736A8"/>
    <w:rsid w:val="0037435D"/>
    <w:rsid w:val="00381263"/>
    <w:rsid w:val="00381FBB"/>
    <w:rsid w:val="003878AA"/>
    <w:rsid w:val="003905E5"/>
    <w:rsid w:val="0039078B"/>
    <w:rsid w:val="00391EE4"/>
    <w:rsid w:val="00394339"/>
    <w:rsid w:val="003A0DB1"/>
    <w:rsid w:val="003A2302"/>
    <w:rsid w:val="003C1206"/>
    <w:rsid w:val="003C41F9"/>
    <w:rsid w:val="003C67AF"/>
    <w:rsid w:val="003C70EA"/>
    <w:rsid w:val="003C765B"/>
    <w:rsid w:val="003D3D84"/>
    <w:rsid w:val="003D60B8"/>
    <w:rsid w:val="003D631F"/>
    <w:rsid w:val="003E5B4D"/>
    <w:rsid w:val="003E7FDB"/>
    <w:rsid w:val="003F2F0E"/>
    <w:rsid w:val="003F5A34"/>
    <w:rsid w:val="003F797A"/>
    <w:rsid w:val="00400D7C"/>
    <w:rsid w:val="0041267C"/>
    <w:rsid w:val="004145E2"/>
    <w:rsid w:val="004149BD"/>
    <w:rsid w:val="00414A57"/>
    <w:rsid w:val="00427008"/>
    <w:rsid w:val="0044099D"/>
    <w:rsid w:val="00440E40"/>
    <w:rsid w:val="00443D00"/>
    <w:rsid w:val="00447F43"/>
    <w:rsid w:val="004501C0"/>
    <w:rsid w:val="0045107F"/>
    <w:rsid w:val="0046579C"/>
    <w:rsid w:val="00471797"/>
    <w:rsid w:val="004756E2"/>
    <w:rsid w:val="004756F2"/>
    <w:rsid w:val="00485C8C"/>
    <w:rsid w:val="00487985"/>
    <w:rsid w:val="00490EB0"/>
    <w:rsid w:val="0049270D"/>
    <w:rsid w:val="0049374C"/>
    <w:rsid w:val="00495B5F"/>
    <w:rsid w:val="004A48E3"/>
    <w:rsid w:val="004A5AA1"/>
    <w:rsid w:val="004B0BB5"/>
    <w:rsid w:val="004B0F69"/>
    <w:rsid w:val="004B2CE8"/>
    <w:rsid w:val="004C5748"/>
    <w:rsid w:val="004D0376"/>
    <w:rsid w:val="004D10F7"/>
    <w:rsid w:val="004D15A5"/>
    <w:rsid w:val="004D4727"/>
    <w:rsid w:val="004D5475"/>
    <w:rsid w:val="004E0746"/>
    <w:rsid w:val="004E4E2B"/>
    <w:rsid w:val="004F1CFA"/>
    <w:rsid w:val="004F25F0"/>
    <w:rsid w:val="004F3B41"/>
    <w:rsid w:val="004F6869"/>
    <w:rsid w:val="004F7193"/>
    <w:rsid w:val="00503406"/>
    <w:rsid w:val="005042B5"/>
    <w:rsid w:val="005056B1"/>
    <w:rsid w:val="005122E2"/>
    <w:rsid w:val="0051536D"/>
    <w:rsid w:val="00516443"/>
    <w:rsid w:val="00516763"/>
    <w:rsid w:val="005277E1"/>
    <w:rsid w:val="005314EA"/>
    <w:rsid w:val="00541317"/>
    <w:rsid w:val="00542EBA"/>
    <w:rsid w:val="00545052"/>
    <w:rsid w:val="005462B6"/>
    <w:rsid w:val="0054737B"/>
    <w:rsid w:val="00552D9A"/>
    <w:rsid w:val="00552DEB"/>
    <w:rsid w:val="00555BD6"/>
    <w:rsid w:val="00555FD4"/>
    <w:rsid w:val="0056183C"/>
    <w:rsid w:val="00562C15"/>
    <w:rsid w:val="005636CC"/>
    <w:rsid w:val="005641C9"/>
    <w:rsid w:val="00564E61"/>
    <w:rsid w:val="005661AE"/>
    <w:rsid w:val="005663BD"/>
    <w:rsid w:val="0057069D"/>
    <w:rsid w:val="00571C52"/>
    <w:rsid w:val="00572754"/>
    <w:rsid w:val="005744C5"/>
    <w:rsid w:val="00574BE2"/>
    <w:rsid w:val="0057529B"/>
    <w:rsid w:val="00577E02"/>
    <w:rsid w:val="00581A65"/>
    <w:rsid w:val="00581D33"/>
    <w:rsid w:val="0058299B"/>
    <w:rsid w:val="005848B3"/>
    <w:rsid w:val="005A2B69"/>
    <w:rsid w:val="005A2E47"/>
    <w:rsid w:val="005B564A"/>
    <w:rsid w:val="005B71E4"/>
    <w:rsid w:val="005C5D83"/>
    <w:rsid w:val="005C7669"/>
    <w:rsid w:val="005C78E3"/>
    <w:rsid w:val="005D04EF"/>
    <w:rsid w:val="005D0FF0"/>
    <w:rsid w:val="005D1809"/>
    <w:rsid w:val="005D1FD2"/>
    <w:rsid w:val="005D40DA"/>
    <w:rsid w:val="005D5893"/>
    <w:rsid w:val="005D6FCD"/>
    <w:rsid w:val="005E41E3"/>
    <w:rsid w:val="005E4F32"/>
    <w:rsid w:val="005E6D39"/>
    <w:rsid w:val="005F214E"/>
    <w:rsid w:val="005F21E3"/>
    <w:rsid w:val="00604BF1"/>
    <w:rsid w:val="006102C7"/>
    <w:rsid w:val="00613394"/>
    <w:rsid w:val="006134E9"/>
    <w:rsid w:val="00615FD3"/>
    <w:rsid w:val="006207F0"/>
    <w:rsid w:val="00622671"/>
    <w:rsid w:val="006230CE"/>
    <w:rsid w:val="0062379A"/>
    <w:rsid w:val="00625647"/>
    <w:rsid w:val="00626089"/>
    <w:rsid w:val="00634322"/>
    <w:rsid w:val="00634ECA"/>
    <w:rsid w:val="00635E96"/>
    <w:rsid w:val="00640C8D"/>
    <w:rsid w:val="00640D97"/>
    <w:rsid w:val="00642053"/>
    <w:rsid w:val="00644625"/>
    <w:rsid w:val="006449B2"/>
    <w:rsid w:val="006504FE"/>
    <w:rsid w:val="0065138F"/>
    <w:rsid w:val="006524EB"/>
    <w:rsid w:val="00662861"/>
    <w:rsid w:val="00666A5E"/>
    <w:rsid w:val="006717B9"/>
    <w:rsid w:val="00673AB7"/>
    <w:rsid w:val="00680A3D"/>
    <w:rsid w:val="006868B6"/>
    <w:rsid w:val="0069060B"/>
    <w:rsid w:val="00691A3C"/>
    <w:rsid w:val="00691A94"/>
    <w:rsid w:val="00695C7E"/>
    <w:rsid w:val="006A52A7"/>
    <w:rsid w:val="006B2DEC"/>
    <w:rsid w:val="006B321E"/>
    <w:rsid w:val="006B5D43"/>
    <w:rsid w:val="006B7EAF"/>
    <w:rsid w:val="006C2A59"/>
    <w:rsid w:val="006C4E0D"/>
    <w:rsid w:val="006C5F81"/>
    <w:rsid w:val="006D1042"/>
    <w:rsid w:val="006D2FF6"/>
    <w:rsid w:val="006D6148"/>
    <w:rsid w:val="006D76C3"/>
    <w:rsid w:val="006E36F5"/>
    <w:rsid w:val="006E5645"/>
    <w:rsid w:val="006F0949"/>
    <w:rsid w:val="006F7B42"/>
    <w:rsid w:val="00710142"/>
    <w:rsid w:val="00712684"/>
    <w:rsid w:val="00713BBC"/>
    <w:rsid w:val="0071418A"/>
    <w:rsid w:val="00722742"/>
    <w:rsid w:val="00731224"/>
    <w:rsid w:val="00732F11"/>
    <w:rsid w:val="007355B6"/>
    <w:rsid w:val="00747B9E"/>
    <w:rsid w:val="007500DA"/>
    <w:rsid w:val="00750EC3"/>
    <w:rsid w:val="00752926"/>
    <w:rsid w:val="007569C2"/>
    <w:rsid w:val="007612A7"/>
    <w:rsid w:val="00767191"/>
    <w:rsid w:val="00767E41"/>
    <w:rsid w:val="00771A4E"/>
    <w:rsid w:val="00772191"/>
    <w:rsid w:val="00773776"/>
    <w:rsid w:val="00774A7A"/>
    <w:rsid w:val="0078314B"/>
    <w:rsid w:val="00786423"/>
    <w:rsid w:val="0079150A"/>
    <w:rsid w:val="00794BBA"/>
    <w:rsid w:val="007A2222"/>
    <w:rsid w:val="007A2C16"/>
    <w:rsid w:val="007A3875"/>
    <w:rsid w:val="007A463F"/>
    <w:rsid w:val="007B030D"/>
    <w:rsid w:val="007B05AE"/>
    <w:rsid w:val="007B300B"/>
    <w:rsid w:val="007B3058"/>
    <w:rsid w:val="007B3394"/>
    <w:rsid w:val="007B51C0"/>
    <w:rsid w:val="007C1F85"/>
    <w:rsid w:val="007C58E1"/>
    <w:rsid w:val="007C7165"/>
    <w:rsid w:val="007D68C4"/>
    <w:rsid w:val="007D7FDF"/>
    <w:rsid w:val="007F1741"/>
    <w:rsid w:val="007F6C5C"/>
    <w:rsid w:val="00804E69"/>
    <w:rsid w:val="00805865"/>
    <w:rsid w:val="00807C7D"/>
    <w:rsid w:val="008113F9"/>
    <w:rsid w:val="00812947"/>
    <w:rsid w:val="00824A57"/>
    <w:rsid w:val="008274E6"/>
    <w:rsid w:val="008326C2"/>
    <w:rsid w:val="00833075"/>
    <w:rsid w:val="008353BD"/>
    <w:rsid w:val="0083708F"/>
    <w:rsid w:val="008375ED"/>
    <w:rsid w:val="008426A9"/>
    <w:rsid w:val="00847183"/>
    <w:rsid w:val="00852EC0"/>
    <w:rsid w:val="00855ABE"/>
    <w:rsid w:val="008573C5"/>
    <w:rsid w:val="0086124B"/>
    <w:rsid w:val="008614DE"/>
    <w:rsid w:val="008628EA"/>
    <w:rsid w:val="00864394"/>
    <w:rsid w:val="00867676"/>
    <w:rsid w:val="0087021E"/>
    <w:rsid w:val="00872BC8"/>
    <w:rsid w:val="00872C73"/>
    <w:rsid w:val="00882707"/>
    <w:rsid w:val="00882AB2"/>
    <w:rsid w:val="0088352F"/>
    <w:rsid w:val="008877FF"/>
    <w:rsid w:val="008910A0"/>
    <w:rsid w:val="00891BDB"/>
    <w:rsid w:val="008923CF"/>
    <w:rsid w:val="008940A2"/>
    <w:rsid w:val="00896959"/>
    <w:rsid w:val="00897B67"/>
    <w:rsid w:val="00897C08"/>
    <w:rsid w:val="008A1EBA"/>
    <w:rsid w:val="008A394D"/>
    <w:rsid w:val="008A53B2"/>
    <w:rsid w:val="008A6287"/>
    <w:rsid w:val="008B7945"/>
    <w:rsid w:val="008C51B3"/>
    <w:rsid w:val="008C6747"/>
    <w:rsid w:val="008D104F"/>
    <w:rsid w:val="008D2176"/>
    <w:rsid w:val="008D30AC"/>
    <w:rsid w:val="008D6F0F"/>
    <w:rsid w:val="008E0B89"/>
    <w:rsid w:val="008E1558"/>
    <w:rsid w:val="008E32E0"/>
    <w:rsid w:val="008E498C"/>
    <w:rsid w:val="008F03E6"/>
    <w:rsid w:val="008F08BF"/>
    <w:rsid w:val="00905DB7"/>
    <w:rsid w:val="009067A7"/>
    <w:rsid w:val="00921399"/>
    <w:rsid w:val="009227F9"/>
    <w:rsid w:val="00922FA9"/>
    <w:rsid w:val="009246E5"/>
    <w:rsid w:val="0092768A"/>
    <w:rsid w:val="0093587B"/>
    <w:rsid w:val="009372D8"/>
    <w:rsid w:val="00940825"/>
    <w:rsid w:val="00950BBA"/>
    <w:rsid w:val="00951AC3"/>
    <w:rsid w:val="00954965"/>
    <w:rsid w:val="00955274"/>
    <w:rsid w:val="009559DD"/>
    <w:rsid w:val="00960B18"/>
    <w:rsid w:val="009735E5"/>
    <w:rsid w:val="00976EC3"/>
    <w:rsid w:val="0097793A"/>
    <w:rsid w:val="00980172"/>
    <w:rsid w:val="00980905"/>
    <w:rsid w:val="00982DAD"/>
    <w:rsid w:val="009845B9"/>
    <w:rsid w:val="00993ABB"/>
    <w:rsid w:val="009949A2"/>
    <w:rsid w:val="0099565E"/>
    <w:rsid w:val="009970F5"/>
    <w:rsid w:val="009A2F3F"/>
    <w:rsid w:val="009A37AB"/>
    <w:rsid w:val="009A65BE"/>
    <w:rsid w:val="009A6BEE"/>
    <w:rsid w:val="009A7EB3"/>
    <w:rsid w:val="009B212E"/>
    <w:rsid w:val="009D2A84"/>
    <w:rsid w:val="009D470C"/>
    <w:rsid w:val="009E264E"/>
    <w:rsid w:val="009F4A8C"/>
    <w:rsid w:val="00A111CA"/>
    <w:rsid w:val="00A116A2"/>
    <w:rsid w:val="00A17624"/>
    <w:rsid w:val="00A17B28"/>
    <w:rsid w:val="00A2162D"/>
    <w:rsid w:val="00A26DA8"/>
    <w:rsid w:val="00A272A9"/>
    <w:rsid w:val="00A30F2A"/>
    <w:rsid w:val="00A325C4"/>
    <w:rsid w:val="00A34612"/>
    <w:rsid w:val="00A362C3"/>
    <w:rsid w:val="00A3680B"/>
    <w:rsid w:val="00A401DF"/>
    <w:rsid w:val="00A41705"/>
    <w:rsid w:val="00A53348"/>
    <w:rsid w:val="00A57F17"/>
    <w:rsid w:val="00A60BE0"/>
    <w:rsid w:val="00A61C6A"/>
    <w:rsid w:val="00A65BF5"/>
    <w:rsid w:val="00A667C8"/>
    <w:rsid w:val="00A719F3"/>
    <w:rsid w:val="00A738E8"/>
    <w:rsid w:val="00A73FF7"/>
    <w:rsid w:val="00A74477"/>
    <w:rsid w:val="00A77E89"/>
    <w:rsid w:val="00A820E0"/>
    <w:rsid w:val="00A84D7C"/>
    <w:rsid w:val="00A87AD8"/>
    <w:rsid w:val="00A909A0"/>
    <w:rsid w:val="00A914E4"/>
    <w:rsid w:val="00A9570F"/>
    <w:rsid w:val="00AA1236"/>
    <w:rsid w:val="00AA4283"/>
    <w:rsid w:val="00AA6A13"/>
    <w:rsid w:val="00AB6C84"/>
    <w:rsid w:val="00AC0FEC"/>
    <w:rsid w:val="00AC14FF"/>
    <w:rsid w:val="00AC2C2C"/>
    <w:rsid w:val="00AC2EE9"/>
    <w:rsid w:val="00AC32CF"/>
    <w:rsid w:val="00AC59D5"/>
    <w:rsid w:val="00AC7604"/>
    <w:rsid w:val="00AC794C"/>
    <w:rsid w:val="00AD1898"/>
    <w:rsid w:val="00AD1E28"/>
    <w:rsid w:val="00AD594D"/>
    <w:rsid w:val="00AE2E21"/>
    <w:rsid w:val="00AE450E"/>
    <w:rsid w:val="00AE5654"/>
    <w:rsid w:val="00AE5994"/>
    <w:rsid w:val="00AE6002"/>
    <w:rsid w:val="00AF1B0F"/>
    <w:rsid w:val="00AF6461"/>
    <w:rsid w:val="00AF7DDC"/>
    <w:rsid w:val="00B02D25"/>
    <w:rsid w:val="00B06F60"/>
    <w:rsid w:val="00B11DA3"/>
    <w:rsid w:val="00B16DE5"/>
    <w:rsid w:val="00B21AFF"/>
    <w:rsid w:val="00B22E4A"/>
    <w:rsid w:val="00B25D51"/>
    <w:rsid w:val="00B264AE"/>
    <w:rsid w:val="00B33517"/>
    <w:rsid w:val="00B40707"/>
    <w:rsid w:val="00B443E3"/>
    <w:rsid w:val="00B44E8E"/>
    <w:rsid w:val="00B50380"/>
    <w:rsid w:val="00B61E8C"/>
    <w:rsid w:val="00B63058"/>
    <w:rsid w:val="00B63B1D"/>
    <w:rsid w:val="00B73E78"/>
    <w:rsid w:val="00B815F7"/>
    <w:rsid w:val="00B81998"/>
    <w:rsid w:val="00B95C2A"/>
    <w:rsid w:val="00BA5375"/>
    <w:rsid w:val="00BA7FB6"/>
    <w:rsid w:val="00BB5802"/>
    <w:rsid w:val="00BC0C04"/>
    <w:rsid w:val="00BC4E1E"/>
    <w:rsid w:val="00BC5791"/>
    <w:rsid w:val="00BC5C20"/>
    <w:rsid w:val="00BD3A3E"/>
    <w:rsid w:val="00BD74C7"/>
    <w:rsid w:val="00BE0C39"/>
    <w:rsid w:val="00BE1BD8"/>
    <w:rsid w:val="00BE303F"/>
    <w:rsid w:val="00BE45D2"/>
    <w:rsid w:val="00BE5E9D"/>
    <w:rsid w:val="00BE623E"/>
    <w:rsid w:val="00BF0A5D"/>
    <w:rsid w:val="00BF11A7"/>
    <w:rsid w:val="00BF2D8A"/>
    <w:rsid w:val="00BF3783"/>
    <w:rsid w:val="00BF46C8"/>
    <w:rsid w:val="00BF7B7D"/>
    <w:rsid w:val="00C007A8"/>
    <w:rsid w:val="00C0678A"/>
    <w:rsid w:val="00C12A34"/>
    <w:rsid w:val="00C136D5"/>
    <w:rsid w:val="00C17E12"/>
    <w:rsid w:val="00C2012B"/>
    <w:rsid w:val="00C214B7"/>
    <w:rsid w:val="00C2200C"/>
    <w:rsid w:val="00C237C4"/>
    <w:rsid w:val="00C258B0"/>
    <w:rsid w:val="00C2775F"/>
    <w:rsid w:val="00C27C15"/>
    <w:rsid w:val="00C30BE2"/>
    <w:rsid w:val="00C3249A"/>
    <w:rsid w:val="00C3256C"/>
    <w:rsid w:val="00C3316B"/>
    <w:rsid w:val="00C36617"/>
    <w:rsid w:val="00C40BD9"/>
    <w:rsid w:val="00C41E1A"/>
    <w:rsid w:val="00C5143B"/>
    <w:rsid w:val="00C5143D"/>
    <w:rsid w:val="00C5257C"/>
    <w:rsid w:val="00C54BC7"/>
    <w:rsid w:val="00C54C92"/>
    <w:rsid w:val="00C60597"/>
    <w:rsid w:val="00C61811"/>
    <w:rsid w:val="00C722F9"/>
    <w:rsid w:val="00C72A9B"/>
    <w:rsid w:val="00C7663A"/>
    <w:rsid w:val="00C8042F"/>
    <w:rsid w:val="00C81EFC"/>
    <w:rsid w:val="00C86F9A"/>
    <w:rsid w:val="00C87048"/>
    <w:rsid w:val="00C951C9"/>
    <w:rsid w:val="00C95721"/>
    <w:rsid w:val="00C95A74"/>
    <w:rsid w:val="00C9732E"/>
    <w:rsid w:val="00CA05A2"/>
    <w:rsid w:val="00CA76B3"/>
    <w:rsid w:val="00CC7C94"/>
    <w:rsid w:val="00CD5DEF"/>
    <w:rsid w:val="00CE0B1E"/>
    <w:rsid w:val="00CE2F45"/>
    <w:rsid w:val="00CE57DA"/>
    <w:rsid w:val="00CE735E"/>
    <w:rsid w:val="00CF2E8A"/>
    <w:rsid w:val="00CF6DCA"/>
    <w:rsid w:val="00D0041F"/>
    <w:rsid w:val="00D00710"/>
    <w:rsid w:val="00D00940"/>
    <w:rsid w:val="00D01C51"/>
    <w:rsid w:val="00D05E7F"/>
    <w:rsid w:val="00D1081B"/>
    <w:rsid w:val="00D13066"/>
    <w:rsid w:val="00D166B9"/>
    <w:rsid w:val="00D23B7E"/>
    <w:rsid w:val="00D3044D"/>
    <w:rsid w:val="00D32528"/>
    <w:rsid w:val="00D3352C"/>
    <w:rsid w:val="00D33CB3"/>
    <w:rsid w:val="00D34118"/>
    <w:rsid w:val="00D354B8"/>
    <w:rsid w:val="00D4379E"/>
    <w:rsid w:val="00D46D9B"/>
    <w:rsid w:val="00D5132D"/>
    <w:rsid w:val="00D5608D"/>
    <w:rsid w:val="00D64420"/>
    <w:rsid w:val="00D65DB5"/>
    <w:rsid w:val="00D67F3F"/>
    <w:rsid w:val="00D72F5D"/>
    <w:rsid w:val="00D76A48"/>
    <w:rsid w:val="00D77CEA"/>
    <w:rsid w:val="00D815C5"/>
    <w:rsid w:val="00D85DFC"/>
    <w:rsid w:val="00D87365"/>
    <w:rsid w:val="00D87B6B"/>
    <w:rsid w:val="00D92ACA"/>
    <w:rsid w:val="00D93339"/>
    <w:rsid w:val="00DA0C9E"/>
    <w:rsid w:val="00DA78B8"/>
    <w:rsid w:val="00DB1C07"/>
    <w:rsid w:val="00DB281F"/>
    <w:rsid w:val="00DB63E1"/>
    <w:rsid w:val="00DE055F"/>
    <w:rsid w:val="00DE2A39"/>
    <w:rsid w:val="00DE421A"/>
    <w:rsid w:val="00DE52AD"/>
    <w:rsid w:val="00DF5C70"/>
    <w:rsid w:val="00E009E8"/>
    <w:rsid w:val="00E03421"/>
    <w:rsid w:val="00E100A5"/>
    <w:rsid w:val="00E15634"/>
    <w:rsid w:val="00E211BC"/>
    <w:rsid w:val="00E212F8"/>
    <w:rsid w:val="00E218F0"/>
    <w:rsid w:val="00E32A91"/>
    <w:rsid w:val="00E4388F"/>
    <w:rsid w:val="00E46EFD"/>
    <w:rsid w:val="00E54B92"/>
    <w:rsid w:val="00E610E5"/>
    <w:rsid w:val="00E616D3"/>
    <w:rsid w:val="00E63C55"/>
    <w:rsid w:val="00E655D2"/>
    <w:rsid w:val="00E7009C"/>
    <w:rsid w:val="00E72878"/>
    <w:rsid w:val="00E74AAA"/>
    <w:rsid w:val="00E80DB8"/>
    <w:rsid w:val="00E83F5D"/>
    <w:rsid w:val="00E85A9C"/>
    <w:rsid w:val="00E86606"/>
    <w:rsid w:val="00E876C7"/>
    <w:rsid w:val="00E911F3"/>
    <w:rsid w:val="00E9212A"/>
    <w:rsid w:val="00E94792"/>
    <w:rsid w:val="00E958FB"/>
    <w:rsid w:val="00E963A0"/>
    <w:rsid w:val="00E96A61"/>
    <w:rsid w:val="00EA1FCF"/>
    <w:rsid w:val="00EA5668"/>
    <w:rsid w:val="00EA5702"/>
    <w:rsid w:val="00EA7031"/>
    <w:rsid w:val="00EB0BC3"/>
    <w:rsid w:val="00EB1176"/>
    <w:rsid w:val="00EB32E2"/>
    <w:rsid w:val="00EB3AA5"/>
    <w:rsid w:val="00EC29A9"/>
    <w:rsid w:val="00EC62C7"/>
    <w:rsid w:val="00EC6E64"/>
    <w:rsid w:val="00ED1DD5"/>
    <w:rsid w:val="00ED28FC"/>
    <w:rsid w:val="00ED6DC8"/>
    <w:rsid w:val="00EE2951"/>
    <w:rsid w:val="00EE5182"/>
    <w:rsid w:val="00EE6BF1"/>
    <w:rsid w:val="00EE71A4"/>
    <w:rsid w:val="00EE738C"/>
    <w:rsid w:val="00EF43E9"/>
    <w:rsid w:val="00EF6126"/>
    <w:rsid w:val="00EF7EC5"/>
    <w:rsid w:val="00F000A2"/>
    <w:rsid w:val="00F07507"/>
    <w:rsid w:val="00F07C62"/>
    <w:rsid w:val="00F15BDD"/>
    <w:rsid w:val="00F200D9"/>
    <w:rsid w:val="00F254D6"/>
    <w:rsid w:val="00F26318"/>
    <w:rsid w:val="00F272D0"/>
    <w:rsid w:val="00F32B54"/>
    <w:rsid w:val="00F405DC"/>
    <w:rsid w:val="00F52BB0"/>
    <w:rsid w:val="00F54937"/>
    <w:rsid w:val="00F60241"/>
    <w:rsid w:val="00F640E9"/>
    <w:rsid w:val="00F647DB"/>
    <w:rsid w:val="00F64AA0"/>
    <w:rsid w:val="00F651CE"/>
    <w:rsid w:val="00F72820"/>
    <w:rsid w:val="00F7282B"/>
    <w:rsid w:val="00F73554"/>
    <w:rsid w:val="00F73AFC"/>
    <w:rsid w:val="00F7552F"/>
    <w:rsid w:val="00F75770"/>
    <w:rsid w:val="00F80E12"/>
    <w:rsid w:val="00F821FE"/>
    <w:rsid w:val="00F8238B"/>
    <w:rsid w:val="00F834CF"/>
    <w:rsid w:val="00F869BC"/>
    <w:rsid w:val="00F87DB2"/>
    <w:rsid w:val="00F91A96"/>
    <w:rsid w:val="00F91E28"/>
    <w:rsid w:val="00F94D08"/>
    <w:rsid w:val="00F970DE"/>
    <w:rsid w:val="00F97649"/>
    <w:rsid w:val="00FA0AA3"/>
    <w:rsid w:val="00FA0D4A"/>
    <w:rsid w:val="00FA2B57"/>
    <w:rsid w:val="00FA2DA6"/>
    <w:rsid w:val="00FA55C4"/>
    <w:rsid w:val="00FB0CD1"/>
    <w:rsid w:val="00FB0F7A"/>
    <w:rsid w:val="00FB494E"/>
    <w:rsid w:val="00FC04B3"/>
    <w:rsid w:val="00FC3380"/>
    <w:rsid w:val="00FC3CC4"/>
    <w:rsid w:val="00FD0795"/>
    <w:rsid w:val="00FD332C"/>
    <w:rsid w:val="00FF11E6"/>
    <w:rsid w:val="00FF38B5"/>
    <w:rsid w:val="00FF440C"/>
    <w:rsid w:val="00FF4E48"/>
    <w:rsid w:val="00FF55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037815"/>
  <w15:docId w15:val="{DAD0ED39-7AE2-4AB6-9485-D5B5EF96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69"/>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564E61"/>
    <w:pPr>
      <w:keepNext/>
      <w:keepLines/>
      <w:numPr>
        <w:numId w:val="13"/>
      </w:numPr>
      <w:spacing w:before="360" w:after="240" w:line="240" w:lineRule="auto"/>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autoRedefine/>
    <w:uiPriority w:val="9"/>
    <w:unhideWhenUsed/>
    <w:qFormat/>
    <w:rsid w:val="00F000A2"/>
    <w:pPr>
      <w:keepNext/>
      <w:keepLines/>
      <w:numPr>
        <w:ilvl w:val="1"/>
        <w:numId w:val="13"/>
      </w:numPr>
      <w:spacing w:before="40" w:after="120" w:line="240" w:lineRule="auto"/>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BodyText"/>
    <w:link w:val="Heading3Char"/>
    <w:uiPriority w:val="9"/>
    <w:unhideWhenUsed/>
    <w:qFormat/>
    <w:rsid w:val="003E5B4D"/>
    <w:pPr>
      <w:keepNext/>
      <w:keepLines/>
      <w:numPr>
        <w:ilvl w:val="2"/>
        <w:numId w:val="13"/>
      </w:numPr>
      <w:spacing w:before="240"/>
      <w:outlineLvl w:val="2"/>
    </w:pPr>
    <w:rPr>
      <w:rFonts w:eastAsiaTheme="majorEastAsia"/>
      <w:bCs/>
      <w:i/>
      <w:iCs/>
      <w:kern w:val="18"/>
    </w:rPr>
  </w:style>
  <w:style w:type="paragraph" w:styleId="Heading4">
    <w:name w:val="heading 4"/>
    <w:basedOn w:val="Normal"/>
    <w:next w:val="BodyText"/>
    <w:link w:val="Heading4Char"/>
    <w:uiPriority w:val="9"/>
    <w:unhideWhenUsed/>
    <w:qFormat/>
    <w:rsid w:val="00260EE8"/>
    <w:pPr>
      <w:keepNext/>
      <w:keepLines/>
      <w:numPr>
        <w:ilvl w:val="3"/>
        <w:numId w:val="13"/>
      </w:numPr>
      <w:spacing w:before="80" w:after="80"/>
      <w:outlineLvl w:val="3"/>
    </w:pPr>
    <w:rPr>
      <w:rFonts w:ascii="Arial" w:eastAsiaTheme="majorEastAsia" w:hAnsi="Arial" w:cstheme="majorBidi"/>
      <w:b/>
      <w:iCs/>
      <w:color w:val="5B9BD5" w:themeColor="accent1"/>
      <w:kern w:val="18"/>
    </w:rPr>
  </w:style>
  <w:style w:type="paragraph" w:styleId="Heading5">
    <w:name w:val="heading 5"/>
    <w:basedOn w:val="Normal"/>
    <w:next w:val="Normal"/>
    <w:link w:val="Heading5Char"/>
    <w:uiPriority w:val="9"/>
    <w:semiHidden/>
    <w:qFormat/>
    <w:rsid w:val="00260EE8"/>
    <w:pPr>
      <w:keepNext/>
      <w:keepLines/>
      <w:spacing w:before="40" w:after="0"/>
      <w:ind w:left="2232" w:hanging="792"/>
      <w:outlineLvl w:val="4"/>
    </w:pPr>
    <w:rPr>
      <w:rFonts w:asciiTheme="majorHAnsi" w:eastAsiaTheme="majorEastAsia" w:hAnsiTheme="majorHAnsi" w:cstheme="majorBidi"/>
      <w:color w:val="2E74B5" w:themeColor="accent1" w:themeShade="BF"/>
      <w:kern w:val="18"/>
    </w:rPr>
  </w:style>
  <w:style w:type="paragraph" w:styleId="Heading6">
    <w:name w:val="heading 6"/>
    <w:aliases w:val="Appendix"/>
    <w:basedOn w:val="Normal"/>
    <w:next w:val="Normal"/>
    <w:link w:val="Heading6Char"/>
    <w:uiPriority w:val="9"/>
    <w:unhideWhenUsed/>
    <w:qFormat/>
    <w:rsid w:val="00260EE8"/>
    <w:pPr>
      <w:keepNext/>
      <w:keepLines/>
      <w:spacing w:before="40" w:after="0"/>
      <w:ind w:left="2736" w:hanging="936"/>
      <w:outlineLvl w:val="5"/>
    </w:pPr>
    <w:rPr>
      <w:rFonts w:asciiTheme="majorHAnsi" w:eastAsiaTheme="majorEastAsia" w:hAnsiTheme="majorHAnsi" w:cstheme="majorBidi"/>
      <w:color w:val="1F4D78" w:themeColor="accent1" w:themeShade="7F"/>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D10F7"/>
    <w:rPr>
      <w:color w:val="0000FF"/>
      <w:shd w:val="clear" w:color="auto" w:fill="auto"/>
    </w:rPr>
  </w:style>
  <w:style w:type="paragraph" w:styleId="Header">
    <w:name w:val="header"/>
    <w:basedOn w:val="Normal"/>
    <w:link w:val="HeaderChar"/>
    <w:uiPriority w:val="99"/>
    <w:unhideWhenUsed/>
    <w:rsid w:val="004D1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F7"/>
  </w:style>
  <w:style w:type="paragraph" w:styleId="Footer">
    <w:name w:val="footer"/>
    <w:basedOn w:val="Normal"/>
    <w:link w:val="FooterChar"/>
    <w:uiPriority w:val="99"/>
    <w:unhideWhenUsed/>
    <w:rsid w:val="004D1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F7"/>
  </w:style>
  <w:style w:type="paragraph" w:customStyle="1" w:styleId="Pagedecouverture">
    <w:name w:val="Page de couverture"/>
    <w:basedOn w:val="Normal"/>
    <w:next w:val="Normal"/>
    <w:rsid w:val="004D10F7"/>
    <w:pPr>
      <w:spacing w:after="0" w:line="240" w:lineRule="auto"/>
    </w:pPr>
  </w:style>
  <w:style w:type="paragraph" w:customStyle="1" w:styleId="FooterCoverPage">
    <w:name w:val="Footer Cover Page"/>
    <w:basedOn w:val="Normal"/>
    <w:link w:val="FooterCoverPageChar"/>
    <w:rsid w:val="004D10F7"/>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sid w:val="004D10F7"/>
    <w:rPr>
      <w:rFonts w:ascii="Times New Roman" w:hAnsi="Times New Roman" w:cs="Times New Roman"/>
      <w:sz w:val="24"/>
      <w:szCs w:val="24"/>
    </w:rPr>
  </w:style>
  <w:style w:type="paragraph" w:customStyle="1" w:styleId="FooterSensitivity">
    <w:name w:val="Footer Sensitivity"/>
    <w:basedOn w:val="Normal"/>
    <w:link w:val="FooterSensitivityChar"/>
    <w:rsid w:val="004D10F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4D10F7"/>
    <w:rPr>
      <w:rFonts w:ascii="Times New Roman" w:hAnsi="Times New Roman" w:cs="Times New Roman"/>
      <w:b/>
      <w:sz w:val="32"/>
      <w:szCs w:val="24"/>
    </w:rPr>
  </w:style>
  <w:style w:type="paragraph" w:customStyle="1" w:styleId="HeaderCoverPage">
    <w:name w:val="Header Cover Page"/>
    <w:basedOn w:val="Normal"/>
    <w:link w:val="HeaderCoverPageChar"/>
    <w:rsid w:val="004D10F7"/>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sid w:val="004D10F7"/>
    <w:rPr>
      <w:rFonts w:ascii="Times New Roman" w:hAnsi="Times New Roman" w:cs="Times New Roman"/>
      <w:sz w:val="24"/>
      <w:szCs w:val="24"/>
    </w:rPr>
  </w:style>
  <w:style w:type="paragraph" w:customStyle="1" w:styleId="HeaderSensitivity">
    <w:name w:val="Header Sensitivity"/>
    <w:basedOn w:val="Normal"/>
    <w:link w:val="HeaderSensitivityChar"/>
    <w:rsid w:val="004D10F7"/>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D10F7"/>
    <w:rPr>
      <w:rFonts w:ascii="Times New Roman" w:hAnsi="Times New Roman" w:cs="Times New Roman"/>
      <w:b/>
      <w:sz w:val="32"/>
      <w:szCs w:val="24"/>
    </w:rPr>
  </w:style>
  <w:style w:type="paragraph" w:customStyle="1" w:styleId="HeaderSensitivityRight">
    <w:name w:val="Header Sensitivity Right"/>
    <w:basedOn w:val="Normal"/>
    <w:link w:val="HeaderSensitivityRightChar"/>
    <w:rsid w:val="004D10F7"/>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D10F7"/>
    <w:rPr>
      <w:rFonts w:ascii="Times New Roman" w:hAnsi="Times New Roman" w:cs="Times New Roman"/>
      <w:sz w:val="28"/>
      <w:szCs w:val="24"/>
    </w:rPr>
  </w:style>
  <w:style w:type="character" w:customStyle="1" w:styleId="Heading1Char">
    <w:name w:val="Heading 1 Char"/>
    <w:basedOn w:val="DefaultParagraphFont"/>
    <w:link w:val="Heading1"/>
    <w:uiPriority w:val="9"/>
    <w:rsid w:val="00564E61"/>
    <w:rPr>
      <w:rFonts w:asciiTheme="majorHAnsi" w:eastAsiaTheme="majorEastAsia" w:hAnsiTheme="majorHAnsi" w:cstheme="majorBidi"/>
      <w:b/>
      <w:bCs/>
      <w:color w:val="2E74B5" w:themeColor="accent1" w:themeShade="BF"/>
      <w:sz w:val="32"/>
      <w:szCs w:val="32"/>
      <w:lang w:val="lv-LV"/>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ußnote,o,stile 1,Reference,f"/>
    <w:basedOn w:val="Normal"/>
    <w:link w:val="FootnoteTextChar"/>
    <w:uiPriority w:val="99"/>
    <w:unhideWhenUsed/>
    <w:qFormat/>
    <w:rsid w:val="00F07507"/>
    <w:pPr>
      <w:spacing w:after="0" w:line="240" w:lineRule="auto"/>
    </w:pPr>
    <w:rPr>
      <w:sz w:val="20"/>
      <w:szCs w:val="20"/>
    </w:rPr>
  </w:style>
  <w:style w:type="character" w:customStyle="1" w:styleId="FootnoteTextChar">
    <w:name w:val="Footnote Text Char"/>
    <w:aliases w:val="single space Char,Fußnotentextf Char,Footnote text Char,fn Char,Schriftart: 9 pt Char,Schriftart: 10 pt Char,Schriftart: 8 pt Char,WB-Fußnotentext Char,footnote text Char,Footnote Text2 Char,Footnote Text11 Char,ALTS FOOTNOTE11 Char"/>
    <w:basedOn w:val="DefaultParagraphFont"/>
    <w:link w:val="FootnoteText"/>
    <w:uiPriority w:val="99"/>
    <w:qFormat/>
    <w:rsid w:val="00F07507"/>
    <w:rPr>
      <w:sz w:val="20"/>
      <w:szCs w:val="20"/>
    </w:rPr>
  </w:style>
  <w:style w:type="character" w:styleId="FootnoteReference">
    <w:name w:val="footnote reference"/>
    <w:aliases w:val="Footnote Reference Char,Footnote symbol,Footnote,BVI fnr,Voetnootverwijzing,Times 10 Point,Exposant 3 Point,Appel note de bas de p,Footnote reference number,note TESI,SUPERS,EN Footnote Reference,Ref,de nota al pie, BVI fnr,fr,Nota"/>
    <w:basedOn w:val="DefaultParagraphFont"/>
    <w:link w:val="FootnoteReferenceSuperscript"/>
    <w:uiPriority w:val="99"/>
    <w:unhideWhenUsed/>
    <w:qFormat/>
    <w:rsid w:val="00F07507"/>
    <w:rPr>
      <w:vertAlign w:val="superscript"/>
    </w:rPr>
  </w:style>
  <w:style w:type="paragraph" w:customStyle="1" w:styleId="title-bold">
    <w:name w:val="title-bold"/>
    <w:basedOn w:val="Normal"/>
    <w:rsid w:val="00F07507"/>
    <w:pPr>
      <w:spacing w:before="100" w:beforeAutospacing="1" w:after="100" w:afterAutospacing="1" w:line="240" w:lineRule="auto"/>
    </w:pPr>
    <w:rPr>
      <w:rFonts w:eastAsia="Times New Roman"/>
      <w:lang w:eastAsia="fr-BE"/>
    </w:rPr>
  </w:style>
  <w:style w:type="paragraph" w:styleId="NormalWeb">
    <w:name w:val="Normal (Web)"/>
    <w:basedOn w:val="Normal"/>
    <w:uiPriority w:val="99"/>
    <w:unhideWhenUsed/>
    <w:rsid w:val="00F07507"/>
    <w:pPr>
      <w:spacing w:before="100" w:beforeAutospacing="1" w:after="100" w:afterAutospacing="1" w:line="240" w:lineRule="auto"/>
    </w:pPr>
    <w:rPr>
      <w:rFonts w:eastAsia="Times New Roman"/>
      <w:lang w:eastAsia="fr-BE"/>
    </w:rPr>
  </w:style>
  <w:style w:type="character" w:styleId="Emphasis">
    <w:name w:val="Emphasis"/>
    <w:basedOn w:val="DefaultParagraphFont"/>
    <w:uiPriority w:val="20"/>
    <w:qFormat/>
    <w:rsid w:val="00F07507"/>
    <w:rPr>
      <w:i/>
      <w:iCs/>
    </w:rPr>
  </w:style>
  <w:style w:type="paragraph" w:styleId="ListParagraph">
    <w:name w:val="List Paragraph"/>
    <w:aliases w:val="Heading 2_sj,List Paragraph1,Lijstalinea,Reference list,1st level - Bullet List Paragraph,List Paragraph11,Lettre d'introduction,Medium Grid 1 - Accent 21,Normal bullet 2,Bullet list,Numbered List,Paragraphe de liste 2,Bullet EY,Ha,List1"/>
    <w:basedOn w:val="Normal"/>
    <w:link w:val="ListParagraphChar"/>
    <w:uiPriority w:val="34"/>
    <w:qFormat/>
    <w:rsid w:val="002A26C3"/>
    <w:pPr>
      <w:ind w:left="720"/>
      <w:contextualSpacing/>
    </w:pPr>
  </w:style>
  <w:style w:type="character" w:customStyle="1" w:styleId="Heading2Char">
    <w:name w:val="Heading 2 Char"/>
    <w:basedOn w:val="DefaultParagraphFont"/>
    <w:link w:val="Heading2"/>
    <w:uiPriority w:val="9"/>
    <w:rsid w:val="00F000A2"/>
    <w:rPr>
      <w:rFonts w:asciiTheme="majorHAnsi" w:eastAsiaTheme="majorEastAsia" w:hAnsiTheme="majorHAnsi" w:cstheme="majorBidi"/>
      <w:b/>
      <w:bCs/>
      <w:color w:val="2E74B5" w:themeColor="accent1" w:themeShade="BF"/>
      <w:sz w:val="26"/>
      <w:szCs w:val="26"/>
      <w:lang w:val="lv-LV"/>
    </w:rPr>
  </w:style>
  <w:style w:type="paragraph" w:styleId="BodyText">
    <w:name w:val="Body Text"/>
    <w:basedOn w:val="Normal"/>
    <w:link w:val="BodyTextChar"/>
    <w:qFormat/>
    <w:rsid w:val="00615FD3"/>
    <w:pPr>
      <w:spacing w:after="120" w:line="240" w:lineRule="auto"/>
    </w:pPr>
    <w:rPr>
      <w:rFonts w:ascii="Arial" w:hAnsi="Arial"/>
      <w:kern w:val="18"/>
    </w:rPr>
  </w:style>
  <w:style w:type="character" w:customStyle="1" w:styleId="BodyTextChar">
    <w:name w:val="Body Text Char"/>
    <w:basedOn w:val="DefaultParagraphFont"/>
    <w:link w:val="BodyText"/>
    <w:rsid w:val="00615FD3"/>
    <w:rPr>
      <w:rFonts w:ascii="Arial" w:hAnsi="Arial"/>
      <w:kern w:val="18"/>
      <w:lang w:val="lv-LV"/>
    </w:rPr>
  </w:style>
  <w:style w:type="paragraph" w:styleId="ListBullet2">
    <w:name w:val="List Bullet 2"/>
    <w:basedOn w:val="BodyText"/>
    <w:uiPriority w:val="39"/>
    <w:qFormat/>
    <w:rsid w:val="00615FD3"/>
    <w:pPr>
      <w:numPr>
        <w:numId w:val="2"/>
      </w:numPr>
      <w:contextualSpacing/>
    </w:pPr>
  </w:style>
  <w:style w:type="paragraph" w:styleId="ListNumber">
    <w:name w:val="List Number"/>
    <w:basedOn w:val="BodyText"/>
    <w:uiPriority w:val="40"/>
    <w:qFormat/>
    <w:rsid w:val="00615FD3"/>
    <w:pPr>
      <w:numPr>
        <w:numId w:val="3"/>
      </w:numPr>
      <w:contextualSpacing/>
    </w:pPr>
  </w:style>
  <w:style w:type="paragraph" w:customStyle="1" w:styleId="Subheading">
    <w:name w:val="Subheading"/>
    <w:basedOn w:val="BodyText"/>
    <w:next w:val="BodyText"/>
    <w:link w:val="SubheadingChar"/>
    <w:uiPriority w:val="10"/>
    <w:qFormat/>
    <w:rsid w:val="000052EC"/>
    <w:pPr>
      <w:keepNext/>
      <w:keepLines/>
    </w:pPr>
    <w:rPr>
      <w:b/>
      <w:i/>
      <w:color w:val="5B9BD5" w:themeColor="accent1"/>
    </w:rPr>
  </w:style>
  <w:style w:type="character" w:customStyle="1" w:styleId="SubheadingChar">
    <w:name w:val="Subheading Char"/>
    <w:basedOn w:val="BodyTextChar"/>
    <w:link w:val="Subheading"/>
    <w:uiPriority w:val="10"/>
    <w:rsid w:val="000052EC"/>
    <w:rPr>
      <w:rFonts w:ascii="Arial" w:hAnsi="Arial"/>
      <w:b/>
      <w:i/>
      <w:color w:val="5B9BD5" w:themeColor="accent1"/>
      <w:kern w:val="18"/>
      <w:lang w:val="lv-LV"/>
    </w:rPr>
  </w:style>
  <w:style w:type="character" w:customStyle="1" w:styleId="Heading3Char">
    <w:name w:val="Heading 3 Char"/>
    <w:basedOn w:val="DefaultParagraphFont"/>
    <w:link w:val="Heading3"/>
    <w:uiPriority w:val="9"/>
    <w:rsid w:val="003E5B4D"/>
    <w:rPr>
      <w:rFonts w:ascii="Times New Roman" w:eastAsiaTheme="majorEastAsia" w:hAnsi="Times New Roman" w:cs="Times New Roman"/>
      <w:bCs/>
      <w:i/>
      <w:iCs/>
      <w:kern w:val="18"/>
      <w:sz w:val="24"/>
      <w:szCs w:val="24"/>
      <w:lang w:val="lv-LV"/>
    </w:rPr>
  </w:style>
  <w:style w:type="character" w:customStyle="1" w:styleId="Heading4Char">
    <w:name w:val="Heading 4 Char"/>
    <w:basedOn w:val="DefaultParagraphFont"/>
    <w:link w:val="Heading4"/>
    <w:uiPriority w:val="9"/>
    <w:rsid w:val="00260EE8"/>
    <w:rPr>
      <w:rFonts w:ascii="Arial" w:eastAsiaTheme="majorEastAsia" w:hAnsi="Arial" w:cstheme="majorBidi"/>
      <w:b/>
      <w:iCs/>
      <w:color w:val="5B9BD5" w:themeColor="accent1"/>
      <w:kern w:val="18"/>
      <w:sz w:val="24"/>
      <w:lang w:val="lv-LV"/>
    </w:rPr>
  </w:style>
  <w:style w:type="character" w:customStyle="1" w:styleId="Heading5Char">
    <w:name w:val="Heading 5 Char"/>
    <w:basedOn w:val="DefaultParagraphFont"/>
    <w:link w:val="Heading5"/>
    <w:uiPriority w:val="9"/>
    <w:semiHidden/>
    <w:rsid w:val="00260EE8"/>
    <w:rPr>
      <w:rFonts w:asciiTheme="majorHAnsi" w:eastAsiaTheme="majorEastAsia" w:hAnsiTheme="majorHAnsi" w:cstheme="majorBidi"/>
      <w:color w:val="2E74B5" w:themeColor="accent1" w:themeShade="BF"/>
      <w:kern w:val="18"/>
      <w:lang w:val="lv-LV"/>
    </w:rPr>
  </w:style>
  <w:style w:type="character" w:customStyle="1" w:styleId="Heading6Char">
    <w:name w:val="Heading 6 Char"/>
    <w:aliases w:val="Appendix Char"/>
    <w:basedOn w:val="DefaultParagraphFont"/>
    <w:link w:val="Heading6"/>
    <w:uiPriority w:val="9"/>
    <w:rsid w:val="00260EE8"/>
    <w:rPr>
      <w:rFonts w:asciiTheme="majorHAnsi" w:eastAsiaTheme="majorEastAsia" w:hAnsiTheme="majorHAnsi" w:cstheme="majorBidi"/>
      <w:color w:val="1F4D78" w:themeColor="accent1" w:themeShade="7F"/>
      <w:kern w:val="18"/>
      <w:lang w:val="lv-LV"/>
    </w:rPr>
  </w:style>
  <w:style w:type="paragraph" w:customStyle="1" w:styleId="FootnoteReferenceSuperscript">
    <w:name w:val="Footnote Reference Superscript"/>
    <w:basedOn w:val="Normal"/>
    <w:link w:val="FootnoteReference"/>
    <w:uiPriority w:val="99"/>
    <w:qFormat/>
    <w:rsid w:val="00260EE8"/>
    <w:pPr>
      <w:spacing w:line="240" w:lineRule="exact"/>
    </w:pPr>
    <w:rPr>
      <w:vertAlign w:val="superscript"/>
    </w:rPr>
  </w:style>
  <w:style w:type="character" w:styleId="Hyperlink">
    <w:name w:val="Hyperlink"/>
    <w:basedOn w:val="DefaultParagraphFont"/>
    <w:uiPriority w:val="99"/>
    <w:unhideWhenUsed/>
    <w:rsid w:val="00B44E8E"/>
    <w:rPr>
      <w:color w:val="0000FF"/>
      <w:u w:val="single"/>
    </w:rPr>
  </w:style>
  <w:style w:type="paragraph" w:styleId="ListBullet">
    <w:name w:val="List Bullet"/>
    <w:basedOn w:val="Normal"/>
    <w:uiPriority w:val="99"/>
    <w:unhideWhenUsed/>
    <w:rsid w:val="00C722F9"/>
    <w:pPr>
      <w:numPr>
        <w:numId w:val="9"/>
      </w:numPr>
      <w:contextualSpacing/>
    </w:pPr>
  </w:style>
  <w:style w:type="character" w:styleId="CommentReference">
    <w:name w:val="annotation reference"/>
    <w:basedOn w:val="DefaultParagraphFont"/>
    <w:uiPriority w:val="99"/>
    <w:semiHidden/>
    <w:unhideWhenUsed/>
    <w:rsid w:val="008326C2"/>
    <w:rPr>
      <w:sz w:val="16"/>
      <w:szCs w:val="16"/>
    </w:rPr>
  </w:style>
  <w:style w:type="paragraph" w:styleId="CommentText">
    <w:name w:val="annotation text"/>
    <w:basedOn w:val="Normal"/>
    <w:link w:val="CommentTextChar"/>
    <w:uiPriority w:val="99"/>
    <w:unhideWhenUsed/>
    <w:rsid w:val="008326C2"/>
    <w:pPr>
      <w:spacing w:line="240" w:lineRule="auto"/>
    </w:pPr>
    <w:rPr>
      <w:sz w:val="20"/>
      <w:szCs w:val="20"/>
    </w:rPr>
  </w:style>
  <w:style w:type="character" w:customStyle="1" w:styleId="CommentTextChar">
    <w:name w:val="Comment Text Char"/>
    <w:basedOn w:val="DefaultParagraphFont"/>
    <w:link w:val="CommentText"/>
    <w:uiPriority w:val="99"/>
    <w:rsid w:val="008326C2"/>
    <w:rPr>
      <w:sz w:val="20"/>
      <w:szCs w:val="20"/>
    </w:rPr>
  </w:style>
  <w:style w:type="paragraph" w:styleId="CommentSubject">
    <w:name w:val="annotation subject"/>
    <w:basedOn w:val="CommentText"/>
    <w:next w:val="CommentText"/>
    <w:link w:val="CommentSubjectChar"/>
    <w:uiPriority w:val="99"/>
    <w:semiHidden/>
    <w:unhideWhenUsed/>
    <w:rsid w:val="008326C2"/>
    <w:rPr>
      <w:b/>
      <w:bCs/>
    </w:rPr>
  </w:style>
  <w:style w:type="character" w:customStyle="1" w:styleId="CommentSubjectChar">
    <w:name w:val="Comment Subject Char"/>
    <w:basedOn w:val="CommentTextChar"/>
    <w:link w:val="CommentSubject"/>
    <w:uiPriority w:val="99"/>
    <w:semiHidden/>
    <w:rsid w:val="008326C2"/>
    <w:rPr>
      <w:b/>
      <w:bCs/>
      <w:sz w:val="20"/>
      <w:szCs w:val="20"/>
    </w:rPr>
  </w:style>
  <w:style w:type="paragraph" w:styleId="BalloonText">
    <w:name w:val="Balloon Text"/>
    <w:basedOn w:val="Normal"/>
    <w:link w:val="BalloonTextChar"/>
    <w:uiPriority w:val="99"/>
    <w:semiHidden/>
    <w:unhideWhenUsed/>
    <w:rsid w:val="0083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6C2"/>
    <w:rPr>
      <w:rFonts w:ascii="Segoe UI" w:hAnsi="Segoe UI" w:cs="Segoe UI"/>
      <w:sz w:val="18"/>
      <w:szCs w:val="18"/>
    </w:rPr>
  </w:style>
  <w:style w:type="paragraph" w:styleId="Subtitle">
    <w:name w:val="Subtitle"/>
    <w:basedOn w:val="Title"/>
    <w:next w:val="BodyText"/>
    <w:link w:val="SubtitleChar"/>
    <w:uiPriority w:val="11"/>
    <w:qFormat/>
    <w:rsid w:val="00BA5375"/>
    <w:pPr>
      <w:numPr>
        <w:ilvl w:val="1"/>
      </w:numPr>
      <w:spacing w:after="480"/>
    </w:pPr>
    <w:rPr>
      <w:rFonts w:ascii="Arial" w:eastAsiaTheme="minorEastAsia" w:hAnsi="Arial"/>
      <w:b w:val="0"/>
      <w:spacing w:val="15"/>
      <w:kern w:val="18"/>
      <w:sz w:val="32"/>
    </w:rPr>
  </w:style>
  <w:style w:type="character" w:customStyle="1" w:styleId="SubtitleChar">
    <w:name w:val="Subtitle Char"/>
    <w:basedOn w:val="DefaultParagraphFont"/>
    <w:link w:val="Subtitle"/>
    <w:uiPriority w:val="11"/>
    <w:rsid w:val="00BA5375"/>
    <w:rPr>
      <w:rFonts w:ascii="Arial" w:eastAsiaTheme="minorEastAsia" w:hAnsi="Arial" w:cstheme="majorBidi"/>
      <w:b/>
      <w:spacing w:val="15"/>
      <w:kern w:val="18"/>
      <w:sz w:val="32"/>
      <w:szCs w:val="56"/>
      <w:lang w:val="lv-LV"/>
    </w:rPr>
  </w:style>
  <w:style w:type="paragraph" w:styleId="Title">
    <w:name w:val="Title"/>
    <w:basedOn w:val="Normal"/>
    <w:next w:val="Normal"/>
    <w:link w:val="TitleChar"/>
    <w:uiPriority w:val="10"/>
    <w:qFormat/>
    <w:rsid w:val="00564E61"/>
    <w:pPr>
      <w:spacing w:after="0" w:line="240" w:lineRule="auto"/>
      <w:contextualSpacing/>
      <w:jc w:val="center"/>
    </w:pPr>
    <w:rPr>
      <w:rFonts w:asciiTheme="majorHAnsi" w:eastAsiaTheme="majorEastAsia" w:hAnsiTheme="majorHAnsi" w:cstheme="majorBidi"/>
      <w:b/>
      <w:bCs/>
      <w:smallCaps/>
      <w:color w:val="5B9BD5" w:themeColor="accent1"/>
      <w:spacing w:val="-10"/>
      <w:kern w:val="28"/>
      <w:sz w:val="52"/>
      <w:szCs w:val="52"/>
    </w:rPr>
  </w:style>
  <w:style w:type="character" w:customStyle="1" w:styleId="TitleChar">
    <w:name w:val="Title Char"/>
    <w:basedOn w:val="DefaultParagraphFont"/>
    <w:link w:val="Title"/>
    <w:uiPriority w:val="10"/>
    <w:rsid w:val="00564E61"/>
    <w:rPr>
      <w:rFonts w:asciiTheme="majorHAnsi" w:eastAsiaTheme="majorEastAsia" w:hAnsiTheme="majorHAnsi" w:cstheme="majorBidi"/>
      <w:b/>
      <w:bCs/>
      <w:smallCaps/>
      <w:color w:val="5B9BD5" w:themeColor="accent1"/>
      <w:spacing w:val="-10"/>
      <w:kern w:val="28"/>
      <w:sz w:val="52"/>
      <w:szCs w:val="52"/>
      <w:lang w:val="lv-LV"/>
    </w:rPr>
  </w:style>
  <w:style w:type="paragraph" w:styleId="TOCHeading">
    <w:name w:val="TOC Heading"/>
    <w:basedOn w:val="Heading1"/>
    <w:next w:val="Normal"/>
    <w:uiPriority w:val="39"/>
    <w:unhideWhenUsed/>
    <w:qFormat/>
    <w:rsid w:val="002206AE"/>
    <w:pPr>
      <w:outlineLvl w:val="9"/>
    </w:pPr>
  </w:style>
  <w:style w:type="paragraph" w:styleId="TOC1">
    <w:name w:val="toc 1"/>
    <w:basedOn w:val="Normal"/>
    <w:next w:val="Normal"/>
    <w:autoRedefine/>
    <w:uiPriority w:val="39"/>
    <w:unhideWhenUsed/>
    <w:rsid w:val="0000773C"/>
    <w:pPr>
      <w:tabs>
        <w:tab w:val="left" w:pos="440"/>
        <w:tab w:val="right" w:leader="dot" w:pos="9350"/>
      </w:tabs>
      <w:spacing w:after="100"/>
    </w:pPr>
  </w:style>
  <w:style w:type="paragraph" w:styleId="TOC2">
    <w:name w:val="toc 2"/>
    <w:basedOn w:val="Normal"/>
    <w:next w:val="Normal"/>
    <w:autoRedefine/>
    <w:uiPriority w:val="39"/>
    <w:unhideWhenUsed/>
    <w:rsid w:val="004F25F0"/>
    <w:pPr>
      <w:tabs>
        <w:tab w:val="left" w:pos="880"/>
        <w:tab w:val="right" w:leader="dot" w:pos="9350"/>
      </w:tabs>
      <w:spacing w:after="100"/>
      <w:ind w:left="220"/>
    </w:pPr>
  </w:style>
  <w:style w:type="paragraph" w:styleId="TOC3">
    <w:name w:val="toc 3"/>
    <w:basedOn w:val="Normal"/>
    <w:next w:val="Normal"/>
    <w:autoRedefine/>
    <w:uiPriority w:val="39"/>
    <w:unhideWhenUsed/>
    <w:rsid w:val="00564E61"/>
    <w:pPr>
      <w:spacing w:after="100"/>
      <w:ind w:left="440"/>
    </w:pPr>
  </w:style>
  <w:style w:type="paragraph" w:customStyle="1" w:styleId="CharCharChar1">
    <w:name w:val="Char Char Char1"/>
    <w:basedOn w:val="Normal"/>
    <w:uiPriority w:val="99"/>
    <w:rsid w:val="00316F69"/>
    <w:pPr>
      <w:spacing w:line="240" w:lineRule="exact"/>
    </w:pPr>
    <w:rPr>
      <w:vertAlign w:val="superscript"/>
    </w:rPr>
  </w:style>
  <w:style w:type="paragraph" w:customStyle="1" w:styleId="paragraph">
    <w:name w:val="paragraph"/>
    <w:basedOn w:val="Normal"/>
    <w:rsid w:val="00316F69"/>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316F69"/>
  </w:style>
  <w:style w:type="character" w:customStyle="1" w:styleId="superscript">
    <w:name w:val="superscript"/>
    <w:basedOn w:val="DefaultParagraphFont"/>
    <w:rsid w:val="00316F69"/>
  </w:style>
  <w:style w:type="paragraph" w:customStyle="1" w:styleId="footnote">
    <w:name w:val="footnote"/>
    <w:basedOn w:val="Normal"/>
    <w:link w:val="footnoteChar"/>
    <w:qFormat/>
    <w:rsid w:val="00EF7EC5"/>
    <w:pPr>
      <w:spacing w:after="60" w:line="240" w:lineRule="auto"/>
    </w:pPr>
    <w:rPr>
      <w:rFonts w:eastAsiaTheme="minorEastAsia"/>
      <w:sz w:val="16"/>
      <w:szCs w:val="16"/>
    </w:rPr>
  </w:style>
  <w:style w:type="character" w:customStyle="1" w:styleId="ListParagraphChar">
    <w:name w:val="List Paragraph Char"/>
    <w:aliases w:val="Heading 2_sj Char,List Paragraph1 Char,Lijstalinea Char,Reference list Char,1st level - Bullet List Paragraph Char,List Paragraph11 Char,Lettre d'introduction Char,Medium Grid 1 - Accent 21 Char,Normal bullet 2 Char,Bullet list Char"/>
    <w:basedOn w:val="DefaultParagraphFont"/>
    <w:link w:val="ListParagraph"/>
    <w:uiPriority w:val="34"/>
    <w:qFormat/>
    <w:rsid w:val="00EF7EC5"/>
    <w:rPr>
      <w:rFonts w:ascii="Times New Roman" w:hAnsi="Times New Roman" w:cs="Times New Roman"/>
      <w:sz w:val="24"/>
      <w:szCs w:val="24"/>
      <w:lang w:val="lv-LV"/>
    </w:rPr>
  </w:style>
  <w:style w:type="character" w:customStyle="1" w:styleId="footnoteChar">
    <w:name w:val="footnote Char"/>
    <w:basedOn w:val="DefaultParagraphFont"/>
    <w:link w:val="footnote"/>
    <w:rsid w:val="00EF7EC5"/>
    <w:rPr>
      <w:rFonts w:ascii="Times New Roman" w:eastAsiaTheme="minorEastAsia" w:hAnsi="Times New Roman" w:cs="Times New Roman"/>
      <w:sz w:val="16"/>
      <w:szCs w:val="16"/>
      <w:lang w:val="lv-LV"/>
    </w:rPr>
  </w:style>
  <w:style w:type="table" w:styleId="TableGrid">
    <w:name w:val="Table Grid"/>
    <w:basedOn w:val="TableNormal"/>
    <w:uiPriority w:val="39"/>
    <w:rsid w:val="008E3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03421"/>
    <w:rPr>
      <w:color w:val="605E5C"/>
      <w:shd w:val="clear" w:color="auto" w:fill="E1DFDD"/>
    </w:rPr>
  </w:style>
  <w:style w:type="paragraph" w:styleId="Revision">
    <w:name w:val="Revision"/>
    <w:hidden/>
    <w:uiPriority w:val="99"/>
    <w:semiHidden/>
    <w:rsid w:val="006B2DEC"/>
    <w:pPr>
      <w:spacing w:after="0" w:line="240" w:lineRule="auto"/>
    </w:pPr>
    <w:rPr>
      <w:rFonts w:ascii="Times New Roman" w:hAnsi="Times New Roman" w:cs="Times New Roman"/>
      <w:sz w:val="24"/>
      <w:szCs w:val="24"/>
    </w:rPr>
  </w:style>
  <w:style w:type="paragraph" w:customStyle="1" w:styleId="pf0">
    <w:name w:val="pf0"/>
    <w:basedOn w:val="Normal"/>
    <w:rsid w:val="0030114C"/>
    <w:pPr>
      <w:spacing w:before="100" w:beforeAutospacing="1" w:after="100" w:afterAutospacing="1" w:line="240" w:lineRule="auto"/>
      <w:jc w:val="left"/>
    </w:pPr>
    <w:rPr>
      <w:rFonts w:eastAsia="Times New Roman"/>
      <w:lang w:eastAsia="en-IE"/>
    </w:rPr>
  </w:style>
  <w:style w:type="character" w:customStyle="1" w:styleId="cf01">
    <w:name w:val="cf01"/>
    <w:basedOn w:val="DefaultParagraphFont"/>
    <w:rsid w:val="0030114C"/>
    <w:rPr>
      <w:rFonts w:ascii="Segoe UI" w:hAnsi="Segoe UI" w:cs="Segoe UI" w:hint="default"/>
      <w:sz w:val="18"/>
      <w:szCs w:val="18"/>
    </w:rPr>
  </w:style>
  <w:style w:type="character" w:styleId="FollowedHyperlink">
    <w:name w:val="FollowedHyperlink"/>
    <w:basedOn w:val="DefaultParagraphFont"/>
    <w:uiPriority w:val="99"/>
    <w:semiHidden/>
    <w:unhideWhenUsed/>
    <w:rsid w:val="005277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130">
      <w:bodyDiv w:val="1"/>
      <w:marLeft w:val="0"/>
      <w:marRight w:val="0"/>
      <w:marTop w:val="0"/>
      <w:marBottom w:val="0"/>
      <w:divBdr>
        <w:top w:val="none" w:sz="0" w:space="0" w:color="auto"/>
        <w:left w:val="none" w:sz="0" w:space="0" w:color="auto"/>
        <w:bottom w:val="none" w:sz="0" w:space="0" w:color="auto"/>
        <w:right w:val="none" w:sz="0" w:space="0" w:color="auto"/>
      </w:divBdr>
    </w:div>
    <w:div w:id="194852936">
      <w:bodyDiv w:val="1"/>
      <w:marLeft w:val="0"/>
      <w:marRight w:val="0"/>
      <w:marTop w:val="0"/>
      <w:marBottom w:val="0"/>
      <w:divBdr>
        <w:top w:val="none" w:sz="0" w:space="0" w:color="auto"/>
        <w:left w:val="none" w:sz="0" w:space="0" w:color="auto"/>
        <w:bottom w:val="none" w:sz="0" w:space="0" w:color="auto"/>
        <w:right w:val="none" w:sz="0" w:space="0" w:color="auto"/>
      </w:divBdr>
    </w:div>
    <w:div w:id="419721347">
      <w:bodyDiv w:val="1"/>
      <w:marLeft w:val="0"/>
      <w:marRight w:val="0"/>
      <w:marTop w:val="0"/>
      <w:marBottom w:val="0"/>
      <w:divBdr>
        <w:top w:val="none" w:sz="0" w:space="0" w:color="auto"/>
        <w:left w:val="none" w:sz="0" w:space="0" w:color="auto"/>
        <w:bottom w:val="none" w:sz="0" w:space="0" w:color="auto"/>
        <w:right w:val="none" w:sz="0" w:space="0" w:color="auto"/>
      </w:divBdr>
    </w:div>
    <w:div w:id="529687248">
      <w:bodyDiv w:val="1"/>
      <w:marLeft w:val="0"/>
      <w:marRight w:val="0"/>
      <w:marTop w:val="0"/>
      <w:marBottom w:val="0"/>
      <w:divBdr>
        <w:top w:val="none" w:sz="0" w:space="0" w:color="auto"/>
        <w:left w:val="none" w:sz="0" w:space="0" w:color="auto"/>
        <w:bottom w:val="none" w:sz="0" w:space="0" w:color="auto"/>
        <w:right w:val="none" w:sz="0" w:space="0" w:color="auto"/>
      </w:divBdr>
    </w:div>
    <w:div w:id="626014579">
      <w:bodyDiv w:val="1"/>
      <w:marLeft w:val="0"/>
      <w:marRight w:val="0"/>
      <w:marTop w:val="0"/>
      <w:marBottom w:val="0"/>
      <w:divBdr>
        <w:top w:val="none" w:sz="0" w:space="0" w:color="auto"/>
        <w:left w:val="none" w:sz="0" w:space="0" w:color="auto"/>
        <w:bottom w:val="none" w:sz="0" w:space="0" w:color="auto"/>
        <w:right w:val="none" w:sz="0" w:space="0" w:color="auto"/>
      </w:divBdr>
    </w:div>
    <w:div w:id="948468309">
      <w:bodyDiv w:val="1"/>
      <w:marLeft w:val="0"/>
      <w:marRight w:val="0"/>
      <w:marTop w:val="0"/>
      <w:marBottom w:val="0"/>
      <w:divBdr>
        <w:top w:val="none" w:sz="0" w:space="0" w:color="auto"/>
        <w:left w:val="none" w:sz="0" w:space="0" w:color="auto"/>
        <w:bottom w:val="none" w:sz="0" w:space="0" w:color="auto"/>
        <w:right w:val="none" w:sz="0" w:space="0" w:color="auto"/>
      </w:divBdr>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614046772">
      <w:bodyDiv w:val="1"/>
      <w:marLeft w:val="0"/>
      <w:marRight w:val="0"/>
      <w:marTop w:val="0"/>
      <w:marBottom w:val="0"/>
      <w:divBdr>
        <w:top w:val="none" w:sz="0" w:space="0" w:color="auto"/>
        <w:left w:val="none" w:sz="0" w:space="0" w:color="auto"/>
        <w:bottom w:val="none" w:sz="0" w:space="0" w:color="auto"/>
        <w:right w:val="none" w:sz="0" w:space="0" w:color="auto"/>
      </w:divBdr>
    </w:div>
    <w:div w:id="2008094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wsj.com/articles/google-and-metas-advertising-dominance-fades-as-tiktok-netflix-emerge-11672711107?mod=mktw&amp;mod=article_inline&amp;adobe_mc=MCMID%3D25175364284996172750164006098244849398%7CMCORGID%3DCB68E4BA55144CAA0A4C98A5%2540AdobeOrg%7CTS%3D1675347238" TargetMode="External"/><Relationship Id="rId13" Type="http://schemas.openxmlformats.org/officeDocument/2006/relationships/hyperlink" Target="https://www.shopify.com/facebook-instagram" TargetMode="External"/><Relationship Id="rId18" Type="http://schemas.openxmlformats.org/officeDocument/2006/relationships/hyperlink" Target="https://ec.europa.eu/commission/presscorner/detail/lv/ip_23_418" TargetMode="External"/><Relationship Id="rId26" Type="http://schemas.openxmlformats.org/officeDocument/2006/relationships/hyperlink" Target="https://commission.europa.eu/strategy-and-policy/eu-budget/performance-and-reporting/programme-performance-statements/digital-europe-programme-performance_en?prefLang=lv" TargetMode="External"/><Relationship Id="rId3" Type="http://schemas.openxmlformats.org/officeDocument/2006/relationships/hyperlink" Target="https://www.statista.com/statistics/443522/global-retail-sales/" TargetMode="External"/><Relationship Id="rId21" Type="http://schemas.openxmlformats.org/officeDocument/2006/relationships/hyperlink" Target="https://www.eca.europa.eu/Lists/ECADocuments/SR21_15/SR_passenger-rights_covid_LV.pdf" TargetMode="External"/><Relationship Id="rId7" Type="http://schemas.openxmlformats.org/officeDocument/2006/relationships/hyperlink" Target="https://www.emarketer.com/content/duopoly-still-rules-global-digital-ad-market-alibaba-amazon-on-prowl" TargetMode="External"/><Relationship Id="rId12" Type="http://schemas.openxmlformats.org/officeDocument/2006/relationships/hyperlink" Target="https://www.bbc.com/news/business-59563238" TargetMode="External"/><Relationship Id="rId17" Type="http://schemas.openxmlformats.org/officeDocument/2006/relationships/hyperlink" Target="https://op.europa.eu/en/publication-detail/-/publication/606365bc-d58b-11ec-a95f-01aa75ed71a1/language-en/format-PDF/source-257599418" TargetMode="External"/><Relationship Id="rId25" Type="http://schemas.openxmlformats.org/officeDocument/2006/relationships/hyperlink" Target="hhttps://commission.europa.eu/live-work-travel-eu/consumer-rights-and-complaints/enforcement-consumer-protection/coordinated-actions/other-travel-services_lv" TargetMode="External"/><Relationship Id="rId33" Type="http://schemas.openxmlformats.org/officeDocument/2006/relationships/hyperlink" Target="https://www.europarl.europa.eu/doceo/document/TA-9-2023-0473_LV.html" TargetMode="External"/><Relationship Id="rId2" Type="http://schemas.openxmlformats.org/officeDocument/2006/relationships/hyperlink" Target="https://www.statista.com/statistics/379046/worldwide-retail-e-commerce-sales/" TargetMode="External"/><Relationship Id="rId16" Type="http://schemas.openxmlformats.org/officeDocument/2006/relationships/hyperlink" Target="https://commission.europa.eu/system/files/2021-03/ccs_ppt_120321_final.pdf" TargetMode="External"/><Relationship Id="rId20" Type="http://schemas.openxmlformats.org/officeDocument/2006/relationships/hyperlink" Target="https://commission.europa.eu/live-work-travel-eu/consumer-rights-and-complaints/enforcement-consumer-protection/coordinated-actions/air-travel_lv" TargetMode="External"/><Relationship Id="rId29" Type="http://schemas.openxmlformats.org/officeDocument/2006/relationships/hyperlink" Target="https://commission.europa.eu/live-work-travel-eu/consumer-rights-and-complaints/enforcement-consumer-protection/coordinated-actions/accommodation-booking_lv" TargetMode="External"/><Relationship Id="rId1" Type="http://schemas.openxmlformats.org/officeDocument/2006/relationships/hyperlink" Target="https://commission.europa.eu/publications/information-gathering-assisting-european-commission-complying-its-obligations-under-article-40_en?prefLang=lv" TargetMode="External"/><Relationship Id="rId6" Type="http://schemas.openxmlformats.org/officeDocument/2006/relationships/hyperlink" Target="https://www.webretailer.com/b/online-marketplaces/" TargetMode="External"/><Relationship Id="rId11" Type="http://schemas.openxmlformats.org/officeDocument/2006/relationships/hyperlink" Target="https://www.bbc.com/news/business-59563238" TargetMode="External"/><Relationship Id="rId24" Type="http://schemas.openxmlformats.org/officeDocument/2006/relationships/hyperlink" Target="https://commission.europa.eu/live-work-travel-eu/consumer-rights-and-complaints/enforcement-consumer-protection/coordinated-actions/market-places-and-digital-services_lv" TargetMode="External"/><Relationship Id="rId32" Type="http://schemas.openxmlformats.org/officeDocument/2006/relationships/hyperlink" Target="https://commission.europa.eu/live-work-travel-eu/consumer-rights-and-complaints/enforcement-consumer-protection/coordinated-actions/market-places-and-digital-services_lv" TargetMode="External"/><Relationship Id="rId5" Type="http://schemas.openxmlformats.org/officeDocument/2006/relationships/hyperlink" Target="https://ecommerce-europe.eu/wp-content/uploads/2021/09/2021-European-E-commerce-Report-LIGHT-VERSION.pdf" TargetMode="External"/><Relationship Id="rId15" Type="http://schemas.openxmlformats.org/officeDocument/2006/relationships/hyperlink" Target="https://ec.europa.eu/eurostat/statistics-explained/index.php?title=E-commerce_statistics_for_individuals" TargetMode="External"/><Relationship Id="rId23" Type="http://schemas.openxmlformats.org/officeDocument/2006/relationships/hyperlink" Target="https://www.eca.europa.eu/Lists/ECADocuments/SR21_15/SR_passenger-rights_covid_LV.pdf" TargetMode="External"/><Relationship Id="rId28" Type="http://schemas.openxmlformats.org/officeDocument/2006/relationships/hyperlink" Target="https://commission.europa.eu/live-work-travel-eu/consumer-rights-and-complaints/enforcement-consumer-protection/coordinated-actions/air-travel_lv" TargetMode="External"/><Relationship Id="rId10" Type="http://schemas.openxmlformats.org/officeDocument/2006/relationships/hyperlink" Target="https://www.statista.com/statistics/1092819/global-influencer-market-size/" TargetMode="External"/><Relationship Id="rId19" Type="http://schemas.openxmlformats.org/officeDocument/2006/relationships/hyperlink" Target="https://commission.europa.eu/publications/information-gathering-assisting-european-commission-complying-its-obligations-under-article-40_en?prefLang=lv" TargetMode="External"/><Relationship Id="rId31" Type="http://schemas.openxmlformats.org/officeDocument/2006/relationships/hyperlink" Target="https://commission.europa.eu/live-work-travel-eu/consumer-rights-and-complaints/enforcement-consumer-protection/coordinated-actions/other-travel-services_lv" TargetMode="External"/><Relationship Id="rId4" Type="http://schemas.openxmlformats.org/officeDocument/2006/relationships/hyperlink" Target="https://ec.europa.eu/eurostat/databrowser/view/tin00110/default/table?lang=en" TargetMode="External"/><Relationship Id="rId9" Type="http://schemas.openxmlformats.org/officeDocument/2006/relationships/hyperlink" Target="https://ec.europa.eu/eurostat/databrowser/view/ISOC_EC_IBOS__custom_3007818/default/table?lang=en" TargetMode="External"/><Relationship Id="rId14" Type="http://schemas.openxmlformats.org/officeDocument/2006/relationships/hyperlink" Target="https://www.shopify.com/facebook-instagram" TargetMode="External"/><Relationship Id="rId22" Type="http://schemas.openxmlformats.org/officeDocument/2006/relationships/hyperlink" Target="https://www.eca.europa.eu/Lists/ECADocuments/SR21_15/SR_passenger-rights_covid_LV.pdf" TargetMode="External"/><Relationship Id="rId27" Type="http://schemas.openxmlformats.org/officeDocument/2006/relationships/hyperlink" Target="https://commission.europa.eu/funding-tenders/find-funding/eu-funding-programmes/single-market-programme/overview_en?prefLang=lv" TargetMode="External"/><Relationship Id="rId30" Type="http://schemas.openxmlformats.org/officeDocument/2006/relationships/hyperlink" Target="https://commission.europa.eu/publications/information-gathering-assisting-european-commission-complying-its-obligations-under-article-40_en?prefLang=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5920-3019-448B-8ADB-B1960F21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7700</Words>
  <Characters>43891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15</cp:revision>
  <cp:lastPrinted>2024-05-02T07:49:00Z</cp:lastPrinted>
  <dcterms:created xsi:type="dcterms:W3CDTF">2024-06-16T17:02:00Z</dcterms:created>
  <dcterms:modified xsi:type="dcterms:W3CDTF">2024-07-25T08:51:00Z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2023-04-12T09:19:20Z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04c9d926-1c6d-499e-b1fc-a556e2e2584b</vt:lpwstr>
  </property>
  <property fmtid="{D5CDD505-2E9C-101B-9397-08002B2CF9AE}" pid="15" name="MSIP_Label_6bd9ddd1-4d20-43f6-abfa-fc3c07406f94_ContentBits">
    <vt:lpwstr>0</vt:lpwstr>
  </property>
</Properties>
</file>