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69B07" w14:textId="07C56C06" w:rsidR="004319B6" w:rsidRPr="006A6461" w:rsidRDefault="00020CDD" w:rsidP="00020CDD">
      <w:pPr>
        <w:pStyle w:val="Pagedecouverture"/>
        <w:rPr>
          <w:noProof/>
        </w:rPr>
      </w:pPr>
      <w:bookmarkStart w:id="0" w:name="LW_BM_COVERPAGE"/>
      <w:r>
        <w:rPr>
          <w:noProof/>
        </w:rPr>
        <w:pict w14:anchorId="5E270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6CD1825-1199-494F-BAC9-241D317118EC" style="width:455.25pt;height:396.75pt">
            <v:imagedata r:id="rId11" o:title=""/>
          </v:shape>
        </w:pict>
      </w:r>
    </w:p>
    <w:bookmarkEnd w:id="0"/>
    <w:p w14:paraId="77064663" w14:textId="77777777" w:rsidR="004319B6" w:rsidRPr="006A6461" w:rsidRDefault="004319B6">
      <w:pPr>
        <w:rPr>
          <w:rFonts w:ascii="Times New Roman" w:hAnsi="Times New Roman" w:cs="Times New Roman"/>
          <w:noProof/>
        </w:rPr>
        <w:sectPr w:rsidR="004319B6" w:rsidRPr="006A6461" w:rsidSect="00020CDD">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46C744EB" w14:textId="6C92803F" w:rsidR="00663AC2" w:rsidRPr="006A6461" w:rsidRDefault="00663AC2" w:rsidP="00663AC2">
      <w:pPr>
        <w:rPr>
          <w:rFonts w:ascii="Times New Roman" w:hAnsi="Times New Roman" w:cs="Times New Roman"/>
          <w:noProof/>
          <w:sz w:val="24"/>
          <w:szCs w:val="24"/>
        </w:rPr>
      </w:pPr>
      <w:bookmarkStart w:id="1" w:name="_GoBack"/>
      <w:bookmarkEnd w:id="1"/>
      <w:r>
        <w:rPr>
          <w:rFonts w:ascii="Times New Roman" w:hAnsi="Times New Roman"/>
          <w:noProof/>
          <w:sz w:val="24"/>
        </w:rPr>
        <w:lastRenderedPageBreak/>
        <w:t>Като взе предвид:</w:t>
      </w:r>
    </w:p>
    <w:p w14:paraId="2C3C4B48" w14:textId="77777777" w:rsidR="00D1196C" w:rsidRPr="006A6461" w:rsidRDefault="00D1196C" w:rsidP="00D1196C">
      <w:pPr>
        <w:pStyle w:val="Tiret0"/>
        <w:rPr>
          <w:noProof/>
        </w:rPr>
      </w:pPr>
      <w:r>
        <w:rPr>
          <w:noProof/>
        </w:rPr>
        <w:t>Договора за функционирането на Европейския съюз, и по-специално член 314 от него, във връзка с Договора за създаване на Европейската общност за атомна енергия, и по-специално член 106а от него,</w:t>
      </w:r>
    </w:p>
    <w:p w14:paraId="2020DB21" w14:textId="77777777" w:rsidR="00D1196C" w:rsidRPr="006A6461" w:rsidRDefault="00D1196C" w:rsidP="00D1196C">
      <w:pPr>
        <w:pStyle w:val="Tiret0"/>
        <w:rPr>
          <w:noProof/>
        </w:rPr>
      </w:pPr>
      <w:r>
        <w:rPr>
          <w:noProof/>
        </w:rPr>
        <w:t>Решение (ЕС, Евратом) 2020/2053 на Съвета от 14 декември 2020 г. относно системата на собствените ресурси на Европейския съюз</w:t>
      </w:r>
      <w:r w:rsidRPr="006A6461">
        <w:rPr>
          <w:rStyle w:val="FootnoteReference"/>
          <w:noProof/>
        </w:rPr>
        <w:footnoteReference w:id="2"/>
      </w:r>
      <w:r>
        <w:rPr>
          <w:noProof/>
        </w:rPr>
        <w:t>, влязло в сила на 1 юни 2021 г.,</w:t>
      </w:r>
    </w:p>
    <w:p w14:paraId="27834FE4" w14:textId="77777777" w:rsidR="00D1196C" w:rsidRPr="006A6461" w:rsidRDefault="00D1196C" w:rsidP="00D1196C">
      <w:pPr>
        <w:pStyle w:val="Tiret0"/>
        <w:rPr>
          <w:noProof/>
        </w:rPr>
      </w:pPr>
      <w:r>
        <w:rPr>
          <w:noProof/>
        </w:rPr>
        <w:t>Регламент (ЕС, Евратом) 2018/1046 на Европейския парламент и на Съвета от 18 юли 2018 г. за финансовите правила, приложими за общия бюджет на Съюза (...)</w:t>
      </w:r>
      <w:r w:rsidRPr="006A6461">
        <w:rPr>
          <w:rStyle w:val="FootnoteReference"/>
          <w:noProof/>
        </w:rPr>
        <w:footnoteReference w:id="3"/>
      </w:r>
      <w:r>
        <w:rPr>
          <w:noProof/>
        </w:rPr>
        <w:t>, и по-специално член 44 от него,</w:t>
      </w:r>
    </w:p>
    <w:p w14:paraId="739C9B91" w14:textId="11E3E455" w:rsidR="00D1196C" w:rsidRPr="006A6461" w:rsidRDefault="00D1196C" w:rsidP="00D1196C">
      <w:pPr>
        <w:pStyle w:val="Tiret0"/>
        <w:rPr>
          <w:noProof/>
        </w:rPr>
      </w:pPr>
      <w:r>
        <w:rPr>
          <w:noProof/>
        </w:rPr>
        <w:t>общия бюджет на Европейския съюз за 2024 финансова година, приет на 22 ноември 2023 г.</w:t>
      </w:r>
      <w:r w:rsidRPr="006A6461">
        <w:rPr>
          <w:rStyle w:val="FootnoteReference"/>
          <w:noProof/>
        </w:rPr>
        <w:footnoteReference w:id="4"/>
      </w:r>
      <w:r>
        <w:rPr>
          <w:noProof/>
        </w:rPr>
        <w:t>,</w:t>
      </w:r>
    </w:p>
    <w:p w14:paraId="5A08FD4A" w14:textId="6E92C6C5" w:rsidR="00D1196C" w:rsidRPr="006A6461" w:rsidRDefault="00D1196C" w:rsidP="00D1196C">
      <w:pPr>
        <w:pStyle w:val="Tiret0"/>
        <w:rPr>
          <w:noProof/>
        </w:rPr>
      </w:pPr>
      <w:r>
        <w:rPr>
          <w:noProof/>
        </w:rPr>
        <w:t>коригиращ бюджет № 1/2024</w:t>
      </w:r>
      <w:r w:rsidRPr="006A6461">
        <w:rPr>
          <w:rStyle w:val="FootnoteReference"/>
          <w:noProof/>
        </w:rPr>
        <w:footnoteReference w:id="5"/>
      </w:r>
      <w:r>
        <w:rPr>
          <w:noProof/>
        </w:rPr>
        <w:t>, приет на 25 април 2024 г.,</w:t>
      </w:r>
    </w:p>
    <w:p w14:paraId="14524B67" w14:textId="37FE835B" w:rsidR="00680834" w:rsidRPr="006A6461" w:rsidRDefault="00680834" w:rsidP="00680834">
      <w:pPr>
        <w:pStyle w:val="Tiret0"/>
        <w:rPr>
          <w:noProof/>
        </w:rPr>
      </w:pPr>
      <w:r>
        <w:rPr>
          <w:noProof/>
        </w:rPr>
        <w:t>коригиращ бюджет № 2/2024</w:t>
      </w:r>
      <w:r w:rsidRPr="006A6461">
        <w:rPr>
          <w:rStyle w:val="FootnoteReference"/>
          <w:noProof/>
        </w:rPr>
        <w:footnoteReference w:id="6"/>
      </w:r>
      <w:r>
        <w:rPr>
          <w:noProof/>
        </w:rPr>
        <w:t>, приет на 25 април 2024 г.,</w:t>
      </w:r>
    </w:p>
    <w:p w14:paraId="46AC474D" w14:textId="53CDD178" w:rsidR="00D1196C" w:rsidRPr="006A6461" w:rsidRDefault="6EDBFC7B" w:rsidP="00D1196C">
      <w:pPr>
        <w:pStyle w:val="Tiret0"/>
        <w:rPr>
          <w:noProof/>
        </w:rPr>
      </w:pPr>
      <w:r>
        <w:rPr>
          <w:noProof/>
        </w:rPr>
        <w:t>проект на коригиращ бюджет № 2/2024</w:t>
      </w:r>
      <w:r w:rsidR="00D1196C" w:rsidRPr="006A6461">
        <w:rPr>
          <w:rStyle w:val="FootnoteReference"/>
          <w:noProof/>
        </w:rPr>
        <w:footnoteReference w:id="7"/>
      </w:r>
      <w:r>
        <w:rPr>
          <w:noProof/>
        </w:rPr>
        <w:t>, приет на 9 април 2024 г.,</w:t>
      </w:r>
    </w:p>
    <w:p w14:paraId="08866B31" w14:textId="4C59267B" w:rsidR="00663AC2" w:rsidRPr="006A6461" w:rsidRDefault="00663AC2" w:rsidP="00663AC2">
      <w:pPr>
        <w:rPr>
          <w:rFonts w:ascii="Times New Roman" w:hAnsi="Times New Roman" w:cs="Times New Roman"/>
          <w:noProof/>
          <w:sz w:val="24"/>
          <w:szCs w:val="24"/>
        </w:rPr>
      </w:pPr>
      <w:r>
        <w:rPr>
          <w:rFonts w:ascii="Times New Roman" w:hAnsi="Times New Roman"/>
          <w:noProof/>
          <w:sz w:val="24"/>
        </w:rPr>
        <w:t>С настоящото Европейската комисия представя на Европейския парламент и на Съвета проект на коригиращ бюджет № 4 към бюджета за 2024 г.</w:t>
      </w:r>
    </w:p>
    <w:p w14:paraId="27CAFC43" w14:textId="77777777" w:rsidR="00DE2FF0" w:rsidRPr="006A6461" w:rsidRDefault="00DE2FF0" w:rsidP="568A9AE5">
      <w:pPr>
        <w:spacing w:after="0" w:line="240" w:lineRule="auto"/>
        <w:rPr>
          <w:rFonts w:ascii="Times New Roman" w:eastAsia="Times New Roman" w:hAnsi="Times New Roman" w:cs="Times New Roman"/>
          <w:b/>
          <w:bCs/>
          <w:noProof/>
          <w:sz w:val="24"/>
          <w:szCs w:val="24"/>
          <w:highlight w:val="yellow"/>
          <w:u w:val="single"/>
          <w:lang w:eastAsia="en-GB"/>
        </w:rPr>
      </w:pPr>
    </w:p>
    <w:p w14:paraId="313C586E" w14:textId="77777777" w:rsidR="00DE2FF0" w:rsidRPr="006A6461" w:rsidRDefault="00DE2FF0" w:rsidP="568A9AE5">
      <w:pPr>
        <w:spacing w:after="0" w:line="240" w:lineRule="auto"/>
        <w:jc w:val="both"/>
        <w:rPr>
          <w:rFonts w:ascii="Times New Roman" w:eastAsia="Times New Roman" w:hAnsi="Times New Roman" w:cs="Times New Roman"/>
          <w:b/>
          <w:bCs/>
          <w:noProof/>
          <w:sz w:val="24"/>
          <w:szCs w:val="24"/>
          <w:u w:val="single"/>
        </w:rPr>
      </w:pPr>
      <w:r>
        <w:rPr>
          <w:rFonts w:ascii="Times New Roman" w:hAnsi="Times New Roman"/>
          <w:b/>
          <w:noProof/>
          <w:sz w:val="24"/>
          <w:u w:val="single"/>
        </w:rPr>
        <w:t>ПРОМЕНИ В ПРИХОДНАТА И РАЗХОДНАТА ЧАСТ НА БЮДЖЕТА ПО РАЗДЕЛИ</w:t>
      </w:r>
    </w:p>
    <w:p w14:paraId="73192F60" w14:textId="77777777" w:rsidR="00DE2FF0" w:rsidRPr="006A6461" w:rsidRDefault="00DE2FF0" w:rsidP="00DE2FF0">
      <w:pPr>
        <w:spacing w:after="0" w:line="240" w:lineRule="auto"/>
        <w:rPr>
          <w:rFonts w:ascii="Times New Roman" w:eastAsia="Times New Roman" w:hAnsi="Times New Roman" w:cs="Times New Roman"/>
          <w:b/>
          <w:noProof/>
          <w:sz w:val="24"/>
          <w:szCs w:val="24"/>
          <w:u w:val="single"/>
          <w:lang w:eastAsia="ko-KR"/>
        </w:rPr>
      </w:pPr>
    </w:p>
    <w:p w14:paraId="283B77A7" w14:textId="77777777" w:rsidR="00663AC2" w:rsidRPr="006A6461" w:rsidRDefault="00663AC2" w:rsidP="00663A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Промените в общата приходна част и в отделния раздел III са достъпни в EUR-Lex (</w:t>
      </w:r>
      <w:hyperlink r:id="rId18" w:history="1">
        <w:r>
          <w:rPr>
            <w:rFonts w:ascii="Times New Roman" w:hAnsi="Times New Roman"/>
            <w:noProof/>
            <w:color w:val="0000FF"/>
            <w:sz w:val="24"/>
            <w:u w:val="single"/>
          </w:rPr>
          <w:t>https://eur-lex.europa.eu/budget/www/index-bg.htm</w:t>
        </w:r>
      </w:hyperlink>
      <w:r>
        <w:rPr>
          <w:rFonts w:ascii="Times New Roman" w:hAnsi="Times New Roman"/>
          <w:noProof/>
          <w:sz w:val="24"/>
        </w:rPr>
        <w:t>).</w:t>
      </w:r>
    </w:p>
    <w:p w14:paraId="0C6A0C3A" w14:textId="77777777" w:rsidR="004C5ECE" w:rsidRPr="006A6461" w:rsidRDefault="004C5ECE" w:rsidP="004C5ECE">
      <w:pPr>
        <w:spacing w:after="0" w:line="240" w:lineRule="auto"/>
        <w:rPr>
          <w:rFonts w:ascii="Times New Roman" w:eastAsia="Times New Roman" w:hAnsi="Times New Roman" w:cs="Times New Roman"/>
          <w:noProof/>
          <w:sz w:val="24"/>
          <w:szCs w:val="24"/>
          <w:lang w:eastAsia="en-GB"/>
        </w:rPr>
        <w:sectPr w:rsidR="004C5ECE" w:rsidRPr="006A6461">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cols w:space="708"/>
          <w:docGrid w:linePitch="360"/>
        </w:sectPr>
      </w:pPr>
    </w:p>
    <w:bookmarkStart w:id="2" w:name="_Toc35506109" w:displacedByCustomXml="next"/>
    <w:bookmarkStart w:id="3" w:name="_Toc514181802" w:displacedByCustomXml="next"/>
    <w:bookmarkStart w:id="4" w:name="_Toc12621018" w:displacedByCustomXml="next"/>
    <w:sdt>
      <w:sdtPr>
        <w:rPr>
          <w:rFonts w:asciiTheme="minorHAnsi" w:eastAsiaTheme="minorHAnsi" w:hAnsiTheme="minorHAnsi" w:cstheme="minorBidi"/>
          <w:b w:val="0"/>
          <w:noProof/>
          <w:sz w:val="22"/>
          <w:szCs w:val="22"/>
          <w:lang w:eastAsia="en-US"/>
        </w:rPr>
        <w:id w:val="-1999869514"/>
        <w:docPartObj>
          <w:docPartGallery w:val="Table of Contents"/>
          <w:docPartUnique/>
        </w:docPartObj>
      </w:sdtPr>
      <w:sdtEndPr>
        <w:rPr>
          <w:bCs/>
        </w:rPr>
      </w:sdtEndPr>
      <w:sdtContent>
        <w:p w14:paraId="3C9BF4A6" w14:textId="3AD79389" w:rsidR="00C45FCA" w:rsidRDefault="00C45FCA">
          <w:pPr>
            <w:pStyle w:val="TOCHeading"/>
            <w:rPr>
              <w:noProof/>
            </w:rPr>
          </w:pPr>
          <w:r>
            <w:rPr>
              <w:noProof/>
            </w:rPr>
            <w:t>Съдържание</w:t>
          </w:r>
        </w:p>
        <w:p w14:paraId="04EE2D31" w14:textId="324EC326" w:rsidR="00DD2F72" w:rsidRDefault="00C45FCA">
          <w:pPr>
            <w:pStyle w:val="TOC1"/>
            <w:tabs>
              <w:tab w:val="left" w:pos="480"/>
              <w:tab w:val="right" w:leader="dot" w:pos="9855"/>
            </w:tabs>
            <w:rPr>
              <w:rFonts w:asciiTheme="minorHAnsi" w:eastAsiaTheme="minorEastAsia" w:hAnsiTheme="minorHAnsi" w:cstheme="minorBidi"/>
              <w:b w:val="0"/>
              <w:bCs w:val="0"/>
              <w:caps w:val="0"/>
              <w:noProof/>
              <w:kern w:val="2"/>
              <w:sz w:val="22"/>
              <w:szCs w:val="22"/>
              <w:lang w:val="en-IE" w:eastAsia="en-IE"/>
              <w14:ligatures w14:val="standardContextual"/>
            </w:rPr>
          </w:pPr>
          <w:r>
            <w:rPr>
              <w:noProof/>
            </w:rPr>
            <w:fldChar w:fldCharType="begin"/>
          </w:r>
          <w:r>
            <w:rPr>
              <w:noProof/>
            </w:rPr>
            <w:instrText xml:space="preserve"> TOC \o "1-3" \h \z \u </w:instrText>
          </w:r>
          <w:r>
            <w:rPr>
              <w:noProof/>
            </w:rPr>
            <w:fldChar w:fldCharType="separate"/>
          </w:r>
          <w:hyperlink w:anchor="_Toc173242902" w:history="1">
            <w:r w:rsidR="00DD2F72" w:rsidRPr="00C46489">
              <w:rPr>
                <w:rStyle w:val="Hyperlink"/>
                <w:noProof/>
              </w:rPr>
              <w:t>1.</w:t>
            </w:r>
            <w:r w:rsidR="00DD2F72">
              <w:rPr>
                <w:rFonts w:asciiTheme="minorHAnsi" w:eastAsiaTheme="minorEastAsia" w:hAnsiTheme="minorHAnsi" w:cstheme="minorBidi"/>
                <w:b w:val="0"/>
                <w:bCs w:val="0"/>
                <w:caps w:val="0"/>
                <w:noProof/>
                <w:kern w:val="2"/>
                <w:sz w:val="22"/>
                <w:szCs w:val="22"/>
                <w:lang w:val="en-IE" w:eastAsia="en-IE"/>
                <w14:ligatures w14:val="standardContextual"/>
              </w:rPr>
              <w:tab/>
            </w:r>
            <w:r w:rsidR="00DD2F72" w:rsidRPr="00C46489">
              <w:rPr>
                <w:rStyle w:val="Hyperlink"/>
                <w:noProof/>
              </w:rPr>
              <w:t>Въведение</w:t>
            </w:r>
            <w:r w:rsidR="00DD2F72">
              <w:rPr>
                <w:noProof/>
                <w:webHidden/>
              </w:rPr>
              <w:tab/>
            </w:r>
            <w:r w:rsidR="00DD2F72">
              <w:rPr>
                <w:noProof/>
                <w:webHidden/>
              </w:rPr>
              <w:fldChar w:fldCharType="begin"/>
            </w:r>
            <w:r w:rsidR="00DD2F72">
              <w:rPr>
                <w:noProof/>
                <w:webHidden/>
              </w:rPr>
              <w:instrText xml:space="preserve"> PAGEREF _Toc173242902 \h </w:instrText>
            </w:r>
            <w:r w:rsidR="00DD2F72">
              <w:rPr>
                <w:noProof/>
                <w:webHidden/>
              </w:rPr>
            </w:r>
            <w:r w:rsidR="00DD2F72">
              <w:rPr>
                <w:noProof/>
                <w:webHidden/>
              </w:rPr>
              <w:fldChar w:fldCharType="separate"/>
            </w:r>
            <w:r w:rsidR="00584A61">
              <w:rPr>
                <w:noProof/>
                <w:webHidden/>
              </w:rPr>
              <w:t>3</w:t>
            </w:r>
            <w:r w:rsidR="00DD2F72">
              <w:rPr>
                <w:noProof/>
                <w:webHidden/>
              </w:rPr>
              <w:fldChar w:fldCharType="end"/>
            </w:r>
          </w:hyperlink>
        </w:p>
        <w:p w14:paraId="404851C5" w14:textId="53639059" w:rsidR="00DD2F72" w:rsidRDefault="00020CDD">
          <w:pPr>
            <w:pStyle w:val="TOC1"/>
            <w:tabs>
              <w:tab w:val="left" w:pos="480"/>
              <w:tab w:val="right" w:leader="dot" w:pos="9855"/>
            </w:tabs>
            <w:rPr>
              <w:rFonts w:asciiTheme="minorHAnsi" w:eastAsiaTheme="minorEastAsia" w:hAnsiTheme="minorHAnsi" w:cstheme="minorBidi"/>
              <w:b w:val="0"/>
              <w:bCs w:val="0"/>
              <w:caps w:val="0"/>
              <w:noProof/>
              <w:kern w:val="2"/>
              <w:sz w:val="22"/>
              <w:szCs w:val="22"/>
              <w:lang w:val="en-IE" w:eastAsia="en-IE"/>
              <w14:ligatures w14:val="standardContextual"/>
            </w:rPr>
          </w:pPr>
          <w:hyperlink w:anchor="_Toc173242903" w:history="1">
            <w:r w:rsidR="00DD2F72" w:rsidRPr="00C46489">
              <w:rPr>
                <w:rStyle w:val="Hyperlink"/>
                <w:noProof/>
              </w:rPr>
              <w:t>2.</w:t>
            </w:r>
            <w:r w:rsidR="00DD2F72">
              <w:rPr>
                <w:rFonts w:asciiTheme="minorHAnsi" w:eastAsiaTheme="minorEastAsia" w:hAnsiTheme="minorHAnsi" w:cstheme="minorBidi"/>
                <w:b w:val="0"/>
                <w:bCs w:val="0"/>
                <w:caps w:val="0"/>
                <w:noProof/>
                <w:kern w:val="2"/>
                <w:sz w:val="22"/>
                <w:szCs w:val="22"/>
                <w:lang w:val="en-IE" w:eastAsia="en-IE"/>
                <w14:ligatures w14:val="standardContextual"/>
              </w:rPr>
              <w:tab/>
            </w:r>
            <w:r w:rsidR="00DD2F72" w:rsidRPr="00C46489">
              <w:rPr>
                <w:rStyle w:val="Hyperlink"/>
                <w:noProof/>
              </w:rPr>
              <w:t>Актуализация на приходите</w:t>
            </w:r>
            <w:r w:rsidR="00DD2F72">
              <w:rPr>
                <w:noProof/>
                <w:webHidden/>
              </w:rPr>
              <w:tab/>
            </w:r>
            <w:r w:rsidR="00DD2F72">
              <w:rPr>
                <w:noProof/>
                <w:webHidden/>
              </w:rPr>
              <w:fldChar w:fldCharType="begin"/>
            </w:r>
            <w:r w:rsidR="00DD2F72">
              <w:rPr>
                <w:noProof/>
                <w:webHidden/>
              </w:rPr>
              <w:instrText xml:space="preserve"> PAGEREF _Toc173242903 \h </w:instrText>
            </w:r>
            <w:r w:rsidR="00DD2F72">
              <w:rPr>
                <w:noProof/>
                <w:webHidden/>
              </w:rPr>
            </w:r>
            <w:r w:rsidR="00DD2F72">
              <w:rPr>
                <w:noProof/>
                <w:webHidden/>
              </w:rPr>
              <w:fldChar w:fldCharType="separate"/>
            </w:r>
            <w:r w:rsidR="00584A61">
              <w:rPr>
                <w:noProof/>
                <w:webHidden/>
              </w:rPr>
              <w:t>4</w:t>
            </w:r>
            <w:r w:rsidR="00DD2F72">
              <w:rPr>
                <w:noProof/>
                <w:webHidden/>
              </w:rPr>
              <w:fldChar w:fldCharType="end"/>
            </w:r>
          </w:hyperlink>
        </w:p>
        <w:p w14:paraId="3175D4E8" w14:textId="40A60FFE" w:rsidR="00DD2F72" w:rsidRPr="001A1448" w:rsidRDefault="00020CDD">
          <w:pPr>
            <w:pStyle w:val="TOC2"/>
            <w:rPr>
              <w:rFonts w:asciiTheme="minorHAnsi" w:eastAsiaTheme="minorEastAsia" w:hAnsiTheme="minorHAnsi" w:cstheme="minorBidi"/>
              <w:smallCaps w:val="0"/>
              <w:noProof/>
              <w:kern w:val="2"/>
              <w:sz w:val="22"/>
              <w:szCs w:val="22"/>
              <w:lang w:val="en-IE" w:eastAsia="en-IE"/>
              <w14:ligatures w14:val="standardContextual"/>
            </w:rPr>
          </w:pPr>
          <w:hyperlink w:anchor="_Toc173242904" w:history="1">
            <w:r w:rsidR="00DD2F72" w:rsidRPr="001A1448">
              <w:rPr>
                <w:rStyle w:val="Hyperlink"/>
                <w:noProof/>
              </w:rPr>
              <w:t>2.1</w:t>
            </w:r>
            <w:r w:rsidR="00DD2F72" w:rsidRPr="001A1448">
              <w:rPr>
                <w:rFonts w:asciiTheme="minorHAnsi" w:eastAsiaTheme="minorEastAsia" w:hAnsiTheme="minorHAnsi" w:cstheme="minorBidi"/>
                <w:smallCaps w:val="0"/>
                <w:noProof/>
                <w:kern w:val="2"/>
                <w:sz w:val="22"/>
                <w:szCs w:val="22"/>
                <w:lang w:val="en-IE" w:eastAsia="en-IE"/>
                <w14:ligatures w14:val="standardContextual"/>
              </w:rPr>
              <w:tab/>
            </w:r>
            <w:r w:rsidR="00DD2F72" w:rsidRPr="001A1448">
              <w:rPr>
                <w:rStyle w:val="Hyperlink"/>
                <w:noProof/>
              </w:rPr>
              <w:t>Общо отражение на ПКБ 4/2024 върху разпределението на общите плащания по собствените ресурси между държавите членки</w:t>
            </w:r>
            <w:r w:rsidR="00DD2F72" w:rsidRPr="001A1448">
              <w:rPr>
                <w:noProof/>
                <w:webHidden/>
              </w:rPr>
              <w:tab/>
            </w:r>
            <w:r w:rsidR="00DD2F72" w:rsidRPr="001A1448">
              <w:rPr>
                <w:noProof/>
                <w:webHidden/>
              </w:rPr>
              <w:fldChar w:fldCharType="begin"/>
            </w:r>
            <w:r w:rsidR="00DD2F72" w:rsidRPr="001A1448">
              <w:rPr>
                <w:noProof/>
                <w:webHidden/>
              </w:rPr>
              <w:instrText xml:space="preserve"> PAGEREF _Toc173242904 \h </w:instrText>
            </w:r>
            <w:r w:rsidR="00DD2F72" w:rsidRPr="001A1448">
              <w:rPr>
                <w:noProof/>
                <w:webHidden/>
              </w:rPr>
            </w:r>
            <w:r w:rsidR="00DD2F72" w:rsidRPr="001A1448">
              <w:rPr>
                <w:noProof/>
                <w:webHidden/>
              </w:rPr>
              <w:fldChar w:fldCharType="separate"/>
            </w:r>
            <w:r w:rsidR="00584A61">
              <w:rPr>
                <w:noProof/>
                <w:webHidden/>
              </w:rPr>
              <w:t>4</w:t>
            </w:r>
            <w:r w:rsidR="00DD2F72" w:rsidRPr="001A1448">
              <w:rPr>
                <w:noProof/>
                <w:webHidden/>
              </w:rPr>
              <w:fldChar w:fldCharType="end"/>
            </w:r>
          </w:hyperlink>
        </w:p>
        <w:p w14:paraId="107596CF" w14:textId="1933C287" w:rsidR="00DD2F72" w:rsidRPr="001A1448" w:rsidRDefault="00020CDD">
          <w:pPr>
            <w:pStyle w:val="TOC2"/>
            <w:rPr>
              <w:rFonts w:asciiTheme="minorHAnsi" w:eastAsiaTheme="minorEastAsia" w:hAnsiTheme="minorHAnsi" w:cstheme="minorBidi"/>
              <w:smallCaps w:val="0"/>
              <w:noProof/>
              <w:kern w:val="2"/>
              <w:sz w:val="22"/>
              <w:szCs w:val="22"/>
              <w:lang w:val="en-IE" w:eastAsia="en-IE"/>
              <w14:ligatures w14:val="standardContextual"/>
            </w:rPr>
          </w:pPr>
          <w:hyperlink w:anchor="_Toc173242905" w:history="1">
            <w:r w:rsidR="00DD2F72" w:rsidRPr="001A1448">
              <w:rPr>
                <w:rStyle w:val="Hyperlink"/>
                <w:noProof/>
              </w:rPr>
              <w:t>2.2</w:t>
            </w:r>
            <w:r w:rsidR="00DD2F72" w:rsidRPr="001A1448">
              <w:rPr>
                <w:rFonts w:asciiTheme="minorHAnsi" w:eastAsiaTheme="minorEastAsia" w:hAnsiTheme="minorHAnsi" w:cstheme="minorBidi"/>
                <w:smallCaps w:val="0"/>
                <w:noProof/>
                <w:kern w:val="2"/>
                <w:sz w:val="22"/>
                <w:szCs w:val="22"/>
                <w:lang w:val="en-IE" w:eastAsia="en-IE"/>
                <w14:ligatures w14:val="standardContextual"/>
              </w:rPr>
              <w:tab/>
            </w:r>
            <w:r w:rsidR="00DD2F72" w:rsidRPr="001A1448">
              <w:rPr>
                <w:rStyle w:val="Hyperlink"/>
                <w:noProof/>
              </w:rPr>
              <w:t>Преразглеждане на прогнозите за ТСР и за базите за ДДС, ООП и БНД</w:t>
            </w:r>
            <w:r w:rsidR="00DD2F72" w:rsidRPr="001A1448">
              <w:rPr>
                <w:noProof/>
                <w:webHidden/>
              </w:rPr>
              <w:tab/>
            </w:r>
            <w:r w:rsidR="00DD2F72" w:rsidRPr="001A1448">
              <w:rPr>
                <w:noProof/>
                <w:webHidden/>
              </w:rPr>
              <w:fldChar w:fldCharType="begin"/>
            </w:r>
            <w:r w:rsidR="00DD2F72" w:rsidRPr="001A1448">
              <w:rPr>
                <w:noProof/>
                <w:webHidden/>
              </w:rPr>
              <w:instrText xml:space="preserve"> PAGEREF _Toc173242905 \h </w:instrText>
            </w:r>
            <w:r w:rsidR="00DD2F72" w:rsidRPr="001A1448">
              <w:rPr>
                <w:noProof/>
                <w:webHidden/>
              </w:rPr>
            </w:r>
            <w:r w:rsidR="00DD2F72" w:rsidRPr="001A1448">
              <w:rPr>
                <w:noProof/>
                <w:webHidden/>
              </w:rPr>
              <w:fldChar w:fldCharType="separate"/>
            </w:r>
            <w:r w:rsidR="00584A61">
              <w:rPr>
                <w:noProof/>
                <w:webHidden/>
              </w:rPr>
              <w:t>5</w:t>
            </w:r>
            <w:r w:rsidR="00DD2F72" w:rsidRPr="001A1448">
              <w:rPr>
                <w:noProof/>
                <w:webHidden/>
              </w:rPr>
              <w:fldChar w:fldCharType="end"/>
            </w:r>
          </w:hyperlink>
        </w:p>
        <w:p w14:paraId="0A274477" w14:textId="18091F54" w:rsidR="00DD2F72" w:rsidRPr="001A1448" w:rsidRDefault="00020CDD">
          <w:pPr>
            <w:pStyle w:val="TOC2"/>
            <w:rPr>
              <w:rFonts w:asciiTheme="minorHAnsi" w:eastAsiaTheme="minorEastAsia" w:hAnsiTheme="minorHAnsi" w:cstheme="minorBidi"/>
              <w:smallCaps w:val="0"/>
              <w:noProof/>
              <w:kern w:val="2"/>
              <w:sz w:val="22"/>
              <w:szCs w:val="22"/>
              <w:lang w:val="en-IE" w:eastAsia="en-IE"/>
              <w14:ligatures w14:val="standardContextual"/>
            </w:rPr>
          </w:pPr>
          <w:hyperlink w:anchor="_Toc173242906" w:history="1">
            <w:r w:rsidR="00DD2F72" w:rsidRPr="001A1448">
              <w:rPr>
                <w:rStyle w:val="Hyperlink"/>
                <w:noProof/>
              </w:rPr>
              <w:t>2.3</w:t>
            </w:r>
            <w:r w:rsidR="00DD2F72" w:rsidRPr="001A1448">
              <w:rPr>
                <w:rFonts w:asciiTheme="minorHAnsi" w:eastAsiaTheme="minorEastAsia" w:hAnsiTheme="minorHAnsi" w:cstheme="minorBidi"/>
                <w:smallCaps w:val="0"/>
                <w:noProof/>
                <w:kern w:val="2"/>
                <w:sz w:val="22"/>
                <w:szCs w:val="22"/>
                <w:lang w:val="en-IE" w:eastAsia="en-IE"/>
                <w14:ligatures w14:val="standardContextual"/>
              </w:rPr>
              <w:tab/>
            </w:r>
            <w:r w:rsidR="00DD2F72" w:rsidRPr="001A1448">
              <w:rPr>
                <w:rStyle w:val="Hyperlink"/>
                <w:noProof/>
              </w:rPr>
              <w:t>Вноска на Обединеното кралство</w:t>
            </w:r>
            <w:r w:rsidR="00DD2F72" w:rsidRPr="001A1448">
              <w:rPr>
                <w:noProof/>
                <w:webHidden/>
              </w:rPr>
              <w:tab/>
            </w:r>
            <w:r w:rsidR="00DD2F72" w:rsidRPr="001A1448">
              <w:rPr>
                <w:noProof/>
                <w:webHidden/>
              </w:rPr>
              <w:fldChar w:fldCharType="begin"/>
            </w:r>
            <w:r w:rsidR="00DD2F72" w:rsidRPr="001A1448">
              <w:rPr>
                <w:noProof/>
                <w:webHidden/>
              </w:rPr>
              <w:instrText xml:space="preserve"> PAGEREF _Toc173242906 \h </w:instrText>
            </w:r>
            <w:r w:rsidR="00DD2F72" w:rsidRPr="001A1448">
              <w:rPr>
                <w:noProof/>
                <w:webHidden/>
              </w:rPr>
            </w:r>
            <w:r w:rsidR="00DD2F72" w:rsidRPr="001A1448">
              <w:rPr>
                <w:noProof/>
                <w:webHidden/>
              </w:rPr>
              <w:fldChar w:fldCharType="separate"/>
            </w:r>
            <w:r w:rsidR="00584A61">
              <w:rPr>
                <w:noProof/>
                <w:webHidden/>
              </w:rPr>
              <w:t>7</w:t>
            </w:r>
            <w:r w:rsidR="00DD2F72" w:rsidRPr="001A1448">
              <w:rPr>
                <w:noProof/>
                <w:webHidden/>
              </w:rPr>
              <w:fldChar w:fldCharType="end"/>
            </w:r>
          </w:hyperlink>
        </w:p>
        <w:p w14:paraId="1F7A44BA" w14:textId="6F140BA7" w:rsidR="00DD2F72" w:rsidRPr="001A1448" w:rsidRDefault="00020CDD">
          <w:pPr>
            <w:pStyle w:val="TOC2"/>
            <w:rPr>
              <w:rFonts w:asciiTheme="minorHAnsi" w:eastAsiaTheme="minorEastAsia" w:hAnsiTheme="minorHAnsi" w:cstheme="minorBidi"/>
              <w:smallCaps w:val="0"/>
              <w:noProof/>
              <w:kern w:val="2"/>
              <w:sz w:val="22"/>
              <w:szCs w:val="22"/>
              <w:lang w:val="en-IE" w:eastAsia="en-IE"/>
              <w14:ligatures w14:val="standardContextual"/>
            </w:rPr>
          </w:pPr>
          <w:hyperlink w:anchor="_Toc173242907" w:history="1">
            <w:r w:rsidR="00DD2F72" w:rsidRPr="001A1448">
              <w:rPr>
                <w:rStyle w:val="Hyperlink"/>
                <w:noProof/>
              </w:rPr>
              <w:t>2.4</w:t>
            </w:r>
            <w:r w:rsidR="00DD2F72" w:rsidRPr="001A1448">
              <w:rPr>
                <w:rFonts w:asciiTheme="minorHAnsi" w:eastAsiaTheme="minorEastAsia" w:hAnsiTheme="minorHAnsi" w:cstheme="minorBidi"/>
                <w:smallCaps w:val="0"/>
                <w:noProof/>
                <w:kern w:val="2"/>
                <w:sz w:val="22"/>
                <w:szCs w:val="22"/>
                <w:lang w:val="en-IE" w:eastAsia="en-IE"/>
                <w14:ligatures w14:val="standardContextual"/>
              </w:rPr>
              <w:tab/>
            </w:r>
            <w:r w:rsidR="00DD2F72" w:rsidRPr="001A1448">
              <w:rPr>
                <w:rStyle w:val="Hyperlink"/>
                <w:noProof/>
              </w:rPr>
              <w:t>Глоби и наказателни плащания</w:t>
            </w:r>
            <w:r w:rsidR="00DD2F72" w:rsidRPr="001A1448">
              <w:rPr>
                <w:noProof/>
                <w:webHidden/>
              </w:rPr>
              <w:tab/>
            </w:r>
            <w:r w:rsidR="00DD2F72" w:rsidRPr="001A1448">
              <w:rPr>
                <w:noProof/>
                <w:webHidden/>
              </w:rPr>
              <w:fldChar w:fldCharType="begin"/>
            </w:r>
            <w:r w:rsidR="00DD2F72" w:rsidRPr="001A1448">
              <w:rPr>
                <w:noProof/>
                <w:webHidden/>
              </w:rPr>
              <w:instrText xml:space="preserve"> PAGEREF _Toc173242907 \h </w:instrText>
            </w:r>
            <w:r w:rsidR="00DD2F72" w:rsidRPr="001A1448">
              <w:rPr>
                <w:noProof/>
                <w:webHidden/>
              </w:rPr>
            </w:r>
            <w:r w:rsidR="00DD2F72" w:rsidRPr="001A1448">
              <w:rPr>
                <w:noProof/>
                <w:webHidden/>
              </w:rPr>
              <w:fldChar w:fldCharType="separate"/>
            </w:r>
            <w:r w:rsidR="00584A61">
              <w:rPr>
                <w:noProof/>
                <w:webHidden/>
              </w:rPr>
              <w:t>9</w:t>
            </w:r>
            <w:r w:rsidR="00DD2F72" w:rsidRPr="001A1448">
              <w:rPr>
                <w:noProof/>
                <w:webHidden/>
              </w:rPr>
              <w:fldChar w:fldCharType="end"/>
            </w:r>
          </w:hyperlink>
        </w:p>
        <w:p w14:paraId="30AB4F97" w14:textId="51263724" w:rsidR="00DD2F72" w:rsidRPr="001A1448" w:rsidRDefault="00020CDD">
          <w:pPr>
            <w:pStyle w:val="TOC2"/>
            <w:rPr>
              <w:rFonts w:asciiTheme="minorHAnsi" w:eastAsiaTheme="minorEastAsia" w:hAnsiTheme="minorHAnsi" w:cstheme="minorBidi"/>
              <w:smallCaps w:val="0"/>
              <w:noProof/>
              <w:kern w:val="2"/>
              <w:sz w:val="22"/>
              <w:szCs w:val="22"/>
              <w:lang w:val="en-IE" w:eastAsia="en-IE"/>
              <w14:ligatures w14:val="standardContextual"/>
            </w:rPr>
          </w:pPr>
          <w:hyperlink w:anchor="_Toc173242908" w:history="1">
            <w:r w:rsidR="00DD2F72" w:rsidRPr="001A1448">
              <w:rPr>
                <w:rStyle w:val="Hyperlink"/>
                <w:noProof/>
              </w:rPr>
              <w:t>2.5</w:t>
            </w:r>
            <w:r w:rsidR="00DD2F72" w:rsidRPr="001A1448">
              <w:rPr>
                <w:rFonts w:asciiTheme="minorHAnsi" w:eastAsiaTheme="minorEastAsia" w:hAnsiTheme="minorHAnsi" w:cstheme="minorBidi"/>
                <w:smallCaps w:val="0"/>
                <w:noProof/>
                <w:kern w:val="2"/>
                <w:sz w:val="22"/>
                <w:szCs w:val="22"/>
                <w:lang w:val="en-IE" w:eastAsia="en-IE"/>
                <w14:ligatures w14:val="standardContextual"/>
              </w:rPr>
              <w:tab/>
            </w:r>
            <w:r w:rsidR="00DD2F72" w:rsidRPr="001A1448">
              <w:rPr>
                <w:rStyle w:val="Hyperlink"/>
                <w:noProof/>
              </w:rPr>
              <w:t>Въздействие върху вноската по собствения ресурс на база БНД за 2024 г.</w:t>
            </w:r>
            <w:r w:rsidR="00DD2F72" w:rsidRPr="001A1448">
              <w:rPr>
                <w:noProof/>
                <w:webHidden/>
              </w:rPr>
              <w:tab/>
            </w:r>
            <w:r w:rsidR="00DD2F72" w:rsidRPr="001A1448">
              <w:rPr>
                <w:noProof/>
                <w:webHidden/>
              </w:rPr>
              <w:fldChar w:fldCharType="begin"/>
            </w:r>
            <w:r w:rsidR="00DD2F72" w:rsidRPr="001A1448">
              <w:rPr>
                <w:noProof/>
                <w:webHidden/>
              </w:rPr>
              <w:instrText xml:space="preserve"> PAGEREF _Toc173242908 \h </w:instrText>
            </w:r>
            <w:r w:rsidR="00DD2F72" w:rsidRPr="001A1448">
              <w:rPr>
                <w:noProof/>
                <w:webHidden/>
              </w:rPr>
            </w:r>
            <w:r w:rsidR="00DD2F72" w:rsidRPr="001A1448">
              <w:rPr>
                <w:noProof/>
                <w:webHidden/>
              </w:rPr>
              <w:fldChar w:fldCharType="separate"/>
            </w:r>
            <w:r w:rsidR="00584A61">
              <w:rPr>
                <w:noProof/>
                <w:webHidden/>
              </w:rPr>
              <w:t>9</w:t>
            </w:r>
            <w:r w:rsidR="00DD2F72" w:rsidRPr="001A1448">
              <w:rPr>
                <w:noProof/>
                <w:webHidden/>
              </w:rPr>
              <w:fldChar w:fldCharType="end"/>
            </w:r>
          </w:hyperlink>
        </w:p>
        <w:p w14:paraId="37191A4A" w14:textId="1FC599D5" w:rsidR="00DD2F72" w:rsidRDefault="00020CDD">
          <w:pPr>
            <w:pStyle w:val="TOC1"/>
            <w:tabs>
              <w:tab w:val="left" w:pos="480"/>
              <w:tab w:val="right" w:leader="dot" w:pos="9855"/>
            </w:tabs>
            <w:rPr>
              <w:rFonts w:asciiTheme="minorHAnsi" w:eastAsiaTheme="minorEastAsia" w:hAnsiTheme="minorHAnsi" w:cstheme="minorBidi"/>
              <w:b w:val="0"/>
              <w:bCs w:val="0"/>
              <w:caps w:val="0"/>
              <w:noProof/>
              <w:kern w:val="2"/>
              <w:sz w:val="22"/>
              <w:szCs w:val="22"/>
              <w:lang w:val="en-IE" w:eastAsia="en-IE"/>
              <w14:ligatures w14:val="standardContextual"/>
            </w:rPr>
          </w:pPr>
          <w:hyperlink w:anchor="_Toc173242909" w:history="1">
            <w:r w:rsidR="00DD2F72" w:rsidRPr="00C46489">
              <w:rPr>
                <w:rStyle w:val="Hyperlink"/>
                <w:noProof/>
              </w:rPr>
              <w:t>3.</w:t>
            </w:r>
            <w:r w:rsidR="00DD2F72">
              <w:rPr>
                <w:rFonts w:asciiTheme="minorHAnsi" w:eastAsiaTheme="minorEastAsia" w:hAnsiTheme="minorHAnsi" w:cstheme="minorBidi"/>
                <w:b w:val="0"/>
                <w:bCs w:val="0"/>
                <w:caps w:val="0"/>
                <w:noProof/>
                <w:kern w:val="2"/>
                <w:sz w:val="22"/>
                <w:szCs w:val="22"/>
                <w:lang w:val="en-IE" w:eastAsia="en-IE"/>
                <w14:ligatures w14:val="standardContextual"/>
              </w:rPr>
              <w:tab/>
            </w:r>
            <w:r w:rsidR="00DD2F72" w:rsidRPr="00C46489">
              <w:rPr>
                <w:rStyle w:val="Hyperlink"/>
                <w:noProof/>
              </w:rPr>
              <w:t>Актуализация на разходните пера</w:t>
            </w:r>
            <w:r w:rsidR="00DD2F72">
              <w:rPr>
                <w:noProof/>
                <w:webHidden/>
              </w:rPr>
              <w:tab/>
            </w:r>
            <w:r w:rsidR="00DD2F72">
              <w:rPr>
                <w:noProof/>
                <w:webHidden/>
              </w:rPr>
              <w:fldChar w:fldCharType="begin"/>
            </w:r>
            <w:r w:rsidR="00DD2F72">
              <w:rPr>
                <w:noProof/>
                <w:webHidden/>
              </w:rPr>
              <w:instrText xml:space="preserve"> PAGEREF _Toc173242909 \h </w:instrText>
            </w:r>
            <w:r w:rsidR="00DD2F72">
              <w:rPr>
                <w:noProof/>
                <w:webHidden/>
              </w:rPr>
            </w:r>
            <w:r w:rsidR="00DD2F72">
              <w:rPr>
                <w:noProof/>
                <w:webHidden/>
              </w:rPr>
              <w:fldChar w:fldCharType="separate"/>
            </w:r>
            <w:r w:rsidR="00584A61">
              <w:rPr>
                <w:noProof/>
                <w:webHidden/>
              </w:rPr>
              <w:t>12</w:t>
            </w:r>
            <w:r w:rsidR="00DD2F72">
              <w:rPr>
                <w:noProof/>
                <w:webHidden/>
              </w:rPr>
              <w:fldChar w:fldCharType="end"/>
            </w:r>
          </w:hyperlink>
        </w:p>
        <w:p w14:paraId="591258D5" w14:textId="1A2CADF8" w:rsidR="00DD2F72" w:rsidRPr="001A1448" w:rsidRDefault="00020CDD">
          <w:pPr>
            <w:pStyle w:val="TOC2"/>
            <w:rPr>
              <w:rFonts w:asciiTheme="minorHAnsi" w:eastAsiaTheme="minorEastAsia" w:hAnsiTheme="minorHAnsi" w:cstheme="minorBidi"/>
              <w:smallCaps w:val="0"/>
              <w:noProof/>
              <w:kern w:val="2"/>
              <w:sz w:val="22"/>
              <w:szCs w:val="22"/>
              <w:lang w:val="en-IE" w:eastAsia="en-IE"/>
              <w14:ligatures w14:val="standardContextual"/>
            </w:rPr>
          </w:pPr>
          <w:hyperlink w:anchor="_Toc173242910" w:history="1">
            <w:r w:rsidR="00DD2F72" w:rsidRPr="001A1448">
              <w:rPr>
                <w:rStyle w:val="Hyperlink"/>
                <w:noProof/>
              </w:rPr>
              <w:t>3.1</w:t>
            </w:r>
            <w:r w:rsidR="00DD2F72" w:rsidRPr="001A1448">
              <w:rPr>
                <w:rFonts w:asciiTheme="minorHAnsi" w:eastAsiaTheme="minorEastAsia" w:hAnsiTheme="minorHAnsi" w:cstheme="minorBidi"/>
                <w:smallCaps w:val="0"/>
                <w:noProof/>
                <w:kern w:val="2"/>
                <w:sz w:val="22"/>
                <w:szCs w:val="22"/>
                <w:lang w:val="en-IE" w:eastAsia="en-IE"/>
                <w14:ligatures w14:val="standardContextual"/>
              </w:rPr>
              <w:tab/>
            </w:r>
            <w:r w:rsidR="00DD2F72" w:rsidRPr="001A1448">
              <w:rPr>
                <w:rStyle w:val="Hyperlink"/>
                <w:noProof/>
              </w:rPr>
              <w:t>Предоставяне на допълнителни средства на Агенцията на Европейския съюз за киберсигурност (ENISA)</w:t>
            </w:r>
            <w:r w:rsidR="00DD2F72" w:rsidRPr="001A1448">
              <w:rPr>
                <w:noProof/>
                <w:webHidden/>
              </w:rPr>
              <w:tab/>
            </w:r>
            <w:r w:rsidR="00DD2F72" w:rsidRPr="001A1448">
              <w:rPr>
                <w:noProof/>
                <w:webHidden/>
              </w:rPr>
              <w:fldChar w:fldCharType="begin"/>
            </w:r>
            <w:r w:rsidR="00DD2F72" w:rsidRPr="001A1448">
              <w:rPr>
                <w:noProof/>
                <w:webHidden/>
              </w:rPr>
              <w:instrText xml:space="preserve"> PAGEREF _Toc173242910 \h </w:instrText>
            </w:r>
            <w:r w:rsidR="00DD2F72" w:rsidRPr="001A1448">
              <w:rPr>
                <w:noProof/>
                <w:webHidden/>
              </w:rPr>
            </w:r>
            <w:r w:rsidR="00DD2F72" w:rsidRPr="001A1448">
              <w:rPr>
                <w:noProof/>
                <w:webHidden/>
              </w:rPr>
              <w:fldChar w:fldCharType="separate"/>
            </w:r>
            <w:r w:rsidR="00584A61">
              <w:rPr>
                <w:noProof/>
                <w:webHidden/>
              </w:rPr>
              <w:t>12</w:t>
            </w:r>
            <w:r w:rsidR="00DD2F72" w:rsidRPr="001A1448">
              <w:rPr>
                <w:noProof/>
                <w:webHidden/>
              </w:rPr>
              <w:fldChar w:fldCharType="end"/>
            </w:r>
          </w:hyperlink>
        </w:p>
        <w:p w14:paraId="2FE6B5F4" w14:textId="7E73555D" w:rsidR="00DD2F72" w:rsidRPr="001A1448" w:rsidRDefault="00020CDD">
          <w:pPr>
            <w:pStyle w:val="TOC2"/>
            <w:rPr>
              <w:rFonts w:asciiTheme="minorHAnsi" w:eastAsiaTheme="minorEastAsia" w:hAnsiTheme="minorHAnsi" w:cstheme="minorBidi"/>
              <w:smallCaps w:val="0"/>
              <w:noProof/>
              <w:kern w:val="2"/>
              <w:sz w:val="22"/>
              <w:szCs w:val="22"/>
              <w:lang w:val="en-IE" w:eastAsia="en-IE"/>
              <w14:ligatures w14:val="standardContextual"/>
            </w:rPr>
          </w:pPr>
          <w:hyperlink w:anchor="_Toc173242911" w:history="1">
            <w:r w:rsidR="00DD2F72" w:rsidRPr="001A1448">
              <w:rPr>
                <w:rStyle w:val="Hyperlink"/>
                <w:noProof/>
              </w:rPr>
              <w:t>3.2</w:t>
            </w:r>
            <w:r w:rsidR="00DD2F72" w:rsidRPr="001A1448">
              <w:rPr>
                <w:rFonts w:asciiTheme="minorHAnsi" w:eastAsiaTheme="minorEastAsia" w:hAnsiTheme="minorHAnsi" w:cstheme="minorBidi"/>
                <w:smallCaps w:val="0"/>
                <w:noProof/>
                <w:kern w:val="2"/>
                <w:sz w:val="22"/>
                <w:szCs w:val="22"/>
                <w:lang w:val="en-IE" w:eastAsia="en-IE"/>
                <w14:ligatures w14:val="standardContextual"/>
              </w:rPr>
              <w:tab/>
            </w:r>
            <w:r w:rsidR="00DD2F72" w:rsidRPr="001A1448">
              <w:rPr>
                <w:rStyle w:val="Hyperlink"/>
                <w:noProof/>
              </w:rPr>
              <w:t>Предоставяне на допълнителни средства на Агенцията на Европейския съюз за сътрудничество между регулаторите на енергия (ACER)</w:t>
            </w:r>
            <w:r w:rsidR="00DD2F72" w:rsidRPr="001A1448">
              <w:rPr>
                <w:noProof/>
                <w:webHidden/>
              </w:rPr>
              <w:tab/>
            </w:r>
            <w:r w:rsidR="00DD2F72" w:rsidRPr="001A1448">
              <w:rPr>
                <w:noProof/>
                <w:webHidden/>
              </w:rPr>
              <w:fldChar w:fldCharType="begin"/>
            </w:r>
            <w:r w:rsidR="00DD2F72" w:rsidRPr="001A1448">
              <w:rPr>
                <w:noProof/>
                <w:webHidden/>
              </w:rPr>
              <w:instrText xml:space="preserve"> PAGEREF _Toc173242911 \h </w:instrText>
            </w:r>
            <w:r w:rsidR="00DD2F72" w:rsidRPr="001A1448">
              <w:rPr>
                <w:noProof/>
                <w:webHidden/>
              </w:rPr>
            </w:r>
            <w:r w:rsidR="00DD2F72" w:rsidRPr="001A1448">
              <w:rPr>
                <w:noProof/>
                <w:webHidden/>
              </w:rPr>
              <w:fldChar w:fldCharType="separate"/>
            </w:r>
            <w:r w:rsidR="00584A61">
              <w:rPr>
                <w:noProof/>
                <w:webHidden/>
              </w:rPr>
              <w:t>12</w:t>
            </w:r>
            <w:r w:rsidR="00DD2F72" w:rsidRPr="001A1448">
              <w:rPr>
                <w:noProof/>
                <w:webHidden/>
              </w:rPr>
              <w:fldChar w:fldCharType="end"/>
            </w:r>
          </w:hyperlink>
        </w:p>
        <w:p w14:paraId="40DF0B8F" w14:textId="4BEF953A" w:rsidR="00DD2F72" w:rsidRPr="001A1448" w:rsidRDefault="00020CDD">
          <w:pPr>
            <w:pStyle w:val="TOC2"/>
            <w:rPr>
              <w:rFonts w:asciiTheme="minorHAnsi" w:eastAsiaTheme="minorEastAsia" w:hAnsiTheme="minorHAnsi" w:cstheme="minorBidi"/>
              <w:smallCaps w:val="0"/>
              <w:noProof/>
              <w:kern w:val="2"/>
              <w:sz w:val="22"/>
              <w:szCs w:val="22"/>
              <w:lang w:val="en-IE" w:eastAsia="en-IE"/>
              <w14:ligatures w14:val="standardContextual"/>
            </w:rPr>
          </w:pPr>
          <w:hyperlink w:anchor="_Toc173242912" w:history="1">
            <w:r w:rsidR="00DD2F72" w:rsidRPr="001A1448">
              <w:rPr>
                <w:rStyle w:val="Hyperlink"/>
                <w:noProof/>
              </w:rPr>
              <w:t>3.3</w:t>
            </w:r>
            <w:r w:rsidR="00DD2F72" w:rsidRPr="001A1448">
              <w:rPr>
                <w:rFonts w:asciiTheme="minorHAnsi" w:eastAsiaTheme="minorEastAsia" w:hAnsiTheme="minorHAnsi" w:cstheme="minorBidi"/>
                <w:smallCaps w:val="0"/>
                <w:noProof/>
                <w:kern w:val="2"/>
                <w:sz w:val="22"/>
                <w:szCs w:val="22"/>
                <w:lang w:val="en-IE" w:eastAsia="en-IE"/>
                <w14:ligatures w14:val="standardContextual"/>
              </w:rPr>
              <w:tab/>
            </w:r>
            <w:r w:rsidR="00DD2F72" w:rsidRPr="001A1448">
              <w:rPr>
                <w:rStyle w:val="Hyperlink"/>
                <w:noProof/>
              </w:rPr>
              <w:t>Намаляване на персонала и на вноската на ЕС за Органа за борба с изпирането на пари (ОБИП)</w:t>
            </w:r>
            <w:r w:rsidR="00DD2F72" w:rsidRPr="001A1448">
              <w:rPr>
                <w:noProof/>
                <w:webHidden/>
              </w:rPr>
              <w:tab/>
            </w:r>
            <w:r w:rsidR="00DD2F72" w:rsidRPr="001A1448">
              <w:rPr>
                <w:noProof/>
                <w:webHidden/>
              </w:rPr>
              <w:fldChar w:fldCharType="begin"/>
            </w:r>
            <w:r w:rsidR="00DD2F72" w:rsidRPr="001A1448">
              <w:rPr>
                <w:noProof/>
                <w:webHidden/>
              </w:rPr>
              <w:instrText xml:space="preserve"> PAGEREF _Toc173242912 \h </w:instrText>
            </w:r>
            <w:r w:rsidR="00DD2F72" w:rsidRPr="001A1448">
              <w:rPr>
                <w:noProof/>
                <w:webHidden/>
              </w:rPr>
            </w:r>
            <w:r w:rsidR="00DD2F72" w:rsidRPr="001A1448">
              <w:rPr>
                <w:noProof/>
                <w:webHidden/>
              </w:rPr>
              <w:fldChar w:fldCharType="separate"/>
            </w:r>
            <w:r w:rsidR="00584A61">
              <w:rPr>
                <w:noProof/>
                <w:webHidden/>
              </w:rPr>
              <w:t>13</w:t>
            </w:r>
            <w:r w:rsidR="00DD2F72" w:rsidRPr="001A1448">
              <w:rPr>
                <w:noProof/>
                <w:webHidden/>
              </w:rPr>
              <w:fldChar w:fldCharType="end"/>
            </w:r>
          </w:hyperlink>
        </w:p>
        <w:p w14:paraId="47CB5673" w14:textId="504B336D" w:rsidR="00DD2F72" w:rsidRPr="001A1448" w:rsidRDefault="00020CDD">
          <w:pPr>
            <w:pStyle w:val="TOC2"/>
            <w:rPr>
              <w:rFonts w:asciiTheme="minorHAnsi" w:eastAsiaTheme="minorEastAsia" w:hAnsiTheme="minorHAnsi" w:cstheme="minorBidi"/>
              <w:smallCaps w:val="0"/>
              <w:noProof/>
              <w:kern w:val="2"/>
              <w:sz w:val="22"/>
              <w:szCs w:val="22"/>
              <w:lang w:val="en-IE" w:eastAsia="en-IE"/>
              <w14:ligatures w14:val="standardContextual"/>
            </w:rPr>
          </w:pPr>
          <w:hyperlink w:anchor="_Toc173242913" w:history="1">
            <w:r w:rsidR="00DD2F72" w:rsidRPr="001A1448">
              <w:rPr>
                <w:rStyle w:val="Hyperlink"/>
                <w:noProof/>
              </w:rPr>
              <w:t>3.4</w:t>
            </w:r>
            <w:r w:rsidR="00DD2F72" w:rsidRPr="001A1448">
              <w:rPr>
                <w:rFonts w:asciiTheme="minorHAnsi" w:eastAsiaTheme="minorEastAsia" w:hAnsiTheme="minorHAnsi" w:cstheme="minorBidi"/>
                <w:smallCaps w:val="0"/>
                <w:noProof/>
                <w:kern w:val="2"/>
                <w:sz w:val="22"/>
                <w:szCs w:val="22"/>
                <w:lang w:val="en-IE" w:eastAsia="en-IE"/>
                <w14:ligatures w14:val="standardContextual"/>
              </w:rPr>
              <w:tab/>
            </w:r>
            <w:r w:rsidR="00DD2F72" w:rsidRPr="001A1448">
              <w:rPr>
                <w:rStyle w:val="Hyperlink"/>
                <w:noProof/>
              </w:rPr>
              <w:t>Интернализация на чувствителни длъжности от критично значение в Агенцията на Европейския съюз за космическата програма (EUSPA)</w:t>
            </w:r>
            <w:r w:rsidR="00DD2F72" w:rsidRPr="001A1448">
              <w:rPr>
                <w:noProof/>
                <w:webHidden/>
              </w:rPr>
              <w:tab/>
            </w:r>
            <w:r w:rsidR="00DD2F72" w:rsidRPr="001A1448">
              <w:rPr>
                <w:noProof/>
                <w:webHidden/>
              </w:rPr>
              <w:fldChar w:fldCharType="begin"/>
            </w:r>
            <w:r w:rsidR="00DD2F72" w:rsidRPr="001A1448">
              <w:rPr>
                <w:noProof/>
                <w:webHidden/>
              </w:rPr>
              <w:instrText xml:space="preserve"> PAGEREF _Toc173242913 \h </w:instrText>
            </w:r>
            <w:r w:rsidR="00DD2F72" w:rsidRPr="001A1448">
              <w:rPr>
                <w:noProof/>
                <w:webHidden/>
              </w:rPr>
            </w:r>
            <w:r w:rsidR="00DD2F72" w:rsidRPr="001A1448">
              <w:rPr>
                <w:noProof/>
                <w:webHidden/>
              </w:rPr>
              <w:fldChar w:fldCharType="separate"/>
            </w:r>
            <w:r w:rsidR="00584A61">
              <w:rPr>
                <w:noProof/>
                <w:webHidden/>
              </w:rPr>
              <w:t>13</w:t>
            </w:r>
            <w:r w:rsidR="00DD2F72" w:rsidRPr="001A1448">
              <w:rPr>
                <w:noProof/>
                <w:webHidden/>
              </w:rPr>
              <w:fldChar w:fldCharType="end"/>
            </w:r>
          </w:hyperlink>
        </w:p>
        <w:p w14:paraId="5EC04A06" w14:textId="68E4BB84" w:rsidR="00DD2F72" w:rsidRPr="001A1448" w:rsidRDefault="00020CDD">
          <w:pPr>
            <w:pStyle w:val="TOC2"/>
            <w:rPr>
              <w:rFonts w:asciiTheme="minorHAnsi" w:eastAsiaTheme="minorEastAsia" w:hAnsiTheme="minorHAnsi" w:cstheme="minorBidi"/>
              <w:smallCaps w:val="0"/>
              <w:noProof/>
              <w:kern w:val="2"/>
              <w:sz w:val="22"/>
              <w:szCs w:val="22"/>
              <w:lang w:val="en-IE" w:eastAsia="en-IE"/>
              <w14:ligatures w14:val="standardContextual"/>
            </w:rPr>
          </w:pPr>
          <w:hyperlink w:anchor="_Toc173242914" w:history="1">
            <w:r w:rsidR="00DD2F72" w:rsidRPr="001A1448">
              <w:rPr>
                <w:rStyle w:val="Hyperlink"/>
                <w:noProof/>
              </w:rPr>
              <w:t>3.5</w:t>
            </w:r>
            <w:r w:rsidR="00DD2F72" w:rsidRPr="001A1448">
              <w:rPr>
                <w:rFonts w:asciiTheme="minorHAnsi" w:eastAsiaTheme="minorEastAsia" w:hAnsiTheme="minorHAnsi" w:cstheme="minorBidi"/>
                <w:smallCaps w:val="0"/>
                <w:noProof/>
                <w:kern w:val="2"/>
                <w:sz w:val="22"/>
                <w:szCs w:val="22"/>
                <w:lang w:val="en-IE" w:eastAsia="en-IE"/>
                <w14:ligatures w14:val="standardContextual"/>
              </w:rPr>
              <w:tab/>
            </w:r>
            <w:r w:rsidR="00DD2F72" w:rsidRPr="001A1448">
              <w:rPr>
                <w:rStyle w:val="Hyperlink"/>
                <w:noProof/>
              </w:rPr>
              <w:t>Увеличаване на вноската на ЕС за Европейската агенция по лекарствата (EMA)</w:t>
            </w:r>
            <w:r w:rsidR="00DD2F72" w:rsidRPr="001A1448">
              <w:rPr>
                <w:noProof/>
                <w:webHidden/>
              </w:rPr>
              <w:tab/>
            </w:r>
            <w:r w:rsidR="00DD2F72" w:rsidRPr="001A1448">
              <w:rPr>
                <w:noProof/>
                <w:webHidden/>
              </w:rPr>
              <w:fldChar w:fldCharType="begin"/>
            </w:r>
            <w:r w:rsidR="00DD2F72" w:rsidRPr="001A1448">
              <w:rPr>
                <w:noProof/>
                <w:webHidden/>
              </w:rPr>
              <w:instrText xml:space="preserve"> PAGEREF _Toc173242914 \h </w:instrText>
            </w:r>
            <w:r w:rsidR="00DD2F72" w:rsidRPr="001A1448">
              <w:rPr>
                <w:noProof/>
                <w:webHidden/>
              </w:rPr>
            </w:r>
            <w:r w:rsidR="00DD2F72" w:rsidRPr="001A1448">
              <w:rPr>
                <w:noProof/>
                <w:webHidden/>
              </w:rPr>
              <w:fldChar w:fldCharType="separate"/>
            </w:r>
            <w:r w:rsidR="00584A61">
              <w:rPr>
                <w:noProof/>
                <w:webHidden/>
              </w:rPr>
              <w:t>14</w:t>
            </w:r>
            <w:r w:rsidR="00DD2F72" w:rsidRPr="001A1448">
              <w:rPr>
                <w:noProof/>
                <w:webHidden/>
              </w:rPr>
              <w:fldChar w:fldCharType="end"/>
            </w:r>
          </w:hyperlink>
        </w:p>
        <w:p w14:paraId="11E4B6A1" w14:textId="128508E1" w:rsidR="00DD2F72" w:rsidRPr="001A1448" w:rsidRDefault="00020CDD">
          <w:pPr>
            <w:pStyle w:val="TOC2"/>
            <w:rPr>
              <w:rFonts w:asciiTheme="minorHAnsi" w:eastAsiaTheme="minorEastAsia" w:hAnsiTheme="minorHAnsi" w:cstheme="minorBidi"/>
              <w:smallCaps w:val="0"/>
              <w:noProof/>
              <w:kern w:val="2"/>
              <w:sz w:val="22"/>
              <w:szCs w:val="22"/>
              <w:lang w:val="en-IE" w:eastAsia="en-IE"/>
              <w14:ligatures w14:val="standardContextual"/>
            </w:rPr>
          </w:pPr>
          <w:hyperlink w:anchor="_Toc173242915" w:history="1">
            <w:r w:rsidR="00DD2F72" w:rsidRPr="001A1448">
              <w:rPr>
                <w:rStyle w:val="Hyperlink"/>
                <w:noProof/>
              </w:rPr>
              <w:t>3.6</w:t>
            </w:r>
            <w:r w:rsidR="00DD2F72" w:rsidRPr="001A1448">
              <w:rPr>
                <w:rFonts w:asciiTheme="minorHAnsi" w:eastAsiaTheme="minorEastAsia" w:hAnsiTheme="minorHAnsi" w:cstheme="minorBidi"/>
                <w:smallCaps w:val="0"/>
                <w:noProof/>
                <w:kern w:val="2"/>
                <w:sz w:val="22"/>
                <w:szCs w:val="22"/>
                <w:lang w:val="en-IE" w:eastAsia="en-IE"/>
                <w14:ligatures w14:val="standardContextual"/>
              </w:rPr>
              <w:tab/>
            </w:r>
            <w:r w:rsidR="00DD2F72" w:rsidRPr="001A1448">
              <w:rPr>
                <w:rStyle w:val="Hyperlink"/>
                <w:noProof/>
              </w:rPr>
              <w:t>Увеличаване на вноската на ЕС за Агенцията на Европейския съюз за сътрудничество в областта на наказателното правосъдие (Евроюст)</w:t>
            </w:r>
            <w:r w:rsidR="00DD2F72" w:rsidRPr="001A1448">
              <w:rPr>
                <w:noProof/>
                <w:webHidden/>
              </w:rPr>
              <w:tab/>
            </w:r>
            <w:r w:rsidR="00DD2F72" w:rsidRPr="001A1448">
              <w:rPr>
                <w:noProof/>
                <w:webHidden/>
              </w:rPr>
              <w:fldChar w:fldCharType="begin"/>
            </w:r>
            <w:r w:rsidR="00DD2F72" w:rsidRPr="001A1448">
              <w:rPr>
                <w:noProof/>
                <w:webHidden/>
              </w:rPr>
              <w:instrText xml:space="preserve"> PAGEREF _Toc173242915 \h </w:instrText>
            </w:r>
            <w:r w:rsidR="00DD2F72" w:rsidRPr="001A1448">
              <w:rPr>
                <w:noProof/>
                <w:webHidden/>
              </w:rPr>
            </w:r>
            <w:r w:rsidR="00DD2F72" w:rsidRPr="001A1448">
              <w:rPr>
                <w:noProof/>
                <w:webHidden/>
              </w:rPr>
              <w:fldChar w:fldCharType="separate"/>
            </w:r>
            <w:r w:rsidR="00584A61">
              <w:rPr>
                <w:noProof/>
                <w:webHidden/>
              </w:rPr>
              <w:t>14</w:t>
            </w:r>
            <w:r w:rsidR="00DD2F72" w:rsidRPr="001A1448">
              <w:rPr>
                <w:noProof/>
                <w:webHidden/>
              </w:rPr>
              <w:fldChar w:fldCharType="end"/>
            </w:r>
          </w:hyperlink>
        </w:p>
        <w:p w14:paraId="0E3EE7ED" w14:textId="187FB309" w:rsidR="00DD2F72" w:rsidRPr="001A1448" w:rsidRDefault="00020CDD">
          <w:pPr>
            <w:pStyle w:val="TOC2"/>
            <w:rPr>
              <w:rFonts w:asciiTheme="minorHAnsi" w:eastAsiaTheme="minorEastAsia" w:hAnsiTheme="minorHAnsi" w:cstheme="minorBidi"/>
              <w:smallCaps w:val="0"/>
              <w:noProof/>
              <w:kern w:val="2"/>
              <w:sz w:val="22"/>
              <w:szCs w:val="22"/>
              <w:lang w:val="en-IE" w:eastAsia="en-IE"/>
              <w14:ligatures w14:val="standardContextual"/>
            </w:rPr>
          </w:pPr>
          <w:hyperlink w:anchor="_Toc173242916" w:history="1">
            <w:r w:rsidR="00DD2F72" w:rsidRPr="001A1448">
              <w:rPr>
                <w:rStyle w:val="Hyperlink"/>
                <w:noProof/>
              </w:rPr>
              <w:t>3.7</w:t>
            </w:r>
            <w:r w:rsidR="00DD2F72" w:rsidRPr="001A1448">
              <w:rPr>
                <w:rFonts w:asciiTheme="minorHAnsi" w:eastAsiaTheme="minorEastAsia" w:hAnsiTheme="minorHAnsi" w:cstheme="minorBidi"/>
                <w:smallCaps w:val="0"/>
                <w:noProof/>
                <w:kern w:val="2"/>
                <w:sz w:val="22"/>
                <w:szCs w:val="22"/>
                <w:lang w:val="en-IE" w:eastAsia="en-IE"/>
                <w14:ligatures w14:val="standardContextual"/>
              </w:rPr>
              <w:tab/>
            </w:r>
            <w:r w:rsidR="00DD2F72" w:rsidRPr="001A1448">
              <w:rPr>
                <w:rStyle w:val="Hyperlink"/>
                <w:noProof/>
              </w:rPr>
              <w:t>Увеличение на вноската на ЕС за Агенцията на Европейския съюз за оперативното управление на широкомащабни информационни системи в пространството на свобода, сигурност и правосъдие (eu-LISA)</w:t>
            </w:r>
            <w:r w:rsidR="00DD2F72" w:rsidRPr="001A1448">
              <w:rPr>
                <w:noProof/>
                <w:webHidden/>
              </w:rPr>
              <w:tab/>
            </w:r>
            <w:r w:rsidR="00DD2F72" w:rsidRPr="001A1448">
              <w:rPr>
                <w:noProof/>
                <w:webHidden/>
              </w:rPr>
              <w:fldChar w:fldCharType="begin"/>
            </w:r>
            <w:r w:rsidR="00DD2F72" w:rsidRPr="001A1448">
              <w:rPr>
                <w:noProof/>
                <w:webHidden/>
              </w:rPr>
              <w:instrText xml:space="preserve"> PAGEREF _Toc173242916 \h </w:instrText>
            </w:r>
            <w:r w:rsidR="00DD2F72" w:rsidRPr="001A1448">
              <w:rPr>
                <w:noProof/>
                <w:webHidden/>
              </w:rPr>
            </w:r>
            <w:r w:rsidR="00DD2F72" w:rsidRPr="001A1448">
              <w:rPr>
                <w:noProof/>
                <w:webHidden/>
              </w:rPr>
              <w:fldChar w:fldCharType="separate"/>
            </w:r>
            <w:r w:rsidR="00584A61">
              <w:rPr>
                <w:noProof/>
                <w:webHidden/>
              </w:rPr>
              <w:t>14</w:t>
            </w:r>
            <w:r w:rsidR="00DD2F72" w:rsidRPr="001A1448">
              <w:rPr>
                <w:noProof/>
                <w:webHidden/>
              </w:rPr>
              <w:fldChar w:fldCharType="end"/>
            </w:r>
          </w:hyperlink>
        </w:p>
        <w:p w14:paraId="1E5433BC" w14:textId="1559995B" w:rsidR="00DD2F72" w:rsidRDefault="00020CDD">
          <w:pPr>
            <w:pStyle w:val="TOC1"/>
            <w:tabs>
              <w:tab w:val="left" w:pos="480"/>
              <w:tab w:val="right" w:leader="dot" w:pos="9855"/>
            </w:tabs>
            <w:rPr>
              <w:rFonts w:asciiTheme="minorHAnsi" w:eastAsiaTheme="minorEastAsia" w:hAnsiTheme="minorHAnsi" w:cstheme="minorBidi"/>
              <w:b w:val="0"/>
              <w:bCs w:val="0"/>
              <w:caps w:val="0"/>
              <w:noProof/>
              <w:kern w:val="2"/>
              <w:sz w:val="22"/>
              <w:szCs w:val="22"/>
              <w:lang w:val="en-IE" w:eastAsia="en-IE"/>
              <w14:ligatures w14:val="standardContextual"/>
            </w:rPr>
          </w:pPr>
          <w:hyperlink w:anchor="_Toc173242917" w:history="1">
            <w:r w:rsidR="00DD2F72" w:rsidRPr="00C46489">
              <w:rPr>
                <w:rStyle w:val="Hyperlink"/>
                <w:smallCaps/>
                <w:noProof/>
              </w:rPr>
              <w:t>4.</w:t>
            </w:r>
            <w:r w:rsidR="00DD2F72">
              <w:rPr>
                <w:rFonts w:asciiTheme="minorHAnsi" w:eastAsiaTheme="minorEastAsia" w:hAnsiTheme="minorHAnsi" w:cstheme="minorBidi"/>
                <w:b w:val="0"/>
                <w:bCs w:val="0"/>
                <w:caps w:val="0"/>
                <w:noProof/>
                <w:kern w:val="2"/>
                <w:sz w:val="22"/>
                <w:szCs w:val="22"/>
                <w:lang w:val="en-IE" w:eastAsia="en-IE"/>
                <w14:ligatures w14:val="standardContextual"/>
              </w:rPr>
              <w:tab/>
            </w:r>
            <w:r w:rsidR="00DD2F72" w:rsidRPr="00C46489">
              <w:rPr>
                <w:rStyle w:val="Hyperlink"/>
                <w:smallCaps/>
                <w:noProof/>
              </w:rPr>
              <w:t>Финансиране</w:t>
            </w:r>
            <w:r w:rsidR="00DD2F72">
              <w:rPr>
                <w:noProof/>
                <w:webHidden/>
              </w:rPr>
              <w:tab/>
            </w:r>
            <w:r w:rsidR="00DD2F72">
              <w:rPr>
                <w:noProof/>
                <w:webHidden/>
              </w:rPr>
              <w:fldChar w:fldCharType="begin"/>
            </w:r>
            <w:r w:rsidR="00DD2F72">
              <w:rPr>
                <w:noProof/>
                <w:webHidden/>
              </w:rPr>
              <w:instrText xml:space="preserve"> PAGEREF _Toc173242917 \h </w:instrText>
            </w:r>
            <w:r w:rsidR="00DD2F72">
              <w:rPr>
                <w:noProof/>
                <w:webHidden/>
              </w:rPr>
            </w:r>
            <w:r w:rsidR="00DD2F72">
              <w:rPr>
                <w:noProof/>
                <w:webHidden/>
              </w:rPr>
              <w:fldChar w:fldCharType="separate"/>
            </w:r>
            <w:r w:rsidR="00584A61">
              <w:rPr>
                <w:noProof/>
                <w:webHidden/>
              </w:rPr>
              <w:t>15</w:t>
            </w:r>
            <w:r w:rsidR="00DD2F72">
              <w:rPr>
                <w:noProof/>
                <w:webHidden/>
              </w:rPr>
              <w:fldChar w:fldCharType="end"/>
            </w:r>
          </w:hyperlink>
        </w:p>
        <w:p w14:paraId="1F517576" w14:textId="6D20B44D" w:rsidR="00DD2F72" w:rsidRDefault="00020CDD">
          <w:pPr>
            <w:pStyle w:val="TOC1"/>
            <w:tabs>
              <w:tab w:val="left" w:pos="480"/>
              <w:tab w:val="right" w:leader="dot" w:pos="9855"/>
            </w:tabs>
            <w:rPr>
              <w:rFonts w:asciiTheme="minorHAnsi" w:eastAsiaTheme="minorEastAsia" w:hAnsiTheme="minorHAnsi" w:cstheme="minorBidi"/>
              <w:b w:val="0"/>
              <w:bCs w:val="0"/>
              <w:caps w:val="0"/>
              <w:noProof/>
              <w:kern w:val="2"/>
              <w:sz w:val="22"/>
              <w:szCs w:val="22"/>
              <w:lang w:val="en-IE" w:eastAsia="en-IE"/>
              <w14:ligatures w14:val="standardContextual"/>
            </w:rPr>
          </w:pPr>
          <w:hyperlink w:anchor="_Toc173242918" w:history="1">
            <w:r w:rsidR="00DD2F72" w:rsidRPr="00C46489">
              <w:rPr>
                <w:rStyle w:val="Hyperlink"/>
                <w:smallCaps/>
                <w:noProof/>
              </w:rPr>
              <w:t>5.</w:t>
            </w:r>
            <w:r w:rsidR="00DD2F72">
              <w:rPr>
                <w:rFonts w:asciiTheme="minorHAnsi" w:eastAsiaTheme="minorEastAsia" w:hAnsiTheme="minorHAnsi" w:cstheme="minorBidi"/>
                <w:b w:val="0"/>
                <w:bCs w:val="0"/>
                <w:caps w:val="0"/>
                <w:noProof/>
                <w:kern w:val="2"/>
                <w:sz w:val="22"/>
                <w:szCs w:val="22"/>
                <w:lang w:val="en-IE" w:eastAsia="en-IE"/>
                <w14:ligatures w14:val="standardContextual"/>
              </w:rPr>
              <w:tab/>
            </w:r>
            <w:r w:rsidR="00DD2F72" w:rsidRPr="00C46489">
              <w:rPr>
                <w:rStyle w:val="Hyperlink"/>
                <w:smallCaps/>
                <w:noProof/>
              </w:rPr>
              <w:t>Обобщаваща таблица по функции от МФР</w:t>
            </w:r>
            <w:r w:rsidR="00DD2F72">
              <w:rPr>
                <w:noProof/>
                <w:webHidden/>
              </w:rPr>
              <w:tab/>
            </w:r>
            <w:r w:rsidR="00DD2F72">
              <w:rPr>
                <w:noProof/>
                <w:webHidden/>
              </w:rPr>
              <w:fldChar w:fldCharType="begin"/>
            </w:r>
            <w:r w:rsidR="00DD2F72">
              <w:rPr>
                <w:noProof/>
                <w:webHidden/>
              </w:rPr>
              <w:instrText xml:space="preserve"> PAGEREF _Toc173242918 \h </w:instrText>
            </w:r>
            <w:r w:rsidR="00DD2F72">
              <w:rPr>
                <w:noProof/>
                <w:webHidden/>
              </w:rPr>
            </w:r>
            <w:r w:rsidR="00DD2F72">
              <w:rPr>
                <w:noProof/>
                <w:webHidden/>
              </w:rPr>
              <w:fldChar w:fldCharType="separate"/>
            </w:r>
            <w:r w:rsidR="00584A61">
              <w:rPr>
                <w:noProof/>
                <w:webHidden/>
              </w:rPr>
              <w:t>17</w:t>
            </w:r>
            <w:r w:rsidR="00DD2F72">
              <w:rPr>
                <w:noProof/>
                <w:webHidden/>
              </w:rPr>
              <w:fldChar w:fldCharType="end"/>
            </w:r>
          </w:hyperlink>
        </w:p>
        <w:p w14:paraId="46056B7B" w14:textId="1313F242" w:rsidR="00C45FCA" w:rsidRDefault="00C45FCA">
          <w:pPr>
            <w:rPr>
              <w:noProof/>
            </w:rPr>
          </w:pPr>
          <w:r>
            <w:rPr>
              <w:b/>
              <w:noProof/>
            </w:rPr>
            <w:fldChar w:fldCharType="end"/>
          </w:r>
        </w:p>
      </w:sdtContent>
    </w:sdt>
    <w:p w14:paraId="7E4617D0" w14:textId="77777777" w:rsidR="00651864" w:rsidRPr="00651864" w:rsidRDefault="00651864" w:rsidP="00651864">
      <w:pPr>
        <w:rPr>
          <w:noProof/>
          <w:lang w:eastAsia="de-DE"/>
        </w:rPr>
      </w:pPr>
    </w:p>
    <w:p w14:paraId="045622DC" w14:textId="0777D878" w:rsidR="00651864" w:rsidRDefault="00651864" w:rsidP="00651864">
      <w:pPr>
        <w:pStyle w:val="Exposdesmotifstitre"/>
        <w:jc w:val="left"/>
        <w:rPr>
          <w:b w:val="0"/>
          <w:noProof/>
        </w:rPr>
      </w:pPr>
      <w:r>
        <w:rPr>
          <w:noProof/>
        </w:rPr>
        <w:br w:type="page"/>
      </w:r>
    </w:p>
    <w:p w14:paraId="2F08B075" w14:textId="22AA8FAA" w:rsidR="00D52F81" w:rsidRPr="006A6461" w:rsidRDefault="00D52F81" w:rsidP="00D52F81">
      <w:pPr>
        <w:pStyle w:val="Exposdesmotifstitre"/>
        <w:rPr>
          <w:noProof/>
        </w:rPr>
      </w:pPr>
      <w:r>
        <w:rPr>
          <w:noProof/>
        </w:rPr>
        <w:t>ОБЯСНИТЕЛЕН МЕМОРАНДУМ</w:t>
      </w:r>
    </w:p>
    <w:p w14:paraId="7B664D05" w14:textId="77777777" w:rsidR="00D52F81" w:rsidRPr="006A6461" w:rsidRDefault="00D52F81" w:rsidP="00D52F81">
      <w:pPr>
        <w:pStyle w:val="ManualHeading1"/>
        <w:rPr>
          <w:noProof/>
        </w:rPr>
      </w:pPr>
      <w:bookmarkStart w:id="5" w:name="_Toc73720664"/>
      <w:bookmarkStart w:id="6" w:name="_Toc75766698"/>
      <w:bookmarkStart w:id="7" w:name="_Toc173242902"/>
      <w:bookmarkStart w:id="8" w:name="_Toc460335328"/>
      <w:bookmarkStart w:id="9" w:name="_Toc430865948"/>
      <w:bookmarkStart w:id="10" w:name="_Toc430867526"/>
      <w:bookmarkStart w:id="11" w:name="_Toc351469332"/>
      <w:bookmarkStart w:id="12" w:name="_Toc361649879"/>
      <w:bookmarkStart w:id="13" w:name="_Toc430865947"/>
      <w:bookmarkStart w:id="14" w:name="_Toc430867525"/>
      <w:r>
        <w:rPr>
          <w:noProof/>
        </w:rPr>
        <w:t>1.</w:t>
      </w:r>
      <w:r>
        <w:rPr>
          <w:noProof/>
        </w:rPr>
        <w:tab/>
        <w:t>Въведение</w:t>
      </w:r>
      <w:bookmarkEnd w:id="5"/>
      <w:bookmarkEnd w:id="6"/>
      <w:bookmarkEnd w:id="7"/>
    </w:p>
    <w:p w14:paraId="1EA5B4D3" w14:textId="373DC439" w:rsidR="00D52F81" w:rsidRPr="006A6461" w:rsidRDefault="00D52F81" w:rsidP="00D52F81">
      <w:pPr>
        <w:pStyle w:val="ListDash"/>
        <w:numPr>
          <w:ilvl w:val="0"/>
          <w:numId w:val="0"/>
        </w:numPr>
        <w:rPr>
          <w:noProof/>
        </w:rPr>
      </w:pPr>
      <w:r>
        <w:rPr>
          <w:noProof/>
        </w:rPr>
        <w:t>Основната цел на проект на коригиращ бюджет (ПКБ) № 4 за 2024 г. е да се актуализира приходната част на бюджета, за да се вземат предвид последните промени, що се отнася до:</w:t>
      </w:r>
    </w:p>
    <w:p w14:paraId="43E238CB" w14:textId="3FDD7377" w:rsidR="00D52F81" w:rsidRPr="006A6461" w:rsidRDefault="6CC0F1E3" w:rsidP="000D3A97">
      <w:pPr>
        <w:pStyle w:val="Tiret0"/>
        <w:ind w:left="720" w:hanging="720"/>
        <w:rPr>
          <w:noProof/>
        </w:rPr>
      </w:pPr>
      <w:r>
        <w:rPr>
          <w:noProof/>
        </w:rPr>
        <w:t>актуализираните прогнози за собствените ресурси за бюджета за 2024 г., одобрени от Консултативния комитет по собствените ресурси (ККСР) на 23 май 2024 г. Тази актуализация обикновено се представя скоро след заседанието за прогнозиране на ККСР в съответствие с очакванията на държавите членки, че актуализациите на ККСР ще бъдат включени в бюджета възможно най-скоро;</w:t>
      </w:r>
    </w:p>
    <w:p w14:paraId="58A99F3B" w14:textId="738ADB7C" w:rsidR="00D52F81" w:rsidRPr="006A6461" w:rsidRDefault="2D0DD3E5" w:rsidP="000D3A97">
      <w:pPr>
        <w:pStyle w:val="Tiret0"/>
        <w:ind w:left="720" w:hanging="720"/>
        <w:rPr>
          <w:noProof/>
        </w:rPr>
      </w:pPr>
      <w:r>
        <w:rPr>
          <w:noProof/>
        </w:rPr>
        <w:t>актуализирането на другите приходи, като вноската на Обединеното кралство и глобите.</w:t>
      </w:r>
    </w:p>
    <w:p w14:paraId="48B227F4" w14:textId="77777777" w:rsidR="00F93ED2" w:rsidRPr="006A6461" w:rsidRDefault="00F93ED2" w:rsidP="00D52F81">
      <w:pPr>
        <w:pStyle w:val="Tiret0"/>
        <w:numPr>
          <w:ilvl w:val="0"/>
          <w:numId w:val="0"/>
        </w:numPr>
        <w:rPr>
          <w:noProof/>
        </w:rPr>
      </w:pPr>
    </w:p>
    <w:p w14:paraId="78BB6571" w14:textId="42F2E492" w:rsidR="00D52F81" w:rsidRPr="006A6461" w:rsidRDefault="007B0DE6" w:rsidP="00D52F81">
      <w:pPr>
        <w:pStyle w:val="Tiret0"/>
        <w:numPr>
          <w:ilvl w:val="0"/>
          <w:numId w:val="0"/>
        </w:numPr>
        <w:rPr>
          <w:noProof/>
        </w:rPr>
      </w:pPr>
      <w:r>
        <w:rPr>
          <w:noProof/>
        </w:rPr>
        <w:t>Освен това ПКБ 4/2024 включва следните специфични елементи, свързани с разходите:</w:t>
      </w:r>
    </w:p>
    <w:p w14:paraId="5120A1A5" w14:textId="71449007" w:rsidR="00FF5701" w:rsidRPr="006A6461" w:rsidRDefault="008E35F3" w:rsidP="00FF5701">
      <w:pPr>
        <w:pStyle w:val="Tiret0"/>
        <w:ind w:left="720" w:hanging="720"/>
        <w:rPr>
          <w:noProof/>
        </w:rPr>
      </w:pPr>
      <w:bookmarkStart w:id="15" w:name="_Toc73720665"/>
      <w:bookmarkStart w:id="16" w:name="_Toc75766699"/>
      <w:bookmarkEnd w:id="8"/>
      <w:bookmarkEnd w:id="9"/>
      <w:bookmarkEnd w:id="10"/>
      <w:bookmarkEnd w:id="11"/>
      <w:bookmarkEnd w:id="12"/>
      <w:bookmarkEnd w:id="13"/>
      <w:bookmarkEnd w:id="14"/>
      <w:r>
        <w:rPr>
          <w:noProof/>
        </w:rPr>
        <w:t>предоставяне на допълнителни средства на Агенцията на Европейския съюз за киберсигурност (ENISA) във връзка с приемането на законодателния акт за киберустойчивост, които се предлага да бъдат компенсирани от програмата „Цифрова Европа“;</w:t>
      </w:r>
    </w:p>
    <w:p w14:paraId="10A576FF" w14:textId="6E7384AB" w:rsidR="00D146E1" w:rsidRPr="006A6461" w:rsidRDefault="00CC107E" w:rsidP="00F93ED2">
      <w:pPr>
        <w:pStyle w:val="Tiret0"/>
        <w:ind w:left="720" w:hanging="720"/>
        <w:rPr>
          <w:noProof/>
        </w:rPr>
      </w:pPr>
      <w:r>
        <w:rPr>
          <w:noProof/>
        </w:rPr>
        <w:t>предоставяне на допълнителни средства на Агенцията на Европейския съюз за сътрудничество между регулаторите на енергия (ACER) във връзка с преразгледаната законодателна финансова обосновка за преразгледаните правила за структурата на пазара на електроенергия;</w:t>
      </w:r>
    </w:p>
    <w:p w14:paraId="0E8B3BE2" w14:textId="01501411" w:rsidR="00D146E1" w:rsidRPr="006A6461" w:rsidRDefault="59D724B4" w:rsidP="00F93ED2">
      <w:pPr>
        <w:pStyle w:val="Tiret0"/>
        <w:ind w:left="720" w:hanging="720"/>
        <w:rPr>
          <w:noProof/>
        </w:rPr>
      </w:pPr>
      <w:r>
        <w:rPr>
          <w:noProof/>
        </w:rPr>
        <w:t>еднократно намаляване на числеността на персонала и на вноската на ЕС за Органа за борба с изпирането на пари (ОБИП), като се има предвид забавянето на неговото създаване;</w:t>
      </w:r>
    </w:p>
    <w:p w14:paraId="07FC390C" w14:textId="54A1C518" w:rsidR="00E3199A" w:rsidRPr="006A6461" w:rsidRDefault="005ACF73" w:rsidP="00E3199A">
      <w:pPr>
        <w:pStyle w:val="Tiret0"/>
        <w:ind w:left="720" w:hanging="720"/>
        <w:rPr>
          <w:noProof/>
        </w:rPr>
      </w:pPr>
      <w:r>
        <w:rPr>
          <w:noProof/>
        </w:rPr>
        <w:t>предоставяне на допълнителни средства на Агенцията на Европейския съюз за космическата програма (EUSPA) с цел интернализиране на инженерни задачи от критично значение;</w:t>
      </w:r>
    </w:p>
    <w:p w14:paraId="2FD9B7ED" w14:textId="5D1318C3" w:rsidR="00032E01" w:rsidRPr="006A6461" w:rsidRDefault="7FF56CEB" w:rsidP="00894BC7">
      <w:pPr>
        <w:pStyle w:val="Tiret0"/>
        <w:ind w:left="720" w:hanging="720"/>
        <w:rPr>
          <w:noProof/>
        </w:rPr>
      </w:pPr>
      <w:r>
        <w:rPr>
          <w:noProof/>
        </w:rPr>
        <w:t>увеличение на финансовия принос от Съюза за Европейската агенция по лекарствата (ЕМА) след одобрението от бюджетния орган на досието относно сградния фонд на бившите помещения на ЕМА в Лондон;</w:t>
      </w:r>
    </w:p>
    <w:p w14:paraId="038961EC" w14:textId="1BAEC01B" w:rsidR="00AA1BCA" w:rsidRPr="006A6461" w:rsidRDefault="1AFFB757" w:rsidP="00AA1BCA">
      <w:pPr>
        <w:pStyle w:val="Tiret0"/>
        <w:ind w:left="720" w:hanging="720"/>
        <w:rPr>
          <w:noProof/>
        </w:rPr>
      </w:pPr>
      <w:r>
        <w:rPr>
          <w:noProof/>
        </w:rPr>
        <w:t>предоставяне на допълнителни средства на Агенцията на Европейския съюз за сътрудничество в областта на наказателното правосъдие (Евроюст) поради силния инфлационен натиск;</w:t>
      </w:r>
    </w:p>
    <w:p w14:paraId="48218A08" w14:textId="6E2B11CA" w:rsidR="00071122" w:rsidRPr="006A6461" w:rsidRDefault="358A184F" w:rsidP="00311C9F">
      <w:pPr>
        <w:pStyle w:val="Tiret0"/>
        <w:ind w:left="720" w:hanging="720"/>
        <w:rPr>
          <w:noProof/>
        </w:rPr>
      </w:pPr>
      <w:r>
        <w:rPr>
          <w:noProof/>
        </w:rPr>
        <w:t>предоставяне на допълнителни средства на Агенцията на Европейския съюз за оперативното управление на широкомащабни информационни системи в пространството на свобода, сигурност и правосъдие (eu-LISA), за да се отговори на промените в мандата на агенцията вследствие на нови или преразгледани законодателни финансови обосновки. Това има отражение и върху FRONTEX.</w:t>
      </w:r>
    </w:p>
    <w:p w14:paraId="05A8353A" w14:textId="54600DF1" w:rsidR="00BE1A5C" w:rsidRDefault="00E3199A" w:rsidP="00E3199A">
      <w:pPr>
        <w:pStyle w:val="Tiret0"/>
        <w:numPr>
          <w:ilvl w:val="0"/>
          <w:numId w:val="0"/>
        </w:numPr>
        <w:rPr>
          <w:noProof/>
        </w:rPr>
      </w:pPr>
      <w:r>
        <w:rPr>
          <w:noProof/>
        </w:rPr>
        <w:t xml:space="preserve">Като цяло нетното отражение на ПКБ 4/2024 върху разходите представлява увеличение с 12,0 милиона евро както бюджетни кредити за поети задължения, така и бюджетни кредити за плащания. </w:t>
      </w:r>
    </w:p>
    <w:p w14:paraId="1BF5F2BC" w14:textId="578ADF5F" w:rsidR="00AA0FAC" w:rsidRPr="006A6461" w:rsidRDefault="000D3A97" w:rsidP="00E3199A">
      <w:pPr>
        <w:pStyle w:val="Tiret0"/>
        <w:numPr>
          <w:ilvl w:val="0"/>
          <w:numId w:val="0"/>
        </w:numPr>
        <w:rPr>
          <w:noProof/>
        </w:rPr>
      </w:pPr>
      <w:r>
        <w:rPr>
          <w:noProof/>
        </w:rPr>
        <w:br w:type="page"/>
      </w:r>
    </w:p>
    <w:p w14:paraId="4B8BA550" w14:textId="6E456BB1" w:rsidR="007A4316" w:rsidRPr="006A6461" w:rsidRDefault="007A4316" w:rsidP="00311C9F">
      <w:pPr>
        <w:pStyle w:val="ManualHeading1"/>
        <w:rPr>
          <w:noProof/>
        </w:rPr>
      </w:pPr>
      <w:bookmarkStart w:id="17" w:name="_Toc173242903"/>
      <w:r>
        <w:rPr>
          <w:noProof/>
        </w:rPr>
        <w:t>2.</w:t>
      </w:r>
      <w:r>
        <w:rPr>
          <w:noProof/>
        </w:rPr>
        <w:tab/>
        <w:t>Актуализация на приходите</w:t>
      </w:r>
      <w:bookmarkEnd w:id="15"/>
      <w:bookmarkEnd w:id="16"/>
      <w:bookmarkEnd w:id="17"/>
    </w:p>
    <w:p w14:paraId="4751BA31" w14:textId="224D3205" w:rsidR="007A4316" w:rsidRPr="006A6461" w:rsidRDefault="007A4316" w:rsidP="007A4316">
      <w:pPr>
        <w:keepNext/>
        <w:tabs>
          <w:tab w:val="left" w:pos="850"/>
        </w:tabs>
        <w:spacing w:before="360" w:after="120"/>
        <w:ind w:left="850" w:hanging="850"/>
        <w:jc w:val="both"/>
        <w:outlineLvl w:val="1"/>
        <w:rPr>
          <w:rFonts w:ascii="Times New Roman" w:eastAsia="Calibri" w:hAnsi="Times New Roman" w:cs="Times New Roman"/>
          <w:b/>
          <w:noProof/>
          <w:sz w:val="24"/>
          <w:szCs w:val="24"/>
        </w:rPr>
      </w:pPr>
      <w:bookmarkStart w:id="18" w:name="_Toc73720666"/>
      <w:bookmarkStart w:id="19" w:name="_Toc75766700"/>
      <w:bookmarkStart w:id="20" w:name="_Toc173242904"/>
      <w:r>
        <w:rPr>
          <w:rFonts w:ascii="Times New Roman" w:hAnsi="Times New Roman"/>
          <w:b/>
          <w:noProof/>
          <w:sz w:val="24"/>
        </w:rPr>
        <w:t>2.1</w:t>
      </w:r>
      <w:r>
        <w:rPr>
          <w:rFonts w:ascii="Times New Roman" w:hAnsi="Times New Roman"/>
          <w:b/>
          <w:noProof/>
          <w:sz w:val="24"/>
        </w:rPr>
        <w:tab/>
        <w:t>Общо отражение на ПКБ 4/2024 върху разпределението на общите плащания по собствените ресурси между държавите членки</w:t>
      </w:r>
      <w:bookmarkEnd w:id="18"/>
      <w:bookmarkEnd w:id="19"/>
      <w:bookmarkEnd w:id="20"/>
    </w:p>
    <w:p w14:paraId="3FD6EA10" w14:textId="71929046" w:rsidR="008B73C0" w:rsidRPr="006A6461" w:rsidRDefault="008B73C0" w:rsidP="008B73C0">
      <w:pPr>
        <w:jc w:val="both"/>
        <w:rPr>
          <w:rFonts w:ascii="Times New Roman" w:hAnsi="Times New Roman" w:cs="Times New Roman"/>
          <w:noProof/>
          <w:sz w:val="24"/>
          <w:szCs w:val="24"/>
        </w:rPr>
      </w:pPr>
      <w:r>
        <w:rPr>
          <w:rFonts w:ascii="Times New Roman" w:hAnsi="Times New Roman"/>
          <w:noProof/>
          <w:sz w:val="24"/>
        </w:rPr>
        <w:t>Преразгледаните прогнози за 2024 г. бяха одобрени на 191-вото заседание на ККСР от 23 май 2024 г. Корекциите на приходната част на бюджета са необходими за актуализиране на прогнозите за традиционните собствени ресурси (ТСР), както и за собствените ресурси въз основа на данъка върху добавената стойност (ДДС), нерециклираните отпадъци от опаковки от пластмаса (ООП) и брутния национален доход (БНД), като се вземат предвид икономическите прогнози от пролетта (вж. точка 2.2).</w:t>
      </w:r>
    </w:p>
    <w:p w14:paraId="32DE2DDF" w14:textId="1EB5CEFC" w:rsidR="008B73C0" w:rsidRPr="006A6461" w:rsidRDefault="20D15441" w:rsidP="008B73C0">
      <w:pPr>
        <w:jc w:val="both"/>
        <w:rPr>
          <w:rFonts w:ascii="Times New Roman" w:hAnsi="Times New Roman" w:cs="Times New Roman"/>
          <w:noProof/>
          <w:sz w:val="24"/>
          <w:szCs w:val="24"/>
        </w:rPr>
      </w:pPr>
      <w:r>
        <w:rPr>
          <w:rFonts w:ascii="Times New Roman" w:hAnsi="Times New Roman"/>
          <w:noProof/>
          <w:sz w:val="24"/>
        </w:rPr>
        <w:t>Освен това се актуализира размерът на другите приходи, за да се вземат предвид преразгледаната вноска на Обединеното кралство и окончателно събраните глоби и наказателни плащания до юни 2024 г. (вж. съответно точки 2.3 и 2.4).</w:t>
      </w:r>
    </w:p>
    <w:p w14:paraId="700FEB6D" w14:textId="3CEEEEE6" w:rsidR="008B73C0" w:rsidRPr="006A6461" w:rsidRDefault="20D15441" w:rsidP="001A23DC">
      <w:pPr>
        <w:jc w:val="both"/>
        <w:rPr>
          <w:rFonts w:ascii="Times New Roman" w:hAnsi="Times New Roman" w:cs="Times New Roman"/>
          <w:b/>
          <w:bCs/>
          <w:noProof/>
        </w:rPr>
      </w:pPr>
      <w:r>
        <w:rPr>
          <w:rFonts w:ascii="Times New Roman" w:hAnsi="Times New Roman"/>
          <w:noProof/>
          <w:sz w:val="24"/>
        </w:rPr>
        <w:t>Общото отражение на корекциите на приходите в настоящия ПКБ е представено в обобщаващата таблица по-долу. В тази таблица е показано също разпределението на общите плащания по собствените ресурси между държавите членки, предвидено в първоначалния бюджет за 2024 г., включено в КБ 1/2024, КБ 2/2024, ПКБ 2/2024 и — накрая — включено в настоящия ПКБ 4/2024.</w:t>
      </w:r>
    </w:p>
    <w:p w14:paraId="1CEC7EC4" w14:textId="77777777" w:rsidR="007A4316" w:rsidRPr="006A6461" w:rsidRDefault="007A4316" w:rsidP="007A4316">
      <w:pPr>
        <w:jc w:val="center"/>
        <w:rPr>
          <w:rFonts w:ascii="Times New Roman" w:hAnsi="Times New Roman" w:cs="Times New Roman"/>
          <w:b/>
          <w:noProof/>
        </w:rPr>
      </w:pPr>
      <w:r>
        <w:rPr>
          <w:rFonts w:ascii="Times New Roman" w:hAnsi="Times New Roman"/>
          <w:b/>
          <w:noProof/>
        </w:rPr>
        <w:t>Разпределение на общите плащания по собствените ресурси по държави членки (в милиони евро)</w:t>
      </w:r>
    </w:p>
    <w:tbl>
      <w:tblPr>
        <w:tblW w:w="9454" w:type="dxa"/>
        <w:jc w:val="center"/>
        <w:tblLook w:val="04A0" w:firstRow="1" w:lastRow="0" w:firstColumn="1" w:lastColumn="0" w:noHBand="0" w:noVBand="1"/>
      </w:tblPr>
      <w:tblGrid>
        <w:gridCol w:w="1248"/>
        <w:gridCol w:w="1665"/>
        <w:gridCol w:w="1724"/>
        <w:gridCol w:w="1577"/>
        <w:gridCol w:w="1605"/>
        <w:gridCol w:w="1635"/>
      </w:tblGrid>
      <w:tr w:rsidR="008B73C0" w:rsidRPr="006A6461" w14:paraId="60CBED78" w14:textId="77777777" w:rsidTr="00311C9F">
        <w:trPr>
          <w:trHeight w:val="300"/>
          <w:jc w:val="center"/>
        </w:trPr>
        <w:tc>
          <w:tcPr>
            <w:tcW w:w="1248"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37C7D5FB" w14:textId="77777777" w:rsidR="008B73C0" w:rsidRPr="006A6461" w:rsidRDefault="008B73C0" w:rsidP="008B73C0">
            <w:pPr>
              <w:spacing w:after="120"/>
              <w:jc w:val="center"/>
              <w:rPr>
                <w:rFonts w:ascii="Times New Roman" w:hAnsi="Times New Roman" w:cs="Times New Roman"/>
                <w:b/>
                <w:bCs/>
                <w:noProof/>
                <w:color w:val="000000"/>
                <w:sz w:val="20"/>
                <w:szCs w:val="20"/>
              </w:rPr>
            </w:pPr>
            <w:bookmarkStart w:id="21" w:name="_Toc462410059"/>
            <w:bookmarkStart w:id="22" w:name="_Toc525202233"/>
            <w:r>
              <w:rPr>
                <w:rFonts w:ascii="Times New Roman" w:hAnsi="Times New Roman"/>
                <w:b/>
                <w:noProof/>
                <w:color w:val="000000"/>
                <w:sz w:val="20"/>
              </w:rPr>
              <w:t> </w:t>
            </w:r>
          </w:p>
        </w:tc>
        <w:tc>
          <w:tcPr>
            <w:tcW w:w="1665" w:type="dxa"/>
            <w:tcBorders>
              <w:top w:val="single" w:sz="4" w:space="0" w:color="auto"/>
              <w:left w:val="nil"/>
              <w:bottom w:val="single" w:sz="4" w:space="0" w:color="auto"/>
              <w:right w:val="single" w:sz="4" w:space="0" w:color="auto"/>
            </w:tcBorders>
            <w:shd w:val="clear" w:color="auto" w:fill="FFFFFF" w:themeFill="background1"/>
            <w:noWrap/>
            <w:hideMark/>
          </w:tcPr>
          <w:p w14:paraId="0868E18B" w14:textId="354FCAD7" w:rsidR="008B73C0" w:rsidRPr="006A6461" w:rsidRDefault="20D15441" w:rsidP="008B73C0">
            <w:pPr>
              <w:spacing w:after="120"/>
              <w:jc w:val="center"/>
              <w:rPr>
                <w:rFonts w:ascii="Times New Roman" w:hAnsi="Times New Roman" w:cs="Times New Roman"/>
                <w:b/>
                <w:bCs/>
                <w:noProof/>
                <w:color w:val="000000"/>
                <w:sz w:val="20"/>
                <w:szCs w:val="20"/>
              </w:rPr>
            </w:pPr>
            <w:r>
              <w:rPr>
                <w:rFonts w:ascii="Times New Roman" w:hAnsi="Times New Roman"/>
                <w:b/>
                <w:noProof/>
                <w:sz w:val="20"/>
              </w:rPr>
              <w:t>Бюджет за 2024 г.</w:t>
            </w:r>
          </w:p>
        </w:tc>
        <w:tc>
          <w:tcPr>
            <w:tcW w:w="1724" w:type="dxa"/>
            <w:tcBorders>
              <w:top w:val="single" w:sz="4" w:space="0" w:color="auto"/>
              <w:left w:val="nil"/>
              <w:bottom w:val="single" w:sz="4" w:space="0" w:color="auto"/>
              <w:right w:val="single" w:sz="4" w:space="0" w:color="auto"/>
            </w:tcBorders>
            <w:shd w:val="clear" w:color="auto" w:fill="FFFFFF" w:themeFill="background1"/>
          </w:tcPr>
          <w:p w14:paraId="1D8392C5" w14:textId="7D09BC42" w:rsidR="0616582D" w:rsidRPr="006A6461" w:rsidRDefault="0616582D" w:rsidP="337A4174">
            <w:pPr>
              <w:jc w:val="center"/>
              <w:rPr>
                <w:rFonts w:ascii="Times New Roman" w:hAnsi="Times New Roman" w:cs="Times New Roman"/>
                <w:b/>
                <w:bCs/>
                <w:noProof/>
                <w:sz w:val="20"/>
                <w:szCs w:val="20"/>
              </w:rPr>
            </w:pPr>
            <w:r>
              <w:rPr>
                <w:rFonts w:ascii="Times New Roman" w:hAnsi="Times New Roman"/>
                <w:b/>
                <w:noProof/>
                <w:sz w:val="20"/>
              </w:rPr>
              <w:t>КБ 1/2024</w:t>
            </w:r>
          </w:p>
        </w:tc>
        <w:tc>
          <w:tcPr>
            <w:tcW w:w="1577" w:type="dxa"/>
            <w:tcBorders>
              <w:top w:val="single" w:sz="4" w:space="0" w:color="auto"/>
              <w:left w:val="nil"/>
              <w:bottom w:val="single" w:sz="4" w:space="0" w:color="auto"/>
              <w:right w:val="single" w:sz="4" w:space="0" w:color="auto"/>
            </w:tcBorders>
            <w:shd w:val="clear" w:color="auto" w:fill="FFFFFF" w:themeFill="background1"/>
          </w:tcPr>
          <w:p w14:paraId="3F0219A7" w14:textId="5A01D1DE" w:rsidR="0616582D" w:rsidRPr="006A6461" w:rsidRDefault="0616582D" w:rsidP="337A4174">
            <w:pPr>
              <w:jc w:val="center"/>
              <w:rPr>
                <w:rFonts w:ascii="Times New Roman" w:hAnsi="Times New Roman" w:cs="Times New Roman"/>
                <w:b/>
                <w:bCs/>
                <w:noProof/>
                <w:sz w:val="20"/>
                <w:szCs w:val="20"/>
              </w:rPr>
            </w:pPr>
            <w:r>
              <w:rPr>
                <w:rFonts w:ascii="Times New Roman" w:hAnsi="Times New Roman"/>
                <w:b/>
                <w:noProof/>
                <w:sz w:val="20"/>
              </w:rPr>
              <w:t>КБ 2/2024</w:t>
            </w:r>
          </w:p>
        </w:tc>
        <w:tc>
          <w:tcPr>
            <w:tcW w:w="1605" w:type="dxa"/>
            <w:tcBorders>
              <w:top w:val="single" w:sz="4" w:space="0" w:color="auto"/>
              <w:left w:val="nil"/>
              <w:bottom w:val="single" w:sz="4" w:space="0" w:color="auto"/>
              <w:right w:val="single" w:sz="4" w:space="0" w:color="auto"/>
            </w:tcBorders>
            <w:shd w:val="clear" w:color="auto" w:fill="FFFFFF" w:themeFill="background1"/>
            <w:noWrap/>
            <w:hideMark/>
          </w:tcPr>
          <w:p w14:paraId="3AA13F6E" w14:textId="5125796A" w:rsidR="008B73C0" w:rsidRPr="006A6461" w:rsidRDefault="20D15441" w:rsidP="008B73C0">
            <w:pPr>
              <w:spacing w:after="120"/>
              <w:jc w:val="center"/>
              <w:rPr>
                <w:rFonts w:ascii="Times New Roman" w:hAnsi="Times New Roman" w:cs="Times New Roman"/>
                <w:b/>
                <w:bCs/>
                <w:noProof/>
                <w:color w:val="000000"/>
                <w:sz w:val="20"/>
                <w:szCs w:val="20"/>
              </w:rPr>
            </w:pPr>
            <w:r>
              <w:rPr>
                <w:rFonts w:ascii="Times New Roman" w:hAnsi="Times New Roman"/>
                <w:b/>
                <w:noProof/>
                <w:sz w:val="20"/>
              </w:rPr>
              <w:t>ПКБ 2/2024</w:t>
            </w:r>
          </w:p>
        </w:tc>
        <w:tc>
          <w:tcPr>
            <w:tcW w:w="1635" w:type="dxa"/>
            <w:tcBorders>
              <w:top w:val="single" w:sz="4" w:space="0" w:color="auto"/>
              <w:left w:val="nil"/>
              <w:bottom w:val="single" w:sz="4" w:space="0" w:color="auto"/>
              <w:right w:val="single" w:sz="4" w:space="0" w:color="auto"/>
            </w:tcBorders>
            <w:shd w:val="clear" w:color="auto" w:fill="FFFFFF" w:themeFill="background1"/>
            <w:noWrap/>
            <w:hideMark/>
          </w:tcPr>
          <w:p w14:paraId="570B1FB3" w14:textId="46F5FCD3" w:rsidR="008B73C0" w:rsidRPr="006A6461" w:rsidRDefault="20D15441" w:rsidP="008B73C0">
            <w:pPr>
              <w:spacing w:after="120"/>
              <w:jc w:val="center"/>
              <w:rPr>
                <w:rFonts w:ascii="Times New Roman" w:hAnsi="Times New Roman" w:cs="Times New Roman"/>
                <w:b/>
                <w:bCs/>
                <w:noProof/>
                <w:color w:val="000000"/>
                <w:sz w:val="20"/>
                <w:szCs w:val="20"/>
              </w:rPr>
            </w:pPr>
            <w:r>
              <w:rPr>
                <w:rFonts w:ascii="Times New Roman" w:hAnsi="Times New Roman"/>
                <w:b/>
                <w:noProof/>
                <w:sz w:val="20"/>
              </w:rPr>
              <w:t>ПКБ 4/2024</w:t>
            </w:r>
          </w:p>
        </w:tc>
      </w:tr>
      <w:tr w:rsidR="008B73C0" w:rsidRPr="006A6461" w14:paraId="186BB086" w14:textId="77777777" w:rsidTr="0053464B">
        <w:trPr>
          <w:trHeight w:val="242"/>
          <w:jc w:val="center"/>
        </w:trPr>
        <w:tc>
          <w:tcPr>
            <w:tcW w:w="124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A61ED76" w14:textId="77777777" w:rsidR="008B73C0" w:rsidRPr="006A6461" w:rsidRDefault="008B73C0" w:rsidP="008B73C0">
            <w:pPr>
              <w:spacing w:after="120"/>
              <w:rPr>
                <w:rFonts w:ascii="Times New Roman" w:hAnsi="Times New Roman" w:cs="Times New Roman"/>
                <w:noProof/>
                <w:color w:val="000000"/>
                <w:sz w:val="20"/>
                <w:szCs w:val="20"/>
              </w:rPr>
            </w:pPr>
            <w:r>
              <w:rPr>
                <w:rFonts w:ascii="Times New Roman" w:hAnsi="Times New Roman"/>
                <w:noProof/>
                <w:color w:val="000000"/>
                <w:sz w:val="20"/>
              </w:rPr>
              <w:t> </w:t>
            </w:r>
          </w:p>
        </w:tc>
        <w:tc>
          <w:tcPr>
            <w:tcW w:w="1665" w:type="dxa"/>
            <w:tcBorders>
              <w:top w:val="nil"/>
              <w:left w:val="nil"/>
              <w:bottom w:val="single" w:sz="4" w:space="0" w:color="auto"/>
              <w:right w:val="single" w:sz="4" w:space="0" w:color="auto"/>
            </w:tcBorders>
            <w:shd w:val="clear" w:color="auto" w:fill="FFFFFF" w:themeFill="background1"/>
            <w:noWrap/>
            <w:hideMark/>
          </w:tcPr>
          <w:p w14:paraId="69DF8BAD" w14:textId="04E3B777" w:rsidR="008B73C0" w:rsidRPr="006A6461" w:rsidRDefault="008B73C0" w:rsidP="008B73C0">
            <w:pPr>
              <w:spacing w:after="120"/>
              <w:jc w:val="center"/>
              <w:rPr>
                <w:rFonts w:ascii="Times New Roman" w:hAnsi="Times New Roman" w:cs="Times New Roman"/>
                <w:noProof/>
                <w:color w:val="000000"/>
                <w:sz w:val="20"/>
                <w:szCs w:val="20"/>
              </w:rPr>
            </w:pPr>
            <w:r>
              <w:rPr>
                <w:rFonts w:ascii="Times New Roman" w:hAnsi="Times New Roman"/>
                <w:noProof/>
                <w:sz w:val="20"/>
              </w:rPr>
              <w:t>(1)</w:t>
            </w:r>
          </w:p>
        </w:tc>
        <w:tc>
          <w:tcPr>
            <w:tcW w:w="1724" w:type="dxa"/>
            <w:tcBorders>
              <w:top w:val="nil"/>
              <w:left w:val="nil"/>
              <w:bottom w:val="single" w:sz="4" w:space="0" w:color="auto"/>
              <w:right w:val="single" w:sz="4" w:space="0" w:color="auto"/>
            </w:tcBorders>
            <w:shd w:val="clear" w:color="auto" w:fill="FFFFFF" w:themeFill="background1"/>
          </w:tcPr>
          <w:p w14:paraId="6CD1BD33" w14:textId="7E2687F6" w:rsidR="4EAF8C3A" w:rsidRPr="006A6461" w:rsidRDefault="4EAF8C3A" w:rsidP="337A4174">
            <w:pPr>
              <w:spacing w:after="120"/>
              <w:jc w:val="center"/>
              <w:rPr>
                <w:rFonts w:ascii="Times New Roman" w:hAnsi="Times New Roman" w:cs="Times New Roman"/>
                <w:noProof/>
                <w:color w:val="000000" w:themeColor="text1"/>
                <w:sz w:val="20"/>
                <w:szCs w:val="20"/>
              </w:rPr>
            </w:pPr>
            <w:r>
              <w:rPr>
                <w:rFonts w:ascii="Times New Roman" w:hAnsi="Times New Roman"/>
                <w:noProof/>
                <w:sz w:val="20"/>
              </w:rPr>
              <w:t>(2)</w:t>
            </w:r>
          </w:p>
          <w:p w14:paraId="3604B0B7" w14:textId="42AC2A3C" w:rsidR="337A4174" w:rsidRPr="006A6461" w:rsidRDefault="337A4174" w:rsidP="337A4174">
            <w:pPr>
              <w:jc w:val="center"/>
              <w:rPr>
                <w:rFonts w:ascii="Times New Roman" w:hAnsi="Times New Roman" w:cs="Times New Roman"/>
                <w:noProof/>
                <w:sz w:val="20"/>
                <w:szCs w:val="20"/>
              </w:rPr>
            </w:pPr>
          </w:p>
        </w:tc>
        <w:tc>
          <w:tcPr>
            <w:tcW w:w="1577" w:type="dxa"/>
            <w:tcBorders>
              <w:top w:val="nil"/>
              <w:left w:val="nil"/>
              <w:bottom w:val="single" w:sz="4" w:space="0" w:color="auto"/>
              <w:right w:val="single" w:sz="4" w:space="0" w:color="auto"/>
            </w:tcBorders>
            <w:shd w:val="clear" w:color="auto" w:fill="FFFFFF" w:themeFill="background1"/>
          </w:tcPr>
          <w:p w14:paraId="45E13145" w14:textId="07B66E22" w:rsidR="337A4174" w:rsidRPr="006A6461" w:rsidRDefault="337A4174" w:rsidP="337A4174">
            <w:pPr>
              <w:spacing w:after="120"/>
              <w:jc w:val="center"/>
              <w:rPr>
                <w:rFonts w:ascii="Times New Roman" w:hAnsi="Times New Roman" w:cs="Times New Roman"/>
                <w:noProof/>
                <w:color w:val="000000" w:themeColor="text1"/>
                <w:sz w:val="20"/>
                <w:szCs w:val="20"/>
              </w:rPr>
            </w:pPr>
            <w:r>
              <w:rPr>
                <w:rFonts w:ascii="Times New Roman" w:hAnsi="Times New Roman"/>
                <w:noProof/>
                <w:sz w:val="20"/>
              </w:rPr>
              <w:t>(3)</w:t>
            </w:r>
          </w:p>
        </w:tc>
        <w:tc>
          <w:tcPr>
            <w:tcW w:w="1605" w:type="dxa"/>
            <w:tcBorders>
              <w:top w:val="nil"/>
              <w:left w:val="nil"/>
              <w:bottom w:val="single" w:sz="4" w:space="0" w:color="auto"/>
              <w:right w:val="single" w:sz="4" w:space="0" w:color="auto"/>
            </w:tcBorders>
            <w:shd w:val="clear" w:color="auto" w:fill="FFFFFF" w:themeFill="background1"/>
            <w:noWrap/>
            <w:hideMark/>
          </w:tcPr>
          <w:p w14:paraId="3FFE5473" w14:textId="7CABBF34" w:rsidR="008B73C0" w:rsidRPr="006A6461" w:rsidRDefault="20D15441" w:rsidP="008B73C0">
            <w:pPr>
              <w:spacing w:after="120"/>
              <w:jc w:val="center"/>
              <w:rPr>
                <w:rFonts w:ascii="Times New Roman" w:hAnsi="Times New Roman" w:cs="Times New Roman"/>
                <w:noProof/>
                <w:color w:val="000000"/>
                <w:sz w:val="20"/>
                <w:szCs w:val="20"/>
              </w:rPr>
            </w:pPr>
            <w:r>
              <w:rPr>
                <w:rFonts w:ascii="Times New Roman" w:hAnsi="Times New Roman"/>
                <w:noProof/>
                <w:sz w:val="20"/>
              </w:rPr>
              <w:t>(4)</w:t>
            </w:r>
          </w:p>
        </w:tc>
        <w:tc>
          <w:tcPr>
            <w:tcW w:w="1635" w:type="dxa"/>
            <w:tcBorders>
              <w:top w:val="nil"/>
              <w:left w:val="nil"/>
              <w:bottom w:val="single" w:sz="4" w:space="0" w:color="auto"/>
              <w:right w:val="single" w:sz="4" w:space="0" w:color="auto"/>
            </w:tcBorders>
            <w:shd w:val="clear" w:color="auto" w:fill="FFFFFF" w:themeFill="background1"/>
            <w:noWrap/>
            <w:hideMark/>
          </w:tcPr>
          <w:p w14:paraId="1AFA8922" w14:textId="63D31836" w:rsidR="008B73C0" w:rsidRPr="006A6461" w:rsidRDefault="20D15441" w:rsidP="008B73C0">
            <w:pPr>
              <w:spacing w:after="120"/>
              <w:jc w:val="center"/>
              <w:rPr>
                <w:rFonts w:ascii="Times New Roman" w:hAnsi="Times New Roman" w:cs="Times New Roman"/>
                <w:noProof/>
                <w:color w:val="000000"/>
                <w:sz w:val="20"/>
                <w:szCs w:val="20"/>
              </w:rPr>
            </w:pPr>
            <w:r>
              <w:rPr>
                <w:rFonts w:ascii="Times New Roman" w:hAnsi="Times New Roman"/>
                <w:noProof/>
                <w:sz w:val="20"/>
              </w:rPr>
              <w:t>(5)</w:t>
            </w:r>
          </w:p>
        </w:tc>
      </w:tr>
      <w:tr w:rsidR="0053464B" w:rsidRPr="006A6461" w14:paraId="5C5D46B1" w14:textId="77777777" w:rsidTr="00311C9F">
        <w:trPr>
          <w:trHeight w:val="300"/>
          <w:jc w:val="center"/>
        </w:trPr>
        <w:tc>
          <w:tcPr>
            <w:tcW w:w="1248" w:type="dxa"/>
            <w:tcBorders>
              <w:top w:val="nil"/>
              <w:left w:val="single" w:sz="4" w:space="0" w:color="auto"/>
              <w:bottom w:val="nil"/>
              <w:right w:val="single" w:sz="4" w:space="0" w:color="auto"/>
            </w:tcBorders>
            <w:shd w:val="clear" w:color="auto" w:fill="FFFFFF" w:themeFill="background1"/>
            <w:noWrap/>
            <w:vAlign w:val="bottom"/>
            <w:hideMark/>
          </w:tcPr>
          <w:p w14:paraId="765FCFFB" w14:textId="77777777" w:rsidR="0053464B" w:rsidRPr="006A6461" w:rsidRDefault="0053464B" w:rsidP="0053464B">
            <w:pPr>
              <w:spacing w:after="120"/>
              <w:rPr>
                <w:rFonts w:ascii="Times New Roman" w:hAnsi="Times New Roman" w:cs="Times New Roman"/>
                <w:b/>
                <w:bCs/>
                <w:noProof/>
                <w:color w:val="000000"/>
                <w:sz w:val="20"/>
                <w:szCs w:val="20"/>
              </w:rPr>
            </w:pPr>
            <w:r>
              <w:rPr>
                <w:rFonts w:ascii="Times New Roman" w:hAnsi="Times New Roman"/>
                <w:b/>
                <w:noProof/>
                <w:color w:val="000000"/>
                <w:sz w:val="20"/>
              </w:rPr>
              <w:t>BE</w:t>
            </w:r>
          </w:p>
        </w:tc>
        <w:tc>
          <w:tcPr>
            <w:tcW w:w="1665" w:type="dxa"/>
            <w:tcBorders>
              <w:top w:val="single" w:sz="4" w:space="0" w:color="auto"/>
              <w:left w:val="nil"/>
              <w:bottom w:val="nil"/>
              <w:right w:val="single" w:sz="4" w:space="0" w:color="auto"/>
            </w:tcBorders>
            <w:shd w:val="clear" w:color="auto" w:fill="FFFFFF" w:themeFill="background1"/>
            <w:noWrap/>
          </w:tcPr>
          <w:p w14:paraId="492BA28E" w14:textId="2DFA040B"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6 235,0</w:t>
            </w:r>
          </w:p>
        </w:tc>
        <w:tc>
          <w:tcPr>
            <w:tcW w:w="1724" w:type="dxa"/>
            <w:tcBorders>
              <w:top w:val="single" w:sz="4" w:space="0" w:color="auto"/>
              <w:left w:val="nil"/>
              <w:bottom w:val="nil"/>
              <w:right w:val="single" w:sz="4" w:space="0" w:color="auto"/>
            </w:tcBorders>
            <w:shd w:val="clear" w:color="auto" w:fill="FFFFFF" w:themeFill="background1"/>
          </w:tcPr>
          <w:p w14:paraId="121DB1BC" w14:textId="6B79D3C3"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6 376,5</w:t>
            </w:r>
          </w:p>
        </w:tc>
        <w:tc>
          <w:tcPr>
            <w:tcW w:w="1577" w:type="dxa"/>
            <w:tcBorders>
              <w:top w:val="single" w:sz="4" w:space="0" w:color="auto"/>
              <w:left w:val="nil"/>
              <w:bottom w:val="nil"/>
              <w:right w:val="single" w:sz="4" w:space="0" w:color="auto"/>
            </w:tcBorders>
            <w:shd w:val="clear" w:color="auto" w:fill="FFFFFF" w:themeFill="background1"/>
          </w:tcPr>
          <w:p w14:paraId="46D6C093" w14:textId="3BBDE1C4"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6 376,6</w:t>
            </w:r>
          </w:p>
        </w:tc>
        <w:tc>
          <w:tcPr>
            <w:tcW w:w="1605" w:type="dxa"/>
            <w:tcBorders>
              <w:top w:val="single" w:sz="4" w:space="0" w:color="auto"/>
              <w:left w:val="nil"/>
              <w:bottom w:val="nil"/>
              <w:right w:val="single" w:sz="4" w:space="0" w:color="auto"/>
            </w:tcBorders>
            <w:shd w:val="clear" w:color="auto" w:fill="FFFFFF" w:themeFill="background1"/>
            <w:noWrap/>
          </w:tcPr>
          <w:p w14:paraId="49521642" w14:textId="7E8AF4D7"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6 355,0</w:t>
            </w:r>
          </w:p>
        </w:tc>
        <w:tc>
          <w:tcPr>
            <w:tcW w:w="1635" w:type="dxa"/>
            <w:tcBorders>
              <w:top w:val="single" w:sz="4" w:space="0" w:color="auto"/>
              <w:left w:val="nil"/>
              <w:bottom w:val="nil"/>
              <w:right w:val="single" w:sz="4" w:space="0" w:color="auto"/>
            </w:tcBorders>
            <w:shd w:val="clear" w:color="auto" w:fill="FFFFFF" w:themeFill="background1"/>
            <w:noWrap/>
          </w:tcPr>
          <w:p w14:paraId="60BFD64B" w14:textId="7969D1B6" w:rsidR="0053464B" w:rsidRPr="0053464B" w:rsidRDefault="0053464B" w:rsidP="0053464B">
            <w:pPr>
              <w:spacing w:after="0"/>
              <w:jc w:val="right"/>
              <w:rPr>
                <w:rFonts w:ascii="Times New Roman" w:eastAsia="Times New Roman" w:hAnsi="Times New Roman" w:cs="Times New Roman"/>
                <w:noProof/>
                <w:sz w:val="20"/>
                <w:szCs w:val="20"/>
                <w:highlight w:val="yellow"/>
              </w:rPr>
            </w:pPr>
            <w:r>
              <w:rPr>
                <w:rFonts w:ascii="Times New Roman" w:hAnsi="Times New Roman"/>
                <w:noProof/>
                <w:sz w:val="20"/>
              </w:rPr>
              <w:t>6 495,0</w:t>
            </w:r>
          </w:p>
        </w:tc>
      </w:tr>
      <w:tr w:rsidR="0053464B" w:rsidRPr="006A6461" w14:paraId="4CADAB79" w14:textId="77777777" w:rsidTr="00311C9F">
        <w:trPr>
          <w:trHeight w:val="300"/>
          <w:jc w:val="center"/>
        </w:trPr>
        <w:tc>
          <w:tcPr>
            <w:tcW w:w="1248" w:type="dxa"/>
            <w:tcBorders>
              <w:top w:val="nil"/>
              <w:left w:val="single" w:sz="4" w:space="0" w:color="auto"/>
              <w:bottom w:val="nil"/>
              <w:right w:val="single" w:sz="4" w:space="0" w:color="auto"/>
            </w:tcBorders>
            <w:shd w:val="clear" w:color="auto" w:fill="FFFFFF" w:themeFill="background1"/>
            <w:noWrap/>
            <w:vAlign w:val="bottom"/>
            <w:hideMark/>
          </w:tcPr>
          <w:p w14:paraId="016DEE4A" w14:textId="77777777" w:rsidR="0053464B" w:rsidRPr="006A6461" w:rsidRDefault="0053464B" w:rsidP="0053464B">
            <w:pPr>
              <w:spacing w:after="120"/>
              <w:rPr>
                <w:rFonts w:ascii="Times New Roman" w:hAnsi="Times New Roman" w:cs="Times New Roman"/>
                <w:b/>
                <w:bCs/>
                <w:noProof/>
                <w:color w:val="000000"/>
                <w:sz w:val="20"/>
                <w:szCs w:val="20"/>
              </w:rPr>
            </w:pPr>
            <w:r>
              <w:rPr>
                <w:rFonts w:ascii="Times New Roman" w:hAnsi="Times New Roman"/>
                <w:b/>
                <w:noProof/>
                <w:color w:val="000000"/>
                <w:sz w:val="20"/>
              </w:rPr>
              <w:t>BG</w:t>
            </w:r>
          </w:p>
        </w:tc>
        <w:tc>
          <w:tcPr>
            <w:tcW w:w="1665" w:type="dxa"/>
            <w:tcBorders>
              <w:top w:val="nil"/>
              <w:left w:val="nil"/>
              <w:bottom w:val="nil"/>
              <w:right w:val="single" w:sz="4" w:space="0" w:color="auto"/>
            </w:tcBorders>
            <w:shd w:val="clear" w:color="auto" w:fill="FFFFFF" w:themeFill="background1"/>
            <w:noWrap/>
          </w:tcPr>
          <w:p w14:paraId="2332D897" w14:textId="77F61A63"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867,5</w:t>
            </w:r>
          </w:p>
        </w:tc>
        <w:tc>
          <w:tcPr>
            <w:tcW w:w="1724" w:type="dxa"/>
            <w:tcBorders>
              <w:top w:val="nil"/>
              <w:left w:val="nil"/>
              <w:bottom w:val="nil"/>
              <w:right w:val="single" w:sz="4" w:space="0" w:color="auto"/>
            </w:tcBorders>
            <w:shd w:val="clear" w:color="auto" w:fill="FFFFFF" w:themeFill="background1"/>
          </w:tcPr>
          <w:p w14:paraId="292F13EA" w14:textId="375F32E3"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890,6</w:t>
            </w:r>
          </w:p>
        </w:tc>
        <w:tc>
          <w:tcPr>
            <w:tcW w:w="1577" w:type="dxa"/>
            <w:tcBorders>
              <w:top w:val="nil"/>
              <w:left w:val="nil"/>
              <w:bottom w:val="nil"/>
              <w:right w:val="single" w:sz="4" w:space="0" w:color="auto"/>
            </w:tcBorders>
            <w:shd w:val="clear" w:color="auto" w:fill="FFFFFF" w:themeFill="background1"/>
          </w:tcPr>
          <w:p w14:paraId="4C0E5CD0" w14:textId="5A301018"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890,6</w:t>
            </w:r>
          </w:p>
        </w:tc>
        <w:tc>
          <w:tcPr>
            <w:tcW w:w="1605" w:type="dxa"/>
            <w:tcBorders>
              <w:top w:val="nil"/>
              <w:left w:val="nil"/>
              <w:bottom w:val="nil"/>
              <w:right w:val="single" w:sz="4" w:space="0" w:color="auto"/>
            </w:tcBorders>
            <w:shd w:val="clear" w:color="auto" w:fill="FFFFFF" w:themeFill="background1"/>
            <w:noWrap/>
          </w:tcPr>
          <w:p w14:paraId="4AA631CF" w14:textId="00E65C90"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887,1</w:t>
            </w:r>
          </w:p>
        </w:tc>
        <w:tc>
          <w:tcPr>
            <w:tcW w:w="1635" w:type="dxa"/>
            <w:tcBorders>
              <w:top w:val="nil"/>
              <w:left w:val="nil"/>
              <w:bottom w:val="nil"/>
              <w:right w:val="single" w:sz="4" w:space="0" w:color="auto"/>
            </w:tcBorders>
            <w:shd w:val="clear" w:color="auto" w:fill="FFFFFF" w:themeFill="background1"/>
            <w:noWrap/>
          </w:tcPr>
          <w:p w14:paraId="0F069BB7" w14:textId="0C045853" w:rsidR="0053464B" w:rsidRPr="0053464B" w:rsidRDefault="0053464B" w:rsidP="0053464B">
            <w:pPr>
              <w:spacing w:after="0"/>
              <w:jc w:val="right"/>
              <w:rPr>
                <w:rFonts w:ascii="Times New Roman" w:eastAsia="Times New Roman" w:hAnsi="Times New Roman" w:cs="Times New Roman"/>
                <w:noProof/>
                <w:sz w:val="20"/>
                <w:szCs w:val="20"/>
                <w:highlight w:val="yellow"/>
              </w:rPr>
            </w:pPr>
            <w:r>
              <w:rPr>
                <w:rFonts w:ascii="Times New Roman" w:hAnsi="Times New Roman"/>
                <w:noProof/>
                <w:sz w:val="20"/>
              </w:rPr>
              <w:t>856,6</w:t>
            </w:r>
          </w:p>
        </w:tc>
      </w:tr>
      <w:tr w:rsidR="0053464B" w:rsidRPr="006A6461" w14:paraId="2F7E9C25" w14:textId="77777777" w:rsidTr="00311C9F">
        <w:trPr>
          <w:trHeight w:val="300"/>
          <w:jc w:val="center"/>
        </w:trPr>
        <w:tc>
          <w:tcPr>
            <w:tcW w:w="1248" w:type="dxa"/>
            <w:tcBorders>
              <w:top w:val="nil"/>
              <w:left w:val="single" w:sz="4" w:space="0" w:color="auto"/>
              <w:bottom w:val="nil"/>
              <w:right w:val="single" w:sz="4" w:space="0" w:color="auto"/>
            </w:tcBorders>
            <w:shd w:val="clear" w:color="auto" w:fill="FFFFFF" w:themeFill="background1"/>
            <w:noWrap/>
            <w:vAlign w:val="bottom"/>
            <w:hideMark/>
          </w:tcPr>
          <w:p w14:paraId="3D980E5C" w14:textId="77777777" w:rsidR="0053464B" w:rsidRPr="006A6461" w:rsidRDefault="0053464B" w:rsidP="0053464B">
            <w:pPr>
              <w:spacing w:after="120"/>
              <w:rPr>
                <w:rFonts w:ascii="Times New Roman" w:hAnsi="Times New Roman" w:cs="Times New Roman"/>
                <w:b/>
                <w:bCs/>
                <w:noProof/>
                <w:color w:val="000000"/>
                <w:sz w:val="20"/>
                <w:szCs w:val="20"/>
              </w:rPr>
            </w:pPr>
            <w:r>
              <w:rPr>
                <w:rFonts w:ascii="Times New Roman" w:hAnsi="Times New Roman"/>
                <w:b/>
                <w:noProof/>
                <w:color w:val="000000"/>
                <w:sz w:val="20"/>
              </w:rPr>
              <w:t>CZ</w:t>
            </w:r>
          </w:p>
        </w:tc>
        <w:tc>
          <w:tcPr>
            <w:tcW w:w="1665" w:type="dxa"/>
            <w:tcBorders>
              <w:top w:val="nil"/>
              <w:left w:val="nil"/>
              <w:bottom w:val="nil"/>
              <w:right w:val="single" w:sz="4" w:space="0" w:color="auto"/>
            </w:tcBorders>
            <w:shd w:val="clear" w:color="auto" w:fill="FFFFFF" w:themeFill="background1"/>
            <w:noWrap/>
          </w:tcPr>
          <w:p w14:paraId="4F12A09A" w14:textId="33DBE23E"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2 670,4</w:t>
            </w:r>
          </w:p>
        </w:tc>
        <w:tc>
          <w:tcPr>
            <w:tcW w:w="1724" w:type="dxa"/>
            <w:tcBorders>
              <w:top w:val="nil"/>
              <w:left w:val="nil"/>
              <w:bottom w:val="nil"/>
              <w:right w:val="single" w:sz="4" w:space="0" w:color="auto"/>
            </w:tcBorders>
            <w:shd w:val="clear" w:color="auto" w:fill="FFFFFF" w:themeFill="background1"/>
          </w:tcPr>
          <w:p w14:paraId="6C792A43" w14:textId="15833D17"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2 747,6</w:t>
            </w:r>
          </w:p>
        </w:tc>
        <w:tc>
          <w:tcPr>
            <w:tcW w:w="1577" w:type="dxa"/>
            <w:tcBorders>
              <w:top w:val="nil"/>
              <w:left w:val="nil"/>
              <w:bottom w:val="nil"/>
              <w:right w:val="single" w:sz="4" w:space="0" w:color="auto"/>
            </w:tcBorders>
            <w:shd w:val="clear" w:color="auto" w:fill="FFFFFF" w:themeFill="background1"/>
          </w:tcPr>
          <w:p w14:paraId="761E7860" w14:textId="66CB69A7"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2 747,7</w:t>
            </w:r>
          </w:p>
        </w:tc>
        <w:tc>
          <w:tcPr>
            <w:tcW w:w="1605" w:type="dxa"/>
            <w:tcBorders>
              <w:top w:val="nil"/>
              <w:left w:val="nil"/>
              <w:bottom w:val="nil"/>
              <w:right w:val="single" w:sz="4" w:space="0" w:color="auto"/>
            </w:tcBorders>
            <w:shd w:val="clear" w:color="auto" w:fill="FFFFFF" w:themeFill="background1"/>
            <w:noWrap/>
          </w:tcPr>
          <w:p w14:paraId="0EDEBC0F" w14:textId="24A124C1"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2 735,9</w:t>
            </w:r>
          </w:p>
        </w:tc>
        <w:tc>
          <w:tcPr>
            <w:tcW w:w="1635" w:type="dxa"/>
            <w:tcBorders>
              <w:top w:val="nil"/>
              <w:left w:val="nil"/>
              <w:bottom w:val="nil"/>
              <w:right w:val="single" w:sz="4" w:space="0" w:color="auto"/>
            </w:tcBorders>
            <w:shd w:val="clear" w:color="auto" w:fill="FFFFFF" w:themeFill="background1"/>
            <w:noWrap/>
          </w:tcPr>
          <w:p w14:paraId="4098A37C" w14:textId="7B9670C4" w:rsidR="0053464B" w:rsidRPr="0053464B" w:rsidRDefault="0053464B" w:rsidP="0053464B">
            <w:pPr>
              <w:spacing w:after="0"/>
              <w:jc w:val="right"/>
              <w:rPr>
                <w:rFonts w:ascii="Times New Roman" w:eastAsia="Times New Roman" w:hAnsi="Times New Roman" w:cs="Times New Roman"/>
                <w:noProof/>
                <w:sz w:val="20"/>
                <w:szCs w:val="20"/>
                <w:highlight w:val="yellow"/>
              </w:rPr>
            </w:pPr>
            <w:r>
              <w:rPr>
                <w:rFonts w:ascii="Times New Roman" w:hAnsi="Times New Roman"/>
                <w:noProof/>
                <w:sz w:val="20"/>
              </w:rPr>
              <w:t>2 564,8</w:t>
            </w:r>
          </w:p>
        </w:tc>
      </w:tr>
      <w:tr w:rsidR="0053464B" w:rsidRPr="006A6461" w14:paraId="0D56792F" w14:textId="77777777" w:rsidTr="00311C9F">
        <w:trPr>
          <w:trHeight w:val="300"/>
          <w:jc w:val="center"/>
        </w:trPr>
        <w:tc>
          <w:tcPr>
            <w:tcW w:w="1248" w:type="dxa"/>
            <w:tcBorders>
              <w:top w:val="nil"/>
              <w:left w:val="single" w:sz="4" w:space="0" w:color="auto"/>
              <w:bottom w:val="nil"/>
              <w:right w:val="single" w:sz="4" w:space="0" w:color="auto"/>
            </w:tcBorders>
            <w:shd w:val="clear" w:color="auto" w:fill="FFFFFF" w:themeFill="background1"/>
            <w:noWrap/>
            <w:vAlign w:val="bottom"/>
            <w:hideMark/>
          </w:tcPr>
          <w:p w14:paraId="2738F123" w14:textId="77777777" w:rsidR="0053464B" w:rsidRPr="006A6461" w:rsidRDefault="0053464B" w:rsidP="0053464B">
            <w:pPr>
              <w:spacing w:after="120"/>
              <w:rPr>
                <w:rFonts w:ascii="Times New Roman" w:hAnsi="Times New Roman" w:cs="Times New Roman"/>
                <w:b/>
                <w:bCs/>
                <w:noProof/>
                <w:color w:val="000000"/>
                <w:sz w:val="20"/>
                <w:szCs w:val="20"/>
              </w:rPr>
            </w:pPr>
            <w:r>
              <w:rPr>
                <w:rFonts w:ascii="Times New Roman" w:hAnsi="Times New Roman"/>
                <w:b/>
                <w:noProof/>
                <w:color w:val="000000"/>
                <w:sz w:val="20"/>
              </w:rPr>
              <w:t>DK</w:t>
            </w:r>
          </w:p>
        </w:tc>
        <w:tc>
          <w:tcPr>
            <w:tcW w:w="1665" w:type="dxa"/>
            <w:tcBorders>
              <w:top w:val="nil"/>
              <w:left w:val="nil"/>
              <w:bottom w:val="nil"/>
              <w:right w:val="single" w:sz="4" w:space="0" w:color="auto"/>
            </w:tcBorders>
            <w:shd w:val="clear" w:color="auto" w:fill="FFFFFF" w:themeFill="background1"/>
            <w:noWrap/>
          </w:tcPr>
          <w:p w14:paraId="0E25E0AB" w14:textId="4003565A"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2 692,7</w:t>
            </w:r>
          </w:p>
        </w:tc>
        <w:tc>
          <w:tcPr>
            <w:tcW w:w="1724" w:type="dxa"/>
            <w:tcBorders>
              <w:top w:val="nil"/>
              <w:left w:val="nil"/>
              <w:bottom w:val="nil"/>
              <w:right w:val="single" w:sz="4" w:space="0" w:color="auto"/>
            </w:tcBorders>
            <w:shd w:val="clear" w:color="auto" w:fill="FFFFFF" w:themeFill="background1"/>
          </w:tcPr>
          <w:p w14:paraId="7006DD0C" w14:textId="5B148BB1"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2 786,8</w:t>
            </w:r>
          </w:p>
        </w:tc>
        <w:tc>
          <w:tcPr>
            <w:tcW w:w="1577" w:type="dxa"/>
            <w:tcBorders>
              <w:top w:val="nil"/>
              <w:left w:val="nil"/>
              <w:bottom w:val="nil"/>
              <w:right w:val="single" w:sz="4" w:space="0" w:color="auto"/>
            </w:tcBorders>
            <w:shd w:val="clear" w:color="auto" w:fill="FFFFFF" w:themeFill="background1"/>
          </w:tcPr>
          <w:p w14:paraId="38BFC8F9" w14:textId="3E3FECB4"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2 786,9</w:t>
            </w:r>
          </w:p>
        </w:tc>
        <w:tc>
          <w:tcPr>
            <w:tcW w:w="1605" w:type="dxa"/>
            <w:tcBorders>
              <w:top w:val="nil"/>
              <w:left w:val="nil"/>
              <w:bottom w:val="nil"/>
              <w:right w:val="single" w:sz="4" w:space="0" w:color="auto"/>
            </w:tcBorders>
            <w:shd w:val="clear" w:color="auto" w:fill="FFFFFF" w:themeFill="background1"/>
            <w:noWrap/>
          </w:tcPr>
          <w:p w14:paraId="4DDCA81D" w14:textId="35688258"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2 772,5</w:t>
            </w:r>
          </w:p>
        </w:tc>
        <w:tc>
          <w:tcPr>
            <w:tcW w:w="1635" w:type="dxa"/>
            <w:tcBorders>
              <w:top w:val="nil"/>
              <w:left w:val="nil"/>
              <w:bottom w:val="nil"/>
              <w:right w:val="single" w:sz="4" w:space="0" w:color="auto"/>
            </w:tcBorders>
            <w:shd w:val="clear" w:color="auto" w:fill="FFFFFF" w:themeFill="background1"/>
            <w:noWrap/>
          </w:tcPr>
          <w:p w14:paraId="58499C23" w14:textId="729A745C" w:rsidR="0053464B" w:rsidRPr="0053464B" w:rsidRDefault="0053464B" w:rsidP="0053464B">
            <w:pPr>
              <w:spacing w:after="0"/>
              <w:jc w:val="right"/>
              <w:rPr>
                <w:rFonts w:ascii="Times New Roman" w:eastAsia="Times New Roman" w:hAnsi="Times New Roman" w:cs="Times New Roman"/>
                <w:noProof/>
                <w:sz w:val="20"/>
                <w:szCs w:val="20"/>
                <w:highlight w:val="yellow"/>
              </w:rPr>
            </w:pPr>
            <w:r>
              <w:rPr>
                <w:rFonts w:ascii="Times New Roman" w:hAnsi="Times New Roman"/>
                <w:noProof/>
                <w:sz w:val="20"/>
              </w:rPr>
              <w:t>2 743,5</w:t>
            </w:r>
          </w:p>
        </w:tc>
      </w:tr>
      <w:tr w:rsidR="0053464B" w:rsidRPr="006A6461" w14:paraId="5C03BCC0" w14:textId="77777777" w:rsidTr="00311C9F">
        <w:trPr>
          <w:trHeight w:val="300"/>
          <w:jc w:val="center"/>
        </w:trPr>
        <w:tc>
          <w:tcPr>
            <w:tcW w:w="1248" w:type="dxa"/>
            <w:tcBorders>
              <w:top w:val="nil"/>
              <w:left w:val="single" w:sz="4" w:space="0" w:color="auto"/>
              <w:bottom w:val="nil"/>
              <w:right w:val="single" w:sz="4" w:space="0" w:color="auto"/>
            </w:tcBorders>
            <w:shd w:val="clear" w:color="auto" w:fill="FFFFFF" w:themeFill="background1"/>
            <w:noWrap/>
            <w:vAlign w:val="bottom"/>
            <w:hideMark/>
          </w:tcPr>
          <w:p w14:paraId="4973B5CC" w14:textId="77777777" w:rsidR="0053464B" w:rsidRPr="006A6461" w:rsidRDefault="0053464B" w:rsidP="0053464B">
            <w:pPr>
              <w:spacing w:after="120"/>
              <w:rPr>
                <w:rFonts w:ascii="Times New Roman" w:hAnsi="Times New Roman" w:cs="Times New Roman"/>
                <w:b/>
                <w:bCs/>
                <w:noProof/>
                <w:color w:val="000000"/>
                <w:sz w:val="20"/>
                <w:szCs w:val="20"/>
              </w:rPr>
            </w:pPr>
            <w:r>
              <w:rPr>
                <w:rFonts w:ascii="Times New Roman" w:hAnsi="Times New Roman"/>
                <w:b/>
                <w:noProof/>
                <w:color w:val="000000"/>
                <w:sz w:val="20"/>
              </w:rPr>
              <w:t>DE</w:t>
            </w:r>
          </w:p>
        </w:tc>
        <w:tc>
          <w:tcPr>
            <w:tcW w:w="1665" w:type="dxa"/>
            <w:tcBorders>
              <w:top w:val="nil"/>
              <w:left w:val="nil"/>
              <w:bottom w:val="nil"/>
              <w:right w:val="single" w:sz="4" w:space="0" w:color="auto"/>
            </w:tcBorders>
            <w:shd w:val="clear" w:color="auto" w:fill="FFFFFF" w:themeFill="background1"/>
            <w:noWrap/>
          </w:tcPr>
          <w:p w14:paraId="0F807356" w14:textId="63616C01"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30 152,4</w:t>
            </w:r>
          </w:p>
        </w:tc>
        <w:tc>
          <w:tcPr>
            <w:tcW w:w="1724" w:type="dxa"/>
            <w:tcBorders>
              <w:top w:val="nil"/>
              <w:left w:val="nil"/>
              <w:bottom w:val="nil"/>
              <w:right w:val="single" w:sz="4" w:space="0" w:color="auto"/>
            </w:tcBorders>
            <w:shd w:val="clear" w:color="auto" w:fill="FFFFFF" w:themeFill="background1"/>
          </w:tcPr>
          <w:p w14:paraId="4486C4DC" w14:textId="2B793CE1"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31 185,0</w:t>
            </w:r>
          </w:p>
        </w:tc>
        <w:tc>
          <w:tcPr>
            <w:tcW w:w="1577" w:type="dxa"/>
            <w:tcBorders>
              <w:top w:val="nil"/>
              <w:left w:val="nil"/>
              <w:bottom w:val="nil"/>
              <w:right w:val="single" w:sz="4" w:space="0" w:color="auto"/>
            </w:tcBorders>
            <w:shd w:val="clear" w:color="auto" w:fill="FFFFFF" w:themeFill="background1"/>
          </w:tcPr>
          <w:p w14:paraId="4F349BD1" w14:textId="65214766"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31 185,9</w:t>
            </w:r>
          </w:p>
        </w:tc>
        <w:tc>
          <w:tcPr>
            <w:tcW w:w="1605" w:type="dxa"/>
            <w:tcBorders>
              <w:top w:val="nil"/>
              <w:left w:val="nil"/>
              <w:bottom w:val="nil"/>
              <w:right w:val="single" w:sz="4" w:space="0" w:color="auto"/>
            </w:tcBorders>
            <w:shd w:val="clear" w:color="auto" w:fill="FFFFFF" w:themeFill="background1"/>
            <w:noWrap/>
          </w:tcPr>
          <w:p w14:paraId="76E58A5A" w14:textId="48BCEEB8"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31 028,2</w:t>
            </w:r>
          </w:p>
        </w:tc>
        <w:tc>
          <w:tcPr>
            <w:tcW w:w="1635" w:type="dxa"/>
            <w:tcBorders>
              <w:top w:val="nil"/>
              <w:left w:val="nil"/>
              <w:bottom w:val="nil"/>
              <w:right w:val="single" w:sz="4" w:space="0" w:color="auto"/>
            </w:tcBorders>
            <w:shd w:val="clear" w:color="auto" w:fill="FFFFFF" w:themeFill="background1"/>
            <w:noWrap/>
          </w:tcPr>
          <w:p w14:paraId="33E855E1" w14:textId="7D95F7C8" w:rsidR="0053464B" w:rsidRPr="0053464B" w:rsidRDefault="0053464B" w:rsidP="0053464B">
            <w:pPr>
              <w:spacing w:after="0"/>
              <w:jc w:val="right"/>
              <w:rPr>
                <w:rFonts w:ascii="Times New Roman" w:eastAsia="Times New Roman" w:hAnsi="Times New Roman" w:cs="Times New Roman"/>
                <w:noProof/>
                <w:sz w:val="20"/>
                <w:szCs w:val="20"/>
                <w:highlight w:val="yellow"/>
              </w:rPr>
            </w:pPr>
            <w:r>
              <w:rPr>
                <w:rFonts w:ascii="Times New Roman" w:hAnsi="Times New Roman"/>
                <w:noProof/>
                <w:sz w:val="20"/>
              </w:rPr>
              <w:t>31 522,1</w:t>
            </w:r>
          </w:p>
        </w:tc>
      </w:tr>
      <w:tr w:rsidR="0053464B" w:rsidRPr="006A6461" w14:paraId="32E14ED0" w14:textId="77777777" w:rsidTr="00311C9F">
        <w:trPr>
          <w:trHeight w:val="300"/>
          <w:jc w:val="center"/>
        </w:trPr>
        <w:tc>
          <w:tcPr>
            <w:tcW w:w="1248" w:type="dxa"/>
            <w:tcBorders>
              <w:top w:val="nil"/>
              <w:left w:val="single" w:sz="4" w:space="0" w:color="auto"/>
              <w:bottom w:val="nil"/>
              <w:right w:val="single" w:sz="4" w:space="0" w:color="auto"/>
            </w:tcBorders>
            <w:shd w:val="clear" w:color="auto" w:fill="FFFFFF" w:themeFill="background1"/>
            <w:noWrap/>
            <w:vAlign w:val="bottom"/>
            <w:hideMark/>
          </w:tcPr>
          <w:p w14:paraId="166CFBA0" w14:textId="77777777" w:rsidR="0053464B" w:rsidRPr="006A6461" w:rsidRDefault="0053464B" w:rsidP="0053464B">
            <w:pPr>
              <w:spacing w:after="120"/>
              <w:rPr>
                <w:rFonts w:ascii="Times New Roman" w:hAnsi="Times New Roman" w:cs="Times New Roman"/>
                <w:b/>
                <w:bCs/>
                <w:noProof/>
                <w:color w:val="000000"/>
                <w:sz w:val="20"/>
                <w:szCs w:val="20"/>
              </w:rPr>
            </w:pPr>
            <w:r>
              <w:rPr>
                <w:rFonts w:ascii="Times New Roman" w:hAnsi="Times New Roman"/>
                <w:b/>
                <w:noProof/>
                <w:color w:val="000000"/>
                <w:sz w:val="20"/>
              </w:rPr>
              <w:t>EE</w:t>
            </w:r>
          </w:p>
        </w:tc>
        <w:tc>
          <w:tcPr>
            <w:tcW w:w="1665" w:type="dxa"/>
            <w:tcBorders>
              <w:top w:val="nil"/>
              <w:left w:val="nil"/>
              <w:bottom w:val="nil"/>
              <w:right w:val="single" w:sz="4" w:space="0" w:color="auto"/>
            </w:tcBorders>
            <w:shd w:val="clear" w:color="auto" w:fill="FFFFFF" w:themeFill="background1"/>
            <w:noWrap/>
          </w:tcPr>
          <w:p w14:paraId="741A8AE7" w14:textId="197415F4"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357,3</w:t>
            </w:r>
          </w:p>
        </w:tc>
        <w:tc>
          <w:tcPr>
            <w:tcW w:w="1724" w:type="dxa"/>
            <w:tcBorders>
              <w:top w:val="nil"/>
              <w:left w:val="nil"/>
              <w:bottom w:val="nil"/>
              <w:right w:val="single" w:sz="4" w:space="0" w:color="auto"/>
            </w:tcBorders>
            <w:shd w:val="clear" w:color="auto" w:fill="FFFFFF" w:themeFill="background1"/>
          </w:tcPr>
          <w:p w14:paraId="75886C59" w14:textId="003557C0"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366,9</w:t>
            </w:r>
          </w:p>
        </w:tc>
        <w:tc>
          <w:tcPr>
            <w:tcW w:w="1577" w:type="dxa"/>
            <w:tcBorders>
              <w:top w:val="nil"/>
              <w:left w:val="nil"/>
              <w:bottom w:val="nil"/>
              <w:right w:val="single" w:sz="4" w:space="0" w:color="auto"/>
            </w:tcBorders>
            <w:shd w:val="clear" w:color="auto" w:fill="FFFFFF" w:themeFill="background1"/>
          </w:tcPr>
          <w:p w14:paraId="4B227936" w14:textId="46FA0241"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366,9</w:t>
            </w:r>
          </w:p>
        </w:tc>
        <w:tc>
          <w:tcPr>
            <w:tcW w:w="1605" w:type="dxa"/>
            <w:tcBorders>
              <w:top w:val="nil"/>
              <w:left w:val="nil"/>
              <w:bottom w:val="nil"/>
              <w:right w:val="single" w:sz="4" w:space="0" w:color="auto"/>
            </w:tcBorders>
            <w:shd w:val="clear" w:color="auto" w:fill="FFFFFF" w:themeFill="background1"/>
            <w:noWrap/>
          </w:tcPr>
          <w:p w14:paraId="2C7EA9B6" w14:textId="76E4EA36"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365,5</w:t>
            </w:r>
          </w:p>
        </w:tc>
        <w:tc>
          <w:tcPr>
            <w:tcW w:w="1635" w:type="dxa"/>
            <w:tcBorders>
              <w:top w:val="nil"/>
              <w:left w:val="nil"/>
              <w:bottom w:val="nil"/>
              <w:right w:val="single" w:sz="4" w:space="0" w:color="auto"/>
            </w:tcBorders>
            <w:shd w:val="clear" w:color="auto" w:fill="FFFFFF" w:themeFill="background1"/>
            <w:noWrap/>
          </w:tcPr>
          <w:p w14:paraId="2123F1E5" w14:textId="0C96773F" w:rsidR="0053464B" w:rsidRPr="0053464B" w:rsidRDefault="0053464B" w:rsidP="0053464B">
            <w:pPr>
              <w:spacing w:after="0"/>
              <w:jc w:val="right"/>
              <w:rPr>
                <w:rFonts w:ascii="Times New Roman" w:eastAsia="Times New Roman" w:hAnsi="Times New Roman" w:cs="Times New Roman"/>
                <w:noProof/>
                <w:sz w:val="20"/>
                <w:szCs w:val="20"/>
                <w:highlight w:val="yellow"/>
              </w:rPr>
            </w:pPr>
            <w:r>
              <w:rPr>
                <w:rFonts w:ascii="Times New Roman" w:hAnsi="Times New Roman"/>
                <w:noProof/>
                <w:sz w:val="20"/>
              </w:rPr>
              <w:t>318,8</w:t>
            </w:r>
          </w:p>
        </w:tc>
      </w:tr>
      <w:tr w:rsidR="0053464B" w:rsidRPr="006A6461" w14:paraId="31C0932C" w14:textId="77777777" w:rsidTr="00311C9F">
        <w:trPr>
          <w:trHeight w:val="300"/>
          <w:jc w:val="center"/>
        </w:trPr>
        <w:tc>
          <w:tcPr>
            <w:tcW w:w="1248" w:type="dxa"/>
            <w:tcBorders>
              <w:top w:val="nil"/>
              <w:left w:val="single" w:sz="4" w:space="0" w:color="auto"/>
              <w:bottom w:val="nil"/>
              <w:right w:val="single" w:sz="4" w:space="0" w:color="auto"/>
            </w:tcBorders>
            <w:shd w:val="clear" w:color="auto" w:fill="FFFFFF" w:themeFill="background1"/>
            <w:noWrap/>
            <w:vAlign w:val="bottom"/>
            <w:hideMark/>
          </w:tcPr>
          <w:p w14:paraId="08994BAC" w14:textId="77777777" w:rsidR="0053464B" w:rsidRPr="006A6461" w:rsidRDefault="0053464B" w:rsidP="0053464B">
            <w:pPr>
              <w:spacing w:after="120"/>
              <w:rPr>
                <w:rFonts w:ascii="Times New Roman" w:hAnsi="Times New Roman" w:cs="Times New Roman"/>
                <w:b/>
                <w:bCs/>
                <w:noProof/>
                <w:color w:val="000000"/>
                <w:sz w:val="20"/>
                <w:szCs w:val="20"/>
              </w:rPr>
            </w:pPr>
            <w:r>
              <w:rPr>
                <w:rFonts w:ascii="Times New Roman" w:hAnsi="Times New Roman"/>
                <w:b/>
                <w:noProof/>
                <w:color w:val="000000"/>
                <w:sz w:val="20"/>
              </w:rPr>
              <w:t>IE</w:t>
            </w:r>
          </w:p>
        </w:tc>
        <w:tc>
          <w:tcPr>
            <w:tcW w:w="1665" w:type="dxa"/>
            <w:tcBorders>
              <w:top w:val="nil"/>
              <w:left w:val="nil"/>
              <w:bottom w:val="nil"/>
              <w:right w:val="single" w:sz="4" w:space="0" w:color="auto"/>
            </w:tcBorders>
            <w:shd w:val="clear" w:color="auto" w:fill="FFFFFF" w:themeFill="background1"/>
            <w:noWrap/>
          </w:tcPr>
          <w:p w14:paraId="10CA18F0" w14:textId="7808AA36"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3 329,8</w:t>
            </w:r>
          </w:p>
        </w:tc>
        <w:tc>
          <w:tcPr>
            <w:tcW w:w="1724" w:type="dxa"/>
            <w:tcBorders>
              <w:top w:val="nil"/>
              <w:left w:val="nil"/>
              <w:bottom w:val="nil"/>
              <w:right w:val="single" w:sz="4" w:space="0" w:color="auto"/>
            </w:tcBorders>
            <w:shd w:val="clear" w:color="auto" w:fill="FFFFFF" w:themeFill="background1"/>
          </w:tcPr>
          <w:p w14:paraId="2BFEEBFD" w14:textId="7F76E31B"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3 430,4</w:t>
            </w:r>
          </w:p>
        </w:tc>
        <w:tc>
          <w:tcPr>
            <w:tcW w:w="1577" w:type="dxa"/>
            <w:tcBorders>
              <w:top w:val="nil"/>
              <w:left w:val="nil"/>
              <w:bottom w:val="nil"/>
              <w:right w:val="single" w:sz="4" w:space="0" w:color="auto"/>
            </w:tcBorders>
            <w:shd w:val="clear" w:color="auto" w:fill="FFFFFF" w:themeFill="background1"/>
          </w:tcPr>
          <w:p w14:paraId="02B88814" w14:textId="0EF38F01"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3 430,5</w:t>
            </w:r>
          </w:p>
        </w:tc>
        <w:tc>
          <w:tcPr>
            <w:tcW w:w="1605" w:type="dxa"/>
            <w:tcBorders>
              <w:top w:val="nil"/>
              <w:left w:val="nil"/>
              <w:bottom w:val="nil"/>
              <w:right w:val="single" w:sz="4" w:space="0" w:color="auto"/>
            </w:tcBorders>
            <w:shd w:val="clear" w:color="auto" w:fill="FFFFFF" w:themeFill="background1"/>
            <w:noWrap/>
          </w:tcPr>
          <w:p w14:paraId="3213B10F" w14:textId="30C1C725"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3 415,1</w:t>
            </w:r>
          </w:p>
        </w:tc>
        <w:tc>
          <w:tcPr>
            <w:tcW w:w="1635" w:type="dxa"/>
            <w:tcBorders>
              <w:top w:val="nil"/>
              <w:left w:val="nil"/>
              <w:bottom w:val="nil"/>
              <w:right w:val="single" w:sz="4" w:space="0" w:color="auto"/>
            </w:tcBorders>
            <w:shd w:val="clear" w:color="auto" w:fill="FFFFFF" w:themeFill="background1"/>
            <w:noWrap/>
          </w:tcPr>
          <w:p w14:paraId="09732A21" w14:textId="6AACEE5F" w:rsidR="0053464B" w:rsidRPr="0053464B" w:rsidRDefault="0053464B" w:rsidP="0053464B">
            <w:pPr>
              <w:spacing w:after="0"/>
              <w:jc w:val="right"/>
              <w:rPr>
                <w:rFonts w:ascii="Times New Roman" w:eastAsia="Times New Roman" w:hAnsi="Times New Roman" w:cs="Times New Roman"/>
                <w:noProof/>
                <w:sz w:val="20"/>
                <w:szCs w:val="20"/>
                <w:highlight w:val="yellow"/>
              </w:rPr>
            </w:pPr>
            <w:r>
              <w:rPr>
                <w:rFonts w:ascii="Times New Roman" w:hAnsi="Times New Roman"/>
                <w:noProof/>
                <w:sz w:val="20"/>
              </w:rPr>
              <w:t>3 314,6</w:t>
            </w:r>
          </w:p>
        </w:tc>
      </w:tr>
      <w:tr w:rsidR="0053464B" w:rsidRPr="006A6461" w14:paraId="69B92249" w14:textId="77777777" w:rsidTr="00311C9F">
        <w:trPr>
          <w:trHeight w:val="300"/>
          <w:jc w:val="center"/>
        </w:trPr>
        <w:tc>
          <w:tcPr>
            <w:tcW w:w="1248" w:type="dxa"/>
            <w:tcBorders>
              <w:top w:val="nil"/>
              <w:left w:val="single" w:sz="4" w:space="0" w:color="auto"/>
              <w:bottom w:val="nil"/>
              <w:right w:val="single" w:sz="4" w:space="0" w:color="auto"/>
            </w:tcBorders>
            <w:shd w:val="clear" w:color="auto" w:fill="FFFFFF" w:themeFill="background1"/>
            <w:noWrap/>
            <w:vAlign w:val="bottom"/>
            <w:hideMark/>
          </w:tcPr>
          <w:p w14:paraId="43DABEE6" w14:textId="77777777" w:rsidR="0053464B" w:rsidRPr="006A6461" w:rsidRDefault="0053464B" w:rsidP="0053464B">
            <w:pPr>
              <w:spacing w:after="120"/>
              <w:rPr>
                <w:rFonts w:ascii="Times New Roman" w:hAnsi="Times New Roman" w:cs="Times New Roman"/>
                <w:b/>
                <w:bCs/>
                <w:noProof/>
                <w:color w:val="000000"/>
                <w:sz w:val="20"/>
                <w:szCs w:val="20"/>
              </w:rPr>
            </w:pPr>
            <w:r>
              <w:rPr>
                <w:rFonts w:ascii="Times New Roman" w:hAnsi="Times New Roman"/>
                <w:b/>
                <w:noProof/>
                <w:color w:val="000000"/>
                <w:sz w:val="20"/>
              </w:rPr>
              <w:t>EL</w:t>
            </w:r>
          </w:p>
        </w:tc>
        <w:tc>
          <w:tcPr>
            <w:tcW w:w="1665" w:type="dxa"/>
            <w:tcBorders>
              <w:top w:val="nil"/>
              <w:left w:val="nil"/>
              <w:bottom w:val="nil"/>
              <w:right w:val="single" w:sz="4" w:space="0" w:color="auto"/>
            </w:tcBorders>
            <w:shd w:val="clear" w:color="auto" w:fill="FFFFFF" w:themeFill="background1"/>
            <w:noWrap/>
          </w:tcPr>
          <w:p w14:paraId="61473CB3" w14:textId="7CBAACFD"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1 899,9</w:t>
            </w:r>
          </w:p>
        </w:tc>
        <w:tc>
          <w:tcPr>
            <w:tcW w:w="1724" w:type="dxa"/>
            <w:tcBorders>
              <w:top w:val="nil"/>
              <w:left w:val="nil"/>
              <w:bottom w:val="nil"/>
              <w:right w:val="single" w:sz="4" w:space="0" w:color="auto"/>
            </w:tcBorders>
            <w:shd w:val="clear" w:color="auto" w:fill="FFFFFF" w:themeFill="background1"/>
          </w:tcPr>
          <w:p w14:paraId="31D73625" w14:textId="208B6464"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1 954,5</w:t>
            </w:r>
          </w:p>
        </w:tc>
        <w:tc>
          <w:tcPr>
            <w:tcW w:w="1577" w:type="dxa"/>
            <w:tcBorders>
              <w:top w:val="nil"/>
              <w:left w:val="nil"/>
              <w:bottom w:val="nil"/>
              <w:right w:val="single" w:sz="4" w:space="0" w:color="auto"/>
            </w:tcBorders>
            <w:shd w:val="clear" w:color="auto" w:fill="FFFFFF" w:themeFill="background1"/>
          </w:tcPr>
          <w:p w14:paraId="23CF5321" w14:textId="1E971B2F"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1 954,6</w:t>
            </w:r>
          </w:p>
        </w:tc>
        <w:tc>
          <w:tcPr>
            <w:tcW w:w="1605" w:type="dxa"/>
            <w:tcBorders>
              <w:top w:val="nil"/>
              <w:left w:val="nil"/>
              <w:bottom w:val="nil"/>
              <w:right w:val="single" w:sz="4" w:space="0" w:color="auto"/>
            </w:tcBorders>
            <w:shd w:val="clear" w:color="auto" w:fill="FFFFFF" w:themeFill="background1"/>
            <w:noWrap/>
          </w:tcPr>
          <w:p w14:paraId="377ABEF5" w14:textId="25FA9F29"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1 946,2</w:t>
            </w:r>
          </w:p>
        </w:tc>
        <w:tc>
          <w:tcPr>
            <w:tcW w:w="1635" w:type="dxa"/>
            <w:tcBorders>
              <w:top w:val="nil"/>
              <w:left w:val="nil"/>
              <w:bottom w:val="nil"/>
              <w:right w:val="single" w:sz="4" w:space="0" w:color="auto"/>
            </w:tcBorders>
            <w:shd w:val="clear" w:color="auto" w:fill="FFFFFF" w:themeFill="background1"/>
            <w:noWrap/>
          </w:tcPr>
          <w:p w14:paraId="131BCF6A" w14:textId="0B360013" w:rsidR="0053464B" w:rsidRPr="0053464B" w:rsidRDefault="0053464B" w:rsidP="0053464B">
            <w:pPr>
              <w:spacing w:after="0"/>
              <w:jc w:val="right"/>
              <w:rPr>
                <w:rFonts w:ascii="Times New Roman" w:eastAsia="Times New Roman" w:hAnsi="Times New Roman" w:cs="Times New Roman"/>
                <w:noProof/>
                <w:sz w:val="20"/>
                <w:szCs w:val="20"/>
                <w:highlight w:val="yellow"/>
              </w:rPr>
            </w:pPr>
            <w:r>
              <w:rPr>
                <w:rFonts w:ascii="Times New Roman" w:hAnsi="Times New Roman"/>
                <w:noProof/>
                <w:sz w:val="20"/>
              </w:rPr>
              <w:t>1 924,2</w:t>
            </w:r>
          </w:p>
        </w:tc>
      </w:tr>
      <w:tr w:rsidR="0053464B" w:rsidRPr="006A6461" w14:paraId="223C891B" w14:textId="77777777" w:rsidTr="00311C9F">
        <w:trPr>
          <w:trHeight w:val="300"/>
          <w:jc w:val="center"/>
        </w:trPr>
        <w:tc>
          <w:tcPr>
            <w:tcW w:w="1248" w:type="dxa"/>
            <w:tcBorders>
              <w:top w:val="nil"/>
              <w:left w:val="single" w:sz="4" w:space="0" w:color="auto"/>
              <w:bottom w:val="nil"/>
              <w:right w:val="single" w:sz="4" w:space="0" w:color="auto"/>
            </w:tcBorders>
            <w:shd w:val="clear" w:color="auto" w:fill="FFFFFF" w:themeFill="background1"/>
            <w:noWrap/>
            <w:vAlign w:val="bottom"/>
            <w:hideMark/>
          </w:tcPr>
          <w:p w14:paraId="7E6536B6" w14:textId="77777777" w:rsidR="0053464B" w:rsidRPr="006A6461" w:rsidRDefault="0053464B" w:rsidP="0053464B">
            <w:pPr>
              <w:spacing w:after="120"/>
              <w:rPr>
                <w:rFonts w:ascii="Times New Roman" w:hAnsi="Times New Roman" w:cs="Times New Roman"/>
                <w:b/>
                <w:bCs/>
                <w:noProof/>
                <w:color w:val="000000"/>
                <w:sz w:val="20"/>
                <w:szCs w:val="20"/>
              </w:rPr>
            </w:pPr>
            <w:r>
              <w:rPr>
                <w:rFonts w:ascii="Times New Roman" w:hAnsi="Times New Roman"/>
                <w:b/>
                <w:noProof/>
                <w:color w:val="000000"/>
                <w:sz w:val="20"/>
              </w:rPr>
              <w:t>ES</w:t>
            </w:r>
          </w:p>
        </w:tc>
        <w:tc>
          <w:tcPr>
            <w:tcW w:w="1665" w:type="dxa"/>
            <w:tcBorders>
              <w:top w:val="nil"/>
              <w:left w:val="nil"/>
              <w:bottom w:val="nil"/>
              <w:right w:val="single" w:sz="4" w:space="0" w:color="auto"/>
            </w:tcBorders>
            <w:shd w:val="clear" w:color="auto" w:fill="FFFFFF" w:themeFill="background1"/>
            <w:noWrap/>
          </w:tcPr>
          <w:p w14:paraId="34514170" w14:textId="39E4FDE3"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12 632,3</w:t>
            </w:r>
          </w:p>
        </w:tc>
        <w:tc>
          <w:tcPr>
            <w:tcW w:w="1724" w:type="dxa"/>
            <w:tcBorders>
              <w:top w:val="nil"/>
              <w:left w:val="nil"/>
              <w:bottom w:val="nil"/>
              <w:right w:val="single" w:sz="4" w:space="0" w:color="auto"/>
            </w:tcBorders>
            <w:shd w:val="clear" w:color="auto" w:fill="FFFFFF" w:themeFill="background1"/>
          </w:tcPr>
          <w:p w14:paraId="397DCB07" w14:textId="20ECC702"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12 980,8</w:t>
            </w:r>
          </w:p>
        </w:tc>
        <w:tc>
          <w:tcPr>
            <w:tcW w:w="1577" w:type="dxa"/>
            <w:tcBorders>
              <w:top w:val="nil"/>
              <w:left w:val="nil"/>
              <w:bottom w:val="nil"/>
              <w:right w:val="single" w:sz="4" w:space="0" w:color="auto"/>
            </w:tcBorders>
            <w:shd w:val="clear" w:color="auto" w:fill="FFFFFF" w:themeFill="background1"/>
          </w:tcPr>
          <w:p w14:paraId="10A6C726" w14:textId="369B4D87"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12 981,1</w:t>
            </w:r>
          </w:p>
        </w:tc>
        <w:tc>
          <w:tcPr>
            <w:tcW w:w="1605" w:type="dxa"/>
            <w:tcBorders>
              <w:top w:val="nil"/>
              <w:left w:val="nil"/>
              <w:bottom w:val="nil"/>
              <w:right w:val="single" w:sz="4" w:space="0" w:color="auto"/>
            </w:tcBorders>
            <w:shd w:val="clear" w:color="auto" w:fill="FFFFFF" w:themeFill="background1"/>
            <w:noWrap/>
          </w:tcPr>
          <w:p w14:paraId="15FFB7AD" w14:textId="7EF9F78D"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12 927,9</w:t>
            </w:r>
          </w:p>
        </w:tc>
        <w:tc>
          <w:tcPr>
            <w:tcW w:w="1635" w:type="dxa"/>
            <w:tcBorders>
              <w:top w:val="nil"/>
              <w:left w:val="nil"/>
              <w:bottom w:val="nil"/>
              <w:right w:val="single" w:sz="4" w:space="0" w:color="auto"/>
            </w:tcBorders>
            <w:shd w:val="clear" w:color="auto" w:fill="FFFFFF" w:themeFill="background1"/>
            <w:noWrap/>
          </w:tcPr>
          <w:p w14:paraId="4F41C1E6" w14:textId="17E31C3E" w:rsidR="0053464B" w:rsidRPr="0053464B" w:rsidRDefault="0053464B" w:rsidP="0053464B">
            <w:pPr>
              <w:spacing w:after="0"/>
              <w:jc w:val="right"/>
              <w:rPr>
                <w:rFonts w:ascii="Times New Roman" w:eastAsia="Times New Roman" w:hAnsi="Times New Roman" w:cs="Times New Roman"/>
                <w:noProof/>
                <w:sz w:val="20"/>
                <w:szCs w:val="20"/>
                <w:highlight w:val="yellow"/>
              </w:rPr>
            </w:pPr>
            <w:r>
              <w:rPr>
                <w:rFonts w:ascii="Times New Roman" w:hAnsi="Times New Roman"/>
                <w:noProof/>
                <w:sz w:val="20"/>
              </w:rPr>
              <w:t>13 200,1</w:t>
            </w:r>
          </w:p>
        </w:tc>
      </w:tr>
      <w:tr w:rsidR="0053464B" w:rsidRPr="006A6461" w14:paraId="60761312" w14:textId="77777777" w:rsidTr="00311C9F">
        <w:trPr>
          <w:trHeight w:val="300"/>
          <w:jc w:val="center"/>
        </w:trPr>
        <w:tc>
          <w:tcPr>
            <w:tcW w:w="1248" w:type="dxa"/>
            <w:tcBorders>
              <w:top w:val="nil"/>
              <w:left w:val="single" w:sz="4" w:space="0" w:color="auto"/>
              <w:bottom w:val="nil"/>
              <w:right w:val="single" w:sz="4" w:space="0" w:color="auto"/>
            </w:tcBorders>
            <w:shd w:val="clear" w:color="auto" w:fill="FFFFFF" w:themeFill="background1"/>
            <w:noWrap/>
            <w:vAlign w:val="bottom"/>
            <w:hideMark/>
          </w:tcPr>
          <w:p w14:paraId="07648676" w14:textId="77777777" w:rsidR="0053464B" w:rsidRPr="006A6461" w:rsidRDefault="0053464B" w:rsidP="0053464B">
            <w:pPr>
              <w:spacing w:after="120"/>
              <w:rPr>
                <w:rFonts w:ascii="Times New Roman" w:hAnsi="Times New Roman" w:cs="Times New Roman"/>
                <w:b/>
                <w:bCs/>
                <w:noProof/>
                <w:color w:val="000000"/>
                <w:sz w:val="20"/>
                <w:szCs w:val="20"/>
              </w:rPr>
            </w:pPr>
            <w:r>
              <w:rPr>
                <w:rFonts w:ascii="Times New Roman" w:hAnsi="Times New Roman"/>
                <w:b/>
                <w:noProof/>
                <w:color w:val="000000"/>
                <w:sz w:val="20"/>
              </w:rPr>
              <w:t>FR</w:t>
            </w:r>
          </w:p>
        </w:tc>
        <w:tc>
          <w:tcPr>
            <w:tcW w:w="1665" w:type="dxa"/>
            <w:tcBorders>
              <w:top w:val="nil"/>
              <w:left w:val="nil"/>
              <w:bottom w:val="nil"/>
              <w:right w:val="single" w:sz="4" w:space="0" w:color="auto"/>
            </w:tcBorders>
            <w:shd w:val="clear" w:color="auto" w:fill="FFFFFF" w:themeFill="background1"/>
            <w:noWrap/>
          </w:tcPr>
          <w:p w14:paraId="2C8EDA32" w14:textId="0C1009E8"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23 427,6</w:t>
            </w:r>
          </w:p>
        </w:tc>
        <w:tc>
          <w:tcPr>
            <w:tcW w:w="1724" w:type="dxa"/>
            <w:tcBorders>
              <w:top w:val="nil"/>
              <w:left w:val="nil"/>
              <w:bottom w:val="nil"/>
              <w:right w:val="single" w:sz="4" w:space="0" w:color="auto"/>
            </w:tcBorders>
            <w:shd w:val="clear" w:color="auto" w:fill="FFFFFF" w:themeFill="background1"/>
          </w:tcPr>
          <w:p w14:paraId="3F8EAF22" w14:textId="5E58B497"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24 129,5</w:t>
            </w:r>
          </w:p>
        </w:tc>
        <w:tc>
          <w:tcPr>
            <w:tcW w:w="1577" w:type="dxa"/>
            <w:tcBorders>
              <w:top w:val="nil"/>
              <w:left w:val="nil"/>
              <w:bottom w:val="nil"/>
              <w:right w:val="single" w:sz="4" w:space="0" w:color="auto"/>
            </w:tcBorders>
            <w:shd w:val="clear" w:color="auto" w:fill="FFFFFF" w:themeFill="background1"/>
          </w:tcPr>
          <w:p w14:paraId="7176D3A0" w14:textId="0C14DE40"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24 130,1</w:t>
            </w:r>
          </w:p>
        </w:tc>
        <w:tc>
          <w:tcPr>
            <w:tcW w:w="1605" w:type="dxa"/>
            <w:tcBorders>
              <w:top w:val="nil"/>
              <w:left w:val="nil"/>
              <w:bottom w:val="nil"/>
              <w:right w:val="single" w:sz="4" w:space="0" w:color="auto"/>
            </w:tcBorders>
            <w:shd w:val="clear" w:color="auto" w:fill="FFFFFF" w:themeFill="background1"/>
            <w:noWrap/>
          </w:tcPr>
          <w:p w14:paraId="6E433DA4" w14:textId="179EE51D"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24 022,9</w:t>
            </w:r>
          </w:p>
        </w:tc>
        <w:tc>
          <w:tcPr>
            <w:tcW w:w="1635" w:type="dxa"/>
            <w:tcBorders>
              <w:top w:val="nil"/>
              <w:left w:val="nil"/>
              <w:bottom w:val="nil"/>
              <w:right w:val="single" w:sz="4" w:space="0" w:color="auto"/>
            </w:tcBorders>
            <w:shd w:val="clear" w:color="auto" w:fill="FFFFFF" w:themeFill="background1"/>
            <w:noWrap/>
          </w:tcPr>
          <w:p w14:paraId="38AD55CD" w14:textId="46EDA0D4" w:rsidR="0053464B" w:rsidRPr="0053464B" w:rsidRDefault="0053464B" w:rsidP="0053464B">
            <w:pPr>
              <w:spacing w:after="0"/>
              <w:jc w:val="right"/>
              <w:rPr>
                <w:rFonts w:ascii="Times New Roman" w:eastAsia="Times New Roman" w:hAnsi="Times New Roman" w:cs="Times New Roman"/>
                <w:noProof/>
                <w:sz w:val="20"/>
                <w:szCs w:val="20"/>
                <w:highlight w:val="yellow"/>
              </w:rPr>
            </w:pPr>
            <w:r>
              <w:rPr>
                <w:rFonts w:ascii="Times New Roman" w:hAnsi="Times New Roman"/>
                <w:noProof/>
                <w:sz w:val="20"/>
              </w:rPr>
              <w:t>24 255,7</w:t>
            </w:r>
          </w:p>
        </w:tc>
      </w:tr>
      <w:tr w:rsidR="0053464B" w:rsidRPr="006A6461" w14:paraId="77EDB103" w14:textId="77777777" w:rsidTr="00311C9F">
        <w:trPr>
          <w:trHeight w:val="300"/>
          <w:jc w:val="center"/>
        </w:trPr>
        <w:tc>
          <w:tcPr>
            <w:tcW w:w="1248" w:type="dxa"/>
            <w:tcBorders>
              <w:top w:val="nil"/>
              <w:left w:val="single" w:sz="4" w:space="0" w:color="auto"/>
              <w:bottom w:val="nil"/>
              <w:right w:val="single" w:sz="4" w:space="0" w:color="auto"/>
            </w:tcBorders>
            <w:shd w:val="clear" w:color="auto" w:fill="FFFFFF" w:themeFill="background1"/>
            <w:noWrap/>
            <w:vAlign w:val="bottom"/>
            <w:hideMark/>
          </w:tcPr>
          <w:p w14:paraId="2CC67CBF" w14:textId="77777777" w:rsidR="0053464B" w:rsidRPr="006A6461" w:rsidRDefault="0053464B" w:rsidP="0053464B">
            <w:pPr>
              <w:spacing w:after="120"/>
              <w:rPr>
                <w:rFonts w:ascii="Times New Roman" w:hAnsi="Times New Roman" w:cs="Times New Roman"/>
                <w:b/>
                <w:bCs/>
                <w:noProof/>
                <w:color w:val="000000"/>
                <w:sz w:val="20"/>
                <w:szCs w:val="20"/>
              </w:rPr>
            </w:pPr>
            <w:r>
              <w:rPr>
                <w:rFonts w:ascii="Times New Roman" w:hAnsi="Times New Roman"/>
                <w:b/>
                <w:noProof/>
                <w:color w:val="000000"/>
                <w:sz w:val="20"/>
              </w:rPr>
              <w:t>HR</w:t>
            </w:r>
          </w:p>
        </w:tc>
        <w:tc>
          <w:tcPr>
            <w:tcW w:w="1665" w:type="dxa"/>
            <w:tcBorders>
              <w:top w:val="nil"/>
              <w:left w:val="nil"/>
              <w:bottom w:val="nil"/>
              <w:right w:val="single" w:sz="4" w:space="0" w:color="auto"/>
            </w:tcBorders>
            <w:shd w:val="clear" w:color="auto" w:fill="FFFFFF" w:themeFill="background1"/>
            <w:noWrap/>
          </w:tcPr>
          <w:p w14:paraId="017D53A0" w14:textId="157AE3C6"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597,5</w:t>
            </w:r>
          </w:p>
        </w:tc>
        <w:tc>
          <w:tcPr>
            <w:tcW w:w="1724" w:type="dxa"/>
            <w:tcBorders>
              <w:top w:val="nil"/>
              <w:left w:val="nil"/>
              <w:bottom w:val="nil"/>
              <w:right w:val="single" w:sz="4" w:space="0" w:color="auto"/>
            </w:tcBorders>
            <w:shd w:val="clear" w:color="auto" w:fill="FFFFFF" w:themeFill="background1"/>
          </w:tcPr>
          <w:p w14:paraId="0AB6AA1B" w14:textId="2680D244"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615,6</w:t>
            </w:r>
          </w:p>
        </w:tc>
        <w:tc>
          <w:tcPr>
            <w:tcW w:w="1577" w:type="dxa"/>
            <w:tcBorders>
              <w:top w:val="nil"/>
              <w:left w:val="nil"/>
              <w:bottom w:val="nil"/>
              <w:right w:val="single" w:sz="4" w:space="0" w:color="auto"/>
            </w:tcBorders>
            <w:shd w:val="clear" w:color="auto" w:fill="FFFFFF" w:themeFill="background1"/>
          </w:tcPr>
          <w:p w14:paraId="459B2098" w14:textId="370F5499"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615,7</w:t>
            </w:r>
          </w:p>
        </w:tc>
        <w:tc>
          <w:tcPr>
            <w:tcW w:w="1605" w:type="dxa"/>
            <w:tcBorders>
              <w:top w:val="nil"/>
              <w:left w:val="nil"/>
              <w:bottom w:val="nil"/>
              <w:right w:val="single" w:sz="4" w:space="0" w:color="auto"/>
            </w:tcBorders>
            <w:shd w:val="clear" w:color="auto" w:fill="FFFFFF" w:themeFill="background1"/>
            <w:noWrap/>
          </w:tcPr>
          <w:p w14:paraId="2AA2C1EE" w14:textId="622D5217"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612,9</w:t>
            </w:r>
          </w:p>
        </w:tc>
        <w:tc>
          <w:tcPr>
            <w:tcW w:w="1635" w:type="dxa"/>
            <w:tcBorders>
              <w:top w:val="nil"/>
              <w:left w:val="nil"/>
              <w:bottom w:val="nil"/>
              <w:right w:val="single" w:sz="4" w:space="0" w:color="auto"/>
            </w:tcBorders>
            <w:shd w:val="clear" w:color="auto" w:fill="FFFFFF" w:themeFill="background1"/>
            <w:noWrap/>
          </w:tcPr>
          <w:p w14:paraId="448A2C62" w14:textId="0923CA07" w:rsidR="0053464B" w:rsidRPr="0053464B" w:rsidRDefault="0053464B" w:rsidP="0053464B">
            <w:pPr>
              <w:spacing w:after="0"/>
              <w:jc w:val="right"/>
              <w:rPr>
                <w:rFonts w:ascii="Times New Roman" w:eastAsia="Times New Roman" w:hAnsi="Times New Roman" w:cs="Times New Roman"/>
                <w:noProof/>
                <w:sz w:val="20"/>
                <w:szCs w:val="20"/>
                <w:highlight w:val="yellow"/>
              </w:rPr>
            </w:pPr>
            <w:r>
              <w:rPr>
                <w:rFonts w:ascii="Times New Roman" w:hAnsi="Times New Roman"/>
                <w:noProof/>
                <w:sz w:val="20"/>
              </w:rPr>
              <w:t>681,9</w:t>
            </w:r>
          </w:p>
        </w:tc>
      </w:tr>
      <w:tr w:rsidR="0053464B" w:rsidRPr="006A6461" w14:paraId="663F13C8" w14:textId="77777777" w:rsidTr="00311C9F">
        <w:trPr>
          <w:trHeight w:val="300"/>
          <w:jc w:val="center"/>
        </w:trPr>
        <w:tc>
          <w:tcPr>
            <w:tcW w:w="1248" w:type="dxa"/>
            <w:tcBorders>
              <w:top w:val="nil"/>
              <w:left w:val="single" w:sz="4" w:space="0" w:color="auto"/>
              <w:bottom w:val="nil"/>
              <w:right w:val="single" w:sz="4" w:space="0" w:color="auto"/>
            </w:tcBorders>
            <w:shd w:val="clear" w:color="auto" w:fill="FFFFFF" w:themeFill="background1"/>
            <w:noWrap/>
            <w:vAlign w:val="bottom"/>
            <w:hideMark/>
          </w:tcPr>
          <w:p w14:paraId="74ACAD1C" w14:textId="77777777" w:rsidR="0053464B" w:rsidRPr="006A6461" w:rsidRDefault="0053464B" w:rsidP="0053464B">
            <w:pPr>
              <w:spacing w:after="120"/>
              <w:rPr>
                <w:rFonts w:ascii="Times New Roman" w:hAnsi="Times New Roman" w:cs="Times New Roman"/>
                <w:b/>
                <w:bCs/>
                <w:noProof/>
                <w:color w:val="000000"/>
                <w:sz w:val="20"/>
                <w:szCs w:val="20"/>
              </w:rPr>
            </w:pPr>
            <w:r>
              <w:rPr>
                <w:rFonts w:ascii="Times New Roman" w:hAnsi="Times New Roman"/>
                <w:b/>
                <w:noProof/>
                <w:color w:val="000000"/>
                <w:sz w:val="20"/>
              </w:rPr>
              <w:t>IT</w:t>
            </w:r>
          </w:p>
        </w:tc>
        <w:tc>
          <w:tcPr>
            <w:tcW w:w="1665" w:type="dxa"/>
            <w:tcBorders>
              <w:top w:val="nil"/>
              <w:left w:val="nil"/>
              <w:bottom w:val="nil"/>
              <w:right w:val="single" w:sz="4" w:space="0" w:color="auto"/>
            </w:tcBorders>
            <w:shd w:val="clear" w:color="auto" w:fill="FFFFFF" w:themeFill="background1"/>
            <w:noWrap/>
          </w:tcPr>
          <w:p w14:paraId="466D53EC" w14:textId="0AC59FBC"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17 240,8</w:t>
            </w:r>
          </w:p>
        </w:tc>
        <w:tc>
          <w:tcPr>
            <w:tcW w:w="1724" w:type="dxa"/>
            <w:tcBorders>
              <w:top w:val="nil"/>
              <w:left w:val="nil"/>
              <w:bottom w:val="nil"/>
              <w:right w:val="single" w:sz="4" w:space="0" w:color="auto"/>
            </w:tcBorders>
            <w:shd w:val="clear" w:color="auto" w:fill="FFFFFF" w:themeFill="background1"/>
          </w:tcPr>
          <w:p w14:paraId="371F2C2E" w14:textId="5A8DB67A"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17 740,4</w:t>
            </w:r>
          </w:p>
        </w:tc>
        <w:tc>
          <w:tcPr>
            <w:tcW w:w="1577" w:type="dxa"/>
            <w:tcBorders>
              <w:top w:val="nil"/>
              <w:left w:val="nil"/>
              <w:bottom w:val="nil"/>
              <w:right w:val="single" w:sz="4" w:space="0" w:color="auto"/>
            </w:tcBorders>
            <w:shd w:val="clear" w:color="auto" w:fill="FFFFFF" w:themeFill="background1"/>
          </w:tcPr>
          <w:p w14:paraId="4E06855E" w14:textId="099E5598"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17 740,8</w:t>
            </w:r>
          </w:p>
        </w:tc>
        <w:tc>
          <w:tcPr>
            <w:tcW w:w="1605" w:type="dxa"/>
            <w:tcBorders>
              <w:top w:val="nil"/>
              <w:left w:val="nil"/>
              <w:bottom w:val="nil"/>
              <w:right w:val="single" w:sz="4" w:space="0" w:color="auto"/>
            </w:tcBorders>
            <w:shd w:val="clear" w:color="auto" w:fill="FFFFFF" w:themeFill="background1"/>
            <w:noWrap/>
          </w:tcPr>
          <w:p w14:paraId="220EB70F" w14:textId="1A465195"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17 664,5</w:t>
            </w:r>
          </w:p>
        </w:tc>
        <w:tc>
          <w:tcPr>
            <w:tcW w:w="1635" w:type="dxa"/>
            <w:tcBorders>
              <w:top w:val="nil"/>
              <w:left w:val="nil"/>
              <w:bottom w:val="nil"/>
              <w:right w:val="single" w:sz="4" w:space="0" w:color="auto"/>
            </w:tcBorders>
            <w:shd w:val="clear" w:color="auto" w:fill="FFFFFF" w:themeFill="background1"/>
            <w:noWrap/>
          </w:tcPr>
          <w:p w14:paraId="50F02B04" w14:textId="7F94417E" w:rsidR="0053464B" w:rsidRPr="0053464B" w:rsidRDefault="0053464B" w:rsidP="0053464B">
            <w:pPr>
              <w:spacing w:after="0"/>
              <w:jc w:val="right"/>
              <w:rPr>
                <w:rFonts w:ascii="Times New Roman" w:eastAsia="Times New Roman" w:hAnsi="Times New Roman" w:cs="Times New Roman"/>
                <w:noProof/>
                <w:sz w:val="20"/>
                <w:szCs w:val="20"/>
                <w:highlight w:val="yellow"/>
              </w:rPr>
            </w:pPr>
            <w:r>
              <w:rPr>
                <w:rFonts w:ascii="Times New Roman" w:hAnsi="Times New Roman"/>
                <w:noProof/>
                <w:sz w:val="20"/>
              </w:rPr>
              <w:t>17 852,8</w:t>
            </w:r>
          </w:p>
        </w:tc>
      </w:tr>
      <w:tr w:rsidR="0053464B" w:rsidRPr="006A6461" w14:paraId="16A0172E" w14:textId="77777777" w:rsidTr="00311C9F">
        <w:trPr>
          <w:trHeight w:val="300"/>
          <w:jc w:val="center"/>
        </w:trPr>
        <w:tc>
          <w:tcPr>
            <w:tcW w:w="1248" w:type="dxa"/>
            <w:tcBorders>
              <w:top w:val="nil"/>
              <w:left w:val="single" w:sz="4" w:space="0" w:color="auto"/>
              <w:bottom w:val="nil"/>
              <w:right w:val="single" w:sz="4" w:space="0" w:color="auto"/>
            </w:tcBorders>
            <w:shd w:val="clear" w:color="auto" w:fill="FFFFFF" w:themeFill="background1"/>
            <w:noWrap/>
            <w:vAlign w:val="bottom"/>
            <w:hideMark/>
          </w:tcPr>
          <w:p w14:paraId="1CE6DCCA" w14:textId="77777777" w:rsidR="0053464B" w:rsidRPr="006A6461" w:rsidRDefault="0053464B" w:rsidP="0053464B">
            <w:pPr>
              <w:spacing w:after="120"/>
              <w:rPr>
                <w:rFonts w:ascii="Times New Roman" w:hAnsi="Times New Roman" w:cs="Times New Roman"/>
                <w:b/>
                <w:bCs/>
                <w:noProof/>
                <w:color w:val="000000"/>
                <w:sz w:val="20"/>
                <w:szCs w:val="20"/>
              </w:rPr>
            </w:pPr>
            <w:r>
              <w:rPr>
                <w:rFonts w:ascii="Times New Roman" w:hAnsi="Times New Roman"/>
                <w:b/>
                <w:noProof/>
                <w:color w:val="000000"/>
                <w:sz w:val="20"/>
              </w:rPr>
              <w:t>CY</w:t>
            </w:r>
          </w:p>
        </w:tc>
        <w:tc>
          <w:tcPr>
            <w:tcW w:w="1665" w:type="dxa"/>
            <w:tcBorders>
              <w:top w:val="nil"/>
              <w:left w:val="nil"/>
              <w:bottom w:val="nil"/>
              <w:right w:val="single" w:sz="4" w:space="0" w:color="auto"/>
            </w:tcBorders>
            <w:shd w:val="clear" w:color="auto" w:fill="FFFFFF" w:themeFill="background1"/>
            <w:noWrap/>
          </w:tcPr>
          <w:p w14:paraId="2D1EB994" w14:textId="142250F1"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232,7</w:t>
            </w:r>
          </w:p>
        </w:tc>
        <w:tc>
          <w:tcPr>
            <w:tcW w:w="1724" w:type="dxa"/>
            <w:tcBorders>
              <w:top w:val="nil"/>
              <w:left w:val="nil"/>
              <w:bottom w:val="nil"/>
              <w:right w:val="single" w:sz="4" w:space="0" w:color="auto"/>
            </w:tcBorders>
            <w:shd w:val="clear" w:color="auto" w:fill="FFFFFF" w:themeFill="background1"/>
          </w:tcPr>
          <w:p w14:paraId="0B3908B0" w14:textId="0387F6E9"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239,3</w:t>
            </w:r>
          </w:p>
        </w:tc>
        <w:tc>
          <w:tcPr>
            <w:tcW w:w="1577" w:type="dxa"/>
            <w:tcBorders>
              <w:top w:val="nil"/>
              <w:left w:val="nil"/>
              <w:bottom w:val="nil"/>
              <w:right w:val="single" w:sz="4" w:space="0" w:color="auto"/>
            </w:tcBorders>
            <w:shd w:val="clear" w:color="auto" w:fill="FFFFFF" w:themeFill="background1"/>
          </w:tcPr>
          <w:p w14:paraId="4B4B0CE0" w14:textId="1217F574"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239,3</w:t>
            </w:r>
          </w:p>
        </w:tc>
        <w:tc>
          <w:tcPr>
            <w:tcW w:w="1605" w:type="dxa"/>
            <w:tcBorders>
              <w:top w:val="nil"/>
              <w:left w:val="nil"/>
              <w:bottom w:val="nil"/>
              <w:right w:val="single" w:sz="4" w:space="0" w:color="auto"/>
            </w:tcBorders>
            <w:shd w:val="clear" w:color="auto" w:fill="FFFFFF" w:themeFill="background1"/>
            <w:noWrap/>
          </w:tcPr>
          <w:p w14:paraId="17340374" w14:textId="3C302E72"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238,3</w:t>
            </w:r>
          </w:p>
        </w:tc>
        <w:tc>
          <w:tcPr>
            <w:tcW w:w="1635" w:type="dxa"/>
            <w:tcBorders>
              <w:top w:val="nil"/>
              <w:left w:val="nil"/>
              <w:bottom w:val="nil"/>
              <w:right w:val="single" w:sz="4" w:space="0" w:color="auto"/>
            </w:tcBorders>
            <w:shd w:val="clear" w:color="auto" w:fill="FFFFFF" w:themeFill="background1"/>
            <w:noWrap/>
          </w:tcPr>
          <w:p w14:paraId="3AFDC59B" w14:textId="0C44CA18" w:rsidR="0053464B" w:rsidRPr="0053464B" w:rsidRDefault="0053464B" w:rsidP="0053464B">
            <w:pPr>
              <w:spacing w:after="0"/>
              <w:jc w:val="right"/>
              <w:rPr>
                <w:rFonts w:ascii="Times New Roman" w:eastAsia="Times New Roman" w:hAnsi="Times New Roman" w:cs="Times New Roman"/>
                <w:noProof/>
                <w:sz w:val="20"/>
                <w:szCs w:val="20"/>
                <w:highlight w:val="yellow"/>
              </w:rPr>
            </w:pPr>
            <w:r>
              <w:rPr>
                <w:rFonts w:ascii="Times New Roman" w:hAnsi="Times New Roman"/>
                <w:noProof/>
                <w:sz w:val="20"/>
              </w:rPr>
              <w:t>252,5</w:t>
            </w:r>
          </w:p>
        </w:tc>
      </w:tr>
      <w:tr w:rsidR="0053464B" w:rsidRPr="006A6461" w14:paraId="2107637B" w14:textId="77777777" w:rsidTr="00311C9F">
        <w:trPr>
          <w:trHeight w:val="300"/>
          <w:jc w:val="center"/>
        </w:trPr>
        <w:tc>
          <w:tcPr>
            <w:tcW w:w="1248" w:type="dxa"/>
            <w:tcBorders>
              <w:top w:val="nil"/>
              <w:left w:val="single" w:sz="4" w:space="0" w:color="auto"/>
              <w:bottom w:val="nil"/>
              <w:right w:val="single" w:sz="4" w:space="0" w:color="auto"/>
            </w:tcBorders>
            <w:shd w:val="clear" w:color="auto" w:fill="FFFFFF" w:themeFill="background1"/>
            <w:noWrap/>
            <w:vAlign w:val="bottom"/>
            <w:hideMark/>
          </w:tcPr>
          <w:p w14:paraId="16A60C84" w14:textId="77777777" w:rsidR="0053464B" w:rsidRPr="006A6461" w:rsidRDefault="0053464B" w:rsidP="0053464B">
            <w:pPr>
              <w:spacing w:after="120"/>
              <w:rPr>
                <w:rFonts w:ascii="Times New Roman" w:hAnsi="Times New Roman" w:cs="Times New Roman"/>
                <w:b/>
                <w:bCs/>
                <w:noProof/>
                <w:color w:val="000000"/>
                <w:sz w:val="20"/>
                <w:szCs w:val="20"/>
              </w:rPr>
            </w:pPr>
            <w:r>
              <w:rPr>
                <w:rFonts w:ascii="Times New Roman" w:hAnsi="Times New Roman"/>
                <w:b/>
                <w:noProof/>
                <w:color w:val="000000"/>
                <w:sz w:val="20"/>
              </w:rPr>
              <w:t>LV</w:t>
            </w:r>
          </w:p>
        </w:tc>
        <w:tc>
          <w:tcPr>
            <w:tcW w:w="1665" w:type="dxa"/>
            <w:tcBorders>
              <w:top w:val="nil"/>
              <w:left w:val="nil"/>
              <w:bottom w:val="nil"/>
              <w:right w:val="single" w:sz="4" w:space="0" w:color="auto"/>
            </w:tcBorders>
            <w:shd w:val="clear" w:color="auto" w:fill="FFFFFF" w:themeFill="background1"/>
            <w:noWrap/>
          </w:tcPr>
          <w:p w14:paraId="1C77D538" w14:textId="236C0E09"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378,5</w:t>
            </w:r>
          </w:p>
        </w:tc>
        <w:tc>
          <w:tcPr>
            <w:tcW w:w="1724" w:type="dxa"/>
            <w:tcBorders>
              <w:top w:val="nil"/>
              <w:left w:val="nil"/>
              <w:bottom w:val="nil"/>
              <w:right w:val="single" w:sz="4" w:space="0" w:color="auto"/>
            </w:tcBorders>
            <w:shd w:val="clear" w:color="auto" w:fill="FFFFFF" w:themeFill="background1"/>
          </w:tcPr>
          <w:p w14:paraId="7B6CDFAC" w14:textId="680859DB"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389,0</w:t>
            </w:r>
          </w:p>
        </w:tc>
        <w:tc>
          <w:tcPr>
            <w:tcW w:w="1577" w:type="dxa"/>
            <w:tcBorders>
              <w:top w:val="nil"/>
              <w:left w:val="nil"/>
              <w:bottom w:val="nil"/>
              <w:right w:val="single" w:sz="4" w:space="0" w:color="auto"/>
            </w:tcBorders>
            <w:shd w:val="clear" w:color="auto" w:fill="FFFFFF" w:themeFill="background1"/>
          </w:tcPr>
          <w:p w14:paraId="49ABC29A" w14:textId="436FFB77"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389,0</w:t>
            </w:r>
          </w:p>
        </w:tc>
        <w:tc>
          <w:tcPr>
            <w:tcW w:w="1605" w:type="dxa"/>
            <w:tcBorders>
              <w:top w:val="nil"/>
              <w:left w:val="nil"/>
              <w:bottom w:val="nil"/>
              <w:right w:val="single" w:sz="4" w:space="0" w:color="auto"/>
            </w:tcBorders>
            <w:shd w:val="clear" w:color="auto" w:fill="FFFFFF" w:themeFill="background1"/>
            <w:noWrap/>
          </w:tcPr>
          <w:p w14:paraId="403A4861" w14:textId="47592F14"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387,4</w:t>
            </w:r>
          </w:p>
        </w:tc>
        <w:tc>
          <w:tcPr>
            <w:tcW w:w="1635" w:type="dxa"/>
            <w:tcBorders>
              <w:top w:val="nil"/>
              <w:left w:val="nil"/>
              <w:bottom w:val="nil"/>
              <w:right w:val="single" w:sz="4" w:space="0" w:color="auto"/>
            </w:tcBorders>
            <w:shd w:val="clear" w:color="auto" w:fill="FFFFFF" w:themeFill="background1"/>
            <w:noWrap/>
          </w:tcPr>
          <w:p w14:paraId="10AC4437" w14:textId="28F40CDF" w:rsidR="0053464B" w:rsidRPr="0053464B" w:rsidRDefault="0053464B" w:rsidP="0053464B">
            <w:pPr>
              <w:spacing w:after="0"/>
              <w:jc w:val="right"/>
              <w:rPr>
                <w:rFonts w:ascii="Times New Roman" w:eastAsia="Times New Roman" w:hAnsi="Times New Roman" w:cs="Times New Roman"/>
                <w:noProof/>
                <w:sz w:val="20"/>
                <w:szCs w:val="20"/>
                <w:highlight w:val="yellow"/>
              </w:rPr>
            </w:pPr>
            <w:r>
              <w:rPr>
                <w:rFonts w:ascii="Times New Roman" w:hAnsi="Times New Roman"/>
                <w:noProof/>
                <w:sz w:val="20"/>
              </w:rPr>
              <w:t>351,7</w:t>
            </w:r>
          </w:p>
        </w:tc>
      </w:tr>
      <w:tr w:rsidR="0053464B" w:rsidRPr="006A6461" w14:paraId="2D24FAB2" w14:textId="77777777" w:rsidTr="00311C9F">
        <w:trPr>
          <w:trHeight w:val="300"/>
          <w:jc w:val="center"/>
        </w:trPr>
        <w:tc>
          <w:tcPr>
            <w:tcW w:w="1248" w:type="dxa"/>
            <w:tcBorders>
              <w:top w:val="nil"/>
              <w:left w:val="single" w:sz="4" w:space="0" w:color="auto"/>
              <w:bottom w:val="nil"/>
              <w:right w:val="single" w:sz="4" w:space="0" w:color="auto"/>
            </w:tcBorders>
            <w:shd w:val="clear" w:color="auto" w:fill="FFFFFF" w:themeFill="background1"/>
            <w:noWrap/>
            <w:vAlign w:val="bottom"/>
            <w:hideMark/>
          </w:tcPr>
          <w:p w14:paraId="338018DC" w14:textId="77777777" w:rsidR="0053464B" w:rsidRPr="006A6461" w:rsidRDefault="0053464B" w:rsidP="0053464B">
            <w:pPr>
              <w:spacing w:after="120"/>
              <w:rPr>
                <w:rFonts w:ascii="Times New Roman" w:hAnsi="Times New Roman" w:cs="Times New Roman"/>
                <w:b/>
                <w:bCs/>
                <w:noProof/>
                <w:color w:val="000000"/>
                <w:sz w:val="20"/>
                <w:szCs w:val="20"/>
              </w:rPr>
            </w:pPr>
            <w:r>
              <w:rPr>
                <w:rFonts w:ascii="Times New Roman" w:hAnsi="Times New Roman"/>
                <w:b/>
                <w:noProof/>
                <w:color w:val="000000"/>
                <w:sz w:val="20"/>
              </w:rPr>
              <w:t>LT</w:t>
            </w:r>
          </w:p>
        </w:tc>
        <w:tc>
          <w:tcPr>
            <w:tcW w:w="1665" w:type="dxa"/>
            <w:tcBorders>
              <w:top w:val="nil"/>
              <w:left w:val="nil"/>
              <w:bottom w:val="nil"/>
              <w:right w:val="single" w:sz="4" w:space="0" w:color="auto"/>
            </w:tcBorders>
            <w:shd w:val="clear" w:color="auto" w:fill="FFFFFF" w:themeFill="background1"/>
            <w:noWrap/>
          </w:tcPr>
          <w:p w14:paraId="4F76A488" w14:textId="03634331"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684,9</w:t>
            </w:r>
          </w:p>
        </w:tc>
        <w:tc>
          <w:tcPr>
            <w:tcW w:w="1724" w:type="dxa"/>
            <w:tcBorders>
              <w:top w:val="nil"/>
              <w:left w:val="nil"/>
              <w:bottom w:val="nil"/>
              <w:right w:val="single" w:sz="4" w:space="0" w:color="auto"/>
            </w:tcBorders>
            <w:shd w:val="clear" w:color="auto" w:fill="FFFFFF" w:themeFill="background1"/>
          </w:tcPr>
          <w:p w14:paraId="561065D5" w14:textId="6F3BE68B"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702,7</w:t>
            </w:r>
          </w:p>
        </w:tc>
        <w:tc>
          <w:tcPr>
            <w:tcW w:w="1577" w:type="dxa"/>
            <w:tcBorders>
              <w:top w:val="nil"/>
              <w:left w:val="nil"/>
              <w:bottom w:val="nil"/>
              <w:right w:val="single" w:sz="4" w:space="0" w:color="auto"/>
            </w:tcBorders>
            <w:shd w:val="clear" w:color="auto" w:fill="FFFFFF" w:themeFill="background1"/>
          </w:tcPr>
          <w:p w14:paraId="1F05B24D" w14:textId="3A0EDEF8"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702,7</w:t>
            </w:r>
          </w:p>
        </w:tc>
        <w:tc>
          <w:tcPr>
            <w:tcW w:w="1605" w:type="dxa"/>
            <w:tcBorders>
              <w:top w:val="nil"/>
              <w:left w:val="nil"/>
              <w:bottom w:val="nil"/>
              <w:right w:val="single" w:sz="4" w:space="0" w:color="auto"/>
            </w:tcBorders>
            <w:shd w:val="clear" w:color="auto" w:fill="FFFFFF" w:themeFill="background1"/>
            <w:noWrap/>
          </w:tcPr>
          <w:p w14:paraId="5E702622" w14:textId="1DB1C181"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700,0</w:t>
            </w:r>
          </w:p>
        </w:tc>
        <w:tc>
          <w:tcPr>
            <w:tcW w:w="1635" w:type="dxa"/>
            <w:tcBorders>
              <w:top w:val="nil"/>
              <w:left w:val="nil"/>
              <w:bottom w:val="nil"/>
              <w:right w:val="single" w:sz="4" w:space="0" w:color="auto"/>
            </w:tcBorders>
            <w:shd w:val="clear" w:color="auto" w:fill="FFFFFF" w:themeFill="background1"/>
            <w:noWrap/>
          </w:tcPr>
          <w:p w14:paraId="62203631" w14:textId="34412B12" w:rsidR="0053464B" w:rsidRPr="0053464B" w:rsidRDefault="0053464B" w:rsidP="0053464B">
            <w:pPr>
              <w:spacing w:after="0"/>
              <w:jc w:val="right"/>
              <w:rPr>
                <w:rFonts w:ascii="Times New Roman" w:eastAsia="Times New Roman" w:hAnsi="Times New Roman" w:cs="Times New Roman"/>
                <w:noProof/>
                <w:sz w:val="20"/>
                <w:szCs w:val="20"/>
                <w:highlight w:val="yellow"/>
              </w:rPr>
            </w:pPr>
            <w:r>
              <w:rPr>
                <w:rFonts w:ascii="Times New Roman" w:hAnsi="Times New Roman"/>
                <w:noProof/>
                <w:sz w:val="20"/>
              </w:rPr>
              <w:t>632,6</w:t>
            </w:r>
          </w:p>
        </w:tc>
      </w:tr>
      <w:tr w:rsidR="0053464B" w:rsidRPr="006A6461" w14:paraId="55F52DAF" w14:textId="77777777" w:rsidTr="00311C9F">
        <w:trPr>
          <w:trHeight w:val="300"/>
          <w:jc w:val="center"/>
        </w:trPr>
        <w:tc>
          <w:tcPr>
            <w:tcW w:w="1248" w:type="dxa"/>
            <w:tcBorders>
              <w:top w:val="nil"/>
              <w:left w:val="single" w:sz="4" w:space="0" w:color="auto"/>
              <w:bottom w:val="nil"/>
              <w:right w:val="single" w:sz="4" w:space="0" w:color="auto"/>
            </w:tcBorders>
            <w:shd w:val="clear" w:color="auto" w:fill="FFFFFF" w:themeFill="background1"/>
            <w:noWrap/>
            <w:vAlign w:val="bottom"/>
            <w:hideMark/>
          </w:tcPr>
          <w:p w14:paraId="7EB25055" w14:textId="77777777" w:rsidR="0053464B" w:rsidRPr="006A6461" w:rsidRDefault="0053464B" w:rsidP="0053464B">
            <w:pPr>
              <w:spacing w:after="120"/>
              <w:rPr>
                <w:rFonts w:ascii="Times New Roman" w:hAnsi="Times New Roman" w:cs="Times New Roman"/>
                <w:b/>
                <w:bCs/>
                <w:noProof/>
                <w:color w:val="000000"/>
                <w:sz w:val="20"/>
                <w:szCs w:val="20"/>
              </w:rPr>
            </w:pPr>
            <w:r>
              <w:rPr>
                <w:rFonts w:ascii="Times New Roman" w:hAnsi="Times New Roman"/>
                <w:b/>
                <w:noProof/>
                <w:color w:val="000000"/>
                <w:sz w:val="20"/>
              </w:rPr>
              <w:t>LU</w:t>
            </w:r>
          </w:p>
        </w:tc>
        <w:tc>
          <w:tcPr>
            <w:tcW w:w="1665" w:type="dxa"/>
            <w:tcBorders>
              <w:top w:val="nil"/>
              <w:left w:val="nil"/>
              <w:bottom w:val="nil"/>
              <w:right w:val="single" w:sz="4" w:space="0" w:color="auto"/>
            </w:tcBorders>
            <w:shd w:val="clear" w:color="auto" w:fill="FFFFFF" w:themeFill="background1"/>
            <w:noWrap/>
          </w:tcPr>
          <w:p w14:paraId="2F61C863" w14:textId="12157310"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413,1</w:t>
            </w:r>
          </w:p>
        </w:tc>
        <w:tc>
          <w:tcPr>
            <w:tcW w:w="1724" w:type="dxa"/>
            <w:tcBorders>
              <w:top w:val="nil"/>
              <w:left w:val="nil"/>
              <w:bottom w:val="nil"/>
              <w:right w:val="single" w:sz="4" w:space="0" w:color="auto"/>
            </w:tcBorders>
            <w:shd w:val="clear" w:color="auto" w:fill="FFFFFF" w:themeFill="background1"/>
          </w:tcPr>
          <w:p w14:paraId="57A9A6AD" w14:textId="4C9AF1D2"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426,7</w:t>
            </w:r>
          </w:p>
        </w:tc>
        <w:tc>
          <w:tcPr>
            <w:tcW w:w="1577" w:type="dxa"/>
            <w:tcBorders>
              <w:top w:val="nil"/>
              <w:left w:val="nil"/>
              <w:bottom w:val="nil"/>
              <w:right w:val="single" w:sz="4" w:space="0" w:color="auto"/>
            </w:tcBorders>
            <w:shd w:val="clear" w:color="auto" w:fill="FFFFFF" w:themeFill="background1"/>
          </w:tcPr>
          <w:p w14:paraId="20D6D2D4" w14:textId="678CA8A8"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426,7</w:t>
            </w:r>
          </w:p>
        </w:tc>
        <w:tc>
          <w:tcPr>
            <w:tcW w:w="1605" w:type="dxa"/>
            <w:tcBorders>
              <w:top w:val="nil"/>
              <w:left w:val="nil"/>
              <w:bottom w:val="nil"/>
              <w:right w:val="single" w:sz="4" w:space="0" w:color="auto"/>
            </w:tcBorders>
            <w:shd w:val="clear" w:color="auto" w:fill="FFFFFF" w:themeFill="background1"/>
            <w:noWrap/>
          </w:tcPr>
          <w:p w14:paraId="5CFC1334" w14:textId="7B5597E9"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424,6</w:t>
            </w:r>
          </w:p>
        </w:tc>
        <w:tc>
          <w:tcPr>
            <w:tcW w:w="1635" w:type="dxa"/>
            <w:tcBorders>
              <w:top w:val="nil"/>
              <w:left w:val="nil"/>
              <w:bottom w:val="nil"/>
              <w:right w:val="single" w:sz="4" w:space="0" w:color="auto"/>
            </w:tcBorders>
            <w:shd w:val="clear" w:color="auto" w:fill="FFFFFF" w:themeFill="background1"/>
            <w:noWrap/>
          </w:tcPr>
          <w:p w14:paraId="5787C611" w14:textId="44DEC890" w:rsidR="0053464B" w:rsidRPr="0053464B" w:rsidRDefault="0053464B" w:rsidP="0053464B">
            <w:pPr>
              <w:spacing w:after="0"/>
              <w:jc w:val="right"/>
              <w:rPr>
                <w:rFonts w:ascii="Times New Roman" w:eastAsia="Times New Roman" w:hAnsi="Times New Roman" w:cs="Times New Roman"/>
                <w:noProof/>
                <w:sz w:val="20"/>
                <w:szCs w:val="20"/>
                <w:highlight w:val="yellow"/>
              </w:rPr>
            </w:pPr>
            <w:r>
              <w:rPr>
                <w:rFonts w:ascii="Times New Roman" w:hAnsi="Times New Roman"/>
                <w:noProof/>
                <w:sz w:val="20"/>
              </w:rPr>
              <w:t>408,7</w:t>
            </w:r>
          </w:p>
        </w:tc>
      </w:tr>
      <w:tr w:rsidR="0053464B" w:rsidRPr="006A6461" w14:paraId="5D84C0C4" w14:textId="77777777" w:rsidTr="00311C9F">
        <w:trPr>
          <w:trHeight w:val="300"/>
          <w:jc w:val="center"/>
        </w:trPr>
        <w:tc>
          <w:tcPr>
            <w:tcW w:w="1248" w:type="dxa"/>
            <w:tcBorders>
              <w:top w:val="nil"/>
              <w:left w:val="single" w:sz="4" w:space="0" w:color="auto"/>
              <w:bottom w:val="nil"/>
              <w:right w:val="single" w:sz="4" w:space="0" w:color="auto"/>
            </w:tcBorders>
            <w:shd w:val="clear" w:color="auto" w:fill="FFFFFF" w:themeFill="background1"/>
            <w:noWrap/>
            <w:vAlign w:val="bottom"/>
            <w:hideMark/>
          </w:tcPr>
          <w:p w14:paraId="39E673D5" w14:textId="77777777" w:rsidR="0053464B" w:rsidRPr="006A6461" w:rsidRDefault="0053464B" w:rsidP="0053464B">
            <w:pPr>
              <w:spacing w:after="120"/>
              <w:rPr>
                <w:rFonts w:ascii="Times New Roman" w:hAnsi="Times New Roman" w:cs="Times New Roman"/>
                <w:b/>
                <w:bCs/>
                <w:noProof/>
                <w:color w:val="000000"/>
                <w:sz w:val="20"/>
                <w:szCs w:val="20"/>
              </w:rPr>
            </w:pPr>
            <w:r>
              <w:rPr>
                <w:rFonts w:ascii="Times New Roman" w:hAnsi="Times New Roman"/>
                <w:b/>
                <w:noProof/>
                <w:color w:val="000000"/>
                <w:sz w:val="20"/>
              </w:rPr>
              <w:t>HU</w:t>
            </w:r>
          </w:p>
        </w:tc>
        <w:tc>
          <w:tcPr>
            <w:tcW w:w="1665" w:type="dxa"/>
            <w:tcBorders>
              <w:top w:val="nil"/>
              <w:left w:val="nil"/>
              <w:bottom w:val="nil"/>
              <w:right w:val="single" w:sz="4" w:space="0" w:color="auto"/>
            </w:tcBorders>
            <w:shd w:val="clear" w:color="auto" w:fill="FFFFFF" w:themeFill="background1"/>
            <w:noWrap/>
          </w:tcPr>
          <w:p w14:paraId="2E29E97D" w14:textId="75663107"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1 870,0</w:t>
            </w:r>
          </w:p>
        </w:tc>
        <w:tc>
          <w:tcPr>
            <w:tcW w:w="1724" w:type="dxa"/>
            <w:tcBorders>
              <w:top w:val="nil"/>
              <w:left w:val="nil"/>
              <w:bottom w:val="nil"/>
              <w:right w:val="single" w:sz="4" w:space="0" w:color="auto"/>
            </w:tcBorders>
            <w:shd w:val="clear" w:color="auto" w:fill="FFFFFF" w:themeFill="background1"/>
          </w:tcPr>
          <w:p w14:paraId="5245C252" w14:textId="6C73CF1A"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1 919,6</w:t>
            </w:r>
          </w:p>
        </w:tc>
        <w:tc>
          <w:tcPr>
            <w:tcW w:w="1577" w:type="dxa"/>
            <w:tcBorders>
              <w:top w:val="nil"/>
              <w:left w:val="nil"/>
              <w:bottom w:val="nil"/>
              <w:right w:val="single" w:sz="4" w:space="0" w:color="auto"/>
            </w:tcBorders>
            <w:shd w:val="clear" w:color="auto" w:fill="FFFFFF" w:themeFill="background1"/>
          </w:tcPr>
          <w:p w14:paraId="0770D160" w14:textId="31DD1880"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1 919,7</w:t>
            </w:r>
          </w:p>
        </w:tc>
        <w:tc>
          <w:tcPr>
            <w:tcW w:w="1605" w:type="dxa"/>
            <w:tcBorders>
              <w:top w:val="nil"/>
              <w:left w:val="nil"/>
              <w:bottom w:val="nil"/>
              <w:right w:val="single" w:sz="4" w:space="0" w:color="auto"/>
            </w:tcBorders>
            <w:shd w:val="clear" w:color="auto" w:fill="FFFFFF" w:themeFill="background1"/>
            <w:noWrap/>
          </w:tcPr>
          <w:p w14:paraId="361B6397" w14:textId="0A01AA50"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1 912,1</w:t>
            </w:r>
          </w:p>
        </w:tc>
        <w:tc>
          <w:tcPr>
            <w:tcW w:w="1635" w:type="dxa"/>
            <w:tcBorders>
              <w:top w:val="nil"/>
              <w:left w:val="nil"/>
              <w:bottom w:val="nil"/>
              <w:right w:val="single" w:sz="4" w:space="0" w:color="auto"/>
            </w:tcBorders>
            <w:shd w:val="clear" w:color="auto" w:fill="FFFFFF" w:themeFill="background1"/>
            <w:noWrap/>
          </w:tcPr>
          <w:p w14:paraId="6E5203EF" w14:textId="2F77998D" w:rsidR="0053464B" w:rsidRPr="0053464B" w:rsidRDefault="0053464B" w:rsidP="0053464B">
            <w:pPr>
              <w:spacing w:after="0"/>
              <w:jc w:val="right"/>
              <w:rPr>
                <w:rFonts w:ascii="Times New Roman" w:eastAsia="Times New Roman" w:hAnsi="Times New Roman" w:cs="Times New Roman"/>
                <w:noProof/>
                <w:sz w:val="20"/>
                <w:szCs w:val="20"/>
                <w:highlight w:val="yellow"/>
              </w:rPr>
            </w:pPr>
            <w:r>
              <w:rPr>
                <w:rFonts w:ascii="Times New Roman" w:hAnsi="Times New Roman"/>
                <w:noProof/>
                <w:sz w:val="20"/>
              </w:rPr>
              <w:t>1 840,8</w:t>
            </w:r>
          </w:p>
        </w:tc>
      </w:tr>
      <w:tr w:rsidR="0053464B" w:rsidRPr="006A6461" w14:paraId="34112772" w14:textId="77777777" w:rsidTr="00311C9F">
        <w:trPr>
          <w:trHeight w:val="300"/>
          <w:jc w:val="center"/>
        </w:trPr>
        <w:tc>
          <w:tcPr>
            <w:tcW w:w="1248" w:type="dxa"/>
            <w:tcBorders>
              <w:top w:val="nil"/>
              <w:left w:val="single" w:sz="4" w:space="0" w:color="auto"/>
              <w:bottom w:val="nil"/>
              <w:right w:val="single" w:sz="4" w:space="0" w:color="auto"/>
            </w:tcBorders>
            <w:shd w:val="clear" w:color="auto" w:fill="FFFFFF" w:themeFill="background1"/>
            <w:noWrap/>
            <w:vAlign w:val="bottom"/>
            <w:hideMark/>
          </w:tcPr>
          <w:p w14:paraId="48E40AE0" w14:textId="77777777" w:rsidR="0053464B" w:rsidRPr="006A6461" w:rsidRDefault="0053464B" w:rsidP="0053464B">
            <w:pPr>
              <w:spacing w:after="120"/>
              <w:rPr>
                <w:rFonts w:ascii="Times New Roman" w:hAnsi="Times New Roman" w:cs="Times New Roman"/>
                <w:b/>
                <w:bCs/>
                <w:noProof/>
                <w:color w:val="000000"/>
                <w:sz w:val="20"/>
                <w:szCs w:val="20"/>
              </w:rPr>
            </w:pPr>
            <w:r>
              <w:rPr>
                <w:rFonts w:ascii="Times New Roman" w:hAnsi="Times New Roman"/>
                <w:b/>
                <w:noProof/>
                <w:color w:val="000000"/>
                <w:sz w:val="20"/>
              </w:rPr>
              <w:t>MT</w:t>
            </w:r>
          </w:p>
        </w:tc>
        <w:tc>
          <w:tcPr>
            <w:tcW w:w="1665" w:type="dxa"/>
            <w:tcBorders>
              <w:top w:val="nil"/>
              <w:left w:val="nil"/>
              <w:bottom w:val="nil"/>
              <w:right w:val="single" w:sz="4" w:space="0" w:color="auto"/>
            </w:tcBorders>
            <w:shd w:val="clear" w:color="auto" w:fill="FFFFFF" w:themeFill="background1"/>
            <w:noWrap/>
          </w:tcPr>
          <w:p w14:paraId="08BCC9B4" w14:textId="5BEBF27F"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151,9</w:t>
            </w:r>
          </w:p>
        </w:tc>
        <w:tc>
          <w:tcPr>
            <w:tcW w:w="1724" w:type="dxa"/>
            <w:tcBorders>
              <w:top w:val="nil"/>
              <w:left w:val="nil"/>
              <w:bottom w:val="nil"/>
              <w:right w:val="single" w:sz="4" w:space="0" w:color="auto"/>
            </w:tcBorders>
            <w:shd w:val="clear" w:color="auto" w:fill="FFFFFF" w:themeFill="background1"/>
          </w:tcPr>
          <w:p w14:paraId="594D2B6E" w14:textId="1E5F6463"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156,1</w:t>
            </w:r>
          </w:p>
        </w:tc>
        <w:tc>
          <w:tcPr>
            <w:tcW w:w="1577" w:type="dxa"/>
            <w:tcBorders>
              <w:top w:val="nil"/>
              <w:left w:val="nil"/>
              <w:bottom w:val="nil"/>
              <w:right w:val="single" w:sz="4" w:space="0" w:color="auto"/>
            </w:tcBorders>
            <w:shd w:val="clear" w:color="auto" w:fill="FFFFFF" w:themeFill="background1"/>
          </w:tcPr>
          <w:p w14:paraId="07914B9F" w14:textId="1A2F29B2"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156,1</w:t>
            </w:r>
          </w:p>
        </w:tc>
        <w:tc>
          <w:tcPr>
            <w:tcW w:w="1605" w:type="dxa"/>
            <w:tcBorders>
              <w:top w:val="nil"/>
              <w:left w:val="nil"/>
              <w:bottom w:val="nil"/>
              <w:right w:val="single" w:sz="4" w:space="0" w:color="auto"/>
            </w:tcBorders>
            <w:shd w:val="clear" w:color="auto" w:fill="FFFFFF" w:themeFill="background1"/>
            <w:noWrap/>
          </w:tcPr>
          <w:p w14:paraId="27D7EA05" w14:textId="2AC24ECB"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155,5</w:t>
            </w:r>
          </w:p>
        </w:tc>
        <w:tc>
          <w:tcPr>
            <w:tcW w:w="1635" w:type="dxa"/>
            <w:tcBorders>
              <w:top w:val="nil"/>
              <w:left w:val="nil"/>
              <w:bottom w:val="nil"/>
              <w:right w:val="single" w:sz="4" w:space="0" w:color="auto"/>
            </w:tcBorders>
            <w:shd w:val="clear" w:color="auto" w:fill="FFFFFF" w:themeFill="background1"/>
            <w:noWrap/>
          </w:tcPr>
          <w:p w14:paraId="07A179A6" w14:textId="48EE7121" w:rsidR="0053464B" w:rsidRPr="0053464B" w:rsidRDefault="0053464B" w:rsidP="0053464B">
            <w:pPr>
              <w:spacing w:after="0"/>
              <w:jc w:val="right"/>
              <w:rPr>
                <w:rFonts w:ascii="Times New Roman" w:eastAsia="Times New Roman" w:hAnsi="Times New Roman" w:cs="Times New Roman"/>
                <w:noProof/>
                <w:sz w:val="20"/>
                <w:szCs w:val="20"/>
                <w:highlight w:val="yellow"/>
              </w:rPr>
            </w:pPr>
            <w:r>
              <w:rPr>
                <w:rFonts w:ascii="Times New Roman" w:hAnsi="Times New Roman"/>
                <w:noProof/>
                <w:sz w:val="20"/>
              </w:rPr>
              <w:t>163,0</w:t>
            </w:r>
          </w:p>
        </w:tc>
      </w:tr>
      <w:tr w:rsidR="0053464B" w:rsidRPr="006A6461" w14:paraId="29D99342" w14:textId="77777777" w:rsidTr="00311C9F">
        <w:trPr>
          <w:trHeight w:val="300"/>
          <w:jc w:val="center"/>
        </w:trPr>
        <w:tc>
          <w:tcPr>
            <w:tcW w:w="1248" w:type="dxa"/>
            <w:tcBorders>
              <w:top w:val="nil"/>
              <w:left w:val="single" w:sz="4" w:space="0" w:color="auto"/>
              <w:bottom w:val="nil"/>
              <w:right w:val="single" w:sz="4" w:space="0" w:color="auto"/>
            </w:tcBorders>
            <w:shd w:val="clear" w:color="auto" w:fill="FFFFFF" w:themeFill="background1"/>
            <w:noWrap/>
            <w:vAlign w:val="bottom"/>
            <w:hideMark/>
          </w:tcPr>
          <w:p w14:paraId="112315B0" w14:textId="77777777" w:rsidR="0053464B" w:rsidRPr="006A6461" w:rsidRDefault="0053464B" w:rsidP="0053464B">
            <w:pPr>
              <w:spacing w:after="120"/>
              <w:rPr>
                <w:rFonts w:ascii="Times New Roman" w:hAnsi="Times New Roman" w:cs="Times New Roman"/>
                <w:b/>
                <w:bCs/>
                <w:noProof/>
                <w:color w:val="000000"/>
                <w:sz w:val="20"/>
                <w:szCs w:val="20"/>
              </w:rPr>
            </w:pPr>
            <w:r>
              <w:rPr>
                <w:rFonts w:ascii="Times New Roman" w:hAnsi="Times New Roman"/>
                <w:b/>
                <w:noProof/>
                <w:color w:val="000000"/>
                <w:sz w:val="20"/>
              </w:rPr>
              <w:t>NL</w:t>
            </w:r>
          </w:p>
        </w:tc>
        <w:tc>
          <w:tcPr>
            <w:tcW w:w="1665" w:type="dxa"/>
            <w:tcBorders>
              <w:top w:val="nil"/>
              <w:left w:val="nil"/>
              <w:bottom w:val="nil"/>
              <w:right w:val="single" w:sz="4" w:space="0" w:color="auto"/>
            </w:tcBorders>
            <w:shd w:val="clear" w:color="auto" w:fill="FFFFFF" w:themeFill="background1"/>
            <w:noWrap/>
          </w:tcPr>
          <w:p w14:paraId="108BE712" w14:textId="23900D85"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8 391,8</w:t>
            </w:r>
          </w:p>
        </w:tc>
        <w:tc>
          <w:tcPr>
            <w:tcW w:w="1724" w:type="dxa"/>
            <w:tcBorders>
              <w:top w:val="nil"/>
              <w:left w:val="nil"/>
              <w:bottom w:val="nil"/>
              <w:right w:val="single" w:sz="4" w:space="0" w:color="auto"/>
            </w:tcBorders>
            <w:shd w:val="clear" w:color="auto" w:fill="FFFFFF" w:themeFill="background1"/>
          </w:tcPr>
          <w:p w14:paraId="6129FF92" w14:textId="68637D8F"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8 635,6</w:t>
            </w:r>
          </w:p>
        </w:tc>
        <w:tc>
          <w:tcPr>
            <w:tcW w:w="1577" w:type="dxa"/>
            <w:tcBorders>
              <w:top w:val="nil"/>
              <w:left w:val="nil"/>
              <w:bottom w:val="nil"/>
              <w:right w:val="single" w:sz="4" w:space="0" w:color="auto"/>
            </w:tcBorders>
            <w:shd w:val="clear" w:color="auto" w:fill="FFFFFF" w:themeFill="background1"/>
          </w:tcPr>
          <w:p w14:paraId="3C3536D0" w14:textId="4BD4B369"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8 635,8</w:t>
            </w:r>
          </w:p>
        </w:tc>
        <w:tc>
          <w:tcPr>
            <w:tcW w:w="1605" w:type="dxa"/>
            <w:tcBorders>
              <w:top w:val="nil"/>
              <w:left w:val="nil"/>
              <w:bottom w:val="nil"/>
              <w:right w:val="single" w:sz="4" w:space="0" w:color="auto"/>
            </w:tcBorders>
            <w:shd w:val="clear" w:color="auto" w:fill="FFFFFF" w:themeFill="background1"/>
            <w:noWrap/>
          </w:tcPr>
          <w:p w14:paraId="1B8EF8A2" w14:textId="39F3A287"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8 598,6</w:t>
            </w:r>
          </w:p>
        </w:tc>
        <w:tc>
          <w:tcPr>
            <w:tcW w:w="1635" w:type="dxa"/>
            <w:tcBorders>
              <w:top w:val="nil"/>
              <w:left w:val="nil"/>
              <w:bottom w:val="nil"/>
              <w:right w:val="single" w:sz="4" w:space="0" w:color="auto"/>
            </w:tcBorders>
            <w:shd w:val="clear" w:color="auto" w:fill="FFFFFF" w:themeFill="background1"/>
            <w:noWrap/>
          </w:tcPr>
          <w:p w14:paraId="725BFB01" w14:textId="15B79515" w:rsidR="0053464B" w:rsidRPr="0053464B" w:rsidRDefault="0053464B" w:rsidP="0053464B">
            <w:pPr>
              <w:spacing w:after="0"/>
              <w:jc w:val="right"/>
              <w:rPr>
                <w:rFonts w:ascii="Times New Roman" w:eastAsia="Times New Roman" w:hAnsi="Times New Roman" w:cs="Times New Roman"/>
                <w:noProof/>
                <w:sz w:val="20"/>
                <w:szCs w:val="20"/>
                <w:highlight w:val="yellow"/>
              </w:rPr>
            </w:pPr>
            <w:r>
              <w:rPr>
                <w:rFonts w:ascii="Times New Roman" w:hAnsi="Times New Roman"/>
                <w:noProof/>
                <w:sz w:val="20"/>
              </w:rPr>
              <w:t>8 630,8</w:t>
            </w:r>
          </w:p>
        </w:tc>
      </w:tr>
      <w:tr w:rsidR="0053464B" w:rsidRPr="006A6461" w14:paraId="30489406" w14:textId="77777777" w:rsidTr="00311C9F">
        <w:trPr>
          <w:trHeight w:val="300"/>
          <w:jc w:val="center"/>
        </w:trPr>
        <w:tc>
          <w:tcPr>
            <w:tcW w:w="1248" w:type="dxa"/>
            <w:tcBorders>
              <w:top w:val="nil"/>
              <w:left w:val="single" w:sz="4" w:space="0" w:color="auto"/>
              <w:bottom w:val="nil"/>
              <w:right w:val="single" w:sz="4" w:space="0" w:color="auto"/>
            </w:tcBorders>
            <w:shd w:val="clear" w:color="auto" w:fill="FFFFFF" w:themeFill="background1"/>
            <w:noWrap/>
            <w:vAlign w:val="bottom"/>
            <w:hideMark/>
          </w:tcPr>
          <w:p w14:paraId="1AF30E0A" w14:textId="77777777" w:rsidR="0053464B" w:rsidRPr="006A6461" w:rsidRDefault="0053464B" w:rsidP="0053464B">
            <w:pPr>
              <w:spacing w:after="120"/>
              <w:rPr>
                <w:rFonts w:ascii="Times New Roman" w:hAnsi="Times New Roman" w:cs="Times New Roman"/>
                <w:b/>
                <w:bCs/>
                <w:noProof/>
                <w:color w:val="000000"/>
                <w:sz w:val="20"/>
                <w:szCs w:val="20"/>
              </w:rPr>
            </w:pPr>
            <w:r>
              <w:rPr>
                <w:rFonts w:ascii="Times New Roman" w:hAnsi="Times New Roman"/>
                <w:b/>
                <w:noProof/>
                <w:color w:val="000000"/>
                <w:sz w:val="20"/>
              </w:rPr>
              <w:t>AT</w:t>
            </w:r>
          </w:p>
        </w:tc>
        <w:tc>
          <w:tcPr>
            <w:tcW w:w="1665" w:type="dxa"/>
            <w:tcBorders>
              <w:top w:val="nil"/>
              <w:left w:val="nil"/>
              <w:bottom w:val="nil"/>
              <w:right w:val="single" w:sz="4" w:space="0" w:color="auto"/>
            </w:tcBorders>
            <w:shd w:val="clear" w:color="auto" w:fill="FFFFFF" w:themeFill="background1"/>
            <w:noWrap/>
          </w:tcPr>
          <w:p w14:paraId="4D0DF971" w14:textId="1D5F76A5"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3 095,3</w:t>
            </w:r>
          </w:p>
        </w:tc>
        <w:tc>
          <w:tcPr>
            <w:tcW w:w="1724" w:type="dxa"/>
            <w:tcBorders>
              <w:top w:val="nil"/>
              <w:left w:val="nil"/>
              <w:bottom w:val="nil"/>
              <w:right w:val="single" w:sz="4" w:space="0" w:color="auto"/>
            </w:tcBorders>
            <w:shd w:val="clear" w:color="auto" w:fill="FFFFFF" w:themeFill="background1"/>
          </w:tcPr>
          <w:p w14:paraId="164994A7" w14:textId="72575B86"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3 214,1</w:t>
            </w:r>
          </w:p>
        </w:tc>
        <w:tc>
          <w:tcPr>
            <w:tcW w:w="1577" w:type="dxa"/>
            <w:tcBorders>
              <w:top w:val="nil"/>
              <w:left w:val="nil"/>
              <w:bottom w:val="nil"/>
              <w:right w:val="single" w:sz="4" w:space="0" w:color="auto"/>
            </w:tcBorders>
            <w:shd w:val="clear" w:color="auto" w:fill="FFFFFF" w:themeFill="background1"/>
          </w:tcPr>
          <w:p w14:paraId="62287E4B" w14:textId="1C5F1DBE"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3 214,2</w:t>
            </w:r>
          </w:p>
        </w:tc>
        <w:tc>
          <w:tcPr>
            <w:tcW w:w="1605" w:type="dxa"/>
            <w:tcBorders>
              <w:top w:val="nil"/>
              <w:left w:val="nil"/>
              <w:bottom w:val="nil"/>
              <w:right w:val="single" w:sz="4" w:space="0" w:color="auto"/>
            </w:tcBorders>
            <w:shd w:val="clear" w:color="auto" w:fill="FFFFFF" w:themeFill="background1"/>
            <w:noWrap/>
          </w:tcPr>
          <w:p w14:paraId="7B26919E" w14:textId="0804B175"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3 196,0</w:t>
            </w:r>
          </w:p>
        </w:tc>
        <w:tc>
          <w:tcPr>
            <w:tcW w:w="1635" w:type="dxa"/>
            <w:tcBorders>
              <w:top w:val="nil"/>
              <w:left w:val="nil"/>
              <w:bottom w:val="nil"/>
              <w:right w:val="single" w:sz="4" w:space="0" w:color="auto"/>
            </w:tcBorders>
            <w:shd w:val="clear" w:color="auto" w:fill="FFFFFF" w:themeFill="background1"/>
            <w:noWrap/>
          </w:tcPr>
          <w:p w14:paraId="604EE0D9" w14:textId="60977B50" w:rsidR="0053464B" w:rsidRPr="0053464B" w:rsidRDefault="0053464B" w:rsidP="0053464B">
            <w:pPr>
              <w:spacing w:after="0"/>
              <w:jc w:val="right"/>
              <w:rPr>
                <w:rFonts w:ascii="Times New Roman" w:eastAsia="Times New Roman" w:hAnsi="Times New Roman" w:cs="Times New Roman"/>
                <w:noProof/>
                <w:sz w:val="20"/>
                <w:szCs w:val="20"/>
                <w:highlight w:val="yellow"/>
              </w:rPr>
            </w:pPr>
            <w:r>
              <w:rPr>
                <w:rFonts w:ascii="Times New Roman" w:hAnsi="Times New Roman"/>
                <w:noProof/>
                <w:sz w:val="20"/>
              </w:rPr>
              <w:t>3 229,7</w:t>
            </w:r>
          </w:p>
        </w:tc>
      </w:tr>
      <w:tr w:rsidR="0053464B" w:rsidRPr="006A6461" w14:paraId="320D2A24" w14:textId="77777777" w:rsidTr="00311C9F">
        <w:trPr>
          <w:trHeight w:val="300"/>
          <w:jc w:val="center"/>
        </w:trPr>
        <w:tc>
          <w:tcPr>
            <w:tcW w:w="1248" w:type="dxa"/>
            <w:tcBorders>
              <w:top w:val="nil"/>
              <w:left w:val="single" w:sz="4" w:space="0" w:color="auto"/>
              <w:bottom w:val="nil"/>
              <w:right w:val="single" w:sz="4" w:space="0" w:color="auto"/>
            </w:tcBorders>
            <w:shd w:val="clear" w:color="auto" w:fill="FFFFFF" w:themeFill="background1"/>
            <w:noWrap/>
            <w:vAlign w:val="bottom"/>
            <w:hideMark/>
          </w:tcPr>
          <w:p w14:paraId="6B637CD3" w14:textId="77777777" w:rsidR="0053464B" w:rsidRPr="006A6461" w:rsidRDefault="0053464B" w:rsidP="0053464B">
            <w:pPr>
              <w:spacing w:after="120"/>
              <w:rPr>
                <w:rFonts w:ascii="Times New Roman" w:hAnsi="Times New Roman" w:cs="Times New Roman"/>
                <w:b/>
                <w:bCs/>
                <w:noProof/>
                <w:color w:val="000000"/>
                <w:sz w:val="20"/>
                <w:szCs w:val="20"/>
              </w:rPr>
            </w:pPr>
            <w:r>
              <w:rPr>
                <w:rFonts w:ascii="Times New Roman" w:hAnsi="Times New Roman"/>
                <w:b/>
                <w:noProof/>
                <w:color w:val="000000"/>
                <w:sz w:val="20"/>
              </w:rPr>
              <w:t>PL</w:t>
            </w:r>
          </w:p>
        </w:tc>
        <w:tc>
          <w:tcPr>
            <w:tcW w:w="1665" w:type="dxa"/>
            <w:tcBorders>
              <w:top w:val="nil"/>
              <w:left w:val="nil"/>
              <w:bottom w:val="nil"/>
              <w:right w:val="single" w:sz="4" w:space="0" w:color="auto"/>
            </w:tcBorders>
            <w:shd w:val="clear" w:color="auto" w:fill="FFFFFF" w:themeFill="background1"/>
            <w:noWrap/>
          </w:tcPr>
          <w:p w14:paraId="4D8C38D1" w14:textId="432C3847"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7 215,9</w:t>
            </w:r>
          </w:p>
        </w:tc>
        <w:tc>
          <w:tcPr>
            <w:tcW w:w="1724" w:type="dxa"/>
            <w:tcBorders>
              <w:top w:val="nil"/>
              <w:left w:val="nil"/>
              <w:bottom w:val="nil"/>
              <w:right w:val="single" w:sz="4" w:space="0" w:color="auto"/>
            </w:tcBorders>
            <w:shd w:val="clear" w:color="auto" w:fill="FFFFFF" w:themeFill="background1"/>
          </w:tcPr>
          <w:p w14:paraId="4BB15662" w14:textId="1277DC27"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7 400,2</w:t>
            </w:r>
          </w:p>
        </w:tc>
        <w:tc>
          <w:tcPr>
            <w:tcW w:w="1577" w:type="dxa"/>
            <w:tcBorders>
              <w:top w:val="nil"/>
              <w:left w:val="nil"/>
              <w:bottom w:val="nil"/>
              <w:right w:val="single" w:sz="4" w:space="0" w:color="auto"/>
            </w:tcBorders>
            <w:shd w:val="clear" w:color="auto" w:fill="FFFFFF" w:themeFill="background1"/>
          </w:tcPr>
          <w:p w14:paraId="3FD34590" w14:textId="1B458E46"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7 400,4</w:t>
            </w:r>
          </w:p>
        </w:tc>
        <w:tc>
          <w:tcPr>
            <w:tcW w:w="1605" w:type="dxa"/>
            <w:tcBorders>
              <w:top w:val="nil"/>
              <w:left w:val="nil"/>
              <w:bottom w:val="nil"/>
              <w:right w:val="single" w:sz="4" w:space="0" w:color="auto"/>
            </w:tcBorders>
            <w:shd w:val="clear" w:color="auto" w:fill="FFFFFF" w:themeFill="background1"/>
            <w:noWrap/>
          </w:tcPr>
          <w:p w14:paraId="2B089B28" w14:textId="566FDF8E"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7 372,3</w:t>
            </w:r>
          </w:p>
        </w:tc>
        <w:tc>
          <w:tcPr>
            <w:tcW w:w="1635" w:type="dxa"/>
            <w:tcBorders>
              <w:top w:val="nil"/>
              <w:left w:val="nil"/>
              <w:bottom w:val="nil"/>
              <w:right w:val="single" w:sz="4" w:space="0" w:color="auto"/>
            </w:tcBorders>
            <w:shd w:val="clear" w:color="auto" w:fill="FFFFFF" w:themeFill="background1"/>
            <w:noWrap/>
          </w:tcPr>
          <w:p w14:paraId="6C97B526" w14:textId="5034C7A1" w:rsidR="0053464B" w:rsidRPr="0053464B" w:rsidRDefault="0053464B" w:rsidP="0053464B">
            <w:pPr>
              <w:spacing w:after="0"/>
              <w:jc w:val="right"/>
              <w:rPr>
                <w:rFonts w:ascii="Times New Roman" w:eastAsia="Times New Roman" w:hAnsi="Times New Roman" w:cs="Times New Roman"/>
                <w:noProof/>
                <w:sz w:val="20"/>
                <w:szCs w:val="20"/>
                <w:highlight w:val="yellow"/>
              </w:rPr>
            </w:pPr>
            <w:r>
              <w:rPr>
                <w:rFonts w:ascii="Times New Roman" w:hAnsi="Times New Roman"/>
                <w:noProof/>
                <w:sz w:val="20"/>
              </w:rPr>
              <w:t>7 183,4</w:t>
            </w:r>
          </w:p>
        </w:tc>
      </w:tr>
      <w:tr w:rsidR="0053464B" w:rsidRPr="006A6461" w14:paraId="2B662691" w14:textId="77777777" w:rsidTr="00311C9F">
        <w:trPr>
          <w:trHeight w:val="300"/>
          <w:jc w:val="center"/>
        </w:trPr>
        <w:tc>
          <w:tcPr>
            <w:tcW w:w="1248" w:type="dxa"/>
            <w:tcBorders>
              <w:top w:val="nil"/>
              <w:left w:val="single" w:sz="4" w:space="0" w:color="auto"/>
              <w:bottom w:val="nil"/>
              <w:right w:val="single" w:sz="4" w:space="0" w:color="auto"/>
            </w:tcBorders>
            <w:shd w:val="clear" w:color="auto" w:fill="FFFFFF" w:themeFill="background1"/>
            <w:noWrap/>
            <w:vAlign w:val="bottom"/>
            <w:hideMark/>
          </w:tcPr>
          <w:p w14:paraId="3E166319" w14:textId="77777777" w:rsidR="0053464B" w:rsidRPr="006A6461" w:rsidRDefault="0053464B" w:rsidP="0053464B">
            <w:pPr>
              <w:spacing w:after="120"/>
              <w:rPr>
                <w:rFonts w:ascii="Times New Roman" w:hAnsi="Times New Roman" w:cs="Times New Roman"/>
                <w:b/>
                <w:bCs/>
                <w:noProof/>
                <w:color w:val="000000"/>
                <w:sz w:val="20"/>
                <w:szCs w:val="20"/>
              </w:rPr>
            </w:pPr>
            <w:r>
              <w:rPr>
                <w:rFonts w:ascii="Times New Roman" w:hAnsi="Times New Roman"/>
                <w:b/>
                <w:noProof/>
                <w:color w:val="000000"/>
                <w:sz w:val="20"/>
              </w:rPr>
              <w:t>PT</w:t>
            </w:r>
          </w:p>
        </w:tc>
        <w:tc>
          <w:tcPr>
            <w:tcW w:w="1665" w:type="dxa"/>
            <w:tcBorders>
              <w:top w:val="nil"/>
              <w:left w:val="nil"/>
              <w:bottom w:val="nil"/>
              <w:right w:val="single" w:sz="4" w:space="0" w:color="auto"/>
            </w:tcBorders>
            <w:shd w:val="clear" w:color="auto" w:fill="FFFFFF" w:themeFill="background1"/>
            <w:noWrap/>
          </w:tcPr>
          <w:p w14:paraId="21451060" w14:textId="6107170E"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2 203,3</w:t>
            </w:r>
          </w:p>
        </w:tc>
        <w:tc>
          <w:tcPr>
            <w:tcW w:w="1724" w:type="dxa"/>
            <w:tcBorders>
              <w:top w:val="nil"/>
              <w:left w:val="nil"/>
              <w:bottom w:val="nil"/>
              <w:right w:val="single" w:sz="4" w:space="0" w:color="auto"/>
            </w:tcBorders>
            <w:shd w:val="clear" w:color="auto" w:fill="FFFFFF" w:themeFill="background1"/>
          </w:tcPr>
          <w:p w14:paraId="4FF9BDDC" w14:textId="680C70D7"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2 265,3</w:t>
            </w:r>
          </w:p>
        </w:tc>
        <w:tc>
          <w:tcPr>
            <w:tcW w:w="1577" w:type="dxa"/>
            <w:tcBorders>
              <w:top w:val="nil"/>
              <w:left w:val="nil"/>
              <w:bottom w:val="nil"/>
              <w:right w:val="single" w:sz="4" w:space="0" w:color="auto"/>
            </w:tcBorders>
            <w:shd w:val="clear" w:color="auto" w:fill="FFFFFF" w:themeFill="background1"/>
          </w:tcPr>
          <w:p w14:paraId="44E30638" w14:textId="4051D281"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2 265,4</w:t>
            </w:r>
          </w:p>
        </w:tc>
        <w:tc>
          <w:tcPr>
            <w:tcW w:w="1605" w:type="dxa"/>
            <w:tcBorders>
              <w:top w:val="nil"/>
              <w:left w:val="nil"/>
              <w:bottom w:val="nil"/>
              <w:right w:val="single" w:sz="4" w:space="0" w:color="auto"/>
            </w:tcBorders>
            <w:shd w:val="clear" w:color="auto" w:fill="FFFFFF" w:themeFill="background1"/>
            <w:noWrap/>
          </w:tcPr>
          <w:p w14:paraId="21AF845D" w14:textId="1E057602"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2 255,9</w:t>
            </w:r>
          </w:p>
        </w:tc>
        <w:tc>
          <w:tcPr>
            <w:tcW w:w="1635" w:type="dxa"/>
            <w:tcBorders>
              <w:top w:val="nil"/>
              <w:left w:val="nil"/>
              <w:bottom w:val="nil"/>
              <w:right w:val="single" w:sz="4" w:space="0" w:color="auto"/>
            </w:tcBorders>
            <w:shd w:val="clear" w:color="auto" w:fill="FFFFFF" w:themeFill="background1"/>
            <w:noWrap/>
          </w:tcPr>
          <w:p w14:paraId="07F185A6" w14:textId="525AFD80" w:rsidR="0053464B" w:rsidRPr="0053464B" w:rsidRDefault="0053464B" w:rsidP="0053464B">
            <w:pPr>
              <w:spacing w:after="0"/>
              <w:jc w:val="right"/>
              <w:rPr>
                <w:rFonts w:ascii="Times New Roman" w:eastAsia="Times New Roman" w:hAnsi="Times New Roman" w:cs="Times New Roman"/>
                <w:noProof/>
                <w:sz w:val="20"/>
                <w:szCs w:val="20"/>
                <w:highlight w:val="yellow"/>
              </w:rPr>
            </w:pPr>
            <w:r>
              <w:rPr>
                <w:rFonts w:ascii="Times New Roman" w:hAnsi="Times New Roman"/>
                <w:noProof/>
                <w:sz w:val="20"/>
              </w:rPr>
              <w:t>2 348,0</w:t>
            </w:r>
          </w:p>
        </w:tc>
      </w:tr>
      <w:tr w:rsidR="0053464B" w:rsidRPr="006A6461" w14:paraId="245F8A3C" w14:textId="77777777" w:rsidTr="00311C9F">
        <w:trPr>
          <w:trHeight w:val="300"/>
          <w:jc w:val="center"/>
        </w:trPr>
        <w:tc>
          <w:tcPr>
            <w:tcW w:w="1248" w:type="dxa"/>
            <w:tcBorders>
              <w:top w:val="nil"/>
              <w:left w:val="single" w:sz="4" w:space="0" w:color="auto"/>
              <w:bottom w:val="nil"/>
              <w:right w:val="single" w:sz="4" w:space="0" w:color="auto"/>
            </w:tcBorders>
            <w:shd w:val="clear" w:color="auto" w:fill="FFFFFF" w:themeFill="background1"/>
            <w:noWrap/>
            <w:vAlign w:val="bottom"/>
            <w:hideMark/>
          </w:tcPr>
          <w:p w14:paraId="08E247B2" w14:textId="77777777" w:rsidR="0053464B" w:rsidRPr="006A6461" w:rsidRDefault="0053464B" w:rsidP="0053464B">
            <w:pPr>
              <w:spacing w:after="120"/>
              <w:rPr>
                <w:rFonts w:ascii="Times New Roman" w:hAnsi="Times New Roman" w:cs="Times New Roman"/>
                <w:b/>
                <w:bCs/>
                <w:noProof/>
                <w:color w:val="000000"/>
                <w:sz w:val="20"/>
                <w:szCs w:val="20"/>
              </w:rPr>
            </w:pPr>
            <w:r>
              <w:rPr>
                <w:rFonts w:ascii="Times New Roman" w:hAnsi="Times New Roman"/>
                <w:b/>
                <w:noProof/>
                <w:color w:val="000000"/>
                <w:sz w:val="20"/>
              </w:rPr>
              <w:t>RO</w:t>
            </w:r>
          </w:p>
        </w:tc>
        <w:tc>
          <w:tcPr>
            <w:tcW w:w="1665" w:type="dxa"/>
            <w:tcBorders>
              <w:top w:val="nil"/>
              <w:left w:val="nil"/>
              <w:bottom w:val="nil"/>
              <w:right w:val="single" w:sz="4" w:space="0" w:color="auto"/>
            </w:tcBorders>
            <w:shd w:val="clear" w:color="auto" w:fill="FFFFFF" w:themeFill="background1"/>
            <w:noWrap/>
          </w:tcPr>
          <w:p w14:paraId="07FC522E" w14:textId="02A25224"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2 716,6</w:t>
            </w:r>
          </w:p>
        </w:tc>
        <w:tc>
          <w:tcPr>
            <w:tcW w:w="1724" w:type="dxa"/>
            <w:tcBorders>
              <w:top w:val="nil"/>
              <w:left w:val="nil"/>
              <w:bottom w:val="nil"/>
              <w:right w:val="single" w:sz="4" w:space="0" w:color="auto"/>
            </w:tcBorders>
            <w:shd w:val="clear" w:color="auto" w:fill="FFFFFF" w:themeFill="background1"/>
          </w:tcPr>
          <w:p w14:paraId="08997881" w14:textId="2835EFD1"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2 798,0</w:t>
            </w:r>
          </w:p>
        </w:tc>
        <w:tc>
          <w:tcPr>
            <w:tcW w:w="1577" w:type="dxa"/>
            <w:tcBorders>
              <w:top w:val="nil"/>
              <w:left w:val="nil"/>
              <w:bottom w:val="nil"/>
              <w:right w:val="single" w:sz="4" w:space="0" w:color="auto"/>
            </w:tcBorders>
            <w:shd w:val="clear" w:color="auto" w:fill="FFFFFF" w:themeFill="background1"/>
          </w:tcPr>
          <w:p w14:paraId="6DDA9877" w14:textId="383DFC5F"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2 798,1</w:t>
            </w:r>
          </w:p>
        </w:tc>
        <w:tc>
          <w:tcPr>
            <w:tcW w:w="1605" w:type="dxa"/>
            <w:tcBorders>
              <w:top w:val="nil"/>
              <w:left w:val="nil"/>
              <w:bottom w:val="nil"/>
              <w:right w:val="single" w:sz="4" w:space="0" w:color="auto"/>
            </w:tcBorders>
            <w:shd w:val="clear" w:color="auto" w:fill="FFFFFF" w:themeFill="background1"/>
            <w:noWrap/>
          </w:tcPr>
          <w:p w14:paraId="7E131AC9" w14:textId="3D079204"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2 785,7</w:t>
            </w:r>
          </w:p>
        </w:tc>
        <w:tc>
          <w:tcPr>
            <w:tcW w:w="1635" w:type="dxa"/>
            <w:tcBorders>
              <w:top w:val="nil"/>
              <w:left w:val="nil"/>
              <w:bottom w:val="nil"/>
              <w:right w:val="single" w:sz="4" w:space="0" w:color="auto"/>
            </w:tcBorders>
            <w:shd w:val="clear" w:color="auto" w:fill="FFFFFF" w:themeFill="background1"/>
            <w:noWrap/>
          </w:tcPr>
          <w:p w14:paraId="492CB8CB" w14:textId="59D72585" w:rsidR="0053464B" w:rsidRPr="0053464B" w:rsidRDefault="0053464B" w:rsidP="0053464B">
            <w:pPr>
              <w:spacing w:after="0"/>
              <w:jc w:val="right"/>
              <w:rPr>
                <w:rFonts w:ascii="Times New Roman" w:eastAsia="Times New Roman" w:hAnsi="Times New Roman" w:cs="Times New Roman"/>
                <w:noProof/>
                <w:sz w:val="20"/>
                <w:szCs w:val="20"/>
                <w:highlight w:val="yellow"/>
              </w:rPr>
            </w:pPr>
            <w:r>
              <w:rPr>
                <w:rFonts w:ascii="Times New Roman" w:hAnsi="Times New Roman"/>
                <w:noProof/>
                <w:sz w:val="20"/>
              </w:rPr>
              <w:t>2 803,8</w:t>
            </w:r>
          </w:p>
        </w:tc>
      </w:tr>
      <w:tr w:rsidR="0053464B" w:rsidRPr="006A6461" w14:paraId="49AF8441" w14:textId="77777777" w:rsidTr="00311C9F">
        <w:trPr>
          <w:trHeight w:val="300"/>
          <w:jc w:val="center"/>
        </w:trPr>
        <w:tc>
          <w:tcPr>
            <w:tcW w:w="1248" w:type="dxa"/>
            <w:tcBorders>
              <w:top w:val="nil"/>
              <w:left w:val="single" w:sz="4" w:space="0" w:color="auto"/>
              <w:bottom w:val="nil"/>
              <w:right w:val="single" w:sz="4" w:space="0" w:color="auto"/>
            </w:tcBorders>
            <w:shd w:val="clear" w:color="auto" w:fill="FFFFFF" w:themeFill="background1"/>
            <w:noWrap/>
            <w:vAlign w:val="bottom"/>
            <w:hideMark/>
          </w:tcPr>
          <w:p w14:paraId="0046F299" w14:textId="77777777" w:rsidR="0053464B" w:rsidRPr="006A6461" w:rsidRDefault="0053464B" w:rsidP="0053464B">
            <w:pPr>
              <w:spacing w:after="120"/>
              <w:rPr>
                <w:rFonts w:ascii="Times New Roman" w:hAnsi="Times New Roman" w:cs="Times New Roman"/>
                <w:b/>
                <w:bCs/>
                <w:noProof/>
                <w:color w:val="000000"/>
                <w:sz w:val="20"/>
                <w:szCs w:val="20"/>
              </w:rPr>
            </w:pPr>
            <w:r>
              <w:rPr>
                <w:rFonts w:ascii="Times New Roman" w:hAnsi="Times New Roman"/>
                <w:b/>
                <w:noProof/>
                <w:color w:val="000000"/>
                <w:sz w:val="20"/>
              </w:rPr>
              <w:t>SI</w:t>
            </w:r>
          </w:p>
        </w:tc>
        <w:tc>
          <w:tcPr>
            <w:tcW w:w="1665" w:type="dxa"/>
            <w:tcBorders>
              <w:top w:val="nil"/>
              <w:left w:val="nil"/>
              <w:bottom w:val="nil"/>
              <w:right w:val="single" w:sz="4" w:space="0" w:color="auto"/>
            </w:tcBorders>
            <w:shd w:val="clear" w:color="auto" w:fill="FFFFFF" w:themeFill="background1"/>
            <w:noWrap/>
          </w:tcPr>
          <w:p w14:paraId="6832CB0B" w14:textId="3EA2AF45"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733,6</w:t>
            </w:r>
          </w:p>
        </w:tc>
        <w:tc>
          <w:tcPr>
            <w:tcW w:w="1724" w:type="dxa"/>
            <w:tcBorders>
              <w:top w:val="nil"/>
              <w:left w:val="nil"/>
              <w:bottom w:val="nil"/>
              <w:right w:val="single" w:sz="4" w:space="0" w:color="auto"/>
            </w:tcBorders>
            <w:shd w:val="clear" w:color="auto" w:fill="FFFFFF" w:themeFill="background1"/>
          </w:tcPr>
          <w:p w14:paraId="22214916" w14:textId="3E962259"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749,4</w:t>
            </w:r>
          </w:p>
        </w:tc>
        <w:tc>
          <w:tcPr>
            <w:tcW w:w="1577" w:type="dxa"/>
            <w:tcBorders>
              <w:top w:val="nil"/>
              <w:left w:val="nil"/>
              <w:bottom w:val="nil"/>
              <w:right w:val="single" w:sz="4" w:space="0" w:color="auto"/>
            </w:tcBorders>
            <w:shd w:val="clear" w:color="auto" w:fill="FFFFFF" w:themeFill="background1"/>
          </w:tcPr>
          <w:p w14:paraId="310F5385" w14:textId="20B09112"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749,4</w:t>
            </w:r>
          </w:p>
        </w:tc>
        <w:tc>
          <w:tcPr>
            <w:tcW w:w="1605" w:type="dxa"/>
            <w:tcBorders>
              <w:top w:val="nil"/>
              <w:left w:val="nil"/>
              <w:bottom w:val="nil"/>
              <w:right w:val="single" w:sz="4" w:space="0" w:color="auto"/>
            </w:tcBorders>
            <w:shd w:val="clear" w:color="auto" w:fill="FFFFFF" w:themeFill="background1"/>
            <w:noWrap/>
          </w:tcPr>
          <w:p w14:paraId="15F0E980" w14:textId="30BA16C3"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747,0</w:t>
            </w:r>
          </w:p>
        </w:tc>
        <w:tc>
          <w:tcPr>
            <w:tcW w:w="1635" w:type="dxa"/>
            <w:tcBorders>
              <w:top w:val="nil"/>
              <w:left w:val="nil"/>
              <w:bottom w:val="nil"/>
              <w:right w:val="single" w:sz="4" w:space="0" w:color="auto"/>
            </w:tcBorders>
            <w:shd w:val="clear" w:color="auto" w:fill="FFFFFF" w:themeFill="background1"/>
            <w:noWrap/>
          </w:tcPr>
          <w:p w14:paraId="7FE67B15" w14:textId="6E339C6E" w:rsidR="0053464B" w:rsidRPr="0053464B" w:rsidRDefault="0053464B" w:rsidP="0053464B">
            <w:pPr>
              <w:spacing w:after="0"/>
              <w:jc w:val="right"/>
              <w:rPr>
                <w:rFonts w:ascii="Times New Roman" w:eastAsia="Times New Roman" w:hAnsi="Times New Roman" w:cs="Times New Roman"/>
                <w:noProof/>
                <w:sz w:val="20"/>
                <w:szCs w:val="20"/>
                <w:highlight w:val="yellow"/>
              </w:rPr>
            </w:pPr>
            <w:r>
              <w:rPr>
                <w:rFonts w:ascii="Times New Roman" w:hAnsi="Times New Roman"/>
                <w:noProof/>
                <w:sz w:val="20"/>
              </w:rPr>
              <w:t>638,5</w:t>
            </w:r>
          </w:p>
        </w:tc>
      </w:tr>
      <w:tr w:rsidR="0053464B" w:rsidRPr="006A6461" w14:paraId="5FBBE19A" w14:textId="77777777" w:rsidTr="00311C9F">
        <w:trPr>
          <w:trHeight w:val="300"/>
          <w:jc w:val="center"/>
        </w:trPr>
        <w:tc>
          <w:tcPr>
            <w:tcW w:w="1248" w:type="dxa"/>
            <w:tcBorders>
              <w:top w:val="nil"/>
              <w:left w:val="single" w:sz="4" w:space="0" w:color="auto"/>
              <w:bottom w:val="nil"/>
              <w:right w:val="single" w:sz="4" w:space="0" w:color="auto"/>
            </w:tcBorders>
            <w:shd w:val="clear" w:color="auto" w:fill="FFFFFF" w:themeFill="background1"/>
            <w:noWrap/>
            <w:vAlign w:val="bottom"/>
            <w:hideMark/>
          </w:tcPr>
          <w:p w14:paraId="6D719EC8" w14:textId="77777777" w:rsidR="0053464B" w:rsidRPr="006A6461" w:rsidRDefault="0053464B" w:rsidP="0053464B">
            <w:pPr>
              <w:spacing w:after="120"/>
              <w:rPr>
                <w:rFonts w:ascii="Times New Roman" w:hAnsi="Times New Roman" w:cs="Times New Roman"/>
                <w:b/>
                <w:bCs/>
                <w:noProof/>
                <w:color w:val="000000"/>
                <w:sz w:val="20"/>
                <w:szCs w:val="20"/>
              </w:rPr>
            </w:pPr>
            <w:r>
              <w:rPr>
                <w:rFonts w:ascii="Times New Roman" w:hAnsi="Times New Roman"/>
                <w:b/>
                <w:noProof/>
                <w:color w:val="000000"/>
                <w:sz w:val="20"/>
              </w:rPr>
              <w:t>SK</w:t>
            </w:r>
          </w:p>
        </w:tc>
        <w:tc>
          <w:tcPr>
            <w:tcW w:w="1665" w:type="dxa"/>
            <w:tcBorders>
              <w:top w:val="nil"/>
              <w:left w:val="nil"/>
              <w:bottom w:val="nil"/>
              <w:right w:val="single" w:sz="4" w:space="0" w:color="auto"/>
            </w:tcBorders>
            <w:shd w:val="clear" w:color="auto" w:fill="FFFFFF" w:themeFill="background1"/>
            <w:noWrap/>
          </w:tcPr>
          <w:p w14:paraId="4A0C4824" w14:textId="022ACA0E"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990,5</w:t>
            </w:r>
          </w:p>
        </w:tc>
        <w:tc>
          <w:tcPr>
            <w:tcW w:w="1724" w:type="dxa"/>
            <w:tcBorders>
              <w:top w:val="nil"/>
              <w:left w:val="nil"/>
              <w:bottom w:val="nil"/>
              <w:right w:val="single" w:sz="4" w:space="0" w:color="auto"/>
            </w:tcBorders>
            <w:shd w:val="clear" w:color="auto" w:fill="FFFFFF" w:themeFill="background1"/>
          </w:tcPr>
          <w:p w14:paraId="1C79B26D" w14:textId="59021F19"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1 020,4</w:t>
            </w:r>
          </w:p>
        </w:tc>
        <w:tc>
          <w:tcPr>
            <w:tcW w:w="1577" w:type="dxa"/>
            <w:tcBorders>
              <w:top w:val="nil"/>
              <w:left w:val="nil"/>
              <w:bottom w:val="nil"/>
              <w:right w:val="single" w:sz="4" w:space="0" w:color="auto"/>
            </w:tcBorders>
            <w:shd w:val="clear" w:color="auto" w:fill="FFFFFF" w:themeFill="background1"/>
          </w:tcPr>
          <w:p w14:paraId="0142C1E8" w14:textId="416FEAFB"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1 020,5</w:t>
            </w:r>
          </w:p>
        </w:tc>
        <w:tc>
          <w:tcPr>
            <w:tcW w:w="1605" w:type="dxa"/>
            <w:tcBorders>
              <w:top w:val="nil"/>
              <w:left w:val="nil"/>
              <w:bottom w:val="nil"/>
              <w:right w:val="single" w:sz="4" w:space="0" w:color="auto"/>
            </w:tcBorders>
            <w:shd w:val="clear" w:color="auto" w:fill="FFFFFF" w:themeFill="background1"/>
            <w:noWrap/>
          </w:tcPr>
          <w:p w14:paraId="48B4AC0E" w14:textId="7D968469"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1 015,9</w:t>
            </w:r>
          </w:p>
        </w:tc>
        <w:tc>
          <w:tcPr>
            <w:tcW w:w="1635" w:type="dxa"/>
            <w:tcBorders>
              <w:top w:val="nil"/>
              <w:left w:val="nil"/>
              <w:bottom w:val="nil"/>
              <w:right w:val="single" w:sz="4" w:space="0" w:color="auto"/>
            </w:tcBorders>
            <w:shd w:val="clear" w:color="auto" w:fill="FFFFFF" w:themeFill="background1"/>
            <w:noWrap/>
          </w:tcPr>
          <w:p w14:paraId="086AC4A5" w14:textId="489EFF86" w:rsidR="0053464B" w:rsidRPr="0053464B" w:rsidRDefault="0053464B" w:rsidP="0053464B">
            <w:pPr>
              <w:spacing w:after="0"/>
              <w:jc w:val="right"/>
              <w:rPr>
                <w:rFonts w:ascii="Times New Roman" w:eastAsia="Times New Roman" w:hAnsi="Times New Roman" w:cs="Times New Roman"/>
                <w:noProof/>
                <w:sz w:val="20"/>
                <w:szCs w:val="20"/>
                <w:highlight w:val="yellow"/>
              </w:rPr>
            </w:pPr>
            <w:r>
              <w:rPr>
                <w:rFonts w:ascii="Times New Roman" w:hAnsi="Times New Roman"/>
                <w:noProof/>
                <w:sz w:val="20"/>
              </w:rPr>
              <w:t>994,5</w:t>
            </w:r>
          </w:p>
        </w:tc>
      </w:tr>
      <w:tr w:rsidR="0053464B" w:rsidRPr="006A6461" w14:paraId="15DC5EFA" w14:textId="77777777" w:rsidTr="00311C9F">
        <w:trPr>
          <w:trHeight w:val="300"/>
          <w:jc w:val="center"/>
        </w:trPr>
        <w:tc>
          <w:tcPr>
            <w:tcW w:w="1248" w:type="dxa"/>
            <w:tcBorders>
              <w:top w:val="nil"/>
              <w:left w:val="single" w:sz="4" w:space="0" w:color="auto"/>
              <w:right w:val="single" w:sz="4" w:space="0" w:color="auto"/>
            </w:tcBorders>
            <w:shd w:val="clear" w:color="auto" w:fill="FFFFFF" w:themeFill="background1"/>
            <w:noWrap/>
            <w:vAlign w:val="bottom"/>
            <w:hideMark/>
          </w:tcPr>
          <w:p w14:paraId="45CAAD42" w14:textId="77777777" w:rsidR="0053464B" w:rsidRPr="006A6461" w:rsidRDefault="0053464B" w:rsidP="0053464B">
            <w:pPr>
              <w:spacing w:after="120"/>
              <w:rPr>
                <w:rFonts w:ascii="Times New Roman" w:hAnsi="Times New Roman" w:cs="Times New Roman"/>
                <w:b/>
                <w:bCs/>
                <w:noProof/>
                <w:color w:val="000000"/>
                <w:sz w:val="20"/>
                <w:szCs w:val="20"/>
              </w:rPr>
            </w:pPr>
            <w:r>
              <w:rPr>
                <w:rFonts w:ascii="Times New Roman" w:hAnsi="Times New Roman"/>
                <w:b/>
                <w:noProof/>
                <w:color w:val="000000"/>
                <w:sz w:val="20"/>
              </w:rPr>
              <w:t>FI</w:t>
            </w:r>
          </w:p>
        </w:tc>
        <w:tc>
          <w:tcPr>
            <w:tcW w:w="1665" w:type="dxa"/>
            <w:tcBorders>
              <w:top w:val="nil"/>
              <w:left w:val="nil"/>
              <w:right w:val="single" w:sz="4" w:space="0" w:color="auto"/>
            </w:tcBorders>
            <w:shd w:val="clear" w:color="auto" w:fill="FFFFFF" w:themeFill="background1"/>
            <w:noWrap/>
          </w:tcPr>
          <w:p w14:paraId="01CEA235" w14:textId="6B9BE01D"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2 109,8</w:t>
            </w:r>
          </w:p>
        </w:tc>
        <w:tc>
          <w:tcPr>
            <w:tcW w:w="1724" w:type="dxa"/>
            <w:tcBorders>
              <w:top w:val="nil"/>
              <w:left w:val="nil"/>
              <w:right w:val="single" w:sz="4" w:space="0" w:color="auto"/>
            </w:tcBorders>
            <w:shd w:val="clear" w:color="auto" w:fill="FFFFFF" w:themeFill="background1"/>
          </w:tcPr>
          <w:p w14:paraId="6732E0FD" w14:textId="55F1A747"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2 177,3</w:t>
            </w:r>
          </w:p>
        </w:tc>
        <w:tc>
          <w:tcPr>
            <w:tcW w:w="1577" w:type="dxa"/>
            <w:tcBorders>
              <w:top w:val="nil"/>
              <w:left w:val="nil"/>
              <w:right w:val="single" w:sz="4" w:space="0" w:color="auto"/>
            </w:tcBorders>
            <w:shd w:val="clear" w:color="auto" w:fill="FFFFFF" w:themeFill="background1"/>
          </w:tcPr>
          <w:p w14:paraId="6E456DD1" w14:textId="32AB3A9E"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2 177,3</w:t>
            </w:r>
          </w:p>
        </w:tc>
        <w:tc>
          <w:tcPr>
            <w:tcW w:w="1605" w:type="dxa"/>
            <w:tcBorders>
              <w:top w:val="nil"/>
              <w:left w:val="nil"/>
              <w:right w:val="single" w:sz="4" w:space="0" w:color="auto"/>
            </w:tcBorders>
            <w:shd w:val="clear" w:color="auto" w:fill="FFFFFF" w:themeFill="background1"/>
            <w:noWrap/>
          </w:tcPr>
          <w:p w14:paraId="1982700A" w14:textId="6DF4817C"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2 167,0</w:t>
            </w:r>
          </w:p>
        </w:tc>
        <w:tc>
          <w:tcPr>
            <w:tcW w:w="1635" w:type="dxa"/>
            <w:tcBorders>
              <w:top w:val="nil"/>
              <w:left w:val="nil"/>
              <w:right w:val="single" w:sz="4" w:space="0" w:color="auto"/>
            </w:tcBorders>
            <w:shd w:val="clear" w:color="auto" w:fill="FFFFFF" w:themeFill="background1"/>
            <w:noWrap/>
          </w:tcPr>
          <w:p w14:paraId="49B50AD7" w14:textId="331E3F7B" w:rsidR="0053464B" w:rsidRPr="0053464B" w:rsidRDefault="0053464B" w:rsidP="0053464B">
            <w:pPr>
              <w:spacing w:after="0"/>
              <w:jc w:val="right"/>
              <w:rPr>
                <w:rFonts w:ascii="Times New Roman" w:eastAsia="Times New Roman" w:hAnsi="Times New Roman" w:cs="Times New Roman"/>
                <w:noProof/>
                <w:sz w:val="20"/>
                <w:szCs w:val="20"/>
                <w:highlight w:val="yellow"/>
              </w:rPr>
            </w:pPr>
            <w:r>
              <w:rPr>
                <w:rFonts w:ascii="Times New Roman" w:hAnsi="Times New Roman"/>
                <w:noProof/>
                <w:sz w:val="20"/>
              </w:rPr>
              <w:t>2 194,8</w:t>
            </w:r>
          </w:p>
        </w:tc>
      </w:tr>
      <w:tr w:rsidR="0053464B" w:rsidRPr="006A6461" w14:paraId="65364C61" w14:textId="77777777" w:rsidTr="00311C9F">
        <w:trPr>
          <w:trHeight w:val="300"/>
          <w:jc w:val="center"/>
        </w:trPr>
        <w:tc>
          <w:tcPr>
            <w:tcW w:w="1248" w:type="dxa"/>
            <w:tcBorders>
              <w:top w:val="nil"/>
              <w:left w:val="single" w:sz="4" w:space="0" w:color="auto"/>
              <w:right w:val="single" w:sz="4" w:space="0" w:color="auto"/>
            </w:tcBorders>
            <w:shd w:val="clear" w:color="auto" w:fill="FFFFFF" w:themeFill="background1"/>
            <w:noWrap/>
            <w:vAlign w:val="bottom"/>
            <w:hideMark/>
          </w:tcPr>
          <w:p w14:paraId="42344D00" w14:textId="77777777" w:rsidR="0053464B" w:rsidRPr="006A6461" w:rsidRDefault="0053464B" w:rsidP="0053464B">
            <w:pPr>
              <w:spacing w:after="120"/>
              <w:rPr>
                <w:rFonts w:ascii="Times New Roman" w:hAnsi="Times New Roman" w:cs="Times New Roman"/>
                <w:b/>
                <w:bCs/>
                <w:noProof/>
                <w:color w:val="000000"/>
                <w:sz w:val="20"/>
                <w:szCs w:val="20"/>
              </w:rPr>
            </w:pPr>
            <w:r>
              <w:rPr>
                <w:rFonts w:ascii="Times New Roman" w:hAnsi="Times New Roman"/>
                <w:b/>
                <w:noProof/>
                <w:color w:val="000000"/>
                <w:sz w:val="20"/>
              </w:rPr>
              <w:t>SE</w:t>
            </w:r>
          </w:p>
        </w:tc>
        <w:tc>
          <w:tcPr>
            <w:tcW w:w="1665" w:type="dxa"/>
            <w:tcBorders>
              <w:top w:val="nil"/>
              <w:left w:val="nil"/>
              <w:right w:val="single" w:sz="4" w:space="0" w:color="auto"/>
            </w:tcBorders>
            <w:shd w:val="clear" w:color="auto" w:fill="FFFFFF" w:themeFill="background1"/>
            <w:noWrap/>
          </w:tcPr>
          <w:p w14:paraId="23204E7E" w14:textId="3854C781"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3 208,0</w:t>
            </w:r>
          </w:p>
        </w:tc>
        <w:tc>
          <w:tcPr>
            <w:tcW w:w="1724" w:type="dxa"/>
            <w:tcBorders>
              <w:top w:val="nil"/>
              <w:left w:val="nil"/>
              <w:right w:val="single" w:sz="4" w:space="0" w:color="auto"/>
            </w:tcBorders>
            <w:shd w:val="clear" w:color="auto" w:fill="FFFFFF" w:themeFill="background1"/>
          </w:tcPr>
          <w:p w14:paraId="7A969BDA" w14:textId="27767163"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3 344,3</w:t>
            </w:r>
          </w:p>
        </w:tc>
        <w:tc>
          <w:tcPr>
            <w:tcW w:w="1577" w:type="dxa"/>
            <w:tcBorders>
              <w:top w:val="nil"/>
              <w:left w:val="nil"/>
              <w:right w:val="single" w:sz="4" w:space="0" w:color="auto"/>
            </w:tcBorders>
            <w:shd w:val="clear" w:color="auto" w:fill="FFFFFF" w:themeFill="background1"/>
          </w:tcPr>
          <w:p w14:paraId="5CD73A00" w14:textId="05E8AE6C"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3 344,4</w:t>
            </w:r>
          </w:p>
        </w:tc>
        <w:tc>
          <w:tcPr>
            <w:tcW w:w="1605" w:type="dxa"/>
            <w:tcBorders>
              <w:top w:val="nil"/>
              <w:left w:val="nil"/>
              <w:right w:val="single" w:sz="4" w:space="0" w:color="auto"/>
            </w:tcBorders>
            <w:shd w:val="clear" w:color="auto" w:fill="FFFFFF" w:themeFill="background1"/>
            <w:noWrap/>
          </w:tcPr>
          <w:p w14:paraId="505D7E13" w14:textId="4A781557" w:rsidR="0053464B" w:rsidRPr="006A6461" w:rsidRDefault="0053464B" w:rsidP="0053464B">
            <w:pPr>
              <w:spacing w:after="0"/>
              <w:jc w:val="right"/>
              <w:rPr>
                <w:rFonts w:ascii="Times New Roman" w:eastAsia="Times New Roman" w:hAnsi="Times New Roman" w:cs="Times New Roman"/>
                <w:noProof/>
                <w:sz w:val="20"/>
                <w:szCs w:val="20"/>
              </w:rPr>
            </w:pPr>
            <w:r>
              <w:rPr>
                <w:rFonts w:ascii="Times New Roman" w:hAnsi="Times New Roman"/>
                <w:noProof/>
                <w:sz w:val="20"/>
              </w:rPr>
              <w:t>3 323,6</w:t>
            </w:r>
          </w:p>
        </w:tc>
        <w:tc>
          <w:tcPr>
            <w:tcW w:w="1635" w:type="dxa"/>
            <w:tcBorders>
              <w:top w:val="nil"/>
              <w:left w:val="nil"/>
              <w:right w:val="single" w:sz="4" w:space="0" w:color="auto"/>
            </w:tcBorders>
            <w:shd w:val="clear" w:color="auto" w:fill="FFFFFF" w:themeFill="background1"/>
            <w:noWrap/>
          </w:tcPr>
          <w:p w14:paraId="15C78230" w14:textId="0BF2C001" w:rsidR="0053464B" w:rsidRPr="0053464B" w:rsidRDefault="0053464B" w:rsidP="0053464B">
            <w:pPr>
              <w:spacing w:after="0"/>
              <w:jc w:val="right"/>
              <w:rPr>
                <w:rFonts w:ascii="Times New Roman" w:eastAsia="Times New Roman" w:hAnsi="Times New Roman" w:cs="Times New Roman"/>
                <w:noProof/>
                <w:sz w:val="20"/>
                <w:szCs w:val="20"/>
                <w:highlight w:val="yellow"/>
              </w:rPr>
            </w:pPr>
            <w:r>
              <w:rPr>
                <w:rFonts w:ascii="Times New Roman" w:hAnsi="Times New Roman"/>
                <w:noProof/>
                <w:sz w:val="20"/>
              </w:rPr>
              <w:t>3 627,3</w:t>
            </w:r>
          </w:p>
        </w:tc>
      </w:tr>
      <w:tr w:rsidR="0053464B" w:rsidRPr="006A6461" w14:paraId="577518CD" w14:textId="77777777" w:rsidTr="00311C9F">
        <w:trPr>
          <w:trHeight w:val="300"/>
          <w:jc w:val="center"/>
        </w:trPr>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1D055E" w14:textId="77777777" w:rsidR="0053464B" w:rsidRPr="006A6461" w:rsidRDefault="0053464B" w:rsidP="0053464B">
            <w:pPr>
              <w:spacing w:after="120"/>
              <w:rPr>
                <w:rFonts w:ascii="Times New Roman" w:hAnsi="Times New Roman" w:cs="Times New Roman"/>
                <w:b/>
                <w:bCs/>
                <w:noProof/>
                <w:color w:val="000000"/>
                <w:sz w:val="20"/>
                <w:szCs w:val="20"/>
              </w:rPr>
            </w:pPr>
            <w:r>
              <w:rPr>
                <w:rFonts w:ascii="Times New Roman" w:hAnsi="Times New Roman"/>
                <w:b/>
                <w:noProof/>
                <w:color w:val="000000"/>
                <w:sz w:val="20"/>
              </w:rPr>
              <w:t>ЕС</w:t>
            </w:r>
          </w:p>
        </w:tc>
        <w:tc>
          <w:tcPr>
            <w:tcW w:w="1665" w:type="dxa"/>
            <w:tcBorders>
              <w:top w:val="single" w:sz="4" w:space="0" w:color="auto"/>
              <w:left w:val="nil"/>
              <w:bottom w:val="single" w:sz="4" w:space="0" w:color="auto"/>
              <w:right w:val="single" w:sz="4" w:space="0" w:color="auto"/>
            </w:tcBorders>
            <w:shd w:val="clear" w:color="auto" w:fill="FFFFFF" w:themeFill="background1"/>
            <w:noWrap/>
          </w:tcPr>
          <w:p w14:paraId="7F0343C9" w14:textId="13C7B4B2" w:rsidR="0053464B" w:rsidRPr="006A6461" w:rsidRDefault="0053464B" w:rsidP="0053464B">
            <w:pPr>
              <w:spacing w:after="0"/>
              <w:jc w:val="right"/>
              <w:rPr>
                <w:rFonts w:ascii="Times New Roman" w:eastAsia="Times New Roman" w:hAnsi="Times New Roman" w:cs="Times New Roman"/>
                <w:b/>
                <w:bCs/>
                <w:noProof/>
                <w:sz w:val="20"/>
                <w:szCs w:val="20"/>
              </w:rPr>
            </w:pPr>
            <w:r>
              <w:rPr>
                <w:rFonts w:ascii="Times New Roman" w:hAnsi="Times New Roman"/>
                <w:b/>
                <w:noProof/>
                <w:sz w:val="20"/>
              </w:rPr>
              <w:t>136 499,2</w:t>
            </w:r>
          </w:p>
        </w:tc>
        <w:tc>
          <w:tcPr>
            <w:tcW w:w="1724" w:type="dxa"/>
            <w:tcBorders>
              <w:top w:val="single" w:sz="4" w:space="0" w:color="auto"/>
              <w:left w:val="nil"/>
              <w:bottom w:val="single" w:sz="4" w:space="0" w:color="auto"/>
              <w:right w:val="single" w:sz="4" w:space="0" w:color="auto"/>
            </w:tcBorders>
            <w:shd w:val="clear" w:color="auto" w:fill="FFFFFF" w:themeFill="background1"/>
          </w:tcPr>
          <w:p w14:paraId="39A2D37E" w14:textId="6F6BCE07" w:rsidR="0053464B" w:rsidRPr="006A6461" w:rsidRDefault="0053464B" w:rsidP="0053464B">
            <w:pPr>
              <w:spacing w:after="0"/>
              <w:jc w:val="right"/>
              <w:rPr>
                <w:rFonts w:ascii="Times New Roman" w:eastAsia="Times New Roman" w:hAnsi="Times New Roman" w:cs="Times New Roman"/>
                <w:b/>
                <w:bCs/>
                <w:noProof/>
                <w:sz w:val="20"/>
                <w:szCs w:val="20"/>
              </w:rPr>
            </w:pPr>
            <w:r>
              <w:rPr>
                <w:rFonts w:ascii="Times New Roman" w:hAnsi="Times New Roman"/>
                <w:b/>
                <w:noProof/>
                <w:sz w:val="20"/>
              </w:rPr>
              <w:t>140 642,8</w:t>
            </w:r>
          </w:p>
        </w:tc>
        <w:tc>
          <w:tcPr>
            <w:tcW w:w="1577" w:type="dxa"/>
            <w:tcBorders>
              <w:top w:val="single" w:sz="4" w:space="0" w:color="auto"/>
              <w:left w:val="nil"/>
              <w:bottom w:val="single" w:sz="4" w:space="0" w:color="auto"/>
              <w:right w:val="single" w:sz="4" w:space="0" w:color="auto"/>
            </w:tcBorders>
            <w:shd w:val="clear" w:color="auto" w:fill="FFFFFF" w:themeFill="background1"/>
          </w:tcPr>
          <w:p w14:paraId="28F67C15" w14:textId="15CBD9AF" w:rsidR="0053464B" w:rsidRPr="006A6461" w:rsidRDefault="0053464B" w:rsidP="0053464B">
            <w:pPr>
              <w:spacing w:after="0"/>
              <w:jc w:val="right"/>
              <w:rPr>
                <w:rFonts w:ascii="Times New Roman" w:eastAsia="Times New Roman" w:hAnsi="Times New Roman" w:cs="Times New Roman"/>
                <w:b/>
                <w:bCs/>
                <w:noProof/>
                <w:sz w:val="20"/>
                <w:szCs w:val="20"/>
              </w:rPr>
            </w:pPr>
            <w:r>
              <w:rPr>
                <w:rFonts w:ascii="Times New Roman" w:hAnsi="Times New Roman"/>
                <w:b/>
                <w:noProof/>
                <w:sz w:val="20"/>
              </w:rPr>
              <w:t>140 646,4</w:t>
            </w:r>
          </w:p>
        </w:tc>
        <w:tc>
          <w:tcPr>
            <w:tcW w:w="1605" w:type="dxa"/>
            <w:tcBorders>
              <w:top w:val="single" w:sz="4" w:space="0" w:color="auto"/>
              <w:left w:val="nil"/>
              <w:bottom w:val="single" w:sz="4" w:space="0" w:color="auto"/>
              <w:right w:val="single" w:sz="4" w:space="0" w:color="auto"/>
            </w:tcBorders>
            <w:shd w:val="clear" w:color="auto" w:fill="FFFFFF" w:themeFill="background1"/>
            <w:noWrap/>
          </w:tcPr>
          <w:p w14:paraId="5610EFF7" w14:textId="486ABADB" w:rsidR="0053464B" w:rsidRPr="006A6461" w:rsidRDefault="0053464B" w:rsidP="0053464B">
            <w:pPr>
              <w:spacing w:after="0"/>
              <w:jc w:val="right"/>
              <w:rPr>
                <w:rFonts w:ascii="Times New Roman" w:eastAsia="Times New Roman" w:hAnsi="Times New Roman" w:cs="Times New Roman"/>
                <w:b/>
                <w:bCs/>
                <w:noProof/>
                <w:sz w:val="20"/>
                <w:szCs w:val="20"/>
              </w:rPr>
            </w:pPr>
            <w:r>
              <w:rPr>
                <w:rFonts w:ascii="Times New Roman" w:hAnsi="Times New Roman"/>
                <w:b/>
                <w:noProof/>
                <w:sz w:val="20"/>
              </w:rPr>
              <w:t>140 013,7</w:t>
            </w:r>
          </w:p>
        </w:tc>
        <w:tc>
          <w:tcPr>
            <w:tcW w:w="1635" w:type="dxa"/>
            <w:tcBorders>
              <w:top w:val="single" w:sz="4" w:space="0" w:color="auto"/>
              <w:left w:val="nil"/>
              <w:bottom w:val="single" w:sz="4" w:space="0" w:color="auto"/>
              <w:right w:val="single" w:sz="4" w:space="0" w:color="auto"/>
            </w:tcBorders>
            <w:shd w:val="clear" w:color="auto" w:fill="FFFFFF" w:themeFill="background1"/>
            <w:noWrap/>
          </w:tcPr>
          <w:p w14:paraId="0C5F8BF7" w14:textId="4AF90BA8" w:rsidR="0053464B" w:rsidRPr="0053464B" w:rsidRDefault="0053464B" w:rsidP="0053464B">
            <w:pPr>
              <w:spacing w:after="0"/>
              <w:jc w:val="right"/>
              <w:rPr>
                <w:rFonts w:ascii="Times New Roman" w:eastAsia="Times New Roman" w:hAnsi="Times New Roman" w:cs="Times New Roman"/>
                <w:b/>
                <w:bCs/>
                <w:noProof/>
                <w:sz w:val="20"/>
                <w:szCs w:val="20"/>
                <w:highlight w:val="yellow"/>
              </w:rPr>
            </w:pPr>
            <w:r>
              <w:rPr>
                <w:rFonts w:ascii="Times New Roman" w:hAnsi="Times New Roman"/>
                <w:b/>
                <w:noProof/>
                <w:sz w:val="20"/>
              </w:rPr>
              <w:t>141 030,1</w:t>
            </w:r>
          </w:p>
        </w:tc>
      </w:tr>
    </w:tbl>
    <w:p w14:paraId="7A5FCCC7" w14:textId="77777777" w:rsidR="007A4316" w:rsidRPr="006A6461" w:rsidRDefault="007A4316" w:rsidP="007A4316">
      <w:pPr>
        <w:keepNext/>
        <w:tabs>
          <w:tab w:val="left" w:pos="850"/>
        </w:tabs>
        <w:spacing w:before="360" w:after="120"/>
        <w:ind w:left="850" w:hanging="850"/>
        <w:jc w:val="both"/>
        <w:outlineLvl w:val="1"/>
        <w:rPr>
          <w:rFonts w:ascii="Times New Roman" w:eastAsia="Calibri" w:hAnsi="Times New Roman" w:cs="Times New Roman"/>
          <w:b/>
          <w:noProof/>
          <w:sz w:val="24"/>
          <w:szCs w:val="24"/>
        </w:rPr>
      </w:pPr>
      <w:bookmarkStart w:id="23" w:name="_Toc73720668"/>
      <w:bookmarkStart w:id="24" w:name="_Toc75766701"/>
      <w:bookmarkStart w:id="25" w:name="_Toc173242905"/>
      <w:r>
        <w:rPr>
          <w:rFonts w:ascii="Times New Roman" w:hAnsi="Times New Roman"/>
          <w:b/>
          <w:noProof/>
          <w:sz w:val="24"/>
        </w:rPr>
        <w:t>2.2</w:t>
      </w:r>
      <w:r>
        <w:rPr>
          <w:rFonts w:ascii="Times New Roman" w:hAnsi="Times New Roman"/>
          <w:b/>
          <w:noProof/>
          <w:sz w:val="24"/>
        </w:rPr>
        <w:tab/>
        <w:t>Преразглеждане на прогнозите за ТСР и за базите за ДДС, ООП и БНД</w:t>
      </w:r>
      <w:bookmarkEnd w:id="23"/>
      <w:bookmarkEnd w:id="24"/>
      <w:bookmarkEnd w:id="25"/>
    </w:p>
    <w:bookmarkEnd w:id="21"/>
    <w:bookmarkEnd w:id="22"/>
    <w:p w14:paraId="475DFBAF" w14:textId="20907F7F" w:rsidR="00A737A2" w:rsidRPr="006A6461" w:rsidRDefault="00A737A2" w:rsidP="00A737A2">
      <w:pPr>
        <w:jc w:val="both"/>
        <w:rPr>
          <w:rFonts w:ascii="Times New Roman" w:hAnsi="Times New Roman" w:cs="Times New Roman"/>
          <w:noProof/>
          <w:sz w:val="24"/>
          <w:szCs w:val="24"/>
        </w:rPr>
      </w:pPr>
      <w:r>
        <w:rPr>
          <w:rFonts w:ascii="Times New Roman" w:hAnsi="Times New Roman"/>
          <w:noProof/>
          <w:sz w:val="24"/>
        </w:rPr>
        <w:t>В съответствие с член 44, параграф 1, първа алинея, буква б) от Финансовия регламент</w:t>
      </w:r>
      <w:r w:rsidRPr="006A6461">
        <w:rPr>
          <w:rStyle w:val="FootnoteReference"/>
          <w:rFonts w:ascii="Times New Roman" w:hAnsi="Times New Roman" w:cs="Times New Roman"/>
          <w:noProof/>
          <w:sz w:val="24"/>
          <w:szCs w:val="24"/>
        </w:rPr>
        <w:footnoteReference w:id="8"/>
      </w:r>
      <w:r>
        <w:rPr>
          <w:rFonts w:ascii="Times New Roman" w:hAnsi="Times New Roman"/>
          <w:noProof/>
          <w:sz w:val="24"/>
        </w:rPr>
        <w:t xml:space="preserve"> Комисията предлага да се преразгледа финансирането на бюджета въз основа на актуализирани икономически прогнози. Съгласно установената практика преразгледаните прогнози за приходите се съгласуват с държавите членки в рамките на процедурата за прогнозиране на ККСР. </w:t>
      </w:r>
    </w:p>
    <w:p w14:paraId="7B8D5465" w14:textId="14598C61" w:rsidR="00A737A2" w:rsidRPr="006A6461" w:rsidRDefault="00A737A2" w:rsidP="00A737A2">
      <w:pPr>
        <w:jc w:val="both"/>
        <w:rPr>
          <w:rFonts w:ascii="Times New Roman" w:hAnsi="Times New Roman" w:cs="Times New Roman"/>
          <w:noProof/>
          <w:sz w:val="24"/>
          <w:szCs w:val="24"/>
        </w:rPr>
      </w:pPr>
      <w:r>
        <w:rPr>
          <w:rFonts w:ascii="Times New Roman" w:hAnsi="Times New Roman"/>
          <w:noProof/>
          <w:sz w:val="24"/>
        </w:rPr>
        <w:t>Преразглеждането се отнася до прогнозата за ТСР, които трябва да бъдат изплатени в бюджета през 2024 г., както и до прогнозата за базите за ДДС, ООП и БНД за 2024 г. Прогнозата, включена в бюджета за 2024 г., беше договорена на 188-ото заседание на ККСР, проведено на 25 май 2023 г. Преразглеждането в настоящия ПКБ 4/2024 взема под внимание договорените прогнози от 191-вото заседание на ККСР, проведено на 23 май 2024 г. Използването на актуализирана прогноза за собствените ресурси подобрява точността на прогнозите за приходите и оттам на плащанията, които се изисква държавите членки да извършват в полза на бюджета на ЕС в хода на бюджетната година.</w:t>
      </w:r>
    </w:p>
    <w:p w14:paraId="076E7A31" w14:textId="2CA1C962" w:rsidR="00BE3C8C" w:rsidRPr="006A6461" w:rsidRDefault="00BE3C8C" w:rsidP="00BE3C8C">
      <w:pPr>
        <w:jc w:val="both"/>
        <w:rPr>
          <w:rFonts w:ascii="Times New Roman" w:hAnsi="Times New Roman" w:cs="Times New Roman"/>
          <w:noProof/>
          <w:sz w:val="24"/>
          <w:szCs w:val="24"/>
        </w:rPr>
      </w:pPr>
      <w:r>
        <w:rPr>
          <w:rFonts w:ascii="Times New Roman" w:hAnsi="Times New Roman"/>
          <w:noProof/>
          <w:sz w:val="24"/>
        </w:rPr>
        <w:t>Прогнозите на Комисията за приходите се основават на икономическата прогноза на Комисията от пролетта на 2024 г.</w:t>
      </w:r>
      <w:r w:rsidRPr="006A6461">
        <w:rPr>
          <w:rStyle w:val="FootnoteReference"/>
          <w:rFonts w:ascii="Times New Roman" w:hAnsi="Times New Roman" w:cs="Times New Roman"/>
          <w:noProof/>
          <w:sz w:val="24"/>
          <w:szCs w:val="24"/>
        </w:rPr>
        <w:footnoteReference w:id="9"/>
      </w:r>
      <w:r>
        <w:rPr>
          <w:rFonts w:ascii="Times New Roman" w:hAnsi="Times New Roman"/>
          <w:noProof/>
          <w:sz w:val="24"/>
        </w:rPr>
        <w:t>, в която се посочваше възстановяване на икономиката на ЕС в началото на годината след продължителен период на стагнация. Въпреки че темпът на растеж от 0,3 %, прогнозиран за първото тримесечие на 2024 г., все още е под прогнозния потенциал, той надхвърли очакванията. Активността в еврозоната нарасна със същия темп, което бележи края на слабата рецесия, наблюдавана през втората половина на миналата година. Междувременно инфлацията в ЕС се забави допълнително през първото тримесечие.</w:t>
      </w:r>
    </w:p>
    <w:p w14:paraId="34525D0E" w14:textId="20059CD8" w:rsidR="00BE3C8C" w:rsidRPr="006A6461" w:rsidRDefault="00BE3C8C" w:rsidP="00BE3C8C">
      <w:pPr>
        <w:jc w:val="both"/>
        <w:rPr>
          <w:rFonts w:ascii="Times New Roman" w:hAnsi="Times New Roman" w:cs="Times New Roman"/>
          <w:noProof/>
          <w:sz w:val="24"/>
          <w:szCs w:val="24"/>
        </w:rPr>
      </w:pPr>
      <w:r>
        <w:rPr>
          <w:rFonts w:ascii="Times New Roman" w:hAnsi="Times New Roman"/>
          <w:noProof/>
          <w:sz w:val="24"/>
        </w:rPr>
        <w:t xml:space="preserve">В прогнозата от пролетта се предвижда растеж на БВП през 2024 г. от 1,0 % в ЕС и 0,8 % в еврозоната. Това е леко увеличение спрямо междинната прогноза за ЕС от зимата на 2024 г., но без промяна за еврозоната. Важно е да се отбележи, че се очаква почти всички държави членки да се върнат към растеж през 2024 г. Прогнозите са, че растежът на БВП на ЕС ще се подобри до 1,6 % през 2025 г., което е понижение с 0,1 процентни пункта спрямо зимата. В еврозоната се очаква растежът на БВП през 2025 г. да бъде малко по-нисък — 1,4 %, също така незначително коригиран надолу. </w:t>
      </w:r>
    </w:p>
    <w:p w14:paraId="77EB8F23" w14:textId="54B64DE4" w:rsidR="00A737A2" w:rsidRPr="006A6461" w:rsidRDefault="00BE3C8C" w:rsidP="00BE3C8C">
      <w:pPr>
        <w:jc w:val="both"/>
        <w:rPr>
          <w:rFonts w:ascii="Times New Roman" w:hAnsi="Times New Roman" w:cs="Times New Roman"/>
          <w:noProof/>
          <w:sz w:val="24"/>
          <w:szCs w:val="24"/>
        </w:rPr>
      </w:pPr>
      <w:r>
        <w:rPr>
          <w:rFonts w:ascii="Times New Roman" w:hAnsi="Times New Roman"/>
          <w:noProof/>
          <w:sz w:val="24"/>
        </w:rPr>
        <w:t xml:space="preserve">Рисковете от влошаване на икономическите перспективи, идващи от държави извън ЕС, нараснаха през последните месеци на фона на двете продължаващи войни в съседство с ЕС и нарастващото геополитическо напрежение. Световната търговия и енергийните пазари изглеждат особено уязвими. </w:t>
      </w:r>
    </w:p>
    <w:p w14:paraId="22DF3A03" w14:textId="6E9EF422" w:rsidR="00A737A2" w:rsidRPr="006A6461" w:rsidRDefault="00A737A2" w:rsidP="00A737A2">
      <w:pPr>
        <w:jc w:val="both"/>
        <w:rPr>
          <w:rFonts w:ascii="Times New Roman" w:hAnsi="Times New Roman" w:cs="Times New Roman"/>
          <w:noProof/>
          <w:sz w:val="24"/>
          <w:szCs w:val="24"/>
        </w:rPr>
      </w:pPr>
      <w:r>
        <w:rPr>
          <w:rFonts w:ascii="Times New Roman" w:hAnsi="Times New Roman"/>
          <w:noProof/>
          <w:sz w:val="24"/>
        </w:rPr>
        <w:t>Икономическият сценарий, залегнал в основата на бюджета за 2024 г., е отразен в последните прогнози за традиционните собствени ресурси и базите за другите собствени ресурси:</w:t>
      </w:r>
    </w:p>
    <w:p w14:paraId="68C14826" w14:textId="58DFDCE2" w:rsidR="00A737A2" w:rsidRPr="006A6461" w:rsidRDefault="00A737A2" w:rsidP="337A4174">
      <w:pPr>
        <w:pStyle w:val="ListParagraph"/>
        <w:numPr>
          <w:ilvl w:val="0"/>
          <w:numId w:val="24"/>
        </w:numPr>
        <w:spacing w:after="120"/>
        <w:ind w:left="714" w:hanging="357"/>
        <w:jc w:val="both"/>
        <w:rPr>
          <w:noProof/>
        </w:rPr>
      </w:pPr>
      <w:r>
        <w:rPr>
          <w:noProof/>
        </w:rPr>
        <w:t>Прогнозната стойност на митата, които ще бъдат събрани през 2024 г., след приспадане на 25 % разходи по събирането, е 20 119,0 милиона евро, което представлява намаление с 18,3 % в сравнение с прогнозата в размер на 24 620,4 милиона евро, включена в бюджета за 2024 г. Комисията сравни резултатите от традиционния метод за прогнозиране на ККСР (въз основа на прогнозния темп на растеж на вноса от държави извън ЕС) с резултатите от метода на екстраполация (въз основа на последните данни за събраните мита, т.е. януари—април 2024 г.). Както и през изминалите години, Комисията възприема консервативен подход, за да осигури добро финансово управление на бюджета на ЕС в контекста на икономическа и финансова несигурност. Освен това през годината могат да възникнат допълнителни възстановявания по предишни плащания на ТСР, свързани със специални случаи. Поради това беше решено да се приложи разпределение 1/3 — 2/3 на резултатите от традиционния метод и метода на екстраполация за преразглеждането на прогнозата за ТСР за 2024 г., което доведе до по-ниски приходи от 4,5 милиарда евро в сравнение с ПКБ 2/2024.</w:t>
      </w:r>
    </w:p>
    <w:p w14:paraId="59F9C972" w14:textId="1DD06BB7" w:rsidR="00A737A2" w:rsidRPr="006A6461" w:rsidRDefault="00A737A2" w:rsidP="26C6D807">
      <w:pPr>
        <w:pStyle w:val="ListParagraph"/>
        <w:numPr>
          <w:ilvl w:val="0"/>
          <w:numId w:val="24"/>
        </w:numPr>
        <w:spacing w:after="120"/>
        <w:ind w:left="714" w:hanging="357"/>
        <w:jc w:val="both"/>
        <w:rPr>
          <w:noProof/>
        </w:rPr>
      </w:pPr>
      <w:r>
        <w:rPr>
          <w:noProof/>
        </w:rPr>
        <w:t>Прогнозата за общата база за ДДС без таван за ЕС за 2024 г. е за 7 864 305,3 милиона евро, което представлява леко намаление с 0,6 % в сравнение с прогнозата от май 2023 г. за 7 909 213,8 милиона евро. Прогнозата за общата база за ДДС с таван</w:t>
      </w:r>
      <w:r w:rsidR="009361C0" w:rsidRPr="006A6461">
        <w:rPr>
          <w:rStyle w:val="FootnoteReference"/>
          <w:noProof/>
        </w:rPr>
        <w:footnoteReference w:id="10"/>
      </w:r>
      <w:r>
        <w:rPr>
          <w:noProof/>
        </w:rPr>
        <w:t xml:space="preserve"> за ЕС за 2024 г. е в размер на 7 820 900,1 милиона евро, което представлява намаление с 0,6 % в сравнение с прогнозата от май 2023 г. в размер на 7 872 045,75 милиона евро.</w:t>
      </w:r>
    </w:p>
    <w:p w14:paraId="5EB20CFA" w14:textId="5FC0FDAE" w:rsidR="00A737A2" w:rsidRPr="006A6461" w:rsidRDefault="00A737A2" w:rsidP="009361C0">
      <w:pPr>
        <w:pStyle w:val="ListParagraph"/>
        <w:numPr>
          <w:ilvl w:val="0"/>
          <w:numId w:val="24"/>
        </w:numPr>
        <w:spacing w:after="120"/>
        <w:ind w:left="714" w:hanging="357"/>
        <w:jc w:val="both"/>
        <w:rPr>
          <w:noProof/>
        </w:rPr>
      </w:pPr>
      <w:r>
        <w:rPr>
          <w:noProof/>
        </w:rPr>
        <w:t>Прогнозата за нерециклираните ООП в ЕС възлиза на 9 813 692,0 тона за 2024 г., което представлява леко увеличение с 0,6 % в сравнение с прогнозата от май 2023 г. — 9 756 010,6 тона. Съответните вноски на държавите членки по собствения ресурс на база нерециклираните ООП са представени в таблица 3 от придружаващото бюджетно приложение.</w:t>
      </w:r>
    </w:p>
    <w:p w14:paraId="6FA8C89B" w14:textId="09D0F0E1" w:rsidR="00A737A2" w:rsidRPr="006A6461" w:rsidRDefault="00A737A2" w:rsidP="26C6D807">
      <w:pPr>
        <w:pStyle w:val="ListParagraph"/>
        <w:numPr>
          <w:ilvl w:val="0"/>
          <w:numId w:val="24"/>
        </w:numPr>
        <w:spacing w:after="120"/>
        <w:ind w:left="714" w:hanging="357"/>
        <w:jc w:val="both"/>
        <w:rPr>
          <w:noProof/>
        </w:rPr>
      </w:pPr>
      <w:r>
        <w:rPr>
          <w:noProof/>
        </w:rPr>
        <w:t>Прогнозата за общата база за БНД за ЕС за 2024 г. е в размер на 17 775 997,4 милиона евро, което представлява леко увеличение с 0,3 % в сравнение с прогнозата от май 2023 г. — 17 727 479,4 милиона евро.</w:t>
      </w:r>
    </w:p>
    <w:p w14:paraId="3924D0D4" w14:textId="5DE79762" w:rsidR="00A737A2" w:rsidRPr="006A6461" w:rsidRDefault="00A737A2" w:rsidP="00A737A2">
      <w:pPr>
        <w:jc w:val="both"/>
        <w:rPr>
          <w:rFonts w:ascii="Times New Roman" w:hAnsi="Times New Roman" w:cs="Times New Roman"/>
          <w:noProof/>
          <w:sz w:val="24"/>
          <w:szCs w:val="24"/>
        </w:rPr>
      </w:pPr>
      <w:r>
        <w:rPr>
          <w:rFonts w:ascii="Times New Roman" w:hAnsi="Times New Roman"/>
          <w:noProof/>
          <w:sz w:val="24"/>
        </w:rPr>
        <w:t>За конвертиране на прогнозите за базите за ДДС и за БНД от национални валути в евро за седемте държави членки, които не са членки на еврозоната, бяха използвани обменните курсове от 29 декември 2023 г. По този начин се избягва изкривяване, тъй като това са курсовете, които се използват за конвертиране на вписаните в бюджета плащания по собствените ресурси от евро в национални валути, когато се изискват сумите, съгласно член 10а, параграф 1 от Регламент 609/2014 на Съвета</w:t>
      </w:r>
      <w:r w:rsidR="009361C0" w:rsidRPr="006A6461">
        <w:rPr>
          <w:rStyle w:val="FootnoteReference"/>
          <w:rFonts w:ascii="Times New Roman" w:hAnsi="Times New Roman" w:cs="Times New Roman"/>
          <w:noProof/>
          <w:sz w:val="24"/>
          <w:szCs w:val="24"/>
        </w:rPr>
        <w:footnoteReference w:id="11"/>
      </w:r>
      <w:r>
        <w:rPr>
          <w:rFonts w:ascii="Times New Roman" w:hAnsi="Times New Roman"/>
          <w:noProof/>
          <w:sz w:val="24"/>
        </w:rPr>
        <w:t>.</w:t>
      </w:r>
    </w:p>
    <w:p w14:paraId="09F98E2B" w14:textId="1DC12B60" w:rsidR="007A4316" w:rsidRPr="006A6461" w:rsidRDefault="00A737A2" w:rsidP="00DD2F72">
      <w:pPr>
        <w:jc w:val="both"/>
        <w:rPr>
          <w:rFonts w:ascii="Times New Roman" w:hAnsi="Times New Roman" w:cs="Times New Roman"/>
          <w:noProof/>
          <w:sz w:val="24"/>
          <w:szCs w:val="24"/>
        </w:rPr>
      </w:pPr>
      <w:r>
        <w:rPr>
          <w:rFonts w:ascii="Times New Roman" w:hAnsi="Times New Roman"/>
          <w:noProof/>
          <w:sz w:val="24"/>
        </w:rPr>
        <w:t>Преразгледаните прогнози за ТСР, за базите за ДДС без таван, за базите за нерециклираните ООП и за базите за БНД за 2024 г., приети на 191-вото заседание на ККСР, са посочени в следната таблица:</w:t>
      </w:r>
      <w:r w:rsidR="007A4316">
        <w:rPr>
          <w:noProof/>
        </w:rPr>
        <w:br w:type="page"/>
      </w:r>
    </w:p>
    <w:p w14:paraId="45CFB8ED" w14:textId="35F082BC" w:rsidR="007A4316" w:rsidRPr="006A6461" w:rsidRDefault="007A4316" w:rsidP="007A4316">
      <w:pPr>
        <w:keepNext/>
        <w:jc w:val="center"/>
        <w:rPr>
          <w:rFonts w:ascii="Times New Roman" w:hAnsi="Times New Roman" w:cs="Times New Roman"/>
          <w:b/>
          <w:i/>
          <w:noProof/>
        </w:rPr>
      </w:pPr>
      <w:r>
        <w:rPr>
          <w:rFonts w:ascii="Times New Roman" w:hAnsi="Times New Roman"/>
          <w:b/>
          <w:noProof/>
        </w:rPr>
        <w:t>Преразгледани прогнози за ТСР и за базите за ДДС, ООП и БНД за 2024 г.</w:t>
      </w:r>
      <w:r>
        <w:rPr>
          <w:rFonts w:ascii="Times New Roman" w:hAnsi="Times New Roman"/>
          <w:b/>
          <w:i/>
          <w:noProof/>
        </w:rPr>
        <w:t xml:space="preserve"> </w:t>
      </w:r>
    </w:p>
    <w:tbl>
      <w:tblPr>
        <w:tblW w:w="8252" w:type="dxa"/>
        <w:jc w:val="center"/>
        <w:tblLook w:val="04A0" w:firstRow="1" w:lastRow="0" w:firstColumn="1" w:lastColumn="0" w:noHBand="0" w:noVBand="1"/>
      </w:tblPr>
      <w:tblGrid>
        <w:gridCol w:w="1240"/>
        <w:gridCol w:w="1477"/>
        <w:gridCol w:w="1386"/>
        <w:gridCol w:w="1822"/>
        <w:gridCol w:w="1345"/>
        <w:gridCol w:w="1457"/>
      </w:tblGrid>
      <w:tr w:rsidR="00D42D6E" w:rsidRPr="006A6461" w14:paraId="5EDC1BF6" w14:textId="77777777" w:rsidTr="00EF7A17">
        <w:trPr>
          <w:trHeight w:val="510"/>
          <w:jc w:val="center"/>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A55B5" w14:textId="77777777" w:rsidR="00D42D6E" w:rsidRPr="006A6461" w:rsidRDefault="00D42D6E" w:rsidP="003D7759">
            <w:pPr>
              <w:spacing w:after="120"/>
              <w:jc w:val="center"/>
              <w:rPr>
                <w:rFonts w:ascii="Times New Roman" w:hAnsi="Times New Roman" w:cs="Times New Roman"/>
                <w:b/>
                <w:bCs/>
                <w:noProof/>
                <w:color w:val="000000"/>
                <w:sz w:val="20"/>
                <w:szCs w:val="20"/>
              </w:rPr>
            </w:pPr>
            <w:r>
              <w:rPr>
                <w:rFonts w:ascii="Times New Roman" w:hAnsi="Times New Roman"/>
                <w:b/>
                <w:noProof/>
                <w:color w:val="000000"/>
                <w:sz w:val="20"/>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32E6E4B6" w14:textId="77777777" w:rsidR="00D42D6E" w:rsidRPr="006A6461" w:rsidRDefault="00D42D6E" w:rsidP="003D7759">
            <w:pPr>
              <w:spacing w:after="120"/>
              <w:jc w:val="center"/>
              <w:rPr>
                <w:rFonts w:ascii="Times New Roman" w:hAnsi="Times New Roman" w:cs="Times New Roman"/>
                <w:b/>
                <w:bCs/>
                <w:noProof/>
                <w:color w:val="000000"/>
                <w:sz w:val="20"/>
                <w:szCs w:val="20"/>
              </w:rPr>
            </w:pPr>
            <w:r>
              <w:rPr>
                <w:rFonts w:ascii="Times New Roman" w:hAnsi="Times New Roman"/>
                <w:b/>
                <w:noProof/>
                <w:color w:val="000000"/>
                <w:sz w:val="20"/>
              </w:rPr>
              <w:t>Мита</w:t>
            </w:r>
            <w:r>
              <w:rPr>
                <w:rFonts w:ascii="Times New Roman" w:hAnsi="Times New Roman"/>
                <w:b/>
                <w:noProof/>
                <w:color w:val="000000"/>
                <w:sz w:val="20"/>
              </w:rPr>
              <w:br/>
              <w:t>(75 %)</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5EE0D96E" w14:textId="77777777" w:rsidR="00D42D6E" w:rsidRPr="006A6461" w:rsidRDefault="00D42D6E" w:rsidP="003D7759">
            <w:pPr>
              <w:spacing w:after="120"/>
              <w:jc w:val="center"/>
              <w:rPr>
                <w:rFonts w:ascii="Times New Roman" w:hAnsi="Times New Roman" w:cs="Times New Roman"/>
                <w:b/>
                <w:bCs/>
                <w:noProof/>
                <w:color w:val="000000"/>
                <w:sz w:val="20"/>
                <w:szCs w:val="20"/>
              </w:rPr>
            </w:pPr>
            <w:r>
              <w:rPr>
                <w:rFonts w:ascii="Times New Roman" w:hAnsi="Times New Roman"/>
                <w:b/>
                <w:noProof/>
                <w:color w:val="000000"/>
                <w:sz w:val="20"/>
              </w:rPr>
              <w:t>Бази за ДДС без таван</w:t>
            </w:r>
          </w:p>
        </w:tc>
        <w:tc>
          <w:tcPr>
            <w:tcW w:w="1347" w:type="dxa"/>
            <w:tcBorders>
              <w:top w:val="single" w:sz="4" w:space="0" w:color="auto"/>
              <w:left w:val="nil"/>
              <w:bottom w:val="single" w:sz="4" w:space="0" w:color="auto"/>
              <w:right w:val="single" w:sz="4" w:space="0" w:color="auto"/>
            </w:tcBorders>
            <w:vAlign w:val="center"/>
          </w:tcPr>
          <w:p w14:paraId="73023D74" w14:textId="5CAC75FE" w:rsidR="00D42D6E" w:rsidRPr="006A6461" w:rsidRDefault="009E0DE1" w:rsidP="003D7759">
            <w:pPr>
              <w:spacing w:after="120"/>
              <w:jc w:val="center"/>
              <w:rPr>
                <w:rFonts w:ascii="Times New Roman" w:hAnsi="Times New Roman" w:cs="Times New Roman"/>
                <w:b/>
                <w:bCs/>
                <w:noProof/>
                <w:color w:val="000000"/>
                <w:sz w:val="20"/>
                <w:szCs w:val="20"/>
              </w:rPr>
            </w:pPr>
            <w:r>
              <w:rPr>
                <w:rFonts w:ascii="Times New Roman" w:hAnsi="Times New Roman"/>
                <w:b/>
                <w:noProof/>
                <w:color w:val="000000"/>
                <w:sz w:val="20"/>
              </w:rPr>
              <w:t>Бази за нерециклираните ООП</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C8BF1" w14:textId="77777777" w:rsidR="00D42D6E" w:rsidRPr="006A6461" w:rsidRDefault="00D42D6E" w:rsidP="003D7759">
            <w:pPr>
              <w:spacing w:after="120"/>
              <w:jc w:val="center"/>
              <w:rPr>
                <w:rFonts w:ascii="Times New Roman" w:hAnsi="Times New Roman" w:cs="Times New Roman"/>
                <w:b/>
                <w:bCs/>
                <w:noProof/>
                <w:color w:val="000000"/>
                <w:sz w:val="20"/>
                <w:szCs w:val="20"/>
              </w:rPr>
            </w:pPr>
            <w:r>
              <w:rPr>
                <w:rFonts w:ascii="Times New Roman" w:hAnsi="Times New Roman"/>
                <w:b/>
                <w:noProof/>
                <w:color w:val="000000"/>
                <w:sz w:val="20"/>
              </w:rPr>
              <w:t>Бази за БНД</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14:paraId="6E917FAE" w14:textId="77777777" w:rsidR="00D42D6E" w:rsidRPr="006A6461" w:rsidRDefault="00D42D6E" w:rsidP="003D7759">
            <w:pPr>
              <w:spacing w:after="120"/>
              <w:jc w:val="center"/>
              <w:rPr>
                <w:rFonts w:ascii="Times New Roman" w:hAnsi="Times New Roman" w:cs="Times New Roman"/>
                <w:b/>
                <w:bCs/>
                <w:noProof/>
                <w:color w:val="000000"/>
                <w:sz w:val="20"/>
                <w:szCs w:val="20"/>
              </w:rPr>
            </w:pPr>
            <w:r>
              <w:rPr>
                <w:rFonts w:ascii="Times New Roman" w:hAnsi="Times New Roman"/>
                <w:b/>
                <w:noProof/>
                <w:color w:val="000000"/>
                <w:sz w:val="20"/>
              </w:rPr>
              <w:t xml:space="preserve">с таван </w:t>
            </w:r>
            <w:r>
              <w:rPr>
                <w:rFonts w:ascii="Times New Roman" w:hAnsi="Times New Roman"/>
                <w:b/>
                <w:noProof/>
                <w:color w:val="000000"/>
                <w:sz w:val="20"/>
              </w:rPr>
              <w:br/>
              <w:t>Бази за ДДС</w:t>
            </w:r>
            <w:r w:rsidRPr="006A6461">
              <w:rPr>
                <w:rFonts w:ascii="Times New Roman" w:hAnsi="Times New Roman" w:cs="Times New Roman"/>
                <w:noProof/>
                <w:color w:val="000000"/>
                <w:sz w:val="20"/>
                <w:szCs w:val="20"/>
                <w:vertAlign w:val="superscript"/>
              </w:rPr>
              <w:footnoteReference w:id="12"/>
            </w:r>
          </w:p>
        </w:tc>
      </w:tr>
      <w:tr w:rsidR="00D42D6E" w:rsidRPr="006A6461" w14:paraId="057BA55F" w14:textId="77777777" w:rsidTr="00EF7A17">
        <w:trPr>
          <w:trHeight w:val="255"/>
          <w:jc w:val="center"/>
        </w:trPr>
        <w:tc>
          <w:tcPr>
            <w:tcW w:w="1240" w:type="dxa"/>
            <w:tcBorders>
              <w:top w:val="single" w:sz="4" w:space="0" w:color="auto"/>
              <w:left w:val="single" w:sz="4" w:space="0" w:color="auto"/>
              <w:bottom w:val="single" w:sz="4" w:space="0" w:color="auto"/>
              <w:right w:val="single" w:sz="4" w:space="0" w:color="auto"/>
            </w:tcBorders>
            <w:shd w:val="clear" w:color="auto" w:fill="auto"/>
            <w:vAlign w:val="bottom"/>
          </w:tcPr>
          <w:p w14:paraId="3D299FFB" w14:textId="77777777" w:rsidR="00D42D6E" w:rsidRPr="006A6461" w:rsidRDefault="00D42D6E" w:rsidP="003D7759">
            <w:pPr>
              <w:spacing w:after="120"/>
              <w:jc w:val="center"/>
              <w:rPr>
                <w:rFonts w:ascii="Times New Roman" w:hAnsi="Times New Roman" w:cs="Times New Roman"/>
                <w:b/>
                <w:bCs/>
                <w:noProof/>
                <w:color w:val="000000"/>
                <w:sz w:val="20"/>
                <w:szCs w:val="20"/>
              </w:rPr>
            </w:pPr>
          </w:p>
        </w:tc>
        <w:tc>
          <w:tcPr>
            <w:tcW w:w="2863" w:type="dxa"/>
            <w:gridSpan w:val="2"/>
            <w:tcBorders>
              <w:top w:val="single" w:sz="4" w:space="0" w:color="auto"/>
              <w:left w:val="nil"/>
              <w:bottom w:val="single" w:sz="4" w:space="0" w:color="auto"/>
              <w:right w:val="single" w:sz="4" w:space="0" w:color="auto"/>
            </w:tcBorders>
            <w:shd w:val="clear" w:color="auto" w:fill="auto"/>
            <w:vAlign w:val="bottom"/>
          </w:tcPr>
          <w:p w14:paraId="00EB4471" w14:textId="77777777" w:rsidR="00D42D6E" w:rsidRPr="006A6461" w:rsidRDefault="00D42D6E" w:rsidP="003D7759">
            <w:pPr>
              <w:spacing w:after="120"/>
              <w:jc w:val="center"/>
              <w:rPr>
                <w:rFonts w:ascii="Times New Roman" w:hAnsi="Times New Roman" w:cs="Times New Roman"/>
                <w:b/>
                <w:bCs/>
                <w:noProof/>
                <w:color w:val="000000"/>
                <w:sz w:val="20"/>
                <w:szCs w:val="20"/>
              </w:rPr>
            </w:pPr>
            <w:r>
              <w:rPr>
                <w:rFonts w:ascii="Times New Roman" w:hAnsi="Times New Roman"/>
                <w:b/>
                <w:noProof/>
                <w:color w:val="000000"/>
                <w:sz w:val="20"/>
              </w:rPr>
              <w:t>млн. EUR</w:t>
            </w:r>
          </w:p>
        </w:tc>
        <w:tc>
          <w:tcPr>
            <w:tcW w:w="1347" w:type="dxa"/>
            <w:tcBorders>
              <w:top w:val="single" w:sz="4" w:space="0" w:color="auto"/>
              <w:left w:val="nil"/>
              <w:bottom w:val="single" w:sz="4" w:space="0" w:color="auto"/>
              <w:right w:val="single" w:sz="4" w:space="0" w:color="auto"/>
            </w:tcBorders>
            <w:vAlign w:val="bottom"/>
          </w:tcPr>
          <w:p w14:paraId="5CAD57E0" w14:textId="77777777" w:rsidR="00D42D6E" w:rsidRPr="006A6461" w:rsidRDefault="00D42D6E" w:rsidP="003D7759">
            <w:pPr>
              <w:spacing w:after="120"/>
              <w:jc w:val="center"/>
              <w:rPr>
                <w:rFonts w:ascii="Times New Roman" w:hAnsi="Times New Roman" w:cs="Times New Roman"/>
                <w:b/>
                <w:bCs/>
                <w:noProof/>
                <w:color w:val="000000"/>
                <w:sz w:val="20"/>
                <w:szCs w:val="20"/>
              </w:rPr>
            </w:pPr>
            <w:r>
              <w:rPr>
                <w:rFonts w:ascii="Times New Roman" w:hAnsi="Times New Roman"/>
                <w:b/>
                <w:noProof/>
                <w:color w:val="000000"/>
                <w:sz w:val="20"/>
              </w:rPr>
              <w:t>тонове</w:t>
            </w:r>
          </w:p>
        </w:tc>
        <w:tc>
          <w:tcPr>
            <w:tcW w:w="28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1110864" w14:textId="77777777" w:rsidR="00D42D6E" w:rsidRPr="006A6461" w:rsidRDefault="00D42D6E" w:rsidP="003D7759">
            <w:pPr>
              <w:spacing w:after="120"/>
              <w:jc w:val="center"/>
              <w:rPr>
                <w:rFonts w:ascii="Times New Roman" w:hAnsi="Times New Roman" w:cs="Times New Roman"/>
                <w:b/>
                <w:bCs/>
                <w:noProof/>
                <w:color w:val="000000"/>
                <w:sz w:val="20"/>
                <w:szCs w:val="20"/>
              </w:rPr>
            </w:pPr>
            <w:r>
              <w:rPr>
                <w:rFonts w:ascii="Times New Roman" w:hAnsi="Times New Roman"/>
                <w:b/>
                <w:noProof/>
                <w:color w:val="000000"/>
                <w:sz w:val="20"/>
              </w:rPr>
              <w:t>млн. EUR</w:t>
            </w:r>
          </w:p>
        </w:tc>
      </w:tr>
      <w:tr w:rsidR="00D42D6E" w:rsidRPr="006A6461" w14:paraId="6EDE73A5" w14:textId="77777777" w:rsidTr="00EF7A17">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383D419" w14:textId="77777777" w:rsidR="00D42D6E" w:rsidRPr="006A6461" w:rsidRDefault="00D42D6E" w:rsidP="003D7759">
            <w:pPr>
              <w:spacing w:after="120"/>
              <w:rPr>
                <w:rFonts w:ascii="Times New Roman" w:hAnsi="Times New Roman" w:cs="Times New Roman"/>
                <w:b/>
                <w:bCs/>
                <w:noProof/>
                <w:sz w:val="20"/>
                <w:szCs w:val="20"/>
              </w:rPr>
            </w:pPr>
            <w:r>
              <w:rPr>
                <w:rFonts w:ascii="Times New Roman" w:hAnsi="Times New Roman"/>
                <w:b/>
                <w:noProof/>
                <w:sz w:val="20"/>
              </w:rPr>
              <w:t>BE</w:t>
            </w:r>
          </w:p>
        </w:tc>
        <w:tc>
          <w:tcPr>
            <w:tcW w:w="1477" w:type="dxa"/>
            <w:tcBorders>
              <w:top w:val="nil"/>
              <w:left w:val="nil"/>
              <w:bottom w:val="single" w:sz="4" w:space="0" w:color="auto"/>
              <w:right w:val="single" w:sz="4" w:space="0" w:color="auto"/>
            </w:tcBorders>
            <w:shd w:val="clear" w:color="auto" w:fill="auto"/>
            <w:noWrap/>
            <w:vAlign w:val="center"/>
          </w:tcPr>
          <w:p w14:paraId="236CBD53" w14:textId="771D96DA"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2 168,7</w:t>
            </w:r>
          </w:p>
        </w:tc>
        <w:tc>
          <w:tcPr>
            <w:tcW w:w="1386" w:type="dxa"/>
            <w:tcBorders>
              <w:top w:val="nil"/>
              <w:left w:val="nil"/>
              <w:bottom w:val="single" w:sz="4" w:space="0" w:color="auto"/>
              <w:right w:val="single" w:sz="4" w:space="0" w:color="auto"/>
            </w:tcBorders>
            <w:shd w:val="clear" w:color="auto" w:fill="auto"/>
            <w:noWrap/>
            <w:vAlign w:val="center"/>
          </w:tcPr>
          <w:p w14:paraId="1DA7E582" w14:textId="453110D2"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241 457,3</w:t>
            </w:r>
          </w:p>
        </w:tc>
        <w:tc>
          <w:tcPr>
            <w:tcW w:w="1347" w:type="dxa"/>
            <w:tcBorders>
              <w:top w:val="single" w:sz="4" w:space="0" w:color="auto"/>
              <w:left w:val="nil"/>
              <w:bottom w:val="single" w:sz="4" w:space="0" w:color="auto"/>
              <w:right w:val="single" w:sz="4" w:space="0" w:color="auto"/>
            </w:tcBorders>
            <w:vAlign w:val="center"/>
          </w:tcPr>
          <w:p w14:paraId="4D1C6339" w14:textId="065F2A39" w:rsidR="00D42D6E" w:rsidRPr="006A6461" w:rsidRDefault="009E0DE1" w:rsidP="003D7759">
            <w:pPr>
              <w:spacing w:after="120"/>
              <w:jc w:val="right"/>
              <w:rPr>
                <w:rFonts w:ascii="Times New Roman" w:eastAsia="Times New Roman" w:hAnsi="Times New Roman" w:cs="Times New Roman"/>
                <w:noProof/>
                <w:sz w:val="20"/>
                <w:szCs w:val="20"/>
              </w:rPr>
            </w:pPr>
            <w:r>
              <w:rPr>
                <w:rFonts w:ascii="Times New Roman" w:hAnsi="Times New Roman"/>
                <w:noProof/>
                <w:sz w:val="20"/>
              </w:rPr>
              <w:t>192 903,3</w:t>
            </w:r>
          </w:p>
        </w:tc>
        <w:tc>
          <w:tcPr>
            <w:tcW w:w="1345" w:type="dxa"/>
            <w:tcBorders>
              <w:top w:val="nil"/>
              <w:left w:val="single" w:sz="4" w:space="0" w:color="auto"/>
              <w:bottom w:val="single" w:sz="4" w:space="0" w:color="auto"/>
              <w:right w:val="single" w:sz="4" w:space="0" w:color="auto"/>
            </w:tcBorders>
            <w:shd w:val="clear" w:color="auto" w:fill="auto"/>
            <w:noWrap/>
            <w:vAlign w:val="center"/>
          </w:tcPr>
          <w:p w14:paraId="551767FC" w14:textId="0BE38FB2" w:rsidR="00D42D6E" w:rsidRPr="006A6461" w:rsidRDefault="00997081" w:rsidP="003D7759">
            <w:pPr>
              <w:spacing w:after="120"/>
              <w:jc w:val="right"/>
              <w:rPr>
                <w:rFonts w:ascii="Times New Roman" w:hAnsi="Times New Roman" w:cs="Times New Roman"/>
                <w:noProof/>
                <w:color w:val="000000"/>
                <w:sz w:val="20"/>
                <w:szCs w:val="20"/>
              </w:rPr>
            </w:pPr>
            <w:r>
              <w:rPr>
                <w:rFonts w:ascii="Times New Roman" w:hAnsi="Times New Roman"/>
                <w:noProof/>
                <w:sz w:val="20"/>
              </w:rPr>
              <w:t>617 576,6</w:t>
            </w:r>
          </w:p>
        </w:tc>
        <w:tc>
          <w:tcPr>
            <w:tcW w:w="1457" w:type="dxa"/>
            <w:tcBorders>
              <w:top w:val="nil"/>
              <w:left w:val="nil"/>
              <w:bottom w:val="single" w:sz="4" w:space="0" w:color="auto"/>
              <w:right w:val="single" w:sz="4" w:space="0" w:color="auto"/>
            </w:tcBorders>
            <w:shd w:val="clear" w:color="auto" w:fill="auto"/>
            <w:noWrap/>
            <w:vAlign w:val="center"/>
          </w:tcPr>
          <w:p w14:paraId="7DFD060F" w14:textId="340C61FA" w:rsidR="00D42D6E" w:rsidRPr="006A6461" w:rsidRDefault="000F47BA" w:rsidP="003D7759">
            <w:pPr>
              <w:spacing w:after="120"/>
              <w:jc w:val="right"/>
              <w:rPr>
                <w:rFonts w:ascii="Times New Roman" w:hAnsi="Times New Roman" w:cs="Times New Roman"/>
                <w:noProof/>
                <w:color w:val="000000"/>
                <w:sz w:val="20"/>
                <w:szCs w:val="20"/>
              </w:rPr>
            </w:pPr>
            <w:r>
              <w:rPr>
                <w:rFonts w:ascii="Times New Roman" w:hAnsi="Times New Roman"/>
                <w:noProof/>
                <w:sz w:val="20"/>
              </w:rPr>
              <w:t>241 457,3</w:t>
            </w:r>
          </w:p>
        </w:tc>
      </w:tr>
      <w:tr w:rsidR="00502546" w:rsidRPr="006A6461" w14:paraId="4F2D2BE7" w14:textId="77777777" w:rsidTr="00EF7A17">
        <w:trPr>
          <w:trHeight w:val="255"/>
          <w:jc w:val="center"/>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76711" w14:textId="77777777" w:rsidR="00D42D6E" w:rsidRPr="006A6461" w:rsidRDefault="00D42D6E" w:rsidP="003D7759">
            <w:pPr>
              <w:spacing w:after="120"/>
              <w:rPr>
                <w:rFonts w:ascii="Times New Roman" w:hAnsi="Times New Roman" w:cs="Times New Roman"/>
                <w:b/>
                <w:bCs/>
                <w:noProof/>
                <w:sz w:val="20"/>
                <w:szCs w:val="20"/>
              </w:rPr>
            </w:pPr>
            <w:r>
              <w:rPr>
                <w:rFonts w:ascii="Times New Roman" w:hAnsi="Times New Roman"/>
                <w:b/>
                <w:noProof/>
                <w:sz w:val="20"/>
              </w:rPr>
              <w:t>BG</w:t>
            </w:r>
          </w:p>
        </w:tc>
        <w:tc>
          <w:tcPr>
            <w:tcW w:w="1477" w:type="dxa"/>
            <w:tcBorders>
              <w:top w:val="single" w:sz="4" w:space="0" w:color="auto"/>
              <w:left w:val="nil"/>
              <w:bottom w:val="single" w:sz="4" w:space="0" w:color="auto"/>
              <w:right w:val="single" w:sz="4" w:space="0" w:color="auto"/>
            </w:tcBorders>
            <w:shd w:val="clear" w:color="auto" w:fill="auto"/>
            <w:noWrap/>
            <w:vAlign w:val="center"/>
          </w:tcPr>
          <w:p w14:paraId="2209E732" w14:textId="5A178424"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124,1</w:t>
            </w:r>
          </w:p>
        </w:tc>
        <w:tc>
          <w:tcPr>
            <w:tcW w:w="1386" w:type="dxa"/>
            <w:tcBorders>
              <w:top w:val="single" w:sz="4" w:space="0" w:color="auto"/>
              <w:left w:val="nil"/>
              <w:bottom w:val="single" w:sz="4" w:space="0" w:color="auto"/>
              <w:right w:val="single" w:sz="4" w:space="0" w:color="auto"/>
            </w:tcBorders>
            <w:shd w:val="clear" w:color="auto" w:fill="auto"/>
            <w:noWrap/>
            <w:vAlign w:val="center"/>
          </w:tcPr>
          <w:p w14:paraId="70F731D8" w14:textId="53354E7D"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44 707,9</w:t>
            </w:r>
          </w:p>
        </w:tc>
        <w:tc>
          <w:tcPr>
            <w:tcW w:w="1347" w:type="dxa"/>
            <w:tcBorders>
              <w:top w:val="single" w:sz="4" w:space="0" w:color="auto"/>
              <w:left w:val="nil"/>
              <w:bottom w:val="single" w:sz="4" w:space="0" w:color="auto"/>
              <w:right w:val="single" w:sz="4" w:space="0" w:color="auto"/>
            </w:tcBorders>
            <w:vAlign w:val="center"/>
          </w:tcPr>
          <w:p w14:paraId="56400CA6" w14:textId="3F110374" w:rsidR="00D42D6E" w:rsidRPr="006A6461" w:rsidRDefault="009E0DE1" w:rsidP="003D7759">
            <w:pPr>
              <w:spacing w:after="120"/>
              <w:jc w:val="right"/>
              <w:rPr>
                <w:rFonts w:ascii="Times New Roman" w:eastAsia="Times New Roman" w:hAnsi="Times New Roman" w:cs="Times New Roman"/>
                <w:noProof/>
                <w:sz w:val="20"/>
                <w:szCs w:val="20"/>
              </w:rPr>
            </w:pPr>
            <w:r>
              <w:rPr>
                <w:rFonts w:ascii="Times New Roman" w:hAnsi="Times New Roman"/>
                <w:noProof/>
                <w:sz w:val="20"/>
              </w:rPr>
              <w:t>101 104,6</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22CC5" w14:textId="0ABE3E27" w:rsidR="00D42D6E" w:rsidRPr="006A6461" w:rsidRDefault="00997081" w:rsidP="003D7759">
            <w:pPr>
              <w:spacing w:after="120"/>
              <w:jc w:val="right"/>
              <w:rPr>
                <w:rFonts w:ascii="Times New Roman" w:hAnsi="Times New Roman" w:cs="Times New Roman"/>
                <w:noProof/>
                <w:color w:val="000000"/>
                <w:sz w:val="20"/>
                <w:szCs w:val="20"/>
              </w:rPr>
            </w:pPr>
            <w:r>
              <w:rPr>
                <w:rFonts w:ascii="Times New Roman" w:hAnsi="Times New Roman"/>
                <w:noProof/>
                <w:sz w:val="20"/>
              </w:rPr>
              <w:t>96 632,6</w:t>
            </w:r>
          </w:p>
        </w:tc>
        <w:tc>
          <w:tcPr>
            <w:tcW w:w="1457" w:type="dxa"/>
            <w:tcBorders>
              <w:top w:val="single" w:sz="4" w:space="0" w:color="auto"/>
              <w:left w:val="nil"/>
              <w:bottom w:val="single" w:sz="4" w:space="0" w:color="auto"/>
              <w:right w:val="single" w:sz="4" w:space="0" w:color="auto"/>
            </w:tcBorders>
            <w:shd w:val="clear" w:color="auto" w:fill="FFFFFF" w:themeFill="background1"/>
            <w:noWrap/>
            <w:vAlign w:val="center"/>
          </w:tcPr>
          <w:p w14:paraId="09EC740F" w14:textId="50BADA22" w:rsidR="00D42D6E" w:rsidRPr="006A6461" w:rsidRDefault="000F47BA" w:rsidP="003D7759">
            <w:pPr>
              <w:spacing w:after="120"/>
              <w:jc w:val="right"/>
              <w:rPr>
                <w:rFonts w:ascii="Times New Roman" w:hAnsi="Times New Roman" w:cs="Times New Roman"/>
                <w:noProof/>
                <w:color w:val="000000"/>
                <w:sz w:val="20"/>
                <w:szCs w:val="20"/>
              </w:rPr>
            </w:pPr>
            <w:r>
              <w:rPr>
                <w:rFonts w:ascii="Times New Roman" w:hAnsi="Times New Roman"/>
                <w:noProof/>
                <w:sz w:val="20"/>
              </w:rPr>
              <w:t>44 707,9</w:t>
            </w:r>
          </w:p>
        </w:tc>
      </w:tr>
      <w:tr w:rsidR="00D42D6E" w:rsidRPr="006A6461" w14:paraId="475B5451" w14:textId="77777777" w:rsidTr="00EF7A17">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2FA2F90" w14:textId="77777777" w:rsidR="00D42D6E" w:rsidRPr="006A6461" w:rsidRDefault="00D42D6E" w:rsidP="003D7759">
            <w:pPr>
              <w:spacing w:after="120"/>
              <w:rPr>
                <w:rFonts w:ascii="Times New Roman" w:hAnsi="Times New Roman" w:cs="Times New Roman"/>
                <w:b/>
                <w:bCs/>
                <w:noProof/>
                <w:sz w:val="20"/>
                <w:szCs w:val="20"/>
              </w:rPr>
            </w:pPr>
            <w:r>
              <w:rPr>
                <w:rFonts w:ascii="Times New Roman" w:hAnsi="Times New Roman"/>
                <w:b/>
                <w:noProof/>
                <w:sz w:val="20"/>
              </w:rPr>
              <w:t>CZ</w:t>
            </w:r>
          </w:p>
        </w:tc>
        <w:tc>
          <w:tcPr>
            <w:tcW w:w="1477" w:type="dxa"/>
            <w:tcBorders>
              <w:top w:val="nil"/>
              <w:left w:val="nil"/>
              <w:bottom w:val="single" w:sz="4" w:space="0" w:color="auto"/>
              <w:right w:val="single" w:sz="4" w:space="0" w:color="auto"/>
            </w:tcBorders>
            <w:shd w:val="clear" w:color="auto" w:fill="auto"/>
            <w:noWrap/>
            <w:vAlign w:val="center"/>
          </w:tcPr>
          <w:p w14:paraId="22FF5758" w14:textId="2B4F2A09"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397,9</w:t>
            </w:r>
          </w:p>
        </w:tc>
        <w:tc>
          <w:tcPr>
            <w:tcW w:w="1386" w:type="dxa"/>
            <w:tcBorders>
              <w:top w:val="nil"/>
              <w:left w:val="nil"/>
              <w:bottom w:val="single" w:sz="4" w:space="0" w:color="auto"/>
              <w:right w:val="single" w:sz="4" w:space="0" w:color="auto"/>
            </w:tcBorders>
            <w:shd w:val="clear" w:color="auto" w:fill="auto"/>
            <w:noWrap/>
            <w:vAlign w:val="center"/>
          </w:tcPr>
          <w:p w14:paraId="38C68F01" w14:textId="170C7363"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129 804,7</w:t>
            </w:r>
          </w:p>
        </w:tc>
        <w:tc>
          <w:tcPr>
            <w:tcW w:w="1347" w:type="dxa"/>
            <w:tcBorders>
              <w:top w:val="single" w:sz="4" w:space="0" w:color="auto"/>
              <w:left w:val="nil"/>
              <w:bottom w:val="single" w:sz="4" w:space="0" w:color="auto"/>
              <w:right w:val="single" w:sz="4" w:space="0" w:color="auto"/>
            </w:tcBorders>
            <w:vAlign w:val="center"/>
          </w:tcPr>
          <w:p w14:paraId="3468F082" w14:textId="53B367D1" w:rsidR="00D42D6E" w:rsidRPr="006A6461" w:rsidRDefault="009E0DE1" w:rsidP="003D7759">
            <w:pPr>
              <w:spacing w:after="120"/>
              <w:jc w:val="right"/>
              <w:rPr>
                <w:rFonts w:ascii="Times New Roman" w:eastAsia="Times New Roman" w:hAnsi="Times New Roman" w:cs="Times New Roman"/>
                <w:noProof/>
                <w:sz w:val="20"/>
                <w:szCs w:val="20"/>
              </w:rPr>
            </w:pPr>
            <w:r>
              <w:rPr>
                <w:rFonts w:ascii="Times New Roman" w:hAnsi="Times New Roman"/>
                <w:noProof/>
                <w:sz w:val="20"/>
              </w:rPr>
              <w:t>167 894,6</w:t>
            </w:r>
          </w:p>
        </w:tc>
        <w:tc>
          <w:tcPr>
            <w:tcW w:w="1345" w:type="dxa"/>
            <w:tcBorders>
              <w:top w:val="nil"/>
              <w:left w:val="single" w:sz="4" w:space="0" w:color="auto"/>
              <w:bottom w:val="single" w:sz="4" w:space="0" w:color="auto"/>
              <w:right w:val="single" w:sz="4" w:space="0" w:color="auto"/>
            </w:tcBorders>
            <w:shd w:val="clear" w:color="auto" w:fill="auto"/>
            <w:noWrap/>
            <w:vAlign w:val="center"/>
          </w:tcPr>
          <w:p w14:paraId="38DF6838" w14:textId="24A2A860" w:rsidR="00D42D6E" w:rsidRPr="006A6461" w:rsidRDefault="00997081" w:rsidP="003D7759">
            <w:pPr>
              <w:spacing w:after="120"/>
              <w:jc w:val="right"/>
              <w:rPr>
                <w:rFonts w:ascii="Times New Roman" w:hAnsi="Times New Roman" w:cs="Times New Roman"/>
                <w:noProof/>
                <w:color w:val="000000"/>
                <w:sz w:val="20"/>
                <w:szCs w:val="20"/>
              </w:rPr>
            </w:pPr>
            <w:r>
              <w:rPr>
                <w:rFonts w:ascii="Times New Roman" w:hAnsi="Times New Roman"/>
                <w:noProof/>
                <w:sz w:val="20"/>
              </w:rPr>
              <w:t>300 119,2</w:t>
            </w:r>
          </w:p>
        </w:tc>
        <w:tc>
          <w:tcPr>
            <w:tcW w:w="1457" w:type="dxa"/>
            <w:tcBorders>
              <w:top w:val="nil"/>
              <w:left w:val="nil"/>
              <w:bottom w:val="single" w:sz="4" w:space="0" w:color="auto"/>
              <w:right w:val="single" w:sz="4" w:space="0" w:color="auto"/>
            </w:tcBorders>
            <w:shd w:val="clear" w:color="auto" w:fill="auto"/>
            <w:noWrap/>
            <w:vAlign w:val="center"/>
          </w:tcPr>
          <w:p w14:paraId="6DAE00A3" w14:textId="2DAAD512" w:rsidR="00D42D6E" w:rsidRPr="006A6461" w:rsidRDefault="000F47BA" w:rsidP="003D7759">
            <w:pPr>
              <w:spacing w:after="120"/>
              <w:jc w:val="right"/>
              <w:rPr>
                <w:rFonts w:ascii="Times New Roman" w:hAnsi="Times New Roman" w:cs="Times New Roman"/>
                <w:noProof/>
                <w:color w:val="000000"/>
                <w:sz w:val="20"/>
                <w:szCs w:val="20"/>
              </w:rPr>
            </w:pPr>
            <w:r>
              <w:rPr>
                <w:rFonts w:ascii="Times New Roman" w:hAnsi="Times New Roman"/>
                <w:noProof/>
                <w:sz w:val="20"/>
              </w:rPr>
              <w:t>129 804,7</w:t>
            </w:r>
          </w:p>
        </w:tc>
      </w:tr>
      <w:tr w:rsidR="00D42D6E" w:rsidRPr="006A6461" w14:paraId="0A30E2F2" w14:textId="77777777" w:rsidTr="00EF7A17">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5BE7EDF" w14:textId="77777777" w:rsidR="00D42D6E" w:rsidRPr="006A6461" w:rsidRDefault="00D42D6E" w:rsidP="003D7759">
            <w:pPr>
              <w:spacing w:after="120"/>
              <w:rPr>
                <w:rFonts w:ascii="Times New Roman" w:hAnsi="Times New Roman" w:cs="Times New Roman"/>
                <w:b/>
                <w:bCs/>
                <w:noProof/>
                <w:sz w:val="20"/>
                <w:szCs w:val="20"/>
              </w:rPr>
            </w:pPr>
            <w:r>
              <w:rPr>
                <w:rFonts w:ascii="Times New Roman" w:hAnsi="Times New Roman"/>
                <w:b/>
                <w:noProof/>
                <w:sz w:val="20"/>
              </w:rPr>
              <w:t>DK</w:t>
            </w:r>
          </w:p>
        </w:tc>
        <w:tc>
          <w:tcPr>
            <w:tcW w:w="1477" w:type="dxa"/>
            <w:tcBorders>
              <w:top w:val="nil"/>
              <w:left w:val="nil"/>
              <w:bottom w:val="single" w:sz="4" w:space="0" w:color="auto"/>
              <w:right w:val="single" w:sz="4" w:space="0" w:color="auto"/>
            </w:tcBorders>
            <w:shd w:val="clear" w:color="auto" w:fill="auto"/>
            <w:noWrap/>
            <w:vAlign w:val="center"/>
          </w:tcPr>
          <w:p w14:paraId="4815E383" w14:textId="0DBCED15"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351,2</w:t>
            </w:r>
          </w:p>
        </w:tc>
        <w:tc>
          <w:tcPr>
            <w:tcW w:w="1386" w:type="dxa"/>
            <w:tcBorders>
              <w:top w:val="nil"/>
              <w:left w:val="nil"/>
              <w:bottom w:val="single" w:sz="4" w:space="0" w:color="auto"/>
              <w:right w:val="single" w:sz="4" w:space="0" w:color="auto"/>
            </w:tcBorders>
            <w:shd w:val="clear" w:color="auto" w:fill="auto"/>
            <w:noWrap/>
            <w:vAlign w:val="center"/>
          </w:tcPr>
          <w:p w14:paraId="0AC602C4" w14:textId="23DFF46E"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150 389,9</w:t>
            </w:r>
          </w:p>
        </w:tc>
        <w:tc>
          <w:tcPr>
            <w:tcW w:w="1347" w:type="dxa"/>
            <w:tcBorders>
              <w:top w:val="single" w:sz="4" w:space="0" w:color="auto"/>
              <w:left w:val="nil"/>
              <w:bottom w:val="single" w:sz="4" w:space="0" w:color="auto"/>
              <w:right w:val="single" w:sz="4" w:space="0" w:color="auto"/>
            </w:tcBorders>
            <w:vAlign w:val="center"/>
          </w:tcPr>
          <w:p w14:paraId="6964DB70" w14:textId="61B0E378" w:rsidR="00D42D6E" w:rsidRPr="006A6461" w:rsidRDefault="009E0DE1" w:rsidP="003D7759">
            <w:pPr>
              <w:spacing w:after="120"/>
              <w:jc w:val="right"/>
              <w:rPr>
                <w:rFonts w:ascii="Times New Roman" w:eastAsia="Times New Roman" w:hAnsi="Times New Roman" w:cs="Times New Roman"/>
                <w:noProof/>
                <w:sz w:val="20"/>
                <w:szCs w:val="20"/>
              </w:rPr>
            </w:pPr>
            <w:r>
              <w:rPr>
                <w:rFonts w:ascii="Times New Roman" w:hAnsi="Times New Roman"/>
                <w:noProof/>
                <w:sz w:val="20"/>
              </w:rPr>
              <w:t>169 703,7</w:t>
            </w:r>
          </w:p>
        </w:tc>
        <w:tc>
          <w:tcPr>
            <w:tcW w:w="1345" w:type="dxa"/>
            <w:tcBorders>
              <w:top w:val="nil"/>
              <w:left w:val="single" w:sz="4" w:space="0" w:color="auto"/>
              <w:bottom w:val="single" w:sz="4" w:space="0" w:color="auto"/>
              <w:right w:val="single" w:sz="4" w:space="0" w:color="auto"/>
            </w:tcBorders>
            <w:shd w:val="clear" w:color="auto" w:fill="auto"/>
            <w:noWrap/>
            <w:vAlign w:val="center"/>
          </w:tcPr>
          <w:p w14:paraId="5D434767" w14:textId="5A1365AF" w:rsidR="00D42D6E" w:rsidRPr="006A6461" w:rsidRDefault="00997081" w:rsidP="003D7759">
            <w:pPr>
              <w:spacing w:after="120"/>
              <w:jc w:val="right"/>
              <w:rPr>
                <w:rFonts w:ascii="Times New Roman" w:hAnsi="Times New Roman" w:cs="Times New Roman"/>
                <w:noProof/>
                <w:color w:val="000000"/>
                <w:sz w:val="20"/>
                <w:szCs w:val="20"/>
              </w:rPr>
            </w:pPr>
            <w:r>
              <w:rPr>
                <w:rFonts w:ascii="Times New Roman" w:hAnsi="Times New Roman"/>
                <w:noProof/>
                <w:sz w:val="20"/>
              </w:rPr>
              <w:t>402 684,8</w:t>
            </w:r>
          </w:p>
        </w:tc>
        <w:tc>
          <w:tcPr>
            <w:tcW w:w="1457" w:type="dxa"/>
            <w:tcBorders>
              <w:top w:val="nil"/>
              <w:left w:val="nil"/>
              <w:bottom w:val="single" w:sz="4" w:space="0" w:color="auto"/>
              <w:right w:val="single" w:sz="4" w:space="0" w:color="auto"/>
            </w:tcBorders>
            <w:shd w:val="clear" w:color="auto" w:fill="auto"/>
            <w:noWrap/>
            <w:vAlign w:val="center"/>
          </w:tcPr>
          <w:p w14:paraId="791733F3" w14:textId="3530C46A" w:rsidR="00D42D6E" w:rsidRPr="006A6461" w:rsidRDefault="000F47BA" w:rsidP="003D7759">
            <w:pPr>
              <w:spacing w:after="120"/>
              <w:jc w:val="right"/>
              <w:rPr>
                <w:rFonts w:ascii="Times New Roman" w:hAnsi="Times New Roman" w:cs="Times New Roman"/>
                <w:noProof/>
                <w:color w:val="000000"/>
                <w:sz w:val="20"/>
                <w:szCs w:val="20"/>
              </w:rPr>
            </w:pPr>
            <w:r>
              <w:rPr>
                <w:rFonts w:ascii="Times New Roman" w:hAnsi="Times New Roman"/>
                <w:noProof/>
                <w:sz w:val="20"/>
              </w:rPr>
              <w:t>150 389,9</w:t>
            </w:r>
          </w:p>
        </w:tc>
      </w:tr>
      <w:tr w:rsidR="00D42D6E" w:rsidRPr="006A6461" w14:paraId="593232F5" w14:textId="77777777" w:rsidTr="00EF7A17">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07F2686" w14:textId="77777777" w:rsidR="00D42D6E" w:rsidRPr="006A6461" w:rsidRDefault="00D42D6E" w:rsidP="003D7759">
            <w:pPr>
              <w:spacing w:after="120"/>
              <w:rPr>
                <w:rFonts w:ascii="Times New Roman" w:hAnsi="Times New Roman" w:cs="Times New Roman"/>
                <w:b/>
                <w:bCs/>
                <w:noProof/>
                <w:sz w:val="20"/>
                <w:szCs w:val="20"/>
              </w:rPr>
            </w:pPr>
            <w:r>
              <w:rPr>
                <w:rFonts w:ascii="Times New Roman" w:hAnsi="Times New Roman"/>
                <w:b/>
                <w:noProof/>
                <w:sz w:val="20"/>
              </w:rPr>
              <w:t>DE</w:t>
            </w:r>
          </w:p>
        </w:tc>
        <w:tc>
          <w:tcPr>
            <w:tcW w:w="1477" w:type="dxa"/>
            <w:tcBorders>
              <w:top w:val="nil"/>
              <w:left w:val="nil"/>
              <w:bottom w:val="single" w:sz="4" w:space="0" w:color="auto"/>
              <w:right w:val="single" w:sz="4" w:space="0" w:color="auto"/>
            </w:tcBorders>
            <w:shd w:val="clear" w:color="auto" w:fill="auto"/>
            <w:noWrap/>
            <w:vAlign w:val="center"/>
          </w:tcPr>
          <w:p w14:paraId="78F59687" w14:textId="2AEBE82E"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4 197,7</w:t>
            </w:r>
          </w:p>
        </w:tc>
        <w:tc>
          <w:tcPr>
            <w:tcW w:w="1386" w:type="dxa"/>
            <w:tcBorders>
              <w:top w:val="nil"/>
              <w:left w:val="nil"/>
              <w:bottom w:val="single" w:sz="4" w:space="0" w:color="auto"/>
              <w:right w:val="single" w:sz="4" w:space="0" w:color="auto"/>
            </w:tcBorders>
            <w:shd w:val="clear" w:color="auto" w:fill="auto"/>
            <w:noWrap/>
            <w:vAlign w:val="center"/>
          </w:tcPr>
          <w:p w14:paraId="009CAD90" w14:textId="3737061A"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1 813 299,6</w:t>
            </w:r>
          </w:p>
        </w:tc>
        <w:tc>
          <w:tcPr>
            <w:tcW w:w="1347" w:type="dxa"/>
            <w:tcBorders>
              <w:top w:val="single" w:sz="4" w:space="0" w:color="auto"/>
              <w:left w:val="nil"/>
              <w:bottom w:val="single" w:sz="4" w:space="0" w:color="auto"/>
              <w:right w:val="single" w:sz="4" w:space="0" w:color="auto"/>
            </w:tcBorders>
            <w:vAlign w:val="center"/>
          </w:tcPr>
          <w:p w14:paraId="15BB0BD0" w14:textId="54F1E1AB" w:rsidR="00D42D6E" w:rsidRPr="006A6461" w:rsidRDefault="009E0DE1" w:rsidP="003D7759">
            <w:pPr>
              <w:spacing w:after="120"/>
              <w:jc w:val="right"/>
              <w:rPr>
                <w:rFonts w:ascii="Times New Roman" w:eastAsia="Times New Roman" w:hAnsi="Times New Roman" w:cs="Times New Roman"/>
                <w:noProof/>
                <w:sz w:val="20"/>
                <w:szCs w:val="20"/>
              </w:rPr>
            </w:pPr>
            <w:r>
              <w:rPr>
                <w:rFonts w:ascii="Times New Roman" w:hAnsi="Times New Roman"/>
                <w:noProof/>
                <w:sz w:val="20"/>
              </w:rPr>
              <w:t>1 721 971,7</w:t>
            </w:r>
          </w:p>
        </w:tc>
        <w:tc>
          <w:tcPr>
            <w:tcW w:w="1345" w:type="dxa"/>
            <w:tcBorders>
              <w:top w:val="nil"/>
              <w:left w:val="single" w:sz="4" w:space="0" w:color="auto"/>
              <w:bottom w:val="single" w:sz="4" w:space="0" w:color="auto"/>
              <w:right w:val="single" w:sz="4" w:space="0" w:color="auto"/>
            </w:tcBorders>
            <w:shd w:val="clear" w:color="auto" w:fill="auto"/>
            <w:noWrap/>
            <w:vAlign w:val="center"/>
          </w:tcPr>
          <w:p w14:paraId="43C0DB44" w14:textId="5E6B4F3C" w:rsidR="00D42D6E" w:rsidRPr="006A6461" w:rsidRDefault="00997081" w:rsidP="003D7759">
            <w:pPr>
              <w:spacing w:after="120"/>
              <w:jc w:val="right"/>
              <w:rPr>
                <w:rFonts w:ascii="Times New Roman" w:hAnsi="Times New Roman" w:cs="Times New Roman"/>
                <w:noProof/>
                <w:color w:val="000000"/>
                <w:sz w:val="20"/>
                <w:szCs w:val="20"/>
              </w:rPr>
            </w:pPr>
            <w:r>
              <w:rPr>
                <w:rFonts w:ascii="Times New Roman" w:hAnsi="Times New Roman"/>
                <w:noProof/>
                <w:sz w:val="20"/>
              </w:rPr>
              <w:t>4 445 450,9</w:t>
            </w:r>
          </w:p>
        </w:tc>
        <w:tc>
          <w:tcPr>
            <w:tcW w:w="1457" w:type="dxa"/>
            <w:tcBorders>
              <w:top w:val="nil"/>
              <w:left w:val="nil"/>
              <w:bottom w:val="single" w:sz="4" w:space="0" w:color="auto"/>
              <w:right w:val="single" w:sz="4" w:space="0" w:color="auto"/>
            </w:tcBorders>
            <w:shd w:val="clear" w:color="auto" w:fill="auto"/>
            <w:noWrap/>
            <w:vAlign w:val="center"/>
          </w:tcPr>
          <w:p w14:paraId="58A8A797" w14:textId="55CBA323" w:rsidR="00D42D6E" w:rsidRPr="006A6461" w:rsidRDefault="000F47BA" w:rsidP="003D7759">
            <w:pPr>
              <w:spacing w:after="120"/>
              <w:jc w:val="right"/>
              <w:rPr>
                <w:rFonts w:ascii="Times New Roman" w:hAnsi="Times New Roman" w:cs="Times New Roman"/>
                <w:noProof/>
                <w:color w:val="000000"/>
                <w:sz w:val="20"/>
                <w:szCs w:val="20"/>
              </w:rPr>
            </w:pPr>
            <w:r>
              <w:rPr>
                <w:rFonts w:ascii="Times New Roman" w:hAnsi="Times New Roman"/>
                <w:noProof/>
                <w:sz w:val="20"/>
              </w:rPr>
              <w:t>1 813 299,6</w:t>
            </w:r>
          </w:p>
        </w:tc>
      </w:tr>
      <w:tr w:rsidR="00D42D6E" w:rsidRPr="006A6461" w14:paraId="4F5724CA" w14:textId="77777777" w:rsidTr="00EF7A17">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5D9B871" w14:textId="77777777" w:rsidR="00D42D6E" w:rsidRPr="006A6461" w:rsidRDefault="00D42D6E" w:rsidP="003D7759">
            <w:pPr>
              <w:spacing w:after="120"/>
              <w:rPr>
                <w:rFonts w:ascii="Times New Roman" w:hAnsi="Times New Roman" w:cs="Times New Roman"/>
                <w:b/>
                <w:bCs/>
                <w:noProof/>
                <w:sz w:val="20"/>
                <w:szCs w:val="20"/>
              </w:rPr>
            </w:pPr>
            <w:r>
              <w:rPr>
                <w:rFonts w:ascii="Times New Roman" w:hAnsi="Times New Roman"/>
                <w:b/>
                <w:noProof/>
                <w:sz w:val="20"/>
              </w:rPr>
              <w:t>EE</w:t>
            </w:r>
          </w:p>
        </w:tc>
        <w:tc>
          <w:tcPr>
            <w:tcW w:w="1477" w:type="dxa"/>
            <w:tcBorders>
              <w:top w:val="nil"/>
              <w:left w:val="nil"/>
              <w:bottom w:val="single" w:sz="4" w:space="0" w:color="auto"/>
              <w:right w:val="single" w:sz="4" w:space="0" w:color="auto"/>
            </w:tcBorders>
            <w:shd w:val="clear" w:color="auto" w:fill="auto"/>
            <w:noWrap/>
            <w:vAlign w:val="center"/>
          </w:tcPr>
          <w:p w14:paraId="3C85C648" w14:textId="003E569A"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32,9</w:t>
            </w:r>
          </w:p>
        </w:tc>
        <w:tc>
          <w:tcPr>
            <w:tcW w:w="1386" w:type="dxa"/>
            <w:tcBorders>
              <w:top w:val="nil"/>
              <w:left w:val="nil"/>
              <w:bottom w:val="single" w:sz="4" w:space="0" w:color="auto"/>
              <w:right w:val="single" w:sz="4" w:space="0" w:color="auto"/>
            </w:tcBorders>
            <w:shd w:val="clear" w:color="auto" w:fill="auto"/>
            <w:noWrap/>
            <w:vAlign w:val="center"/>
          </w:tcPr>
          <w:p w14:paraId="73147C1D" w14:textId="728D0019"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19 429,8</w:t>
            </w:r>
          </w:p>
        </w:tc>
        <w:tc>
          <w:tcPr>
            <w:tcW w:w="1347" w:type="dxa"/>
            <w:tcBorders>
              <w:top w:val="single" w:sz="4" w:space="0" w:color="auto"/>
              <w:left w:val="nil"/>
              <w:bottom w:val="single" w:sz="4" w:space="0" w:color="auto"/>
              <w:right w:val="single" w:sz="4" w:space="0" w:color="auto"/>
            </w:tcBorders>
            <w:vAlign w:val="center"/>
          </w:tcPr>
          <w:p w14:paraId="73EA5B12" w14:textId="759B3AE4" w:rsidR="00D42D6E" w:rsidRPr="006A6461" w:rsidRDefault="009E0DE1" w:rsidP="003D7759">
            <w:pPr>
              <w:spacing w:after="120"/>
              <w:jc w:val="right"/>
              <w:rPr>
                <w:rFonts w:ascii="Times New Roman" w:eastAsia="Times New Roman" w:hAnsi="Times New Roman" w:cs="Times New Roman"/>
                <w:noProof/>
                <w:sz w:val="20"/>
                <w:szCs w:val="20"/>
              </w:rPr>
            </w:pPr>
            <w:r>
              <w:rPr>
                <w:rFonts w:ascii="Times New Roman" w:hAnsi="Times New Roman"/>
                <w:noProof/>
                <w:sz w:val="20"/>
              </w:rPr>
              <w:t>26 082,5</w:t>
            </w:r>
          </w:p>
        </w:tc>
        <w:tc>
          <w:tcPr>
            <w:tcW w:w="1345" w:type="dxa"/>
            <w:tcBorders>
              <w:top w:val="nil"/>
              <w:left w:val="single" w:sz="4" w:space="0" w:color="auto"/>
              <w:bottom w:val="single" w:sz="4" w:space="0" w:color="auto"/>
              <w:right w:val="single" w:sz="4" w:space="0" w:color="auto"/>
            </w:tcBorders>
            <w:shd w:val="clear" w:color="auto" w:fill="auto"/>
            <w:noWrap/>
            <w:vAlign w:val="center"/>
          </w:tcPr>
          <w:p w14:paraId="00B4A92B" w14:textId="5F2F3F5A" w:rsidR="00D42D6E" w:rsidRPr="006A6461" w:rsidRDefault="00997081" w:rsidP="003D7759">
            <w:pPr>
              <w:spacing w:after="120"/>
              <w:jc w:val="right"/>
              <w:rPr>
                <w:rFonts w:ascii="Times New Roman" w:hAnsi="Times New Roman" w:cs="Times New Roman"/>
                <w:noProof/>
                <w:color w:val="000000"/>
                <w:sz w:val="20"/>
                <w:szCs w:val="20"/>
              </w:rPr>
            </w:pPr>
            <w:r>
              <w:rPr>
                <w:rFonts w:ascii="Times New Roman" w:hAnsi="Times New Roman"/>
                <w:noProof/>
                <w:sz w:val="20"/>
              </w:rPr>
              <w:t>37 984,4</w:t>
            </w:r>
          </w:p>
        </w:tc>
        <w:tc>
          <w:tcPr>
            <w:tcW w:w="1457" w:type="dxa"/>
            <w:tcBorders>
              <w:top w:val="nil"/>
              <w:left w:val="nil"/>
              <w:bottom w:val="single" w:sz="4" w:space="0" w:color="auto"/>
              <w:right w:val="single" w:sz="4" w:space="0" w:color="auto"/>
            </w:tcBorders>
            <w:shd w:val="clear" w:color="auto" w:fill="D9D9D9" w:themeFill="background1" w:themeFillShade="D9"/>
            <w:noWrap/>
            <w:vAlign w:val="center"/>
          </w:tcPr>
          <w:p w14:paraId="2DCA9231" w14:textId="329E49B8" w:rsidR="00D42D6E" w:rsidRPr="006A6461" w:rsidRDefault="000F47BA" w:rsidP="003D7759">
            <w:pPr>
              <w:spacing w:after="120"/>
              <w:jc w:val="right"/>
              <w:rPr>
                <w:rFonts w:ascii="Times New Roman" w:hAnsi="Times New Roman" w:cs="Times New Roman"/>
                <w:noProof/>
                <w:color w:val="000000"/>
                <w:sz w:val="20"/>
                <w:szCs w:val="20"/>
              </w:rPr>
            </w:pPr>
            <w:r>
              <w:rPr>
                <w:rFonts w:ascii="Times New Roman" w:hAnsi="Times New Roman"/>
                <w:noProof/>
                <w:sz w:val="20"/>
              </w:rPr>
              <w:t>18 992,2</w:t>
            </w:r>
          </w:p>
        </w:tc>
      </w:tr>
      <w:tr w:rsidR="00D42D6E" w:rsidRPr="006A6461" w14:paraId="60F70179" w14:textId="77777777" w:rsidTr="00EF7A17">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D2B2732" w14:textId="77777777" w:rsidR="00D42D6E" w:rsidRPr="006A6461" w:rsidRDefault="00D42D6E" w:rsidP="003D7759">
            <w:pPr>
              <w:spacing w:after="120"/>
              <w:rPr>
                <w:rFonts w:ascii="Times New Roman" w:hAnsi="Times New Roman" w:cs="Times New Roman"/>
                <w:b/>
                <w:bCs/>
                <w:noProof/>
                <w:color w:val="000000"/>
                <w:sz w:val="20"/>
                <w:szCs w:val="20"/>
              </w:rPr>
            </w:pPr>
            <w:r>
              <w:rPr>
                <w:rFonts w:ascii="Times New Roman" w:hAnsi="Times New Roman"/>
                <w:b/>
                <w:noProof/>
                <w:color w:val="000000"/>
                <w:sz w:val="20"/>
              </w:rPr>
              <w:t>IE</w:t>
            </w:r>
          </w:p>
        </w:tc>
        <w:tc>
          <w:tcPr>
            <w:tcW w:w="1477" w:type="dxa"/>
            <w:tcBorders>
              <w:top w:val="nil"/>
              <w:left w:val="nil"/>
              <w:bottom w:val="single" w:sz="4" w:space="0" w:color="auto"/>
              <w:right w:val="single" w:sz="4" w:space="0" w:color="auto"/>
            </w:tcBorders>
            <w:shd w:val="clear" w:color="auto" w:fill="auto"/>
            <w:noWrap/>
            <w:vAlign w:val="center"/>
          </w:tcPr>
          <w:p w14:paraId="5B8B882C" w14:textId="7D7EF281"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422,9</w:t>
            </w:r>
          </w:p>
        </w:tc>
        <w:tc>
          <w:tcPr>
            <w:tcW w:w="1386" w:type="dxa"/>
            <w:tcBorders>
              <w:top w:val="nil"/>
              <w:left w:val="nil"/>
              <w:bottom w:val="single" w:sz="4" w:space="0" w:color="auto"/>
              <w:right w:val="single" w:sz="4" w:space="0" w:color="auto"/>
            </w:tcBorders>
            <w:shd w:val="clear" w:color="auto" w:fill="auto"/>
            <w:noWrap/>
            <w:vAlign w:val="center"/>
          </w:tcPr>
          <w:p w14:paraId="12F3E61D" w14:textId="0A2A36D4"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133 045,2</w:t>
            </w:r>
          </w:p>
        </w:tc>
        <w:tc>
          <w:tcPr>
            <w:tcW w:w="1347" w:type="dxa"/>
            <w:tcBorders>
              <w:top w:val="single" w:sz="4" w:space="0" w:color="auto"/>
              <w:left w:val="nil"/>
              <w:bottom w:val="single" w:sz="4" w:space="0" w:color="auto"/>
              <w:right w:val="single" w:sz="4" w:space="0" w:color="auto"/>
            </w:tcBorders>
            <w:vAlign w:val="center"/>
          </w:tcPr>
          <w:p w14:paraId="31CFB01E" w14:textId="10860F27" w:rsidR="00D42D6E" w:rsidRPr="006A6461" w:rsidRDefault="009E0DE1" w:rsidP="003D7759">
            <w:pPr>
              <w:spacing w:after="120"/>
              <w:jc w:val="right"/>
              <w:rPr>
                <w:rFonts w:ascii="Times New Roman" w:eastAsia="Times New Roman" w:hAnsi="Times New Roman" w:cs="Times New Roman"/>
                <w:noProof/>
                <w:sz w:val="20"/>
                <w:szCs w:val="20"/>
              </w:rPr>
            </w:pPr>
            <w:r>
              <w:rPr>
                <w:rFonts w:ascii="Times New Roman" w:hAnsi="Times New Roman"/>
                <w:noProof/>
                <w:sz w:val="20"/>
              </w:rPr>
              <w:t>271 796,3</w:t>
            </w:r>
          </w:p>
        </w:tc>
        <w:tc>
          <w:tcPr>
            <w:tcW w:w="1345" w:type="dxa"/>
            <w:tcBorders>
              <w:top w:val="nil"/>
              <w:left w:val="single" w:sz="4" w:space="0" w:color="auto"/>
              <w:bottom w:val="single" w:sz="4" w:space="0" w:color="auto"/>
              <w:right w:val="single" w:sz="4" w:space="0" w:color="auto"/>
            </w:tcBorders>
            <w:shd w:val="clear" w:color="auto" w:fill="auto"/>
            <w:noWrap/>
            <w:vAlign w:val="center"/>
          </w:tcPr>
          <w:p w14:paraId="07A4309D" w14:textId="01FFFE20" w:rsidR="00D42D6E" w:rsidRPr="006A6461" w:rsidRDefault="00997081" w:rsidP="003D7759">
            <w:pPr>
              <w:spacing w:after="120"/>
              <w:jc w:val="right"/>
              <w:rPr>
                <w:rFonts w:ascii="Times New Roman" w:hAnsi="Times New Roman" w:cs="Times New Roman"/>
                <w:noProof/>
                <w:color w:val="000000"/>
                <w:sz w:val="20"/>
                <w:szCs w:val="20"/>
              </w:rPr>
            </w:pPr>
            <w:r>
              <w:rPr>
                <w:rFonts w:ascii="Times New Roman" w:hAnsi="Times New Roman"/>
                <w:noProof/>
                <w:sz w:val="20"/>
              </w:rPr>
              <w:t>407 531,6</w:t>
            </w:r>
          </w:p>
        </w:tc>
        <w:tc>
          <w:tcPr>
            <w:tcW w:w="1457" w:type="dxa"/>
            <w:tcBorders>
              <w:top w:val="nil"/>
              <w:left w:val="nil"/>
              <w:bottom w:val="single" w:sz="4" w:space="0" w:color="auto"/>
              <w:right w:val="single" w:sz="4" w:space="0" w:color="auto"/>
            </w:tcBorders>
            <w:shd w:val="clear" w:color="auto" w:fill="auto"/>
            <w:noWrap/>
            <w:vAlign w:val="center"/>
          </w:tcPr>
          <w:p w14:paraId="40E9B5FA" w14:textId="54C4B285" w:rsidR="00D42D6E" w:rsidRPr="006A6461" w:rsidRDefault="000F47BA" w:rsidP="003D7759">
            <w:pPr>
              <w:spacing w:after="120"/>
              <w:jc w:val="right"/>
              <w:rPr>
                <w:rFonts w:ascii="Times New Roman" w:hAnsi="Times New Roman" w:cs="Times New Roman"/>
                <w:noProof/>
                <w:color w:val="000000"/>
                <w:sz w:val="20"/>
                <w:szCs w:val="20"/>
              </w:rPr>
            </w:pPr>
            <w:r>
              <w:rPr>
                <w:rFonts w:ascii="Times New Roman" w:hAnsi="Times New Roman"/>
                <w:noProof/>
                <w:sz w:val="20"/>
              </w:rPr>
              <w:t>133 045,2</w:t>
            </w:r>
          </w:p>
        </w:tc>
      </w:tr>
      <w:tr w:rsidR="00D42D6E" w:rsidRPr="006A6461" w14:paraId="2391971F" w14:textId="77777777" w:rsidTr="00EF7A17">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F006DFF" w14:textId="77777777" w:rsidR="00D42D6E" w:rsidRPr="006A6461" w:rsidRDefault="00D42D6E" w:rsidP="003D7759">
            <w:pPr>
              <w:spacing w:after="120"/>
              <w:rPr>
                <w:rFonts w:ascii="Times New Roman" w:hAnsi="Times New Roman" w:cs="Times New Roman"/>
                <w:b/>
                <w:bCs/>
                <w:noProof/>
                <w:color w:val="000000"/>
                <w:sz w:val="20"/>
                <w:szCs w:val="20"/>
              </w:rPr>
            </w:pPr>
            <w:r>
              <w:rPr>
                <w:rFonts w:ascii="Times New Roman" w:hAnsi="Times New Roman"/>
                <w:b/>
                <w:noProof/>
                <w:color w:val="000000"/>
                <w:sz w:val="20"/>
              </w:rPr>
              <w:t>EL</w:t>
            </w:r>
          </w:p>
        </w:tc>
        <w:tc>
          <w:tcPr>
            <w:tcW w:w="1477" w:type="dxa"/>
            <w:tcBorders>
              <w:top w:val="nil"/>
              <w:left w:val="nil"/>
              <w:bottom w:val="single" w:sz="4" w:space="0" w:color="auto"/>
              <w:right w:val="single" w:sz="4" w:space="0" w:color="auto"/>
            </w:tcBorders>
            <w:shd w:val="clear" w:color="auto" w:fill="auto"/>
            <w:noWrap/>
            <w:vAlign w:val="center"/>
          </w:tcPr>
          <w:p w14:paraId="4E88D72E" w14:textId="19016832"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215,2</w:t>
            </w:r>
          </w:p>
        </w:tc>
        <w:tc>
          <w:tcPr>
            <w:tcW w:w="1386" w:type="dxa"/>
            <w:tcBorders>
              <w:top w:val="nil"/>
              <w:left w:val="nil"/>
              <w:bottom w:val="single" w:sz="4" w:space="0" w:color="auto"/>
              <w:right w:val="single" w:sz="4" w:space="0" w:color="auto"/>
            </w:tcBorders>
            <w:shd w:val="clear" w:color="auto" w:fill="auto"/>
            <w:noWrap/>
            <w:vAlign w:val="center"/>
          </w:tcPr>
          <w:p w14:paraId="72B3F02D" w14:textId="66070268"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100 779,3</w:t>
            </w:r>
          </w:p>
        </w:tc>
        <w:tc>
          <w:tcPr>
            <w:tcW w:w="1347" w:type="dxa"/>
            <w:tcBorders>
              <w:top w:val="single" w:sz="4" w:space="0" w:color="auto"/>
              <w:left w:val="nil"/>
              <w:bottom w:val="single" w:sz="4" w:space="0" w:color="auto"/>
              <w:right w:val="single" w:sz="4" w:space="0" w:color="auto"/>
            </w:tcBorders>
            <w:vAlign w:val="center"/>
          </w:tcPr>
          <w:p w14:paraId="7C11E0D6" w14:textId="35F42B1F" w:rsidR="00D42D6E" w:rsidRPr="006A6461" w:rsidRDefault="009E0DE1" w:rsidP="003D7759">
            <w:pPr>
              <w:spacing w:after="120"/>
              <w:jc w:val="right"/>
              <w:rPr>
                <w:rFonts w:ascii="Times New Roman" w:eastAsia="Times New Roman" w:hAnsi="Times New Roman" w:cs="Times New Roman"/>
                <w:noProof/>
                <w:sz w:val="20"/>
                <w:szCs w:val="20"/>
              </w:rPr>
            </w:pPr>
            <w:r>
              <w:rPr>
                <w:rFonts w:ascii="Times New Roman" w:hAnsi="Times New Roman"/>
                <w:noProof/>
                <w:sz w:val="20"/>
              </w:rPr>
              <w:t>202 001,5</w:t>
            </w:r>
          </w:p>
        </w:tc>
        <w:tc>
          <w:tcPr>
            <w:tcW w:w="1345" w:type="dxa"/>
            <w:tcBorders>
              <w:top w:val="nil"/>
              <w:left w:val="single" w:sz="4" w:space="0" w:color="auto"/>
              <w:bottom w:val="single" w:sz="4" w:space="0" w:color="auto"/>
              <w:right w:val="single" w:sz="4" w:space="0" w:color="auto"/>
            </w:tcBorders>
            <w:shd w:val="clear" w:color="auto" w:fill="auto"/>
            <w:noWrap/>
            <w:vAlign w:val="center"/>
          </w:tcPr>
          <w:p w14:paraId="54EB608F" w14:textId="732707D8" w:rsidR="00D42D6E" w:rsidRPr="006A6461" w:rsidRDefault="00997081" w:rsidP="003D7759">
            <w:pPr>
              <w:spacing w:after="120"/>
              <w:jc w:val="right"/>
              <w:rPr>
                <w:rFonts w:ascii="Times New Roman" w:hAnsi="Times New Roman" w:cs="Times New Roman"/>
                <w:noProof/>
                <w:color w:val="000000"/>
                <w:sz w:val="20"/>
                <w:szCs w:val="20"/>
              </w:rPr>
            </w:pPr>
            <w:r>
              <w:rPr>
                <w:rFonts w:ascii="Times New Roman" w:hAnsi="Times New Roman"/>
                <w:noProof/>
                <w:sz w:val="20"/>
              </w:rPr>
              <w:t>228 947,6</w:t>
            </w:r>
          </w:p>
        </w:tc>
        <w:tc>
          <w:tcPr>
            <w:tcW w:w="1457" w:type="dxa"/>
            <w:tcBorders>
              <w:top w:val="nil"/>
              <w:left w:val="nil"/>
              <w:bottom w:val="single" w:sz="4" w:space="0" w:color="auto"/>
              <w:right w:val="single" w:sz="4" w:space="0" w:color="auto"/>
            </w:tcBorders>
            <w:shd w:val="clear" w:color="auto" w:fill="auto"/>
            <w:noWrap/>
            <w:vAlign w:val="center"/>
          </w:tcPr>
          <w:p w14:paraId="64E440AA" w14:textId="3B64E387" w:rsidR="00D42D6E" w:rsidRPr="006A6461" w:rsidRDefault="000F47BA" w:rsidP="003D7759">
            <w:pPr>
              <w:spacing w:after="120"/>
              <w:jc w:val="right"/>
              <w:rPr>
                <w:rFonts w:ascii="Times New Roman" w:hAnsi="Times New Roman" w:cs="Times New Roman"/>
                <w:noProof/>
                <w:color w:val="000000"/>
                <w:sz w:val="20"/>
                <w:szCs w:val="20"/>
              </w:rPr>
            </w:pPr>
            <w:r>
              <w:rPr>
                <w:rFonts w:ascii="Times New Roman" w:hAnsi="Times New Roman"/>
                <w:noProof/>
                <w:sz w:val="20"/>
              </w:rPr>
              <w:t>100 779,3</w:t>
            </w:r>
          </w:p>
        </w:tc>
      </w:tr>
      <w:tr w:rsidR="00D42D6E" w:rsidRPr="006A6461" w14:paraId="46CE3F58" w14:textId="77777777" w:rsidTr="00EF7A17">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35F402D" w14:textId="77777777" w:rsidR="00D42D6E" w:rsidRPr="006A6461" w:rsidRDefault="00D42D6E" w:rsidP="003D7759">
            <w:pPr>
              <w:spacing w:after="120"/>
              <w:rPr>
                <w:rFonts w:ascii="Times New Roman" w:hAnsi="Times New Roman" w:cs="Times New Roman"/>
                <w:b/>
                <w:bCs/>
                <w:noProof/>
                <w:color w:val="000000"/>
                <w:sz w:val="20"/>
                <w:szCs w:val="20"/>
              </w:rPr>
            </w:pPr>
            <w:r>
              <w:rPr>
                <w:rFonts w:ascii="Times New Roman" w:hAnsi="Times New Roman"/>
                <w:b/>
                <w:noProof/>
                <w:color w:val="000000"/>
                <w:sz w:val="20"/>
              </w:rPr>
              <w:t>ES</w:t>
            </w:r>
          </w:p>
        </w:tc>
        <w:tc>
          <w:tcPr>
            <w:tcW w:w="1477" w:type="dxa"/>
            <w:tcBorders>
              <w:top w:val="nil"/>
              <w:left w:val="nil"/>
              <w:bottom w:val="single" w:sz="4" w:space="0" w:color="auto"/>
              <w:right w:val="single" w:sz="4" w:space="0" w:color="auto"/>
            </w:tcBorders>
            <w:shd w:val="clear" w:color="auto" w:fill="auto"/>
            <w:noWrap/>
            <w:vAlign w:val="center"/>
          </w:tcPr>
          <w:p w14:paraId="182DD5DE" w14:textId="287987D6"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1 897,9</w:t>
            </w:r>
          </w:p>
        </w:tc>
        <w:tc>
          <w:tcPr>
            <w:tcW w:w="1386" w:type="dxa"/>
            <w:tcBorders>
              <w:top w:val="nil"/>
              <w:left w:val="nil"/>
              <w:bottom w:val="single" w:sz="4" w:space="0" w:color="auto"/>
              <w:right w:val="single" w:sz="4" w:space="0" w:color="auto"/>
            </w:tcBorders>
            <w:shd w:val="clear" w:color="auto" w:fill="auto"/>
            <w:noWrap/>
            <w:vAlign w:val="center"/>
          </w:tcPr>
          <w:p w14:paraId="31725F1F" w14:textId="5E4CE539"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703 292,8</w:t>
            </w:r>
          </w:p>
        </w:tc>
        <w:tc>
          <w:tcPr>
            <w:tcW w:w="1347" w:type="dxa"/>
            <w:tcBorders>
              <w:top w:val="single" w:sz="4" w:space="0" w:color="auto"/>
              <w:left w:val="nil"/>
              <w:bottom w:val="single" w:sz="4" w:space="0" w:color="auto"/>
              <w:right w:val="single" w:sz="4" w:space="0" w:color="auto"/>
            </w:tcBorders>
            <w:vAlign w:val="center"/>
          </w:tcPr>
          <w:p w14:paraId="0BB7E7F4" w14:textId="47029C11" w:rsidR="00D42D6E" w:rsidRPr="006A6461" w:rsidRDefault="009E0DE1" w:rsidP="003D7759">
            <w:pPr>
              <w:spacing w:after="120"/>
              <w:jc w:val="right"/>
              <w:rPr>
                <w:rFonts w:ascii="Times New Roman" w:eastAsia="Times New Roman" w:hAnsi="Times New Roman" w:cs="Times New Roman"/>
                <w:noProof/>
                <w:sz w:val="20"/>
                <w:szCs w:val="20"/>
              </w:rPr>
            </w:pPr>
            <w:r>
              <w:rPr>
                <w:rFonts w:ascii="Times New Roman" w:hAnsi="Times New Roman"/>
                <w:noProof/>
                <w:sz w:val="20"/>
              </w:rPr>
              <w:t>996 842,5</w:t>
            </w:r>
          </w:p>
        </w:tc>
        <w:tc>
          <w:tcPr>
            <w:tcW w:w="1345" w:type="dxa"/>
            <w:tcBorders>
              <w:top w:val="nil"/>
              <w:left w:val="single" w:sz="4" w:space="0" w:color="auto"/>
              <w:bottom w:val="single" w:sz="4" w:space="0" w:color="auto"/>
              <w:right w:val="single" w:sz="4" w:space="0" w:color="auto"/>
            </w:tcBorders>
            <w:shd w:val="clear" w:color="auto" w:fill="auto"/>
            <w:noWrap/>
            <w:vAlign w:val="center"/>
          </w:tcPr>
          <w:p w14:paraId="294A3E41" w14:textId="4A2A0248" w:rsidR="00D42D6E" w:rsidRPr="006A6461" w:rsidRDefault="00997081" w:rsidP="003D7759">
            <w:pPr>
              <w:spacing w:after="120"/>
              <w:jc w:val="right"/>
              <w:rPr>
                <w:rFonts w:ascii="Times New Roman" w:hAnsi="Times New Roman" w:cs="Times New Roman"/>
                <w:noProof/>
                <w:color w:val="000000"/>
                <w:sz w:val="20"/>
                <w:szCs w:val="20"/>
              </w:rPr>
            </w:pPr>
            <w:r>
              <w:rPr>
                <w:rFonts w:ascii="Times New Roman" w:hAnsi="Times New Roman"/>
                <w:noProof/>
                <w:sz w:val="20"/>
              </w:rPr>
              <w:t>1 529 209,9</w:t>
            </w:r>
          </w:p>
        </w:tc>
        <w:tc>
          <w:tcPr>
            <w:tcW w:w="1457" w:type="dxa"/>
            <w:tcBorders>
              <w:top w:val="nil"/>
              <w:left w:val="nil"/>
              <w:bottom w:val="single" w:sz="4" w:space="0" w:color="auto"/>
              <w:right w:val="single" w:sz="4" w:space="0" w:color="auto"/>
            </w:tcBorders>
            <w:shd w:val="clear" w:color="auto" w:fill="auto"/>
            <w:noWrap/>
            <w:vAlign w:val="center"/>
          </w:tcPr>
          <w:p w14:paraId="20430973" w14:textId="48A65048" w:rsidR="00D42D6E" w:rsidRPr="006A6461" w:rsidRDefault="000F47BA" w:rsidP="003D7759">
            <w:pPr>
              <w:spacing w:after="120"/>
              <w:jc w:val="right"/>
              <w:rPr>
                <w:rFonts w:ascii="Times New Roman" w:hAnsi="Times New Roman" w:cs="Times New Roman"/>
                <w:noProof/>
                <w:color w:val="000000"/>
                <w:sz w:val="20"/>
                <w:szCs w:val="20"/>
              </w:rPr>
            </w:pPr>
            <w:r>
              <w:rPr>
                <w:rFonts w:ascii="Times New Roman" w:hAnsi="Times New Roman"/>
                <w:noProof/>
                <w:sz w:val="20"/>
              </w:rPr>
              <w:t>703 292,8</w:t>
            </w:r>
          </w:p>
        </w:tc>
      </w:tr>
      <w:tr w:rsidR="00D42D6E" w:rsidRPr="006A6461" w14:paraId="402E3599" w14:textId="77777777" w:rsidTr="00EF7A17">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160E024" w14:textId="77777777" w:rsidR="00D42D6E" w:rsidRPr="006A6461" w:rsidRDefault="00D42D6E" w:rsidP="003D7759">
            <w:pPr>
              <w:spacing w:after="120"/>
              <w:rPr>
                <w:rFonts w:ascii="Times New Roman" w:hAnsi="Times New Roman" w:cs="Times New Roman"/>
                <w:b/>
                <w:bCs/>
                <w:noProof/>
                <w:color w:val="000000"/>
                <w:sz w:val="20"/>
                <w:szCs w:val="20"/>
              </w:rPr>
            </w:pPr>
            <w:r>
              <w:rPr>
                <w:rFonts w:ascii="Times New Roman" w:hAnsi="Times New Roman"/>
                <w:b/>
                <w:noProof/>
                <w:color w:val="000000"/>
                <w:sz w:val="20"/>
              </w:rPr>
              <w:t>FR</w:t>
            </w:r>
          </w:p>
        </w:tc>
        <w:tc>
          <w:tcPr>
            <w:tcW w:w="1477" w:type="dxa"/>
            <w:tcBorders>
              <w:top w:val="nil"/>
              <w:left w:val="nil"/>
              <w:bottom w:val="single" w:sz="4" w:space="0" w:color="auto"/>
              <w:right w:val="single" w:sz="4" w:space="0" w:color="auto"/>
            </w:tcBorders>
            <w:shd w:val="clear" w:color="auto" w:fill="auto"/>
            <w:noWrap/>
            <w:vAlign w:val="center"/>
          </w:tcPr>
          <w:p w14:paraId="2C83C8BB" w14:textId="2F62C8FA"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1 896,1</w:t>
            </w:r>
          </w:p>
        </w:tc>
        <w:tc>
          <w:tcPr>
            <w:tcW w:w="1386" w:type="dxa"/>
            <w:tcBorders>
              <w:top w:val="nil"/>
              <w:left w:val="nil"/>
              <w:bottom w:val="single" w:sz="4" w:space="0" w:color="auto"/>
              <w:right w:val="single" w:sz="4" w:space="0" w:color="auto"/>
            </w:tcBorders>
            <w:shd w:val="clear" w:color="auto" w:fill="auto"/>
            <w:noWrap/>
            <w:vAlign w:val="center"/>
          </w:tcPr>
          <w:p w14:paraId="56B866F4" w14:textId="7BC4EB18"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1 431 209,9</w:t>
            </w:r>
          </w:p>
        </w:tc>
        <w:tc>
          <w:tcPr>
            <w:tcW w:w="1347" w:type="dxa"/>
            <w:tcBorders>
              <w:top w:val="single" w:sz="4" w:space="0" w:color="auto"/>
              <w:left w:val="nil"/>
              <w:bottom w:val="single" w:sz="4" w:space="0" w:color="auto"/>
              <w:right w:val="single" w:sz="4" w:space="0" w:color="auto"/>
            </w:tcBorders>
            <w:vAlign w:val="center"/>
          </w:tcPr>
          <w:p w14:paraId="7B52813E" w14:textId="4C7BF479" w:rsidR="00D42D6E" w:rsidRPr="006A6461" w:rsidRDefault="009E0DE1" w:rsidP="003D7759">
            <w:pPr>
              <w:spacing w:after="120"/>
              <w:jc w:val="right"/>
              <w:rPr>
                <w:rFonts w:ascii="Times New Roman" w:eastAsia="Times New Roman" w:hAnsi="Times New Roman" w:cs="Times New Roman"/>
                <w:noProof/>
                <w:sz w:val="20"/>
                <w:szCs w:val="20"/>
              </w:rPr>
            </w:pPr>
            <w:r>
              <w:rPr>
                <w:rFonts w:ascii="Times New Roman" w:hAnsi="Times New Roman"/>
                <w:noProof/>
                <w:sz w:val="20"/>
              </w:rPr>
              <w:t>1 873 074,6</w:t>
            </w:r>
          </w:p>
        </w:tc>
        <w:tc>
          <w:tcPr>
            <w:tcW w:w="1345" w:type="dxa"/>
            <w:tcBorders>
              <w:top w:val="nil"/>
              <w:left w:val="single" w:sz="4" w:space="0" w:color="auto"/>
              <w:bottom w:val="single" w:sz="4" w:space="0" w:color="auto"/>
              <w:right w:val="single" w:sz="4" w:space="0" w:color="auto"/>
            </w:tcBorders>
            <w:shd w:val="clear" w:color="auto" w:fill="auto"/>
            <w:noWrap/>
            <w:vAlign w:val="center"/>
          </w:tcPr>
          <w:p w14:paraId="2735293A" w14:textId="4A5EB06E" w:rsidR="00D42D6E" w:rsidRPr="006A6461" w:rsidRDefault="00997081" w:rsidP="003D7759">
            <w:pPr>
              <w:spacing w:after="120"/>
              <w:jc w:val="right"/>
              <w:rPr>
                <w:rFonts w:ascii="Times New Roman" w:hAnsi="Times New Roman" w:cs="Times New Roman"/>
                <w:noProof/>
                <w:color w:val="000000"/>
                <w:sz w:val="20"/>
                <w:szCs w:val="20"/>
              </w:rPr>
            </w:pPr>
            <w:r>
              <w:rPr>
                <w:rFonts w:ascii="Times New Roman" w:hAnsi="Times New Roman"/>
                <w:noProof/>
                <w:sz w:val="20"/>
              </w:rPr>
              <w:t>2 967 744,6</w:t>
            </w:r>
          </w:p>
        </w:tc>
        <w:tc>
          <w:tcPr>
            <w:tcW w:w="1457" w:type="dxa"/>
            <w:tcBorders>
              <w:top w:val="nil"/>
              <w:left w:val="nil"/>
              <w:bottom w:val="single" w:sz="4" w:space="0" w:color="auto"/>
              <w:right w:val="single" w:sz="4" w:space="0" w:color="auto"/>
            </w:tcBorders>
            <w:shd w:val="clear" w:color="auto" w:fill="auto"/>
            <w:noWrap/>
            <w:vAlign w:val="center"/>
          </w:tcPr>
          <w:p w14:paraId="3D7B59BB" w14:textId="2DA34A13" w:rsidR="00D42D6E" w:rsidRPr="006A6461" w:rsidRDefault="000F47BA" w:rsidP="003D7759">
            <w:pPr>
              <w:spacing w:after="120"/>
              <w:jc w:val="right"/>
              <w:rPr>
                <w:rFonts w:ascii="Times New Roman" w:hAnsi="Times New Roman" w:cs="Times New Roman"/>
                <w:noProof/>
                <w:color w:val="000000"/>
                <w:sz w:val="20"/>
                <w:szCs w:val="20"/>
              </w:rPr>
            </w:pPr>
            <w:r>
              <w:rPr>
                <w:rFonts w:ascii="Times New Roman" w:hAnsi="Times New Roman"/>
                <w:noProof/>
                <w:sz w:val="20"/>
              </w:rPr>
              <w:t>1 431 209,9</w:t>
            </w:r>
          </w:p>
        </w:tc>
      </w:tr>
      <w:tr w:rsidR="00502546" w:rsidRPr="006A6461" w14:paraId="32B2E9C0" w14:textId="77777777" w:rsidTr="00EF7A17">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7CB002E" w14:textId="77777777" w:rsidR="00D42D6E" w:rsidRPr="006A6461" w:rsidRDefault="00D42D6E" w:rsidP="003D7759">
            <w:pPr>
              <w:spacing w:after="120"/>
              <w:rPr>
                <w:rFonts w:ascii="Times New Roman" w:hAnsi="Times New Roman" w:cs="Times New Roman"/>
                <w:b/>
                <w:bCs/>
                <w:noProof/>
                <w:color w:val="000000"/>
                <w:sz w:val="20"/>
                <w:szCs w:val="20"/>
              </w:rPr>
            </w:pPr>
            <w:r>
              <w:rPr>
                <w:rFonts w:ascii="Times New Roman" w:hAnsi="Times New Roman"/>
                <w:b/>
                <w:noProof/>
                <w:color w:val="000000"/>
                <w:sz w:val="20"/>
              </w:rPr>
              <w:t>HR</w:t>
            </w:r>
          </w:p>
        </w:tc>
        <w:tc>
          <w:tcPr>
            <w:tcW w:w="1477" w:type="dxa"/>
            <w:tcBorders>
              <w:top w:val="nil"/>
              <w:left w:val="nil"/>
              <w:bottom w:val="single" w:sz="4" w:space="0" w:color="auto"/>
              <w:right w:val="single" w:sz="4" w:space="0" w:color="auto"/>
            </w:tcBorders>
            <w:shd w:val="clear" w:color="auto" w:fill="auto"/>
            <w:noWrap/>
            <w:vAlign w:val="center"/>
          </w:tcPr>
          <w:p w14:paraId="51D2B722" w14:textId="6C5D73C5"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57,0</w:t>
            </w:r>
          </w:p>
        </w:tc>
        <w:tc>
          <w:tcPr>
            <w:tcW w:w="1386" w:type="dxa"/>
            <w:tcBorders>
              <w:top w:val="nil"/>
              <w:left w:val="nil"/>
              <w:bottom w:val="single" w:sz="4" w:space="0" w:color="auto"/>
              <w:right w:val="single" w:sz="4" w:space="0" w:color="auto"/>
            </w:tcBorders>
            <w:shd w:val="clear" w:color="auto" w:fill="auto"/>
            <w:noWrap/>
            <w:vAlign w:val="center"/>
          </w:tcPr>
          <w:p w14:paraId="1BC865B3" w14:textId="582F4799"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49 052,0</w:t>
            </w:r>
          </w:p>
        </w:tc>
        <w:tc>
          <w:tcPr>
            <w:tcW w:w="1347" w:type="dxa"/>
            <w:tcBorders>
              <w:top w:val="single" w:sz="4" w:space="0" w:color="auto"/>
              <w:left w:val="nil"/>
              <w:bottom w:val="single" w:sz="4" w:space="0" w:color="auto"/>
              <w:right w:val="single" w:sz="4" w:space="0" w:color="auto"/>
            </w:tcBorders>
            <w:vAlign w:val="center"/>
          </w:tcPr>
          <w:p w14:paraId="71F24F67" w14:textId="28DA9C50" w:rsidR="00D42D6E" w:rsidRPr="006A6461" w:rsidRDefault="009E0DE1" w:rsidP="003D7759">
            <w:pPr>
              <w:spacing w:after="120"/>
              <w:jc w:val="right"/>
              <w:rPr>
                <w:rFonts w:ascii="Times New Roman" w:eastAsia="Times New Roman" w:hAnsi="Times New Roman" w:cs="Times New Roman"/>
                <w:noProof/>
                <w:sz w:val="20"/>
                <w:szCs w:val="20"/>
              </w:rPr>
            </w:pPr>
            <w:r>
              <w:rPr>
                <w:rFonts w:ascii="Times New Roman" w:hAnsi="Times New Roman"/>
                <w:noProof/>
                <w:sz w:val="20"/>
              </w:rPr>
              <w:t>55 980,5</w:t>
            </w:r>
          </w:p>
        </w:tc>
        <w:tc>
          <w:tcPr>
            <w:tcW w:w="1345" w:type="dxa"/>
            <w:tcBorders>
              <w:top w:val="nil"/>
              <w:left w:val="single" w:sz="4" w:space="0" w:color="auto"/>
              <w:bottom w:val="single" w:sz="4" w:space="0" w:color="auto"/>
              <w:right w:val="single" w:sz="4" w:space="0" w:color="auto"/>
            </w:tcBorders>
            <w:shd w:val="clear" w:color="auto" w:fill="auto"/>
            <w:noWrap/>
            <w:vAlign w:val="center"/>
          </w:tcPr>
          <w:p w14:paraId="77DD1847" w14:textId="65AB79D5" w:rsidR="00D42D6E" w:rsidRPr="006A6461" w:rsidRDefault="00997081" w:rsidP="003D7759">
            <w:pPr>
              <w:spacing w:after="120"/>
              <w:jc w:val="right"/>
              <w:rPr>
                <w:rFonts w:ascii="Times New Roman" w:hAnsi="Times New Roman" w:cs="Times New Roman"/>
                <w:noProof/>
                <w:color w:val="000000"/>
                <w:sz w:val="20"/>
                <w:szCs w:val="20"/>
              </w:rPr>
            </w:pPr>
            <w:r>
              <w:rPr>
                <w:rFonts w:ascii="Times New Roman" w:hAnsi="Times New Roman"/>
                <w:noProof/>
                <w:sz w:val="20"/>
              </w:rPr>
              <w:t>83 755,8</w:t>
            </w:r>
          </w:p>
        </w:tc>
        <w:tc>
          <w:tcPr>
            <w:tcW w:w="1457" w:type="dxa"/>
            <w:tcBorders>
              <w:top w:val="nil"/>
              <w:left w:val="nil"/>
              <w:bottom w:val="single" w:sz="4" w:space="0" w:color="auto"/>
              <w:right w:val="single" w:sz="4" w:space="0" w:color="auto"/>
            </w:tcBorders>
            <w:shd w:val="clear" w:color="auto" w:fill="D9D9D9" w:themeFill="background1" w:themeFillShade="D9"/>
            <w:noWrap/>
            <w:vAlign w:val="center"/>
          </w:tcPr>
          <w:p w14:paraId="77F9515A" w14:textId="5733D279" w:rsidR="00D42D6E" w:rsidRPr="006A6461" w:rsidRDefault="000F47BA" w:rsidP="003D7759">
            <w:pPr>
              <w:spacing w:after="120"/>
              <w:jc w:val="right"/>
              <w:rPr>
                <w:rFonts w:ascii="Times New Roman" w:hAnsi="Times New Roman" w:cs="Times New Roman"/>
                <w:noProof/>
                <w:color w:val="000000"/>
                <w:sz w:val="20"/>
                <w:szCs w:val="20"/>
              </w:rPr>
            </w:pPr>
            <w:r>
              <w:rPr>
                <w:rFonts w:ascii="Times New Roman" w:hAnsi="Times New Roman"/>
                <w:noProof/>
                <w:sz w:val="20"/>
              </w:rPr>
              <w:t>41 877,9</w:t>
            </w:r>
          </w:p>
        </w:tc>
      </w:tr>
      <w:tr w:rsidR="00D42D6E" w:rsidRPr="006A6461" w14:paraId="66C0BD94" w14:textId="77777777" w:rsidTr="00EF7A17">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4BE2E90" w14:textId="77777777" w:rsidR="00D42D6E" w:rsidRPr="006A6461" w:rsidRDefault="00D42D6E" w:rsidP="003D7759">
            <w:pPr>
              <w:spacing w:after="120"/>
              <w:rPr>
                <w:rFonts w:ascii="Times New Roman" w:hAnsi="Times New Roman" w:cs="Times New Roman"/>
                <w:b/>
                <w:bCs/>
                <w:noProof/>
                <w:color w:val="000000"/>
                <w:sz w:val="20"/>
                <w:szCs w:val="20"/>
              </w:rPr>
            </w:pPr>
            <w:r>
              <w:rPr>
                <w:rFonts w:ascii="Times New Roman" w:hAnsi="Times New Roman"/>
                <w:b/>
                <w:noProof/>
                <w:color w:val="000000"/>
                <w:sz w:val="20"/>
              </w:rPr>
              <w:t>IT</w:t>
            </w:r>
          </w:p>
        </w:tc>
        <w:tc>
          <w:tcPr>
            <w:tcW w:w="1477" w:type="dxa"/>
            <w:tcBorders>
              <w:top w:val="nil"/>
              <w:left w:val="nil"/>
              <w:bottom w:val="single" w:sz="4" w:space="0" w:color="auto"/>
              <w:right w:val="single" w:sz="4" w:space="0" w:color="auto"/>
            </w:tcBorders>
            <w:shd w:val="clear" w:color="auto" w:fill="auto"/>
            <w:noWrap/>
            <w:vAlign w:val="center"/>
          </w:tcPr>
          <w:p w14:paraId="5F0D0C8C" w14:textId="7A1E5993"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2 126,6</w:t>
            </w:r>
          </w:p>
        </w:tc>
        <w:tc>
          <w:tcPr>
            <w:tcW w:w="1386" w:type="dxa"/>
            <w:tcBorders>
              <w:top w:val="nil"/>
              <w:left w:val="nil"/>
              <w:bottom w:val="single" w:sz="4" w:space="0" w:color="auto"/>
              <w:right w:val="single" w:sz="4" w:space="0" w:color="auto"/>
            </w:tcBorders>
            <w:shd w:val="clear" w:color="auto" w:fill="auto"/>
            <w:noWrap/>
            <w:vAlign w:val="center"/>
          </w:tcPr>
          <w:p w14:paraId="12A74695" w14:textId="795F52A3"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977 799,4</w:t>
            </w:r>
          </w:p>
        </w:tc>
        <w:tc>
          <w:tcPr>
            <w:tcW w:w="1347" w:type="dxa"/>
            <w:tcBorders>
              <w:top w:val="single" w:sz="4" w:space="0" w:color="auto"/>
              <w:left w:val="nil"/>
              <w:bottom w:val="single" w:sz="4" w:space="0" w:color="auto"/>
              <w:right w:val="single" w:sz="4" w:space="0" w:color="auto"/>
            </w:tcBorders>
            <w:vAlign w:val="center"/>
          </w:tcPr>
          <w:p w14:paraId="364B6EF0" w14:textId="58F22954" w:rsidR="00D42D6E" w:rsidRPr="006A6461" w:rsidRDefault="009E0DE1" w:rsidP="003D7759">
            <w:pPr>
              <w:spacing w:after="120"/>
              <w:jc w:val="right"/>
              <w:rPr>
                <w:rFonts w:ascii="Times New Roman" w:eastAsia="Times New Roman" w:hAnsi="Times New Roman" w:cs="Times New Roman"/>
                <w:noProof/>
                <w:sz w:val="20"/>
                <w:szCs w:val="20"/>
              </w:rPr>
            </w:pPr>
            <w:r>
              <w:rPr>
                <w:rFonts w:ascii="Times New Roman" w:hAnsi="Times New Roman"/>
                <w:noProof/>
                <w:sz w:val="20"/>
              </w:rPr>
              <w:t>1 190 583,1</w:t>
            </w:r>
          </w:p>
        </w:tc>
        <w:tc>
          <w:tcPr>
            <w:tcW w:w="1345" w:type="dxa"/>
            <w:tcBorders>
              <w:top w:val="nil"/>
              <w:left w:val="single" w:sz="4" w:space="0" w:color="auto"/>
              <w:bottom w:val="single" w:sz="4" w:space="0" w:color="auto"/>
              <w:right w:val="single" w:sz="4" w:space="0" w:color="auto"/>
            </w:tcBorders>
            <w:shd w:val="clear" w:color="auto" w:fill="auto"/>
            <w:noWrap/>
            <w:vAlign w:val="center"/>
          </w:tcPr>
          <w:p w14:paraId="06EBB87F" w14:textId="5D286DEE" w:rsidR="00D42D6E" w:rsidRPr="006A6461" w:rsidRDefault="00997081" w:rsidP="003D7759">
            <w:pPr>
              <w:spacing w:after="120"/>
              <w:jc w:val="right"/>
              <w:rPr>
                <w:rFonts w:ascii="Times New Roman" w:hAnsi="Times New Roman" w:cs="Times New Roman"/>
                <w:noProof/>
                <w:color w:val="000000"/>
                <w:sz w:val="20"/>
                <w:szCs w:val="20"/>
              </w:rPr>
            </w:pPr>
            <w:r>
              <w:rPr>
                <w:rFonts w:ascii="Times New Roman" w:hAnsi="Times New Roman"/>
                <w:noProof/>
                <w:sz w:val="20"/>
              </w:rPr>
              <w:t>2 153 932,9</w:t>
            </w:r>
          </w:p>
        </w:tc>
        <w:tc>
          <w:tcPr>
            <w:tcW w:w="1457" w:type="dxa"/>
            <w:tcBorders>
              <w:top w:val="nil"/>
              <w:left w:val="nil"/>
              <w:bottom w:val="single" w:sz="4" w:space="0" w:color="auto"/>
              <w:right w:val="single" w:sz="4" w:space="0" w:color="auto"/>
            </w:tcBorders>
            <w:shd w:val="clear" w:color="auto" w:fill="auto"/>
            <w:noWrap/>
            <w:vAlign w:val="center"/>
          </w:tcPr>
          <w:p w14:paraId="1C11824E" w14:textId="730E2B4F" w:rsidR="00D42D6E" w:rsidRPr="006A6461" w:rsidRDefault="000F47BA" w:rsidP="003D7759">
            <w:pPr>
              <w:spacing w:after="120"/>
              <w:jc w:val="right"/>
              <w:rPr>
                <w:rFonts w:ascii="Times New Roman" w:hAnsi="Times New Roman" w:cs="Times New Roman"/>
                <w:noProof/>
                <w:color w:val="000000"/>
                <w:sz w:val="20"/>
                <w:szCs w:val="20"/>
              </w:rPr>
            </w:pPr>
            <w:r>
              <w:rPr>
                <w:rFonts w:ascii="Times New Roman" w:hAnsi="Times New Roman"/>
                <w:noProof/>
                <w:sz w:val="20"/>
              </w:rPr>
              <w:t>977 799,4</w:t>
            </w:r>
          </w:p>
        </w:tc>
      </w:tr>
      <w:tr w:rsidR="00502546" w:rsidRPr="006A6461" w14:paraId="4266B6F0" w14:textId="77777777" w:rsidTr="00EF7A17">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B35CF67" w14:textId="77777777" w:rsidR="00D42D6E" w:rsidRPr="006A6461" w:rsidRDefault="00D42D6E" w:rsidP="003D7759">
            <w:pPr>
              <w:spacing w:after="120"/>
              <w:rPr>
                <w:rFonts w:ascii="Times New Roman" w:hAnsi="Times New Roman" w:cs="Times New Roman"/>
                <w:b/>
                <w:bCs/>
                <w:noProof/>
                <w:color w:val="000000"/>
                <w:sz w:val="20"/>
                <w:szCs w:val="20"/>
              </w:rPr>
            </w:pPr>
            <w:r>
              <w:rPr>
                <w:rFonts w:ascii="Times New Roman" w:hAnsi="Times New Roman"/>
                <w:b/>
                <w:noProof/>
                <w:color w:val="000000"/>
                <w:sz w:val="20"/>
              </w:rPr>
              <w:t>CY</w:t>
            </w:r>
          </w:p>
        </w:tc>
        <w:tc>
          <w:tcPr>
            <w:tcW w:w="1477" w:type="dxa"/>
            <w:tcBorders>
              <w:top w:val="nil"/>
              <w:left w:val="nil"/>
              <w:bottom w:val="single" w:sz="4" w:space="0" w:color="auto"/>
              <w:right w:val="single" w:sz="4" w:space="0" w:color="auto"/>
            </w:tcBorders>
            <w:shd w:val="clear" w:color="auto" w:fill="auto"/>
            <w:noWrap/>
            <w:vAlign w:val="center"/>
          </w:tcPr>
          <w:p w14:paraId="2A6266D4" w14:textId="01A06C77"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42,6</w:t>
            </w:r>
          </w:p>
        </w:tc>
        <w:tc>
          <w:tcPr>
            <w:tcW w:w="1386" w:type="dxa"/>
            <w:tcBorders>
              <w:top w:val="nil"/>
              <w:left w:val="nil"/>
              <w:bottom w:val="single" w:sz="4" w:space="0" w:color="auto"/>
              <w:right w:val="single" w:sz="4" w:space="0" w:color="auto"/>
            </w:tcBorders>
            <w:shd w:val="clear" w:color="auto" w:fill="auto"/>
            <w:noWrap/>
            <w:vAlign w:val="center"/>
          </w:tcPr>
          <w:p w14:paraId="1C0FA6A3" w14:textId="026DC0F7"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21 021,0</w:t>
            </w:r>
          </w:p>
        </w:tc>
        <w:tc>
          <w:tcPr>
            <w:tcW w:w="1347" w:type="dxa"/>
            <w:tcBorders>
              <w:top w:val="single" w:sz="4" w:space="0" w:color="auto"/>
              <w:left w:val="nil"/>
              <w:bottom w:val="single" w:sz="4" w:space="0" w:color="auto"/>
              <w:right w:val="single" w:sz="4" w:space="0" w:color="auto"/>
            </w:tcBorders>
            <w:vAlign w:val="center"/>
          </w:tcPr>
          <w:p w14:paraId="1F7889F7" w14:textId="47906BE5" w:rsidR="00D42D6E" w:rsidRPr="006A6461" w:rsidRDefault="009E0DE1" w:rsidP="003D7759">
            <w:pPr>
              <w:spacing w:after="120"/>
              <w:jc w:val="right"/>
              <w:rPr>
                <w:rFonts w:ascii="Times New Roman" w:eastAsia="Times New Roman" w:hAnsi="Times New Roman" w:cs="Times New Roman"/>
                <w:noProof/>
                <w:sz w:val="20"/>
                <w:szCs w:val="20"/>
              </w:rPr>
            </w:pPr>
            <w:r>
              <w:rPr>
                <w:rFonts w:ascii="Times New Roman" w:hAnsi="Times New Roman"/>
                <w:noProof/>
                <w:sz w:val="20"/>
              </w:rPr>
              <w:t>12 288,2</w:t>
            </w:r>
          </w:p>
        </w:tc>
        <w:tc>
          <w:tcPr>
            <w:tcW w:w="1345" w:type="dxa"/>
            <w:tcBorders>
              <w:top w:val="nil"/>
              <w:left w:val="single" w:sz="4" w:space="0" w:color="auto"/>
              <w:bottom w:val="single" w:sz="4" w:space="0" w:color="auto"/>
              <w:right w:val="single" w:sz="4" w:space="0" w:color="auto"/>
            </w:tcBorders>
            <w:shd w:val="clear" w:color="auto" w:fill="auto"/>
            <w:noWrap/>
            <w:vAlign w:val="center"/>
          </w:tcPr>
          <w:p w14:paraId="6E519EE5" w14:textId="0A87FCF5" w:rsidR="00D42D6E" w:rsidRPr="006A6461" w:rsidRDefault="00997081" w:rsidP="003D7759">
            <w:pPr>
              <w:spacing w:after="120"/>
              <w:jc w:val="right"/>
              <w:rPr>
                <w:rFonts w:ascii="Times New Roman" w:hAnsi="Times New Roman" w:cs="Times New Roman"/>
                <w:noProof/>
                <w:color w:val="000000"/>
                <w:sz w:val="20"/>
                <w:szCs w:val="20"/>
              </w:rPr>
            </w:pPr>
            <w:r>
              <w:rPr>
                <w:rFonts w:ascii="Times New Roman" w:hAnsi="Times New Roman"/>
                <w:noProof/>
                <w:sz w:val="20"/>
              </w:rPr>
              <w:t>28 669,2</w:t>
            </w:r>
          </w:p>
        </w:tc>
        <w:tc>
          <w:tcPr>
            <w:tcW w:w="1457" w:type="dxa"/>
            <w:tcBorders>
              <w:top w:val="nil"/>
              <w:left w:val="nil"/>
              <w:bottom w:val="single" w:sz="4" w:space="0" w:color="auto"/>
              <w:right w:val="single" w:sz="4" w:space="0" w:color="auto"/>
            </w:tcBorders>
            <w:shd w:val="clear" w:color="auto" w:fill="D9D9D9" w:themeFill="background1" w:themeFillShade="D9"/>
            <w:noWrap/>
            <w:vAlign w:val="center"/>
          </w:tcPr>
          <w:p w14:paraId="4C49B30C" w14:textId="1DFFF62F" w:rsidR="00D42D6E" w:rsidRPr="006A6461" w:rsidRDefault="000F47BA" w:rsidP="003D7759">
            <w:pPr>
              <w:spacing w:after="120"/>
              <w:jc w:val="right"/>
              <w:rPr>
                <w:rFonts w:ascii="Times New Roman" w:hAnsi="Times New Roman" w:cs="Times New Roman"/>
                <w:noProof/>
                <w:color w:val="000000"/>
                <w:sz w:val="20"/>
                <w:szCs w:val="20"/>
              </w:rPr>
            </w:pPr>
            <w:r>
              <w:rPr>
                <w:rFonts w:ascii="Times New Roman" w:hAnsi="Times New Roman"/>
                <w:noProof/>
                <w:sz w:val="20"/>
              </w:rPr>
              <w:t>14 334,6</w:t>
            </w:r>
          </w:p>
        </w:tc>
      </w:tr>
      <w:tr w:rsidR="00D42D6E" w:rsidRPr="006A6461" w14:paraId="6832172A" w14:textId="77777777" w:rsidTr="00EF7A17">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984FE62" w14:textId="77777777" w:rsidR="00D42D6E" w:rsidRPr="006A6461" w:rsidRDefault="00D42D6E" w:rsidP="003D7759">
            <w:pPr>
              <w:spacing w:after="120"/>
              <w:rPr>
                <w:rFonts w:ascii="Times New Roman" w:hAnsi="Times New Roman" w:cs="Times New Roman"/>
                <w:b/>
                <w:bCs/>
                <w:noProof/>
                <w:color w:val="000000"/>
                <w:sz w:val="20"/>
                <w:szCs w:val="20"/>
              </w:rPr>
            </w:pPr>
            <w:r>
              <w:rPr>
                <w:rFonts w:ascii="Times New Roman" w:hAnsi="Times New Roman"/>
                <w:b/>
                <w:noProof/>
                <w:color w:val="000000"/>
                <w:sz w:val="20"/>
              </w:rPr>
              <w:t>LV</w:t>
            </w:r>
          </w:p>
        </w:tc>
        <w:tc>
          <w:tcPr>
            <w:tcW w:w="1477" w:type="dxa"/>
            <w:tcBorders>
              <w:top w:val="nil"/>
              <w:left w:val="nil"/>
              <w:bottom w:val="single" w:sz="4" w:space="0" w:color="auto"/>
              <w:right w:val="single" w:sz="4" w:space="0" w:color="auto"/>
            </w:tcBorders>
            <w:shd w:val="clear" w:color="auto" w:fill="auto"/>
            <w:noWrap/>
            <w:vAlign w:val="center"/>
          </w:tcPr>
          <w:p w14:paraId="7E1FF6B3" w14:textId="7F941EDF"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43,6</w:t>
            </w:r>
          </w:p>
        </w:tc>
        <w:tc>
          <w:tcPr>
            <w:tcW w:w="1386" w:type="dxa"/>
            <w:tcBorders>
              <w:top w:val="nil"/>
              <w:left w:val="nil"/>
              <w:bottom w:val="single" w:sz="4" w:space="0" w:color="auto"/>
              <w:right w:val="single" w:sz="4" w:space="0" w:color="auto"/>
            </w:tcBorders>
            <w:shd w:val="clear" w:color="auto" w:fill="auto"/>
            <w:noWrap/>
            <w:vAlign w:val="center"/>
          </w:tcPr>
          <w:p w14:paraId="2B483008" w14:textId="70713AE2"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18 999,3</w:t>
            </w:r>
          </w:p>
        </w:tc>
        <w:tc>
          <w:tcPr>
            <w:tcW w:w="1347" w:type="dxa"/>
            <w:tcBorders>
              <w:top w:val="single" w:sz="4" w:space="0" w:color="auto"/>
              <w:left w:val="nil"/>
              <w:bottom w:val="single" w:sz="4" w:space="0" w:color="auto"/>
              <w:right w:val="single" w:sz="4" w:space="0" w:color="auto"/>
            </w:tcBorders>
            <w:vAlign w:val="center"/>
          </w:tcPr>
          <w:p w14:paraId="0B677841" w14:textId="42ECE344" w:rsidR="00D42D6E" w:rsidRPr="006A6461" w:rsidRDefault="009E0DE1" w:rsidP="003D7759">
            <w:pPr>
              <w:spacing w:after="120"/>
              <w:jc w:val="right"/>
              <w:rPr>
                <w:rFonts w:ascii="Times New Roman" w:eastAsia="Times New Roman" w:hAnsi="Times New Roman" w:cs="Times New Roman"/>
                <w:noProof/>
                <w:sz w:val="20"/>
                <w:szCs w:val="20"/>
              </w:rPr>
            </w:pPr>
            <w:r>
              <w:rPr>
                <w:rFonts w:ascii="Times New Roman" w:hAnsi="Times New Roman"/>
                <w:noProof/>
                <w:sz w:val="20"/>
              </w:rPr>
              <w:t>30 044,2</w:t>
            </w:r>
          </w:p>
        </w:tc>
        <w:tc>
          <w:tcPr>
            <w:tcW w:w="1345" w:type="dxa"/>
            <w:tcBorders>
              <w:top w:val="nil"/>
              <w:left w:val="single" w:sz="4" w:space="0" w:color="auto"/>
              <w:bottom w:val="single" w:sz="4" w:space="0" w:color="auto"/>
              <w:right w:val="single" w:sz="4" w:space="0" w:color="auto"/>
            </w:tcBorders>
            <w:shd w:val="clear" w:color="auto" w:fill="auto"/>
            <w:noWrap/>
            <w:vAlign w:val="center"/>
          </w:tcPr>
          <w:p w14:paraId="1B7D04D2" w14:textId="2B9FB703" w:rsidR="00D42D6E" w:rsidRPr="006A6461" w:rsidRDefault="00997081" w:rsidP="003D7759">
            <w:pPr>
              <w:spacing w:after="120"/>
              <w:jc w:val="right"/>
              <w:rPr>
                <w:rFonts w:ascii="Times New Roman" w:hAnsi="Times New Roman" w:cs="Times New Roman"/>
                <w:noProof/>
                <w:color w:val="000000"/>
                <w:sz w:val="20"/>
                <w:szCs w:val="20"/>
              </w:rPr>
            </w:pPr>
            <w:r>
              <w:rPr>
                <w:rFonts w:ascii="Times New Roman" w:hAnsi="Times New Roman"/>
                <w:noProof/>
                <w:sz w:val="20"/>
              </w:rPr>
              <w:t>41 764,1</w:t>
            </w:r>
          </w:p>
        </w:tc>
        <w:tc>
          <w:tcPr>
            <w:tcW w:w="1457" w:type="dxa"/>
            <w:tcBorders>
              <w:top w:val="nil"/>
              <w:left w:val="nil"/>
              <w:bottom w:val="single" w:sz="4" w:space="0" w:color="auto"/>
              <w:right w:val="single" w:sz="4" w:space="0" w:color="auto"/>
            </w:tcBorders>
            <w:shd w:val="clear" w:color="auto" w:fill="auto"/>
            <w:noWrap/>
            <w:vAlign w:val="center"/>
          </w:tcPr>
          <w:p w14:paraId="262EB067" w14:textId="293CC3BC" w:rsidR="00D42D6E" w:rsidRPr="006A6461" w:rsidRDefault="000F47BA" w:rsidP="003D7759">
            <w:pPr>
              <w:spacing w:after="120"/>
              <w:jc w:val="right"/>
              <w:rPr>
                <w:rFonts w:ascii="Times New Roman" w:hAnsi="Times New Roman" w:cs="Times New Roman"/>
                <w:noProof/>
                <w:color w:val="000000"/>
                <w:sz w:val="20"/>
                <w:szCs w:val="20"/>
              </w:rPr>
            </w:pPr>
            <w:r>
              <w:rPr>
                <w:rFonts w:ascii="Times New Roman" w:hAnsi="Times New Roman"/>
                <w:noProof/>
                <w:sz w:val="20"/>
              </w:rPr>
              <w:t>18 999,3</w:t>
            </w:r>
          </w:p>
        </w:tc>
      </w:tr>
      <w:tr w:rsidR="00D42D6E" w:rsidRPr="006A6461" w14:paraId="2FDDE5CF" w14:textId="77777777" w:rsidTr="00EF7A17">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4AF857D" w14:textId="77777777" w:rsidR="00D42D6E" w:rsidRPr="006A6461" w:rsidRDefault="00D42D6E" w:rsidP="003D7759">
            <w:pPr>
              <w:spacing w:after="120"/>
              <w:rPr>
                <w:rFonts w:ascii="Times New Roman" w:hAnsi="Times New Roman" w:cs="Times New Roman"/>
                <w:b/>
                <w:bCs/>
                <w:noProof/>
                <w:color w:val="000000"/>
                <w:sz w:val="20"/>
                <w:szCs w:val="20"/>
              </w:rPr>
            </w:pPr>
            <w:r>
              <w:rPr>
                <w:rFonts w:ascii="Times New Roman" w:hAnsi="Times New Roman"/>
                <w:b/>
                <w:noProof/>
                <w:color w:val="000000"/>
                <w:sz w:val="20"/>
              </w:rPr>
              <w:t>LT</w:t>
            </w:r>
          </w:p>
        </w:tc>
        <w:tc>
          <w:tcPr>
            <w:tcW w:w="1477" w:type="dxa"/>
            <w:tcBorders>
              <w:top w:val="nil"/>
              <w:left w:val="nil"/>
              <w:bottom w:val="single" w:sz="4" w:space="0" w:color="auto"/>
              <w:right w:val="single" w:sz="4" w:space="0" w:color="auto"/>
            </w:tcBorders>
            <w:shd w:val="clear" w:color="auto" w:fill="auto"/>
            <w:noWrap/>
            <w:vAlign w:val="center"/>
          </w:tcPr>
          <w:p w14:paraId="3CA10771" w14:textId="1B2DCE61"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88,7</w:t>
            </w:r>
          </w:p>
        </w:tc>
        <w:tc>
          <w:tcPr>
            <w:tcW w:w="1386" w:type="dxa"/>
            <w:tcBorders>
              <w:top w:val="nil"/>
              <w:left w:val="nil"/>
              <w:bottom w:val="single" w:sz="4" w:space="0" w:color="auto"/>
              <w:right w:val="single" w:sz="4" w:space="0" w:color="auto"/>
            </w:tcBorders>
            <w:shd w:val="clear" w:color="auto" w:fill="auto"/>
            <w:noWrap/>
            <w:vAlign w:val="center"/>
          </w:tcPr>
          <w:p w14:paraId="08A75DA2" w14:textId="475312DD"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32 341,8</w:t>
            </w:r>
          </w:p>
        </w:tc>
        <w:tc>
          <w:tcPr>
            <w:tcW w:w="1347" w:type="dxa"/>
            <w:tcBorders>
              <w:top w:val="single" w:sz="4" w:space="0" w:color="auto"/>
              <w:left w:val="nil"/>
              <w:bottom w:val="single" w:sz="4" w:space="0" w:color="auto"/>
              <w:right w:val="single" w:sz="4" w:space="0" w:color="auto"/>
            </w:tcBorders>
            <w:vAlign w:val="center"/>
          </w:tcPr>
          <w:p w14:paraId="17BFD2B1" w14:textId="590787E4" w:rsidR="00D42D6E" w:rsidRPr="006A6461" w:rsidRDefault="009E0DE1" w:rsidP="003D7759">
            <w:pPr>
              <w:spacing w:after="120"/>
              <w:jc w:val="right"/>
              <w:rPr>
                <w:rFonts w:ascii="Times New Roman" w:eastAsia="Times New Roman" w:hAnsi="Times New Roman" w:cs="Times New Roman"/>
                <w:noProof/>
                <w:sz w:val="20"/>
                <w:szCs w:val="20"/>
              </w:rPr>
            </w:pPr>
            <w:r>
              <w:rPr>
                <w:rFonts w:ascii="Times New Roman" w:hAnsi="Times New Roman"/>
                <w:noProof/>
                <w:sz w:val="20"/>
              </w:rPr>
              <w:t>56 106,3</w:t>
            </w:r>
          </w:p>
        </w:tc>
        <w:tc>
          <w:tcPr>
            <w:tcW w:w="1345" w:type="dxa"/>
            <w:tcBorders>
              <w:top w:val="nil"/>
              <w:left w:val="single" w:sz="4" w:space="0" w:color="auto"/>
              <w:bottom w:val="single" w:sz="4" w:space="0" w:color="auto"/>
              <w:right w:val="single" w:sz="4" w:space="0" w:color="auto"/>
            </w:tcBorders>
            <w:shd w:val="clear" w:color="auto" w:fill="auto"/>
            <w:noWrap/>
            <w:vAlign w:val="center"/>
          </w:tcPr>
          <w:p w14:paraId="350284AD" w14:textId="10F52D58" w:rsidR="00D42D6E" w:rsidRPr="006A6461" w:rsidRDefault="00997081" w:rsidP="003D7759">
            <w:pPr>
              <w:spacing w:after="120"/>
              <w:jc w:val="right"/>
              <w:rPr>
                <w:rFonts w:ascii="Times New Roman" w:hAnsi="Times New Roman" w:cs="Times New Roman"/>
                <w:noProof/>
                <w:color w:val="000000"/>
                <w:sz w:val="20"/>
                <w:szCs w:val="20"/>
              </w:rPr>
            </w:pPr>
            <w:r>
              <w:rPr>
                <w:rFonts w:ascii="Times New Roman" w:hAnsi="Times New Roman"/>
                <w:noProof/>
                <w:sz w:val="20"/>
              </w:rPr>
              <w:t>73 625,3</w:t>
            </w:r>
          </w:p>
        </w:tc>
        <w:tc>
          <w:tcPr>
            <w:tcW w:w="1457" w:type="dxa"/>
            <w:tcBorders>
              <w:top w:val="nil"/>
              <w:left w:val="nil"/>
              <w:bottom w:val="single" w:sz="4" w:space="0" w:color="auto"/>
              <w:right w:val="single" w:sz="4" w:space="0" w:color="auto"/>
            </w:tcBorders>
            <w:shd w:val="clear" w:color="auto" w:fill="auto"/>
            <w:noWrap/>
            <w:vAlign w:val="center"/>
          </w:tcPr>
          <w:p w14:paraId="3CA8B96A" w14:textId="28D93195" w:rsidR="00D42D6E" w:rsidRPr="006A6461" w:rsidRDefault="000F47BA" w:rsidP="003D7759">
            <w:pPr>
              <w:spacing w:after="120"/>
              <w:jc w:val="right"/>
              <w:rPr>
                <w:rFonts w:ascii="Times New Roman" w:hAnsi="Times New Roman" w:cs="Times New Roman"/>
                <w:noProof/>
                <w:color w:val="000000"/>
                <w:sz w:val="20"/>
                <w:szCs w:val="20"/>
              </w:rPr>
            </w:pPr>
            <w:r>
              <w:rPr>
                <w:rFonts w:ascii="Times New Roman" w:hAnsi="Times New Roman"/>
                <w:noProof/>
                <w:sz w:val="20"/>
              </w:rPr>
              <w:t>32 341,8</w:t>
            </w:r>
          </w:p>
        </w:tc>
      </w:tr>
      <w:tr w:rsidR="00502546" w:rsidRPr="006A6461" w14:paraId="115241EC" w14:textId="77777777" w:rsidTr="00EF7A17">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EC608EB" w14:textId="77777777" w:rsidR="00D42D6E" w:rsidRPr="006A6461" w:rsidRDefault="00D42D6E" w:rsidP="003D7759">
            <w:pPr>
              <w:spacing w:after="120"/>
              <w:rPr>
                <w:rFonts w:ascii="Times New Roman" w:hAnsi="Times New Roman" w:cs="Times New Roman"/>
                <w:b/>
                <w:bCs/>
                <w:noProof/>
                <w:color w:val="000000"/>
                <w:sz w:val="20"/>
                <w:szCs w:val="20"/>
              </w:rPr>
            </w:pPr>
            <w:r>
              <w:rPr>
                <w:rFonts w:ascii="Times New Roman" w:hAnsi="Times New Roman"/>
                <w:b/>
                <w:noProof/>
                <w:color w:val="000000"/>
                <w:sz w:val="20"/>
              </w:rPr>
              <w:t>LU</w:t>
            </w:r>
          </w:p>
        </w:tc>
        <w:tc>
          <w:tcPr>
            <w:tcW w:w="1477" w:type="dxa"/>
            <w:tcBorders>
              <w:top w:val="nil"/>
              <w:left w:val="nil"/>
              <w:bottom w:val="single" w:sz="4" w:space="0" w:color="auto"/>
              <w:right w:val="single" w:sz="4" w:space="0" w:color="auto"/>
            </w:tcBorders>
            <w:shd w:val="clear" w:color="auto" w:fill="auto"/>
            <w:noWrap/>
            <w:vAlign w:val="center"/>
          </w:tcPr>
          <w:p w14:paraId="3E510D97" w14:textId="2F4FE5D7"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14,1</w:t>
            </w:r>
          </w:p>
        </w:tc>
        <w:tc>
          <w:tcPr>
            <w:tcW w:w="1386" w:type="dxa"/>
            <w:tcBorders>
              <w:top w:val="nil"/>
              <w:left w:val="nil"/>
              <w:bottom w:val="single" w:sz="4" w:space="0" w:color="auto"/>
              <w:right w:val="single" w:sz="4" w:space="0" w:color="auto"/>
            </w:tcBorders>
            <w:shd w:val="clear" w:color="auto" w:fill="auto"/>
            <w:noWrap/>
            <w:vAlign w:val="center"/>
          </w:tcPr>
          <w:p w14:paraId="46833B30" w14:textId="2731323D"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42 032,4</w:t>
            </w:r>
          </w:p>
        </w:tc>
        <w:tc>
          <w:tcPr>
            <w:tcW w:w="1347" w:type="dxa"/>
            <w:tcBorders>
              <w:top w:val="single" w:sz="4" w:space="0" w:color="auto"/>
              <w:left w:val="nil"/>
              <w:bottom w:val="single" w:sz="4" w:space="0" w:color="auto"/>
              <w:right w:val="single" w:sz="4" w:space="0" w:color="auto"/>
            </w:tcBorders>
            <w:vAlign w:val="center"/>
          </w:tcPr>
          <w:p w14:paraId="33827868" w14:textId="25610C6D" w:rsidR="00D42D6E" w:rsidRPr="006A6461" w:rsidRDefault="009E0DE1" w:rsidP="003D7759">
            <w:pPr>
              <w:spacing w:after="120"/>
              <w:jc w:val="right"/>
              <w:rPr>
                <w:rFonts w:ascii="Times New Roman" w:eastAsia="Times New Roman" w:hAnsi="Times New Roman" w:cs="Times New Roman"/>
                <w:noProof/>
                <w:sz w:val="20"/>
                <w:szCs w:val="20"/>
              </w:rPr>
            </w:pPr>
            <w:r>
              <w:rPr>
                <w:rFonts w:ascii="Times New Roman" w:hAnsi="Times New Roman"/>
                <w:noProof/>
                <w:sz w:val="20"/>
              </w:rPr>
              <w:t>13 482,3</w:t>
            </w:r>
          </w:p>
        </w:tc>
        <w:tc>
          <w:tcPr>
            <w:tcW w:w="1345" w:type="dxa"/>
            <w:tcBorders>
              <w:top w:val="nil"/>
              <w:left w:val="single" w:sz="4" w:space="0" w:color="auto"/>
              <w:bottom w:val="single" w:sz="4" w:space="0" w:color="auto"/>
              <w:right w:val="single" w:sz="4" w:space="0" w:color="auto"/>
            </w:tcBorders>
            <w:shd w:val="clear" w:color="auto" w:fill="auto"/>
            <w:noWrap/>
            <w:vAlign w:val="center"/>
          </w:tcPr>
          <w:p w14:paraId="2F51EAB3" w14:textId="17268944" w:rsidR="00D42D6E" w:rsidRPr="006A6461" w:rsidRDefault="00997081" w:rsidP="003D7759">
            <w:pPr>
              <w:spacing w:after="120"/>
              <w:jc w:val="right"/>
              <w:rPr>
                <w:rFonts w:ascii="Times New Roman" w:hAnsi="Times New Roman" w:cs="Times New Roman"/>
                <w:noProof/>
                <w:color w:val="000000"/>
                <w:sz w:val="20"/>
                <w:szCs w:val="20"/>
              </w:rPr>
            </w:pPr>
            <w:r>
              <w:rPr>
                <w:rFonts w:ascii="Times New Roman" w:hAnsi="Times New Roman"/>
                <w:noProof/>
                <w:sz w:val="20"/>
              </w:rPr>
              <w:t>54 191,3</w:t>
            </w:r>
          </w:p>
        </w:tc>
        <w:tc>
          <w:tcPr>
            <w:tcW w:w="1457" w:type="dxa"/>
            <w:tcBorders>
              <w:top w:val="nil"/>
              <w:left w:val="nil"/>
              <w:bottom w:val="single" w:sz="4" w:space="0" w:color="auto"/>
              <w:right w:val="single" w:sz="4" w:space="0" w:color="auto"/>
            </w:tcBorders>
            <w:shd w:val="clear" w:color="auto" w:fill="D9D9D9" w:themeFill="background1" w:themeFillShade="D9"/>
            <w:noWrap/>
            <w:vAlign w:val="center"/>
          </w:tcPr>
          <w:p w14:paraId="74A5A25A" w14:textId="3C6CBD1C" w:rsidR="00D42D6E" w:rsidRPr="006A6461" w:rsidRDefault="000F47BA" w:rsidP="003D7759">
            <w:pPr>
              <w:spacing w:after="120"/>
              <w:jc w:val="right"/>
              <w:rPr>
                <w:rFonts w:ascii="Times New Roman" w:hAnsi="Times New Roman" w:cs="Times New Roman"/>
                <w:noProof/>
                <w:color w:val="000000"/>
                <w:sz w:val="20"/>
                <w:szCs w:val="20"/>
              </w:rPr>
            </w:pPr>
            <w:r>
              <w:rPr>
                <w:rFonts w:ascii="Times New Roman" w:hAnsi="Times New Roman"/>
                <w:noProof/>
                <w:sz w:val="20"/>
              </w:rPr>
              <w:t>27 095,65</w:t>
            </w:r>
          </w:p>
        </w:tc>
      </w:tr>
      <w:tr w:rsidR="00D42D6E" w:rsidRPr="006A6461" w14:paraId="5CBE3629" w14:textId="77777777" w:rsidTr="00EF7A17">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BB7AB84" w14:textId="77777777" w:rsidR="00D42D6E" w:rsidRPr="006A6461" w:rsidRDefault="00D42D6E" w:rsidP="003D7759">
            <w:pPr>
              <w:spacing w:after="120"/>
              <w:rPr>
                <w:rFonts w:ascii="Times New Roman" w:hAnsi="Times New Roman" w:cs="Times New Roman"/>
                <w:b/>
                <w:bCs/>
                <w:noProof/>
                <w:color w:val="000000"/>
                <w:sz w:val="20"/>
                <w:szCs w:val="20"/>
              </w:rPr>
            </w:pPr>
            <w:r>
              <w:rPr>
                <w:rFonts w:ascii="Times New Roman" w:hAnsi="Times New Roman"/>
                <w:b/>
                <w:noProof/>
                <w:color w:val="000000"/>
                <w:sz w:val="20"/>
              </w:rPr>
              <w:t>HU</w:t>
            </w:r>
          </w:p>
        </w:tc>
        <w:tc>
          <w:tcPr>
            <w:tcW w:w="1477" w:type="dxa"/>
            <w:tcBorders>
              <w:top w:val="nil"/>
              <w:left w:val="nil"/>
              <w:bottom w:val="single" w:sz="4" w:space="0" w:color="auto"/>
              <w:right w:val="single" w:sz="4" w:space="0" w:color="auto"/>
            </w:tcBorders>
            <w:shd w:val="clear" w:color="auto" w:fill="auto"/>
            <w:noWrap/>
            <w:vAlign w:val="center"/>
          </w:tcPr>
          <w:p w14:paraId="703BA3F1" w14:textId="329FB8FC"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260,4</w:t>
            </w:r>
          </w:p>
        </w:tc>
        <w:tc>
          <w:tcPr>
            <w:tcW w:w="1386" w:type="dxa"/>
            <w:tcBorders>
              <w:top w:val="nil"/>
              <w:left w:val="nil"/>
              <w:bottom w:val="single" w:sz="4" w:space="0" w:color="auto"/>
              <w:right w:val="single" w:sz="4" w:space="0" w:color="auto"/>
            </w:tcBorders>
            <w:shd w:val="clear" w:color="auto" w:fill="auto"/>
            <w:noWrap/>
            <w:vAlign w:val="center"/>
          </w:tcPr>
          <w:p w14:paraId="3B0D4F36" w14:textId="34885EE9" w:rsidR="00D42D6E" w:rsidRPr="006A6461" w:rsidRDefault="002E090C" w:rsidP="003D7759">
            <w:pPr>
              <w:spacing w:after="120"/>
              <w:jc w:val="right"/>
              <w:rPr>
                <w:rFonts w:ascii="Times New Roman" w:hAnsi="Times New Roman" w:cs="Times New Roman"/>
                <w:noProof/>
                <w:color w:val="000000"/>
                <w:sz w:val="20"/>
                <w:szCs w:val="20"/>
              </w:rPr>
            </w:pPr>
            <w:r>
              <w:rPr>
                <w:rFonts w:ascii="Times New Roman" w:hAnsi="Times New Roman"/>
                <w:noProof/>
                <w:sz w:val="20"/>
              </w:rPr>
              <w:t>80 14,.4</w:t>
            </w:r>
          </w:p>
        </w:tc>
        <w:tc>
          <w:tcPr>
            <w:tcW w:w="1347" w:type="dxa"/>
            <w:tcBorders>
              <w:top w:val="single" w:sz="4" w:space="0" w:color="auto"/>
              <w:left w:val="nil"/>
              <w:bottom w:val="single" w:sz="4" w:space="0" w:color="auto"/>
              <w:right w:val="single" w:sz="4" w:space="0" w:color="auto"/>
            </w:tcBorders>
            <w:vAlign w:val="center"/>
          </w:tcPr>
          <w:p w14:paraId="08A48B6F" w14:textId="6EADCF6F" w:rsidR="00D42D6E" w:rsidRPr="006A6461" w:rsidRDefault="009E0DE1" w:rsidP="003D7759">
            <w:pPr>
              <w:spacing w:after="120"/>
              <w:jc w:val="right"/>
              <w:rPr>
                <w:rFonts w:ascii="Times New Roman" w:eastAsia="Times New Roman" w:hAnsi="Times New Roman" w:cs="Times New Roman"/>
                <w:noProof/>
                <w:sz w:val="20"/>
                <w:szCs w:val="20"/>
              </w:rPr>
            </w:pPr>
            <w:r>
              <w:rPr>
                <w:rFonts w:ascii="Times New Roman" w:hAnsi="Times New Roman"/>
                <w:noProof/>
                <w:sz w:val="20"/>
              </w:rPr>
              <w:t>289 422,3</w:t>
            </w:r>
          </w:p>
        </w:tc>
        <w:tc>
          <w:tcPr>
            <w:tcW w:w="1345" w:type="dxa"/>
            <w:tcBorders>
              <w:top w:val="nil"/>
              <w:left w:val="single" w:sz="4" w:space="0" w:color="auto"/>
              <w:bottom w:val="single" w:sz="4" w:space="0" w:color="auto"/>
              <w:right w:val="single" w:sz="4" w:space="0" w:color="auto"/>
            </w:tcBorders>
            <w:shd w:val="clear" w:color="auto" w:fill="auto"/>
            <w:noWrap/>
            <w:vAlign w:val="center"/>
          </w:tcPr>
          <w:p w14:paraId="2B85D95F" w14:textId="7FB7E1C6" w:rsidR="00D42D6E" w:rsidRPr="006A6461" w:rsidRDefault="00997081" w:rsidP="003D7759">
            <w:pPr>
              <w:spacing w:after="120"/>
              <w:jc w:val="right"/>
              <w:rPr>
                <w:rFonts w:ascii="Times New Roman" w:hAnsi="Times New Roman" w:cs="Times New Roman"/>
                <w:noProof/>
                <w:color w:val="000000"/>
                <w:sz w:val="20"/>
                <w:szCs w:val="20"/>
              </w:rPr>
            </w:pPr>
            <w:r>
              <w:rPr>
                <w:rFonts w:ascii="Times New Roman" w:hAnsi="Times New Roman"/>
                <w:noProof/>
                <w:sz w:val="20"/>
              </w:rPr>
              <w:t>203 919,5</w:t>
            </w:r>
          </w:p>
        </w:tc>
        <w:tc>
          <w:tcPr>
            <w:tcW w:w="1457" w:type="dxa"/>
            <w:tcBorders>
              <w:top w:val="nil"/>
              <w:left w:val="nil"/>
              <w:bottom w:val="single" w:sz="4" w:space="0" w:color="auto"/>
              <w:right w:val="single" w:sz="4" w:space="0" w:color="auto"/>
            </w:tcBorders>
            <w:shd w:val="clear" w:color="auto" w:fill="auto"/>
            <w:noWrap/>
            <w:vAlign w:val="center"/>
          </w:tcPr>
          <w:p w14:paraId="48F0E641" w14:textId="53F110C7" w:rsidR="00D42D6E" w:rsidRPr="006A6461" w:rsidRDefault="000F47BA" w:rsidP="003D7759">
            <w:pPr>
              <w:spacing w:after="120"/>
              <w:jc w:val="right"/>
              <w:rPr>
                <w:rFonts w:ascii="Times New Roman" w:hAnsi="Times New Roman" w:cs="Times New Roman"/>
                <w:noProof/>
                <w:color w:val="000000"/>
                <w:sz w:val="20"/>
                <w:szCs w:val="20"/>
              </w:rPr>
            </w:pPr>
            <w:r>
              <w:rPr>
                <w:rFonts w:ascii="Times New Roman" w:hAnsi="Times New Roman"/>
                <w:noProof/>
                <w:sz w:val="20"/>
              </w:rPr>
              <w:t>80 142,4</w:t>
            </w:r>
          </w:p>
        </w:tc>
      </w:tr>
      <w:tr w:rsidR="00502546" w:rsidRPr="006A6461" w14:paraId="53BFADC6" w14:textId="77777777" w:rsidTr="00EF7A17">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830A7FA" w14:textId="77777777" w:rsidR="00D42D6E" w:rsidRPr="006A6461" w:rsidRDefault="00D42D6E" w:rsidP="003D7759">
            <w:pPr>
              <w:spacing w:after="120"/>
              <w:rPr>
                <w:rFonts w:ascii="Times New Roman" w:hAnsi="Times New Roman" w:cs="Times New Roman"/>
                <w:b/>
                <w:bCs/>
                <w:noProof/>
                <w:color w:val="000000"/>
                <w:sz w:val="20"/>
                <w:szCs w:val="20"/>
              </w:rPr>
            </w:pPr>
            <w:r>
              <w:rPr>
                <w:rFonts w:ascii="Times New Roman" w:hAnsi="Times New Roman"/>
                <w:b/>
                <w:noProof/>
                <w:color w:val="000000"/>
                <w:sz w:val="20"/>
              </w:rPr>
              <w:t>MT</w:t>
            </w:r>
          </w:p>
        </w:tc>
        <w:tc>
          <w:tcPr>
            <w:tcW w:w="1477" w:type="dxa"/>
            <w:tcBorders>
              <w:top w:val="nil"/>
              <w:left w:val="nil"/>
              <w:bottom w:val="single" w:sz="4" w:space="0" w:color="auto"/>
              <w:right w:val="single" w:sz="4" w:space="0" w:color="auto"/>
            </w:tcBorders>
            <w:shd w:val="clear" w:color="auto" w:fill="auto"/>
            <w:noWrap/>
            <w:vAlign w:val="center"/>
          </w:tcPr>
          <w:p w14:paraId="4DA8D692" w14:textId="621D8DF7"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20,0</w:t>
            </w:r>
          </w:p>
        </w:tc>
        <w:tc>
          <w:tcPr>
            <w:tcW w:w="1386" w:type="dxa"/>
            <w:tcBorders>
              <w:top w:val="nil"/>
              <w:left w:val="nil"/>
              <w:bottom w:val="single" w:sz="4" w:space="0" w:color="auto"/>
              <w:right w:val="single" w:sz="4" w:space="0" w:color="auto"/>
            </w:tcBorders>
            <w:shd w:val="clear" w:color="auto" w:fill="auto"/>
            <w:noWrap/>
            <w:vAlign w:val="center"/>
          </w:tcPr>
          <w:p w14:paraId="613C7415" w14:textId="22DC173F" w:rsidR="00D42D6E" w:rsidRPr="006A6461" w:rsidRDefault="002E090C" w:rsidP="003D7759">
            <w:pPr>
              <w:spacing w:after="120"/>
              <w:jc w:val="right"/>
              <w:rPr>
                <w:rFonts w:ascii="Times New Roman" w:hAnsi="Times New Roman" w:cs="Times New Roman"/>
                <w:noProof/>
                <w:color w:val="000000"/>
                <w:sz w:val="20"/>
                <w:szCs w:val="20"/>
              </w:rPr>
            </w:pPr>
            <w:r>
              <w:rPr>
                <w:rFonts w:ascii="Times New Roman" w:hAnsi="Times New Roman"/>
                <w:noProof/>
                <w:sz w:val="20"/>
              </w:rPr>
              <w:t>9 978,6</w:t>
            </w:r>
          </w:p>
        </w:tc>
        <w:tc>
          <w:tcPr>
            <w:tcW w:w="1347" w:type="dxa"/>
            <w:tcBorders>
              <w:top w:val="single" w:sz="4" w:space="0" w:color="auto"/>
              <w:left w:val="nil"/>
              <w:bottom w:val="single" w:sz="4" w:space="0" w:color="auto"/>
              <w:right w:val="single" w:sz="4" w:space="0" w:color="auto"/>
            </w:tcBorders>
            <w:shd w:val="clear" w:color="auto" w:fill="auto"/>
            <w:vAlign w:val="center"/>
          </w:tcPr>
          <w:p w14:paraId="673E29AF" w14:textId="70748F8B" w:rsidR="00D42D6E" w:rsidRPr="006A6461" w:rsidRDefault="009E0DE1" w:rsidP="003D7759">
            <w:pPr>
              <w:spacing w:after="120"/>
              <w:jc w:val="right"/>
              <w:rPr>
                <w:rFonts w:ascii="Times New Roman" w:eastAsia="Times New Roman" w:hAnsi="Times New Roman" w:cs="Times New Roman"/>
                <w:noProof/>
                <w:sz w:val="20"/>
                <w:szCs w:val="20"/>
              </w:rPr>
            </w:pPr>
            <w:r>
              <w:rPr>
                <w:rFonts w:ascii="Times New Roman" w:hAnsi="Times New Roman"/>
                <w:noProof/>
                <w:sz w:val="20"/>
              </w:rPr>
              <w:t>13 843,9</w:t>
            </w:r>
          </w:p>
        </w:tc>
        <w:tc>
          <w:tcPr>
            <w:tcW w:w="1345" w:type="dxa"/>
            <w:tcBorders>
              <w:top w:val="nil"/>
              <w:left w:val="single" w:sz="4" w:space="0" w:color="auto"/>
              <w:bottom w:val="single" w:sz="4" w:space="0" w:color="auto"/>
              <w:right w:val="single" w:sz="4" w:space="0" w:color="auto"/>
            </w:tcBorders>
            <w:shd w:val="clear" w:color="auto" w:fill="auto"/>
            <w:noWrap/>
            <w:vAlign w:val="center"/>
          </w:tcPr>
          <w:p w14:paraId="56D21988" w14:textId="42B3C886" w:rsidR="00D42D6E" w:rsidRPr="006A6461" w:rsidRDefault="00997081" w:rsidP="003D7759">
            <w:pPr>
              <w:spacing w:after="120"/>
              <w:jc w:val="right"/>
              <w:rPr>
                <w:rFonts w:ascii="Times New Roman" w:hAnsi="Times New Roman" w:cs="Times New Roman"/>
                <w:noProof/>
                <w:color w:val="000000"/>
                <w:sz w:val="20"/>
                <w:szCs w:val="20"/>
              </w:rPr>
            </w:pPr>
            <w:r>
              <w:rPr>
                <w:rFonts w:ascii="Times New Roman" w:hAnsi="Times New Roman"/>
                <w:noProof/>
                <w:sz w:val="20"/>
              </w:rPr>
              <w:t>18 826,8</w:t>
            </w:r>
          </w:p>
        </w:tc>
        <w:tc>
          <w:tcPr>
            <w:tcW w:w="145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52A5304" w14:textId="06208E6E" w:rsidR="00D42D6E" w:rsidRPr="006A6461" w:rsidRDefault="000F47BA" w:rsidP="003D7759">
            <w:pPr>
              <w:spacing w:after="120"/>
              <w:jc w:val="right"/>
              <w:rPr>
                <w:rFonts w:ascii="Times New Roman" w:eastAsia="Times New Roman" w:hAnsi="Times New Roman" w:cs="Times New Roman"/>
                <w:noProof/>
                <w:sz w:val="20"/>
                <w:szCs w:val="20"/>
              </w:rPr>
            </w:pPr>
            <w:r>
              <w:rPr>
                <w:rFonts w:ascii="Times New Roman" w:hAnsi="Times New Roman"/>
                <w:noProof/>
                <w:sz w:val="20"/>
              </w:rPr>
              <w:t>9 413,4</w:t>
            </w:r>
          </w:p>
        </w:tc>
      </w:tr>
      <w:tr w:rsidR="00D42D6E" w:rsidRPr="006A6461" w14:paraId="44517215" w14:textId="77777777" w:rsidTr="00EF7A17">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B7A5F4A" w14:textId="77777777" w:rsidR="00D42D6E" w:rsidRPr="006A6461" w:rsidRDefault="00D42D6E" w:rsidP="003D7759">
            <w:pPr>
              <w:spacing w:after="120"/>
              <w:rPr>
                <w:rFonts w:ascii="Times New Roman" w:hAnsi="Times New Roman" w:cs="Times New Roman"/>
                <w:b/>
                <w:bCs/>
                <w:noProof/>
                <w:color w:val="000000"/>
                <w:sz w:val="20"/>
                <w:szCs w:val="20"/>
              </w:rPr>
            </w:pPr>
            <w:r>
              <w:rPr>
                <w:rFonts w:ascii="Times New Roman" w:hAnsi="Times New Roman"/>
                <w:b/>
                <w:noProof/>
                <w:color w:val="000000"/>
                <w:sz w:val="20"/>
              </w:rPr>
              <w:t>NL</w:t>
            </w:r>
          </w:p>
        </w:tc>
        <w:tc>
          <w:tcPr>
            <w:tcW w:w="1477" w:type="dxa"/>
            <w:tcBorders>
              <w:top w:val="nil"/>
              <w:left w:val="nil"/>
              <w:bottom w:val="single" w:sz="4" w:space="0" w:color="auto"/>
              <w:right w:val="single" w:sz="4" w:space="0" w:color="auto"/>
            </w:tcBorders>
            <w:shd w:val="clear" w:color="auto" w:fill="auto"/>
            <w:noWrap/>
            <w:vAlign w:val="center"/>
          </w:tcPr>
          <w:p w14:paraId="20A69C56" w14:textId="2A04CBF5"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3 178,3</w:t>
            </w:r>
          </w:p>
        </w:tc>
        <w:tc>
          <w:tcPr>
            <w:tcW w:w="1386" w:type="dxa"/>
            <w:tcBorders>
              <w:top w:val="nil"/>
              <w:left w:val="nil"/>
              <w:bottom w:val="single" w:sz="4" w:space="0" w:color="auto"/>
              <w:right w:val="single" w:sz="4" w:space="0" w:color="auto"/>
            </w:tcBorders>
            <w:shd w:val="clear" w:color="auto" w:fill="auto"/>
            <w:noWrap/>
            <w:vAlign w:val="center"/>
          </w:tcPr>
          <w:p w14:paraId="32C84BDC" w14:textId="1511401C" w:rsidR="00D42D6E" w:rsidRPr="006A6461" w:rsidRDefault="002E090C" w:rsidP="003D7759">
            <w:pPr>
              <w:spacing w:after="120"/>
              <w:jc w:val="right"/>
              <w:rPr>
                <w:rFonts w:ascii="Times New Roman" w:hAnsi="Times New Roman" w:cs="Times New Roman"/>
                <w:noProof/>
                <w:color w:val="000000"/>
                <w:sz w:val="20"/>
                <w:szCs w:val="20"/>
              </w:rPr>
            </w:pPr>
            <w:r>
              <w:rPr>
                <w:rFonts w:ascii="Times New Roman" w:hAnsi="Times New Roman"/>
                <w:noProof/>
                <w:sz w:val="20"/>
              </w:rPr>
              <w:t>489 144,3</w:t>
            </w:r>
          </w:p>
        </w:tc>
        <w:tc>
          <w:tcPr>
            <w:tcW w:w="1347" w:type="dxa"/>
            <w:tcBorders>
              <w:top w:val="single" w:sz="4" w:space="0" w:color="auto"/>
              <w:left w:val="nil"/>
              <w:bottom w:val="single" w:sz="4" w:space="0" w:color="auto"/>
              <w:right w:val="single" w:sz="4" w:space="0" w:color="auto"/>
            </w:tcBorders>
            <w:vAlign w:val="center"/>
          </w:tcPr>
          <w:p w14:paraId="49130EBD" w14:textId="51D53E4C" w:rsidR="00D42D6E" w:rsidRPr="006A6461" w:rsidRDefault="009E0DE1" w:rsidP="003D7759">
            <w:pPr>
              <w:spacing w:after="120"/>
              <w:jc w:val="right"/>
              <w:rPr>
                <w:rFonts w:ascii="Times New Roman" w:eastAsia="Times New Roman" w:hAnsi="Times New Roman" w:cs="Times New Roman"/>
                <w:noProof/>
                <w:sz w:val="20"/>
                <w:szCs w:val="20"/>
              </w:rPr>
            </w:pPr>
            <w:r>
              <w:rPr>
                <w:rFonts w:ascii="Times New Roman" w:hAnsi="Times New Roman"/>
                <w:noProof/>
                <w:sz w:val="20"/>
              </w:rPr>
              <w:t>294 135,6</w:t>
            </w:r>
          </w:p>
        </w:tc>
        <w:tc>
          <w:tcPr>
            <w:tcW w:w="1345" w:type="dxa"/>
            <w:tcBorders>
              <w:top w:val="nil"/>
              <w:left w:val="single" w:sz="4" w:space="0" w:color="auto"/>
              <w:bottom w:val="single" w:sz="4" w:space="0" w:color="auto"/>
              <w:right w:val="single" w:sz="4" w:space="0" w:color="auto"/>
            </w:tcBorders>
            <w:shd w:val="clear" w:color="auto" w:fill="auto"/>
            <w:noWrap/>
            <w:vAlign w:val="center"/>
          </w:tcPr>
          <w:p w14:paraId="7B293E00" w14:textId="7CC3D86D" w:rsidR="00D42D6E" w:rsidRPr="006A6461" w:rsidRDefault="00502546" w:rsidP="003D7759">
            <w:pPr>
              <w:spacing w:after="120"/>
              <w:jc w:val="right"/>
              <w:rPr>
                <w:rFonts w:ascii="Times New Roman" w:hAnsi="Times New Roman" w:cs="Times New Roman"/>
                <w:noProof/>
                <w:color w:val="000000"/>
                <w:sz w:val="20"/>
                <w:szCs w:val="20"/>
              </w:rPr>
            </w:pPr>
            <w:r>
              <w:rPr>
                <w:rFonts w:ascii="Times New Roman" w:hAnsi="Times New Roman"/>
                <w:noProof/>
                <w:sz w:val="20"/>
              </w:rPr>
              <w:t>1 075 690,3</w:t>
            </w:r>
          </w:p>
        </w:tc>
        <w:tc>
          <w:tcPr>
            <w:tcW w:w="1457" w:type="dxa"/>
            <w:tcBorders>
              <w:top w:val="nil"/>
              <w:left w:val="nil"/>
              <w:bottom w:val="single" w:sz="4" w:space="0" w:color="auto"/>
              <w:right w:val="single" w:sz="4" w:space="0" w:color="auto"/>
            </w:tcBorders>
            <w:shd w:val="clear" w:color="auto" w:fill="auto"/>
            <w:noWrap/>
            <w:vAlign w:val="center"/>
          </w:tcPr>
          <w:p w14:paraId="783C81EE" w14:textId="0052C03E" w:rsidR="00D42D6E" w:rsidRPr="006A6461" w:rsidRDefault="000F47BA" w:rsidP="003D7759">
            <w:pPr>
              <w:spacing w:after="120"/>
              <w:jc w:val="right"/>
              <w:rPr>
                <w:rFonts w:ascii="Times New Roman" w:hAnsi="Times New Roman" w:cs="Times New Roman"/>
                <w:noProof/>
                <w:color w:val="000000"/>
                <w:sz w:val="20"/>
                <w:szCs w:val="20"/>
              </w:rPr>
            </w:pPr>
            <w:r>
              <w:rPr>
                <w:rFonts w:ascii="Times New Roman" w:hAnsi="Times New Roman"/>
                <w:noProof/>
                <w:sz w:val="20"/>
              </w:rPr>
              <w:t>489 144,3</w:t>
            </w:r>
          </w:p>
        </w:tc>
      </w:tr>
      <w:tr w:rsidR="00D42D6E" w:rsidRPr="006A6461" w14:paraId="35F2DA99" w14:textId="77777777" w:rsidTr="00EF7A17">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3927BC1" w14:textId="77777777" w:rsidR="00D42D6E" w:rsidRPr="006A6461" w:rsidRDefault="00D42D6E" w:rsidP="003D7759">
            <w:pPr>
              <w:spacing w:after="120"/>
              <w:rPr>
                <w:rFonts w:ascii="Times New Roman" w:hAnsi="Times New Roman" w:cs="Times New Roman"/>
                <w:b/>
                <w:bCs/>
                <w:noProof/>
                <w:color w:val="000000"/>
                <w:sz w:val="20"/>
                <w:szCs w:val="20"/>
              </w:rPr>
            </w:pPr>
            <w:r>
              <w:rPr>
                <w:rFonts w:ascii="Times New Roman" w:hAnsi="Times New Roman"/>
                <w:b/>
                <w:noProof/>
                <w:color w:val="000000"/>
                <w:sz w:val="20"/>
              </w:rPr>
              <w:t>AT</w:t>
            </w:r>
          </w:p>
        </w:tc>
        <w:tc>
          <w:tcPr>
            <w:tcW w:w="1477" w:type="dxa"/>
            <w:tcBorders>
              <w:top w:val="nil"/>
              <w:left w:val="nil"/>
              <w:bottom w:val="single" w:sz="4" w:space="0" w:color="auto"/>
              <w:right w:val="single" w:sz="4" w:space="0" w:color="auto"/>
            </w:tcBorders>
            <w:shd w:val="clear" w:color="auto" w:fill="auto"/>
            <w:noWrap/>
            <w:vAlign w:val="center"/>
          </w:tcPr>
          <w:p w14:paraId="25A252B6" w14:textId="01A5BAB5"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235,5</w:t>
            </w:r>
          </w:p>
        </w:tc>
        <w:tc>
          <w:tcPr>
            <w:tcW w:w="1386" w:type="dxa"/>
            <w:tcBorders>
              <w:top w:val="nil"/>
              <w:left w:val="nil"/>
              <w:bottom w:val="single" w:sz="4" w:space="0" w:color="auto"/>
              <w:right w:val="single" w:sz="4" w:space="0" w:color="auto"/>
            </w:tcBorders>
            <w:shd w:val="clear" w:color="auto" w:fill="auto"/>
            <w:noWrap/>
            <w:vAlign w:val="center"/>
          </w:tcPr>
          <w:p w14:paraId="5F4BE16A" w14:textId="4DF85D5D" w:rsidR="00D42D6E" w:rsidRPr="006A6461" w:rsidRDefault="002E090C" w:rsidP="003D7759">
            <w:pPr>
              <w:spacing w:after="120"/>
              <w:jc w:val="right"/>
              <w:rPr>
                <w:rFonts w:ascii="Times New Roman" w:hAnsi="Times New Roman" w:cs="Times New Roman"/>
                <w:noProof/>
                <w:color w:val="000000"/>
                <w:sz w:val="20"/>
                <w:szCs w:val="20"/>
              </w:rPr>
            </w:pPr>
            <w:r>
              <w:rPr>
                <w:rFonts w:ascii="Times New Roman" w:hAnsi="Times New Roman"/>
                <w:noProof/>
                <w:sz w:val="20"/>
              </w:rPr>
              <w:t>234 655,9</w:t>
            </w:r>
          </w:p>
        </w:tc>
        <w:tc>
          <w:tcPr>
            <w:tcW w:w="1347" w:type="dxa"/>
            <w:tcBorders>
              <w:top w:val="single" w:sz="4" w:space="0" w:color="auto"/>
              <w:left w:val="nil"/>
              <w:bottom w:val="single" w:sz="4" w:space="0" w:color="auto"/>
              <w:right w:val="single" w:sz="4" w:space="0" w:color="auto"/>
            </w:tcBorders>
            <w:vAlign w:val="center"/>
          </w:tcPr>
          <w:p w14:paraId="7D137C6A" w14:textId="4C22960F" w:rsidR="00D42D6E" w:rsidRPr="006A6461" w:rsidRDefault="00EB28BD" w:rsidP="003D7759">
            <w:pPr>
              <w:spacing w:after="120"/>
              <w:jc w:val="right"/>
              <w:rPr>
                <w:rFonts w:ascii="Times New Roman" w:eastAsia="Times New Roman" w:hAnsi="Times New Roman" w:cs="Times New Roman"/>
                <w:noProof/>
                <w:sz w:val="20"/>
                <w:szCs w:val="20"/>
              </w:rPr>
            </w:pPr>
            <w:r>
              <w:rPr>
                <w:rFonts w:ascii="Times New Roman" w:hAnsi="Times New Roman"/>
                <w:noProof/>
                <w:sz w:val="20"/>
              </w:rPr>
              <w:t>220 314,7</w:t>
            </w:r>
          </w:p>
        </w:tc>
        <w:tc>
          <w:tcPr>
            <w:tcW w:w="1345" w:type="dxa"/>
            <w:tcBorders>
              <w:top w:val="nil"/>
              <w:left w:val="single" w:sz="4" w:space="0" w:color="auto"/>
              <w:bottom w:val="single" w:sz="4" w:space="0" w:color="auto"/>
              <w:right w:val="single" w:sz="4" w:space="0" w:color="auto"/>
            </w:tcBorders>
            <w:shd w:val="clear" w:color="auto" w:fill="auto"/>
            <w:noWrap/>
            <w:vAlign w:val="center"/>
          </w:tcPr>
          <w:p w14:paraId="6F98F7B3" w14:textId="65E3915E" w:rsidR="00D42D6E" w:rsidRPr="006A6461" w:rsidRDefault="00502546" w:rsidP="003D7759">
            <w:pPr>
              <w:spacing w:after="120"/>
              <w:jc w:val="right"/>
              <w:rPr>
                <w:rFonts w:ascii="Times New Roman" w:hAnsi="Times New Roman" w:cs="Times New Roman"/>
                <w:noProof/>
                <w:color w:val="000000"/>
                <w:sz w:val="20"/>
                <w:szCs w:val="20"/>
              </w:rPr>
            </w:pPr>
            <w:r>
              <w:rPr>
                <w:rFonts w:ascii="Times New Roman" w:hAnsi="Times New Roman"/>
                <w:noProof/>
                <w:sz w:val="20"/>
              </w:rPr>
              <w:t>497 483,7</w:t>
            </w:r>
          </w:p>
        </w:tc>
        <w:tc>
          <w:tcPr>
            <w:tcW w:w="1457" w:type="dxa"/>
            <w:tcBorders>
              <w:top w:val="nil"/>
              <w:left w:val="nil"/>
              <w:bottom w:val="single" w:sz="4" w:space="0" w:color="auto"/>
              <w:right w:val="single" w:sz="4" w:space="0" w:color="auto"/>
            </w:tcBorders>
            <w:shd w:val="clear" w:color="auto" w:fill="auto"/>
            <w:noWrap/>
            <w:vAlign w:val="center"/>
          </w:tcPr>
          <w:p w14:paraId="5A637E58" w14:textId="664CADC5" w:rsidR="00D42D6E" w:rsidRPr="006A6461" w:rsidRDefault="000F47BA" w:rsidP="003D7759">
            <w:pPr>
              <w:spacing w:after="120"/>
              <w:jc w:val="right"/>
              <w:rPr>
                <w:rFonts w:ascii="Times New Roman" w:hAnsi="Times New Roman" w:cs="Times New Roman"/>
                <w:noProof/>
                <w:color w:val="000000"/>
                <w:sz w:val="20"/>
                <w:szCs w:val="20"/>
              </w:rPr>
            </w:pPr>
            <w:r>
              <w:rPr>
                <w:rFonts w:ascii="Times New Roman" w:hAnsi="Times New Roman"/>
                <w:noProof/>
                <w:sz w:val="20"/>
              </w:rPr>
              <w:t>234 655,9</w:t>
            </w:r>
          </w:p>
        </w:tc>
      </w:tr>
      <w:tr w:rsidR="00502546" w:rsidRPr="006A6461" w14:paraId="6A93C934" w14:textId="77777777" w:rsidTr="00EF7A17">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0B8F740" w14:textId="77777777" w:rsidR="00D42D6E" w:rsidRPr="006A6461" w:rsidRDefault="00D42D6E" w:rsidP="003D7759">
            <w:pPr>
              <w:spacing w:after="120"/>
              <w:rPr>
                <w:rFonts w:ascii="Times New Roman" w:hAnsi="Times New Roman" w:cs="Times New Roman"/>
                <w:b/>
                <w:bCs/>
                <w:noProof/>
                <w:color w:val="000000"/>
                <w:sz w:val="20"/>
                <w:szCs w:val="20"/>
              </w:rPr>
            </w:pPr>
            <w:r>
              <w:rPr>
                <w:rFonts w:ascii="Times New Roman" w:hAnsi="Times New Roman"/>
                <w:b/>
                <w:noProof/>
                <w:color w:val="000000"/>
                <w:sz w:val="20"/>
              </w:rPr>
              <w:t>PL</w:t>
            </w:r>
          </w:p>
        </w:tc>
        <w:tc>
          <w:tcPr>
            <w:tcW w:w="1477" w:type="dxa"/>
            <w:tcBorders>
              <w:top w:val="nil"/>
              <w:left w:val="nil"/>
              <w:bottom w:val="single" w:sz="4" w:space="0" w:color="auto"/>
              <w:right w:val="single" w:sz="4" w:space="0" w:color="auto"/>
            </w:tcBorders>
            <w:shd w:val="clear" w:color="auto" w:fill="auto"/>
            <w:noWrap/>
            <w:vAlign w:val="center"/>
          </w:tcPr>
          <w:p w14:paraId="12F219A9" w14:textId="26B34A9D"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968,1</w:t>
            </w:r>
          </w:p>
        </w:tc>
        <w:tc>
          <w:tcPr>
            <w:tcW w:w="1386" w:type="dxa"/>
            <w:tcBorders>
              <w:top w:val="nil"/>
              <w:left w:val="nil"/>
              <w:bottom w:val="single" w:sz="4" w:space="0" w:color="auto"/>
              <w:right w:val="single" w:sz="4" w:space="0" w:color="auto"/>
            </w:tcBorders>
            <w:shd w:val="clear" w:color="auto" w:fill="auto"/>
            <w:noWrap/>
            <w:vAlign w:val="center"/>
          </w:tcPr>
          <w:p w14:paraId="6CCF1FD7" w14:textId="47424007" w:rsidR="00D42D6E" w:rsidRPr="006A6461" w:rsidRDefault="002E090C" w:rsidP="003D7759">
            <w:pPr>
              <w:spacing w:after="120"/>
              <w:jc w:val="right"/>
              <w:rPr>
                <w:rFonts w:ascii="Times New Roman" w:hAnsi="Times New Roman" w:cs="Times New Roman"/>
                <w:noProof/>
                <w:color w:val="000000"/>
                <w:sz w:val="20"/>
                <w:szCs w:val="20"/>
              </w:rPr>
            </w:pPr>
            <w:r>
              <w:rPr>
                <w:rFonts w:ascii="Times New Roman" w:hAnsi="Times New Roman"/>
                <w:noProof/>
                <w:sz w:val="20"/>
              </w:rPr>
              <w:t>413 390,4</w:t>
            </w:r>
          </w:p>
        </w:tc>
        <w:tc>
          <w:tcPr>
            <w:tcW w:w="1347" w:type="dxa"/>
            <w:tcBorders>
              <w:top w:val="single" w:sz="4" w:space="0" w:color="auto"/>
              <w:left w:val="nil"/>
              <w:bottom w:val="single" w:sz="4" w:space="0" w:color="auto"/>
              <w:right w:val="single" w:sz="4" w:space="0" w:color="auto"/>
            </w:tcBorders>
            <w:vAlign w:val="center"/>
          </w:tcPr>
          <w:p w14:paraId="610564D4" w14:textId="539F21F6" w:rsidR="00D42D6E" w:rsidRPr="006A6461" w:rsidRDefault="00EB28BD" w:rsidP="003D7759">
            <w:pPr>
              <w:spacing w:after="120"/>
              <w:jc w:val="right"/>
              <w:rPr>
                <w:rFonts w:ascii="Times New Roman" w:eastAsia="Times New Roman" w:hAnsi="Times New Roman" w:cs="Times New Roman"/>
                <w:noProof/>
                <w:sz w:val="20"/>
                <w:szCs w:val="20"/>
              </w:rPr>
            </w:pPr>
            <w:r>
              <w:rPr>
                <w:rFonts w:ascii="Times New Roman" w:hAnsi="Times New Roman"/>
                <w:noProof/>
                <w:sz w:val="20"/>
              </w:rPr>
              <w:t>729 965,8</w:t>
            </w:r>
          </w:p>
        </w:tc>
        <w:tc>
          <w:tcPr>
            <w:tcW w:w="1345" w:type="dxa"/>
            <w:tcBorders>
              <w:top w:val="nil"/>
              <w:left w:val="single" w:sz="4" w:space="0" w:color="auto"/>
              <w:bottom w:val="single" w:sz="4" w:space="0" w:color="auto"/>
              <w:right w:val="single" w:sz="4" w:space="0" w:color="auto"/>
            </w:tcBorders>
            <w:shd w:val="clear" w:color="auto" w:fill="auto"/>
            <w:noWrap/>
            <w:vAlign w:val="center"/>
          </w:tcPr>
          <w:p w14:paraId="26F9FE3F" w14:textId="1AE6B6E8" w:rsidR="00D42D6E" w:rsidRPr="006A6461" w:rsidRDefault="00502546" w:rsidP="003D7759">
            <w:pPr>
              <w:spacing w:after="120"/>
              <w:jc w:val="right"/>
              <w:rPr>
                <w:rFonts w:ascii="Times New Roman" w:hAnsi="Times New Roman" w:cs="Times New Roman"/>
                <w:noProof/>
                <w:color w:val="000000"/>
                <w:sz w:val="20"/>
                <w:szCs w:val="20"/>
              </w:rPr>
            </w:pPr>
            <w:r>
              <w:rPr>
                <w:rFonts w:ascii="Times New Roman" w:hAnsi="Times New Roman"/>
                <w:noProof/>
                <w:sz w:val="20"/>
              </w:rPr>
              <w:t>811 633,1</w:t>
            </w:r>
          </w:p>
        </w:tc>
        <w:tc>
          <w:tcPr>
            <w:tcW w:w="1457" w:type="dxa"/>
            <w:tcBorders>
              <w:top w:val="nil"/>
              <w:left w:val="nil"/>
              <w:bottom w:val="single" w:sz="4" w:space="0" w:color="auto"/>
              <w:right w:val="single" w:sz="4" w:space="0" w:color="auto"/>
            </w:tcBorders>
            <w:shd w:val="clear" w:color="auto" w:fill="D9D9D9" w:themeFill="background1" w:themeFillShade="D9"/>
            <w:noWrap/>
            <w:vAlign w:val="center"/>
          </w:tcPr>
          <w:p w14:paraId="5F9B7992" w14:textId="2003A246" w:rsidR="00D42D6E" w:rsidRPr="006A6461" w:rsidRDefault="000F47BA" w:rsidP="003D7759">
            <w:pPr>
              <w:spacing w:after="120"/>
              <w:jc w:val="right"/>
              <w:rPr>
                <w:rFonts w:ascii="Times New Roman" w:hAnsi="Times New Roman" w:cs="Times New Roman"/>
                <w:noProof/>
                <w:color w:val="000000"/>
                <w:sz w:val="20"/>
                <w:szCs w:val="20"/>
              </w:rPr>
            </w:pPr>
            <w:r>
              <w:rPr>
                <w:rFonts w:ascii="Times New Roman" w:hAnsi="Times New Roman"/>
                <w:noProof/>
                <w:sz w:val="20"/>
              </w:rPr>
              <w:t>405 816,55</w:t>
            </w:r>
          </w:p>
        </w:tc>
      </w:tr>
      <w:tr w:rsidR="00D42D6E" w:rsidRPr="006A6461" w14:paraId="3F8659DF" w14:textId="77777777" w:rsidTr="00EF7A17">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29AB0B3" w14:textId="77777777" w:rsidR="00D42D6E" w:rsidRPr="006A6461" w:rsidRDefault="00D42D6E" w:rsidP="003D7759">
            <w:pPr>
              <w:spacing w:after="120"/>
              <w:rPr>
                <w:rFonts w:ascii="Times New Roman" w:hAnsi="Times New Roman" w:cs="Times New Roman"/>
                <w:b/>
                <w:bCs/>
                <w:noProof/>
                <w:color w:val="000000"/>
                <w:sz w:val="20"/>
                <w:szCs w:val="20"/>
              </w:rPr>
            </w:pPr>
            <w:r>
              <w:rPr>
                <w:rFonts w:ascii="Times New Roman" w:hAnsi="Times New Roman"/>
                <w:b/>
                <w:noProof/>
                <w:color w:val="000000"/>
                <w:sz w:val="20"/>
              </w:rPr>
              <w:t>PT</w:t>
            </w:r>
          </w:p>
        </w:tc>
        <w:tc>
          <w:tcPr>
            <w:tcW w:w="1477" w:type="dxa"/>
            <w:tcBorders>
              <w:top w:val="nil"/>
              <w:left w:val="nil"/>
              <w:bottom w:val="single" w:sz="4" w:space="0" w:color="auto"/>
              <w:right w:val="single" w:sz="4" w:space="0" w:color="auto"/>
            </w:tcBorders>
            <w:shd w:val="clear" w:color="auto" w:fill="auto"/>
            <w:noWrap/>
            <w:vAlign w:val="center"/>
          </w:tcPr>
          <w:p w14:paraId="43799094" w14:textId="46750F8D"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221,1</w:t>
            </w:r>
          </w:p>
        </w:tc>
        <w:tc>
          <w:tcPr>
            <w:tcW w:w="1386" w:type="dxa"/>
            <w:tcBorders>
              <w:top w:val="nil"/>
              <w:left w:val="nil"/>
              <w:bottom w:val="single" w:sz="4" w:space="0" w:color="auto"/>
              <w:right w:val="single" w:sz="4" w:space="0" w:color="auto"/>
            </w:tcBorders>
            <w:shd w:val="clear" w:color="auto" w:fill="auto"/>
            <w:noWrap/>
            <w:vAlign w:val="center"/>
          </w:tcPr>
          <w:p w14:paraId="29AC5788" w14:textId="13E26FF0" w:rsidR="00D42D6E" w:rsidRPr="006A6461" w:rsidRDefault="002E090C" w:rsidP="003D7759">
            <w:pPr>
              <w:spacing w:after="120"/>
              <w:jc w:val="right"/>
              <w:rPr>
                <w:rFonts w:ascii="Times New Roman" w:hAnsi="Times New Roman" w:cs="Times New Roman"/>
                <w:noProof/>
                <w:color w:val="000000"/>
                <w:sz w:val="20"/>
                <w:szCs w:val="20"/>
              </w:rPr>
            </w:pPr>
            <w:r>
              <w:rPr>
                <w:rFonts w:ascii="Times New Roman" w:hAnsi="Times New Roman"/>
                <w:noProof/>
                <w:sz w:val="20"/>
              </w:rPr>
              <w:t>142 647,3</w:t>
            </w:r>
          </w:p>
        </w:tc>
        <w:tc>
          <w:tcPr>
            <w:tcW w:w="1347" w:type="dxa"/>
            <w:tcBorders>
              <w:top w:val="single" w:sz="4" w:space="0" w:color="auto"/>
              <w:left w:val="nil"/>
              <w:bottom w:val="single" w:sz="4" w:space="0" w:color="auto"/>
              <w:right w:val="single" w:sz="4" w:space="0" w:color="auto"/>
            </w:tcBorders>
            <w:vAlign w:val="center"/>
          </w:tcPr>
          <w:p w14:paraId="53A6C71C" w14:textId="70ED0A40" w:rsidR="00D42D6E" w:rsidRPr="006A6461" w:rsidRDefault="00EB28BD" w:rsidP="003D7759">
            <w:pPr>
              <w:spacing w:after="120"/>
              <w:jc w:val="right"/>
              <w:rPr>
                <w:rFonts w:ascii="Times New Roman" w:eastAsia="Times New Roman" w:hAnsi="Times New Roman" w:cs="Times New Roman"/>
                <w:noProof/>
                <w:sz w:val="20"/>
                <w:szCs w:val="20"/>
              </w:rPr>
            </w:pPr>
            <w:r>
              <w:rPr>
                <w:rFonts w:ascii="Times New Roman" w:hAnsi="Times New Roman"/>
                <w:noProof/>
                <w:sz w:val="20"/>
              </w:rPr>
              <w:t>278 807,1</w:t>
            </w:r>
          </w:p>
        </w:tc>
        <w:tc>
          <w:tcPr>
            <w:tcW w:w="1345" w:type="dxa"/>
            <w:tcBorders>
              <w:top w:val="nil"/>
              <w:left w:val="single" w:sz="4" w:space="0" w:color="auto"/>
              <w:bottom w:val="single" w:sz="4" w:space="0" w:color="auto"/>
              <w:right w:val="single" w:sz="4" w:space="0" w:color="auto"/>
            </w:tcBorders>
            <w:shd w:val="clear" w:color="auto" w:fill="auto"/>
            <w:noWrap/>
            <w:vAlign w:val="center"/>
          </w:tcPr>
          <w:p w14:paraId="40315AAF" w14:textId="50AF1EB4" w:rsidR="00D42D6E" w:rsidRPr="006A6461" w:rsidRDefault="00502546" w:rsidP="003D7759">
            <w:pPr>
              <w:spacing w:after="120"/>
              <w:jc w:val="right"/>
              <w:rPr>
                <w:rFonts w:ascii="Times New Roman" w:hAnsi="Times New Roman" w:cs="Times New Roman"/>
                <w:noProof/>
                <w:color w:val="000000"/>
                <w:sz w:val="20"/>
                <w:szCs w:val="20"/>
              </w:rPr>
            </w:pPr>
            <w:r>
              <w:rPr>
                <w:rFonts w:ascii="Times New Roman" w:hAnsi="Times New Roman"/>
                <w:noProof/>
                <w:sz w:val="20"/>
              </w:rPr>
              <w:t>273 232,0</w:t>
            </w:r>
          </w:p>
        </w:tc>
        <w:tc>
          <w:tcPr>
            <w:tcW w:w="1457" w:type="dxa"/>
            <w:tcBorders>
              <w:top w:val="nil"/>
              <w:left w:val="nil"/>
              <w:bottom w:val="single" w:sz="4" w:space="0" w:color="auto"/>
              <w:right w:val="single" w:sz="4" w:space="0" w:color="auto"/>
            </w:tcBorders>
            <w:shd w:val="clear" w:color="auto" w:fill="D9D9D9" w:themeFill="background1" w:themeFillShade="D9"/>
            <w:noWrap/>
            <w:vAlign w:val="center"/>
          </w:tcPr>
          <w:p w14:paraId="4070B96D" w14:textId="6939B721" w:rsidR="00D42D6E" w:rsidRPr="006A6461" w:rsidRDefault="009E0DE1" w:rsidP="003D7759">
            <w:pPr>
              <w:spacing w:after="120"/>
              <w:jc w:val="right"/>
              <w:rPr>
                <w:rFonts w:ascii="Times New Roman" w:hAnsi="Times New Roman" w:cs="Times New Roman"/>
                <w:noProof/>
                <w:color w:val="000000"/>
                <w:sz w:val="20"/>
                <w:szCs w:val="20"/>
              </w:rPr>
            </w:pPr>
            <w:r>
              <w:rPr>
                <w:rFonts w:ascii="Times New Roman" w:hAnsi="Times New Roman"/>
                <w:noProof/>
                <w:sz w:val="20"/>
              </w:rPr>
              <w:t>136 616,0</w:t>
            </w:r>
          </w:p>
        </w:tc>
      </w:tr>
      <w:tr w:rsidR="00D42D6E" w:rsidRPr="006A6461" w14:paraId="5952BC6F" w14:textId="77777777" w:rsidTr="00EF7A17">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032A099" w14:textId="77777777" w:rsidR="00D42D6E" w:rsidRPr="006A6461" w:rsidRDefault="00D42D6E" w:rsidP="003D7759">
            <w:pPr>
              <w:spacing w:after="120"/>
              <w:rPr>
                <w:rFonts w:ascii="Times New Roman" w:hAnsi="Times New Roman" w:cs="Times New Roman"/>
                <w:b/>
                <w:bCs/>
                <w:noProof/>
                <w:sz w:val="20"/>
                <w:szCs w:val="20"/>
              </w:rPr>
            </w:pPr>
            <w:r>
              <w:rPr>
                <w:rFonts w:ascii="Times New Roman" w:hAnsi="Times New Roman"/>
                <w:b/>
                <w:noProof/>
                <w:sz w:val="20"/>
              </w:rPr>
              <w:t>RO</w:t>
            </w:r>
          </w:p>
        </w:tc>
        <w:tc>
          <w:tcPr>
            <w:tcW w:w="1477" w:type="dxa"/>
            <w:tcBorders>
              <w:top w:val="nil"/>
              <w:left w:val="nil"/>
              <w:bottom w:val="single" w:sz="4" w:space="0" w:color="auto"/>
              <w:right w:val="single" w:sz="4" w:space="0" w:color="auto"/>
            </w:tcBorders>
            <w:shd w:val="clear" w:color="auto" w:fill="auto"/>
            <w:noWrap/>
            <w:vAlign w:val="center"/>
          </w:tcPr>
          <w:p w14:paraId="5147C63A" w14:textId="663361B9"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242,9</w:t>
            </w:r>
          </w:p>
        </w:tc>
        <w:tc>
          <w:tcPr>
            <w:tcW w:w="1386" w:type="dxa"/>
            <w:tcBorders>
              <w:top w:val="nil"/>
              <w:left w:val="nil"/>
              <w:bottom w:val="single" w:sz="4" w:space="0" w:color="auto"/>
              <w:right w:val="single" w:sz="4" w:space="0" w:color="auto"/>
            </w:tcBorders>
            <w:shd w:val="clear" w:color="auto" w:fill="auto"/>
            <w:noWrap/>
            <w:vAlign w:val="center"/>
          </w:tcPr>
          <w:p w14:paraId="498C8533" w14:textId="104C2C14" w:rsidR="00D42D6E" w:rsidRPr="006A6461" w:rsidRDefault="002E090C" w:rsidP="003D7759">
            <w:pPr>
              <w:spacing w:after="120"/>
              <w:jc w:val="right"/>
              <w:rPr>
                <w:rFonts w:ascii="Times New Roman" w:hAnsi="Times New Roman" w:cs="Times New Roman"/>
                <w:noProof/>
                <w:color w:val="000000"/>
                <w:sz w:val="20"/>
                <w:szCs w:val="20"/>
              </w:rPr>
            </w:pPr>
            <w:r>
              <w:rPr>
                <w:rFonts w:ascii="Times New Roman" w:hAnsi="Times New Roman"/>
                <w:noProof/>
                <w:sz w:val="20"/>
              </w:rPr>
              <w:t>125 907,6</w:t>
            </w:r>
          </w:p>
        </w:tc>
        <w:tc>
          <w:tcPr>
            <w:tcW w:w="1347" w:type="dxa"/>
            <w:tcBorders>
              <w:top w:val="single" w:sz="4" w:space="0" w:color="auto"/>
              <w:left w:val="nil"/>
              <w:bottom w:val="single" w:sz="4" w:space="0" w:color="auto"/>
              <w:right w:val="single" w:sz="4" w:space="0" w:color="auto"/>
            </w:tcBorders>
            <w:vAlign w:val="center"/>
          </w:tcPr>
          <w:p w14:paraId="2EDEBF1C" w14:textId="5543B688" w:rsidR="00D42D6E" w:rsidRPr="006A6461" w:rsidRDefault="00EB28BD" w:rsidP="003D7759">
            <w:pPr>
              <w:spacing w:after="120"/>
              <w:jc w:val="right"/>
              <w:rPr>
                <w:rFonts w:ascii="Times New Roman" w:eastAsia="Times New Roman" w:hAnsi="Times New Roman" w:cs="Times New Roman"/>
                <w:noProof/>
                <w:sz w:val="20"/>
                <w:szCs w:val="20"/>
              </w:rPr>
            </w:pPr>
            <w:r>
              <w:rPr>
                <w:rFonts w:ascii="Times New Roman" w:hAnsi="Times New Roman"/>
                <w:noProof/>
                <w:sz w:val="20"/>
              </w:rPr>
              <w:t>405 789,6</w:t>
            </w:r>
          </w:p>
        </w:tc>
        <w:tc>
          <w:tcPr>
            <w:tcW w:w="1345" w:type="dxa"/>
            <w:tcBorders>
              <w:top w:val="nil"/>
              <w:left w:val="single" w:sz="4" w:space="0" w:color="auto"/>
              <w:bottom w:val="single" w:sz="4" w:space="0" w:color="auto"/>
              <w:right w:val="single" w:sz="4" w:space="0" w:color="auto"/>
            </w:tcBorders>
            <w:shd w:val="clear" w:color="auto" w:fill="auto"/>
            <w:noWrap/>
            <w:vAlign w:val="center"/>
          </w:tcPr>
          <w:p w14:paraId="325656E3" w14:textId="21BE733F" w:rsidR="00D42D6E" w:rsidRPr="006A6461" w:rsidRDefault="00502546" w:rsidP="003D7759">
            <w:pPr>
              <w:spacing w:after="120"/>
              <w:jc w:val="right"/>
              <w:rPr>
                <w:rFonts w:ascii="Times New Roman" w:hAnsi="Times New Roman" w:cs="Times New Roman"/>
                <w:noProof/>
                <w:color w:val="000000"/>
                <w:sz w:val="20"/>
                <w:szCs w:val="20"/>
              </w:rPr>
            </w:pPr>
            <w:r>
              <w:rPr>
                <w:rFonts w:ascii="Times New Roman" w:hAnsi="Times New Roman"/>
                <w:noProof/>
                <w:sz w:val="20"/>
              </w:rPr>
              <w:t>343 656,2</w:t>
            </w:r>
          </w:p>
        </w:tc>
        <w:tc>
          <w:tcPr>
            <w:tcW w:w="1457" w:type="dxa"/>
            <w:tcBorders>
              <w:top w:val="nil"/>
              <w:left w:val="nil"/>
              <w:bottom w:val="single" w:sz="4" w:space="0" w:color="auto"/>
              <w:right w:val="single" w:sz="4" w:space="0" w:color="auto"/>
            </w:tcBorders>
            <w:shd w:val="clear" w:color="auto" w:fill="auto"/>
            <w:noWrap/>
            <w:vAlign w:val="center"/>
          </w:tcPr>
          <w:p w14:paraId="35500168" w14:textId="22580AAF" w:rsidR="00D42D6E" w:rsidRPr="006A6461" w:rsidRDefault="009E0DE1" w:rsidP="003D7759">
            <w:pPr>
              <w:spacing w:after="120"/>
              <w:jc w:val="right"/>
              <w:rPr>
                <w:rFonts w:ascii="Times New Roman" w:hAnsi="Times New Roman" w:cs="Times New Roman"/>
                <w:noProof/>
                <w:color w:val="000000"/>
                <w:sz w:val="20"/>
                <w:szCs w:val="20"/>
              </w:rPr>
            </w:pPr>
            <w:r>
              <w:rPr>
                <w:rFonts w:ascii="Times New Roman" w:hAnsi="Times New Roman"/>
                <w:noProof/>
                <w:sz w:val="20"/>
              </w:rPr>
              <w:t>125 907,6</w:t>
            </w:r>
          </w:p>
        </w:tc>
      </w:tr>
      <w:tr w:rsidR="00502546" w:rsidRPr="006A6461" w14:paraId="2C26200F" w14:textId="77777777" w:rsidTr="00EF7A17">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613DD5E" w14:textId="77777777" w:rsidR="00D42D6E" w:rsidRPr="006A6461" w:rsidRDefault="00D42D6E" w:rsidP="003D7759">
            <w:pPr>
              <w:spacing w:after="120"/>
              <w:rPr>
                <w:rFonts w:ascii="Times New Roman" w:hAnsi="Times New Roman" w:cs="Times New Roman"/>
                <w:b/>
                <w:bCs/>
                <w:noProof/>
                <w:sz w:val="20"/>
                <w:szCs w:val="20"/>
              </w:rPr>
            </w:pPr>
            <w:r>
              <w:rPr>
                <w:rFonts w:ascii="Times New Roman" w:hAnsi="Times New Roman"/>
                <w:b/>
                <w:noProof/>
                <w:sz w:val="20"/>
              </w:rPr>
              <w:t>SI</w:t>
            </w:r>
          </w:p>
        </w:tc>
        <w:tc>
          <w:tcPr>
            <w:tcW w:w="1477" w:type="dxa"/>
            <w:tcBorders>
              <w:top w:val="nil"/>
              <w:left w:val="nil"/>
              <w:bottom w:val="single" w:sz="4" w:space="0" w:color="auto"/>
              <w:right w:val="single" w:sz="4" w:space="0" w:color="auto"/>
            </w:tcBorders>
            <w:shd w:val="clear" w:color="auto" w:fill="auto"/>
            <w:noWrap/>
            <w:vAlign w:val="center"/>
          </w:tcPr>
          <w:p w14:paraId="53204054" w14:textId="269EAA67"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157,8</w:t>
            </w:r>
          </w:p>
        </w:tc>
        <w:tc>
          <w:tcPr>
            <w:tcW w:w="1386" w:type="dxa"/>
            <w:tcBorders>
              <w:top w:val="nil"/>
              <w:left w:val="nil"/>
              <w:bottom w:val="single" w:sz="4" w:space="0" w:color="auto"/>
              <w:right w:val="single" w:sz="4" w:space="0" w:color="auto"/>
            </w:tcBorders>
            <w:shd w:val="clear" w:color="auto" w:fill="auto"/>
            <w:noWrap/>
            <w:vAlign w:val="center"/>
          </w:tcPr>
          <w:p w14:paraId="1750C6E9" w14:textId="2FFBE831" w:rsidR="00D42D6E" w:rsidRPr="006A6461" w:rsidRDefault="002E090C" w:rsidP="003D7759">
            <w:pPr>
              <w:spacing w:after="120"/>
              <w:jc w:val="right"/>
              <w:rPr>
                <w:rFonts w:ascii="Times New Roman" w:hAnsi="Times New Roman" w:cs="Times New Roman"/>
                <w:noProof/>
                <w:color w:val="000000"/>
                <w:sz w:val="20"/>
                <w:szCs w:val="20"/>
              </w:rPr>
            </w:pPr>
            <w:r>
              <w:rPr>
                <w:rFonts w:ascii="Times New Roman" w:hAnsi="Times New Roman"/>
                <w:noProof/>
                <w:sz w:val="20"/>
              </w:rPr>
              <w:t>31 419,3</w:t>
            </w:r>
          </w:p>
        </w:tc>
        <w:tc>
          <w:tcPr>
            <w:tcW w:w="1347" w:type="dxa"/>
            <w:tcBorders>
              <w:top w:val="single" w:sz="4" w:space="0" w:color="auto"/>
              <w:left w:val="nil"/>
              <w:bottom w:val="single" w:sz="4" w:space="0" w:color="auto"/>
              <w:right w:val="single" w:sz="4" w:space="0" w:color="auto"/>
            </w:tcBorders>
            <w:vAlign w:val="center"/>
          </w:tcPr>
          <w:p w14:paraId="10EB9DCE" w14:textId="6E07712C" w:rsidR="00D42D6E" w:rsidRPr="006A6461" w:rsidRDefault="00EB28BD" w:rsidP="003D7759">
            <w:pPr>
              <w:spacing w:after="120"/>
              <w:jc w:val="right"/>
              <w:rPr>
                <w:rFonts w:ascii="Times New Roman" w:eastAsia="Times New Roman" w:hAnsi="Times New Roman" w:cs="Times New Roman"/>
                <w:noProof/>
                <w:sz w:val="20"/>
                <w:szCs w:val="20"/>
              </w:rPr>
            </w:pPr>
            <w:r>
              <w:rPr>
                <w:rFonts w:ascii="Times New Roman" w:hAnsi="Times New Roman"/>
                <w:noProof/>
                <w:sz w:val="20"/>
              </w:rPr>
              <w:t>31 650,2</w:t>
            </w:r>
          </w:p>
        </w:tc>
        <w:tc>
          <w:tcPr>
            <w:tcW w:w="1345" w:type="dxa"/>
            <w:tcBorders>
              <w:top w:val="nil"/>
              <w:left w:val="single" w:sz="4" w:space="0" w:color="auto"/>
              <w:bottom w:val="single" w:sz="4" w:space="0" w:color="auto"/>
              <w:right w:val="single" w:sz="4" w:space="0" w:color="auto"/>
            </w:tcBorders>
            <w:shd w:val="clear" w:color="auto" w:fill="auto"/>
            <w:noWrap/>
            <w:vAlign w:val="center"/>
          </w:tcPr>
          <w:p w14:paraId="3A11B46A" w14:textId="2E8D88DD" w:rsidR="00D42D6E" w:rsidRPr="006A6461" w:rsidRDefault="00502546" w:rsidP="003D7759">
            <w:pPr>
              <w:spacing w:after="120"/>
              <w:jc w:val="right"/>
              <w:rPr>
                <w:rFonts w:ascii="Times New Roman" w:hAnsi="Times New Roman" w:cs="Times New Roman"/>
                <w:noProof/>
                <w:color w:val="000000"/>
                <w:sz w:val="20"/>
                <w:szCs w:val="20"/>
              </w:rPr>
            </w:pPr>
            <w:r>
              <w:rPr>
                <w:rFonts w:ascii="Times New Roman" w:hAnsi="Times New Roman"/>
                <w:noProof/>
                <w:sz w:val="20"/>
              </w:rPr>
              <w:t>65 814,8</w:t>
            </w:r>
          </w:p>
        </w:tc>
        <w:tc>
          <w:tcPr>
            <w:tcW w:w="1457" w:type="dxa"/>
            <w:tcBorders>
              <w:top w:val="nil"/>
              <w:left w:val="nil"/>
              <w:bottom w:val="single" w:sz="4" w:space="0" w:color="auto"/>
              <w:right w:val="single" w:sz="4" w:space="0" w:color="auto"/>
            </w:tcBorders>
            <w:shd w:val="clear" w:color="auto" w:fill="FFFFFF" w:themeFill="background1"/>
            <w:noWrap/>
            <w:vAlign w:val="center"/>
          </w:tcPr>
          <w:p w14:paraId="54431269" w14:textId="06C86513" w:rsidR="00D42D6E" w:rsidRPr="006A6461" w:rsidRDefault="009E0DE1" w:rsidP="003D7759">
            <w:pPr>
              <w:spacing w:after="120"/>
              <w:jc w:val="right"/>
              <w:rPr>
                <w:rFonts w:ascii="Times New Roman" w:hAnsi="Times New Roman" w:cs="Times New Roman"/>
                <w:noProof/>
                <w:color w:val="000000"/>
                <w:sz w:val="20"/>
                <w:szCs w:val="20"/>
              </w:rPr>
            </w:pPr>
            <w:r>
              <w:rPr>
                <w:rFonts w:ascii="Times New Roman" w:hAnsi="Times New Roman"/>
                <w:noProof/>
                <w:sz w:val="20"/>
              </w:rPr>
              <w:t>31 419,3</w:t>
            </w:r>
          </w:p>
        </w:tc>
      </w:tr>
      <w:tr w:rsidR="00D42D6E" w:rsidRPr="006A6461" w14:paraId="61FF3E00" w14:textId="77777777" w:rsidTr="00EF7A17">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DA8B817" w14:textId="77777777" w:rsidR="00D42D6E" w:rsidRPr="006A6461" w:rsidRDefault="00D42D6E" w:rsidP="003D7759">
            <w:pPr>
              <w:spacing w:after="120"/>
              <w:rPr>
                <w:rFonts w:ascii="Times New Roman" w:hAnsi="Times New Roman" w:cs="Times New Roman"/>
                <w:b/>
                <w:bCs/>
                <w:noProof/>
                <w:sz w:val="20"/>
                <w:szCs w:val="20"/>
              </w:rPr>
            </w:pPr>
            <w:r>
              <w:rPr>
                <w:rFonts w:ascii="Times New Roman" w:hAnsi="Times New Roman"/>
                <w:b/>
                <w:noProof/>
                <w:sz w:val="20"/>
              </w:rPr>
              <w:t>SK</w:t>
            </w:r>
          </w:p>
        </w:tc>
        <w:tc>
          <w:tcPr>
            <w:tcW w:w="1477" w:type="dxa"/>
            <w:tcBorders>
              <w:top w:val="nil"/>
              <w:left w:val="nil"/>
              <w:bottom w:val="single" w:sz="4" w:space="0" w:color="auto"/>
              <w:right w:val="single" w:sz="4" w:space="0" w:color="auto"/>
            </w:tcBorders>
            <w:shd w:val="clear" w:color="auto" w:fill="auto"/>
            <w:noWrap/>
            <w:vAlign w:val="center"/>
          </w:tcPr>
          <w:p w14:paraId="5CAB1F9F" w14:textId="50DA34C3"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105,7</w:t>
            </w:r>
          </w:p>
        </w:tc>
        <w:tc>
          <w:tcPr>
            <w:tcW w:w="1386" w:type="dxa"/>
            <w:tcBorders>
              <w:top w:val="nil"/>
              <w:left w:val="nil"/>
              <w:bottom w:val="single" w:sz="4" w:space="0" w:color="auto"/>
              <w:right w:val="single" w:sz="4" w:space="0" w:color="auto"/>
            </w:tcBorders>
            <w:shd w:val="clear" w:color="auto" w:fill="auto"/>
            <w:noWrap/>
            <w:vAlign w:val="center"/>
          </w:tcPr>
          <w:p w14:paraId="2BE90BBA" w14:textId="5E26F2C8" w:rsidR="00D42D6E" w:rsidRPr="006A6461" w:rsidRDefault="002E090C" w:rsidP="003D7759">
            <w:pPr>
              <w:spacing w:after="120"/>
              <w:jc w:val="right"/>
              <w:rPr>
                <w:rFonts w:ascii="Times New Roman" w:hAnsi="Times New Roman" w:cs="Times New Roman"/>
                <w:noProof/>
                <w:color w:val="000000"/>
                <w:sz w:val="20"/>
                <w:szCs w:val="20"/>
              </w:rPr>
            </w:pPr>
            <w:r>
              <w:rPr>
                <w:rFonts w:ascii="Times New Roman" w:hAnsi="Times New Roman"/>
                <w:noProof/>
                <w:sz w:val="20"/>
              </w:rPr>
              <w:t>51 311,1</w:t>
            </w:r>
          </w:p>
        </w:tc>
        <w:tc>
          <w:tcPr>
            <w:tcW w:w="1347" w:type="dxa"/>
            <w:tcBorders>
              <w:top w:val="single" w:sz="4" w:space="0" w:color="auto"/>
              <w:left w:val="nil"/>
              <w:bottom w:val="single" w:sz="4" w:space="0" w:color="auto"/>
              <w:right w:val="single" w:sz="4" w:space="0" w:color="auto"/>
            </w:tcBorders>
            <w:vAlign w:val="center"/>
          </w:tcPr>
          <w:p w14:paraId="2673A6CE" w14:textId="173CC99C" w:rsidR="00D42D6E" w:rsidRPr="006A6461" w:rsidRDefault="00EB28BD" w:rsidP="003D7759">
            <w:pPr>
              <w:spacing w:after="120"/>
              <w:jc w:val="right"/>
              <w:rPr>
                <w:rFonts w:ascii="Times New Roman" w:eastAsia="Times New Roman" w:hAnsi="Times New Roman" w:cs="Times New Roman"/>
                <w:noProof/>
                <w:sz w:val="20"/>
                <w:szCs w:val="20"/>
              </w:rPr>
            </w:pPr>
            <w:r>
              <w:rPr>
                <w:rFonts w:ascii="Times New Roman" w:hAnsi="Times New Roman"/>
                <w:noProof/>
                <w:sz w:val="20"/>
              </w:rPr>
              <w:t>50 246,8</w:t>
            </w:r>
          </w:p>
        </w:tc>
        <w:tc>
          <w:tcPr>
            <w:tcW w:w="1345" w:type="dxa"/>
            <w:tcBorders>
              <w:top w:val="nil"/>
              <w:left w:val="single" w:sz="4" w:space="0" w:color="auto"/>
              <w:bottom w:val="single" w:sz="4" w:space="0" w:color="auto"/>
              <w:right w:val="single" w:sz="4" w:space="0" w:color="auto"/>
            </w:tcBorders>
            <w:shd w:val="clear" w:color="auto" w:fill="auto"/>
            <w:noWrap/>
            <w:vAlign w:val="center"/>
          </w:tcPr>
          <w:p w14:paraId="3DD2E435" w14:textId="120F2F2E" w:rsidR="00D42D6E" w:rsidRPr="006A6461" w:rsidRDefault="00502546" w:rsidP="003D7759">
            <w:pPr>
              <w:spacing w:after="120"/>
              <w:jc w:val="right"/>
              <w:rPr>
                <w:rFonts w:ascii="Times New Roman" w:hAnsi="Times New Roman" w:cs="Times New Roman"/>
                <w:noProof/>
                <w:color w:val="000000"/>
                <w:sz w:val="20"/>
                <w:szCs w:val="20"/>
              </w:rPr>
            </w:pPr>
            <w:r>
              <w:rPr>
                <w:rFonts w:ascii="Times New Roman" w:hAnsi="Times New Roman"/>
                <w:noProof/>
                <w:sz w:val="20"/>
              </w:rPr>
              <w:t>127 477,7</w:t>
            </w:r>
          </w:p>
        </w:tc>
        <w:tc>
          <w:tcPr>
            <w:tcW w:w="1457" w:type="dxa"/>
            <w:tcBorders>
              <w:top w:val="nil"/>
              <w:left w:val="nil"/>
              <w:bottom w:val="single" w:sz="4" w:space="0" w:color="auto"/>
              <w:right w:val="single" w:sz="4" w:space="0" w:color="auto"/>
            </w:tcBorders>
            <w:shd w:val="clear" w:color="auto" w:fill="auto"/>
            <w:noWrap/>
            <w:vAlign w:val="center"/>
          </w:tcPr>
          <w:p w14:paraId="5E89A802" w14:textId="6B91B274" w:rsidR="00D42D6E" w:rsidRPr="006A6461" w:rsidRDefault="009E0DE1" w:rsidP="003D7759">
            <w:pPr>
              <w:spacing w:after="120"/>
              <w:jc w:val="right"/>
              <w:rPr>
                <w:rFonts w:ascii="Times New Roman" w:hAnsi="Times New Roman" w:cs="Times New Roman"/>
                <w:noProof/>
                <w:color w:val="000000"/>
                <w:sz w:val="20"/>
                <w:szCs w:val="20"/>
              </w:rPr>
            </w:pPr>
            <w:r>
              <w:rPr>
                <w:rFonts w:ascii="Times New Roman" w:hAnsi="Times New Roman"/>
                <w:noProof/>
                <w:sz w:val="20"/>
              </w:rPr>
              <w:t>51 311,1</w:t>
            </w:r>
          </w:p>
        </w:tc>
      </w:tr>
      <w:tr w:rsidR="00D42D6E" w:rsidRPr="006A6461" w14:paraId="0039EEC3" w14:textId="77777777" w:rsidTr="00EF7A17">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7FA67B6" w14:textId="77777777" w:rsidR="00D42D6E" w:rsidRPr="006A6461" w:rsidRDefault="00D42D6E" w:rsidP="003D7759">
            <w:pPr>
              <w:spacing w:after="120"/>
              <w:rPr>
                <w:rFonts w:ascii="Times New Roman" w:hAnsi="Times New Roman" w:cs="Times New Roman"/>
                <w:b/>
                <w:bCs/>
                <w:noProof/>
                <w:sz w:val="20"/>
                <w:szCs w:val="20"/>
              </w:rPr>
            </w:pPr>
            <w:r>
              <w:rPr>
                <w:rFonts w:ascii="Times New Roman" w:hAnsi="Times New Roman"/>
                <w:b/>
                <w:noProof/>
                <w:sz w:val="20"/>
              </w:rPr>
              <w:t>FI</w:t>
            </w:r>
          </w:p>
        </w:tc>
        <w:tc>
          <w:tcPr>
            <w:tcW w:w="1477" w:type="dxa"/>
            <w:tcBorders>
              <w:top w:val="nil"/>
              <w:left w:val="nil"/>
              <w:bottom w:val="single" w:sz="4" w:space="0" w:color="auto"/>
              <w:right w:val="single" w:sz="4" w:space="0" w:color="auto"/>
            </w:tcBorders>
            <w:shd w:val="clear" w:color="auto" w:fill="auto"/>
            <w:noWrap/>
            <w:vAlign w:val="center"/>
          </w:tcPr>
          <w:p w14:paraId="7C695F32" w14:textId="4F77F590"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151,2</w:t>
            </w:r>
          </w:p>
        </w:tc>
        <w:tc>
          <w:tcPr>
            <w:tcW w:w="1386" w:type="dxa"/>
            <w:tcBorders>
              <w:top w:val="nil"/>
              <w:left w:val="nil"/>
              <w:bottom w:val="single" w:sz="4" w:space="0" w:color="auto"/>
              <w:right w:val="single" w:sz="4" w:space="0" w:color="auto"/>
            </w:tcBorders>
            <w:shd w:val="clear" w:color="auto" w:fill="auto"/>
            <w:noWrap/>
            <w:vAlign w:val="center"/>
          </w:tcPr>
          <w:p w14:paraId="7175F633" w14:textId="48148508" w:rsidR="00D42D6E" w:rsidRPr="006A6461" w:rsidRDefault="002E090C" w:rsidP="003D7759">
            <w:pPr>
              <w:spacing w:after="120"/>
              <w:jc w:val="right"/>
              <w:rPr>
                <w:rFonts w:ascii="Times New Roman" w:hAnsi="Times New Roman" w:cs="Times New Roman"/>
                <w:noProof/>
                <w:color w:val="000000"/>
                <w:sz w:val="20"/>
                <w:szCs w:val="20"/>
              </w:rPr>
            </w:pPr>
            <w:r>
              <w:rPr>
                <w:rFonts w:ascii="Times New Roman" w:hAnsi="Times New Roman"/>
                <w:noProof/>
                <w:sz w:val="20"/>
              </w:rPr>
              <w:t>123 931,7</w:t>
            </w:r>
          </w:p>
        </w:tc>
        <w:tc>
          <w:tcPr>
            <w:tcW w:w="1347" w:type="dxa"/>
            <w:tcBorders>
              <w:top w:val="single" w:sz="4" w:space="0" w:color="auto"/>
              <w:left w:val="nil"/>
              <w:bottom w:val="single" w:sz="4" w:space="0" w:color="auto"/>
              <w:right w:val="single" w:sz="4" w:space="0" w:color="auto"/>
            </w:tcBorders>
            <w:vAlign w:val="center"/>
          </w:tcPr>
          <w:p w14:paraId="5572F83D" w14:textId="56405713" w:rsidR="00D42D6E" w:rsidRPr="006A6461" w:rsidRDefault="00EB28BD" w:rsidP="003D7759">
            <w:pPr>
              <w:spacing w:after="120"/>
              <w:jc w:val="right"/>
              <w:rPr>
                <w:rFonts w:ascii="Times New Roman" w:eastAsia="Times New Roman" w:hAnsi="Times New Roman" w:cs="Times New Roman"/>
                <w:noProof/>
                <w:sz w:val="20"/>
                <w:szCs w:val="20"/>
              </w:rPr>
            </w:pPr>
            <w:r>
              <w:rPr>
                <w:rFonts w:ascii="Times New Roman" w:hAnsi="Times New Roman"/>
                <w:noProof/>
                <w:sz w:val="20"/>
              </w:rPr>
              <w:t>112 744,4</w:t>
            </w:r>
          </w:p>
        </w:tc>
        <w:tc>
          <w:tcPr>
            <w:tcW w:w="1345" w:type="dxa"/>
            <w:tcBorders>
              <w:top w:val="nil"/>
              <w:left w:val="single" w:sz="4" w:space="0" w:color="auto"/>
              <w:bottom w:val="single" w:sz="4" w:space="0" w:color="auto"/>
              <w:right w:val="single" w:sz="4" w:space="0" w:color="auto"/>
            </w:tcBorders>
            <w:shd w:val="clear" w:color="auto" w:fill="auto"/>
            <w:noWrap/>
            <w:vAlign w:val="center"/>
          </w:tcPr>
          <w:p w14:paraId="36AA23C9" w14:textId="7D596591" w:rsidR="00D42D6E" w:rsidRPr="006A6461" w:rsidRDefault="00502546" w:rsidP="003D7759">
            <w:pPr>
              <w:spacing w:after="120"/>
              <w:jc w:val="right"/>
              <w:rPr>
                <w:rFonts w:ascii="Times New Roman" w:hAnsi="Times New Roman" w:cs="Times New Roman"/>
                <w:noProof/>
                <w:color w:val="000000"/>
                <w:sz w:val="20"/>
                <w:szCs w:val="20"/>
              </w:rPr>
            </w:pPr>
            <w:r>
              <w:rPr>
                <w:rFonts w:ascii="Times New Roman" w:hAnsi="Times New Roman"/>
                <w:noProof/>
                <w:sz w:val="20"/>
              </w:rPr>
              <w:t>283 303,4</w:t>
            </w:r>
          </w:p>
        </w:tc>
        <w:tc>
          <w:tcPr>
            <w:tcW w:w="1457" w:type="dxa"/>
            <w:tcBorders>
              <w:top w:val="nil"/>
              <w:left w:val="nil"/>
              <w:bottom w:val="single" w:sz="4" w:space="0" w:color="auto"/>
              <w:right w:val="single" w:sz="4" w:space="0" w:color="auto"/>
            </w:tcBorders>
            <w:shd w:val="clear" w:color="auto" w:fill="auto"/>
            <w:noWrap/>
            <w:vAlign w:val="center"/>
          </w:tcPr>
          <w:p w14:paraId="382BB7E0" w14:textId="699A5A91" w:rsidR="00D42D6E" w:rsidRPr="006A6461" w:rsidRDefault="009E0DE1" w:rsidP="003D7759">
            <w:pPr>
              <w:spacing w:after="120"/>
              <w:jc w:val="right"/>
              <w:rPr>
                <w:rFonts w:ascii="Times New Roman" w:hAnsi="Times New Roman" w:cs="Times New Roman"/>
                <w:noProof/>
                <w:color w:val="000000"/>
                <w:sz w:val="20"/>
                <w:szCs w:val="20"/>
              </w:rPr>
            </w:pPr>
            <w:r>
              <w:rPr>
                <w:rFonts w:ascii="Times New Roman" w:hAnsi="Times New Roman"/>
                <w:noProof/>
                <w:sz w:val="20"/>
              </w:rPr>
              <w:t>123 931,7</w:t>
            </w:r>
          </w:p>
        </w:tc>
      </w:tr>
      <w:tr w:rsidR="00D42D6E" w:rsidRPr="006A6461" w14:paraId="0CD79114" w14:textId="77777777" w:rsidTr="00EF7A17">
        <w:trPr>
          <w:trHeight w:val="25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9894EE9" w14:textId="77777777" w:rsidR="00D42D6E" w:rsidRPr="006A6461" w:rsidRDefault="00D42D6E" w:rsidP="003D7759">
            <w:pPr>
              <w:spacing w:after="120"/>
              <w:rPr>
                <w:rFonts w:ascii="Times New Roman" w:hAnsi="Times New Roman" w:cs="Times New Roman"/>
                <w:b/>
                <w:bCs/>
                <w:noProof/>
                <w:sz w:val="20"/>
                <w:szCs w:val="20"/>
              </w:rPr>
            </w:pPr>
            <w:r>
              <w:rPr>
                <w:rFonts w:ascii="Times New Roman" w:hAnsi="Times New Roman"/>
                <w:b/>
                <w:noProof/>
                <w:sz w:val="20"/>
              </w:rPr>
              <w:t>SE</w:t>
            </w:r>
          </w:p>
        </w:tc>
        <w:tc>
          <w:tcPr>
            <w:tcW w:w="1477" w:type="dxa"/>
            <w:tcBorders>
              <w:top w:val="nil"/>
              <w:left w:val="nil"/>
              <w:bottom w:val="single" w:sz="4" w:space="0" w:color="auto"/>
              <w:right w:val="single" w:sz="4" w:space="0" w:color="auto"/>
            </w:tcBorders>
            <w:shd w:val="clear" w:color="auto" w:fill="auto"/>
            <w:noWrap/>
            <w:vAlign w:val="center"/>
          </w:tcPr>
          <w:p w14:paraId="33A51098" w14:textId="61916648" w:rsidR="00D42D6E" w:rsidRPr="006A6461" w:rsidRDefault="00C31E8E" w:rsidP="003D7759">
            <w:pPr>
              <w:spacing w:after="120"/>
              <w:jc w:val="right"/>
              <w:rPr>
                <w:rFonts w:ascii="Times New Roman" w:hAnsi="Times New Roman" w:cs="Times New Roman"/>
                <w:noProof/>
                <w:color w:val="000000"/>
                <w:sz w:val="20"/>
                <w:szCs w:val="20"/>
              </w:rPr>
            </w:pPr>
            <w:r>
              <w:rPr>
                <w:rFonts w:ascii="Times New Roman" w:hAnsi="Times New Roman"/>
                <w:noProof/>
                <w:sz w:val="20"/>
              </w:rPr>
              <w:t>500,8</w:t>
            </w:r>
          </w:p>
        </w:tc>
        <w:tc>
          <w:tcPr>
            <w:tcW w:w="1386" w:type="dxa"/>
            <w:tcBorders>
              <w:top w:val="nil"/>
              <w:left w:val="nil"/>
              <w:bottom w:val="single" w:sz="4" w:space="0" w:color="auto"/>
              <w:right w:val="single" w:sz="4" w:space="0" w:color="auto"/>
            </w:tcBorders>
            <w:shd w:val="clear" w:color="auto" w:fill="auto"/>
            <w:noWrap/>
            <w:vAlign w:val="center"/>
          </w:tcPr>
          <w:p w14:paraId="5E7A782D" w14:textId="220DD0CB" w:rsidR="00D42D6E" w:rsidRPr="006A6461" w:rsidRDefault="002E090C" w:rsidP="003D7759">
            <w:pPr>
              <w:spacing w:after="120"/>
              <w:jc w:val="right"/>
              <w:rPr>
                <w:rFonts w:ascii="Times New Roman" w:hAnsi="Times New Roman" w:cs="Times New Roman"/>
                <w:noProof/>
                <w:color w:val="000000"/>
                <w:sz w:val="20"/>
                <w:szCs w:val="20"/>
              </w:rPr>
            </w:pPr>
            <w:r>
              <w:rPr>
                <w:rFonts w:ascii="Times New Roman" w:hAnsi="Times New Roman"/>
                <w:noProof/>
                <w:sz w:val="20"/>
              </w:rPr>
              <w:t>253 114,4</w:t>
            </w:r>
          </w:p>
        </w:tc>
        <w:tc>
          <w:tcPr>
            <w:tcW w:w="1347" w:type="dxa"/>
            <w:tcBorders>
              <w:top w:val="single" w:sz="4" w:space="0" w:color="auto"/>
              <w:left w:val="nil"/>
              <w:bottom w:val="single" w:sz="4" w:space="0" w:color="auto"/>
              <w:right w:val="single" w:sz="4" w:space="0" w:color="auto"/>
            </w:tcBorders>
            <w:vAlign w:val="center"/>
          </w:tcPr>
          <w:p w14:paraId="1B6131D6" w14:textId="070FC029" w:rsidR="00D42D6E" w:rsidRPr="006A6461" w:rsidRDefault="00EB28BD" w:rsidP="003D7759">
            <w:pPr>
              <w:spacing w:after="120"/>
              <w:jc w:val="right"/>
              <w:rPr>
                <w:rFonts w:ascii="Times New Roman" w:eastAsia="Times New Roman" w:hAnsi="Times New Roman" w:cs="Times New Roman"/>
                <w:noProof/>
                <w:sz w:val="20"/>
                <w:szCs w:val="20"/>
              </w:rPr>
            </w:pPr>
            <w:r>
              <w:rPr>
                <w:rFonts w:ascii="Times New Roman" w:hAnsi="Times New Roman"/>
                <w:noProof/>
                <w:sz w:val="20"/>
              </w:rPr>
              <w:t>304 911,7</w:t>
            </w:r>
          </w:p>
        </w:tc>
        <w:tc>
          <w:tcPr>
            <w:tcW w:w="1345" w:type="dxa"/>
            <w:tcBorders>
              <w:top w:val="nil"/>
              <w:left w:val="single" w:sz="4" w:space="0" w:color="auto"/>
              <w:bottom w:val="single" w:sz="4" w:space="0" w:color="auto"/>
              <w:right w:val="single" w:sz="4" w:space="0" w:color="auto"/>
            </w:tcBorders>
            <w:shd w:val="clear" w:color="auto" w:fill="auto"/>
            <w:noWrap/>
            <w:vAlign w:val="center"/>
          </w:tcPr>
          <w:p w14:paraId="7AC1B043" w14:textId="024B9228" w:rsidR="00D42D6E" w:rsidRPr="006A6461" w:rsidRDefault="00502546" w:rsidP="003D7759">
            <w:pPr>
              <w:spacing w:after="120"/>
              <w:jc w:val="right"/>
              <w:rPr>
                <w:rFonts w:ascii="Times New Roman" w:hAnsi="Times New Roman" w:cs="Times New Roman"/>
                <w:noProof/>
                <w:color w:val="000000"/>
                <w:sz w:val="20"/>
                <w:szCs w:val="20"/>
              </w:rPr>
            </w:pPr>
            <w:r>
              <w:rPr>
                <w:rFonts w:ascii="Times New Roman" w:hAnsi="Times New Roman"/>
                <w:noProof/>
                <w:sz w:val="20"/>
              </w:rPr>
              <w:t>605 139,1</w:t>
            </w:r>
          </w:p>
        </w:tc>
        <w:tc>
          <w:tcPr>
            <w:tcW w:w="1457" w:type="dxa"/>
            <w:tcBorders>
              <w:top w:val="nil"/>
              <w:left w:val="nil"/>
              <w:bottom w:val="single" w:sz="4" w:space="0" w:color="auto"/>
              <w:right w:val="single" w:sz="4" w:space="0" w:color="auto"/>
            </w:tcBorders>
            <w:shd w:val="clear" w:color="auto" w:fill="auto"/>
            <w:noWrap/>
            <w:vAlign w:val="center"/>
          </w:tcPr>
          <w:p w14:paraId="7393EC27" w14:textId="2832B0EB" w:rsidR="00D42D6E" w:rsidRPr="006A6461" w:rsidRDefault="009E0DE1" w:rsidP="003D7759">
            <w:pPr>
              <w:spacing w:after="120"/>
              <w:jc w:val="right"/>
              <w:rPr>
                <w:rFonts w:ascii="Times New Roman" w:hAnsi="Times New Roman" w:cs="Times New Roman"/>
                <w:noProof/>
                <w:color w:val="000000"/>
                <w:sz w:val="20"/>
                <w:szCs w:val="20"/>
              </w:rPr>
            </w:pPr>
            <w:r>
              <w:rPr>
                <w:rFonts w:ascii="Times New Roman" w:hAnsi="Times New Roman"/>
                <w:noProof/>
                <w:sz w:val="20"/>
              </w:rPr>
              <w:t>253 114,4</w:t>
            </w:r>
          </w:p>
        </w:tc>
      </w:tr>
      <w:tr w:rsidR="00D42D6E" w:rsidRPr="006A6461" w14:paraId="694BB1BC" w14:textId="77777777" w:rsidTr="00EF7A17">
        <w:trPr>
          <w:trHeight w:val="255"/>
          <w:jc w:val="center"/>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557F3" w14:textId="77777777" w:rsidR="00D42D6E" w:rsidRPr="006A6461" w:rsidRDefault="00D42D6E" w:rsidP="003D7759">
            <w:pPr>
              <w:spacing w:after="120"/>
              <w:rPr>
                <w:rFonts w:ascii="Times New Roman" w:hAnsi="Times New Roman" w:cs="Times New Roman"/>
                <w:b/>
                <w:bCs/>
                <w:noProof/>
                <w:sz w:val="20"/>
                <w:szCs w:val="20"/>
              </w:rPr>
            </w:pPr>
            <w:r>
              <w:rPr>
                <w:rFonts w:ascii="Times New Roman" w:hAnsi="Times New Roman"/>
                <w:b/>
                <w:noProof/>
                <w:sz w:val="20"/>
              </w:rPr>
              <w:t>ЕС</w:t>
            </w:r>
          </w:p>
        </w:tc>
        <w:tc>
          <w:tcPr>
            <w:tcW w:w="1477" w:type="dxa"/>
            <w:tcBorders>
              <w:top w:val="single" w:sz="4" w:space="0" w:color="auto"/>
              <w:left w:val="nil"/>
              <w:bottom w:val="single" w:sz="4" w:space="0" w:color="auto"/>
              <w:right w:val="single" w:sz="4" w:space="0" w:color="auto"/>
            </w:tcBorders>
            <w:shd w:val="clear" w:color="auto" w:fill="auto"/>
            <w:noWrap/>
            <w:vAlign w:val="bottom"/>
          </w:tcPr>
          <w:p w14:paraId="2D6BDB26" w14:textId="3BB9FD8B" w:rsidR="00D42D6E" w:rsidRPr="006A6461" w:rsidRDefault="00C31E8E" w:rsidP="003D7759">
            <w:pPr>
              <w:spacing w:after="120"/>
              <w:jc w:val="right"/>
              <w:rPr>
                <w:rFonts w:ascii="Times New Roman" w:hAnsi="Times New Roman" w:cs="Times New Roman"/>
                <w:b/>
                <w:bCs/>
                <w:noProof/>
                <w:color w:val="000000"/>
                <w:sz w:val="20"/>
                <w:szCs w:val="20"/>
              </w:rPr>
            </w:pPr>
            <w:r>
              <w:rPr>
                <w:rFonts w:ascii="Times New Roman" w:hAnsi="Times New Roman"/>
                <w:b/>
                <w:noProof/>
                <w:sz w:val="20"/>
              </w:rPr>
              <w:t>20 119,0</w:t>
            </w:r>
          </w:p>
        </w:tc>
        <w:tc>
          <w:tcPr>
            <w:tcW w:w="1386" w:type="dxa"/>
            <w:tcBorders>
              <w:top w:val="single" w:sz="4" w:space="0" w:color="auto"/>
              <w:left w:val="nil"/>
              <w:bottom w:val="single" w:sz="4" w:space="0" w:color="auto"/>
              <w:right w:val="single" w:sz="4" w:space="0" w:color="auto"/>
            </w:tcBorders>
            <w:shd w:val="clear" w:color="auto" w:fill="auto"/>
            <w:noWrap/>
            <w:vAlign w:val="center"/>
          </w:tcPr>
          <w:p w14:paraId="1DC2FA6D" w14:textId="694083A0" w:rsidR="00D42D6E" w:rsidRPr="006A6461" w:rsidRDefault="002E090C" w:rsidP="003D7759">
            <w:pPr>
              <w:spacing w:after="120"/>
              <w:jc w:val="right"/>
              <w:rPr>
                <w:rFonts w:ascii="Times New Roman" w:hAnsi="Times New Roman" w:cs="Times New Roman"/>
                <w:b/>
                <w:bCs/>
                <w:noProof/>
                <w:color w:val="000000"/>
                <w:sz w:val="20"/>
                <w:szCs w:val="20"/>
              </w:rPr>
            </w:pPr>
            <w:r>
              <w:rPr>
                <w:rFonts w:ascii="Times New Roman" w:hAnsi="Times New Roman"/>
                <w:b/>
                <w:noProof/>
                <w:sz w:val="20"/>
              </w:rPr>
              <w:t>7 864 305,3</w:t>
            </w:r>
          </w:p>
        </w:tc>
        <w:tc>
          <w:tcPr>
            <w:tcW w:w="1347" w:type="dxa"/>
            <w:tcBorders>
              <w:top w:val="single" w:sz="4" w:space="0" w:color="auto"/>
              <w:left w:val="nil"/>
              <w:bottom w:val="single" w:sz="4" w:space="0" w:color="auto"/>
              <w:right w:val="single" w:sz="4" w:space="0" w:color="auto"/>
            </w:tcBorders>
            <w:vAlign w:val="center"/>
          </w:tcPr>
          <w:p w14:paraId="5C0DF539" w14:textId="6B0691ED" w:rsidR="00D42D6E" w:rsidRPr="006A6461" w:rsidRDefault="00EB28BD" w:rsidP="003D7759">
            <w:pPr>
              <w:spacing w:after="120"/>
              <w:jc w:val="right"/>
              <w:rPr>
                <w:rFonts w:ascii="Times New Roman" w:eastAsia="Times New Roman" w:hAnsi="Times New Roman" w:cs="Times New Roman"/>
                <w:b/>
                <w:bCs/>
                <w:noProof/>
                <w:sz w:val="20"/>
                <w:szCs w:val="20"/>
              </w:rPr>
            </w:pPr>
            <w:r>
              <w:rPr>
                <w:rFonts w:ascii="Times New Roman" w:hAnsi="Times New Roman"/>
                <w:b/>
                <w:noProof/>
                <w:sz w:val="20"/>
              </w:rPr>
              <w:t>9 813 692,0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56C71" w14:textId="76191426" w:rsidR="00D42D6E" w:rsidRPr="006A6461" w:rsidRDefault="00502546" w:rsidP="003D7759">
            <w:pPr>
              <w:spacing w:after="120"/>
              <w:jc w:val="right"/>
              <w:rPr>
                <w:rFonts w:ascii="Times New Roman" w:hAnsi="Times New Roman" w:cs="Times New Roman"/>
                <w:b/>
                <w:bCs/>
                <w:noProof/>
                <w:color w:val="000000"/>
                <w:sz w:val="20"/>
                <w:szCs w:val="20"/>
              </w:rPr>
            </w:pPr>
            <w:r>
              <w:rPr>
                <w:rFonts w:ascii="Times New Roman" w:hAnsi="Times New Roman"/>
                <w:b/>
                <w:noProof/>
                <w:sz w:val="20"/>
              </w:rPr>
              <w:t>17 775 997,4</w:t>
            </w:r>
          </w:p>
        </w:tc>
        <w:tc>
          <w:tcPr>
            <w:tcW w:w="1457" w:type="dxa"/>
            <w:tcBorders>
              <w:top w:val="single" w:sz="4" w:space="0" w:color="auto"/>
              <w:left w:val="nil"/>
              <w:bottom w:val="single" w:sz="4" w:space="0" w:color="auto"/>
              <w:right w:val="single" w:sz="4" w:space="0" w:color="auto"/>
            </w:tcBorders>
            <w:shd w:val="clear" w:color="auto" w:fill="auto"/>
            <w:noWrap/>
            <w:vAlign w:val="center"/>
          </w:tcPr>
          <w:p w14:paraId="7F9DF1A1" w14:textId="3B26FB1A" w:rsidR="00D42D6E" w:rsidRPr="006A6461" w:rsidRDefault="009E0DE1" w:rsidP="003D7759">
            <w:pPr>
              <w:spacing w:after="120"/>
              <w:jc w:val="right"/>
              <w:rPr>
                <w:rFonts w:ascii="Times New Roman" w:hAnsi="Times New Roman" w:cs="Times New Roman"/>
                <w:b/>
                <w:bCs/>
                <w:noProof/>
                <w:color w:val="000000"/>
                <w:sz w:val="20"/>
                <w:szCs w:val="20"/>
              </w:rPr>
            </w:pPr>
            <w:r>
              <w:rPr>
                <w:rFonts w:ascii="Times New Roman" w:hAnsi="Times New Roman"/>
                <w:b/>
                <w:noProof/>
                <w:sz w:val="20"/>
              </w:rPr>
              <w:t>7 820 900,1</w:t>
            </w:r>
          </w:p>
        </w:tc>
      </w:tr>
    </w:tbl>
    <w:p w14:paraId="03BF3660" w14:textId="77777777" w:rsidR="00D42D6E" w:rsidRPr="006A6461" w:rsidRDefault="00D42D6E" w:rsidP="00D42D6E">
      <w:pPr>
        <w:keepNext/>
        <w:rPr>
          <w:rFonts w:ascii="Times New Roman" w:hAnsi="Times New Roman" w:cs="Times New Roman"/>
          <w:bCs/>
          <w:iCs/>
          <w:noProof/>
        </w:rPr>
      </w:pPr>
    </w:p>
    <w:p w14:paraId="15C794FF" w14:textId="77777777" w:rsidR="007A4316" w:rsidRPr="006A6461" w:rsidRDefault="007A4316" w:rsidP="007A4316">
      <w:pPr>
        <w:keepNext/>
        <w:tabs>
          <w:tab w:val="left" w:pos="850"/>
        </w:tabs>
        <w:spacing w:before="360" w:after="120"/>
        <w:ind w:left="850" w:hanging="850"/>
        <w:jc w:val="both"/>
        <w:outlineLvl w:val="1"/>
        <w:rPr>
          <w:rFonts w:ascii="Times New Roman" w:eastAsia="Calibri" w:hAnsi="Times New Roman" w:cs="Times New Roman"/>
          <w:b/>
          <w:noProof/>
          <w:sz w:val="24"/>
          <w:szCs w:val="24"/>
        </w:rPr>
      </w:pPr>
      <w:bookmarkStart w:id="27" w:name="_Toc73720669"/>
      <w:bookmarkStart w:id="28" w:name="_Toc75766702"/>
      <w:bookmarkStart w:id="29" w:name="_Toc463466448"/>
      <w:r>
        <w:rPr>
          <w:rFonts w:ascii="Times New Roman" w:hAnsi="Times New Roman"/>
          <w:b/>
          <w:noProof/>
          <w:sz w:val="24"/>
        </w:rPr>
        <w:tab/>
      </w:r>
      <w:bookmarkStart w:id="30" w:name="_Toc73720673"/>
      <w:bookmarkStart w:id="31" w:name="_Toc75766706"/>
      <w:bookmarkStart w:id="32" w:name="_Toc173242906"/>
      <w:bookmarkEnd w:id="27"/>
      <w:bookmarkEnd w:id="28"/>
      <w:bookmarkEnd w:id="29"/>
      <w:r>
        <w:rPr>
          <w:rFonts w:ascii="Times New Roman" w:hAnsi="Times New Roman"/>
          <w:b/>
          <w:noProof/>
          <w:sz w:val="24"/>
        </w:rPr>
        <w:t>2.3</w:t>
      </w:r>
      <w:r>
        <w:rPr>
          <w:rFonts w:ascii="Times New Roman" w:hAnsi="Times New Roman"/>
          <w:b/>
          <w:noProof/>
          <w:sz w:val="24"/>
        </w:rPr>
        <w:tab/>
        <w:t>Вноска на Обединеното кралство</w:t>
      </w:r>
      <w:bookmarkEnd w:id="30"/>
      <w:bookmarkEnd w:id="31"/>
      <w:bookmarkEnd w:id="32"/>
    </w:p>
    <w:p w14:paraId="23BCE86F" w14:textId="617BF3AD" w:rsidR="00D42D6E" w:rsidRPr="006A6461" w:rsidRDefault="00D42D6E" w:rsidP="00D42D6E">
      <w:pPr>
        <w:spacing w:before="120" w:after="120"/>
        <w:jc w:val="both"/>
        <w:rPr>
          <w:rFonts w:ascii="Times New Roman" w:hAnsi="Times New Roman" w:cs="Times New Roman"/>
          <w:noProof/>
          <w:sz w:val="24"/>
          <w:szCs w:val="24"/>
        </w:rPr>
      </w:pPr>
      <w:r>
        <w:rPr>
          <w:rFonts w:ascii="Times New Roman" w:hAnsi="Times New Roman"/>
          <w:noProof/>
          <w:sz w:val="24"/>
        </w:rPr>
        <w:t>Вноската на Обединеното кралство трябва да се плати в съответствие с член 148 от Споразумението за оттеглянето на Обединеното кралство от Европейския съюз („Споразумението за оттегляне“)</w:t>
      </w:r>
      <w:r w:rsidRPr="006A6461">
        <w:rPr>
          <w:rFonts w:ascii="Times New Roman" w:hAnsi="Times New Roman" w:cs="Times New Roman"/>
          <w:noProof/>
          <w:vertAlign w:val="superscript"/>
        </w:rPr>
        <w:footnoteReference w:id="13"/>
      </w:r>
      <w:r>
        <w:rPr>
          <w:rFonts w:ascii="Times New Roman" w:hAnsi="Times New Roman"/>
          <w:noProof/>
          <w:sz w:val="24"/>
        </w:rPr>
        <w:t xml:space="preserve"> и покрива по-конкретно дела на Обединеното кралство от неизпълнените поети задължения отпреди 2021 г., които трябва да бъдат платени през 2024 г., както и дела на Обединеното кралство от задълженията на Съюза (като например пенсии) и условните финансови задължения. Общата вноска на Обединеното кралство включва също така дължимите на Обединеното кралство суми, свързани с корекции на собствените ресурси за финансовите години до 2021 г. </w:t>
      </w:r>
    </w:p>
    <w:p w14:paraId="212DB40E" w14:textId="77777777" w:rsidR="00D42D6E" w:rsidRPr="006A6461" w:rsidRDefault="00D42D6E" w:rsidP="00D42D6E">
      <w:pPr>
        <w:spacing w:before="120" w:after="120"/>
        <w:jc w:val="both"/>
        <w:rPr>
          <w:rFonts w:ascii="Times New Roman" w:hAnsi="Times New Roman" w:cs="Times New Roman"/>
          <w:noProof/>
          <w:sz w:val="24"/>
          <w:szCs w:val="24"/>
        </w:rPr>
      </w:pPr>
      <w:r>
        <w:rPr>
          <w:rFonts w:ascii="Times New Roman" w:hAnsi="Times New Roman"/>
          <w:noProof/>
          <w:sz w:val="24"/>
        </w:rPr>
        <w:t>Вноската на Обединеното кралство се основава на дела на Обединеното кралство</w:t>
      </w:r>
      <w:r w:rsidRPr="006A6461">
        <w:rPr>
          <w:rFonts w:ascii="Times New Roman" w:hAnsi="Times New Roman" w:cs="Times New Roman"/>
          <w:noProof/>
          <w:vertAlign w:val="superscript"/>
        </w:rPr>
        <w:footnoteReference w:id="14"/>
      </w:r>
      <w:r>
        <w:rPr>
          <w:rFonts w:ascii="Times New Roman" w:hAnsi="Times New Roman"/>
          <w:noProof/>
          <w:sz w:val="24"/>
        </w:rPr>
        <w:t>, който се изчислява като съотношението между собствените ресурси, предоставени от Обединеното кралство през периода 2014—2020 г., и собствените ресурси, предоставени през този период от всички държави членки, включително Обединеното кралство. Делът на Обединеното кралство беше коригиран през 2022 г. в съответствие с член 139 от Споразумението за оттегляне. Окончателният дял на Обединеното кралство е определен на 12,431681219587700 %.</w:t>
      </w:r>
    </w:p>
    <w:p w14:paraId="71614CBB" w14:textId="712C8E03" w:rsidR="00D42D6E" w:rsidRPr="006A6461" w:rsidRDefault="00D42D6E" w:rsidP="00D42D6E">
      <w:pPr>
        <w:spacing w:before="120" w:after="120"/>
        <w:jc w:val="both"/>
        <w:rPr>
          <w:rFonts w:ascii="Times New Roman" w:hAnsi="Times New Roman" w:cs="Times New Roman"/>
          <w:noProof/>
          <w:sz w:val="24"/>
          <w:szCs w:val="24"/>
        </w:rPr>
      </w:pPr>
      <w:r>
        <w:rPr>
          <w:rFonts w:ascii="Times New Roman" w:hAnsi="Times New Roman"/>
          <w:noProof/>
          <w:sz w:val="24"/>
        </w:rPr>
        <w:t xml:space="preserve">В таблицата по-долу е представена актуализираната вноска на Обединеното кралство в бюджета за 2024 г. Тя включва елементите, които Обединеното кралство вече е платило през периода януари—май 2024 г. като част от фактурата от септември 2023 г., елементите, включени във фактурата от април 2024 г., и прогнозите за известните на този етап елементи, които ще бъдат включени във фактурата от септември 2024 г. В резултат на актуализацията вноската на Обединеното кралство е значително по-ниска в сравнение с прогнозата, включена в бюджета за 2024 г., главно поради недостатъчно изпълнение на RAL във връзка с Брексит през 2023 г. и докладваните суми за условните задължения, нетните финансови корекции и глобите. Преразгледаният размер на вноската на Обединеното кралство, включен в ПКБ 4/2024, е изчислен, като са взети предвид условията за плащане, посочени в член 148 от Споразумението за оттегляне. </w:t>
      </w:r>
    </w:p>
    <w:p w14:paraId="3CC9A55C" w14:textId="6068866E" w:rsidR="00D42D6E" w:rsidRPr="006A6461" w:rsidRDefault="1A45DA5A" w:rsidP="00D42D6E">
      <w:pPr>
        <w:spacing w:before="120" w:after="120"/>
        <w:jc w:val="both"/>
        <w:rPr>
          <w:rFonts w:ascii="Times New Roman" w:hAnsi="Times New Roman" w:cs="Times New Roman"/>
          <w:noProof/>
          <w:sz w:val="24"/>
          <w:szCs w:val="24"/>
        </w:rPr>
      </w:pPr>
      <w:r>
        <w:rPr>
          <w:rFonts w:ascii="Times New Roman" w:hAnsi="Times New Roman"/>
          <w:noProof/>
          <w:sz w:val="24"/>
        </w:rPr>
        <w:t>Поради това се предлага да се актуализира съответно прогнозата, включена в бюджета за 2024 г. Като цяло това ще доведе до намаляване на прогнозната вноска на Обединеното кралство в бюджета за 2024 г. с 1 519 милиона евро, от които 1 518 милиона евро са общи приходи.</w:t>
      </w:r>
    </w:p>
    <w:p w14:paraId="010E2925" w14:textId="4140E7F8" w:rsidR="007A4316" w:rsidRPr="006A6461" w:rsidRDefault="007A4316" w:rsidP="007A4316">
      <w:pPr>
        <w:spacing w:before="120" w:after="120" w:line="240" w:lineRule="auto"/>
        <w:jc w:val="both"/>
        <w:rPr>
          <w:rFonts w:ascii="Times New Roman" w:hAnsi="Times New Roman" w:cs="Times New Roman"/>
          <w:noProof/>
          <w:sz w:val="24"/>
          <w:szCs w:val="24"/>
        </w:rPr>
      </w:pPr>
    </w:p>
    <w:p w14:paraId="174D13BC" w14:textId="69A1493C" w:rsidR="007A4316" w:rsidRPr="006A6461" w:rsidRDefault="12324766" w:rsidP="44F94725">
      <w:pPr>
        <w:jc w:val="center"/>
        <w:rPr>
          <w:rFonts w:ascii="Times New Roman" w:hAnsi="Times New Roman" w:cs="Times New Roman"/>
          <w:b/>
          <w:bCs/>
          <w:noProof/>
        </w:rPr>
      </w:pPr>
      <w:r>
        <w:rPr>
          <w:rFonts w:ascii="Times New Roman" w:hAnsi="Times New Roman"/>
          <w:b/>
          <w:noProof/>
        </w:rPr>
        <w:t>Актуализирана вноска на Обединеното кралство за 2024 г. (в EUR)</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977"/>
        <w:gridCol w:w="2126"/>
      </w:tblGrid>
      <w:tr w:rsidR="00D42D6E" w:rsidRPr="006A6461" w14:paraId="365709C9" w14:textId="77777777" w:rsidTr="337A4174">
        <w:trPr>
          <w:trHeight w:val="615"/>
          <w:tblHeader/>
          <w:jc w:val="center"/>
        </w:trPr>
        <w:tc>
          <w:tcPr>
            <w:tcW w:w="5245" w:type="dxa"/>
            <w:shd w:val="clear" w:color="auto" w:fill="D9D9D9" w:themeFill="background1" w:themeFillShade="D9"/>
            <w:hideMark/>
          </w:tcPr>
          <w:p w14:paraId="3806B652" w14:textId="77777777" w:rsidR="00D42D6E" w:rsidRPr="006A6461" w:rsidRDefault="00D42D6E" w:rsidP="003D7759">
            <w:pPr>
              <w:jc w:val="both"/>
              <w:rPr>
                <w:rFonts w:ascii="Times New Roman" w:hAnsi="Times New Roman" w:cs="Times New Roman"/>
                <w:b/>
                <w:bCs/>
                <w:noProof/>
                <w:sz w:val="20"/>
                <w:szCs w:val="20"/>
              </w:rPr>
            </w:pPr>
            <w:r>
              <w:rPr>
                <w:rFonts w:ascii="Times New Roman" w:hAnsi="Times New Roman"/>
                <w:b/>
                <w:noProof/>
                <w:sz w:val="20"/>
              </w:rPr>
              <w:t> </w:t>
            </w:r>
          </w:p>
        </w:tc>
        <w:tc>
          <w:tcPr>
            <w:tcW w:w="2977" w:type="dxa"/>
            <w:shd w:val="clear" w:color="auto" w:fill="D9D9D9" w:themeFill="background1" w:themeFillShade="D9"/>
            <w:hideMark/>
          </w:tcPr>
          <w:p w14:paraId="748D4572" w14:textId="77777777" w:rsidR="00D42D6E" w:rsidRPr="006A6461" w:rsidRDefault="00D42D6E" w:rsidP="003D7759">
            <w:pPr>
              <w:spacing w:after="0"/>
              <w:jc w:val="center"/>
              <w:rPr>
                <w:rFonts w:ascii="Times New Roman" w:hAnsi="Times New Roman" w:cs="Times New Roman"/>
                <w:b/>
                <w:bCs/>
                <w:noProof/>
                <w:sz w:val="20"/>
                <w:szCs w:val="20"/>
              </w:rPr>
            </w:pPr>
            <w:r>
              <w:rPr>
                <w:rFonts w:ascii="Times New Roman" w:hAnsi="Times New Roman"/>
                <w:b/>
                <w:noProof/>
                <w:sz w:val="20"/>
              </w:rPr>
              <w:t>Член от Споразумението за оттегляне</w:t>
            </w:r>
          </w:p>
        </w:tc>
        <w:tc>
          <w:tcPr>
            <w:tcW w:w="2126" w:type="dxa"/>
            <w:shd w:val="clear" w:color="auto" w:fill="D9D9D9" w:themeFill="background1" w:themeFillShade="D9"/>
            <w:hideMark/>
          </w:tcPr>
          <w:p w14:paraId="6AAE2890" w14:textId="2B478968" w:rsidR="00D42D6E" w:rsidRPr="006A6461" w:rsidRDefault="00D42D6E" w:rsidP="003D7759">
            <w:pPr>
              <w:spacing w:after="0"/>
              <w:jc w:val="center"/>
              <w:rPr>
                <w:rFonts w:ascii="Times New Roman" w:hAnsi="Times New Roman" w:cs="Times New Roman"/>
                <w:b/>
                <w:bCs/>
                <w:noProof/>
                <w:sz w:val="20"/>
                <w:szCs w:val="20"/>
              </w:rPr>
            </w:pPr>
            <w:r>
              <w:rPr>
                <w:rFonts w:ascii="Times New Roman" w:hAnsi="Times New Roman"/>
                <w:b/>
                <w:noProof/>
                <w:sz w:val="20"/>
              </w:rPr>
              <w:t>2024 г.</w:t>
            </w:r>
          </w:p>
        </w:tc>
      </w:tr>
      <w:tr w:rsidR="00D42D6E" w:rsidRPr="006A6461" w14:paraId="4359605D" w14:textId="77777777" w:rsidTr="337A4174">
        <w:trPr>
          <w:trHeight w:val="80"/>
          <w:jc w:val="center"/>
        </w:trPr>
        <w:tc>
          <w:tcPr>
            <w:tcW w:w="5245" w:type="dxa"/>
            <w:hideMark/>
          </w:tcPr>
          <w:p w14:paraId="441F25F5" w14:textId="726F28B4" w:rsidR="00D42D6E" w:rsidRPr="006A6461" w:rsidRDefault="00D42D6E" w:rsidP="003D7759">
            <w:pPr>
              <w:spacing w:after="0"/>
              <w:jc w:val="both"/>
              <w:rPr>
                <w:rFonts w:ascii="Times New Roman" w:hAnsi="Times New Roman" w:cs="Times New Roman"/>
                <w:b/>
                <w:bCs/>
                <w:noProof/>
                <w:sz w:val="20"/>
                <w:szCs w:val="20"/>
              </w:rPr>
            </w:pPr>
            <w:r>
              <w:rPr>
                <w:rFonts w:ascii="Times New Roman" w:hAnsi="Times New Roman"/>
                <w:b/>
                <w:noProof/>
                <w:sz w:val="20"/>
              </w:rPr>
              <w:t>Общ размер на вноската на Обединеното кралство за 2024 г., от който:</w:t>
            </w:r>
          </w:p>
        </w:tc>
        <w:tc>
          <w:tcPr>
            <w:tcW w:w="2977" w:type="dxa"/>
            <w:noWrap/>
            <w:hideMark/>
          </w:tcPr>
          <w:p w14:paraId="79FFFBD8" w14:textId="77777777" w:rsidR="00D42D6E" w:rsidRPr="006A6461" w:rsidRDefault="00D42D6E" w:rsidP="003D7759">
            <w:pPr>
              <w:spacing w:after="0"/>
              <w:jc w:val="both"/>
              <w:rPr>
                <w:rFonts w:ascii="Times New Roman" w:hAnsi="Times New Roman" w:cs="Times New Roman"/>
                <w:b/>
                <w:bCs/>
                <w:noProof/>
                <w:sz w:val="20"/>
                <w:szCs w:val="20"/>
              </w:rPr>
            </w:pPr>
          </w:p>
        </w:tc>
        <w:tc>
          <w:tcPr>
            <w:tcW w:w="2126" w:type="dxa"/>
            <w:noWrap/>
          </w:tcPr>
          <w:p w14:paraId="6C6D977C" w14:textId="5AFEAF25" w:rsidR="00D42D6E" w:rsidRPr="006A6461" w:rsidRDefault="00C02763" w:rsidP="003D7759">
            <w:pPr>
              <w:spacing w:after="0"/>
              <w:jc w:val="right"/>
              <w:rPr>
                <w:rFonts w:ascii="Times New Roman" w:hAnsi="Times New Roman" w:cs="Times New Roman"/>
                <w:b/>
                <w:noProof/>
                <w:sz w:val="20"/>
                <w:szCs w:val="20"/>
              </w:rPr>
            </w:pPr>
            <w:r>
              <w:rPr>
                <w:rFonts w:ascii="Times New Roman" w:hAnsi="Times New Roman"/>
                <w:b/>
                <w:noProof/>
                <w:sz w:val="20"/>
              </w:rPr>
              <w:t>2 383 779 493</w:t>
            </w:r>
          </w:p>
        </w:tc>
      </w:tr>
      <w:tr w:rsidR="00D42D6E" w:rsidRPr="006A6461" w14:paraId="030C2F55" w14:textId="77777777" w:rsidTr="337A4174">
        <w:trPr>
          <w:trHeight w:val="80"/>
          <w:jc w:val="center"/>
        </w:trPr>
        <w:tc>
          <w:tcPr>
            <w:tcW w:w="5245" w:type="dxa"/>
            <w:noWrap/>
            <w:hideMark/>
          </w:tcPr>
          <w:p w14:paraId="56D2B46A" w14:textId="77777777" w:rsidR="00D42D6E" w:rsidRPr="006A6461" w:rsidRDefault="00D42D6E" w:rsidP="003D7759">
            <w:pPr>
              <w:spacing w:after="0"/>
              <w:jc w:val="both"/>
              <w:rPr>
                <w:rFonts w:ascii="Times New Roman" w:hAnsi="Times New Roman" w:cs="Times New Roman"/>
                <w:b/>
                <w:bCs/>
                <w:iCs/>
                <w:noProof/>
                <w:sz w:val="20"/>
                <w:szCs w:val="20"/>
              </w:rPr>
            </w:pPr>
            <w:r>
              <w:rPr>
                <w:rFonts w:ascii="Times New Roman" w:hAnsi="Times New Roman"/>
                <w:b/>
                <w:noProof/>
                <w:sz w:val="20"/>
              </w:rPr>
              <w:t>1. RAL преди 2021 г. (включително нетните финансови корекции) — дължими за плащане през 2023 г.</w:t>
            </w:r>
          </w:p>
        </w:tc>
        <w:tc>
          <w:tcPr>
            <w:tcW w:w="2977" w:type="dxa"/>
            <w:noWrap/>
            <w:hideMark/>
          </w:tcPr>
          <w:p w14:paraId="6C601E2C" w14:textId="77777777" w:rsidR="00D42D6E" w:rsidRPr="006A6461" w:rsidRDefault="00D42D6E" w:rsidP="003D7759">
            <w:pPr>
              <w:spacing w:after="0"/>
              <w:jc w:val="center"/>
              <w:rPr>
                <w:rFonts w:ascii="Times New Roman" w:hAnsi="Times New Roman" w:cs="Times New Roman"/>
                <w:iCs/>
                <w:noProof/>
                <w:sz w:val="20"/>
                <w:szCs w:val="20"/>
              </w:rPr>
            </w:pPr>
            <w:r>
              <w:rPr>
                <w:rFonts w:ascii="Times New Roman" w:hAnsi="Times New Roman"/>
                <w:noProof/>
                <w:sz w:val="20"/>
              </w:rPr>
              <w:t>Член 140</w:t>
            </w:r>
          </w:p>
        </w:tc>
        <w:tc>
          <w:tcPr>
            <w:tcW w:w="2126" w:type="dxa"/>
            <w:noWrap/>
          </w:tcPr>
          <w:p w14:paraId="3E726BC1" w14:textId="77777777" w:rsidR="00D42D6E" w:rsidRPr="006A6461" w:rsidRDefault="00D42D6E" w:rsidP="003D7759">
            <w:pPr>
              <w:spacing w:after="0"/>
              <w:jc w:val="right"/>
              <w:rPr>
                <w:rFonts w:ascii="Times New Roman" w:hAnsi="Times New Roman" w:cs="Times New Roman"/>
                <w:iCs/>
                <w:noProof/>
                <w:sz w:val="20"/>
                <w:szCs w:val="20"/>
              </w:rPr>
            </w:pPr>
          </w:p>
          <w:p w14:paraId="469CA900" w14:textId="0F2376F4" w:rsidR="00D42D6E" w:rsidRPr="006A6461" w:rsidRDefault="00C02763" w:rsidP="003D7759">
            <w:pPr>
              <w:spacing w:after="0"/>
              <w:jc w:val="right"/>
              <w:rPr>
                <w:rFonts w:ascii="Times New Roman" w:hAnsi="Times New Roman" w:cs="Times New Roman"/>
                <w:iCs/>
                <w:noProof/>
                <w:sz w:val="20"/>
                <w:szCs w:val="20"/>
              </w:rPr>
            </w:pPr>
            <w:r>
              <w:rPr>
                <w:rFonts w:ascii="Times New Roman" w:hAnsi="Times New Roman"/>
                <w:noProof/>
                <w:sz w:val="20"/>
              </w:rPr>
              <w:t>3 752 776 625</w:t>
            </w:r>
          </w:p>
        </w:tc>
      </w:tr>
      <w:tr w:rsidR="00D42D6E" w:rsidRPr="006A6461" w14:paraId="2060142B" w14:textId="77777777" w:rsidTr="337A4174">
        <w:trPr>
          <w:trHeight w:val="80"/>
          <w:jc w:val="center"/>
        </w:trPr>
        <w:tc>
          <w:tcPr>
            <w:tcW w:w="5245" w:type="dxa"/>
            <w:noWrap/>
            <w:hideMark/>
          </w:tcPr>
          <w:p w14:paraId="05808A8D" w14:textId="77777777" w:rsidR="00D42D6E" w:rsidRPr="006A6461" w:rsidRDefault="00D42D6E" w:rsidP="003D7759">
            <w:pPr>
              <w:spacing w:after="0"/>
              <w:jc w:val="both"/>
              <w:rPr>
                <w:rFonts w:ascii="Times New Roman" w:hAnsi="Times New Roman" w:cs="Times New Roman"/>
                <w:b/>
                <w:bCs/>
                <w:iCs/>
                <w:noProof/>
                <w:sz w:val="20"/>
                <w:szCs w:val="20"/>
              </w:rPr>
            </w:pPr>
            <w:r>
              <w:rPr>
                <w:rFonts w:ascii="Times New Roman" w:hAnsi="Times New Roman"/>
                <w:b/>
                <w:noProof/>
                <w:sz w:val="20"/>
              </w:rPr>
              <w:t xml:space="preserve">2. Задължения/пенсии на Съюза* </w:t>
            </w:r>
          </w:p>
        </w:tc>
        <w:tc>
          <w:tcPr>
            <w:tcW w:w="2977" w:type="dxa"/>
            <w:noWrap/>
            <w:hideMark/>
          </w:tcPr>
          <w:p w14:paraId="2F4FFF52" w14:textId="77777777" w:rsidR="00D42D6E" w:rsidRPr="006A6461" w:rsidRDefault="00D42D6E" w:rsidP="003D7759">
            <w:pPr>
              <w:spacing w:after="0"/>
              <w:jc w:val="center"/>
              <w:rPr>
                <w:rFonts w:ascii="Times New Roman" w:hAnsi="Times New Roman" w:cs="Times New Roman"/>
                <w:iCs/>
                <w:noProof/>
                <w:sz w:val="20"/>
                <w:szCs w:val="20"/>
              </w:rPr>
            </w:pPr>
            <w:r>
              <w:rPr>
                <w:rFonts w:ascii="Times New Roman" w:hAnsi="Times New Roman"/>
                <w:noProof/>
                <w:sz w:val="20"/>
              </w:rPr>
              <w:t>Член 142</w:t>
            </w:r>
          </w:p>
        </w:tc>
        <w:tc>
          <w:tcPr>
            <w:tcW w:w="2126" w:type="dxa"/>
            <w:noWrap/>
          </w:tcPr>
          <w:p w14:paraId="2B02AAD2" w14:textId="5246CEA1" w:rsidR="00D42D6E" w:rsidRPr="006A6461" w:rsidRDefault="00F67550" w:rsidP="003D7759">
            <w:pPr>
              <w:spacing w:after="0"/>
              <w:jc w:val="right"/>
              <w:rPr>
                <w:rFonts w:ascii="Times New Roman" w:hAnsi="Times New Roman" w:cs="Times New Roman"/>
                <w:iCs/>
                <w:noProof/>
                <w:sz w:val="20"/>
                <w:szCs w:val="20"/>
              </w:rPr>
            </w:pPr>
            <w:r>
              <w:rPr>
                <w:rFonts w:ascii="Times New Roman" w:hAnsi="Times New Roman"/>
                <w:noProof/>
                <w:sz w:val="20"/>
              </w:rPr>
              <w:t>309 083 761</w:t>
            </w:r>
          </w:p>
        </w:tc>
      </w:tr>
      <w:tr w:rsidR="00D42D6E" w:rsidRPr="006A6461" w14:paraId="66CE7052" w14:textId="77777777" w:rsidTr="337A4174">
        <w:trPr>
          <w:trHeight w:val="80"/>
          <w:jc w:val="center"/>
        </w:trPr>
        <w:tc>
          <w:tcPr>
            <w:tcW w:w="5245" w:type="dxa"/>
            <w:hideMark/>
          </w:tcPr>
          <w:p w14:paraId="20F27799" w14:textId="77777777" w:rsidR="00D42D6E" w:rsidRPr="006A6461" w:rsidRDefault="00D42D6E" w:rsidP="003D7759">
            <w:pPr>
              <w:spacing w:after="0"/>
              <w:jc w:val="both"/>
              <w:rPr>
                <w:rFonts w:ascii="Times New Roman" w:hAnsi="Times New Roman" w:cs="Times New Roman"/>
                <w:b/>
                <w:bCs/>
                <w:iCs/>
                <w:noProof/>
                <w:sz w:val="20"/>
                <w:szCs w:val="20"/>
              </w:rPr>
            </w:pPr>
            <w:r>
              <w:rPr>
                <w:rFonts w:ascii="Times New Roman" w:hAnsi="Times New Roman"/>
                <w:b/>
                <w:noProof/>
                <w:sz w:val="20"/>
              </w:rPr>
              <w:t>3. Корекции на собствените ресурси, от които:</w:t>
            </w:r>
          </w:p>
        </w:tc>
        <w:tc>
          <w:tcPr>
            <w:tcW w:w="2977" w:type="dxa"/>
            <w:noWrap/>
            <w:hideMark/>
          </w:tcPr>
          <w:p w14:paraId="10E2ECBC" w14:textId="77777777" w:rsidR="00D42D6E" w:rsidRPr="006A6461" w:rsidRDefault="00D42D6E" w:rsidP="003D7759">
            <w:pPr>
              <w:spacing w:after="0"/>
              <w:jc w:val="both"/>
              <w:rPr>
                <w:rFonts w:ascii="Times New Roman" w:hAnsi="Times New Roman" w:cs="Times New Roman"/>
                <w:noProof/>
                <w:sz w:val="20"/>
                <w:szCs w:val="20"/>
              </w:rPr>
            </w:pPr>
          </w:p>
        </w:tc>
        <w:tc>
          <w:tcPr>
            <w:tcW w:w="2126" w:type="dxa"/>
            <w:noWrap/>
          </w:tcPr>
          <w:p w14:paraId="6CA09058" w14:textId="0C6AD547" w:rsidR="00D42D6E" w:rsidRPr="006A6461" w:rsidRDefault="00DE2232" w:rsidP="003D7759">
            <w:pPr>
              <w:spacing w:after="0"/>
              <w:jc w:val="right"/>
              <w:rPr>
                <w:rFonts w:ascii="Times New Roman" w:hAnsi="Times New Roman" w:cs="Times New Roman"/>
                <w:noProof/>
                <w:sz w:val="20"/>
                <w:szCs w:val="20"/>
              </w:rPr>
            </w:pPr>
            <w:r>
              <w:rPr>
                <w:rFonts w:ascii="Times New Roman" w:hAnsi="Times New Roman"/>
                <w:noProof/>
                <w:sz w:val="20"/>
              </w:rPr>
              <w:t>-1 327 709 221</w:t>
            </w:r>
          </w:p>
        </w:tc>
      </w:tr>
      <w:tr w:rsidR="00D42D6E" w:rsidRPr="006A6461" w14:paraId="27C0E02E" w14:textId="77777777" w:rsidTr="337A4174">
        <w:trPr>
          <w:trHeight w:val="80"/>
          <w:jc w:val="center"/>
        </w:trPr>
        <w:tc>
          <w:tcPr>
            <w:tcW w:w="5245" w:type="dxa"/>
            <w:hideMark/>
          </w:tcPr>
          <w:p w14:paraId="18B7F50C" w14:textId="77777777" w:rsidR="00D42D6E" w:rsidRPr="006A6461" w:rsidRDefault="00D42D6E" w:rsidP="003D7759">
            <w:pPr>
              <w:spacing w:after="0"/>
              <w:jc w:val="right"/>
              <w:rPr>
                <w:rFonts w:ascii="Times New Roman" w:hAnsi="Times New Roman" w:cs="Times New Roman"/>
                <w:i/>
                <w:iCs/>
                <w:noProof/>
                <w:sz w:val="20"/>
                <w:szCs w:val="20"/>
              </w:rPr>
            </w:pPr>
            <w:r>
              <w:rPr>
                <w:rFonts w:ascii="Times New Roman" w:hAnsi="Times New Roman"/>
                <w:i/>
                <w:noProof/>
                <w:sz w:val="20"/>
              </w:rPr>
              <w:t>3.1 Излишък/дефицит от 2020 г.</w:t>
            </w:r>
          </w:p>
        </w:tc>
        <w:tc>
          <w:tcPr>
            <w:tcW w:w="2977" w:type="dxa"/>
            <w:noWrap/>
            <w:hideMark/>
          </w:tcPr>
          <w:p w14:paraId="64409F7B" w14:textId="77777777" w:rsidR="00D42D6E" w:rsidRPr="006A6461" w:rsidRDefault="00D42D6E" w:rsidP="003D7759">
            <w:pPr>
              <w:spacing w:after="0"/>
              <w:jc w:val="center"/>
              <w:rPr>
                <w:rFonts w:ascii="Times New Roman" w:hAnsi="Times New Roman" w:cs="Times New Roman"/>
                <w:noProof/>
                <w:sz w:val="20"/>
                <w:szCs w:val="20"/>
              </w:rPr>
            </w:pPr>
            <w:r>
              <w:rPr>
                <w:rFonts w:ascii="Times New Roman" w:hAnsi="Times New Roman"/>
                <w:noProof/>
                <w:sz w:val="20"/>
              </w:rPr>
              <w:t>Член 136, параграф 3, буква а)</w:t>
            </w:r>
          </w:p>
        </w:tc>
        <w:tc>
          <w:tcPr>
            <w:tcW w:w="2126" w:type="dxa"/>
            <w:noWrap/>
          </w:tcPr>
          <w:p w14:paraId="1E330E86" w14:textId="77777777" w:rsidR="00D42D6E" w:rsidRPr="006A6461" w:rsidRDefault="00D42D6E" w:rsidP="003D7759">
            <w:pPr>
              <w:spacing w:after="0"/>
              <w:jc w:val="right"/>
              <w:rPr>
                <w:rFonts w:ascii="Times New Roman" w:hAnsi="Times New Roman" w:cs="Times New Roman"/>
                <w:i/>
                <w:noProof/>
                <w:sz w:val="20"/>
                <w:szCs w:val="20"/>
              </w:rPr>
            </w:pPr>
            <w:r>
              <w:rPr>
                <w:rFonts w:ascii="Times New Roman" w:hAnsi="Times New Roman"/>
                <w:i/>
                <w:noProof/>
                <w:sz w:val="20"/>
              </w:rPr>
              <w:t>Не се прилага</w:t>
            </w:r>
          </w:p>
        </w:tc>
      </w:tr>
      <w:tr w:rsidR="00D42D6E" w:rsidRPr="006A6461" w14:paraId="7A227C50" w14:textId="77777777" w:rsidTr="337A4174">
        <w:trPr>
          <w:trHeight w:val="80"/>
          <w:jc w:val="center"/>
        </w:trPr>
        <w:tc>
          <w:tcPr>
            <w:tcW w:w="5245" w:type="dxa"/>
            <w:hideMark/>
          </w:tcPr>
          <w:p w14:paraId="2D6512B6" w14:textId="77777777" w:rsidR="00D42D6E" w:rsidRPr="006A6461" w:rsidRDefault="00D42D6E" w:rsidP="003D7759">
            <w:pPr>
              <w:spacing w:after="0"/>
              <w:jc w:val="right"/>
              <w:rPr>
                <w:rFonts w:ascii="Times New Roman" w:hAnsi="Times New Roman" w:cs="Times New Roman"/>
                <w:i/>
                <w:iCs/>
                <w:noProof/>
                <w:sz w:val="20"/>
                <w:szCs w:val="20"/>
              </w:rPr>
            </w:pPr>
            <w:r>
              <w:rPr>
                <w:rFonts w:ascii="Times New Roman" w:hAnsi="Times New Roman"/>
                <w:i/>
                <w:noProof/>
                <w:sz w:val="20"/>
              </w:rPr>
              <w:t>3.2 Актуализации на корекцията за Обединеното кралство (2018—2019 г.)</w:t>
            </w:r>
          </w:p>
        </w:tc>
        <w:tc>
          <w:tcPr>
            <w:tcW w:w="2977" w:type="dxa"/>
            <w:noWrap/>
            <w:hideMark/>
          </w:tcPr>
          <w:p w14:paraId="198BAD55" w14:textId="77777777" w:rsidR="00D42D6E" w:rsidRPr="006A6461" w:rsidRDefault="00D42D6E" w:rsidP="003D7759">
            <w:pPr>
              <w:spacing w:after="0"/>
              <w:jc w:val="center"/>
              <w:rPr>
                <w:rFonts w:ascii="Times New Roman" w:hAnsi="Times New Roman" w:cs="Times New Roman"/>
                <w:noProof/>
                <w:sz w:val="20"/>
                <w:szCs w:val="20"/>
              </w:rPr>
            </w:pPr>
            <w:r>
              <w:rPr>
                <w:rFonts w:ascii="Times New Roman" w:hAnsi="Times New Roman"/>
                <w:noProof/>
                <w:sz w:val="20"/>
              </w:rPr>
              <w:t>Член 136</w:t>
            </w:r>
          </w:p>
        </w:tc>
        <w:tc>
          <w:tcPr>
            <w:tcW w:w="2126" w:type="dxa"/>
            <w:noWrap/>
          </w:tcPr>
          <w:p w14:paraId="1E8547DC" w14:textId="091BDAA7" w:rsidR="00D42D6E" w:rsidRPr="006A6461" w:rsidRDefault="00614EA4" w:rsidP="003D7759">
            <w:pPr>
              <w:spacing w:after="0"/>
              <w:jc w:val="right"/>
              <w:rPr>
                <w:rFonts w:ascii="Times New Roman" w:hAnsi="Times New Roman" w:cs="Times New Roman"/>
                <w:i/>
                <w:noProof/>
                <w:sz w:val="20"/>
                <w:szCs w:val="20"/>
              </w:rPr>
            </w:pPr>
            <w:r>
              <w:rPr>
                <w:rFonts w:ascii="Times New Roman" w:hAnsi="Times New Roman"/>
                <w:i/>
                <w:noProof/>
                <w:sz w:val="20"/>
              </w:rPr>
              <w:t>Не се прилага</w:t>
            </w:r>
          </w:p>
        </w:tc>
      </w:tr>
      <w:tr w:rsidR="00D42D6E" w:rsidRPr="006A6461" w14:paraId="3DC2E203" w14:textId="77777777" w:rsidTr="337A4174">
        <w:trPr>
          <w:trHeight w:val="80"/>
          <w:jc w:val="center"/>
        </w:trPr>
        <w:tc>
          <w:tcPr>
            <w:tcW w:w="5245" w:type="dxa"/>
            <w:hideMark/>
          </w:tcPr>
          <w:p w14:paraId="18080E83" w14:textId="77777777" w:rsidR="00D42D6E" w:rsidRPr="006A6461" w:rsidRDefault="00D42D6E" w:rsidP="003D7759">
            <w:pPr>
              <w:spacing w:after="0"/>
              <w:jc w:val="right"/>
              <w:rPr>
                <w:rFonts w:ascii="Times New Roman" w:hAnsi="Times New Roman" w:cs="Times New Roman"/>
                <w:i/>
                <w:iCs/>
                <w:noProof/>
                <w:sz w:val="20"/>
                <w:szCs w:val="20"/>
              </w:rPr>
            </w:pPr>
            <w:r>
              <w:rPr>
                <w:rFonts w:ascii="Times New Roman" w:hAnsi="Times New Roman"/>
                <w:i/>
                <w:noProof/>
                <w:sz w:val="20"/>
              </w:rPr>
              <w:t>3.3. ДДС и БНД</w:t>
            </w:r>
          </w:p>
        </w:tc>
        <w:tc>
          <w:tcPr>
            <w:tcW w:w="2977" w:type="dxa"/>
            <w:noWrap/>
            <w:hideMark/>
          </w:tcPr>
          <w:p w14:paraId="08217E67" w14:textId="77777777" w:rsidR="00D42D6E" w:rsidRPr="006A6461" w:rsidRDefault="00D42D6E" w:rsidP="003D7759">
            <w:pPr>
              <w:spacing w:after="0"/>
              <w:jc w:val="center"/>
              <w:rPr>
                <w:rFonts w:ascii="Times New Roman" w:hAnsi="Times New Roman" w:cs="Times New Roman"/>
                <w:noProof/>
                <w:sz w:val="20"/>
                <w:szCs w:val="20"/>
              </w:rPr>
            </w:pPr>
            <w:r>
              <w:rPr>
                <w:rFonts w:ascii="Times New Roman" w:hAnsi="Times New Roman"/>
                <w:noProof/>
                <w:sz w:val="20"/>
              </w:rPr>
              <w:t>Член 136</w:t>
            </w:r>
          </w:p>
        </w:tc>
        <w:tc>
          <w:tcPr>
            <w:tcW w:w="2126" w:type="dxa"/>
            <w:noWrap/>
          </w:tcPr>
          <w:p w14:paraId="07FADB7C" w14:textId="4A902DA6" w:rsidR="00D42D6E" w:rsidRPr="006A6461" w:rsidRDefault="00614EA4" w:rsidP="003D7759">
            <w:pPr>
              <w:spacing w:after="0"/>
              <w:jc w:val="right"/>
              <w:rPr>
                <w:rFonts w:ascii="Times New Roman" w:hAnsi="Times New Roman" w:cs="Times New Roman"/>
                <w:i/>
                <w:noProof/>
                <w:sz w:val="20"/>
                <w:szCs w:val="20"/>
              </w:rPr>
            </w:pPr>
            <w:r>
              <w:rPr>
                <w:rFonts w:ascii="Times New Roman" w:hAnsi="Times New Roman"/>
                <w:i/>
                <w:noProof/>
                <w:sz w:val="20"/>
              </w:rPr>
              <w:t>-1 408 455 094</w:t>
            </w:r>
          </w:p>
        </w:tc>
      </w:tr>
      <w:tr w:rsidR="00D42D6E" w:rsidRPr="006A6461" w14:paraId="54D5D4A0" w14:textId="77777777" w:rsidTr="337A4174">
        <w:trPr>
          <w:trHeight w:val="80"/>
          <w:jc w:val="center"/>
        </w:trPr>
        <w:tc>
          <w:tcPr>
            <w:tcW w:w="5245" w:type="dxa"/>
            <w:noWrap/>
            <w:hideMark/>
          </w:tcPr>
          <w:p w14:paraId="78656F3E" w14:textId="2D797DFF" w:rsidR="00D42D6E" w:rsidRPr="006A6461" w:rsidRDefault="00D42D6E" w:rsidP="003D7759">
            <w:pPr>
              <w:spacing w:after="0"/>
              <w:jc w:val="right"/>
              <w:rPr>
                <w:rFonts w:ascii="Times New Roman" w:hAnsi="Times New Roman" w:cs="Times New Roman"/>
                <w:i/>
                <w:iCs/>
                <w:noProof/>
                <w:sz w:val="20"/>
                <w:szCs w:val="20"/>
              </w:rPr>
            </w:pPr>
            <w:r>
              <w:rPr>
                <w:rFonts w:ascii="Times New Roman" w:hAnsi="Times New Roman"/>
                <w:i/>
                <w:noProof/>
                <w:sz w:val="20"/>
              </w:rPr>
              <w:t>3.4. ТСР</w:t>
            </w:r>
          </w:p>
        </w:tc>
        <w:tc>
          <w:tcPr>
            <w:tcW w:w="2977" w:type="dxa"/>
            <w:noWrap/>
            <w:hideMark/>
          </w:tcPr>
          <w:p w14:paraId="66699BC7" w14:textId="77777777" w:rsidR="00D42D6E" w:rsidRPr="006A6461" w:rsidRDefault="00D42D6E" w:rsidP="003D7759">
            <w:pPr>
              <w:spacing w:after="0"/>
              <w:jc w:val="center"/>
              <w:rPr>
                <w:rFonts w:ascii="Times New Roman" w:hAnsi="Times New Roman" w:cs="Times New Roman"/>
                <w:noProof/>
                <w:sz w:val="20"/>
                <w:szCs w:val="20"/>
              </w:rPr>
            </w:pPr>
            <w:r>
              <w:rPr>
                <w:rFonts w:ascii="Times New Roman" w:hAnsi="Times New Roman"/>
                <w:noProof/>
                <w:sz w:val="20"/>
              </w:rPr>
              <w:t>Член 136, член 140, параграф 4</w:t>
            </w:r>
          </w:p>
        </w:tc>
        <w:tc>
          <w:tcPr>
            <w:tcW w:w="2126" w:type="dxa"/>
            <w:noWrap/>
          </w:tcPr>
          <w:p w14:paraId="7C89FDAD" w14:textId="65C26E83" w:rsidR="00D42D6E" w:rsidRPr="006A6461" w:rsidRDefault="000C4CE9" w:rsidP="003D7759">
            <w:pPr>
              <w:spacing w:after="0"/>
              <w:jc w:val="right"/>
              <w:rPr>
                <w:rFonts w:ascii="Times New Roman" w:hAnsi="Times New Roman" w:cs="Times New Roman"/>
                <w:i/>
                <w:noProof/>
                <w:sz w:val="20"/>
                <w:szCs w:val="20"/>
              </w:rPr>
            </w:pPr>
            <w:r>
              <w:rPr>
                <w:rFonts w:ascii="Times New Roman" w:hAnsi="Times New Roman"/>
                <w:i/>
                <w:noProof/>
                <w:sz w:val="20"/>
              </w:rPr>
              <w:t>80 745 873</w:t>
            </w:r>
          </w:p>
        </w:tc>
      </w:tr>
      <w:tr w:rsidR="00D42D6E" w:rsidRPr="006A6461" w14:paraId="6E374E4C" w14:textId="77777777" w:rsidTr="337A4174">
        <w:trPr>
          <w:trHeight w:val="80"/>
          <w:jc w:val="center"/>
        </w:trPr>
        <w:tc>
          <w:tcPr>
            <w:tcW w:w="5245" w:type="dxa"/>
            <w:noWrap/>
            <w:hideMark/>
          </w:tcPr>
          <w:p w14:paraId="2A4AE4DA" w14:textId="77777777" w:rsidR="00D42D6E" w:rsidRPr="006A6461" w:rsidRDefault="00D42D6E" w:rsidP="003D7759">
            <w:pPr>
              <w:spacing w:after="0"/>
              <w:jc w:val="both"/>
              <w:rPr>
                <w:rFonts w:ascii="Times New Roman" w:hAnsi="Times New Roman" w:cs="Times New Roman"/>
                <w:b/>
                <w:bCs/>
                <w:iCs/>
                <w:noProof/>
                <w:sz w:val="20"/>
                <w:szCs w:val="20"/>
              </w:rPr>
            </w:pPr>
            <w:r>
              <w:rPr>
                <w:rFonts w:ascii="Times New Roman" w:hAnsi="Times New Roman"/>
                <w:b/>
                <w:noProof/>
                <w:sz w:val="20"/>
              </w:rPr>
              <w:t>4. Глоби</w:t>
            </w:r>
          </w:p>
        </w:tc>
        <w:tc>
          <w:tcPr>
            <w:tcW w:w="2977" w:type="dxa"/>
            <w:noWrap/>
            <w:hideMark/>
          </w:tcPr>
          <w:p w14:paraId="163A5A29" w14:textId="77777777" w:rsidR="00D42D6E" w:rsidRPr="006A6461" w:rsidRDefault="00D42D6E" w:rsidP="003D7759">
            <w:pPr>
              <w:spacing w:after="0"/>
              <w:jc w:val="center"/>
              <w:rPr>
                <w:rFonts w:ascii="Times New Roman" w:hAnsi="Times New Roman" w:cs="Times New Roman"/>
                <w:noProof/>
                <w:sz w:val="20"/>
                <w:szCs w:val="20"/>
              </w:rPr>
            </w:pPr>
            <w:r>
              <w:rPr>
                <w:rFonts w:ascii="Times New Roman" w:hAnsi="Times New Roman"/>
                <w:noProof/>
                <w:sz w:val="20"/>
              </w:rPr>
              <w:t>Член 141</w:t>
            </w:r>
          </w:p>
        </w:tc>
        <w:tc>
          <w:tcPr>
            <w:tcW w:w="2126" w:type="dxa"/>
            <w:noWrap/>
          </w:tcPr>
          <w:p w14:paraId="57A19E00" w14:textId="28E37C2D" w:rsidR="00D42D6E" w:rsidRPr="006A6461" w:rsidRDefault="0092522D" w:rsidP="003D7759">
            <w:pPr>
              <w:spacing w:after="0"/>
              <w:jc w:val="right"/>
              <w:rPr>
                <w:rFonts w:ascii="Times New Roman" w:hAnsi="Times New Roman" w:cs="Times New Roman"/>
                <w:noProof/>
                <w:sz w:val="20"/>
                <w:szCs w:val="20"/>
              </w:rPr>
            </w:pPr>
            <w:r>
              <w:rPr>
                <w:rFonts w:ascii="Times New Roman" w:hAnsi="Times New Roman"/>
                <w:noProof/>
                <w:sz w:val="20"/>
              </w:rPr>
              <w:t xml:space="preserve"> -26 575 093</w:t>
            </w:r>
          </w:p>
        </w:tc>
      </w:tr>
      <w:tr w:rsidR="00D42D6E" w:rsidRPr="006A6461" w14:paraId="5207B655" w14:textId="77777777" w:rsidTr="337A4174">
        <w:trPr>
          <w:trHeight w:val="80"/>
          <w:jc w:val="center"/>
        </w:trPr>
        <w:tc>
          <w:tcPr>
            <w:tcW w:w="5245" w:type="dxa"/>
            <w:noWrap/>
            <w:hideMark/>
          </w:tcPr>
          <w:p w14:paraId="5AC3B3D1" w14:textId="77777777" w:rsidR="00D42D6E" w:rsidRPr="006A6461" w:rsidRDefault="00D42D6E" w:rsidP="003D7759">
            <w:pPr>
              <w:spacing w:after="0"/>
              <w:jc w:val="both"/>
              <w:rPr>
                <w:rFonts w:ascii="Times New Roman" w:hAnsi="Times New Roman" w:cs="Times New Roman"/>
                <w:b/>
                <w:bCs/>
                <w:iCs/>
                <w:noProof/>
                <w:sz w:val="20"/>
                <w:szCs w:val="20"/>
              </w:rPr>
            </w:pPr>
            <w:r>
              <w:rPr>
                <w:rFonts w:ascii="Times New Roman" w:hAnsi="Times New Roman"/>
                <w:b/>
                <w:noProof/>
                <w:sz w:val="20"/>
              </w:rPr>
              <w:t>5. Условни задължения, от които:</w:t>
            </w:r>
          </w:p>
        </w:tc>
        <w:tc>
          <w:tcPr>
            <w:tcW w:w="2977" w:type="dxa"/>
            <w:noWrap/>
            <w:hideMark/>
          </w:tcPr>
          <w:p w14:paraId="20D63CA8" w14:textId="77777777" w:rsidR="00D42D6E" w:rsidRPr="006A6461" w:rsidRDefault="00D42D6E" w:rsidP="003D7759">
            <w:pPr>
              <w:spacing w:after="0"/>
              <w:jc w:val="both"/>
              <w:rPr>
                <w:rFonts w:ascii="Times New Roman" w:hAnsi="Times New Roman" w:cs="Times New Roman"/>
                <w:noProof/>
                <w:sz w:val="20"/>
                <w:szCs w:val="20"/>
              </w:rPr>
            </w:pPr>
          </w:p>
        </w:tc>
        <w:tc>
          <w:tcPr>
            <w:tcW w:w="2126" w:type="dxa"/>
            <w:noWrap/>
          </w:tcPr>
          <w:p w14:paraId="55E1C9CE" w14:textId="2981B8A4" w:rsidR="00D42D6E" w:rsidRPr="006A6461" w:rsidRDefault="00337D52" w:rsidP="003D7759">
            <w:pPr>
              <w:spacing w:after="0"/>
              <w:jc w:val="right"/>
              <w:rPr>
                <w:rFonts w:ascii="Times New Roman" w:hAnsi="Times New Roman" w:cs="Times New Roman"/>
                <w:noProof/>
                <w:sz w:val="20"/>
                <w:szCs w:val="20"/>
              </w:rPr>
            </w:pPr>
            <w:r>
              <w:rPr>
                <w:rFonts w:ascii="Times New Roman" w:hAnsi="Times New Roman"/>
                <w:noProof/>
                <w:sz w:val="20"/>
              </w:rPr>
              <w:t>-280 942 721</w:t>
            </w:r>
          </w:p>
        </w:tc>
      </w:tr>
      <w:tr w:rsidR="00D42D6E" w:rsidRPr="006A6461" w14:paraId="708451C6" w14:textId="77777777" w:rsidTr="337A4174">
        <w:trPr>
          <w:trHeight w:val="80"/>
          <w:jc w:val="center"/>
        </w:trPr>
        <w:tc>
          <w:tcPr>
            <w:tcW w:w="5245" w:type="dxa"/>
            <w:noWrap/>
            <w:hideMark/>
          </w:tcPr>
          <w:p w14:paraId="0CEAB432" w14:textId="77777777" w:rsidR="00D42D6E" w:rsidRPr="006A6461" w:rsidRDefault="00D42D6E" w:rsidP="003D7759">
            <w:pPr>
              <w:spacing w:after="0"/>
              <w:jc w:val="right"/>
              <w:rPr>
                <w:rFonts w:ascii="Times New Roman" w:hAnsi="Times New Roman" w:cs="Times New Roman"/>
                <w:i/>
                <w:iCs/>
                <w:noProof/>
                <w:sz w:val="20"/>
                <w:szCs w:val="20"/>
              </w:rPr>
            </w:pPr>
            <w:r>
              <w:rPr>
                <w:rFonts w:ascii="Times New Roman" w:hAnsi="Times New Roman"/>
                <w:i/>
                <w:noProof/>
                <w:sz w:val="20"/>
              </w:rPr>
              <w:t>5.1 МВК, ЕФСИ, ЕФУР, заеми (гаранционни фондове)</w:t>
            </w:r>
          </w:p>
        </w:tc>
        <w:tc>
          <w:tcPr>
            <w:tcW w:w="2977" w:type="dxa"/>
            <w:noWrap/>
            <w:hideMark/>
          </w:tcPr>
          <w:p w14:paraId="230FA96C" w14:textId="77777777" w:rsidR="00D42D6E" w:rsidRPr="006A6461" w:rsidRDefault="00D42D6E" w:rsidP="003D7759">
            <w:pPr>
              <w:spacing w:after="0"/>
              <w:jc w:val="center"/>
              <w:rPr>
                <w:rFonts w:ascii="Times New Roman" w:hAnsi="Times New Roman" w:cs="Times New Roman"/>
                <w:noProof/>
                <w:sz w:val="20"/>
                <w:szCs w:val="20"/>
              </w:rPr>
            </w:pPr>
            <w:r>
              <w:rPr>
                <w:rFonts w:ascii="Times New Roman" w:hAnsi="Times New Roman"/>
                <w:noProof/>
                <w:sz w:val="20"/>
              </w:rPr>
              <w:t>Член 143</w:t>
            </w:r>
          </w:p>
        </w:tc>
        <w:tc>
          <w:tcPr>
            <w:tcW w:w="2126" w:type="dxa"/>
            <w:noWrap/>
          </w:tcPr>
          <w:p w14:paraId="2AE3641C" w14:textId="3283B146" w:rsidR="00D42D6E" w:rsidRPr="006A6461" w:rsidRDefault="00337D52" w:rsidP="003D7759">
            <w:pPr>
              <w:spacing w:after="0"/>
              <w:jc w:val="right"/>
              <w:rPr>
                <w:rFonts w:ascii="Times New Roman" w:hAnsi="Times New Roman" w:cs="Times New Roman"/>
                <w:i/>
                <w:noProof/>
                <w:sz w:val="20"/>
                <w:szCs w:val="20"/>
              </w:rPr>
            </w:pPr>
            <w:r>
              <w:rPr>
                <w:rFonts w:ascii="Times New Roman" w:hAnsi="Times New Roman"/>
                <w:i/>
                <w:noProof/>
                <w:sz w:val="20"/>
              </w:rPr>
              <w:t>-233 253 380</w:t>
            </w:r>
          </w:p>
        </w:tc>
      </w:tr>
      <w:tr w:rsidR="00D42D6E" w:rsidRPr="006A6461" w14:paraId="1D880E0A" w14:textId="77777777" w:rsidTr="337A4174">
        <w:trPr>
          <w:trHeight w:val="80"/>
          <w:jc w:val="center"/>
        </w:trPr>
        <w:tc>
          <w:tcPr>
            <w:tcW w:w="5245" w:type="dxa"/>
            <w:noWrap/>
            <w:hideMark/>
          </w:tcPr>
          <w:p w14:paraId="1F41FD56" w14:textId="77777777" w:rsidR="00D42D6E" w:rsidRPr="006A6461" w:rsidRDefault="00D42D6E" w:rsidP="003D7759">
            <w:pPr>
              <w:spacing w:after="0"/>
              <w:jc w:val="right"/>
              <w:rPr>
                <w:rFonts w:ascii="Times New Roman" w:hAnsi="Times New Roman" w:cs="Times New Roman"/>
                <w:i/>
                <w:iCs/>
                <w:noProof/>
                <w:sz w:val="20"/>
                <w:szCs w:val="20"/>
              </w:rPr>
            </w:pPr>
            <w:r>
              <w:rPr>
                <w:rFonts w:ascii="Times New Roman" w:hAnsi="Times New Roman"/>
                <w:i/>
                <w:noProof/>
                <w:sz w:val="20"/>
              </w:rPr>
              <w:t>5.2 Финансови инструменти</w:t>
            </w:r>
          </w:p>
        </w:tc>
        <w:tc>
          <w:tcPr>
            <w:tcW w:w="2977" w:type="dxa"/>
            <w:noWrap/>
            <w:hideMark/>
          </w:tcPr>
          <w:p w14:paraId="41A08F01" w14:textId="77777777" w:rsidR="00D42D6E" w:rsidRPr="006A6461" w:rsidRDefault="00D42D6E" w:rsidP="003D7759">
            <w:pPr>
              <w:spacing w:after="0"/>
              <w:jc w:val="center"/>
              <w:rPr>
                <w:rFonts w:ascii="Times New Roman" w:hAnsi="Times New Roman" w:cs="Times New Roman"/>
                <w:noProof/>
                <w:sz w:val="20"/>
                <w:szCs w:val="20"/>
              </w:rPr>
            </w:pPr>
            <w:r>
              <w:rPr>
                <w:rFonts w:ascii="Times New Roman" w:hAnsi="Times New Roman"/>
                <w:noProof/>
                <w:sz w:val="20"/>
              </w:rPr>
              <w:t>Член 144</w:t>
            </w:r>
          </w:p>
        </w:tc>
        <w:tc>
          <w:tcPr>
            <w:tcW w:w="2126" w:type="dxa"/>
            <w:noWrap/>
          </w:tcPr>
          <w:p w14:paraId="479AED22" w14:textId="5FDC1C2C" w:rsidR="00D42D6E" w:rsidRPr="006A6461" w:rsidRDefault="00337D52" w:rsidP="003D7759">
            <w:pPr>
              <w:spacing w:after="0"/>
              <w:jc w:val="right"/>
              <w:rPr>
                <w:rFonts w:ascii="Times New Roman" w:hAnsi="Times New Roman" w:cs="Times New Roman"/>
                <w:i/>
                <w:noProof/>
                <w:sz w:val="20"/>
                <w:szCs w:val="20"/>
              </w:rPr>
            </w:pPr>
            <w:r>
              <w:rPr>
                <w:rFonts w:ascii="Times New Roman" w:hAnsi="Times New Roman"/>
                <w:i/>
                <w:noProof/>
                <w:sz w:val="20"/>
              </w:rPr>
              <w:t>-59 429 645</w:t>
            </w:r>
          </w:p>
        </w:tc>
      </w:tr>
      <w:tr w:rsidR="00D42D6E" w:rsidRPr="006A6461" w14:paraId="0B6620BA" w14:textId="77777777" w:rsidTr="337A4174">
        <w:trPr>
          <w:trHeight w:val="80"/>
          <w:jc w:val="center"/>
        </w:trPr>
        <w:tc>
          <w:tcPr>
            <w:tcW w:w="5245" w:type="dxa"/>
            <w:noWrap/>
            <w:hideMark/>
          </w:tcPr>
          <w:p w14:paraId="078F6390" w14:textId="77777777" w:rsidR="00D42D6E" w:rsidRPr="006A6461" w:rsidRDefault="00D42D6E" w:rsidP="003D7759">
            <w:pPr>
              <w:spacing w:after="0"/>
              <w:jc w:val="right"/>
              <w:rPr>
                <w:rFonts w:ascii="Times New Roman" w:hAnsi="Times New Roman" w:cs="Times New Roman"/>
                <w:i/>
                <w:iCs/>
                <w:noProof/>
                <w:sz w:val="20"/>
                <w:szCs w:val="20"/>
              </w:rPr>
            </w:pPr>
            <w:r>
              <w:rPr>
                <w:rFonts w:ascii="Times New Roman" w:hAnsi="Times New Roman"/>
                <w:i/>
                <w:noProof/>
                <w:sz w:val="20"/>
              </w:rPr>
              <w:t>5.3 Съдебни дела (вкл. глоби)</w:t>
            </w:r>
          </w:p>
        </w:tc>
        <w:tc>
          <w:tcPr>
            <w:tcW w:w="2977" w:type="dxa"/>
            <w:noWrap/>
            <w:hideMark/>
          </w:tcPr>
          <w:p w14:paraId="22EB3B32" w14:textId="77777777" w:rsidR="00D42D6E" w:rsidRPr="006A6461" w:rsidRDefault="00D42D6E" w:rsidP="003D7759">
            <w:pPr>
              <w:spacing w:after="0"/>
              <w:jc w:val="center"/>
              <w:rPr>
                <w:rFonts w:ascii="Times New Roman" w:hAnsi="Times New Roman" w:cs="Times New Roman"/>
                <w:noProof/>
                <w:sz w:val="20"/>
                <w:szCs w:val="20"/>
              </w:rPr>
            </w:pPr>
            <w:r>
              <w:rPr>
                <w:rFonts w:ascii="Times New Roman" w:hAnsi="Times New Roman"/>
                <w:noProof/>
                <w:sz w:val="20"/>
              </w:rPr>
              <w:t>Член 147</w:t>
            </w:r>
          </w:p>
        </w:tc>
        <w:tc>
          <w:tcPr>
            <w:tcW w:w="2126" w:type="dxa"/>
            <w:noWrap/>
          </w:tcPr>
          <w:p w14:paraId="354AA343" w14:textId="52408A68" w:rsidR="00D42D6E" w:rsidRPr="006A6461" w:rsidRDefault="00784FA0" w:rsidP="003D7759">
            <w:pPr>
              <w:spacing w:after="0"/>
              <w:jc w:val="right"/>
              <w:rPr>
                <w:rFonts w:ascii="Times New Roman" w:hAnsi="Times New Roman" w:cs="Times New Roman"/>
                <w:i/>
                <w:noProof/>
                <w:sz w:val="20"/>
                <w:szCs w:val="20"/>
              </w:rPr>
            </w:pPr>
            <w:r>
              <w:rPr>
                <w:rFonts w:ascii="Times New Roman" w:hAnsi="Times New Roman"/>
                <w:i/>
                <w:noProof/>
                <w:sz w:val="20"/>
              </w:rPr>
              <w:t>11 740 305</w:t>
            </w:r>
          </w:p>
        </w:tc>
      </w:tr>
      <w:tr w:rsidR="00D42D6E" w:rsidRPr="006A6461" w14:paraId="3ADE428F" w14:textId="77777777" w:rsidTr="337A4174">
        <w:trPr>
          <w:trHeight w:val="80"/>
          <w:jc w:val="center"/>
        </w:trPr>
        <w:tc>
          <w:tcPr>
            <w:tcW w:w="5245" w:type="dxa"/>
            <w:noWrap/>
            <w:hideMark/>
          </w:tcPr>
          <w:p w14:paraId="68023BCF" w14:textId="77777777" w:rsidR="00D42D6E" w:rsidRPr="006A6461" w:rsidRDefault="00D42D6E" w:rsidP="003D7759">
            <w:pPr>
              <w:spacing w:after="0"/>
              <w:jc w:val="both"/>
              <w:rPr>
                <w:rFonts w:ascii="Times New Roman" w:hAnsi="Times New Roman" w:cs="Times New Roman"/>
                <w:b/>
                <w:bCs/>
                <w:iCs/>
                <w:noProof/>
                <w:sz w:val="20"/>
                <w:szCs w:val="20"/>
              </w:rPr>
            </w:pPr>
            <w:r>
              <w:rPr>
                <w:rFonts w:ascii="Times New Roman" w:hAnsi="Times New Roman"/>
                <w:b/>
                <w:noProof/>
                <w:sz w:val="20"/>
              </w:rPr>
              <w:t>6. Нетни активи на ЕОВС</w:t>
            </w:r>
          </w:p>
        </w:tc>
        <w:tc>
          <w:tcPr>
            <w:tcW w:w="2977" w:type="dxa"/>
            <w:noWrap/>
            <w:hideMark/>
          </w:tcPr>
          <w:p w14:paraId="38BD75E7" w14:textId="77777777" w:rsidR="00D42D6E" w:rsidRPr="006A6461" w:rsidRDefault="00D42D6E" w:rsidP="003D7759">
            <w:pPr>
              <w:spacing w:after="0"/>
              <w:jc w:val="center"/>
              <w:rPr>
                <w:rFonts w:ascii="Times New Roman" w:hAnsi="Times New Roman" w:cs="Times New Roman"/>
                <w:noProof/>
                <w:sz w:val="20"/>
                <w:szCs w:val="20"/>
              </w:rPr>
            </w:pPr>
            <w:r>
              <w:rPr>
                <w:rFonts w:ascii="Times New Roman" w:hAnsi="Times New Roman"/>
                <w:noProof/>
                <w:sz w:val="20"/>
              </w:rPr>
              <w:t>Член 145</w:t>
            </w:r>
          </w:p>
        </w:tc>
        <w:tc>
          <w:tcPr>
            <w:tcW w:w="2126" w:type="dxa"/>
            <w:noWrap/>
          </w:tcPr>
          <w:p w14:paraId="5760E281" w14:textId="77777777" w:rsidR="00D42D6E" w:rsidRPr="006A6461" w:rsidRDefault="00D42D6E" w:rsidP="003D7759">
            <w:pPr>
              <w:spacing w:after="0"/>
              <w:jc w:val="right"/>
              <w:rPr>
                <w:rFonts w:ascii="Times New Roman" w:hAnsi="Times New Roman" w:cs="Times New Roman"/>
                <w:noProof/>
                <w:sz w:val="20"/>
                <w:szCs w:val="20"/>
              </w:rPr>
            </w:pPr>
            <w:r>
              <w:rPr>
                <w:rFonts w:ascii="Times New Roman" w:hAnsi="Times New Roman"/>
                <w:noProof/>
                <w:sz w:val="20"/>
              </w:rPr>
              <w:t>-36 874 795</w:t>
            </w:r>
          </w:p>
        </w:tc>
      </w:tr>
      <w:tr w:rsidR="00D42D6E" w:rsidRPr="006A6461" w14:paraId="500BF943" w14:textId="77777777" w:rsidTr="337A4174">
        <w:trPr>
          <w:trHeight w:val="80"/>
          <w:jc w:val="center"/>
        </w:trPr>
        <w:tc>
          <w:tcPr>
            <w:tcW w:w="5245" w:type="dxa"/>
            <w:noWrap/>
            <w:hideMark/>
          </w:tcPr>
          <w:p w14:paraId="7BAC3DAA" w14:textId="77777777" w:rsidR="00D42D6E" w:rsidRPr="006A6461" w:rsidRDefault="00D42D6E" w:rsidP="003D7759">
            <w:pPr>
              <w:spacing w:after="0"/>
              <w:jc w:val="both"/>
              <w:rPr>
                <w:rFonts w:ascii="Times New Roman" w:hAnsi="Times New Roman" w:cs="Times New Roman"/>
                <w:b/>
                <w:bCs/>
                <w:iCs/>
                <w:noProof/>
                <w:sz w:val="20"/>
                <w:szCs w:val="20"/>
              </w:rPr>
            </w:pPr>
            <w:r>
              <w:rPr>
                <w:rFonts w:ascii="Times New Roman" w:hAnsi="Times New Roman"/>
                <w:b/>
                <w:noProof/>
                <w:sz w:val="20"/>
              </w:rPr>
              <w:t>7. Инвестиции на ЕИФ</w:t>
            </w:r>
          </w:p>
        </w:tc>
        <w:tc>
          <w:tcPr>
            <w:tcW w:w="2977" w:type="dxa"/>
            <w:noWrap/>
            <w:hideMark/>
          </w:tcPr>
          <w:p w14:paraId="19C69B2C" w14:textId="77777777" w:rsidR="00D42D6E" w:rsidRPr="006A6461" w:rsidRDefault="00D42D6E" w:rsidP="003D7759">
            <w:pPr>
              <w:spacing w:after="0"/>
              <w:jc w:val="center"/>
              <w:rPr>
                <w:rFonts w:ascii="Times New Roman" w:hAnsi="Times New Roman" w:cs="Times New Roman"/>
                <w:noProof/>
                <w:sz w:val="20"/>
                <w:szCs w:val="20"/>
              </w:rPr>
            </w:pPr>
            <w:r>
              <w:rPr>
                <w:rFonts w:ascii="Times New Roman" w:hAnsi="Times New Roman"/>
                <w:noProof/>
                <w:sz w:val="20"/>
              </w:rPr>
              <w:t>Член 146</w:t>
            </w:r>
          </w:p>
        </w:tc>
        <w:tc>
          <w:tcPr>
            <w:tcW w:w="2126" w:type="dxa"/>
            <w:noWrap/>
          </w:tcPr>
          <w:p w14:paraId="733B9690" w14:textId="77777777" w:rsidR="00D42D6E" w:rsidRPr="006A6461" w:rsidRDefault="00D42D6E" w:rsidP="003D7759">
            <w:pPr>
              <w:spacing w:after="0"/>
              <w:jc w:val="right"/>
              <w:rPr>
                <w:rFonts w:ascii="Times New Roman" w:hAnsi="Times New Roman" w:cs="Times New Roman"/>
                <w:noProof/>
                <w:sz w:val="20"/>
                <w:szCs w:val="20"/>
              </w:rPr>
            </w:pPr>
            <w:r>
              <w:rPr>
                <w:rFonts w:ascii="Times New Roman" w:hAnsi="Times New Roman"/>
                <w:noProof/>
                <w:sz w:val="20"/>
              </w:rPr>
              <w:t>-6 648 463</w:t>
            </w:r>
          </w:p>
        </w:tc>
      </w:tr>
      <w:tr w:rsidR="00D42D6E" w:rsidRPr="006A6461" w14:paraId="15056543" w14:textId="77777777" w:rsidTr="337A4174">
        <w:trPr>
          <w:trHeight w:val="80"/>
          <w:jc w:val="center"/>
        </w:trPr>
        <w:tc>
          <w:tcPr>
            <w:tcW w:w="5245" w:type="dxa"/>
            <w:noWrap/>
            <w:hideMark/>
          </w:tcPr>
          <w:p w14:paraId="76666F5B" w14:textId="3A1F8A56" w:rsidR="00D42D6E" w:rsidRPr="006A6461" w:rsidRDefault="00D42D6E" w:rsidP="003D7759">
            <w:pPr>
              <w:spacing w:after="0"/>
              <w:jc w:val="both"/>
              <w:rPr>
                <w:rFonts w:ascii="Times New Roman" w:hAnsi="Times New Roman" w:cs="Times New Roman"/>
                <w:b/>
                <w:bCs/>
                <w:iCs/>
                <w:noProof/>
                <w:sz w:val="20"/>
                <w:szCs w:val="20"/>
              </w:rPr>
            </w:pPr>
            <w:r>
              <w:rPr>
                <w:rFonts w:ascii="Times New Roman" w:hAnsi="Times New Roman"/>
                <w:b/>
                <w:noProof/>
                <w:sz w:val="20"/>
              </w:rPr>
              <w:t>8. Достъп до мрежи/системи/бази данни**</w:t>
            </w:r>
          </w:p>
        </w:tc>
        <w:tc>
          <w:tcPr>
            <w:tcW w:w="2977" w:type="dxa"/>
            <w:hideMark/>
          </w:tcPr>
          <w:p w14:paraId="52CAE51A" w14:textId="77777777" w:rsidR="00D42D6E" w:rsidRPr="006A6461" w:rsidRDefault="00D42D6E" w:rsidP="003D7759">
            <w:pPr>
              <w:spacing w:after="0"/>
              <w:jc w:val="center"/>
              <w:rPr>
                <w:rFonts w:ascii="Times New Roman" w:hAnsi="Times New Roman" w:cs="Times New Roman"/>
                <w:noProof/>
                <w:sz w:val="20"/>
                <w:szCs w:val="20"/>
              </w:rPr>
            </w:pPr>
            <w:r>
              <w:rPr>
                <w:rFonts w:ascii="Times New Roman" w:hAnsi="Times New Roman"/>
                <w:noProof/>
                <w:sz w:val="20"/>
              </w:rPr>
              <w:t>Член 34, параграф 2, членове 50 и 53, член 62, параграф 2, член 63, параграф 1, буква д), член 63, параграф 2, член 99, параграф 3, член 100, параграф 2</w:t>
            </w:r>
          </w:p>
        </w:tc>
        <w:tc>
          <w:tcPr>
            <w:tcW w:w="2126" w:type="dxa"/>
            <w:noWrap/>
          </w:tcPr>
          <w:p w14:paraId="4CC3F7C7" w14:textId="418CCB5E" w:rsidR="00D42D6E" w:rsidRPr="006A6461" w:rsidRDefault="00784FA0" w:rsidP="003D7759">
            <w:pPr>
              <w:spacing w:after="0"/>
              <w:jc w:val="right"/>
              <w:rPr>
                <w:rFonts w:ascii="Times New Roman" w:hAnsi="Times New Roman" w:cs="Times New Roman"/>
                <w:noProof/>
                <w:sz w:val="20"/>
                <w:szCs w:val="20"/>
              </w:rPr>
            </w:pPr>
            <w:r>
              <w:rPr>
                <w:rFonts w:ascii="Times New Roman" w:hAnsi="Times New Roman"/>
                <w:noProof/>
                <w:sz w:val="20"/>
              </w:rPr>
              <w:t>669 399</w:t>
            </w:r>
          </w:p>
        </w:tc>
      </w:tr>
      <w:tr w:rsidR="00593836" w:rsidRPr="006A6461" w14:paraId="44C8F6C8" w14:textId="77777777" w:rsidTr="337A4174">
        <w:trPr>
          <w:trHeight w:val="80"/>
          <w:jc w:val="center"/>
        </w:trPr>
        <w:tc>
          <w:tcPr>
            <w:tcW w:w="10348" w:type="dxa"/>
            <w:gridSpan w:val="3"/>
            <w:hideMark/>
          </w:tcPr>
          <w:p w14:paraId="1AA8EB3F" w14:textId="52C8DA95" w:rsidR="00593836" w:rsidRPr="006A6461" w:rsidRDefault="00593836" w:rsidP="003D7759">
            <w:pPr>
              <w:spacing w:after="0"/>
              <w:jc w:val="both"/>
              <w:rPr>
                <w:rFonts w:ascii="Times New Roman" w:hAnsi="Times New Roman" w:cs="Times New Roman"/>
                <w:i/>
                <w:iCs/>
                <w:noProof/>
                <w:sz w:val="20"/>
                <w:szCs w:val="20"/>
              </w:rPr>
            </w:pPr>
            <w:r>
              <w:rPr>
                <w:rFonts w:ascii="Times New Roman" w:hAnsi="Times New Roman"/>
                <w:i/>
                <w:noProof/>
                <w:sz w:val="20"/>
              </w:rPr>
              <w:t>* — сумата от 280 милиона евро ще бъде вписана в бюджета на ЕС като целеви приходи</w:t>
            </w:r>
          </w:p>
          <w:p w14:paraId="7438DED1" w14:textId="02164ABF" w:rsidR="00593836" w:rsidRPr="006A6461" w:rsidRDefault="00593836" w:rsidP="003D7759">
            <w:pPr>
              <w:spacing w:after="0"/>
              <w:jc w:val="both"/>
              <w:rPr>
                <w:rFonts w:ascii="Times New Roman" w:eastAsia="Times New Roman" w:hAnsi="Times New Roman" w:cs="Times New Roman"/>
                <w:noProof/>
                <w:sz w:val="20"/>
                <w:szCs w:val="20"/>
              </w:rPr>
            </w:pPr>
            <w:r>
              <w:rPr>
                <w:rFonts w:ascii="Times New Roman" w:hAnsi="Times New Roman"/>
                <w:i/>
                <w:noProof/>
                <w:sz w:val="20"/>
              </w:rPr>
              <w:t>** — за вписване в бюджета на ЕС като целеви приходи</w:t>
            </w:r>
          </w:p>
        </w:tc>
      </w:tr>
    </w:tbl>
    <w:p w14:paraId="13600A88" w14:textId="720FF7C6" w:rsidR="007A4316" w:rsidRPr="006A6461" w:rsidRDefault="007A4316" w:rsidP="007A4316">
      <w:pPr>
        <w:keepNext/>
        <w:tabs>
          <w:tab w:val="left" w:pos="850"/>
        </w:tabs>
        <w:spacing w:before="360" w:after="120"/>
        <w:ind w:left="850" w:hanging="850"/>
        <w:jc w:val="both"/>
        <w:outlineLvl w:val="1"/>
        <w:rPr>
          <w:rFonts w:ascii="Times New Roman" w:eastAsia="Calibri" w:hAnsi="Times New Roman" w:cs="Times New Roman"/>
          <w:b/>
          <w:noProof/>
          <w:sz w:val="24"/>
          <w:szCs w:val="24"/>
        </w:rPr>
      </w:pPr>
      <w:bookmarkStart w:id="33" w:name="_Toc73720674"/>
      <w:bookmarkStart w:id="34" w:name="_Toc75766707"/>
      <w:bookmarkStart w:id="35" w:name="_Toc173242907"/>
      <w:r>
        <w:rPr>
          <w:rFonts w:ascii="Times New Roman" w:hAnsi="Times New Roman"/>
          <w:b/>
          <w:noProof/>
        </w:rPr>
        <w:t>2.4</w:t>
      </w:r>
      <w:r>
        <w:rPr>
          <w:rFonts w:ascii="Times New Roman" w:hAnsi="Times New Roman"/>
          <w:b/>
          <w:noProof/>
        </w:rPr>
        <w:tab/>
      </w:r>
      <w:r>
        <w:rPr>
          <w:rFonts w:ascii="Times New Roman" w:hAnsi="Times New Roman"/>
          <w:b/>
          <w:noProof/>
          <w:sz w:val="24"/>
        </w:rPr>
        <w:t>Глоби и наказателни плащания</w:t>
      </w:r>
      <w:bookmarkEnd w:id="33"/>
      <w:bookmarkEnd w:id="34"/>
      <w:bookmarkEnd w:id="35"/>
    </w:p>
    <w:p w14:paraId="075E8BB9" w14:textId="6B33C04D" w:rsidR="00CB40ED" w:rsidRPr="006A6461" w:rsidRDefault="3BC8B299" w:rsidP="00CB40ED">
      <w:pPr>
        <w:spacing w:before="120" w:after="120"/>
        <w:jc w:val="both"/>
        <w:rPr>
          <w:rFonts w:ascii="Times New Roman" w:hAnsi="Times New Roman" w:cs="Times New Roman"/>
          <w:noProof/>
          <w:sz w:val="24"/>
          <w:szCs w:val="24"/>
        </w:rPr>
      </w:pPr>
      <w:r>
        <w:rPr>
          <w:rFonts w:ascii="Times New Roman" w:hAnsi="Times New Roman"/>
          <w:noProof/>
          <w:sz w:val="24"/>
        </w:rPr>
        <w:t>Като се имат предвид глобите и наказателните плащания, събрани от 1 януари до 31 май 2024 г., се предлага в бюджета за 2024 г. да бъдат записани следните суми:</w:t>
      </w:r>
    </w:p>
    <w:p w14:paraId="5122EF34" w14:textId="3B652DC7" w:rsidR="00CB40ED" w:rsidRPr="006A6461" w:rsidRDefault="3BC8B299" w:rsidP="4B63F604">
      <w:pPr>
        <w:pStyle w:val="ListParagraph"/>
        <w:numPr>
          <w:ilvl w:val="0"/>
          <w:numId w:val="25"/>
        </w:numPr>
        <w:spacing w:after="120" w:line="259" w:lineRule="auto"/>
        <w:ind w:left="1434" w:hanging="357"/>
        <w:rPr>
          <w:noProof/>
        </w:rPr>
      </w:pPr>
      <w:r>
        <w:rPr>
          <w:noProof/>
        </w:rPr>
        <w:t>Глоби в областта на конкуренцията в размер на 257 милиона евро.</w:t>
      </w:r>
    </w:p>
    <w:p w14:paraId="443F842B" w14:textId="339A0309" w:rsidR="00CB40ED" w:rsidRPr="006A6461" w:rsidRDefault="00CB40ED" w:rsidP="4B63F604">
      <w:pPr>
        <w:pStyle w:val="ListParagraph"/>
        <w:numPr>
          <w:ilvl w:val="0"/>
          <w:numId w:val="25"/>
        </w:numPr>
        <w:spacing w:after="120" w:line="259" w:lineRule="auto"/>
        <w:ind w:left="1434" w:hanging="357"/>
        <w:jc w:val="both"/>
        <w:rPr>
          <w:noProof/>
        </w:rPr>
      </w:pPr>
      <w:r>
        <w:rPr>
          <w:noProof/>
        </w:rPr>
        <w:t>Наказателни плащания и еднократно платими суми, наложени на държави членки поради неспазване на решения на Съда на Европейския съюз относно неизпълнение на задължение по Договорите, в размер на 341 милиона евро.</w:t>
      </w:r>
    </w:p>
    <w:p w14:paraId="53BE3D23" w14:textId="36733EA5" w:rsidR="00CB40ED" w:rsidRPr="006A6461" w:rsidRDefault="00CB40ED" w:rsidP="26C6D807">
      <w:pPr>
        <w:pStyle w:val="ListParagraph"/>
        <w:numPr>
          <w:ilvl w:val="0"/>
          <w:numId w:val="25"/>
        </w:numPr>
        <w:spacing w:before="120" w:after="120" w:line="259" w:lineRule="auto"/>
        <w:ind w:left="1434" w:hanging="357"/>
        <w:rPr>
          <w:noProof/>
        </w:rPr>
      </w:pPr>
      <w:r>
        <w:rPr>
          <w:noProof/>
        </w:rPr>
        <w:t>Лихви, свързани с глоби и наказателни плащания, в размер на 10 милиона евро.</w:t>
      </w:r>
    </w:p>
    <w:p w14:paraId="443C478C" w14:textId="7E3719A1" w:rsidR="00CB40ED" w:rsidRPr="006A6461" w:rsidRDefault="00CB40ED" w:rsidP="4B63F604">
      <w:pPr>
        <w:pStyle w:val="ListParagraph"/>
        <w:numPr>
          <w:ilvl w:val="0"/>
          <w:numId w:val="25"/>
        </w:numPr>
        <w:spacing w:before="120" w:after="120" w:line="259" w:lineRule="auto"/>
        <w:ind w:left="1434" w:hanging="357"/>
        <w:jc w:val="both"/>
        <w:rPr>
          <w:noProof/>
        </w:rPr>
      </w:pPr>
      <w:r>
        <w:rPr>
          <w:noProof/>
        </w:rPr>
        <w:t>Други нецелеви глоби и наказателни плащания, главно за таксите за извънредно количество емисии, в размер на 6 милиона евро.</w:t>
      </w:r>
    </w:p>
    <w:p w14:paraId="5791ABE9" w14:textId="266E243E" w:rsidR="00CB40ED" w:rsidRPr="006A6461" w:rsidRDefault="00CB40ED" w:rsidP="568A9AE5">
      <w:pPr>
        <w:spacing w:before="120" w:after="120"/>
        <w:jc w:val="both"/>
        <w:rPr>
          <w:rFonts w:ascii="Times New Roman" w:hAnsi="Times New Roman" w:cs="Times New Roman"/>
          <w:noProof/>
        </w:rPr>
      </w:pPr>
      <w:r>
        <w:rPr>
          <w:rFonts w:ascii="Times New Roman" w:hAnsi="Times New Roman"/>
          <w:noProof/>
          <w:sz w:val="24"/>
        </w:rPr>
        <w:t>Съгласно разпоредбите на член 141 от Споразумението за оттегляне Обединеното кралство има право да получи своя дял от сума в размер на 49 милиона евро, включена в горния списък в букви а) и в).</w:t>
      </w:r>
    </w:p>
    <w:p w14:paraId="0A7CF29F" w14:textId="799112DA" w:rsidR="00CB40ED" w:rsidRPr="006A6461" w:rsidRDefault="3BC8B299" w:rsidP="26C6D807">
      <w:pPr>
        <w:spacing w:before="120" w:after="120"/>
        <w:jc w:val="both"/>
        <w:rPr>
          <w:rFonts w:ascii="Times New Roman" w:hAnsi="Times New Roman" w:cs="Times New Roman"/>
          <w:noProof/>
          <w:sz w:val="24"/>
          <w:szCs w:val="24"/>
        </w:rPr>
      </w:pPr>
      <w:r>
        <w:rPr>
          <w:rFonts w:ascii="Times New Roman" w:hAnsi="Times New Roman"/>
          <w:noProof/>
          <w:sz w:val="24"/>
        </w:rPr>
        <w:t>Затова се предлага да се увеличат първоначалните прогнози от 101 милиона евро, включени в бюджета за 2024 г., с 513 милиона евро, вследствие на което те ще достигнат общо 614 милиона евро.</w:t>
      </w:r>
    </w:p>
    <w:p w14:paraId="76748398" w14:textId="2DADACF5" w:rsidR="00CB40ED" w:rsidRPr="006A6461" w:rsidRDefault="00CB40ED" w:rsidP="00CB40ED">
      <w:pPr>
        <w:spacing w:before="120" w:after="120"/>
        <w:jc w:val="both"/>
        <w:rPr>
          <w:rFonts w:ascii="Times New Roman" w:hAnsi="Times New Roman" w:cs="Times New Roman"/>
          <w:noProof/>
          <w:sz w:val="24"/>
          <w:szCs w:val="24"/>
        </w:rPr>
      </w:pPr>
      <w:r>
        <w:rPr>
          <w:rFonts w:ascii="Times New Roman" w:hAnsi="Times New Roman"/>
          <w:noProof/>
          <w:sz w:val="24"/>
        </w:rPr>
        <w:t>Подробностите за всеки бюджетен ред са представени в таблицата по-долу.</w:t>
      </w: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1"/>
        <w:gridCol w:w="188"/>
        <w:gridCol w:w="1621"/>
        <w:gridCol w:w="2359"/>
        <w:gridCol w:w="1468"/>
        <w:gridCol w:w="16"/>
        <w:gridCol w:w="1490"/>
        <w:gridCol w:w="1568"/>
        <w:gridCol w:w="89"/>
      </w:tblGrid>
      <w:tr w:rsidR="00CB40ED" w:rsidRPr="006A6461" w14:paraId="6EA299A1" w14:textId="77777777" w:rsidTr="001A23DC">
        <w:trPr>
          <w:gridAfter w:val="1"/>
          <w:wAfter w:w="89" w:type="dxa"/>
          <w:trHeight w:val="300"/>
        </w:trPr>
        <w:tc>
          <w:tcPr>
            <w:tcW w:w="1509" w:type="dxa"/>
            <w:gridSpan w:val="2"/>
            <w:tcBorders>
              <w:top w:val="nil"/>
              <w:left w:val="nil"/>
              <w:bottom w:val="single" w:sz="4" w:space="0" w:color="auto"/>
              <w:right w:val="nil"/>
            </w:tcBorders>
          </w:tcPr>
          <w:p w14:paraId="4CB5967F" w14:textId="77777777" w:rsidR="00CB40ED" w:rsidRPr="006A6461" w:rsidRDefault="00CB40ED" w:rsidP="003D7759">
            <w:pPr>
              <w:widowControl w:val="0"/>
              <w:spacing w:before="15" w:after="15" w:line="240" w:lineRule="auto"/>
              <w:jc w:val="right"/>
              <w:rPr>
                <w:rFonts w:ascii="Times New Roman" w:eastAsia="Times New Roman" w:hAnsi="Times New Roman" w:cs="Times New Roman"/>
                <w:i/>
                <w:noProof/>
                <w:sz w:val="20"/>
                <w:szCs w:val="20"/>
                <w:lang w:eastAsia="en-GB"/>
              </w:rPr>
            </w:pPr>
          </w:p>
        </w:tc>
        <w:tc>
          <w:tcPr>
            <w:tcW w:w="1621" w:type="dxa"/>
            <w:tcBorders>
              <w:top w:val="nil"/>
              <w:left w:val="nil"/>
              <w:bottom w:val="single" w:sz="4" w:space="0" w:color="auto"/>
              <w:right w:val="nil"/>
            </w:tcBorders>
          </w:tcPr>
          <w:p w14:paraId="6D5B673E" w14:textId="77777777" w:rsidR="00CB40ED" w:rsidRPr="006A6461" w:rsidRDefault="00CB40ED" w:rsidP="003D7759">
            <w:pPr>
              <w:widowControl w:val="0"/>
              <w:spacing w:before="15" w:after="15" w:line="240" w:lineRule="auto"/>
              <w:jc w:val="right"/>
              <w:rPr>
                <w:rFonts w:ascii="Times New Roman" w:eastAsia="Times New Roman" w:hAnsi="Times New Roman" w:cs="Times New Roman"/>
                <w:i/>
                <w:noProof/>
                <w:sz w:val="20"/>
                <w:szCs w:val="20"/>
                <w:lang w:eastAsia="en-GB"/>
              </w:rPr>
            </w:pPr>
          </w:p>
        </w:tc>
        <w:tc>
          <w:tcPr>
            <w:tcW w:w="6901" w:type="dxa"/>
            <w:gridSpan w:val="5"/>
            <w:tcBorders>
              <w:top w:val="nil"/>
              <w:left w:val="nil"/>
              <w:bottom w:val="single" w:sz="4" w:space="0" w:color="auto"/>
              <w:right w:val="nil"/>
            </w:tcBorders>
            <w:shd w:val="clear" w:color="auto" w:fill="auto"/>
            <w:vAlign w:val="center"/>
          </w:tcPr>
          <w:p w14:paraId="66949EF2" w14:textId="77777777" w:rsidR="00CB40ED" w:rsidRPr="006A6461" w:rsidRDefault="00CB40ED" w:rsidP="00F07FC3">
            <w:pPr>
              <w:widowControl w:val="0"/>
              <w:spacing w:before="15" w:after="15" w:line="240" w:lineRule="auto"/>
              <w:jc w:val="right"/>
              <w:rPr>
                <w:rFonts w:ascii="Times New Roman" w:eastAsia="Times New Roman" w:hAnsi="Times New Roman" w:cs="Times New Roman"/>
                <w:i/>
                <w:noProof/>
                <w:sz w:val="20"/>
                <w:szCs w:val="20"/>
              </w:rPr>
            </w:pPr>
            <w:r>
              <w:rPr>
                <w:rFonts w:ascii="Times New Roman" w:hAnsi="Times New Roman"/>
                <w:i/>
                <w:noProof/>
                <w:sz w:val="20"/>
              </w:rPr>
              <w:t>EUR</w:t>
            </w:r>
          </w:p>
        </w:tc>
      </w:tr>
      <w:tr w:rsidR="00CB40ED" w:rsidRPr="006A6461" w14:paraId="383CE223" w14:textId="77777777" w:rsidTr="001A23DC">
        <w:trPr>
          <w:trHeight w:val="300"/>
        </w:trPr>
        <w:tc>
          <w:tcPr>
            <w:tcW w:w="1321" w:type="dxa"/>
            <w:tcBorders>
              <w:top w:val="single" w:sz="4" w:space="0" w:color="auto"/>
            </w:tcBorders>
            <w:shd w:val="clear" w:color="auto" w:fill="D9D9D9" w:themeFill="background1" w:themeFillShade="D9"/>
            <w:vAlign w:val="center"/>
          </w:tcPr>
          <w:p w14:paraId="6EECAF05" w14:textId="77777777" w:rsidR="00CB40ED" w:rsidRPr="006A6461" w:rsidRDefault="00CB40ED" w:rsidP="003D7759">
            <w:pPr>
              <w:keepNext/>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rPr>
              <w:t>Приходен ред</w:t>
            </w:r>
          </w:p>
        </w:tc>
        <w:tc>
          <w:tcPr>
            <w:tcW w:w="4168" w:type="dxa"/>
            <w:gridSpan w:val="3"/>
            <w:tcBorders>
              <w:top w:val="single" w:sz="4" w:space="0" w:color="auto"/>
            </w:tcBorders>
            <w:shd w:val="clear" w:color="auto" w:fill="D9D9D9" w:themeFill="background1" w:themeFillShade="D9"/>
            <w:vAlign w:val="center"/>
          </w:tcPr>
          <w:p w14:paraId="090344A3" w14:textId="77777777" w:rsidR="00CB40ED" w:rsidRPr="006A6461" w:rsidRDefault="00CB40ED" w:rsidP="003D7759">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rPr>
              <w:t>Наименование</w:t>
            </w:r>
          </w:p>
        </w:tc>
        <w:tc>
          <w:tcPr>
            <w:tcW w:w="1484" w:type="dxa"/>
            <w:gridSpan w:val="2"/>
            <w:tcBorders>
              <w:top w:val="single" w:sz="4" w:space="0" w:color="auto"/>
            </w:tcBorders>
            <w:shd w:val="clear" w:color="auto" w:fill="D9D9D9" w:themeFill="background1" w:themeFillShade="D9"/>
          </w:tcPr>
          <w:p w14:paraId="5D6CD164" w14:textId="4D8D3FD0" w:rsidR="00CB40ED" w:rsidRPr="006A6461" w:rsidRDefault="00CB40ED" w:rsidP="4B63F604">
            <w:pPr>
              <w:widowControl w:val="0"/>
              <w:spacing w:before="15" w:after="15"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Бюджет за 2024 г.</w:t>
            </w:r>
          </w:p>
        </w:tc>
        <w:tc>
          <w:tcPr>
            <w:tcW w:w="1490" w:type="dxa"/>
            <w:tcBorders>
              <w:top w:val="single" w:sz="4" w:space="0" w:color="auto"/>
            </w:tcBorders>
            <w:shd w:val="clear" w:color="auto" w:fill="D9D9D9" w:themeFill="background1" w:themeFillShade="D9"/>
          </w:tcPr>
          <w:p w14:paraId="32A9E1AA" w14:textId="2F7B0681" w:rsidR="00CB40ED" w:rsidRPr="006A6461" w:rsidRDefault="00CB40ED" w:rsidP="4B63F604">
            <w:pPr>
              <w:widowControl w:val="0"/>
              <w:spacing w:before="15" w:after="15"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ПКБ 4/2024</w:t>
            </w:r>
          </w:p>
        </w:tc>
        <w:tc>
          <w:tcPr>
            <w:tcW w:w="1657" w:type="dxa"/>
            <w:gridSpan w:val="2"/>
            <w:tcBorders>
              <w:top w:val="single" w:sz="4" w:space="0" w:color="auto"/>
            </w:tcBorders>
            <w:shd w:val="clear" w:color="auto" w:fill="D9D9D9" w:themeFill="background1" w:themeFillShade="D9"/>
            <w:vAlign w:val="center"/>
          </w:tcPr>
          <w:p w14:paraId="3A4305A8" w14:textId="77777777" w:rsidR="00CB40ED" w:rsidRPr="006A6461" w:rsidRDefault="00CB40ED" w:rsidP="003D7759">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rPr>
              <w:t>Нова сума</w:t>
            </w:r>
          </w:p>
        </w:tc>
      </w:tr>
      <w:tr w:rsidR="00CB40ED" w:rsidRPr="006A6461" w14:paraId="521F222F" w14:textId="77777777" w:rsidTr="001A23DC">
        <w:trPr>
          <w:trHeight w:val="300"/>
        </w:trPr>
        <w:tc>
          <w:tcPr>
            <w:tcW w:w="1321" w:type="dxa"/>
          </w:tcPr>
          <w:p w14:paraId="12BC25F8" w14:textId="77777777" w:rsidR="00CB40ED" w:rsidRPr="006A6461" w:rsidRDefault="00CB40ED" w:rsidP="003D7759">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rPr>
              <w:t>4 2 0</w:t>
            </w:r>
          </w:p>
        </w:tc>
        <w:tc>
          <w:tcPr>
            <w:tcW w:w="4168" w:type="dxa"/>
            <w:gridSpan w:val="3"/>
          </w:tcPr>
          <w:p w14:paraId="570958FC" w14:textId="77777777" w:rsidR="00CB40ED" w:rsidRPr="006A6461" w:rsidRDefault="00CB40ED" w:rsidP="003D7759">
            <w:pPr>
              <w:widowControl w:val="0"/>
              <w:tabs>
                <w:tab w:val="left" w:pos="1350"/>
              </w:tabs>
              <w:spacing w:before="15" w:after="15" w:line="240" w:lineRule="auto"/>
              <w:jc w:val="both"/>
              <w:rPr>
                <w:rFonts w:ascii="Times New Roman" w:eastAsia="Times New Roman" w:hAnsi="Times New Roman" w:cs="Times New Roman"/>
                <w:noProof/>
                <w:sz w:val="20"/>
                <w:szCs w:val="20"/>
              </w:rPr>
            </w:pPr>
            <w:r>
              <w:rPr>
                <w:rFonts w:ascii="Times New Roman" w:hAnsi="Times New Roman"/>
                <w:noProof/>
                <w:sz w:val="20"/>
              </w:rPr>
              <w:t>Глоби във връзка с прилагането на правилата относно конкуренцията</w:t>
            </w:r>
          </w:p>
        </w:tc>
        <w:tc>
          <w:tcPr>
            <w:tcW w:w="1484" w:type="dxa"/>
            <w:gridSpan w:val="2"/>
          </w:tcPr>
          <w:p w14:paraId="1CA796BD" w14:textId="77777777" w:rsidR="00CB40ED" w:rsidRPr="006A6461" w:rsidRDefault="00CB40ED" w:rsidP="002F0C65">
            <w:pPr>
              <w:widowControl w:val="0"/>
              <w:spacing w:before="15" w:after="15"/>
              <w:jc w:val="right"/>
              <w:rPr>
                <w:rFonts w:ascii="Times New Roman" w:hAnsi="Times New Roman" w:cs="Times New Roman"/>
                <w:noProof/>
                <w:sz w:val="20"/>
                <w:szCs w:val="20"/>
              </w:rPr>
            </w:pPr>
            <w:r>
              <w:rPr>
                <w:rFonts w:ascii="Times New Roman" w:hAnsi="Times New Roman"/>
                <w:noProof/>
                <w:sz w:val="20"/>
              </w:rPr>
              <w:t>100 000 000</w:t>
            </w:r>
          </w:p>
        </w:tc>
        <w:tc>
          <w:tcPr>
            <w:tcW w:w="1490" w:type="dxa"/>
          </w:tcPr>
          <w:p w14:paraId="644E864F" w14:textId="50C681AB" w:rsidR="00CB40ED" w:rsidRPr="006A6461" w:rsidRDefault="61946CC7" w:rsidP="002F0C65">
            <w:pPr>
              <w:widowControl w:val="0"/>
              <w:spacing w:before="15" w:after="15"/>
              <w:jc w:val="right"/>
              <w:rPr>
                <w:rFonts w:ascii="Times New Roman" w:hAnsi="Times New Roman" w:cs="Times New Roman"/>
                <w:noProof/>
                <w:sz w:val="20"/>
                <w:szCs w:val="20"/>
              </w:rPr>
            </w:pPr>
            <w:r>
              <w:rPr>
                <w:rFonts w:ascii="Times New Roman" w:hAnsi="Times New Roman"/>
                <w:noProof/>
                <w:sz w:val="20"/>
              </w:rPr>
              <w:t>157 464 207</w:t>
            </w:r>
          </w:p>
        </w:tc>
        <w:tc>
          <w:tcPr>
            <w:tcW w:w="1657" w:type="dxa"/>
            <w:gridSpan w:val="2"/>
          </w:tcPr>
          <w:p w14:paraId="338360A3" w14:textId="08800F59" w:rsidR="00CB40ED" w:rsidRPr="006A6461" w:rsidRDefault="038C5C0C" w:rsidP="002F0C65">
            <w:pPr>
              <w:widowControl w:val="0"/>
              <w:spacing w:before="15" w:after="15"/>
              <w:jc w:val="right"/>
              <w:rPr>
                <w:rFonts w:ascii="Times New Roman" w:hAnsi="Times New Roman" w:cs="Times New Roman"/>
                <w:noProof/>
                <w:sz w:val="20"/>
                <w:szCs w:val="20"/>
              </w:rPr>
            </w:pPr>
            <w:r>
              <w:rPr>
                <w:rFonts w:ascii="Times New Roman" w:hAnsi="Times New Roman"/>
                <w:noProof/>
                <w:sz w:val="20"/>
              </w:rPr>
              <w:t>257 464 207</w:t>
            </w:r>
          </w:p>
        </w:tc>
      </w:tr>
      <w:tr w:rsidR="00CB40ED" w:rsidRPr="006A6461" w14:paraId="329A6E93" w14:textId="77777777" w:rsidTr="001A23DC">
        <w:trPr>
          <w:trHeight w:val="300"/>
        </w:trPr>
        <w:tc>
          <w:tcPr>
            <w:tcW w:w="1321" w:type="dxa"/>
          </w:tcPr>
          <w:p w14:paraId="0F6F3E2B" w14:textId="77777777" w:rsidR="00CB40ED" w:rsidRPr="006A6461" w:rsidRDefault="00CB40ED" w:rsidP="003D7759">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rPr>
              <w:t>4 2 1</w:t>
            </w:r>
          </w:p>
        </w:tc>
        <w:tc>
          <w:tcPr>
            <w:tcW w:w="4168" w:type="dxa"/>
            <w:gridSpan w:val="3"/>
          </w:tcPr>
          <w:p w14:paraId="39B0A9F9" w14:textId="77777777" w:rsidR="00CB40ED" w:rsidRPr="006A6461" w:rsidRDefault="00CB40ED" w:rsidP="003D7759">
            <w:pPr>
              <w:widowControl w:val="0"/>
              <w:tabs>
                <w:tab w:val="left" w:pos="1350"/>
              </w:tabs>
              <w:spacing w:before="15" w:after="15" w:line="240" w:lineRule="auto"/>
              <w:jc w:val="both"/>
              <w:rPr>
                <w:rFonts w:ascii="Times New Roman" w:eastAsia="Times New Roman" w:hAnsi="Times New Roman" w:cs="Times New Roman"/>
                <w:noProof/>
                <w:sz w:val="20"/>
                <w:szCs w:val="20"/>
              </w:rPr>
            </w:pPr>
            <w:r>
              <w:rPr>
                <w:rFonts w:ascii="Times New Roman" w:hAnsi="Times New Roman"/>
                <w:noProof/>
                <w:sz w:val="20"/>
              </w:rPr>
              <w:t>Наказателни плащания и еднократни суми, наложени на държава членка</w:t>
            </w:r>
          </w:p>
        </w:tc>
        <w:tc>
          <w:tcPr>
            <w:tcW w:w="1484" w:type="dxa"/>
            <w:gridSpan w:val="2"/>
          </w:tcPr>
          <w:p w14:paraId="497591B2" w14:textId="77777777" w:rsidR="00CB40ED" w:rsidRPr="006A6461" w:rsidRDefault="00CB40ED" w:rsidP="002F0C65">
            <w:pPr>
              <w:widowControl w:val="0"/>
              <w:spacing w:before="15" w:after="15"/>
              <w:jc w:val="right"/>
              <w:rPr>
                <w:rFonts w:ascii="Times New Roman" w:hAnsi="Times New Roman" w:cs="Times New Roman"/>
                <w:noProof/>
                <w:sz w:val="20"/>
                <w:szCs w:val="20"/>
              </w:rPr>
            </w:pPr>
            <w:r>
              <w:rPr>
                <w:rFonts w:ascii="Times New Roman" w:hAnsi="Times New Roman"/>
                <w:noProof/>
                <w:sz w:val="20"/>
              </w:rPr>
              <w:t>p.m.</w:t>
            </w:r>
          </w:p>
        </w:tc>
        <w:tc>
          <w:tcPr>
            <w:tcW w:w="1490" w:type="dxa"/>
          </w:tcPr>
          <w:p w14:paraId="3E632425" w14:textId="33D977B7" w:rsidR="00CB40ED" w:rsidRPr="006A6461" w:rsidRDefault="118B0B55" w:rsidP="002F0C65">
            <w:pPr>
              <w:widowControl w:val="0"/>
              <w:spacing w:before="15" w:after="15"/>
              <w:jc w:val="right"/>
              <w:rPr>
                <w:rFonts w:ascii="Times New Roman" w:hAnsi="Times New Roman" w:cs="Times New Roman"/>
                <w:noProof/>
                <w:sz w:val="20"/>
                <w:szCs w:val="20"/>
              </w:rPr>
            </w:pPr>
            <w:r>
              <w:rPr>
                <w:rFonts w:ascii="Times New Roman" w:hAnsi="Times New Roman"/>
                <w:noProof/>
                <w:sz w:val="20"/>
              </w:rPr>
              <w:t>340 653 167</w:t>
            </w:r>
          </w:p>
        </w:tc>
        <w:tc>
          <w:tcPr>
            <w:tcW w:w="1657" w:type="dxa"/>
            <w:gridSpan w:val="2"/>
          </w:tcPr>
          <w:p w14:paraId="7C6E680B" w14:textId="38D26BAA" w:rsidR="00CB40ED" w:rsidRPr="006A6461" w:rsidRDefault="7B5E6206" w:rsidP="002F0C65">
            <w:pPr>
              <w:widowControl w:val="0"/>
              <w:spacing w:before="15" w:after="15"/>
              <w:jc w:val="right"/>
              <w:rPr>
                <w:rFonts w:ascii="Times New Roman" w:hAnsi="Times New Roman" w:cs="Times New Roman"/>
                <w:noProof/>
                <w:sz w:val="20"/>
                <w:szCs w:val="20"/>
              </w:rPr>
            </w:pPr>
            <w:r>
              <w:rPr>
                <w:rFonts w:ascii="Times New Roman" w:hAnsi="Times New Roman"/>
                <w:noProof/>
                <w:sz w:val="20"/>
              </w:rPr>
              <w:t>340 653 167</w:t>
            </w:r>
          </w:p>
        </w:tc>
      </w:tr>
      <w:tr w:rsidR="00CB40ED" w:rsidRPr="006A6461" w14:paraId="509E65E3" w14:textId="77777777" w:rsidTr="001A23DC">
        <w:trPr>
          <w:trHeight w:val="300"/>
        </w:trPr>
        <w:tc>
          <w:tcPr>
            <w:tcW w:w="1321" w:type="dxa"/>
          </w:tcPr>
          <w:p w14:paraId="6990CB8D" w14:textId="77777777" w:rsidR="00CB40ED" w:rsidRPr="006A6461" w:rsidRDefault="00CB40ED" w:rsidP="003D7759">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rPr>
              <w:t>4 2 4</w:t>
            </w:r>
          </w:p>
        </w:tc>
        <w:tc>
          <w:tcPr>
            <w:tcW w:w="4168" w:type="dxa"/>
            <w:gridSpan w:val="3"/>
          </w:tcPr>
          <w:p w14:paraId="72DDCB5E" w14:textId="77777777" w:rsidR="00CB40ED" w:rsidRPr="006A6461" w:rsidRDefault="00CB40ED" w:rsidP="003D7759">
            <w:pPr>
              <w:widowControl w:val="0"/>
              <w:tabs>
                <w:tab w:val="left" w:pos="1350"/>
              </w:tabs>
              <w:spacing w:before="15" w:after="15" w:line="240" w:lineRule="auto"/>
              <w:jc w:val="both"/>
              <w:rPr>
                <w:rFonts w:ascii="Times New Roman" w:hAnsi="Times New Roman" w:cs="Times New Roman"/>
                <w:noProof/>
                <w:sz w:val="20"/>
                <w:szCs w:val="20"/>
              </w:rPr>
            </w:pPr>
            <w:r>
              <w:rPr>
                <w:rFonts w:ascii="Times New Roman" w:hAnsi="Times New Roman"/>
                <w:noProof/>
                <w:sz w:val="20"/>
              </w:rPr>
              <w:t>Лихви, свързани с глоби и наказателни плащания</w:t>
            </w:r>
          </w:p>
        </w:tc>
        <w:tc>
          <w:tcPr>
            <w:tcW w:w="1484" w:type="dxa"/>
            <w:gridSpan w:val="2"/>
          </w:tcPr>
          <w:p w14:paraId="41CFCB9C" w14:textId="77777777" w:rsidR="00CB40ED" w:rsidRPr="006A6461" w:rsidRDefault="00CB40ED" w:rsidP="002F0C65">
            <w:pPr>
              <w:widowControl w:val="0"/>
              <w:spacing w:before="15" w:after="15"/>
              <w:jc w:val="right"/>
              <w:rPr>
                <w:rFonts w:ascii="Times New Roman" w:hAnsi="Times New Roman" w:cs="Times New Roman"/>
                <w:noProof/>
                <w:sz w:val="20"/>
                <w:szCs w:val="20"/>
              </w:rPr>
            </w:pPr>
            <w:r>
              <w:rPr>
                <w:rFonts w:ascii="Times New Roman" w:hAnsi="Times New Roman"/>
                <w:noProof/>
                <w:sz w:val="20"/>
              </w:rPr>
              <w:t>1 000 000</w:t>
            </w:r>
          </w:p>
        </w:tc>
        <w:tc>
          <w:tcPr>
            <w:tcW w:w="1490" w:type="dxa"/>
          </w:tcPr>
          <w:p w14:paraId="5BC30041" w14:textId="7B793DD5" w:rsidR="00CB40ED" w:rsidRPr="006A6461" w:rsidRDefault="07D156DD" w:rsidP="002F0C65">
            <w:pPr>
              <w:widowControl w:val="0"/>
              <w:spacing w:before="15" w:after="15"/>
              <w:jc w:val="right"/>
              <w:rPr>
                <w:rFonts w:ascii="Times New Roman" w:hAnsi="Times New Roman" w:cs="Times New Roman"/>
                <w:noProof/>
                <w:sz w:val="20"/>
                <w:szCs w:val="20"/>
              </w:rPr>
            </w:pPr>
            <w:r>
              <w:rPr>
                <w:rFonts w:ascii="Times New Roman" w:hAnsi="Times New Roman"/>
                <w:noProof/>
                <w:sz w:val="20"/>
              </w:rPr>
              <w:t>8 802 092</w:t>
            </w:r>
          </w:p>
        </w:tc>
        <w:tc>
          <w:tcPr>
            <w:tcW w:w="1657" w:type="dxa"/>
            <w:gridSpan w:val="2"/>
          </w:tcPr>
          <w:p w14:paraId="62ED9C9F" w14:textId="754615DA" w:rsidR="00CB40ED" w:rsidRPr="006A6461" w:rsidRDefault="28D91C36" w:rsidP="002F0C65">
            <w:pPr>
              <w:widowControl w:val="0"/>
              <w:spacing w:before="15" w:after="15"/>
              <w:jc w:val="right"/>
              <w:rPr>
                <w:rFonts w:ascii="Times New Roman" w:hAnsi="Times New Roman" w:cs="Times New Roman"/>
                <w:noProof/>
                <w:sz w:val="20"/>
                <w:szCs w:val="20"/>
              </w:rPr>
            </w:pPr>
            <w:r>
              <w:rPr>
                <w:rFonts w:ascii="Times New Roman" w:hAnsi="Times New Roman"/>
                <w:noProof/>
                <w:sz w:val="20"/>
              </w:rPr>
              <w:t>9 802 092</w:t>
            </w:r>
          </w:p>
        </w:tc>
      </w:tr>
      <w:tr w:rsidR="00CB40ED" w:rsidRPr="006A6461" w14:paraId="5264019D" w14:textId="77777777" w:rsidTr="00EF7A17">
        <w:trPr>
          <w:trHeight w:val="300"/>
        </w:trPr>
        <w:tc>
          <w:tcPr>
            <w:tcW w:w="1321" w:type="dxa"/>
          </w:tcPr>
          <w:p w14:paraId="67B7A568" w14:textId="77777777" w:rsidR="00CB40ED" w:rsidRPr="006A6461" w:rsidRDefault="00CB40ED" w:rsidP="003D7759">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rPr>
              <w:t>4 2 9</w:t>
            </w:r>
          </w:p>
        </w:tc>
        <w:tc>
          <w:tcPr>
            <w:tcW w:w="4168" w:type="dxa"/>
            <w:gridSpan w:val="3"/>
          </w:tcPr>
          <w:p w14:paraId="0B516EDC" w14:textId="77777777" w:rsidR="00CB40ED" w:rsidRPr="006A6461" w:rsidRDefault="00CB40ED" w:rsidP="003D7759">
            <w:pPr>
              <w:widowControl w:val="0"/>
              <w:tabs>
                <w:tab w:val="left" w:pos="1350"/>
              </w:tabs>
              <w:spacing w:before="15" w:after="15" w:line="240" w:lineRule="auto"/>
              <w:jc w:val="both"/>
              <w:rPr>
                <w:rFonts w:ascii="Times New Roman" w:hAnsi="Times New Roman" w:cs="Times New Roman"/>
                <w:noProof/>
                <w:sz w:val="20"/>
                <w:szCs w:val="20"/>
              </w:rPr>
            </w:pPr>
            <w:r>
              <w:rPr>
                <w:rFonts w:ascii="Times New Roman" w:hAnsi="Times New Roman"/>
                <w:noProof/>
                <w:sz w:val="20"/>
              </w:rPr>
              <w:t>Други нецелеви глоби и наказателни плащания</w:t>
            </w:r>
          </w:p>
        </w:tc>
        <w:tc>
          <w:tcPr>
            <w:tcW w:w="1484" w:type="dxa"/>
            <w:gridSpan w:val="2"/>
          </w:tcPr>
          <w:p w14:paraId="4E16ACDC" w14:textId="77777777" w:rsidR="00CB40ED" w:rsidRPr="006A6461" w:rsidRDefault="00CB40ED" w:rsidP="002F0C65">
            <w:pPr>
              <w:widowControl w:val="0"/>
              <w:spacing w:before="15" w:after="15"/>
              <w:jc w:val="right"/>
              <w:rPr>
                <w:rFonts w:ascii="Times New Roman" w:hAnsi="Times New Roman" w:cs="Times New Roman"/>
                <w:noProof/>
                <w:sz w:val="20"/>
                <w:szCs w:val="20"/>
              </w:rPr>
            </w:pPr>
            <w:r>
              <w:rPr>
                <w:rFonts w:ascii="Times New Roman" w:hAnsi="Times New Roman"/>
                <w:noProof/>
                <w:sz w:val="20"/>
              </w:rPr>
              <w:t>p.m.</w:t>
            </w:r>
          </w:p>
        </w:tc>
        <w:tc>
          <w:tcPr>
            <w:tcW w:w="1490" w:type="dxa"/>
          </w:tcPr>
          <w:p w14:paraId="56F263F0" w14:textId="1CC1479B" w:rsidR="00CB40ED" w:rsidRPr="006A6461" w:rsidRDefault="1B462FD8" w:rsidP="002F0C65">
            <w:pPr>
              <w:widowControl w:val="0"/>
              <w:spacing w:before="15" w:after="15"/>
              <w:jc w:val="right"/>
              <w:rPr>
                <w:rFonts w:ascii="Times New Roman" w:hAnsi="Times New Roman" w:cs="Times New Roman"/>
                <w:noProof/>
                <w:sz w:val="20"/>
                <w:szCs w:val="20"/>
              </w:rPr>
            </w:pPr>
            <w:r>
              <w:rPr>
                <w:rFonts w:ascii="Times New Roman" w:hAnsi="Times New Roman"/>
                <w:noProof/>
                <w:sz w:val="20"/>
              </w:rPr>
              <w:t>6 400 685</w:t>
            </w:r>
          </w:p>
        </w:tc>
        <w:tc>
          <w:tcPr>
            <w:tcW w:w="1657" w:type="dxa"/>
            <w:gridSpan w:val="2"/>
            <w:tcBorders>
              <w:bottom w:val="single" w:sz="4" w:space="0" w:color="auto"/>
            </w:tcBorders>
          </w:tcPr>
          <w:p w14:paraId="2BF0DD3C" w14:textId="1712216B" w:rsidR="00CB40ED" w:rsidRPr="006A6461" w:rsidRDefault="00096C9A" w:rsidP="00EF7A17">
            <w:pPr>
              <w:widowControl w:val="0"/>
              <w:spacing w:before="15" w:after="15"/>
              <w:jc w:val="right"/>
              <w:rPr>
                <w:rFonts w:ascii="Times New Roman" w:hAnsi="Times New Roman" w:cs="Times New Roman"/>
                <w:noProof/>
                <w:sz w:val="20"/>
                <w:szCs w:val="20"/>
              </w:rPr>
            </w:pPr>
            <w:r>
              <w:rPr>
                <w:rFonts w:ascii="Times New Roman" w:hAnsi="Times New Roman"/>
                <w:noProof/>
                <w:sz w:val="20"/>
              </w:rPr>
              <w:t>6 400 685</w:t>
            </w:r>
          </w:p>
        </w:tc>
      </w:tr>
      <w:tr w:rsidR="00CB40ED" w:rsidRPr="006A6461" w14:paraId="1C0E7EA6" w14:textId="77777777" w:rsidTr="00EF7A17">
        <w:trPr>
          <w:trHeight w:val="300"/>
        </w:trPr>
        <w:tc>
          <w:tcPr>
            <w:tcW w:w="5489" w:type="dxa"/>
            <w:gridSpan w:val="4"/>
            <w:shd w:val="clear" w:color="auto" w:fill="D9D9D9" w:themeFill="background1" w:themeFillShade="D9"/>
          </w:tcPr>
          <w:p w14:paraId="619ED46D" w14:textId="77777777" w:rsidR="00CB40ED" w:rsidRPr="006A6461" w:rsidRDefault="00CB40ED" w:rsidP="003D7759">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b/>
                <w:noProof/>
                <w:sz w:val="20"/>
              </w:rPr>
              <w:t>Общо</w:t>
            </w:r>
            <w:r>
              <w:rPr>
                <w:rFonts w:ascii="Times New Roman" w:hAnsi="Times New Roman"/>
                <w:b/>
                <w:noProof/>
                <w:sz w:val="20"/>
              </w:rPr>
              <w:tab/>
            </w:r>
          </w:p>
        </w:tc>
        <w:tc>
          <w:tcPr>
            <w:tcW w:w="1468" w:type="dxa"/>
            <w:shd w:val="clear" w:color="auto" w:fill="D9D9D9" w:themeFill="background1" w:themeFillShade="D9"/>
          </w:tcPr>
          <w:p w14:paraId="2548451F" w14:textId="77777777" w:rsidR="00CB40ED" w:rsidRPr="006A6461" w:rsidRDefault="00CB40ED" w:rsidP="002F0C65">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rPr>
              <w:t>101 000 000</w:t>
            </w:r>
          </w:p>
        </w:tc>
        <w:tc>
          <w:tcPr>
            <w:tcW w:w="1506" w:type="dxa"/>
            <w:gridSpan w:val="2"/>
            <w:shd w:val="clear" w:color="auto" w:fill="D9D9D9" w:themeFill="background1" w:themeFillShade="D9"/>
          </w:tcPr>
          <w:p w14:paraId="609082D6" w14:textId="4C08A7CD" w:rsidR="00CB40ED" w:rsidRPr="006A6461" w:rsidRDefault="49787083" w:rsidP="002F0C65">
            <w:pPr>
              <w:widowControl w:val="0"/>
              <w:spacing w:before="15" w:after="15"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513 320 151</w:t>
            </w:r>
          </w:p>
        </w:tc>
        <w:tc>
          <w:tcPr>
            <w:tcW w:w="1657" w:type="dxa"/>
            <w:gridSpan w:val="2"/>
            <w:shd w:val="clear" w:color="000000" w:fill="D9D9D9" w:themeFill="background1" w:themeFillShade="D9"/>
          </w:tcPr>
          <w:p w14:paraId="286FACA4" w14:textId="7974C433" w:rsidR="00CB40ED" w:rsidRPr="00EF7A17" w:rsidRDefault="73CC0D91" w:rsidP="00EF7A17">
            <w:pPr>
              <w:widowControl w:val="0"/>
              <w:spacing w:before="15" w:after="15"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614 320 151</w:t>
            </w:r>
          </w:p>
        </w:tc>
      </w:tr>
    </w:tbl>
    <w:p w14:paraId="3789A104" w14:textId="0F97C387" w:rsidR="007A4316" w:rsidRPr="006A6461" w:rsidRDefault="007A4316" w:rsidP="007A4316">
      <w:pPr>
        <w:keepNext/>
        <w:tabs>
          <w:tab w:val="left" w:pos="850"/>
        </w:tabs>
        <w:spacing w:before="360" w:after="120"/>
        <w:ind w:left="850" w:hanging="850"/>
        <w:jc w:val="both"/>
        <w:outlineLvl w:val="1"/>
        <w:rPr>
          <w:rFonts w:ascii="Times New Roman" w:eastAsia="Calibri" w:hAnsi="Times New Roman" w:cs="Times New Roman"/>
          <w:b/>
          <w:noProof/>
          <w:sz w:val="24"/>
          <w:szCs w:val="24"/>
        </w:rPr>
      </w:pPr>
      <w:bookmarkStart w:id="36" w:name="_Toc75766708"/>
      <w:bookmarkStart w:id="37" w:name="_Toc173242908"/>
      <w:r>
        <w:rPr>
          <w:rFonts w:ascii="Times New Roman" w:hAnsi="Times New Roman"/>
          <w:b/>
          <w:noProof/>
          <w:sz w:val="24"/>
        </w:rPr>
        <w:t>2.5</w:t>
      </w:r>
      <w:r>
        <w:rPr>
          <w:rFonts w:ascii="Times New Roman" w:hAnsi="Times New Roman"/>
          <w:b/>
          <w:noProof/>
          <w:sz w:val="24"/>
        </w:rPr>
        <w:tab/>
      </w:r>
      <w:bookmarkEnd w:id="36"/>
      <w:r>
        <w:rPr>
          <w:rFonts w:ascii="Times New Roman" w:hAnsi="Times New Roman"/>
          <w:b/>
          <w:noProof/>
          <w:sz w:val="24"/>
        </w:rPr>
        <w:t>Въздействие върху вноската по собствения ресурс на база БНД за 2024 г.</w:t>
      </w:r>
      <w:bookmarkEnd w:id="37"/>
    </w:p>
    <w:p w14:paraId="11B3AFAD" w14:textId="264744DE" w:rsidR="00CB40ED" w:rsidRPr="006A6461" w:rsidRDefault="3BC8B299" w:rsidP="337A4174">
      <w:pPr>
        <w:spacing w:before="120" w:after="120"/>
        <w:jc w:val="both"/>
        <w:rPr>
          <w:rFonts w:ascii="Times New Roman" w:hAnsi="Times New Roman" w:cs="Times New Roman"/>
          <w:noProof/>
          <w:sz w:val="24"/>
          <w:szCs w:val="24"/>
        </w:rPr>
      </w:pPr>
      <w:r>
        <w:rPr>
          <w:rFonts w:ascii="Times New Roman" w:hAnsi="Times New Roman"/>
          <w:noProof/>
          <w:sz w:val="24"/>
        </w:rPr>
        <w:t>Като се вземат предвид преразгледаните прогнози за ТСР, за опростената база за ДДС и за собствения ресурс на база нерециклираните ООП, размерът на собствените ресурси, различни от БНД, е намалял с 4 608 680 934 EUR. Заедно с намаляването на другите приходи с 1 004 386 580 EUR (като комбинирания ефект от нарастването на приходите от глоби с 513 милиона евро и намаляването на вноската на Обединеното кралство с 1 518 милиона евро) и увеличаването на бюджетните кредити за плащания с 12 029 834 EUR, това увеличава вноската на база БНД с</w:t>
      </w:r>
      <w:bookmarkStart w:id="38" w:name="_Hlk137551739"/>
      <w:r>
        <w:rPr>
          <w:rFonts w:ascii="Times New Roman" w:hAnsi="Times New Roman"/>
          <w:noProof/>
          <w:sz w:val="24"/>
        </w:rPr>
        <w:t> </w:t>
      </w:r>
      <w:bookmarkEnd w:id="38"/>
      <w:r>
        <w:rPr>
          <w:rFonts w:ascii="Times New Roman" w:hAnsi="Times New Roman"/>
          <w:noProof/>
          <w:sz w:val="24"/>
        </w:rPr>
        <w:t>5 625 097 348 EUR в сравнение с ПКБ 2/2024.</w:t>
      </w:r>
    </w:p>
    <w:p w14:paraId="3567313A" w14:textId="77777777" w:rsidR="00CB40ED" w:rsidRPr="006A6461" w:rsidRDefault="00CB40ED" w:rsidP="00CB40ED">
      <w:pPr>
        <w:spacing w:before="120" w:after="120"/>
        <w:jc w:val="both"/>
        <w:rPr>
          <w:rFonts w:ascii="Times New Roman" w:hAnsi="Times New Roman" w:cs="Times New Roman"/>
          <w:noProof/>
          <w:sz w:val="24"/>
          <w:szCs w:val="24"/>
        </w:rPr>
      </w:pPr>
      <w:r>
        <w:rPr>
          <w:rFonts w:ascii="Times New Roman" w:hAnsi="Times New Roman"/>
          <w:noProof/>
          <w:sz w:val="24"/>
        </w:rPr>
        <w:t>С цел спазване на принципа на балансираност, приложим за бюджета на Европейския съюз, залегнал в член 310, параграф 1 от ДФЕС, унифицираната ставка, която следва да се приложи към сбора от БНД на всички държави членки, трябва да бъде преизчислена, като се вземат предвид всички други приходи.</w:t>
      </w:r>
    </w:p>
    <w:p w14:paraId="52D84C72" w14:textId="77777777" w:rsidR="00CB40ED" w:rsidRPr="006A6461" w:rsidRDefault="00CB40ED" w:rsidP="00CB40ED">
      <w:pPr>
        <w:spacing w:before="120" w:after="120"/>
        <w:jc w:val="both"/>
        <w:rPr>
          <w:rFonts w:ascii="Times New Roman" w:hAnsi="Times New Roman" w:cs="Times New Roman"/>
          <w:noProof/>
          <w:sz w:val="24"/>
          <w:szCs w:val="24"/>
        </w:rPr>
      </w:pPr>
      <w:r>
        <w:rPr>
          <w:rFonts w:ascii="Times New Roman" w:hAnsi="Times New Roman"/>
          <w:noProof/>
          <w:sz w:val="24"/>
        </w:rPr>
        <w:t>Преизчислената унифицирана ставка за собствения ресурс на база БНД се определя, както следва:</w:t>
      </w:r>
    </w:p>
    <w:p w14:paraId="4EF98B1A" w14:textId="77777777" w:rsidR="00CB40ED" w:rsidRPr="006A6461" w:rsidRDefault="00CB40ED" w:rsidP="00CB40ED">
      <w:pPr>
        <w:spacing w:before="120" w:after="120"/>
        <w:jc w:val="both"/>
        <w:rPr>
          <w:rFonts w:ascii="Times New Roman" w:hAnsi="Times New Roman" w:cs="Times New Roman"/>
          <w:noProof/>
          <w:sz w:val="24"/>
          <w:szCs w:val="24"/>
        </w:rPr>
      </w:pPr>
      <w:r>
        <w:rPr>
          <w:rFonts w:ascii="Times New Roman" w:hAnsi="Times New Roman"/>
          <w:noProof/>
          <w:sz w:val="24"/>
        </w:rPr>
        <w:t>Унифицирана ставка, която се прилага върху 1 % от БНД = (общи разходи – други приходи – общ нетен размер на ТСР – собствен ресурс на база ДДС – вноски по собствения ресурс на база нерециклираните ООП) / 1 % от БНД</w:t>
      </w:r>
    </w:p>
    <w:p w14:paraId="565A4E8B" w14:textId="77777777" w:rsidR="00CB40ED" w:rsidRPr="006A6461" w:rsidRDefault="00CB40ED" w:rsidP="00CB40ED">
      <w:pPr>
        <w:spacing w:before="120" w:after="120"/>
        <w:jc w:val="both"/>
        <w:rPr>
          <w:rFonts w:ascii="Times New Roman" w:hAnsi="Times New Roman" w:cs="Times New Roman"/>
          <w:noProof/>
          <w:sz w:val="24"/>
          <w:szCs w:val="24"/>
        </w:rPr>
      </w:pPr>
      <w:r>
        <w:rPr>
          <w:rFonts w:ascii="Times New Roman" w:hAnsi="Times New Roman"/>
          <w:noProof/>
          <w:sz w:val="24"/>
        </w:rPr>
        <w:t>Унифицирана ставка:</w:t>
      </w:r>
    </w:p>
    <w:p w14:paraId="61840C20" w14:textId="45E30F8D" w:rsidR="00CB40ED" w:rsidRPr="006A6461" w:rsidRDefault="3BC8B299" w:rsidP="00CB40ED">
      <w:pPr>
        <w:spacing w:before="120" w:after="120"/>
        <w:jc w:val="both"/>
        <w:rPr>
          <w:rFonts w:ascii="Times New Roman" w:hAnsi="Times New Roman" w:cs="Times New Roman"/>
          <w:noProof/>
          <w:sz w:val="24"/>
          <w:szCs w:val="24"/>
        </w:rPr>
      </w:pPr>
      <w:r>
        <w:rPr>
          <w:rFonts w:ascii="Times New Roman" w:hAnsi="Times New Roman"/>
          <w:noProof/>
          <w:sz w:val="24"/>
        </w:rPr>
        <w:t>= (146 789 504 431 – 5 759 356 982 – 20 119 010 896 – 23 462 700 300 – 7 139 700 400) /</w:t>
      </w:r>
      <w:r>
        <w:rPr>
          <w:rFonts w:ascii="Times New Roman" w:hAnsi="Times New Roman"/>
          <w:noProof/>
        </w:rPr>
        <w:t xml:space="preserve"> </w:t>
      </w:r>
      <w:r>
        <w:rPr>
          <w:rFonts w:ascii="Times New Roman" w:hAnsi="Times New Roman"/>
          <w:noProof/>
          <w:sz w:val="24"/>
        </w:rPr>
        <w:t>177 759 974 000</w:t>
      </w:r>
    </w:p>
    <w:p w14:paraId="21D21B77" w14:textId="02160D17" w:rsidR="00CB40ED" w:rsidRPr="006A6461" w:rsidRDefault="3BC8B299" w:rsidP="337A4174">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0,508037517225334</w:t>
      </w:r>
    </w:p>
    <w:p w14:paraId="14747707" w14:textId="77777777" w:rsidR="00CB40ED" w:rsidRPr="006A6461" w:rsidRDefault="00CB40ED" w:rsidP="00CB40ED">
      <w:pPr>
        <w:spacing w:before="120" w:after="240"/>
        <w:jc w:val="both"/>
        <w:rPr>
          <w:rFonts w:ascii="Times New Roman" w:hAnsi="Times New Roman" w:cs="Times New Roman"/>
          <w:noProof/>
          <w:sz w:val="24"/>
          <w:szCs w:val="24"/>
        </w:rPr>
      </w:pPr>
      <w:r>
        <w:rPr>
          <w:rFonts w:ascii="Times New Roman" w:hAnsi="Times New Roman"/>
          <w:noProof/>
          <w:sz w:val="24"/>
        </w:rPr>
        <w:t>Преразгледаните вноски на собствените ресурси на база БНД, като се има предвид новата унифицирана ставка, са посочени в следната таблица:</w:t>
      </w:r>
    </w:p>
    <w:p w14:paraId="5C0B386B" w14:textId="57C2F205" w:rsidR="001A23DC" w:rsidRPr="006A6461" w:rsidRDefault="001A23DC" w:rsidP="001A23DC">
      <w:pPr>
        <w:spacing w:before="120" w:after="240"/>
        <w:jc w:val="center"/>
        <w:rPr>
          <w:rFonts w:ascii="Times New Roman" w:hAnsi="Times New Roman" w:cs="Times New Roman"/>
          <w:noProof/>
          <w:sz w:val="20"/>
          <w:szCs w:val="20"/>
        </w:rPr>
      </w:pPr>
      <w:r>
        <w:rPr>
          <w:rFonts w:ascii="Times New Roman" w:hAnsi="Times New Roman"/>
          <w:b/>
          <w:noProof/>
          <w:sz w:val="20"/>
        </w:rPr>
        <w:t>2024 бюджетна година (в EUR)</w:t>
      </w:r>
    </w:p>
    <w:tbl>
      <w:tblPr>
        <w:tblW w:w="10400" w:type="dxa"/>
        <w:tblCellMar>
          <w:left w:w="0" w:type="dxa"/>
          <w:right w:w="0" w:type="dxa"/>
        </w:tblCellMar>
        <w:tblLook w:val="04A0" w:firstRow="1" w:lastRow="0" w:firstColumn="1" w:lastColumn="0" w:noHBand="0" w:noVBand="1"/>
      </w:tblPr>
      <w:tblGrid>
        <w:gridCol w:w="1520"/>
        <w:gridCol w:w="1833"/>
        <w:gridCol w:w="1630"/>
        <w:gridCol w:w="1676"/>
        <w:gridCol w:w="1768"/>
        <w:gridCol w:w="1937"/>
        <w:gridCol w:w="36"/>
      </w:tblGrid>
      <w:tr w:rsidR="001A23DC" w:rsidRPr="006A6461" w14:paraId="7101C3A3" w14:textId="77777777" w:rsidTr="0053464B">
        <w:trPr>
          <w:gridAfter w:val="1"/>
          <w:trHeight w:val="450"/>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E02B08" w14:textId="77777777" w:rsidR="001A23DC" w:rsidRPr="006A6461" w:rsidRDefault="001A23DC">
            <w:pPr>
              <w:jc w:val="center"/>
              <w:rPr>
                <w:rFonts w:ascii="Times New Roman" w:hAnsi="Times New Roman" w:cs="Times New Roman"/>
                <w:b/>
                <w:bCs/>
                <w:noProof/>
                <w:color w:val="000000"/>
                <w:sz w:val="20"/>
                <w:szCs w:val="20"/>
              </w:rPr>
            </w:pPr>
            <w:r>
              <w:rPr>
                <w:rFonts w:ascii="Times New Roman" w:hAnsi="Times New Roman"/>
                <w:b/>
                <w:noProof/>
                <w:color w:val="000000"/>
                <w:sz w:val="20"/>
              </w:rPr>
              <w:t>Държава членка</w:t>
            </w:r>
          </w:p>
        </w:tc>
        <w:tc>
          <w:tcPr>
            <w:tcW w:w="183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7DFC31F" w14:textId="4A106C8A" w:rsidR="001A23DC" w:rsidRPr="006A6461" w:rsidRDefault="001A23DC">
            <w:pPr>
              <w:jc w:val="center"/>
              <w:rPr>
                <w:rFonts w:ascii="Times New Roman" w:hAnsi="Times New Roman" w:cs="Times New Roman"/>
                <w:b/>
                <w:bCs/>
                <w:noProof/>
                <w:color w:val="000000"/>
                <w:sz w:val="20"/>
                <w:szCs w:val="20"/>
              </w:rPr>
            </w:pPr>
            <w:r>
              <w:rPr>
                <w:rFonts w:ascii="Times New Roman" w:hAnsi="Times New Roman"/>
                <w:b/>
                <w:noProof/>
                <w:color w:val="000000"/>
                <w:sz w:val="20"/>
              </w:rPr>
              <w:t>1 % от базата за БНД, използвана за ПКБ 2/2024</w:t>
            </w:r>
          </w:p>
        </w:tc>
        <w:tc>
          <w:tcPr>
            <w:tcW w:w="163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4D67B6" w14:textId="77777777" w:rsidR="001A23DC" w:rsidRPr="006A6461" w:rsidRDefault="001A23DC">
            <w:pPr>
              <w:jc w:val="center"/>
              <w:rPr>
                <w:rFonts w:ascii="Times New Roman" w:hAnsi="Times New Roman" w:cs="Times New Roman"/>
                <w:b/>
                <w:bCs/>
                <w:noProof/>
                <w:color w:val="000000"/>
                <w:sz w:val="20"/>
                <w:szCs w:val="20"/>
              </w:rPr>
            </w:pPr>
            <w:r>
              <w:rPr>
                <w:rFonts w:ascii="Times New Roman" w:hAnsi="Times New Roman"/>
                <w:b/>
                <w:noProof/>
                <w:color w:val="000000"/>
                <w:sz w:val="20"/>
              </w:rPr>
              <w:t>Унифицирана ставка на собствения ресурс на база БНД (в %) съгласно ПКБ 2/2024</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9076BA" w14:textId="77777777" w:rsidR="001A23DC" w:rsidRPr="006A6461" w:rsidRDefault="001A23DC">
            <w:pPr>
              <w:jc w:val="center"/>
              <w:rPr>
                <w:rFonts w:ascii="Times New Roman" w:hAnsi="Times New Roman" w:cs="Times New Roman"/>
                <w:b/>
                <w:bCs/>
                <w:noProof/>
                <w:color w:val="000000"/>
                <w:sz w:val="20"/>
                <w:szCs w:val="20"/>
              </w:rPr>
            </w:pPr>
            <w:r>
              <w:rPr>
                <w:rFonts w:ascii="Times New Roman" w:hAnsi="Times New Roman"/>
                <w:b/>
                <w:noProof/>
                <w:color w:val="000000"/>
                <w:sz w:val="20"/>
              </w:rPr>
              <w:t>1 % от базата за БНД (одобрена прогноза на ККСР)</w:t>
            </w:r>
          </w:p>
        </w:tc>
        <w:tc>
          <w:tcPr>
            <w:tcW w:w="176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278D98" w14:textId="77777777" w:rsidR="001A23DC" w:rsidRPr="006A6461" w:rsidRDefault="001A23DC">
            <w:pPr>
              <w:jc w:val="center"/>
              <w:rPr>
                <w:rFonts w:ascii="Times New Roman" w:hAnsi="Times New Roman" w:cs="Times New Roman"/>
                <w:b/>
                <w:bCs/>
                <w:noProof/>
                <w:color w:val="000000"/>
                <w:sz w:val="20"/>
                <w:szCs w:val="20"/>
              </w:rPr>
            </w:pPr>
            <w:r>
              <w:rPr>
                <w:rFonts w:ascii="Times New Roman" w:hAnsi="Times New Roman"/>
                <w:b/>
                <w:noProof/>
                <w:color w:val="000000"/>
                <w:sz w:val="20"/>
              </w:rPr>
              <w:t>Унифицирана ставка на собствения ресурс на база БНД (в %) съгласно ПКБ 4/2024</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6FD9C2" w14:textId="77777777" w:rsidR="001A23DC" w:rsidRPr="006A6461" w:rsidRDefault="001A23DC">
            <w:pPr>
              <w:jc w:val="center"/>
              <w:rPr>
                <w:rFonts w:ascii="Times New Roman" w:hAnsi="Times New Roman" w:cs="Times New Roman"/>
                <w:b/>
                <w:bCs/>
                <w:noProof/>
                <w:color w:val="000000"/>
                <w:sz w:val="20"/>
                <w:szCs w:val="20"/>
              </w:rPr>
            </w:pPr>
            <w:r>
              <w:rPr>
                <w:rFonts w:ascii="Times New Roman" w:hAnsi="Times New Roman"/>
                <w:b/>
                <w:noProof/>
                <w:color w:val="000000"/>
                <w:sz w:val="20"/>
              </w:rPr>
              <w:t>Разлика в БНД</w:t>
            </w:r>
          </w:p>
        </w:tc>
      </w:tr>
      <w:tr w:rsidR="001A23DC" w:rsidRPr="006A6461" w14:paraId="362B46E7" w14:textId="77777777" w:rsidTr="001A23DC">
        <w:trPr>
          <w:trHeight w:val="1245"/>
        </w:trPr>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BB2E16" w14:textId="77777777" w:rsidR="001A23DC" w:rsidRPr="006A6461" w:rsidRDefault="001A23DC">
            <w:pPr>
              <w:rPr>
                <w:rFonts w:ascii="Times New Roman" w:hAnsi="Times New Roman" w:cs="Times New Roman"/>
                <w:noProof/>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E3F529" w14:textId="77777777" w:rsidR="001A23DC" w:rsidRPr="006A6461" w:rsidRDefault="001A23DC">
            <w:pPr>
              <w:rPr>
                <w:rFonts w:ascii="Times New Roman" w:hAnsi="Times New Roman" w:cs="Times New Roman"/>
                <w:noProof/>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40E069" w14:textId="77777777" w:rsidR="001A23DC" w:rsidRPr="006A6461" w:rsidRDefault="001A23DC">
            <w:pPr>
              <w:rPr>
                <w:rFonts w:ascii="Times New Roman" w:hAnsi="Times New Roman" w:cs="Times New Roman"/>
                <w:noProof/>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EE1707" w14:textId="77777777" w:rsidR="001A23DC" w:rsidRPr="006A6461" w:rsidRDefault="001A23DC">
            <w:pPr>
              <w:rPr>
                <w:rFonts w:ascii="Times New Roman" w:hAnsi="Times New Roman" w:cs="Times New Roman"/>
                <w:noProof/>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F63D2F" w14:textId="77777777" w:rsidR="001A23DC" w:rsidRPr="006A6461" w:rsidRDefault="001A23DC">
            <w:pPr>
              <w:rPr>
                <w:rFonts w:ascii="Times New Roman" w:hAnsi="Times New Roman" w:cs="Times New Roman"/>
                <w:noProof/>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962585" w14:textId="77777777" w:rsidR="001A23DC" w:rsidRPr="006A6461" w:rsidRDefault="001A23DC">
            <w:pPr>
              <w:rPr>
                <w:rFonts w:ascii="Times New Roman" w:hAnsi="Times New Roman" w:cs="Times New Roman"/>
                <w:noProof/>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A1318" w14:textId="77777777" w:rsidR="001A23DC" w:rsidRPr="006A6461" w:rsidRDefault="001A23DC">
            <w:pPr>
              <w:jc w:val="center"/>
              <w:rPr>
                <w:rFonts w:ascii="Times New Roman" w:hAnsi="Times New Roman" w:cs="Times New Roman"/>
                <w:noProof/>
                <w:color w:val="000000"/>
                <w:sz w:val="20"/>
                <w:szCs w:val="20"/>
              </w:rPr>
            </w:pPr>
          </w:p>
        </w:tc>
      </w:tr>
      <w:tr w:rsidR="001A23DC" w:rsidRPr="006A6461" w14:paraId="543A3BC6" w14:textId="77777777" w:rsidTr="001A23DC">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BD4D3" w14:textId="77777777" w:rsidR="001A23DC" w:rsidRPr="006A6461" w:rsidRDefault="001A23DC">
            <w:pPr>
              <w:rPr>
                <w:rFonts w:ascii="Times New Roman" w:hAnsi="Times New Roman" w:cs="Times New Roman"/>
                <w:noProof/>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307260" w14:textId="77777777" w:rsidR="001A23DC" w:rsidRPr="006A6461" w:rsidRDefault="001A23DC">
            <w:pPr>
              <w:jc w:val="center"/>
              <w:rPr>
                <w:rFonts w:ascii="Times New Roman" w:hAnsi="Times New Roman" w:cs="Times New Roman"/>
                <w:noProof/>
                <w:color w:val="000000"/>
                <w:sz w:val="20"/>
                <w:szCs w:val="20"/>
              </w:rPr>
            </w:pPr>
            <w:r>
              <w:rPr>
                <w:rFonts w:ascii="Times New Roman" w:hAnsi="Times New Roman"/>
                <w:noProof/>
                <w:color w:val="000000"/>
                <w:sz w:val="20"/>
              </w:rPr>
              <w:t>(1)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2A0B0E8" w14:textId="77777777" w:rsidR="001A23DC" w:rsidRPr="006A6461" w:rsidRDefault="001A23DC">
            <w:pPr>
              <w:jc w:val="center"/>
              <w:rPr>
                <w:rFonts w:ascii="Times New Roman" w:hAnsi="Times New Roman" w:cs="Times New Roman"/>
                <w:noProof/>
                <w:color w:val="000000"/>
                <w:sz w:val="20"/>
                <w:szCs w:val="20"/>
              </w:rPr>
            </w:pPr>
            <w:r>
              <w:rPr>
                <w:rFonts w:ascii="Times New Roman" w:hAnsi="Times New Roman"/>
                <w:noProof/>
                <w:color w:val="000000"/>
                <w:sz w:val="2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AF7A91" w14:textId="77777777" w:rsidR="001A23DC" w:rsidRPr="006A6461" w:rsidRDefault="001A23DC">
            <w:pPr>
              <w:jc w:val="center"/>
              <w:rPr>
                <w:rFonts w:ascii="Times New Roman" w:hAnsi="Times New Roman" w:cs="Times New Roman"/>
                <w:noProof/>
                <w:color w:val="000000"/>
                <w:sz w:val="20"/>
                <w:szCs w:val="20"/>
              </w:rPr>
            </w:pPr>
            <w:r>
              <w:rPr>
                <w:rFonts w:ascii="Times New Roman" w:hAnsi="Times New Roman"/>
                <w:noProof/>
                <w:color w:val="000000"/>
                <w:sz w:val="20"/>
              </w:rPr>
              <w:t>(3)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BFDCEB1" w14:textId="77777777" w:rsidR="001A23DC" w:rsidRPr="006A6461" w:rsidRDefault="001A23DC">
            <w:pPr>
              <w:jc w:val="center"/>
              <w:rPr>
                <w:rFonts w:ascii="Times New Roman" w:hAnsi="Times New Roman" w:cs="Times New Roman"/>
                <w:noProof/>
                <w:color w:val="000000"/>
                <w:sz w:val="20"/>
                <w:szCs w:val="20"/>
              </w:rPr>
            </w:pPr>
            <w:r>
              <w:rPr>
                <w:rFonts w:ascii="Times New Roman" w:hAnsi="Times New Roman"/>
                <w:noProof/>
                <w:color w:val="000000"/>
                <w:sz w:val="2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EF10BF" w14:textId="77777777" w:rsidR="001A23DC" w:rsidRPr="006A6461" w:rsidRDefault="001A23DC">
            <w:pPr>
              <w:jc w:val="center"/>
              <w:rPr>
                <w:rFonts w:ascii="Times New Roman" w:hAnsi="Times New Roman" w:cs="Times New Roman"/>
                <w:noProof/>
                <w:color w:val="000000"/>
                <w:sz w:val="20"/>
                <w:szCs w:val="20"/>
              </w:rPr>
            </w:pPr>
            <w:r>
              <w:rPr>
                <w:rFonts w:ascii="Times New Roman" w:hAnsi="Times New Roman"/>
                <w:noProof/>
                <w:color w:val="000000"/>
                <w:sz w:val="20"/>
              </w:rPr>
              <w:t>(5) = (3 x 4) – (1 x 2)</w:t>
            </w:r>
          </w:p>
        </w:tc>
        <w:tc>
          <w:tcPr>
            <w:tcW w:w="0" w:type="auto"/>
            <w:vAlign w:val="center"/>
            <w:hideMark/>
          </w:tcPr>
          <w:p w14:paraId="58627548" w14:textId="77777777" w:rsidR="001A23DC" w:rsidRPr="006A6461" w:rsidRDefault="001A23DC">
            <w:pPr>
              <w:rPr>
                <w:rFonts w:ascii="Times New Roman" w:hAnsi="Times New Roman" w:cs="Times New Roman"/>
                <w:noProof/>
                <w:sz w:val="20"/>
                <w:szCs w:val="20"/>
              </w:rPr>
            </w:pPr>
          </w:p>
        </w:tc>
      </w:tr>
      <w:tr w:rsidR="0053464B" w:rsidRPr="006A6461" w14:paraId="21CB1356" w14:textId="77777777" w:rsidTr="00F220D1">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13F4FE" w14:textId="77777777" w:rsidR="0053464B" w:rsidRPr="006A6461" w:rsidRDefault="0053464B" w:rsidP="0053464B">
            <w:pPr>
              <w:rPr>
                <w:rFonts w:ascii="Times New Roman" w:hAnsi="Times New Roman" w:cs="Times New Roman"/>
                <w:b/>
                <w:bCs/>
                <w:noProof/>
                <w:color w:val="000000"/>
                <w:sz w:val="20"/>
                <w:szCs w:val="20"/>
              </w:rPr>
            </w:pPr>
            <w:r>
              <w:rPr>
                <w:rFonts w:ascii="Times New Roman" w:hAnsi="Times New Roman"/>
                <w:b/>
                <w:noProof/>
                <w:color w:val="000000"/>
                <w:sz w:val="20"/>
              </w:rPr>
              <w:t>BE</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DAA9AD9" w14:textId="7320B475"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6 053 077 000 </w:t>
            </w:r>
          </w:p>
        </w:tc>
        <w:tc>
          <w:tcPr>
            <w:tcW w:w="0" w:type="auto"/>
            <w:tcBorders>
              <w:top w:val="single" w:sz="4" w:space="0" w:color="auto"/>
              <w:left w:val="single" w:sz="4" w:space="0" w:color="auto"/>
              <w:bottom w:val="nil"/>
              <w:right w:val="single" w:sz="4" w:space="0" w:color="auto"/>
            </w:tcBorders>
            <w:shd w:val="clear" w:color="000000" w:fill="FFFFFF"/>
            <w:noWrap/>
            <w:tcMar>
              <w:top w:w="15" w:type="dxa"/>
              <w:left w:w="15" w:type="dxa"/>
              <w:bottom w:w="0" w:type="dxa"/>
              <w:right w:w="15" w:type="dxa"/>
            </w:tcMar>
            <w:vAlign w:val="bottom"/>
            <w:hideMark/>
          </w:tcPr>
          <w:p w14:paraId="45036A39" w14:textId="77777777" w:rsidR="0053464B" w:rsidRPr="006A6461" w:rsidRDefault="0053464B" w:rsidP="0053464B">
            <w:pPr>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F0EDC0F" w14:textId="69597A6F"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6 175 766 000 </w:t>
            </w:r>
          </w:p>
        </w:tc>
        <w:tc>
          <w:tcPr>
            <w:tcW w:w="0" w:type="auto"/>
            <w:tcBorders>
              <w:top w:val="single" w:sz="4" w:space="0" w:color="auto"/>
              <w:left w:val="single" w:sz="4" w:space="0" w:color="auto"/>
              <w:bottom w:val="nil"/>
              <w:right w:val="single" w:sz="4" w:space="0" w:color="auto"/>
            </w:tcBorders>
            <w:shd w:val="clear" w:color="000000" w:fill="FFFFFF"/>
            <w:noWrap/>
            <w:tcMar>
              <w:top w:w="15" w:type="dxa"/>
              <w:left w:w="15" w:type="dxa"/>
              <w:bottom w:w="0" w:type="dxa"/>
              <w:right w:w="15" w:type="dxa"/>
            </w:tcMar>
            <w:vAlign w:val="bottom"/>
            <w:hideMark/>
          </w:tcPr>
          <w:p w14:paraId="681CECA2" w14:textId="77777777" w:rsidR="0053464B" w:rsidRPr="006A6461" w:rsidRDefault="0053464B" w:rsidP="0053464B">
            <w:pPr>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8AF041B" w14:textId="0F892771" w:rsidR="0053464B" w:rsidRPr="0053464B" w:rsidRDefault="0053464B" w:rsidP="0053464B">
            <w:pPr>
              <w:jc w:val="right"/>
              <w:rPr>
                <w:rFonts w:ascii="Times New Roman" w:hAnsi="Times New Roman" w:cs="Times New Roman"/>
                <w:noProof/>
                <w:color w:val="000000"/>
                <w:sz w:val="20"/>
                <w:szCs w:val="20"/>
              </w:rPr>
            </w:pPr>
            <w:r>
              <w:rPr>
                <w:rFonts w:ascii="Times New Roman" w:hAnsi="Times New Roman"/>
                <w:noProof/>
                <w:sz w:val="20"/>
              </w:rPr>
              <w:t>245 984 060</w:t>
            </w:r>
          </w:p>
        </w:tc>
        <w:tc>
          <w:tcPr>
            <w:tcW w:w="0" w:type="auto"/>
            <w:vAlign w:val="center"/>
            <w:hideMark/>
          </w:tcPr>
          <w:p w14:paraId="2D3D3FF3" w14:textId="77777777" w:rsidR="0053464B" w:rsidRPr="006A6461" w:rsidRDefault="0053464B" w:rsidP="0053464B">
            <w:pPr>
              <w:rPr>
                <w:rFonts w:ascii="Times New Roman" w:hAnsi="Times New Roman" w:cs="Times New Roman"/>
                <w:noProof/>
                <w:sz w:val="20"/>
                <w:szCs w:val="20"/>
              </w:rPr>
            </w:pPr>
          </w:p>
        </w:tc>
      </w:tr>
      <w:tr w:rsidR="0053464B" w:rsidRPr="006A6461" w14:paraId="36BD03DE" w14:textId="77777777" w:rsidTr="00F220D1">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B19DB7" w14:textId="77777777" w:rsidR="0053464B" w:rsidRPr="006A6461" w:rsidRDefault="0053464B" w:rsidP="0053464B">
            <w:pPr>
              <w:rPr>
                <w:rFonts w:ascii="Times New Roman" w:hAnsi="Times New Roman" w:cs="Times New Roman"/>
                <w:b/>
                <w:bCs/>
                <w:noProof/>
                <w:color w:val="000000"/>
                <w:sz w:val="20"/>
                <w:szCs w:val="20"/>
              </w:rPr>
            </w:pPr>
            <w:r>
              <w:rPr>
                <w:rFonts w:ascii="Times New Roman" w:hAnsi="Times New Roman"/>
                <w:b/>
                <w:noProof/>
                <w:color w:val="000000"/>
                <w:sz w:val="20"/>
              </w:rPr>
              <w:t>BG</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6FC364B" w14:textId="795913CC"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986 492 000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74BBB9A7"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0CE36C6" w14:textId="48B7F3E6"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966 326 000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6218348D"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5A4F145" w14:textId="1BBAE668" w:rsidR="0053464B" w:rsidRPr="0053464B" w:rsidRDefault="0053464B" w:rsidP="0053464B">
            <w:pPr>
              <w:jc w:val="right"/>
              <w:rPr>
                <w:rFonts w:ascii="Times New Roman" w:hAnsi="Times New Roman" w:cs="Times New Roman"/>
                <w:noProof/>
                <w:color w:val="000000"/>
                <w:sz w:val="20"/>
                <w:szCs w:val="20"/>
              </w:rPr>
            </w:pPr>
            <w:r>
              <w:rPr>
                <w:rFonts w:ascii="Times New Roman" w:hAnsi="Times New Roman"/>
                <w:noProof/>
                <w:sz w:val="20"/>
              </w:rPr>
              <w:t>19 685 586</w:t>
            </w:r>
          </w:p>
        </w:tc>
        <w:tc>
          <w:tcPr>
            <w:tcW w:w="0" w:type="auto"/>
            <w:vAlign w:val="center"/>
            <w:hideMark/>
          </w:tcPr>
          <w:p w14:paraId="33C8BB0F" w14:textId="77777777" w:rsidR="0053464B" w:rsidRPr="006A6461" w:rsidRDefault="0053464B" w:rsidP="0053464B">
            <w:pPr>
              <w:rPr>
                <w:rFonts w:ascii="Times New Roman" w:hAnsi="Times New Roman" w:cs="Times New Roman"/>
                <w:noProof/>
                <w:sz w:val="20"/>
                <w:szCs w:val="20"/>
              </w:rPr>
            </w:pPr>
          </w:p>
        </w:tc>
      </w:tr>
      <w:tr w:rsidR="0053464B" w:rsidRPr="006A6461" w14:paraId="0282DEC9" w14:textId="77777777" w:rsidTr="00F220D1">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4A3830" w14:textId="77777777" w:rsidR="0053464B" w:rsidRPr="006A6461" w:rsidRDefault="0053464B" w:rsidP="0053464B">
            <w:pPr>
              <w:rPr>
                <w:rFonts w:ascii="Times New Roman" w:hAnsi="Times New Roman" w:cs="Times New Roman"/>
                <w:b/>
                <w:bCs/>
                <w:noProof/>
                <w:color w:val="000000"/>
                <w:sz w:val="20"/>
                <w:szCs w:val="20"/>
              </w:rPr>
            </w:pPr>
            <w:r>
              <w:rPr>
                <w:rFonts w:ascii="Times New Roman" w:hAnsi="Times New Roman"/>
                <w:b/>
                <w:noProof/>
                <w:color w:val="000000"/>
                <w:sz w:val="20"/>
              </w:rPr>
              <w:t>CZ</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65A496E" w14:textId="36749D5D"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3 303 904 000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20BFB916"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62C3657" w14:textId="5E34C7F3"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3 001 192 000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192D8E09"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3AEAE70" w14:textId="101C150E" w:rsidR="0053464B" w:rsidRPr="0053464B" w:rsidRDefault="0053464B" w:rsidP="0053464B">
            <w:pPr>
              <w:jc w:val="right"/>
              <w:rPr>
                <w:rFonts w:ascii="Times New Roman" w:hAnsi="Times New Roman" w:cs="Times New Roman"/>
                <w:noProof/>
                <w:color w:val="000000"/>
                <w:sz w:val="20"/>
                <w:szCs w:val="20"/>
              </w:rPr>
            </w:pPr>
            <w:r>
              <w:rPr>
                <w:rFonts w:ascii="Times New Roman" w:hAnsi="Times New Roman"/>
                <w:noProof/>
                <w:sz w:val="20"/>
              </w:rPr>
              <w:t>- 53 546 920</w:t>
            </w:r>
          </w:p>
        </w:tc>
        <w:tc>
          <w:tcPr>
            <w:tcW w:w="0" w:type="auto"/>
            <w:vAlign w:val="center"/>
            <w:hideMark/>
          </w:tcPr>
          <w:p w14:paraId="5F66B6E2" w14:textId="77777777" w:rsidR="0053464B" w:rsidRPr="006A6461" w:rsidRDefault="0053464B" w:rsidP="0053464B">
            <w:pPr>
              <w:rPr>
                <w:rFonts w:ascii="Times New Roman" w:hAnsi="Times New Roman" w:cs="Times New Roman"/>
                <w:noProof/>
                <w:sz w:val="20"/>
                <w:szCs w:val="20"/>
              </w:rPr>
            </w:pPr>
          </w:p>
        </w:tc>
      </w:tr>
      <w:tr w:rsidR="0053464B" w:rsidRPr="006A6461" w14:paraId="04199128" w14:textId="77777777" w:rsidTr="00F220D1">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A980F6" w14:textId="77777777" w:rsidR="0053464B" w:rsidRPr="006A6461" w:rsidRDefault="0053464B" w:rsidP="0053464B">
            <w:pPr>
              <w:rPr>
                <w:rFonts w:ascii="Times New Roman" w:hAnsi="Times New Roman" w:cs="Times New Roman"/>
                <w:b/>
                <w:bCs/>
                <w:noProof/>
                <w:color w:val="000000"/>
                <w:sz w:val="20"/>
                <w:szCs w:val="20"/>
              </w:rPr>
            </w:pPr>
            <w:r>
              <w:rPr>
                <w:rFonts w:ascii="Times New Roman" w:hAnsi="Times New Roman"/>
                <w:b/>
                <w:noProof/>
                <w:color w:val="000000"/>
                <w:sz w:val="20"/>
              </w:rPr>
              <w:t>DK</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EC54333" w14:textId="32C5C07E"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4 024 834 000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40AFC03D"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16EAD4B" w14:textId="29E79E6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4 026 848 000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7DFAD482"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AB77D42" w14:textId="6C25DAC7" w:rsidR="0053464B" w:rsidRPr="0053464B" w:rsidRDefault="0053464B" w:rsidP="0053464B">
            <w:pPr>
              <w:jc w:val="right"/>
              <w:rPr>
                <w:rFonts w:ascii="Times New Roman" w:hAnsi="Times New Roman" w:cs="Times New Roman"/>
                <w:noProof/>
                <w:color w:val="000000"/>
                <w:sz w:val="20"/>
                <w:szCs w:val="20"/>
              </w:rPr>
            </w:pPr>
            <w:r>
              <w:rPr>
                <w:rFonts w:ascii="Times New Roman" w:hAnsi="Times New Roman"/>
                <w:noProof/>
                <w:sz w:val="20"/>
              </w:rPr>
              <w:t>123 138 705</w:t>
            </w:r>
          </w:p>
        </w:tc>
        <w:tc>
          <w:tcPr>
            <w:tcW w:w="0" w:type="auto"/>
            <w:vAlign w:val="center"/>
            <w:hideMark/>
          </w:tcPr>
          <w:p w14:paraId="0C4D1489" w14:textId="77777777" w:rsidR="0053464B" w:rsidRPr="006A6461" w:rsidRDefault="0053464B" w:rsidP="0053464B">
            <w:pPr>
              <w:rPr>
                <w:rFonts w:ascii="Times New Roman" w:hAnsi="Times New Roman" w:cs="Times New Roman"/>
                <w:noProof/>
                <w:sz w:val="20"/>
                <w:szCs w:val="20"/>
              </w:rPr>
            </w:pPr>
          </w:p>
        </w:tc>
      </w:tr>
      <w:tr w:rsidR="0053464B" w:rsidRPr="006A6461" w14:paraId="28B6340B" w14:textId="77777777" w:rsidTr="00F220D1">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E266A6" w14:textId="77777777" w:rsidR="0053464B" w:rsidRPr="006A6461" w:rsidRDefault="0053464B" w:rsidP="0053464B">
            <w:pPr>
              <w:rPr>
                <w:rFonts w:ascii="Times New Roman" w:hAnsi="Times New Roman" w:cs="Times New Roman"/>
                <w:b/>
                <w:bCs/>
                <w:noProof/>
                <w:color w:val="000000"/>
                <w:sz w:val="20"/>
                <w:szCs w:val="20"/>
              </w:rPr>
            </w:pPr>
            <w:r>
              <w:rPr>
                <w:rFonts w:ascii="Times New Roman" w:hAnsi="Times New Roman"/>
                <w:b/>
                <w:noProof/>
                <w:color w:val="000000"/>
                <w:sz w:val="20"/>
              </w:rPr>
              <w:t>DE</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F88D434" w14:textId="48838A2F"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44 177 819 000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3F41D04B"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AE09B65" w14:textId="6ECB731F"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44 454 509 000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75B65CD6"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0147434" w14:textId="14CA9A84" w:rsidR="0053464B" w:rsidRPr="0053464B" w:rsidRDefault="0053464B" w:rsidP="0053464B">
            <w:pPr>
              <w:jc w:val="right"/>
              <w:rPr>
                <w:rFonts w:ascii="Times New Roman" w:hAnsi="Times New Roman" w:cs="Times New Roman"/>
                <w:noProof/>
                <w:color w:val="000000"/>
                <w:sz w:val="20"/>
                <w:szCs w:val="20"/>
              </w:rPr>
            </w:pPr>
            <w:r>
              <w:rPr>
                <w:rFonts w:ascii="Times New Roman" w:hAnsi="Times New Roman"/>
                <w:noProof/>
                <w:sz w:val="20"/>
              </w:rPr>
              <w:t>1 480 946 473</w:t>
            </w:r>
          </w:p>
        </w:tc>
        <w:tc>
          <w:tcPr>
            <w:tcW w:w="0" w:type="auto"/>
            <w:vAlign w:val="center"/>
            <w:hideMark/>
          </w:tcPr>
          <w:p w14:paraId="5BBACF79" w14:textId="77777777" w:rsidR="0053464B" w:rsidRPr="006A6461" w:rsidRDefault="0053464B" w:rsidP="0053464B">
            <w:pPr>
              <w:rPr>
                <w:rFonts w:ascii="Times New Roman" w:hAnsi="Times New Roman" w:cs="Times New Roman"/>
                <w:noProof/>
                <w:sz w:val="20"/>
                <w:szCs w:val="20"/>
              </w:rPr>
            </w:pPr>
          </w:p>
        </w:tc>
      </w:tr>
      <w:tr w:rsidR="0053464B" w:rsidRPr="006A6461" w14:paraId="316C0BE2" w14:textId="77777777" w:rsidTr="00F220D1">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F750BA" w14:textId="77777777" w:rsidR="0053464B" w:rsidRPr="006A6461" w:rsidRDefault="0053464B" w:rsidP="0053464B">
            <w:pPr>
              <w:rPr>
                <w:rFonts w:ascii="Times New Roman" w:hAnsi="Times New Roman" w:cs="Times New Roman"/>
                <w:b/>
                <w:bCs/>
                <w:noProof/>
                <w:color w:val="000000"/>
                <w:sz w:val="20"/>
                <w:szCs w:val="20"/>
              </w:rPr>
            </w:pPr>
            <w:r>
              <w:rPr>
                <w:rFonts w:ascii="Times New Roman" w:hAnsi="Times New Roman"/>
                <w:b/>
                <w:noProof/>
                <w:color w:val="000000"/>
                <w:sz w:val="20"/>
              </w:rPr>
              <w:t>EE</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AE0DB64" w14:textId="71B2D109"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411 271 000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7F4D73D9"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9625AF2" w14:textId="4676F2F5"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379 844 000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2D47CD5B"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69DF4ED" w14:textId="16C5718E" w:rsidR="0053464B" w:rsidRPr="0053464B" w:rsidRDefault="0053464B" w:rsidP="0053464B">
            <w:pPr>
              <w:jc w:val="right"/>
              <w:rPr>
                <w:rFonts w:ascii="Times New Roman" w:hAnsi="Times New Roman" w:cs="Times New Roman"/>
                <w:noProof/>
                <w:color w:val="000000"/>
                <w:sz w:val="20"/>
                <w:szCs w:val="20"/>
              </w:rPr>
            </w:pPr>
            <w:r>
              <w:rPr>
                <w:rFonts w:ascii="Times New Roman" w:hAnsi="Times New Roman"/>
                <w:noProof/>
                <w:sz w:val="20"/>
              </w:rPr>
              <w:t>- 3 487 923</w:t>
            </w:r>
          </w:p>
        </w:tc>
        <w:tc>
          <w:tcPr>
            <w:tcW w:w="0" w:type="auto"/>
            <w:vAlign w:val="center"/>
            <w:hideMark/>
          </w:tcPr>
          <w:p w14:paraId="64C9EBE8" w14:textId="77777777" w:rsidR="0053464B" w:rsidRPr="006A6461" w:rsidRDefault="0053464B" w:rsidP="0053464B">
            <w:pPr>
              <w:rPr>
                <w:rFonts w:ascii="Times New Roman" w:hAnsi="Times New Roman" w:cs="Times New Roman"/>
                <w:noProof/>
                <w:sz w:val="20"/>
                <w:szCs w:val="20"/>
              </w:rPr>
            </w:pPr>
          </w:p>
        </w:tc>
      </w:tr>
      <w:tr w:rsidR="0053464B" w:rsidRPr="006A6461" w14:paraId="20CAF318" w14:textId="77777777" w:rsidTr="00F220D1">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10A676" w14:textId="77777777" w:rsidR="0053464B" w:rsidRPr="006A6461" w:rsidRDefault="0053464B" w:rsidP="0053464B">
            <w:pPr>
              <w:rPr>
                <w:rFonts w:ascii="Times New Roman" w:hAnsi="Times New Roman" w:cs="Times New Roman"/>
                <w:b/>
                <w:bCs/>
                <w:noProof/>
                <w:color w:val="000000"/>
                <w:sz w:val="20"/>
                <w:szCs w:val="20"/>
              </w:rPr>
            </w:pPr>
            <w:r>
              <w:rPr>
                <w:rFonts w:ascii="Times New Roman" w:hAnsi="Times New Roman"/>
                <w:b/>
                <w:noProof/>
                <w:color w:val="000000"/>
                <w:sz w:val="20"/>
              </w:rPr>
              <w:t>IE</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ECEA9AD" w14:textId="5C5387A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4 306 468 000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49501D26"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17B29B3" w14:textId="0E0C608E"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4 075 316 000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0CFB8B47"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91ACEB4" w14:textId="0346EA93" w:rsidR="0053464B" w:rsidRPr="0053464B" w:rsidRDefault="0053464B" w:rsidP="0053464B">
            <w:pPr>
              <w:jc w:val="right"/>
              <w:rPr>
                <w:rFonts w:ascii="Times New Roman" w:hAnsi="Times New Roman" w:cs="Times New Roman"/>
                <w:noProof/>
                <w:color w:val="000000"/>
                <w:sz w:val="20"/>
                <w:szCs w:val="20"/>
              </w:rPr>
            </w:pPr>
            <w:r>
              <w:rPr>
                <w:rFonts w:ascii="Times New Roman" w:hAnsi="Times New Roman"/>
                <w:noProof/>
                <w:sz w:val="20"/>
              </w:rPr>
              <w:t>13 226 549</w:t>
            </w:r>
          </w:p>
        </w:tc>
        <w:tc>
          <w:tcPr>
            <w:tcW w:w="0" w:type="auto"/>
            <w:vAlign w:val="center"/>
            <w:hideMark/>
          </w:tcPr>
          <w:p w14:paraId="047893CE" w14:textId="77777777" w:rsidR="0053464B" w:rsidRPr="006A6461" w:rsidRDefault="0053464B" w:rsidP="0053464B">
            <w:pPr>
              <w:rPr>
                <w:rFonts w:ascii="Times New Roman" w:hAnsi="Times New Roman" w:cs="Times New Roman"/>
                <w:noProof/>
                <w:sz w:val="20"/>
                <w:szCs w:val="20"/>
              </w:rPr>
            </w:pPr>
          </w:p>
        </w:tc>
      </w:tr>
      <w:tr w:rsidR="0053464B" w:rsidRPr="006A6461" w14:paraId="46BE8E84" w14:textId="77777777" w:rsidTr="00F220D1">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DCAE78" w14:textId="77777777" w:rsidR="0053464B" w:rsidRPr="006A6461" w:rsidRDefault="0053464B" w:rsidP="0053464B">
            <w:pPr>
              <w:rPr>
                <w:rFonts w:ascii="Times New Roman" w:hAnsi="Times New Roman" w:cs="Times New Roman"/>
                <w:b/>
                <w:bCs/>
                <w:noProof/>
                <w:color w:val="000000"/>
                <w:sz w:val="20"/>
                <w:szCs w:val="20"/>
              </w:rPr>
            </w:pPr>
            <w:r>
              <w:rPr>
                <w:rFonts w:ascii="Times New Roman" w:hAnsi="Times New Roman"/>
                <w:b/>
                <w:noProof/>
                <w:color w:val="000000"/>
                <w:sz w:val="20"/>
              </w:rPr>
              <w:t>EL</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11E07C3" w14:textId="7D4233C4"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2 337 353 000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381C9955"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C333562" w14:textId="0BE0D778"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2 289 476 000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1393D2D6"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90C143D" w14:textId="52A1BAA1" w:rsidR="0053464B" w:rsidRPr="0053464B" w:rsidRDefault="0053464B" w:rsidP="0053464B">
            <w:pPr>
              <w:jc w:val="right"/>
              <w:rPr>
                <w:rFonts w:ascii="Times New Roman" w:hAnsi="Times New Roman" w:cs="Times New Roman"/>
                <w:noProof/>
                <w:color w:val="000000"/>
                <w:sz w:val="20"/>
                <w:szCs w:val="20"/>
              </w:rPr>
            </w:pPr>
            <w:r>
              <w:rPr>
                <w:rFonts w:ascii="Times New Roman" w:hAnsi="Times New Roman"/>
                <w:noProof/>
                <w:sz w:val="20"/>
              </w:rPr>
              <w:t>46 593 171</w:t>
            </w:r>
          </w:p>
        </w:tc>
        <w:tc>
          <w:tcPr>
            <w:tcW w:w="0" w:type="auto"/>
            <w:vAlign w:val="center"/>
            <w:hideMark/>
          </w:tcPr>
          <w:p w14:paraId="4F71405A" w14:textId="77777777" w:rsidR="0053464B" w:rsidRPr="006A6461" w:rsidRDefault="0053464B" w:rsidP="0053464B">
            <w:pPr>
              <w:rPr>
                <w:rFonts w:ascii="Times New Roman" w:hAnsi="Times New Roman" w:cs="Times New Roman"/>
                <w:noProof/>
                <w:sz w:val="20"/>
                <w:szCs w:val="20"/>
              </w:rPr>
            </w:pPr>
          </w:p>
        </w:tc>
      </w:tr>
      <w:tr w:rsidR="0053464B" w:rsidRPr="006A6461" w14:paraId="7F58D395" w14:textId="77777777" w:rsidTr="00F220D1">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6E4548" w14:textId="77777777" w:rsidR="0053464B" w:rsidRPr="006A6461" w:rsidRDefault="0053464B" w:rsidP="0053464B">
            <w:pPr>
              <w:rPr>
                <w:rFonts w:ascii="Times New Roman" w:hAnsi="Times New Roman" w:cs="Times New Roman"/>
                <w:b/>
                <w:bCs/>
                <w:noProof/>
                <w:color w:val="000000"/>
                <w:sz w:val="20"/>
                <w:szCs w:val="20"/>
              </w:rPr>
            </w:pPr>
            <w:r>
              <w:rPr>
                <w:rFonts w:ascii="Times New Roman" w:hAnsi="Times New Roman"/>
                <w:b/>
                <w:noProof/>
                <w:color w:val="000000"/>
                <w:sz w:val="20"/>
              </w:rPr>
              <w:t>ES</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C64A123" w14:textId="0B4503E3"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14 907 594 000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3B86AE95"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8E44F23" w14:textId="3ED781AF"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15 292 099 000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29BCD6B8"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C8624FD" w14:textId="2181994B" w:rsidR="0053464B" w:rsidRPr="0053464B" w:rsidRDefault="0053464B" w:rsidP="0053464B">
            <w:pPr>
              <w:jc w:val="right"/>
              <w:rPr>
                <w:rFonts w:ascii="Times New Roman" w:hAnsi="Times New Roman" w:cs="Times New Roman"/>
                <w:noProof/>
                <w:color w:val="000000"/>
                <w:sz w:val="20"/>
                <w:szCs w:val="20"/>
              </w:rPr>
            </w:pPr>
            <w:r>
              <w:rPr>
                <w:rFonts w:ascii="Times New Roman" w:hAnsi="Times New Roman"/>
                <w:noProof/>
                <w:sz w:val="20"/>
              </w:rPr>
              <w:t>647 646 974</w:t>
            </w:r>
          </w:p>
        </w:tc>
        <w:tc>
          <w:tcPr>
            <w:tcW w:w="0" w:type="auto"/>
            <w:vAlign w:val="center"/>
            <w:hideMark/>
          </w:tcPr>
          <w:p w14:paraId="5145D713" w14:textId="77777777" w:rsidR="0053464B" w:rsidRPr="006A6461" w:rsidRDefault="0053464B" w:rsidP="0053464B">
            <w:pPr>
              <w:rPr>
                <w:rFonts w:ascii="Times New Roman" w:hAnsi="Times New Roman" w:cs="Times New Roman"/>
                <w:noProof/>
                <w:sz w:val="20"/>
                <w:szCs w:val="20"/>
              </w:rPr>
            </w:pPr>
          </w:p>
        </w:tc>
      </w:tr>
      <w:tr w:rsidR="0053464B" w:rsidRPr="006A6461" w14:paraId="67D87D25" w14:textId="77777777" w:rsidTr="00F220D1">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B9F99C" w14:textId="77777777" w:rsidR="0053464B" w:rsidRPr="006A6461" w:rsidRDefault="0053464B" w:rsidP="0053464B">
            <w:pPr>
              <w:rPr>
                <w:rFonts w:ascii="Times New Roman" w:hAnsi="Times New Roman" w:cs="Times New Roman"/>
                <w:b/>
                <w:bCs/>
                <w:noProof/>
                <w:color w:val="000000"/>
                <w:sz w:val="20"/>
                <w:szCs w:val="20"/>
              </w:rPr>
            </w:pPr>
            <w:r>
              <w:rPr>
                <w:rFonts w:ascii="Times New Roman" w:hAnsi="Times New Roman"/>
                <w:b/>
                <w:noProof/>
                <w:color w:val="000000"/>
                <w:sz w:val="20"/>
              </w:rPr>
              <w:t>FR</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2A9A087" w14:textId="52751C8A"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30 027 033 000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30802021"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E5D5799" w14:textId="76E2350C"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29 677 446 000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1DF6589C"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EB20BDA" w14:textId="03E2A4D2" w:rsidR="0053464B" w:rsidRPr="0053464B" w:rsidRDefault="0053464B" w:rsidP="0053464B">
            <w:pPr>
              <w:jc w:val="right"/>
              <w:rPr>
                <w:rFonts w:ascii="Times New Roman" w:hAnsi="Times New Roman" w:cs="Times New Roman"/>
                <w:noProof/>
                <w:color w:val="000000"/>
                <w:sz w:val="20"/>
                <w:szCs w:val="20"/>
              </w:rPr>
            </w:pPr>
            <w:r>
              <w:rPr>
                <w:rFonts w:ascii="Times New Roman" w:hAnsi="Times New Roman"/>
                <w:noProof/>
                <w:sz w:val="20"/>
              </w:rPr>
              <w:t>733 432 191</w:t>
            </w:r>
          </w:p>
        </w:tc>
        <w:tc>
          <w:tcPr>
            <w:tcW w:w="0" w:type="auto"/>
            <w:vAlign w:val="center"/>
            <w:hideMark/>
          </w:tcPr>
          <w:p w14:paraId="5F7D5FFE" w14:textId="77777777" w:rsidR="0053464B" w:rsidRPr="006A6461" w:rsidRDefault="0053464B" w:rsidP="0053464B">
            <w:pPr>
              <w:rPr>
                <w:rFonts w:ascii="Times New Roman" w:hAnsi="Times New Roman" w:cs="Times New Roman"/>
                <w:noProof/>
                <w:sz w:val="20"/>
                <w:szCs w:val="20"/>
              </w:rPr>
            </w:pPr>
          </w:p>
        </w:tc>
      </w:tr>
      <w:tr w:rsidR="0053464B" w:rsidRPr="006A6461" w14:paraId="663D2178" w14:textId="77777777" w:rsidTr="00F220D1">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45E787" w14:textId="77777777" w:rsidR="0053464B" w:rsidRPr="006A6461" w:rsidRDefault="0053464B" w:rsidP="0053464B">
            <w:pPr>
              <w:rPr>
                <w:rFonts w:ascii="Times New Roman" w:hAnsi="Times New Roman" w:cs="Times New Roman"/>
                <w:b/>
                <w:bCs/>
                <w:noProof/>
                <w:color w:val="000000"/>
                <w:sz w:val="20"/>
                <w:szCs w:val="20"/>
              </w:rPr>
            </w:pPr>
            <w:r>
              <w:rPr>
                <w:rFonts w:ascii="Times New Roman" w:hAnsi="Times New Roman"/>
                <w:b/>
                <w:noProof/>
                <w:color w:val="000000"/>
                <w:sz w:val="20"/>
              </w:rPr>
              <w:t>HR</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FD0263F" w14:textId="5DDE6AF4"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775 338 000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7F5810A1"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082F735" w14:textId="1B272B84"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837 558 000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6B529CDE"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B58F126" w14:textId="28D9C636" w:rsidR="0053464B" w:rsidRPr="0053464B" w:rsidRDefault="0053464B" w:rsidP="0053464B">
            <w:pPr>
              <w:jc w:val="right"/>
              <w:rPr>
                <w:rFonts w:ascii="Times New Roman" w:hAnsi="Times New Roman" w:cs="Times New Roman"/>
                <w:noProof/>
                <w:color w:val="000000"/>
                <w:sz w:val="20"/>
                <w:szCs w:val="20"/>
              </w:rPr>
            </w:pPr>
            <w:r>
              <w:rPr>
                <w:rFonts w:ascii="Times New Roman" w:hAnsi="Times New Roman"/>
                <w:noProof/>
                <w:sz w:val="20"/>
              </w:rPr>
              <w:t>55 134 245</w:t>
            </w:r>
          </w:p>
        </w:tc>
        <w:tc>
          <w:tcPr>
            <w:tcW w:w="0" w:type="auto"/>
            <w:vAlign w:val="center"/>
            <w:hideMark/>
          </w:tcPr>
          <w:p w14:paraId="7E282C6C" w14:textId="77777777" w:rsidR="0053464B" w:rsidRPr="006A6461" w:rsidRDefault="0053464B" w:rsidP="0053464B">
            <w:pPr>
              <w:rPr>
                <w:rFonts w:ascii="Times New Roman" w:hAnsi="Times New Roman" w:cs="Times New Roman"/>
                <w:noProof/>
                <w:sz w:val="20"/>
                <w:szCs w:val="20"/>
              </w:rPr>
            </w:pPr>
          </w:p>
        </w:tc>
      </w:tr>
      <w:tr w:rsidR="0053464B" w:rsidRPr="006A6461" w14:paraId="5D3BF67C" w14:textId="77777777" w:rsidTr="00F220D1">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39EAB5" w14:textId="77777777" w:rsidR="0053464B" w:rsidRPr="006A6461" w:rsidRDefault="0053464B" w:rsidP="0053464B">
            <w:pPr>
              <w:rPr>
                <w:rFonts w:ascii="Times New Roman" w:hAnsi="Times New Roman" w:cs="Times New Roman"/>
                <w:b/>
                <w:bCs/>
                <w:noProof/>
                <w:color w:val="000000"/>
                <w:sz w:val="20"/>
                <w:szCs w:val="20"/>
              </w:rPr>
            </w:pPr>
            <w:r>
              <w:rPr>
                <w:rFonts w:ascii="Times New Roman" w:hAnsi="Times New Roman"/>
                <w:b/>
                <w:noProof/>
                <w:color w:val="000000"/>
                <w:sz w:val="20"/>
              </w:rPr>
              <w:t>IT</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2EE1419" w14:textId="117C052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21 373 179 000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5285BD9A"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FC79176" w14:textId="02344558"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21 539 329 000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562457DF"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B4BF787" w14:textId="4595C8C1" w:rsidR="0053464B" w:rsidRPr="0053464B" w:rsidRDefault="0053464B" w:rsidP="0053464B">
            <w:pPr>
              <w:jc w:val="right"/>
              <w:rPr>
                <w:rFonts w:ascii="Times New Roman" w:hAnsi="Times New Roman" w:cs="Times New Roman"/>
                <w:noProof/>
                <w:color w:val="000000"/>
                <w:sz w:val="20"/>
                <w:szCs w:val="20"/>
              </w:rPr>
            </w:pPr>
            <w:r>
              <w:rPr>
                <w:rFonts w:ascii="Times New Roman" w:hAnsi="Times New Roman"/>
                <w:noProof/>
                <w:sz w:val="20"/>
              </w:rPr>
              <w:t>732 883 590</w:t>
            </w:r>
          </w:p>
        </w:tc>
        <w:tc>
          <w:tcPr>
            <w:tcW w:w="0" w:type="auto"/>
            <w:vAlign w:val="center"/>
            <w:hideMark/>
          </w:tcPr>
          <w:p w14:paraId="3C63D700" w14:textId="77777777" w:rsidR="0053464B" w:rsidRPr="006A6461" w:rsidRDefault="0053464B" w:rsidP="0053464B">
            <w:pPr>
              <w:rPr>
                <w:rFonts w:ascii="Times New Roman" w:hAnsi="Times New Roman" w:cs="Times New Roman"/>
                <w:noProof/>
                <w:sz w:val="20"/>
                <w:szCs w:val="20"/>
              </w:rPr>
            </w:pPr>
          </w:p>
        </w:tc>
      </w:tr>
      <w:tr w:rsidR="0053464B" w:rsidRPr="006A6461" w14:paraId="6712C70F" w14:textId="77777777" w:rsidTr="00F220D1">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6BEAEE" w14:textId="77777777" w:rsidR="0053464B" w:rsidRPr="006A6461" w:rsidRDefault="0053464B" w:rsidP="0053464B">
            <w:pPr>
              <w:rPr>
                <w:rFonts w:ascii="Times New Roman" w:hAnsi="Times New Roman" w:cs="Times New Roman"/>
                <w:b/>
                <w:bCs/>
                <w:noProof/>
                <w:color w:val="000000"/>
                <w:sz w:val="20"/>
                <w:szCs w:val="20"/>
              </w:rPr>
            </w:pPr>
            <w:r>
              <w:rPr>
                <w:rFonts w:ascii="Times New Roman" w:hAnsi="Times New Roman"/>
                <w:b/>
                <w:noProof/>
                <w:color w:val="000000"/>
                <w:sz w:val="20"/>
              </w:rPr>
              <w:t>CY</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7209E47" w14:textId="2CB192E4"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282 122 000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2964E043"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DFC3558" w14:textId="17F23FB8"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286 692 000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6F9743FD"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91824A4" w14:textId="1E43645D" w:rsidR="0053464B" w:rsidRPr="0053464B" w:rsidRDefault="0053464B" w:rsidP="0053464B">
            <w:pPr>
              <w:jc w:val="right"/>
              <w:rPr>
                <w:rFonts w:ascii="Times New Roman" w:hAnsi="Times New Roman" w:cs="Times New Roman"/>
                <w:noProof/>
                <w:color w:val="000000"/>
                <w:sz w:val="20"/>
                <w:szCs w:val="20"/>
              </w:rPr>
            </w:pPr>
            <w:r>
              <w:rPr>
                <w:rFonts w:ascii="Times New Roman" w:hAnsi="Times New Roman"/>
                <w:noProof/>
                <w:sz w:val="20"/>
              </w:rPr>
              <w:t>10 881 457</w:t>
            </w:r>
          </w:p>
        </w:tc>
        <w:tc>
          <w:tcPr>
            <w:tcW w:w="0" w:type="auto"/>
            <w:vAlign w:val="center"/>
            <w:hideMark/>
          </w:tcPr>
          <w:p w14:paraId="4E42786D" w14:textId="77777777" w:rsidR="0053464B" w:rsidRPr="006A6461" w:rsidRDefault="0053464B" w:rsidP="0053464B">
            <w:pPr>
              <w:rPr>
                <w:rFonts w:ascii="Times New Roman" w:hAnsi="Times New Roman" w:cs="Times New Roman"/>
                <w:noProof/>
                <w:sz w:val="20"/>
                <w:szCs w:val="20"/>
              </w:rPr>
            </w:pPr>
          </w:p>
        </w:tc>
      </w:tr>
      <w:tr w:rsidR="0053464B" w:rsidRPr="006A6461" w14:paraId="0BE10C3F" w14:textId="77777777" w:rsidTr="00F220D1">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6B8601" w14:textId="77777777" w:rsidR="0053464B" w:rsidRPr="006A6461" w:rsidRDefault="0053464B" w:rsidP="0053464B">
            <w:pPr>
              <w:rPr>
                <w:rFonts w:ascii="Times New Roman" w:hAnsi="Times New Roman" w:cs="Times New Roman"/>
                <w:b/>
                <w:bCs/>
                <w:noProof/>
                <w:color w:val="000000"/>
                <w:sz w:val="20"/>
                <w:szCs w:val="20"/>
              </w:rPr>
            </w:pPr>
            <w:r>
              <w:rPr>
                <w:rFonts w:ascii="Times New Roman" w:hAnsi="Times New Roman"/>
                <w:b/>
                <w:noProof/>
                <w:color w:val="000000"/>
                <w:sz w:val="20"/>
              </w:rPr>
              <w:t>LV</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600C25B" w14:textId="3C7D444A"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450 918 000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162D0FC7" w14:textId="7FA67439"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0,4776970 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9C2FC5D" w14:textId="1A509AE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417 641 000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28586908" w14:textId="2BAC641B"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0,5080375 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2C22B4D" w14:textId="2FEF7BF8" w:rsidR="0053464B" w:rsidRPr="0053464B" w:rsidRDefault="0053464B" w:rsidP="0053464B">
            <w:pPr>
              <w:jc w:val="right"/>
              <w:rPr>
                <w:rFonts w:ascii="Times New Roman" w:hAnsi="Times New Roman" w:cs="Times New Roman"/>
                <w:noProof/>
                <w:color w:val="000000"/>
                <w:sz w:val="20"/>
                <w:szCs w:val="20"/>
              </w:rPr>
            </w:pPr>
            <w:r>
              <w:rPr>
                <w:rFonts w:ascii="Times New Roman" w:hAnsi="Times New Roman"/>
                <w:noProof/>
                <w:sz w:val="20"/>
              </w:rPr>
              <w:t>- 3 224 882</w:t>
            </w:r>
          </w:p>
        </w:tc>
        <w:tc>
          <w:tcPr>
            <w:tcW w:w="0" w:type="auto"/>
            <w:vAlign w:val="center"/>
            <w:hideMark/>
          </w:tcPr>
          <w:p w14:paraId="4E04092E" w14:textId="77777777" w:rsidR="0053464B" w:rsidRPr="006A6461" w:rsidRDefault="0053464B" w:rsidP="0053464B">
            <w:pPr>
              <w:rPr>
                <w:rFonts w:ascii="Times New Roman" w:hAnsi="Times New Roman" w:cs="Times New Roman"/>
                <w:noProof/>
                <w:sz w:val="20"/>
                <w:szCs w:val="20"/>
              </w:rPr>
            </w:pPr>
          </w:p>
        </w:tc>
      </w:tr>
      <w:tr w:rsidR="0053464B" w:rsidRPr="006A6461" w14:paraId="1AAA18A7" w14:textId="77777777" w:rsidTr="00F220D1">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9F7AE4" w14:textId="77777777" w:rsidR="0053464B" w:rsidRPr="006A6461" w:rsidRDefault="0053464B" w:rsidP="0053464B">
            <w:pPr>
              <w:rPr>
                <w:rFonts w:ascii="Times New Roman" w:hAnsi="Times New Roman" w:cs="Times New Roman"/>
                <w:b/>
                <w:bCs/>
                <w:noProof/>
                <w:color w:val="000000"/>
                <w:sz w:val="20"/>
                <w:szCs w:val="20"/>
              </w:rPr>
            </w:pPr>
            <w:r>
              <w:rPr>
                <w:rFonts w:ascii="Times New Roman" w:hAnsi="Times New Roman"/>
                <w:b/>
                <w:noProof/>
                <w:color w:val="000000"/>
                <w:sz w:val="20"/>
              </w:rPr>
              <w:t>LT</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83A6AE6" w14:textId="2C6BBEA3"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764 050 000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6423CCE0"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C77869D" w14:textId="2153518F"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736 253 000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20741BB0"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15702EF" w14:textId="1A6E0BDE" w:rsidR="0053464B" w:rsidRPr="0053464B" w:rsidRDefault="0053464B" w:rsidP="0053464B">
            <w:pPr>
              <w:jc w:val="right"/>
              <w:rPr>
                <w:rFonts w:ascii="Times New Roman" w:hAnsi="Times New Roman" w:cs="Times New Roman"/>
                <w:noProof/>
                <w:color w:val="000000"/>
                <w:sz w:val="20"/>
                <w:szCs w:val="20"/>
              </w:rPr>
            </w:pPr>
            <w:r>
              <w:rPr>
                <w:rFonts w:ascii="Times New Roman" w:hAnsi="Times New Roman"/>
                <w:noProof/>
                <w:sz w:val="20"/>
              </w:rPr>
              <w:t>9 059 748</w:t>
            </w:r>
          </w:p>
        </w:tc>
        <w:tc>
          <w:tcPr>
            <w:tcW w:w="0" w:type="auto"/>
            <w:vAlign w:val="center"/>
            <w:hideMark/>
          </w:tcPr>
          <w:p w14:paraId="2218560E" w14:textId="77777777" w:rsidR="0053464B" w:rsidRPr="006A6461" w:rsidRDefault="0053464B" w:rsidP="0053464B">
            <w:pPr>
              <w:rPr>
                <w:rFonts w:ascii="Times New Roman" w:hAnsi="Times New Roman" w:cs="Times New Roman"/>
                <w:noProof/>
                <w:sz w:val="20"/>
                <w:szCs w:val="20"/>
              </w:rPr>
            </w:pPr>
          </w:p>
        </w:tc>
      </w:tr>
      <w:tr w:rsidR="0053464B" w:rsidRPr="006A6461" w14:paraId="2C2DAAFB" w14:textId="77777777" w:rsidTr="00F220D1">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806FAD" w14:textId="77777777" w:rsidR="0053464B" w:rsidRPr="006A6461" w:rsidRDefault="0053464B" w:rsidP="0053464B">
            <w:pPr>
              <w:rPr>
                <w:rFonts w:ascii="Times New Roman" w:hAnsi="Times New Roman" w:cs="Times New Roman"/>
                <w:b/>
                <w:bCs/>
                <w:noProof/>
                <w:color w:val="000000"/>
                <w:sz w:val="20"/>
                <w:szCs w:val="20"/>
              </w:rPr>
            </w:pPr>
            <w:r>
              <w:rPr>
                <w:rFonts w:ascii="Times New Roman" w:hAnsi="Times New Roman"/>
                <w:b/>
                <w:noProof/>
                <w:color w:val="000000"/>
                <w:sz w:val="20"/>
              </w:rPr>
              <w:t>LU</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C48EB61" w14:textId="2D518BC5"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583 760 000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147AD689"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78507A2" w14:textId="146C92EC"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541 913 000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55829EBA"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F102D59" w14:textId="5401537C" w:rsidR="0053464B" w:rsidRPr="0053464B" w:rsidRDefault="0053464B" w:rsidP="0053464B">
            <w:pPr>
              <w:jc w:val="right"/>
              <w:rPr>
                <w:rFonts w:ascii="Times New Roman" w:hAnsi="Times New Roman" w:cs="Times New Roman"/>
                <w:noProof/>
                <w:color w:val="000000"/>
                <w:sz w:val="20"/>
                <w:szCs w:val="20"/>
              </w:rPr>
            </w:pPr>
            <w:r>
              <w:rPr>
                <w:rFonts w:ascii="Times New Roman" w:hAnsi="Times New Roman"/>
                <w:noProof/>
                <w:sz w:val="20"/>
              </w:rPr>
              <w:t>- 3 548 270</w:t>
            </w:r>
          </w:p>
        </w:tc>
        <w:tc>
          <w:tcPr>
            <w:tcW w:w="0" w:type="auto"/>
            <w:vAlign w:val="center"/>
            <w:hideMark/>
          </w:tcPr>
          <w:p w14:paraId="7AA878C2" w14:textId="77777777" w:rsidR="0053464B" w:rsidRPr="006A6461" w:rsidRDefault="0053464B" w:rsidP="0053464B">
            <w:pPr>
              <w:rPr>
                <w:rFonts w:ascii="Times New Roman" w:hAnsi="Times New Roman" w:cs="Times New Roman"/>
                <w:noProof/>
                <w:sz w:val="20"/>
                <w:szCs w:val="20"/>
              </w:rPr>
            </w:pPr>
          </w:p>
        </w:tc>
      </w:tr>
      <w:tr w:rsidR="0053464B" w:rsidRPr="006A6461" w14:paraId="6493CCC8" w14:textId="77777777" w:rsidTr="00F220D1">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052670" w14:textId="77777777" w:rsidR="0053464B" w:rsidRPr="006A6461" w:rsidRDefault="0053464B" w:rsidP="0053464B">
            <w:pPr>
              <w:rPr>
                <w:rFonts w:ascii="Times New Roman" w:hAnsi="Times New Roman" w:cs="Times New Roman"/>
                <w:b/>
                <w:bCs/>
                <w:noProof/>
                <w:color w:val="000000"/>
                <w:sz w:val="20"/>
                <w:szCs w:val="20"/>
              </w:rPr>
            </w:pPr>
            <w:r>
              <w:rPr>
                <w:rFonts w:ascii="Times New Roman" w:hAnsi="Times New Roman"/>
                <w:b/>
                <w:noProof/>
                <w:color w:val="000000"/>
                <w:sz w:val="20"/>
              </w:rPr>
              <w:t>HU</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3A08CED" w14:textId="244D3583"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2 122 059 000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314B2BDA"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BDE162D" w14:textId="7BFE81AA"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2 039 195 000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020576DF"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6ADF72B" w14:textId="0ACA1373" w:rsidR="0053464B" w:rsidRPr="0053464B" w:rsidRDefault="0053464B" w:rsidP="0053464B">
            <w:pPr>
              <w:jc w:val="right"/>
              <w:rPr>
                <w:rFonts w:ascii="Times New Roman" w:hAnsi="Times New Roman" w:cs="Times New Roman"/>
                <w:noProof/>
                <w:color w:val="000000"/>
                <w:sz w:val="20"/>
                <w:szCs w:val="20"/>
              </w:rPr>
            </w:pPr>
            <w:r>
              <w:rPr>
                <w:rFonts w:ascii="Times New Roman" w:hAnsi="Times New Roman"/>
                <w:noProof/>
                <w:sz w:val="20"/>
              </w:rPr>
              <w:t>22 286 332</w:t>
            </w:r>
          </w:p>
        </w:tc>
        <w:tc>
          <w:tcPr>
            <w:tcW w:w="0" w:type="auto"/>
            <w:vAlign w:val="center"/>
            <w:hideMark/>
          </w:tcPr>
          <w:p w14:paraId="7AF00243" w14:textId="77777777" w:rsidR="0053464B" w:rsidRPr="006A6461" w:rsidRDefault="0053464B" w:rsidP="0053464B">
            <w:pPr>
              <w:rPr>
                <w:rFonts w:ascii="Times New Roman" w:hAnsi="Times New Roman" w:cs="Times New Roman"/>
                <w:noProof/>
                <w:sz w:val="20"/>
                <w:szCs w:val="20"/>
              </w:rPr>
            </w:pPr>
          </w:p>
        </w:tc>
      </w:tr>
      <w:tr w:rsidR="0053464B" w:rsidRPr="006A6461" w14:paraId="3762936C" w14:textId="77777777" w:rsidTr="00F220D1">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240C05" w14:textId="77777777" w:rsidR="0053464B" w:rsidRPr="006A6461" w:rsidRDefault="0053464B" w:rsidP="0053464B">
            <w:pPr>
              <w:rPr>
                <w:rFonts w:ascii="Times New Roman" w:hAnsi="Times New Roman" w:cs="Times New Roman"/>
                <w:b/>
                <w:bCs/>
                <w:noProof/>
                <w:color w:val="000000"/>
                <w:sz w:val="20"/>
                <w:szCs w:val="20"/>
              </w:rPr>
            </w:pPr>
            <w:r>
              <w:rPr>
                <w:rFonts w:ascii="Times New Roman" w:hAnsi="Times New Roman"/>
                <w:b/>
                <w:noProof/>
                <w:color w:val="000000"/>
                <w:sz w:val="20"/>
              </w:rPr>
              <w:t>MT</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2EDDCDB" w14:textId="1E2491EA"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179 697 000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1A3E8A83"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C548BF8" w14:textId="514AF7E5"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188 268 000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028A94C5"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979FDCB" w14:textId="0558E76A" w:rsidR="0053464B" w:rsidRPr="0053464B" w:rsidRDefault="0053464B" w:rsidP="0053464B">
            <w:pPr>
              <w:jc w:val="right"/>
              <w:rPr>
                <w:rFonts w:ascii="Times New Roman" w:hAnsi="Times New Roman" w:cs="Times New Roman"/>
                <w:noProof/>
                <w:color w:val="000000"/>
                <w:sz w:val="20"/>
                <w:szCs w:val="20"/>
              </w:rPr>
            </w:pPr>
            <w:r>
              <w:rPr>
                <w:rFonts w:ascii="Times New Roman" w:hAnsi="Times New Roman"/>
                <w:noProof/>
                <w:sz w:val="20"/>
              </w:rPr>
              <w:t>9 806 488</w:t>
            </w:r>
          </w:p>
        </w:tc>
        <w:tc>
          <w:tcPr>
            <w:tcW w:w="0" w:type="auto"/>
            <w:vAlign w:val="center"/>
            <w:hideMark/>
          </w:tcPr>
          <w:p w14:paraId="780A1F60" w14:textId="77777777" w:rsidR="0053464B" w:rsidRPr="006A6461" w:rsidRDefault="0053464B" w:rsidP="0053464B">
            <w:pPr>
              <w:rPr>
                <w:rFonts w:ascii="Times New Roman" w:hAnsi="Times New Roman" w:cs="Times New Roman"/>
                <w:noProof/>
                <w:sz w:val="20"/>
                <w:szCs w:val="20"/>
              </w:rPr>
            </w:pPr>
          </w:p>
        </w:tc>
      </w:tr>
      <w:tr w:rsidR="0053464B" w:rsidRPr="006A6461" w14:paraId="0BEDED31" w14:textId="77777777" w:rsidTr="00F220D1">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BE5F4A" w14:textId="77777777" w:rsidR="0053464B" w:rsidRPr="006A6461" w:rsidRDefault="0053464B" w:rsidP="0053464B">
            <w:pPr>
              <w:rPr>
                <w:rFonts w:ascii="Times New Roman" w:hAnsi="Times New Roman" w:cs="Times New Roman"/>
                <w:b/>
                <w:bCs/>
                <w:noProof/>
                <w:color w:val="000000"/>
                <w:sz w:val="20"/>
                <w:szCs w:val="20"/>
              </w:rPr>
            </w:pPr>
            <w:r>
              <w:rPr>
                <w:rFonts w:ascii="Times New Roman" w:hAnsi="Times New Roman"/>
                <w:b/>
                <w:noProof/>
                <w:color w:val="000000"/>
                <w:sz w:val="20"/>
              </w:rPr>
              <w:t>NL</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15A778B" w14:textId="0F4A9096"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10 430 238 000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76A8EB48"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957168D" w14:textId="2D4047BE"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10 756 903 000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2D09008E"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D671F8D" w14:textId="3EB28FAB" w:rsidR="0053464B" w:rsidRPr="0053464B" w:rsidRDefault="0053464B" w:rsidP="0053464B">
            <w:pPr>
              <w:jc w:val="right"/>
              <w:rPr>
                <w:rFonts w:ascii="Times New Roman" w:hAnsi="Times New Roman" w:cs="Times New Roman"/>
                <w:noProof/>
                <w:color w:val="000000"/>
                <w:sz w:val="20"/>
                <w:szCs w:val="20"/>
              </w:rPr>
            </w:pPr>
            <w:r>
              <w:rPr>
                <w:rFonts w:ascii="Times New Roman" w:hAnsi="Times New Roman"/>
                <w:noProof/>
                <w:sz w:val="20"/>
              </w:rPr>
              <w:t>482 416 818</w:t>
            </w:r>
          </w:p>
        </w:tc>
        <w:tc>
          <w:tcPr>
            <w:tcW w:w="0" w:type="auto"/>
            <w:vAlign w:val="center"/>
            <w:hideMark/>
          </w:tcPr>
          <w:p w14:paraId="08324782" w14:textId="77777777" w:rsidR="0053464B" w:rsidRPr="006A6461" w:rsidRDefault="0053464B" w:rsidP="0053464B">
            <w:pPr>
              <w:rPr>
                <w:rFonts w:ascii="Times New Roman" w:hAnsi="Times New Roman" w:cs="Times New Roman"/>
                <w:noProof/>
                <w:sz w:val="20"/>
                <w:szCs w:val="20"/>
              </w:rPr>
            </w:pPr>
          </w:p>
        </w:tc>
      </w:tr>
      <w:tr w:rsidR="0053464B" w:rsidRPr="006A6461" w14:paraId="705EC663" w14:textId="77777777" w:rsidTr="00F220D1">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B135A9" w14:textId="77777777" w:rsidR="0053464B" w:rsidRPr="006A6461" w:rsidRDefault="0053464B" w:rsidP="0053464B">
            <w:pPr>
              <w:rPr>
                <w:rFonts w:ascii="Times New Roman" w:hAnsi="Times New Roman" w:cs="Times New Roman"/>
                <w:b/>
                <w:bCs/>
                <w:noProof/>
                <w:color w:val="000000"/>
                <w:sz w:val="20"/>
                <w:szCs w:val="20"/>
              </w:rPr>
            </w:pPr>
            <w:r>
              <w:rPr>
                <w:rFonts w:ascii="Times New Roman" w:hAnsi="Times New Roman"/>
                <w:b/>
                <w:noProof/>
                <w:color w:val="000000"/>
                <w:sz w:val="20"/>
              </w:rPr>
              <w:t>AT</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6646B76" w14:textId="71818A4C"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5 082 933 000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157B6A42"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AA81808" w14:textId="1AE98D85"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4 974 837 000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5DAEAB45"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0ED5108" w14:textId="633E7BDE" w:rsidR="0053464B" w:rsidRPr="0053464B" w:rsidRDefault="0053464B" w:rsidP="0053464B">
            <w:pPr>
              <w:jc w:val="right"/>
              <w:rPr>
                <w:rFonts w:ascii="Times New Roman" w:hAnsi="Times New Roman" w:cs="Times New Roman"/>
                <w:noProof/>
                <w:color w:val="000000"/>
                <w:sz w:val="20"/>
                <w:szCs w:val="20"/>
              </w:rPr>
            </w:pPr>
            <w:r>
              <w:rPr>
                <w:rFonts w:ascii="Times New Roman" w:hAnsi="Times New Roman"/>
                <w:noProof/>
                <w:sz w:val="20"/>
              </w:rPr>
              <w:t>99 301 957</w:t>
            </w:r>
          </w:p>
        </w:tc>
        <w:tc>
          <w:tcPr>
            <w:tcW w:w="0" w:type="auto"/>
            <w:vAlign w:val="center"/>
            <w:hideMark/>
          </w:tcPr>
          <w:p w14:paraId="7B4A6703" w14:textId="77777777" w:rsidR="0053464B" w:rsidRPr="006A6461" w:rsidRDefault="0053464B" w:rsidP="0053464B">
            <w:pPr>
              <w:rPr>
                <w:rFonts w:ascii="Times New Roman" w:hAnsi="Times New Roman" w:cs="Times New Roman"/>
                <w:noProof/>
                <w:sz w:val="20"/>
                <w:szCs w:val="20"/>
              </w:rPr>
            </w:pPr>
          </w:p>
        </w:tc>
      </w:tr>
      <w:tr w:rsidR="0053464B" w:rsidRPr="006A6461" w14:paraId="62AE520A" w14:textId="77777777" w:rsidTr="00F220D1">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EDBE2B" w14:textId="77777777" w:rsidR="0053464B" w:rsidRPr="006A6461" w:rsidRDefault="0053464B" w:rsidP="0053464B">
            <w:pPr>
              <w:rPr>
                <w:rFonts w:ascii="Times New Roman" w:hAnsi="Times New Roman" w:cs="Times New Roman"/>
                <w:b/>
                <w:bCs/>
                <w:noProof/>
                <w:color w:val="000000"/>
                <w:sz w:val="20"/>
                <w:szCs w:val="20"/>
              </w:rPr>
            </w:pPr>
            <w:r>
              <w:rPr>
                <w:rFonts w:ascii="Times New Roman" w:hAnsi="Times New Roman"/>
                <w:b/>
                <w:noProof/>
                <w:color w:val="000000"/>
                <w:sz w:val="20"/>
              </w:rPr>
              <w:t>PL</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1A581B8" w14:textId="49F806CF"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7 884 404 000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456E1A54"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BF4E1FC" w14:textId="0F915382"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8 116 331 000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6C8E3AD7"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7743016" w14:textId="6F22F14D" w:rsidR="0053464B" w:rsidRPr="0053464B" w:rsidRDefault="0053464B" w:rsidP="0053464B">
            <w:pPr>
              <w:jc w:val="right"/>
              <w:rPr>
                <w:rFonts w:ascii="Times New Roman" w:hAnsi="Times New Roman" w:cs="Times New Roman"/>
                <w:noProof/>
                <w:color w:val="000000"/>
                <w:sz w:val="20"/>
                <w:szCs w:val="20"/>
              </w:rPr>
            </w:pPr>
            <w:r>
              <w:rPr>
                <w:rFonts w:ascii="Times New Roman" w:hAnsi="Times New Roman"/>
                <w:noProof/>
                <w:sz w:val="20"/>
              </w:rPr>
              <w:t>357 044 457</w:t>
            </w:r>
          </w:p>
        </w:tc>
        <w:tc>
          <w:tcPr>
            <w:tcW w:w="0" w:type="auto"/>
            <w:vAlign w:val="center"/>
            <w:hideMark/>
          </w:tcPr>
          <w:p w14:paraId="2F6577B6" w14:textId="77777777" w:rsidR="0053464B" w:rsidRPr="006A6461" w:rsidRDefault="0053464B" w:rsidP="0053464B">
            <w:pPr>
              <w:rPr>
                <w:rFonts w:ascii="Times New Roman" w:hAnsi="Times New Roman" w:cs="Times New Roman"/>
                <w:noProof/>
                <w:sz w:val="20"/>
                <w:szCs w:val="20"/>
              </w:rPr>
            </w:pPr>
          </w:p>
        </w:tc>
      </w:tr>
      <w:tr w:rsidR="0053464B" w:rsidRPr="006A6461" w14:paraId="180FB5F0" w14:textId="77777777" w:rsidTr="00F220D1">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8E2A11" w14:textId="77777777" w:rsidR="0053464B" w:rsidRPr="006A6461" w:rsidRDefault="0053464B" w:rsidP="0053464B">
            <w:pPr>
              <w:rPr>
                <w:rFonts w:ascii="Times New Roman" w:hAnsi="Times New Roman" w:cs="Times New Roman"/>
                <w:b/>
                <w:bCs/>
                <w:noProof/>
                <w:color w:val="000000"/>
                <w:sz w:val="20"/>
                <w:szCs w:val="20"/>
              </w:rPr>
            </w:pPr>
            <w:r>
              <w:rPr>
                <w:rFonts w:ascii="Times New Roman" w:hAnsi="Times New Roman"/>
                <w:b/>
                <w:noProof/>
                <w:color w:val="000000"/>
                <w:sz w:val="20"/>
              </w:rPr>
              <w:t>PT</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CF09F3F" w14:textId="4B2A0AB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2 651 464 000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661A2241"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3A106E3" w14:textId="553D4AE9"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2 732 320 000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2391DBD4"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DAB11AF" w14:textId="2A900844" w:rsidR="0053464B" w:rsidRPr="0053464B" w:rsidRDefault="0053464B" w:rsidP="0053464B">
            <w:pPr>
              <w:jc w:val="right"/>
              <w:rPr>
                <w:rFonts w:ascii="Times New Roman" w:hAnsi="Times New Roman" w:cs="Times New Roman"/>
                <w:noProof/>
                <w:color w:val="000000"/>
                <w:sz w:val="20"/>
                <w:szCs w:val="20"/>
              </w:rPr>
            </w:pPr>
            <w:r>
              <w:rPr>
                <w:rFonts w:ascii="Times New Roman" w:hAnsi="Times New Roman"/>
                <w:noProof/>
                <w:sz w:val="20"/>
              </w:rPr>
              <w:t>121 524 652</w:t>
            </w:r>
          </w:p>
        </w:tc>
        <w:tc>
          <w:tcPr>
            <w:tcW w:w="0" w:type="auto"/>
            <w:vAlign w:val="center"/>
            <w:hideMark/>
          </w:tcPr>
          <w:p w14:paraId="16D22CDC" w14:textId="77777777" w:rsidR="0053464B" w:rsidRPr="006A6461" w:rsidRDefault="0053464B" w:rsidP="0053464B">
            <w:pPr>
              <w:rPr>
                <w:rFonts w:ascii="Times New Roman" w:hAnsi="Times New Roman" w:cs="Times New Roman"/>
                <w:noProof/>
                <w:sz w:val="20"/>
                <w:szCs w:val="20"/>
              </w:rPr>
            </w:pPr>
          </w:p>
        </w:tc>
      </w:tr>
      <w:tr w:rsidR="0053464B" w:rsidRPr="006A6461" w14:paraId="47FD405A" w14:textId="77777777" w:rsidTr="00F220D1">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C36CA4" w14:textId="77777777" w:rsidR="0053464B" w:rsidRPr="006A6461" w:rsidRDefault="0053464B" w:rsidP="0053464B">
            <w:pPr>
              <w:rPr>
                <w:rFonts w:ascii="Times New Roman" w:hAnsi="Times New Roman" w:cs="Times New Roman"/>
                <w:b/>
                <w:bCs/>
                <w:noProof/>
                <w:color w:val="000000"/>
                <w:sz w:val="20"/>
                <w:szCs w:val="20"/>
              </w:rPr>
            </w:pPr>
            <w:r>
              <w:rPr>
                <w:rFonts w:ascii="Times New Roman" w:hAnsi="Times New Roman"/>
                <w:b/>
                <w:noProof/>
                <w:color w:val="000000"/>
                <w:sz w:val="20"/>
              </w:rPr>
              <w:t>RO</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D2B88C0" w14:textId="26E9EE51"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3 485 670 000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4A29F7EE"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719388E" w14:textId="2B6FBEB0"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3 436 562 000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2D9B8A49"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314DF2C" w14:textId="7299E4C1" w:rsidR="0053464B" w:rsidRPr="0053464B" w:rsidRDefault="0053464B" w:rsidP="0053464B">
            <w:pPr>
              <w:jc w:val="right"/>
              <w:rPr>
                <w:rFonts w:ascii="Times New Roman" w:hAnsi="Times New Roman" w:cs="Times New Roman"/>
                <w:noProof/>
                <w:color w:val="000000"/>
                <w:sz w:val="20"/>
                <w:szCs w:val="20"/>
              </w:rPr>
            </w:pPr>
            <w:r>
              <w:rPr>
                <w:rFonts w:ascii="Times New Roman" w:hAnsi="Times New Roman"/>
                <w:noProof/>
                <w:sz w:val="20"/>
              </w:rPr>
              <w:t>80 808 300</w:t>
            </w:r>
          </w:p>
        </w:tc>
        <w:tc>
          <w:tcPr>
            <w:tcW w:w="0" w:type="auto"/>
            <w:vAlign w:val="center"/>
            <w:hideMark/>
          </w:tcPr>
          <w:p w14:paraId="12C26DDC" w14:textId="77777777" w:rsidR="0053464B" w:rsidRPr="006A6461" w:rsidRDefault="0053464B" w:rsidP="0053464B">
            <w:pPr>
              <w:rPr>
                <w:rFonts w:ascii="Times New Roman" w:hAnsi="Times New Roman" w:cs="Times New Roman"/>
                <w:noProof/>
                <w:sz w:val="20"/>
                <w:szCs w:val="20"/>
              </w:rPr>
            </w:pPr>
          </w:p>
        </w:tc>
      </w:tr>
      <w:tr w:rsidR="0053464B" w:rsidRPr="006A6461" w14:paraId="63E65F7D" w14:textId="77777777" w:rsidTr="00F220D1">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9A95B5" w14:textId="77777777" w:rsidR="0053464B" w:rsidRPr="006A6461" w:rsidRDefault="0053464B" w:rsidP="0053464B">
            <w:pPr>
              <w:rPr>
                <w:rFonts w:ascii="Times New Roman" w:hAnsi="Times New Roman" w:cs="Times New Roman"/>
                <w:b/>
                <w:bCs/>
                <w:noProof/>
                <w:color w:val="000000"/>
                <w:sz w:val="20"/>
                <w:szCs w:val="20"/>
              </w:rPr>
            </w:pPr>
            <w:r>
              <w:rPr>
                <w:rFonts w:ascii="Times New Roman" w:hAnsi="Times New Roman"/>
                <w:b/>
                <w:noProof/>
                <w:color w:val="000000"/>
                <w:sz w:val="20"/>
              </w:rPr>
              <w:t>SI</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A6E38DE" w14:textId="0F88606B"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 676 624 000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118856A5"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670C20C" w14:textId="792F9682"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658 148 000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1ED1127D"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5BF0DDD" w14:textId="14E9A7F8" w:rsidR="0053464B" w:rsidRPr="0053464B" w:rsidRDefault="0053464B" w:rsidP="0053464B">
            <w:pPr>
              <w:jc w:val="right"/>
              <w:rPr>
                <w:rFonts w:ascii="Times New Roman" w:hAnsi="Times New Roman" w:cs="Times New Roman"/>
                <w:noProof/>
                <w:color w:val="000000"/>
                <w:sz w:val="20"/>
                <w:szCs w:val="20"/>
              </w:rPr>
            </w:pPr>
            <w:r>
              <w:rPr>
                <w:rFonts w:ascii="Times New Roman" w:hAnsi="Times New Roman"/>
                <w:noProof/>
                <w:sz w:val="20"/>
              </w:rPr>
              <w:t>11 142 616</w:t>
            </w:r>
          </w:p>
        </w:tc>
        <w:tc>
          <w:tcPr>
            <w:tcW w:w="0" w:type="auto"/>
            <w:vAlign w:val="center"/>
            <w:hideMark/>
          </w:tcPr>
          <w:p w14:paraId="1D83C9EE" w14:textId="77777777" w:rsidR="0053464B" w:rsidRPr="006A6461" w:rsidRDefault="0053464B" w:rsidP="0053464B">
            <w:pPr>
              <w:rPr>
                <w:rFonts w:ascii="Times New Roman" w:hAnsi="Times New Roman" w:cs="Times New Roman"/>
                <w:noProof/>
                <w:sz w:val="20"/>
                <w:szCs w:val="20"/>
              </w:rPr>
            </w:pPr>
          </w:p>
        </w:tc>
      </w:tr>
      <w:tr w:rsidR="0053464B" w:rsidRPr="006A6461" w14:paraId="3D7482DD" w14:textId="77777777" w:rsidTr="00F220D1">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EA28D0" w14:textId="77777777" w:rsidR="0053464B" w:rsidRPr="006A6461" w:rsidRDefault="0053464B" w:rsidP="0053464B">
            <w:pPr>
              <w:rPr>
                <w:rFonts w:ascii="Times New Roman" w:hAnsi="Times New Roman" w:cs="Times New Roman"/>
                <w:b/>
                <w:bCs/>
                <w:noProof/>
                <w:color w:val="000000"/>
                <w:sz w:val="20"/>
                <w:szCs w:val="20"/>
              </w:rPr>
            </w:pPr>
            <w:r>
              <w:rPr>
                <w:rFonts w:ascii="Times New Roman" w:hAnsi="Times New Roman"/>
                <w:b/>
                <w:noProof/>
                <w:color w:val="000000"/>
                <w:sz w:val="20"/>
              </w:rPr>
              <w:t>SK</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D2C6458" w14:textId="774A251B"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1 279 109 000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7B1240F5"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652F1AA" w14:textId="78F32AF1"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1 274 777 000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370DC792"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6AE0A73" w14:textId="62DD7F47" w:rsidR="0053464B" w:rsidRPr="0053464B" w:rsidRDefault="0053464B" w:rsidP="0053464B">
            <w:pPr>
              <w:jc w:val="right"/>
              <w:rPr>
                <w:rFonts w:ascii="Times New Roman" w:hAnsi="Times New Roman" w:cs="Times New Roman"/>
                <w:noProof/>
                <w:color w:val="000000"/>
                <w:sz w:val="20"/>
                <w:szCs w:val="20"/>
              </w:rPr>
            </w:pPr>
            <w:r>
              <w:rPr>
                <w:rFonts w:ascii="Times New Roman" w:hAnsi="Times New Roman"/>
                <w:noProof/>
                <w:sz w:val="20"/>
              </w:rPr>
              <w:t>36 608 001</w:t>
            </w:r>
          </w:p>
        </w:tc>
        <w:tc>
          <w:tcPr>
            <w:tcW w:w="0" w:type="auto"/>
            <w:vAlign w:val="center"/>
            <w:hideMark/>
          </w:tcPr>
          <w:p w14:paraId="7DD3B285" w14:textId="77777777" w:rsidR="0053464B" w:rsidRPr="006A6461" w:rsidRDefault="0053464B" w:rsidP="0053464B">
            <w:pPr>
              <w:rPr>
                <w:rFonts w:ascii="Times New Roman" w:hAnsi="Times New Roman" w:cs="Times New Roman"/>
                <w:noProof/>
                <w:sz w:val="20"/>
                <w:szCs w:val="20"/>
              </w:rPr>
            </w:pPr>
          </w:p>
        </w:tc>
      </w:tr>
      <w:tr w:rsidR="0053464B" w:rsidRPr="006A6461" w14:paraId="2B8BD658" w14:textId="77777777" w:rsidTr="00F220D1">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CD3D84" w14:textId="77777777" w:rsidR="0053464B" w:rsidRPr="006A6461" w:rsidRDefault="0053464B" w:rsidP="0053464B">
            <w:pPr>
              <w:rPr>
                <w:rFonts w:ascii="Times New Roman" w:hAnsi="Times New Roman" w:cs="Times New Roman"/>
                <w:b/>
                <w:bCs/>
                <w:noProof/>
                <w:color w:val="000000"/>
                <w:sz w:val="20"/>
                <w:szCs w:val="20"/>
              </w:rPr>
            </w:pPr>
            <w:r>
              <w:rPr>
                <w:rFonts w:ascii="Times New Roman" w:hAnsi="Times New Roman"/>
                <w:b/>
                <w:noProof/>
                <w:color w:val="000000"/>
                <w:sz w:val="20"/>
              </w:rPr>
              <w:t>FI</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1BDB3A4" w14:textId="78161EB3"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2 886 018 000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35A16761"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C07D50D" w14:textId="23C36AEB"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2 833 034 000 </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2384FAEA"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F9A9669" w14:textId="6668AABF" w:rsidR="0053464B" w:rsidRPr="0053464B" w:rsidRDefault="0053464B" w:rsidP="0053464B">
            <w:pPr>
              <w:jc w:val="right"/>
              <w:rPr>
                <w:rFonts w:ascii="Times New Roman" w:hAnsi="Times New Roman" w:cs="Times New Roman"/>
                <w:noProof/>
                <w:color w:val="000000"/>
                <w:sz w:val="20"/>
                <w:szCs w:val="20"/>
              </w:rPr>
            </w:pPr>
            <w:r>
              <w:rPr>
                <w:rFonts w:ascii="Times New Roman" w:hAnsi="Times New Roman"/>
                <w:noProof/>
                <w:sz w:val="20"/>
              </w:rPr>
              <w:t>60 645 399</w:t>
            </w:r>
          </w:p>
        </w:tc>
        <w:tc>
          <w:tcPr>
            <w:tcW w:w="0" w:type="auto"/>
            <w:vAlign w:val="center"/>
            <w:hideMark/>
          </w:tcPr>
          <w:p w14:paraId="288904DA" w14:textId="77777777" w:rsidR="0053464B" w:rsidRPr="006A6461" w:rsidRDefault="0053464B" w:rsidP="0053464B">
            <w:pPr>
              <w:rPr>
                <w:rFonts w:ascii="Times New Roman" w:hAnsi="Times New Roman" w:cs="Times New Roman"/>
                <w:noProof/>
                <w:sz w:val="20"/>
                <w:szCs w:val="20"/>
              </w:rPr>
            </w:pPr>
          </w:p>
        </w:tc>
      </w:tr>
      <w:tr w:rsidR="0053464B" w:rsidRPr="006A6461" w14:paraId="7495C894" w14:textId="77777777" w:rsidTr="00F220D1">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AABBD2" w14:textId="77777777" w:rsidR="0053464B" w:rsidRPr="006A6461" w:rsidRDefault="0053464B" w:rsidP="0053464B">
            <w:pPr>
              <w:rPr>
                <w:rFonts w:ascii="Times New Roman" w:hAnsi="Times New Roman" w:cs="Times New Roman"/>
                <w:b/>
                <w:bCs/>
                <w:noProof/>
                <w:color w:val="000000"/>
                <w:sz w:val="20"/>
                <w:szCs w:val="20"/>
              </w:rPr>
            </w:pPr>
            <w:r>
              <w:rPr>
                <w:rFonts w:ascii="Times New Roman" w:hAnsi="Times New Roman"/>
                <w:b/>
                <w:noProof/>
                <w:color w:val="000000"/>
                <w:sz w:val="20"/>
              </w:rPr>
              <w:t>SE</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6F43690" w14:textId="61BEDA0A"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5 831 366 000 </w:t>
            </w:r>
          </w:p>
        </w:tc>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DE12E5"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F87BA32" w14:textId="2968D8E0"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xml:space="preserve">6 051 391 000 </w:t>
            </w:r>
          </w:p>
        </w:tc>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FF1CA8" w14:textId="77777777" w:rsidR="0053464B" w:rsidRPr="006A6461" w:rsidRDefault="0053464B" w:rsidP="0053464B">
            <w:pPr>
              <w:jc w:val="right"/>
              <w:rPr>
                <w:rFonts w:ascii="Times New Roman" w:hAnsi="Times New Roman" w:cs="Times New Roman"/>
                <w:noProof/>
                <w:color w:val="000000"/>
                <w:sz w:val="20"/>
                <w:szCs w:val="20"/>
              </w:rPr>
            </w:pPr>
            <w:r>
              <w:rPr>
                <w:rFonts w:ascii="Times New Roman" w:hAnsi="Times New Roman"/>
                <w:noProof/>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9FB22B0" w14:textId="586B4710" w:rsidR="0053464B" w:rsidRPr="0053464B" w:rsidRDefault="0053464B" w:rsidP="0053464B">
            <w:pPr>
              <w:jc w:val="right"/>
              <w:rPr>
                <w:rFonts w:ascii="Times New Roman" w:hAnsi="Times New Roman" w:cs="Times New Roman"/>
                <w:noProof/>
                <w:color w:val="000000"/>
                <w:sz w:val="20"/>
                <w:szCs w:val="20"/>
              </w:rPr>
            </w:pPr>
            <w:r>
              <w:rPr>
                <w:rFonts w:ascii="Times New Roman" w:hAnsi="Times New Roman"/>
                <w:noProof/>
                <w:sz w:val="20"/>
              </w:rPr>
              <w:t>288 707 574</w:t>
            </w:r>
          </w:p>
        </w:tc>
        <w:tc>
          <w:tcPr>
            <w:tcW w:w="0" w:type="auto"/>
            <w:vAlign w:val="center"/>
            <w:hideMark/>
          </w:tcPr>
          <w:p w14:paraId="526E829E" w14:textId="77777777" w:rsidR="0053464B" w:rsidRPr="006A6461" w:rsidRDefault="0053464B" w:rsidP="0053464B">
            <w:pPr>
              <w:rPr>
                <w:rFonts w:ascii="Times New Roman" w:hAnsi="Times New Roman" w:cs="Times New Roman"/>
                <w:noProof/>
                <w:sz w:val="20"/>
                <w:szCs w:val="20"/>
              </w:rPr>
            </w:pPr>
          </w:p>
        </w:tc>
      </w:tr>
      <w:tr w:rsidR="0053464B" w:rsidRPr="006A6461" w14:paraId="1F43AA21" w14:textId="77777777" w:rsidTr="00F220D1">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3CC629" w14:textId="77777777" w:rsidR="0053464B" w:rsidRPr="006A6461" w:rsidRDefault="0053464B" w:rsidP="0053464B">
            <w:pPr>
              <w:jc w:val="right"/>
              <w:rPr>
                <w:rFonts w:ascii="Times New Roman" w:hAnsi="Times New Roman" w:cs="Times New Roman"/>
                <w:b/>
                <w:bCs/>
                <w:noProof/>
                <w:color w:val="000000"/>
                <w:sz w:val="20"/>
                <w:szCs w:val="20"/>
              </w:rPr>
            </w:pPr>
            <w:r>
              <w:rPr>
                <w:rFonts w:ascii="Times New Roman" w:hAnsi="Times New Roman"/>
                <w:b/>
                <w:noProof/>
                <w:color w:val="000000"/>
                <w:sz w:val="20"/>
              </w:rPr>
              <w:t>Общо</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8AD80F" w14:textId="51CBC6F8" w:rsidR="0053464B" w:rsidRPr="006A6461" w:rsidRDefault="0053464B" w:rsidP="0053464B">
            <w:pPr>
              <w:jc w:val="right"/>
              <w:rPr>
                <w:rFonts w:ascii="Times New Roman" w:hAnsi="Times New Roman" w:cs="Times New Roman"/>
                <w:b/>
                <w:bCs/>
                <w:noProof/>
                <w:color w:val="000000"/>
                <w:sz w:val="20"/>
                <w:szCs w:val="20"/>
              </w:rPr>
            </w:pPr>
            <w:r>
              <w:rPr>
                <w:rFonts w:ascii="Times New Roman" w:hAnsi="Times New Roman"/>
                <w:b/>
                <w:noProof/>
                <w:color w:val="000000"/>
                <w:sz w:val="20"/>
              </w:rPr>
              <w:t xml:space="preserve">177 274 794 000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8F5DAB" w14:textId="77777777" w:rsidR="0053464B" w:rsidRPr="006A6461" w:rsidRDefault="0053464B" w:rsidP="0053464B">
            <w:pPr>
              <w:jc w:val="right"/>
              <w:rPr>
                <w:rFonts w:ascii="Times New Roman" w:hAnsi="Times New Roman" w:cs="Times New Roman"/>
                <w:b/>
                <w:bCs/>
                <w:noProof/>
                <w:color w:val="000000"/>
                <w:sz w:val="20"/>
                <w:szCs w:val="20"/>
              </w:rPr>
            </w:pPr>
            <w:r>
              <w:rPr>
                <w:rFonts w:ascii="Times New Roman" w:hAnsi="Times New Roman"/>
                <w:b/>
                <w:noProof/>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090EAA" w14:textId="1CBD485B" w:rsidR="0053464B" w:rsidRPr="006A6461" w:rsidRDefault="0053464B" w:rsidP="0053464B">
            <w:pPr>
              <w:jc w:val="right"/>
              <w:rPr>
                <w:rFonts w:ascii="Times New Roman" w:hAnsi="Times New Roman" w:cs="Times New Roman"/>
                <w:b/>
                <w:bCs/>
                <w:noProof/>
                <w:color w:val="000000"/>
                <w:sz w:val="20"/>
                <w:szCs w:val="20"/>
              </w:rPr>
            </w:pPr>
            <w:r>
              <w:rPr>
                <w:rFonts w:ascii="Times New Roman" w:hAnsi="Times New Roman"/>
                <w:b/>
                <w:noProof/>
                <w:color w:val="000000"/>
                <w:sz w:val="20"/>
              </w:rPr>
              <w:t xml:space="preserve">177 759 974 000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84434F" w14:textId="77777777" w:rsidR="0053464B" w:rsidRPr="006A6461" w:rsidRDefault="0053464B" w:rsidP="0053464B">
            <w:pPr>
              <w:jc w:val="right"/>
              <w:rPr>
                <w:rFonts w:ascii="Times New Roman" w:hAnsi="Times New Roman" w:cs="Times New Roman"/>
                <w:b/>
                <w:bCs/>
                <w:noProof/>
                <w:color w:val="000000"/>
                <w:sz w:val="20"/>
                <w:szCs w:val="20"/>
              </w:rPr>
            </w:pPr>
            <w:r>
              <w:rPr>
                <w:rFonts w:ascii="Times New Roman" w:hAnsi="Times New Roman"/>
                <w:b/>
                <w:noProof/>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A1711D7" w14:textId="35C9DDB7" w:rsidR="0053464B" w:rsidRPr="0053464B" w:rsidRDefault="0053464B" w:rsidP="0053464B">
            <w:pPr>
              <w:jc w:val="right"/>
              <w:rPr>
                <w:rFonts w:ascii="Times New Roman" w:hAnsi="Times New Roman" w:cs="Times New Roman"/>
                <w:b/>
                <w:bCs/>
                <w:noProof/>
                <w:color w:val="000000"/>
                <w:sz w:val="20"/>
                <w:szCs w:val="20"/>
              </w:rPr>
            </w:pPr>
            <w:r>
              <w:rPr>
                <w:rFonts w:ascii="Times New Roman" w:hAnsi="Times New Roman"/>
                <w:b/>
                <w:noProof/>
                <w:sz w:val="20"/>
              </w:rPr>
              <w:t>5 625 097 348</w:t>
            </w:r>
          </w:p>
        </w:tc>
        <w:tc>
          <w:tcPr>
            <w:tcW w:w="0" w:type="auto"/>
            <w:vAlign w:val="center"/>
            <w:hideMark/>
          </w:tcPr>
          <w:p w14:paraId="4214490F" w14:textId="77777777" w:rsidR="0053464B" w:rsidRPr="006A6461" w:rsidRDefault="0053464B" w:rsidP="0053464B">
            <w:pPr>
              <w:rPr>
                <w:rFonts w:ascii="Times New Roman" w:hAnsi="Times New Roman" w:cs="Times New Roman"/>
                <w:noProof/>
                <w:sz w:val="20"/>
                <w:szCs w:val="20"/>
              </w:rPr>
            </w:pPr>
          </w:p>
        </w:tc>
      </w:tr>
    </w:tbl>
    <w:p w14:paraId="3E1B22F8" w14:textId="77777777" w:rsidR="001A23DC" w:rsidRPr="006A6461" w:rsidRDefault="001A23DC" w:rsidP="00CB40ED">
      <w:pPr>
        <w:spacing w:before="120" w:after="240"/>
        <w:jc w:val="both"/>
        <w:rPr>
          <w:rFonts w:ascii="Times New Roman" w:hAnsi="Times New Roman" w:cs="Times New Roman"/>
          <w:noProof/>
          <w:sz w:val="24"/>
          <w:szCs w:val="24"/>
        </w:rPr>
      </w:pPr>
    </w:p>
    <w:p w14:paraId="210C6637" w14:textId="77777777" w:rsidR="005638C6" w:rsidRPr="006A6461" w:rsidRDefault="005638C6">
      <w:pPr>
        <w:rPr>
          <w:rFonts w:ascii="Times New Roman" w:hAnsi="Times New Roman" w:cs="Times New Roman"/>
          <w:b/>
          <w:smallCaps/>
          <w:noProof/>
          <w:sz w:val="24"/>
          <w:szCs w:val="24"/>
        </w:rPr>
      </w:pPr>
      <w:r>
        <w:rPr>
          <w:noProof/>
        </w:rPr>
        <w:br w:type="page"/>
      </w:r>
    </w:p>
    <w:p w14:paraId="328A0BE8" w14:textId="746D6CC5" w:rsidR="009B6020" w:rsidRPr="006A6461" w:rsidRDefault="005638C6" w:rsidP="00311C9F">
      <w:pPr>
        <w:pStyle w:val="ManualHeading1"/>
        <w:rPr>
          <w:noProof/>
        </w:rPr>
      </w:pPr>
      <w:bookmarkStart w:id="39" w:name="_Toc173242909"/>
      <w:r>
        <w:rPr>
          <w:noProof/>
        </w:rPr>
        <w:t>3.</w:t>
      </w:r>
      <w:r>
        <w:rPr>
          <w:noProof/>
        </w:rPr>
        <w:tab/>
        <w:t>3. Актуализация на разходните пера</w:t>
      </w:r>
      <w:bookmarkEnd w:id="39"/>
    </w:p>
    <w:p w14:paraId="49620253" w14:textId="76675519" w:rsidR="00FF5701" w:rsidRPr="006A6461" w:rsidRDefault="00FF5701" w:rsidP="00FF5701">
      <w:pPr>
        <w:keepNext/>
        <w:tabs>
          <w:tab w:val="left" w:pos="850"/>
        </w:tabs>
        <w:spacing w:before="360" w:after="120"/>
        <w:ind w:left="850" w:hanging="850"/>
        <w:jc w:val="both"/>
        <w:outlineLvl w:val="1"/>
        <w:rPr>
          <w:rFonts w:ascii="Times New Roman" w:eastAsia="Calibri" w:hAnsi="Times New Roman" w:cs="Times New Roman"/>
          <w:b/>
          <w:noProof/>
          <w:sz w:val="24"/>
          <w:szCs w:val="24"/>
        </w:rPr>
      </w:pPr>
      <w:bookmarkStart w:id="40" w:name="_Toc173242910"/>
      <w:r>
        <w:rPr>
          <w:rFonts w:ascii="Times New Roman" w:hAnsi="Times New Roman"/>
          <w:b/>
          <w:noProof/>
          <w:sz w:val="24"/>
        </w:rPr>
        <w:t>3.1</w:t>
      </w:r>
      <w:r>
        <w:rPr>
          <w:rFonts w:ascii="Times New Roman" w:hAnsi="Times New Roman"/>
          <w:b/>
          <w:noProof/>
          <w:sz w:val="24"/>
        </w:rPr>
        <w:tab/>
        <w:t>Предоставяне на допълнителни средства на Агенцията на Европейския съюз за киберсигурност (ENISA)</w:t>
      </w:r>
      <w:bookmarkEnd w:id="40"/>
    </w:p>
    <w:p w14:paraId="6257AC04" w14:textId="27D34019" w:rsidR="00FF5701" w:rsidRPr="006A6461" w:rsidRDefault="00C702B3" w:rsidP="00DC3D08">
      <w:pPr>
        <w:jc w:val="both"/>
        <w:rPr>
          <w:rFonts w:ascii="Times New Roman" w:hAnsi="Times New Roman" w:cs="Times New Roman"/>
          <w:noProof/>
          <w:sz w:val="24"/>
          <w:szCs w:val="24"/>
        </w:rPr>
      </w:pPr>
      <w:bookmarkStart w:id="41" w:name="_Hlk170112566"/>
      <w:r>
        <w:rPr>
          <w:rFonts w:ascii="Times New Roman" w:hAnsi="Times New Roman"/>
          <w:noProof/>
          <w:sz w:val="24"/>
        </w:rPr>
        <w:t>След приемането на законодателния акт за киберустойчивост и придружаващата го законодателна финансова обосновка (ЗФО)</w:t>
      </w:r>
      <w:r w:rsidRPr="006A6461">
        <w:rPr>
          <w:rStyle w:val="FootnoteReference"/>
          <w:rFonts w:ascii="Times New Roman" w:hAnsi="Times New Roman" w:cs="Times New Roman"/>
          <w:noProof/>
          <w:sz w:val="24"/>
          <w:szCs w:val="24"/>
        </w:rPr>
        <w:footnoteReference w:id="15"/>
      </w:r>
      <w:r>
        <w:rPr>
          <w:rFonts w:ascii="Times New Roman" w:hAnsi="Times New Roman"/>
          <w:noProof/>
          <w:sz w:val="24"/>
        </w:rPr>
        <w:t xml:space="preserve"> на Агенцията на Европейския съюз за киберсигурност (ENISA) бяха възложени нови задачи, които налагат наемането на един допълнителен срочно нает служител и един допълнителен командирован национален експерт, което води до общо увеличение на свързаните с това разходи за персонал с 0,139 милиона евро през 2024 г. Увеличението на вноската на ЕС за ENISA е неутрално по отношение на бюджета, тъй като допълнителните разходи ще бъдат финансирани с намаление в същия размер на разходите по бюджетен ред 02 01 30 01 на програмата „Цифрова Европа“.</w:t>
      </w:r>
    </w:p>
    <w:p w14:paraId="04F102CA" w14:textId="77777777" w:rsidR="009B6896" w:rsidRPr="006A6461" w:rsidRDefault="009B6896" w:rsidP="009B6896">
      <w:pPr>
        <w:spacing w:after="0"/>
        <w:jc w:val="both"/>
        <w:rPr>
          <w:rFonts w:ascii="Times New Roman" w:hAnsi="Times New Roman" w:cs="Times New Roman"/>
          <w:noProof/>
          <w:sz w:val="24"/>
          <w:szCs w:val="24"/>
        </w:rPr>
      </w:pPr>
      <w:r>
        <w:rPr>
          <w:rFonts w:ascii="Times New Roman" w:hAnsi="Times New Roman"/>
          <w:noProof/>
          <w:sz w:val="24"/>
        </w:rPr>
        <w:t>Поради това цялостното отражение върху разходите е, както следва:</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FF5701" w:rsidRPr="006A6461" w14:paraId="372050E7" w14:textId="77777777">
        <w:trPr>
          <w:jc w:val="center"/>
        </w:trPr>
        <w:tc>
          <w:tcPr>
            <w:tcW w:w="9810" w:type="dxa"/>
            <w:gridSpan w:val="4"/>
            <w:tcBorders>
              <w:top w:val="nil"/>
              <w:left w:val="nil"/>
              <w:bottom w:val="single" w:sz="4" w:space="0" w:color="auto"/>
              <w:right w:val="nil"/>
            </w:tcBorders>
            <w:shd w:val="clear" w:color="auto" w:fill="auto"/>
            <w:vAlign w:val="center"/>
          </w:tcPr>
          <w:p w14:paraId="586F0BB0" w14:textId="77777777" w:rsidR="00FF5701" w:rsidRPr="006A6461" w:rsidRDefault="00FF5701">
            <w:pPr>
              <w:widowControl w:val="0"/>
              <w:spacing w:before="15" w:after="15"/>
              <w:jc w:val="right"/>
              <w:rPr>
                <w:rFonts w:ascii="Times New Roman" w:hAnsi="Times New Roman" w:cs="Times New Roman"/>
                <w:i/>
                <w:noProof/>
                <w:sz w:val="20"/>
                <w:szCs w:val="20"/>
              </w:rPr>
            </w:pPr>
            <w:r>
              <w:rPr>
                <w:rFonts w:ascii="Times New Roman" w:hAnsi="Times New Roman"/>
                <w:i/>
                <w:noProof/>
                <w:sz w:val="20"/>
              </w:rPr>
              <w:t>EUR</w:t>
            </w:r>
          </w:p>
        </w:tc>
      </w:tr>
      <w:tr w:rsidR="00FF5701" w:rsidRPr="006A6461" w14:paraId="2D0B3B00" w14:textId="77777777">
        <w:trPr>
          <w:jc w:val="center"/>
        </w:trPr>
        <w:tc>
          <w:tcPr>
            <w:tcW w:w="1276" w:type="dxa"/>
            <w:tcBorders>
              <w:top w:val="single" w:sz="4" w:space="0" w:color="auto"/>
            </w:tcBorders>
            <w:shd w:val="clear" w:color="auto" w:fill="D9D9D9" w:themeFill="background1" w:themeFillShade="D9"/>
            <w:vAlign w:val="center"/>
          </w:tcPr>
          <w:p w14:paraId="6DCC9252" w14:textId="77777777" w:rsidR="00FF5701" w:rsidRPr="006A6461" w:rsidRDefault="00FF5701">
            <w:pPr>
              <w:keepNext/>
              <w:spacing w:before="15" w:after="15"/>
              <w:jc w:val="center"/>
              <w:rPr>
                <w:rFonts w:ascii="Times New Roman" w:hAnsi="Times New Roman" w:cs="Times New Roman"/>
                <w:b/>
                <w:noProof/>
                <w:sz w:val="20"/>
                <w:szCs w:val="20"/>
              </w:rPr>
            </w:pPr>
            <w:r>
              <w:rPr>
                <w:rFonts w:ascii="Times New Roman" w:hAnsi="Times New Roman"/>
                <w:b/>
                <w:noProof/>
                <w:sz w:val="20"/>
              </w:rPr>
              <w:t>Бюджетен ред</w:t>
            </w:r>
          </w:p>
        </w:tc>
        <w:tc>
          <w:tcPr>
            <w:tcW w:w="5132" w:type="dxa"/>
            <w:tcBorders>
              <w:top w:val="single" w:sz="4" w:space="0" w:color="auto"/>
            </w:tcBorders>
            <w:shd w:val="clear" w:color="auto" w:fill="D9D9D9" w:themeFill="background1" w:themeFillShade="D9"/>
            <w:vAlign w:val="center"/>
          </w:tcPr>
          <w:p w14:paraId="5C163CE9" w14:textId="77777777" w:rsidR="00FF5701" w:rsidRPr="006A6461" w:rsidRDefault="00FF5701">
            <w:pPr>
              <w:widowControl w:val="0"/>
              <w:spacing w:before="15" w:after="15"/>
              <w:jc w:val="center"/>
              <w:rPr>
                <w:rFonts w:ascii="Times New Roman" w:hAnsi="Times New Roman" w:cs="Times New Roman"/>
                <w:b/>
                <w:noProof/>
                <w:sz w:val="20"/>
                <w:szCs w:val="20"/>
              </w:rPr>
            </w:pPr>
            <w:r>
              <w:rPr>
                <w:rFonts w:ascii="Times New Roman" w:hAnsi="Times New Roman"/>
                <w:b/>
                <w:noProof/>
                <w:sz w:val="20"/>
              </w:rPr>
              <w:t>Наименование</w:t>
            </w:r>
          </w:p>
        </w:tc>
        <w:tc>
          <w:tcPr>
            <w:tcW w:w="1701" w:type="dxa"/>
            <w:tcBorders>
              <w:top w:val="single" w:sz="4" w:space="0" w:color="auto"/>
            </w:tcBorders>
            <w:shd w:val="clear" w:color="auto" w:fill="D9D9D9" w:themeFill="background1" w:themeFillShade="D9"/>
            <w:vAlign w:val="center"/>
          </w:tcPr>
          <w:p w14:paraId="5C2BB0DA" w14:textId="77777777" w:rsidR="00FF5701" w:rsidRPr="006A6461" w:rsidRDefault="00FF5701">
            <w:pPr>
              <w:widowControl w:val="0"/>
              <w:spacing w:before="15" w:after="15"/>
              <w:jc w:val="center"/>
              <w:rPr>
                <w:rFonts w:ascii="Times New Roman" w:hAnsi="Times New Roman" w:cs="Times New Roman"/>
                <w:b/>
                <w:noProof/>
                <w:sz w:val="20"/>
                <w:szCs w:val="20"/>
              </w:rPr>
            </w:pPr>
            <w:r>
              <w:rPr>
                <w:rFonts w:ascii="Times New Roman" w:hAnsi="Times New Roman"/>
                <w:b/>
                <w:noProof/>
                <w:sz w:val="20"/>
              </w:rPr>
              <w:t>Бюджетни кредити за поети задължения</w:t>
            </w:r>
          </w:p>
        </w:tc>
        <w:tc>
          <w:tcPr>
            <w:tcW w:w="1701" w:type="dxa"/>
            <w:tcBorders>
              <w:top w:val="single" w:sz="4" w:space="0" w:color="auto"/>
            </w:tcBorders>
            <w:shd w:val="clear" w:color="auto" w:fill="D9D9D9" w:themeFill="background1" w:themeFillShade="D9"/>
            <w:vAlign w:val="center"/>
          </w:tcPr>
          <w:p w14:paraId="132C7EDA" w14:textId="77777777" w:rsidR="00FF5701" w:rsidRPr="006A6461" w:rsidRDefault="00FF5701">
            <w:pPr>
              <w:widowControl w:val="0"/>
              <w:spacing w:before="15" w:after="15"/>
              <w:jc w:val="center"/>
              <w:rPr>
                <w:rFonts w:ascii="Times New Roman" w:hAnsi="Times New Roman" w:cs="Times New Roman"/>
                <w:b/>
                <w:noProof/>
                <w:sz w:val="20"/>
                <w:szCs w:val="20"/>
              </w:rPr>
            </w:pPr>
            <w:r>
              <w:rPr>
                <w:rFonts w:ascii="Times New Roman" w:hAnsi="Times New Roman"/>
                <w:b/>
                <w:noProof/>
                <w:sz w:val="20"/>
              </w:rPr>
              <w:t>Бюджетни кредити за плащания</w:t>
            </w:r>
          </w:p>
        </w:tc>
      </w:tr>
      <w:tr w:rsidR="00FF5701" w:rsidRPr="006A6461" w14:paraId="03F29758" w14:textId="77777777">
        <w:trPr>
          <w:jc w:val="center"/>
        </w:trPr>
        <w:tc>
          <w:tcPr>
            <w:tcW w:w="9810" w:type="dxa"/>
            <w:gridSpan w:val="4"/>
            <w:shd w:val="clear" w:color="auto" w:fill="F2F2F2" w:themeFill="background1" w:themeFillShade="F2"/>
            <w:vAlign w:val="center"/>
          </w:tcPr>
          <w:p w14:paraId="22E3459F" w14:textId="77777777" w:rsidR="00FF5701" w:rsidRPr="006A6461" w:rsidRDefault="00FF5701">
            <w:pPr>
              <w:widowControl w:val="0"/>
              <w:spacing w:before="15" w:after="15"/>
              <w:rPr>
                <w:rFonts w:ascii="Times New Roman" w:hAnsi="Times New Roman" w:cs="Times New Roman"/>
                <w:i/>
                <w:noProof/>
                <w:sz w:val="20"/>
                <w:szCs w:val="20"/>
              </w:rPr>
            </w:pPr>
            <w:r>
              <w:rPr>
                <w:rFonts w:ascii="Times New Roman" w:hAnsi="Times New Roman"/>
                <w:i/>
                <w:noProof/>
                <w:sz w:val="20"/>
              </w:rPr>
              <w:t>Раздел III — Комисия</w:t>
            </w:r>
          </w:p>
        </w:tc>
      </w:tr>
      <w:tr w:rsidR="00FF5701" w:rsidRPr="006A6461" w14:paraId="3E6A8E9A" w14:textId="77777777">
        <w:trPr>
          <w:jc w:val="center"/>
        </w:trPr>
        <w:tc>
          <w:tcPr>
            <w:tcW w:w="1276" w:type="dxa"/>
          </w:tcPr>
          <w:p w14:paraId="0CA4AF63" w14:textId="0AD4FD3F" w:rsidR="00FF5701" w:rsidRPr="006A6461" w:rsidRDefault="00673411">
            <w:pPr>
              <w:widowControl w:val="0"/>
              <w:spacing w:before="15" w:after="15"/>
              <w:ind w:right="-113"/>
              <w:jc w:val="both"/>
              <w:rPr>
                <w:rFonts w:ascii="Times New Roman" w:hAnsi="Times New Roman" w:cs="Times New Roman"/>
                <w:noProof/>
                <w:sz w:val="16"/>
                <w:szCs w:val="16"/>
              </w:rPr>
            </w:pPr>
            <w:r>
              <w:rPr>
                <w:rFonts w:ascii="Times New Roman" w:hAnsi="Times New Roman"/>
                <w:noProof/>
                <w:sz w:val="16"/>
              </w:rPr>
              <w:t>02 10 04</w:t>
            </w:r>
          </w:p>
        </w:tc>
        <w:tc>
          <w:tcPr>
            <w:tcW w:w="5132" w:type="dxa"/>
          </w:tcPr>
          <w:p w14:paraId="24E92715" w14:textId="40AF215E" w:rsidR="00FF5701" w:rsidRPr="006A6461" w:rsidRDefault="00BE6DBE">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rPr>
              <w:t xml:space="preserve">Агенция на Европейския съюз за киберсигурност </w:t>
            </w:r>
          </w:p>
        </w:tc>
        <w:tc>
          <w:tcPr>
            <w:tcW w:w="1701" w:type="dxa"/>
          </w:tcPr>
          <w:p w14:paraId="1F8D1A5C" w14:textId="199FF2AF" w:rsidR="00FF5701" w:rsidRPr="006A6461" w:rsidRDefault="007E326A">
            <w:pPr>
              <w:widowControl w:val="0"/>
              <w:spacing w:before="15" w:after="15"/>
              <w:jc w:val="right"/>
              <w:rPr>
                <w:rFonts w:ascii="Times New Roman" w:hAnsi="Times New Roman" w:cs="Times New Roman"/>
                <w:noProof/>
                <w:sz w:val="16"/>
                <w:szCs w:val="16"/>
              </w:rPr>
            </w:pPr>
            <w:r>
              <w:rPr>
                <w:rFonts w:ascii="Times New Roman" w:hAnsi="Times New Roman"/>
                <w:noProof/>
                <w:sz w:val="16"/>
              </w:rPr>
              <w:t>139 000</w:t>
            </w:r>
          </w:p>
        </w:tc>
        <w:tc>
          <w:tcPr>
            <w:tcW w:w="1701" w:type="dxa"/>
          </w:tcPr>
          <w:p w14:paraId="03390B13" w14:textId="282DEDC1" w:rsidR="00FF5701" w:rsidRPr="006A6461" w:rsidRDefault="007E326A">
            <w:pPr>
              <w:widowControl w:val="0"/>
              <w:spacing w:before="15" w:after="15"/>
              <w:jc w:val="right"/>
              <w:rPr>
                <w:rFonts w:ascii="Times New Roman" w:hAnsi="Times New Roman" w:cs="Times New Roman"/>
                <w:noProof/>
                <w:sz w:val="16"/>
                <w:szCs w:val="16"/>
              </w:rPr>
            </w:pPr>
            <w:r>
              <w:rPr>
                <w:rFonts w:ascii="Times New Roman" w:hAnsi="Times New Roman"/>
                <w:noProof/>
                <w:sz w:val="16"/>
              </w:rPr>
              <w:t>139 000</w:t>
            </w:r>
          </w:p>
        </w:tc>
      </w:tr>
      <w:tr w:rsidR="00FF5701" w:rsidRPr="006A6461" w14:paraId="5EF9A508" w14:textId="77777777">
        <w:trPr>
          <w:jc w:val="center"/>
        </w:trPr>
        <w:tc>
          <w:tcPr>
            <w:tcW w:w="1276" w:type="dxa"/>
          </w:tcPr>
          <w:p w14:paraId="18ED745B" w14:textId="65F34EA2" w:rsidR="00FF5701" w:rsidRPr="006A6461" w:rsidRDefault="00576D09">
            <w:pPr>
              <w:widowControl w:val="0"/>
              <w:spacing w:before="15" w:after="15"/>
              <w:ind w:right="-113"/>
              <w:jc w:val="both"/>
              <w:rPr>
                <w:rFonts w:ascii="Times New Roman" w:hAnsi="Times New Roman" w:cs="Times New Roman"/>
                <w:noProof/>
                <w:sz w:val="16"/>
                <w:szCs w:val="16"/>
              </w:rPr>
            </w:pPr>
            <w:r>
              <w:rPr>
                <w:rFonts w:ascii="Times New Roman" w:hAnsi="Times New Roman"/>
                <w:noProof/>
                <w:sz w:val="16"/>
              </w:rPr>
              <w:t>02 01 30 01</w:t>
            </w:r>
          </w:p>
        </w:tc>
        <w:tc>
          <w:tcPr>
            <w:tcW w:w="5132" w:type="dxa"/>
          </w:tcPr>
          <w:p w14:paraId="68957955" w14:textId="1C48637A" w:rsidR="00FF5701" w:rsidRPr="006A6461" w:rsidRDefault="00BB795C">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rPr>
              <w:t>Разходи за подкрепа на програмата „Цифрова Европа“</w:t>
            </w:r>
          </w:p>
        </w:tc>
        <w:tc>
          <w:tcPr>
            <w:tcW w:w="1701" w:type="dxa"/>
          </w:tcPr>
          <w:p w14:paraId="495CAD83" w14:textId="321E844B" w:rsidR="00FF5701" w:rsidRPr="006A6461" w:rsidRDefault="00624C37">
            <w:pPr>
              <w:widowControl w:val="0"/>
              <w:spacing w:before="15" w:after="15"/>
              <w:jc w:val="right"/>
              <w:rPr>
                <w:rFonts w:ascii="Times New Roman" w:hAnsi="Times New Roman" w:cs="Times New Roman"/>
                <w:noProof/>
                <w:sz w:val="16"/>
                <w:szCs w:val="16"/>
              </w:rPr>
            </w:pPr>
            <w:r>
              <w:rPr>
                <w:rFonts w:ascii="Times New Roman" w:hAnsi="Times New Roman"/>
                <w:noProof/>
                <w:sz w:val="16"/>
              </w:rPr>
              <w:t>-139 000</w:t>
            </w:r>
          </w:p>
        </w:tc>
        <w:tc>
          <w:tcPr>
            <w:tcW w:w="1701" w:type="dxa"/>
          </w:tcPr>
          <w:p w14:paraId="03794932" w14:textId="57C60431" w:rsidR="00FF5701" w:rsidRPr="006A6461" w:rsidRDefault="00624C37">
            <w:pPr>
              <w:widowControl w:val="0"/>
              <w:spacing w:before="15" w:after="15"/>
              <w:jc w:val="right"/>
              <w:rPr>
                <w:rFonts w:ascii="Times New Roman" w:hAnsi="Times New Roman" w:cs="Times New Roman"/>
                <w:noProof/>
                <w:sz w:val="16"/>
                <w:szCs w:val="16"/>
              </w:rPr>
            </w:pPr>
            <w:r>
              <w:rPr>
                <w:rFonts w:ascii="Times New Roman" w:hAnsi="Times New Roman"/>
                <w:noProof/>
                <w:sz w:val="16"/>
              </w:rPr>
              <w:t>-139 000</w:t>
            </w:r>
          </w:p>
        </w:tc>
      </w:tr>
      <w:tr w:rsidR="00FF5701" w:rsidRPr="006A6461" w14:paraId="1388B2E1" w14:textId="77777777">
        <w:trPr>
          <w:jc w:val="center"/>
        </w:trPr>
        <w:tc>
          <w:tcPr>
            <w:tcW w:w="6408" w:type="dxa"/>
            <w:gridSpan w:val="2"/>
            <w:shd w:val="clear" w:color="auto" w:fill="D9D9D9" w:themeFill="background1" w:themeFillShade="D9"/>
          </w:tcPr>
          <w:p w14:paraId="2A3D01A5" w14:textId="77777777" w:rsidR="00FF5701" w:rsidRPr="006A6461" w:rsidRDefault="00FF5701">
            <w:pPr>
              <w:widowControl w:val="0"/>
              <w:spacing w:before="15" w:after="15"/>
              <w:ind w:right="-113"/>
              <w:jc w:val="both"/>
              <w:rPr>
                <w:rFonts w:ascii="Times New Roman" w:hAnsi="Times New Roman" w:cs="Times New Roman"/>
                <w:noProof/>
                <w:sz w:val="20"/>
                <w:szCs w:val="20"/>
              </w:rPr>
            </w:pPr>
            <w:r>
              <w:rPr>
                <w:rFonts w:ascii="Times New Roman" w:hAnsi="Times New Roman"/>
                <w:b/>
                <w:noProof/>
                <w:sz w:val="20"/>
              </w:rPr>
              <w:t>Общо</w:t>
            </w:r>
            <w:r>
              <w:rPr>
                <w:rFonts w:ascii="Times New Roman" w:hAnsi="Times New Roman"/>
                <w:b/>
                <w:noProof/>
                <w:sz w:val="20"/>
              </w:rPr>
              <w:tab/>
            </w:r>
          </w:p>
        </w:tc>
        <w:tc>
          <w:tcPr>
            <w:tcW w:w="1701" w:type="dxa"/>
            <w:shd w:val="clear" w:color="auto" w:fill="D9D9D9" w:themeFill="background1" w:themeFillShade="D9"/>
          </w:tcPr>
          <w:p w14:paraId="0174D356" w14:textId="629BA88F" w:rsidR="00FF5701" w:rsidRPr="006A6461" w:rsidRDefault="00624C37">
            <w:pPr>
              <w:widowControl w:val="0"/>
              <w:spacing w:before="15" w:after="15"/>
              <w:jc w:val="right"/>
              <w:rPr>
                <w:rFonts w:ascii="Times New Roman" w:hAnsi="Times New Roman" w:cs="Times New Roman"/>
                <w:b/>
                <w:bCs/>
                <w:noProof/>
                <w:sz w:val="20"/>
                <w:szCs w:val="20"/>
              </w:rPr>
            </w:pPr>
            <w:r>
              <w:rPr>
                <w:rFonts w:ascii="Times New Roman" w:hAnsi="Times New Roman"/>
                <w:b/>
                <w:noProof/>
                <w:sz w:val="20"/>
              </w:rPr>
              <w:t>0</w:t>
            </w:r>
          </w:p>
        </w:tc>
        <w:tc>
          <w:tcPr>
            <w:tcW w:w="1701" w:type="dxa"/>
            <w:shd w:val="clear" w:color="auto" w:fill="D9D9D9" w:themeFill="background1" w:themeFillShade="D9"/>
          </w:tcPr>
          <w:p w14:paraId="79DC4D26" w14:textId="089E7136" w:rsidR="00FF5701" w:rsidRPr="006A6461" w:rsidRDefault="00624C37">
            <w:pPr>
              <w:widowControl w:val="0"/>
              <w:spacing w:before="15" w:after="15"/>
              <w:jc w:val="right"/>
              <w:rPr>
                <w:rFonts w:ascii="Times New Roman" w:hAnsi="Times New Roman" w:cs="Times New Roman"/>
                <w:b/>
                <w:noProof/>
                <w:sz w:val="20"/>
                <w:szCs w:val="20"/>
              </w:rPr>
            </w:pPr>
            <w:r>
              <w:rPr>
                <w:rFonts w:ascii="Times New Roman" w:hAnsi="Times New Roman"/>
                <w:b/>
                <w:noProof/>
                <w:sz w:val="20"/>
              </w:rPr>
              <w:t>0</w:t>
            </w:r>
          </w:p>
        </w:tc>
      </w:tr>
    </w:tbl>
    <w:p w14:paraId="798177DC" w14:textId="4169D060" w:rsidR="0089275D" w:rsidRPr="006A6461" w:rsidRDefault="0089275D" w:rsidP="0089275D">
      <w:pPr>
        <w:keepNext/>
        <w:tabs>
          <w:tab w:val="left" w:pos="850"/>
        </w:tabs>
        <w:spacing w:before="360" w:after="120"/>
        <w:ind w:left="850" w:hanging="850"/>
        <w:jc w:val="both"/>
        <w:outlineLvl w:val="1"/>
        <w:rPr>
          <w:rFonts w:ascii="Times New Roman" w:eastAsia="Calibri" w:hAnsi="Times New Roman" w:cs="Times New Roman"/>
          <w:b/>
          <w:noProof/>
          <w:sz w:val="24"/>
          <w:szCs w:val="24"/>
        </w:rPr>
      </w:pPr>
      <w:bookmarkStart w:id="43" w:name="_Toc173242911"/>
      <w:bookmarkEnd w:id="41"/>
      <w:r>
        <w:rPr>
          <w:rFonts w:ascii="Times New Roman" w:hAnsi="Times New Roman"/>
          <w:b/>
          <w:noProof/>
          <w:sz w:val="24"/>
        </w:rPr>
        <w:t>3.2</w:t>
      </w:r>
      <w:r>
        <w:rPr>
          <w:rFonts w:ascii="Times New Roman" w:hAnsi="Times New Roman"/>
          <w:b/>
          <w:noProof/>
          <w:sz w:val="24"/>
        </w:rPr>
        <w:tab/>
        <w:t>Предоставяне на допълнителни средства на Агенцията на Европейския съюз за сътрудничество между регулаторите на енергия (ACER)</w:t>
      </w:r>
      <w:bookmarkEnd w:id="43"/>
    </w:p>
    <w:p w14:paraId="2BB25C49" w14:textId="5586BB07" w:rsidR="00D46D0F" w:rsidRPr="006A6461" w:rsidRDefault="00B071B6" w:rsidP="00D46D0F">
      <w:pPr>
        <w:jc w:val="both"/>
        <w:rPr>
          <w:rFonts w:ascii="Times New Roman" w:hAnsi="Times New Roman" w:cs="Times New Roman"/>
          <w:noProof/>
          <w:sz w:val="24"/>
          <w:szCs w:val="24"/>
        </w:rPr>
      </w:pPr>
      <w:r>
        <w:rPr>
          <w:rFonts w:ascii="Times New Roman" w:hAnsi="Times New Roman"/>
          <w:noProof/>
          <w:sz w:val="24"/>
        </w:rPr>
        <w:t>С преразглеждането на ЗФО за новата структура на пазара на електроенергия</w:t>
      </w:r>
      <w:r w:rsidR="00D46D0F" w:rsidRPr="006A6461">
        <w:rPr>
          <w:rStyle w:val="FootnoteReference"/>
          <w:rFonts w:ascii="Times New Roman" w:hAnsi="Times New Roman" w:cs="Times New Roman"/>
          <w:noProof/>
          <w:sz w:val="24"/>
          <w:szCs w:val="24"/>
        </w:rPr>
        <w:footnoteReference w:id="16"/>
      </w:r>
      <w:r>
        <w:rPr>
          <w:rFonts w:ascii="Times New Roman" w:hAnsi="Times New Roman"/>
          <w:noProof/>
          <w:sz w:val="24"/>
        </w:rPr>
        <w:t xml:space="preserve"> Агенцията на Европейския съюз за сътрудничество между регулаторите на енергия (ACER) поема допълнителни дейности, за които е необходим допълнителен персонал (единадесет срочно наети служители и четирима договорно наети служители), което води до общо увеличение на разходите за персонал с 3,34 милиона евро. В бюджета за 2024 г. вече са предвидени четири длъжности за срочно наети служители за тази цел, а в настоящия проект на коригиращ бюджет са включени още седем срочно наети служители и четирима договорно наети служители. По подобен начин, що се отнася до свързаните с това разходи, в бюджета за 2024 г. вече е включена сума в размер на 684 000 EUR, а чрез настоящия проект на коригиращ бюджет се предлага да бъде предоставена допълнителна сума в размер на 2,656 милиона евро.</w:t>
      </w:r>
    </w:p>
    <w:p w14:paraId="273FA17B" w14:textId="60A6593D" w:rsidR="0063218C" w:rsidRPr="006A6461" w:rsidRDefault="0063218C" w:rsidP="00DC3D08">
      <w:pPr>
        <w:spacing w:after="0"/>
        <w:jc w:val="both"/>
        <w:rPr>
          <w:rFonts w:ascii="Times New Roman" w:hAnsi="Times New Roman" w:cs="Times New Roman"/>
          <w:noProof/>
          <w:sz w:val="24"/>
          <w:szCs w:val="24"/>
        </w:rPr>
      </w:pPr>
      <w:r>
        <w:rPr>
          <w:rFonts w:ascii="Times New Roman" w:hAnsi="Times New Roman"/>
          <w:noProof/>
          <w:sz w:val="24"/>
        </w:rPr>
        <w:t>Поради това цялостното отражение върху разходите е, както следва:</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63218C" w:rsidRPr="006A6461" w14:paraId="60F88832" w14:textId="77777777" w:rsidTr="4FD91C69">
        <w:trPr>
          <w:jc w:val="center"/>
        </w:trPr>
        <w:tc>
          <w:tcPr>
            <w:tcW w:w="9810" w:type="dxa"/>
            <w:gridSpan w:val="4"/>
            <w:tcBorders>
              <w:top w:val="nil"/>
              <w:left w:val="nil"/>
              <w:bottom w:val="single" w:sz="4" w:space="0" w:color="auto"/>
              <w:right w:val="nil"/>
            </w:tcBorders>
            <w:shd w:val="clear" w:color="auto" w:fill="auto"/>
            <w:vAlign w:val="center"/>
          </w:tcPr>
          <w:p w14:paraId="1A87A603" w14:textId="77777777" w:rsidR="0063218C" w:rsidRPr="006A6461" w:rsidRDefault="0063218C">
            <w:pPr>
              <w:widowControl w:val="0"/>
              <w:spacing w:before="15" w:after="15"/>
              <w:jc w:val="right"/>
              <w:rPr>
                <w:rFonts w:ascii="Times New Roman" w:hAnsi="Times New Roman" w:cs="Times New Roman"/>
                <w:i/>
                <w:noProof/>
                <w:sz w:val="20"/>
                <w:szCs w:val="20"/>
              </w:rPr>
            </w:pPr>
            <w:r>
              <w:rPr>
                <w:rFonts w:ascii="Times New Roman" w:hAnsi="Times New Roman"/>
                <w:i/>
                <w:noProof/>
                <w:sz w:val="20"/>
              </w:rPr>
              <w:t>EUR</w:t>
            </w:r>
          </w:p>
        </w:tc>
      </w:tr>
      <w:tr w:rsidR="0063218C" w:rsidRPr="006A6461" w14:paraId="3D30D4BB" w14:textId="77777777" w:rsidTr="4FD91C69">
        <w:trPr>
          <w:jc w:val="center"/>
        </w:trPr>
        <w:tc>
          <w:tcPr>
            <w:tcW w:w="1276" w:type="dxa"/>
            <w:tcBorders>
              <w:top w:val="single" w:sz="4" w:space="0" w:color="auto"/>
            </w:tcBorders>
            <w:shd w:val="clear" w:color="auto" w:fill="D9D9D9" w:themeFill="background1" w:themeFillShade="D9"/>
            <w:vAlign w:val="center"/>
          </w:tcPr>
          <w:p w14:paraId="398DCE77" w14:textId="77777777" w:rsidR="0063218C" w:rsidRPr="006A6461" w:rsidRDefault="0063218C">
            <w:pPr>
              <w:keepNext/>
              <w:spacing w:before="15" w:after="15"/>
              <w:jc w:val="center"/>
              <w:rPr>
                <w:rFonts w:ascii="Times New Roman" w:hAnsi="Times New Roman" w:cs="Times New Roman"/>
                <w:b/>
                <w:noProof/>
                <w:sz w:val="20"/>
                <w:szCs w:val="20"/>
              </w:rPr>
            </w:pPr>
            <w:r>
              <w:rPr>
                <w:rFonts w:ascii="Times New Roman" w:hAnsi="Times New Roman"/>
                <w:b/>
                <w:noProof/>
                <w:sz w:val="20"/>
              </w:rPr>
              <w:t>Бюджетен ред</w:t>
            </w:r>
          </w:p>
        </w:tc>
        <w:tc>
          <w:tcPr>
            <w:tcW w:w="5132" w:type="dxa"/>
            <w:tcBorders>
              <w:top w:val="single" w:sz="4" w:space="0" w:color="auto"/>
            </w:tcBorders>
            <w:shd w:val="clear" w:color="auto" w:fill="D9D9D9" w:themeFill="background1" w:themeFillShade="D9"/>
            <w:vAlign w:val="center"/>
          </w:tcPr>
          <w:p w14:paraId="10367F14" w14:textId="77777777" w:rsidR="0063218C" w:rsidRPr="006A6461" w:rsidRDefault="0063218C">
            <w:pPr>
              <w:widowControl w:val="0"/>
              <w:spacing w:before="15" w:after="15"/>
              <w:jc w:val="center"/>
              <w:rPr>
                <w:rFonts w:ascii="Times New Roman" w:hAnsi="Times New Roman" w:cs="Times New Roman"/>
                <w:b/>
                <w:noProof/>
                <w:sz w:val="20"/>
                <w:szCs w:val="20"/>
              </w:rPr>
            </w:pPr>
            <w:r>
              <w:rPr>
                <w:rFonts w:ascii="Times New Roman" w:hAnsi="Times New Roman"/>
                <w:b/>
                <w:noProof/>
                <w:sz w:val="20"/>
              </w:rPr>
              <w:t>Наименование</w:t>
            </w:r>
          </w:p>
        </w:tc>
        <w:tc>
          <w:tcPr>
            <w:tcW w:w="1701" w:type="dxa"/>
            <w:tcBorders>
              <w:top w:val="single" w:sz="4" w:space="0" w:color="auto"/>
            </w:tcBorders>
            <w:shd w:val="clear" w:color="auto" w:fill="D9D9D9" w:themeFill="background1" w:themeFillShade="D9"/>
            <w:vAlign w:val="center"/>
          </w:tcPr>
          <w:p w14:paraId="15B5DF8F" w14:textId="77777777" w:rsidR="0063218C" w:rsidRPr="006A6461" w:rsidRDefault="0063218C">
            <w:pPr>
              <w:widowControl w:val="0"/>
              <w:spacing w:before="15" w:after="15"/>
              <w:jc w:val="center"/>
              <w:rPr>
                <w:rFonts w:ascii="Times New Roman" w:hAnsi="Times New Roman" w:cs="Times New Roman"/>
                <w:b/>
                <w:noProof/>
                <w:sz w:val="20"/>
                <w:szCs w:val="20"/>
              </w:rPr>
            </w:pPr>
            <w:r>
              <w:rPr>
                <w:rFonts w:ascii="Times New Roman" w:hAnsi="Times New Roman"/>
                <w:b/>
                <w:noProof/>
                <w:sz w:val="20"/>
              </w:rPr>
              <w:t>Бюджетни кредити за поети задължения</w:t>
            </w:r>
          </w:p>
        </w:tc>
        <w:tc>
          <w:tcPr>
            <w:tcW w:w="1701" w:type="dxa"/>
            <w:tcBorders>
              <w:top w:val="single" w:sz="4" w:space="0" w:color="auto"/>
            </w:tcBorders>
            <w:shd w:val="clear" w:color="auto" w:fill="D9D9D9" w:themeFill="background1" w:themeFillShade="D9"/>
            <w:vAlign w:val="center"/>
          </w:tcPr>
          <w:p w14:paraId="7D4E3AC0" w14:textId="77777777" w:rsidR="0063218C" w:rsidRPr="006A6461" w:rsidRDefault="28295982" w:rsidP="636D7CA7">
            <w:pPr>
              <w:widowControl w:val="0"/>
              <w:spacing w:before="15" w:after="15"/>
              <w:jc w:val="center"/>
              <w:rPr>
                <w:rFonts w:ascii="Times New Roman" w:hAnsi="Times New Roman" w:cs="Times New Roman"/>
                <w:b/>
                <w:bCs/>
                <w:noProof/>
                <w:sz w:val="20"/>
                <w:szCs w:val="20"/>
              </w:rPr>
            </w:pPr>
            <w:r>
              <w:rPr>
                <w:rFonts w:ascii="Times New Roman" w:hAnsi="Times New Roman"/>
                <w:b/>
                <w:noProof/>
                <w:sz w:val="20"/>
              </w:rPr>
              <w:t>Бюджетни кредити за плащания</w:t>
            </w:r>
          </w:p>
        </w:tc>
      </w:tr>
      <w:tr w:rsidR="0063218C" w:rsidRPr="006A6461" w14:paraId="4DD57627" w14:textId="77777777" w:rsidTr="4FD91C69">
        <w:trPr>
          <w:jc w:val="center"/>
        </w:trPr>
        <w:tc>
          <w:tcPr>
            <w:tcW w:w="9810" w:type="dxa"/>
            <w:gridSpan w:val="4"/>
            <w:shd w:val="clear" w:color="auto" w:fill="F2F2F2" w:themeFill="background1" w:themeFillShade="F2"/>
            <w:vAlign w:val="center"/>
          </w:tcPr>
          <w:p w14:paraId="155DE2E0" w14:textId="77777777" w:rsidR="0063218C" w:rsidRPr="006A6461" w:rsidRDefault="0063218C">
            <w:pPr>
              <w:widowControl w:val="0"/>
              <w:spacing w:before="15" w:after="15"/>
              <w:rPr>
                <w:rFonts w:ascii="Times New Roman" w:hAnsi="Times New Roman" w:cs="Times New Roman"/>
                <w:i/>
                <w:noProof/>
                <w:sz w:val="20"/>
                <w:szCs w:val="20"/>
              </w:rPr>
            </w:pPr>
            <w:r>
              <w:rPr>
                <w:rFonts w:ascii="Times New Roman" w:hAnsi="Times New Roman"/>
                <w:i/>
                <w:noProof/>
                <w:sz w:val="20"/>
              </w:rPr>
              <w:t>Раздел III — Комисия</w:t>
            </w:r>
          </w:p>
        </w:tc>
      </w:tr>
      <w:tr w:rsidR="0063218C" w:rsidRPr="006A6461" w14:paraId="63F704AC" w14:textId="77777777" w:rsidTr="4FD91C69">
        <w:trPr>
          <w:jc w:val="center"/>
        </w:trPr>
        <w:tc>
          <w:tcPr>
            <w:tcW w:w="1276" w:type="dxa"/>
          </w:tcPr>
          <w:p w14:paraId="11229AA6" w14:textId="2A0C54FB" w:rsidR="0063218C" w:rsidRPr="006A6461" w:rsidRDefault="00A82BA1">
            <w:pPr>
              <w:widowControl w:val="0"/>
              <w:spacing w:before="15" w:after="15"/>
              <w:ind w:right="-113"/>
              <w:jc w:val="both"/>
              <w:rPr>
                <w:rFonts w:ascii="Times New Roman" w:hAnsi="Times New Roman" w:cs="Times New Roman"/>
                <w:noProof/>
                <w:sz w:val="16"/>
                <w:szCs w:val="16"/>
              </w:rPr>
            </w:pPr>
            <w:r>
              <w:rPr>
                <w:rFonts w:ascii="Times New Roman" w:hAnsi="Times New Roman"/>
                <w:noProof/>
                <w:sz w:val="16"/>
              </w:rPr>
              <w:t>02 10 06</w:t>
            </w:r>
          </w:p>
        </w:tc>
        <w:tc>
          <w:tcPr>
            <w:tcW w:w="5132" w:type="dxa"/>
          </w:tcPr>
          <w:p w14:paraId="77939C08" w14:textId="3624EF2F" w:rsidR="0063218C" w:rsidRPr="006A6461" w:rsidRDefault="00BE6DBE">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rPr>
              <w:t>Агенция на Европейския съюз за сътрудничество между регулаторите на енергия</w:t>
            </w:r>
          </w:p>
        </w:tc>
        <w:tc>
          <w:tcPr>
            <w:tcW w:w="1701" w:type="dxa"/>
          </w:tcPr>
          <w:p w14:paraId="74D5D4EA" w14:textId="61E2CE2E" w:rsidR="0063218C" w:rsidRPr="006A6461" w:rsidRDefault="22E197AD">
            <w:pPr>
              <w:widowControl w:val="0"/>
              <w:spacing w:before="15" w:after="15"/>
              <w:jc w:val="right"/>
              <w:rPr>
                <w:rFonts w:ascii="Times New Roman" w:hAnsi="Times New Roman" w:cs="Times New Roman"/>
                <w:noProof/>
                <w:sz w:val="16"/>
                <w:szCs w:val="16"/>
              </w:rPr>
            </w:pPr>
            <w:r>
              <w:rPr>
                <w:rFonts w:ascii="Times New Roman" w:hAnsi="Times New Roman"/>
                <w:noProof/>
                <w:sz w:val="16"/>
              </w:rPr>
              <w:t>2 656 000</w:t>
            </w:r>
          </w:p>
        </w:tc>
        <w:tc>
          <w:tcPr>
            <w:tcW w:w="1701" w:type="dxa"/>
          </w:tcPr>
          <w:p w14:paraId="4A561882" w14:textId="550C9FF0" w:rsidR="0063218C" w:rsidRPr="006A6461" w:rsidRDefault="22E197AD" w:rsidP="636D7CA7">
            <w:pPr>
              <w:widowControl w:val="0"/>
              <w:spacing w:before="15" w:after="15"/>
              <w:jc w:val="right"/>
              <w:rPr>
                <w:rFonts w:ascii="Times New Roman" w:hAnsi="Times New Roman" w:cs="Times New Roman"/>
                <w:noProof/>
                <w:sz w:val="16"/>
                <w:szCs w:val="16"/>
              </w:rPr>
            </w:pPr>
            <w:r>
              <w:rPr>
                <w:rFonts w:ascii="Times New Roman" w:hAnsi="Times New Roman"/>
                <w:noProof/>
                <w:sz w:val="16"/>
              </w:rPr>
              <w:t>2 656 000</w:t>
            </w:r>
          </w:p>
        </w:tc>
      </w:tr>
      <w:tr w:rsidR="0063218C" w:rsidRPr="006A6461" w14:paraId="1D932475" w14:textId="77777777" w:rsidTr="4FD91C69">
        <w:trPr>
          <w:jc w:val="center"/>
        </w:trPr>
        <w:tc>
          <w:tcPr>
            <w:tcW w:w="6408" w:type="dxa"/>
            <w:gridSpan w:val="2"/>
            <w:shd w:val="clear" w:color="auto" w:fill="D9D9D9" w:themeFill="background1" w:themeFillShade="D9"/>
          </w:tcPr>
          <w:p w14:paraId="62388ECB" w14:textId="77777777" w:rsidR="0063218C" w:rsidRPr="006A6461" w:rsidRDefault="0063218C">
            <w:pPr>
              <w:widowControl w:val="0"/>
              <w:spacing w:before="15" w:after="15"/>
              <w:ind w:right="-113"/>
              <w:jc w:val="both"/>
              <w:rPr>
                <w:rFonts w:ascii="Times New Roman" w:hAnsi="Times New Roman" w:cs="Times New Roman"/>
                <w:noProof/>
                <w:sz w:val="20"/>
                <w:szCs w:val="20"/>
              </w:rPr>
            </w:pPr>
            <w:r>
              <w:rPr>
                <w:rFonts w:ascii="Times New Roman" w:hAnsi="Times New Roman"/>
                <w:b/>
                <w:noProof/>
                <w:sz w:val="20"/>
              </w:rPr>
              <w:t>Общо</w:t>
            </w:r>
            <w:r>
              <w:rPr>
                <w:rFonts w:ascii="Times New Roman" w:hAnsi="Times New Roman"/>
                <w:b/>
                <w:noProof/>
                <w:sz w:val="20"/>
              </w:rPr>
              <w:tab/>
            </w:r>
          </w:p>
        </w:tc>
        <w:tc>
          <w:tcPr>
            <w:tcW w:w="1701" w:type="dxa"/>
            <w:shd w:val="clear" w:color="auto" w:fill="D9D9D9" w:themeFill="background1" w:themeFillShade="D9"/>
          </w:tcPr>
          <w:p w14:paraId="2ECAEF98" w14:textId="5500E92C" w:rsidR="0063218C" w:rsidRPr="006A6461" w:rsidRDefault="5A8AE8DC">
            <w:pPr>
              <w:widowControl w:val="0"/>
              <w:spacing w:before="15" w:after="15"/>
              <w:jc w:val="right"/>
              <w:rPr>
                <w:rFonts w:ascii="Times New Roman" w:hAnsi="Times New Roman" w:cs="Times New Roman"/>
                <w:b/>
                <w:bCs/>
                <w:noProof/>
                <w:sz w:val="20"/>
                <w:szCs w:val="20"/>
              </w:rPr>
            </w:pPr>
            <w:r>
              <w:rPr>
                <w:rFonts w:ascii="Times New Roman" w:hAnsi="Times New Roman"/>
                <w:b/>
                <w:noProof/>
                <w:sz w:val="20"/>
              </w:rPr>
              <w:t>2 656 000</w:t>
            </w:r>
          </w:p>
        </w:tc>
        <w:tc>
          <w:tcPr>
            <w:tcW w:w="1701" w:type="dxa"/>
            <w:shd w:val="clear" w:color="auto" w:fill="D9D9D9" w:themeFill="background1" w:themeFillShade="D9"/>
          </w:tcPr>
          <w:p w14:paraId="3A5658A2" w14:textId="18A6C152" w:rsidR="0063218C" w:rsidRPr="006A6461" w:rsidRDefault="1AD39A7B" w:rsidP="6A41017F">
            <w:pPr>
              <w:widowControl w:val="0"/>
              <w:spacing w:before="15" w:after="15"/>
              <w:jc w:val="right"/>
              <w:rPr>
                <w:rFonts w:ascii="Times New Roman" w:hAnsi="Times New Roman" w:cs="Times New Roman"/>
                <w:b/>
                <w:bCs/>
                <w:noProof/>
                <w:sz w:val="20"/>
                <w:szCs w:val="20"/>
              </w:rPr>
            </w:pPr>
            <w:r>
              <w:rPr>
                <w:rFonts w:ascii="Times New Roman" w:hAnsi="Times New Roman"/>
                <w:b/>
                <w:noProof/>
                <w:sz w:val="20"/>
              </w:rPr>
              <w:t>2 656 000</w:t>
            </w:r>
          </w:p>
        </w:tc>
      </w:tr>
    </w:tbl>
    <w:p w14:paraId="2D79598D" w14:textId="46C0A267" w:rsidR="00311C9F" w:rsidRPr="006A6461" w:rsidRDefault="00311C9F" w:rsidP="00311C9F">
      <w:pPr>
        <w:spacing w:before="240" w:after="0"/>
        <w:jc w:val="both"/>
        <w:rPr>
          <w:rFonts w:ascii="Times New Roman" w:hAnsi="Times New Roman" w:cs="Times New Roman"/>
          <w:noProof/>
          <w:sz w:val="24"/>
          <w:szCs w:val="24"/>
        </w:rPr>
      </w:pPr>
      <w:r>
        <w:rPr>
          <w:rFonts w:ascii="Times New Roman" w:hAnsi="Times New Roman"/>
          <w:noProof/>
          <w:sz w:val="24"/>
        </w:rPr>
        <w:t>Съответните промени в щатното разписание са посочени в бюджетното приложение.</w:t>
      </w:r>
    </w:p>
    <w:p w14:paraId="092F0F42" w14:textId="229E8C49" w:rsidR="00240B0B" w:rsidRPr="006A6461" w:rsidRDefault="00240B0B" w:rsidP="00240B0B">
      <w:pPr>
        <w:keepNext/>
        <w:tabs>
          <w:tab w:val="left" w:pos="850"/>
        </w:tabs>
        <w:spacing w:before="360" w:after="120"/>
        <w:ind w:left="850" w:hanging="850"/>
        <w:jc w:val="both"/>
        <w:outlineLvl w:val="1"/>
        <w:rPr>
          <w:rFonts w:ascii="Times New Roman" w:eastAsia="Calibri" w:hAnsi="Times New Roman" w:cs="Times New Roman"/>
          <w:b/>
          <w:noProof/>
          <w:sz w:val="24"/>
          <w:szCs w:val="24"/>
        </w:rPr>
      </w:pPr>
      <w:bookmarkStart w:id="44" w:name="_Toc173242912"/>
      <w:r>
        <w:rPr>
          <w:rFonts w:ascii="Times New Roman" w:hAnsi="Times New Roman"/>
          <w:b/>
          <w:noProof/>
          <w:sz w:val="24"/>
        </w:rPr>
        <w:t>3.3</w:t>
      </w:r>
      <w:r>
        <w:rPr>
          <w:rFonts w:ascii="Times New Roman" w:hAnsi="Times New Roman"/>
          <w:b/>
          <w:noProof/>
          <w:sz w:val="24"/>
        </w:rPr>
        <w:tab/>
        <w:t>Намаляване на персонала и на вноската на ЕС за Органа за борба с изпирането на пари (ОБИП)</w:t>
      </w:r>
      <w:bookmarkEnd w:id="44"/>
    </w:p>
    <w:p w14:paraId="6D691F5B" w14:textId="3A65EA8C" w:rsidR="00240B0B" w:rsidRPr="006A6461" w:rsidRDefault="00692C14" w:rsidP="00240B0B">
      <w:pPr>
        <w:jc w:val="both"/>
        <w:rPr>
          <w:rFonts w:ascii="Times New Roman" w:hAnsi="Times New Roman" w:cs="Times New Roman"/>
          <w:noProof/>
          <w:sz w:val="24"/>
          <w:szCs w:val="24"/>
        </w:rPr>
      </w:pPr>
      <w:r>
        <w:rPr>
          <w:rFonts w:ascii="Times New Roman" w:hAnsi="Times New Roman"/>
          <w:noProof/>
          <w:sz w:val="24"/>
        </w:rPr>
        <w:t>Преговорите за създаването на новия Орган за борба с изпирането на пари (ОБИП) отнеха повече време от първоначално планираното и поради това създаването на агенцията ще започне едва през 2024 г. Вследствие на това съответната ЗФО беше преразгледана, което доведе до намаляване на числеността на персонала за 2024 г. до осем длъжности по щатното разписание (т.е. намаляване с общо 27 длъжности по щатното разписание за 2024 г.), девет договорно наети служители и двама командировани национални експерти. Във връзка с това се предлага също размерът на бюджетните кредити, необходими през 2024 г., да се намали с 3,812 милиона евро от резерва (дял „Провизии“), в който са записани 5 107 785 EUR в съответствие с член 49 от Финансовия регламент. Това представлява по-скоро отлагане в сравнение с първоначалната ЗФО. В резултат на това маржът по функция 1 ще се увеличи в съответната степен.</w:t>
      </w:r>
    </w:p>
    <w:p w14:paraId="74E4D1BA" w14:textId="77777777" w:rsidR="00240B0B" w:rsidRPr="006A6461" w:rsidRDefault="00240B0B" w:rsidP="00240B0B">
      <w:pPr>
        <w:spacing w:after="0"/>
        <w:jc w:val="both"/>
        <w:rPr>
          <w:rFonts w:ascii="Times New Roman" w:hAnsi="Times New Roman" w:cs="Times New Roman"/>
          <w:noProof/>
          <w:sz w:val="24"/>
          <w:szCs w:val="24"/>
        </w:rPr>
      </w:pPr>
      <w:r>
        <w:rPr>
          <w:rFonts w:ascii="Times New Roman" w:hAnsi="Times New Roman"/>
          <w:noProof/>
          <w:sz w:val="24"/>
        </w:rPr>
        <w:t>Поради това цялостното отражение върху разходите е, както следва:</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240B0B" w:rsidRPr="006A6461" w14:paraId="2F2F5862" w14:textId="77777777" w:rsidTr="00330BFA">
        <w:trPr>
          <w:jc w:val="center"/>
        </w:trPr>
        <w:tc>
          <w:tcPr>
            <w:tcW w:w="9810" w:type="dxa"/>
            <w:gridSpan w:val="4"/>
            <w:tcBorders>
              <w:top w:val="nil"/>
              <w:left w:val="nil"/>
              <w:bottom w:val="single" w:sz="4" w:space="0" w:color="auto"/>
              <w:right w:val="nil"/>
            </w:tcBorders>
            <w:shd w:val="clear" w:color="auto" w:fill="auto"/>
            <w:vAlign w:val="center"/>
          </w:tcPr>
          <w:p w14:paraId="094ECD87" w14:textId="77777777" w:rsidR="00240B0B" w:rsidRPr="006A6461" w:rsidRDefault="00240B0B" w:rsidP="00330BFA">
            <w:pPr>
              <w:widowControl w:val="0"/>
              <w:spacing w:before="15" w:after="15"/>
              <w:jc w:val="right"/>
              <w:rPr>
                <w:rFonts w:ascii="Times New Roman" w:hAnsi="Times New Roman" w:cs="Times New Roman"/>
                <w:i/>
                <w:noProof/>
                <w:sz w:val="20"/>
                <w:szCs w:val="20"/>
              </w:rPr>
            </w:pPr>
            <w:r>
              <w:rPr>
                <w:rFonts w:ascii="Times New Roman" w:hAnsi="Times New Roman"/>
                <w:i/>
                <w:noProof/>
                <w:sz w:val="20"/>
              </w:rPr>
              <w:t>EUR</w:t>
            </w:r>
          </w:p>
        </w:tc>
      </w:tr>
      <w:tr w:rsidR="00240B0B" w:rsidRPr="006A6461" w14:paraId="5CF9AC08" w14:textId="77777777" w:rsidTr="00330BFA">
        <w:trPr>
          <w:jc w:val="center"/>
        </w:trPr>
        <w:tc>
          <w:tcPr>
            <w:tcW w:w="1276" w:type="dxa"/>
            <w:tcBorders>
              <w:top w:val="single" w:sz="4" w:space="0" w:color="auto"/>
            </w:tcBorders>
            <w:shd w:val="clear" w:color="auto" w:fill="D9D9D9" w:themeFill="background1" w:themeFillShade="D9"/>
            <w:vAlign w:val="center"/>
          </w:tcPr>
          <w:p w14:paraId="465E851D" w14:textId="77777777" w:rsidR="00240B0B" w:rsidRPr="006A6461" w:rsidRDefault="00240B0B" w:rsidP="00330BFA">
            <w:pPr>
              <w:keepNext/>
              <w:spacing w:before="15" w:after="15"/>
              <w:jc w:val="center"/>
              <w:rPr>
                <w:rFonts w:ascii="Times New Roman" w:hAnsi="Times New Roman" w:cs="Times New Roman"/>
                <w:b/>
                <w:noProof/>
                <w:sz w:val="20"/>
                <w:szCs w:val="20"/>
              </w:rPr>
            </w:pPr>
            <w:r>
              <w:rPr>
                <w:rFonts w:ascii="Times New Roman" w:hAnsi="Times New Roman"/>
                <w:b/>
                <w:noProof/>
                <w:sz w:val="20"/>
              </w:rPr>
              <w:t>Бюджетен ред</w:t>
            </w:r>
          </w:p>
        </w:tc>
        <w:tc>
          <w:tcPr>
            <w:tcW w:w="5132" w:type="dxa"/>
            <w:tcBorders>
              <w:top w:val="single" w:sz="4" w:space="0" w:color="auto"/>
            </w:tcBorders>
            <w:shd w:val="clear" w:color="auto" w:fill="D9D9D9" w:themeFill="background1" w:themeFillShade="D9"/>
            <w:vAlign w:val="center"/>
          </w:tcPr>
          <w:p w14:paraId="33257763" w14:textId="77777777" w:rsidR="00240B0B" w:rsidRPr="006A6461" w:rsidRDefault="00240B0B" w:rsidP="00330BFA">
            <w:pPr>
              <w:widowControl w:val="0"/>
              <w:spacing w:before="15" w:after="15"/>
              <w:jc w:val="center"/>
              <w:rPr>
                <w:rFonts w:ascii="Times New Roman" w:hAnsi="Times New Roman" w:cs="Times New Roman"/>
                <w:b/>
                <w:noProof/>
                <w:sz w:val="20"/>
                <w:szCs w:val="20"/>
              </w:rPr>
            </w:pPr>
            <w:r>
              <w:rPr>
                <w:rFonts w:ascii="Times New Roman" w:hAnsi="Times New Roman"/>
                <w:b/>
                <w:noProof/>
                <w:sz w:val="20"/>
              </w:rPr>
              <w:t>Наименование</w:t>
            </w:r>
          </w:p>
        </w:tc>
        <w:tc>
          <w:tcPr>
            <w:tcW w:w="1701" w:type="dxa"/>
            <w:tcBorders>
              <w:top w:val="single" w:sz="4" w:space="0" w:color="auto"/>
            </w:tcBorders>
            <w:shd w:val="clear" w:color="auto" w:fill="D9D9D9" w:themeFill="background1" w:themeFillShade="D9"/>
            <w:vAlign w:val="center"/>
          </w:tcPr>
          <w:p w14:paraId="3F61E03D" w14:textId="77777777" w:rsidR="00240B0B" w:rsidRPr="006A6461" w:rsidRDefault="00240B0B" w:rsidP="00330BFA">
            <w:pPr>
              <w:widowControl w:val="0"/>
              <w:spacing w:before="15" w:after="15"/>
              <w:jc w:val="center"/>
              <w:rPr>
                <w:rFonts w:ascii="Times New Roman" w:hAnsi="Times New Roman" w:cs="Times New Roman"/>
                <w:b/>
                <w:noProof/>
                <w:sz w:val="20"/>
                <w:szCs w:val="20"/>
              </w:rPr>
            </w:pPr>
            <w:r>
              <w:rPr>
                <w:rFonts w:ascii="Times New Roman" w:hAnsi="Times New Roman"/>
                <w:b/>
                <w:noProof/>
                <w:sz w:val="20"/>
              </w:rPr>
              <w:t>Бюджетни кредити за поети задължения</w:t>
            </w:r>
          </w:p>
        </w:tc>
        <w:tc>
          <w:tcPr>
            <w:tcW w:w="1701" w:type="dxa"/>
            <w:tcBorders>
              <w:top w:val="single" w:sz="4" w:space="0" w:color="auto"/>
            </w:tcBorders>
            <w:shd w:val="clear" w:color="auto" w:fill="D9D9D9" w:themeFill="background1" w:themeFillShade="D9"/>
            <w:vAlign w:val="center"/>
          </w:tcPr>
          <w:p w14:paraId="28E464BF" w14:textId="77777777" w:rsidR="00240B0B" w:rsidRPr="006A6461" w:rsidRDefault="00240B0B" w:rsidP="00330BFA">
            <w:pPr>
              <w:widowControl w:val="0"/>
              <w:spacing w:before="15" w:after="15"/>
              <w:jc w:val="center"/>
              <w:rPr>
                <w:rFonts w:ascii="Times New Roman" w:hAnsi="Times New Roman" w:cs="Times New Roman"/>
                <w:b/>
                <w:bCs/>
                <w:noProof/>
                <w:sz w:val="20"/>
                <w:szCs w:val="20"/>
              </w:rPr>
            </w:pPr>
            <w:r>
              <w:rPr>
                <w:rFonts w:ascii="Times New Roman" w:hAnsi="Times New Roman"/>
                <w:b/>
                <w:noProof/>
                <w:sz w:val="20"/>
              </w:rPr>
              <w:t>Бюджетни кредити за плащания</w:t>
            </w:r>
          </w:p>
        </w:tc>
      </w:tr>
      <w:tr w:rsidR="00240B0B" w:rsidRPr="006A6461" w14:paraId="2EE743DA" w14:textId="77777777" w:rsidTr="00330BFA">
        <w:trPr>
          <w:jc w:val="center"/>
        </w:trPr>
        <w:tc>
          <w:tcPr>
            <w:tcW w:w="9810" w:type="dxa"/>
            <w:gridSpan w:val="4"/>
            <w:shd w:val="clear" w:color="auto" w:fill="F2F2F2" w:themeFill="background1" w:themeFillShade="F2"/>
            <w:vAlign w:val="center"/>
          </w:tcPr>
          <w:p w14:paraId="71499508" w14:textId="77777777" w:rsidR="00240B0B" w:rsidRPr="006A6461" w:rsidRDefault="00240B0B" w:rsidP="00330BFA">
            <w:pPr>
              <w:widowControl w:val="0"/>
              <w:spacing w:before="15" w:after="15"/>
              <w:rPr>
                <w:rFonts w:ascii="Times New Roman" w:hAnsi="Times New Roman" w:cs="Times New Roman"/>
                <w:i/>
                <w:noProof/>
                <w:sz w:val="20"/>
                <w:szCs w:val="20"/>
              </w:rPr>
            </w:pPr>
            <w:r>
              <w:rPr>
                <w:rFonts w:ascii="Times New Roman" w:hAnsi="Times New Roman"/>
                <w:i/>
                <w:noProof/>
                <w:sz w:val="20"/>
              </w:rPr>
              <w:t>Раздел III — Комисия</w:t>
            </w:r>
          </w:p>
        </w:tc>
      </w:tr>
      <w:tr w:rsidR="00240B0B" w:rsidRPr="006A6461" w14:paraId="7D712EBF" w14:textId="77777777" w:rsidTr="00330BFA">
        <w:trPr>
          <w:jc w:val="center"/>
        </w:trPr>
        <w:tc>
          <w:tcPr>
            <w:tcW w:w="1276" w:type="dxa"/>
          </w:tcPr>
          <w:p w14:paraId="7922C40E" w14:textId="5FBD9966" w:rsidR="00240B0B" w:rsidRPr="006A6461" w:rsidRDefault="00E54369" w:rsidP="00330BFA">
            <w:pPr>
              <w:widowControl w:val="0"/>
              <w:spacing w:before="15" w:after="15"/>
              <w:ind w:right="-113"/>
              <w:jc w:val="both"/>
              <w:rPr>
                <w:rFonts w:ascii="Times New Roman" w:hAnsi="Times New Roman" w:cs="Times New Roman"/>
                <w:noProof/>
                <w:sz w:val="16"/>
                <w:szCs w:val="16"/>
              </w:rPr>
            </w:pPr>
            <w:r>
              <w:rPr>
                <w:rFonts w:ascii="Times New Roman" w:hAnsi="Times New Roman"/>
                <w:noProof/>
                <w:sz w:val="16"/>
              </w:rPr>
              <w:t>30 02 02</w:t>
            </w:r>
          </w:p>
        </w:tc>
        <w:tc>
          <w:tcPr>
            <w:tcW w:w="5132" w:type="dxa"/>
          </w:tcPr>
          <w:p w14:paraId="45C84053" w14:textId="449309FB" w:rsidR="00240B0B" w:rsidRPr="006A6461" w:rsidRDefault="001905DC" w:rsidP="00330BFA">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rPr>
              <w:t>Многогодишни бюджетни кредити (резерв за бюджетна статия 03 10 05)</w:t>
            </w:r>
          </w:p>
        </w:tc>
        <w:tc>
          <w:tcPr>
            <w:tcW w:w="1701" w:type="dxa"/>
          </w:tcPr>
          <w:p w14:paraId="2E589814" w14:textId="3AA49B73" w:rsidR="00240B0B" w:rsidRPr="006A6461" w:rsidRDefault="00206B7B" w:rsidP="00330BFA">
            <w:pPr>
              <w:widowControl w:val="0"/>
              <w:spacing w:before="15" w:after="15"/>
              <w:jc w:val="right"/>
              <w:rPr>
                <w:rFonts w:ascii="Times New Roman" w:hAnsi="Times New Roman" w:cs="Times New Roman"/>
                <w:noProof/>
                <w:sz w:val="16"/>
                <w:szCs w:val="16"/>
              </w:rPr>
            </w:pPr>
            <w:r>
              <w:rPr>
                <w:rFonts w:ascii="Times New Roman" w:hAnsi="Times New Roman"/>
                <w:noProof/>
                <w:sz w:val="16"/>
              </w:rPr>
              <w:t>- 3 812 166</w:t>
            </w:r>
          </w:p>
        </w:tc>
        <w:tc>
          <w:tcPr>
            <w:tcW w:w="1701" w:type="dxa"/>
          </w:tcPr>
          <w:p w14:paraId="17CF0EA3" w14:textId="57EC624B" w:rsidR="00240B0B" w:rsidRPr="006A6461" w:rsidRDefault="00206B7B" w:rsidP="00330BFA">
            <w:pPr>
              <w:widowControl w:val="0"/>
              <w:spacing w:before="15" w:after="15"/>
              <w:jc w:val="right"/>
              <w:rPr>
                <w:rFonts w:ascii="Times New Roman" w:hAnsi="Times New Roman" w:cs="Times New Roman"/>
                <w:noProof/>
                <w:sz w:val="16"/>
                <w:szCs w:val="16"/>
              </w:rPr>
            </w:pPr>
            <w:r>
              <w:rPr>
                <w:rFonts w:ascii="Times New Roman" w:hAnsi="Times New Roman"/>
                <w:noProof/>
                <w:sz w:val="16"/>
              </w:rPr>
              <w:t>-3 812 166</w:t>
            </w:r>
          </w:p>
        </w:tc>
      </w:tr>
      <w:tr w:rsidR="00240B0B" w:rsidRPr="006A6461" w14:paraId="03343CF7" w14:textId="77777777" w:rsidTr="00330BFA">
        <w:trPr>
          <w:jc w:val="center"/>
        </w:trPr>
        <w:tc>
          <w:tcPr>
            <w:tcW w:w="6408" w:type="dxa"/>
            <w:gridSpan w:val="2"/>
            <w:shd w:val="clear" w:color="auto" w:fill="D9D9D9" w:themeFill="background1" w:themeFillShade="D9"/>
          </w:tcPr>
          <w:p w14:paraId="6E6D67A8" w14:textId="77777777" w:rsidR="00240B0B" w:rsidRPr="006A6461" w:rsidRDefault="00240B0B" w:rsidP="00330BFA">
            <w:pPr>
              <w:widowControl w:val="0"/>
              <w:spacing w:before="15" w:after="15"/>
              <w:ind w:right="-113"/>
              <w:jc w:val="both"/>
              <w:rPr>
                <w:rFonts w:ascii="Times New Roman" w:hAnsi="Times New Roman" w:cs="Times New Roman"/>
                <w:noProof/>
                <w:sz w:val="20"/>
                <w:szCs w:val="20"/>
              </w:rPr>
            </w:pPr>
            <w:r>
              <w:rPr>
                <w:rFonts w:ascii="Times New Roman" w:hAnsi="Times New Roman"/>
                <w:b/>
                <w:noProof/>
                <w:sz w:val="20"/>
              </w:rPr>
              <w:t>Общо</w:t>
            </w:r>
            <w:r>
              <w:rPr>
                <w:rFonts w:ascii="Times New Roman" w:hAnsi="Times New Roman"/>
                <w:b/>
                <w:noProof/>
                <w:sz w:val="20"/>
              </w:rPr>
              <w:tab/>
            </w:r>
          </w:p>
        </w:tc>
        <w:tc>
          <w:tcPr>
            <w:tcW w:w="1701" w:type="dxa"/>
            <w:shd w:val="clear" w:color="auto" w:fill="D9D9D9" w:themeFill="background1" w:themeFillShade="D9"/>
          </w:tcPr>
          <w:p w14:paraId="762E82E0" w14:textId="2283B715" w:rsidR="00240B0B" w:rsidRPr="006A6461" w:rsidRDefault="000A3ADC" w:rsidP="00330BFA">
            <w:pPr>
              <w:widowControl w:val="0"/>
              <w:spacing w:before="15" w:after="15"/>
              <w:jc w:val="right"/>
              <w:rPr>
                <w:rFonts w:ascii="Times New Roman" w:hAnsi="Times New Roman" w:cs="Times New Roman"/>
                <w:b/>
                <w:bCs/>
                <w:noProof/>
                <w:sz w:val="20"/>
                <w:szCs w:val="20"/>
              </w:rPr>
            </w:pPr>
            <w:r>
              <w:rPr>
                <w:rFonts w:ascii="Times New Roman" w:hAnsi="Times New Roman"/>
                <w:b/>
                <w:noProof/>
                <w:sz w:val="20"/>
              </w:rPr>
              <w:t>- 3 812 166</w:t>
            </w:r>
          </w:p>
        </w:tc>
        <w:tc>
          <w:tcPr>
            <w:tcW w:w="1701" w:type="dxa"/>
            <w:shd w:val="clear" w:color="auto" w:fill="D9D9D9" w:themeFill="background1" w:themeFillShade="D9"/>
          </w:tcPr>
          <w:p w14:paraId="715FCC79" w14:textId="2C62EC67" w:rsidR="00240B0B" w:rsidRPr="006A6461" w:rsidRDefault="000A3ADC" w:rsidP="00330BFA">
            <w:pPr>
              <w:widowControl w:val="0"/>
              <w:spacing w:before="15" w:after="15"/>
              <w:jc w:val="right"/>
              <w:rPr>
                <w:rFonts w:ascii="Times New Roman" w:hAnsi="Times New Roman" w:cs="Times New Roman"/>
                <w:b/>
                <w:bCs/>
                <w:noProof/>
                <w:sz w:val="20"/>
                <w:szCs w:val="20"/>
              </w:rPr>
            </w:pPr>
            <w:r>
              <w:rPr>
                <w:rFonts w:ascii="Times New Roman" w:hAnsi="Times New Roman"/>
                <w:b/>
                <w:noProof/>
                <w:sz w:val="20"/>
              </w:rPr>
              <w:t>-3 812 166</w:t>
            </w:r>
          </w:p>
        </w:tc>
      </w:tr>
    </w:tbl>
    <w:p w14:paraId="70F3D5A4" w14:textId="352C1789" w:rsidR="006F7B88" w:rsidRPr="006A6461" w:rsidRDefault="006F7B88" w:rsidP="006F7B88">
      <w:pPr>
        <w:spacing w:before="240"/>
        <w:jc w:val="both"/>
        <w:rPr>
          <w:rFonts w:ascii="Times New Roman" w:hAnsi="Times New Roman" w:cs="Times New Roman"/>
          <w:noProof/>
          <w:sz w:val="24"/>
          <w:szCs w:val="24"/>
        </w:rPr>
      </w:pPr>
      <w:r>
        <w:rPr>
          <w:rFonts w:ascii="Times New Roman" w:hAnsi="Times New Roman"/>
          <w:noProof/>
          <w:sz w:val="24"/>
        </w:rPr>
        <w:t>Съответните промени в щатното разписание са посочени в бюджетното приложение.</w:t>
      </w:r>
    </w:p>
    <w:p w14:paraId="3DE78380" w14:textId="6A13F140" w:rsidR="00206B7B" w:rsidRPr="006A6461" w:rsidRDefault="00206B7B" w:rsidP="00206B7B">
      <w:pPr>
        <w:keepNext/>
        <w:tabs>
          <w:tab w:val="left" w:pos="850"/>
        </w:tabs>
        <w:spacing w:before="360" w:after="120"/>
        <w:ind w:left="850" w:hanging="850"/>
        <w:jc w:val="both"/>
        <w:outlineLvl w:val="1"/>
        <w:rPr>
          <w:rFonts w:ascii="Times New Roman" w:eastAsia="Calibri" w:hAnsi="Times New Roman" w:cs="Times New Roman"/>
          <w:b/>
          <w:noProof/>
          <w:sz w:val="24"/>
          <w:szCs w:val="24"/>
        </w:rPr>
      </w:pPr>
      <w:bookmarkStart w:id="45" w:name="_Toc173242913"/>
      <w:r>
        <w:rPr>
          <w:rFonts w:ascii="Times New Roman" w:hAnsi="Times New Roman"/>
          <w:b/>
          <w:noProof/>
          <w:sz w:val="24"/>
        </w:rPr>
        <w:t>3.4</w:t>
      </w:r>
      <w:r>
        <w:rPr>
          <w:rFonts w:ascii="Times New Roman" w:hAnsi="Times New Roman"/>
          <w:b/>
          <w:noProof/>
          <w:sz w:val="24"/>
        </w:rPr>
        <w:tab/>
        <w:t>Интернализация на чувствителни длъжности от критично значение в Агенцията на Европейския съюз за космическата програма (EUSPA)</w:t>
      </w:r>
      <w:bookmarkEnd w:id="45"/>
    </w:p>
    <w:p w14:paraId="11A49527" w14:textId="25DC2ECD" w:rsidR="00D97715" w:rsidRPr="00CB31B6" w:rsidRDefault="00D97715" w:rsidP="00206B7B">
      <w:pPr>
        <w:spacing w:after="0"/>
        <w:jc w:val="both"/>
        <w:rPr>
          <w:rFonts w:ascii="Times New Roman" w:hAnsi="Times New Roman" w:cs="Times New Roman"/>
          <w:noProof/>
          <w:sz w:val="24"/>
          <w:szCs w:val="24"/>
        </w:rPr>
      </w:pPr>
      <w:r>
        <w:rPr>
          <w:rFonts w:ascii="Times New Roman" w:hAnsi="Times New Roman"/>
          <w:noProof/>
          <w:sz w:val="24"/>
        </w:rPr>
        <w:t>За да се гарантира, че инженерните задачи от критично значение, свързани със сигурността, се изпълняват от вътрешен персонал, Агенцията на Европейския съюз за космическата програма (EUSPA) се нуждае от три допълнителни длъжности за срочно наети служители и две длъжности за договорно наети служители, за да интернализира най-чувствителните длъжности от критично значение през 2024 г. Предлага се необходимото финансиране за тези длъжности в размер на 0,3 милиона евро да бъде компенсирано със съответно намаление на финансовия пакет за космическата програма. Подобно предоставяне на допълнителни средства е предложено и в проектобюджета за 2025 г.</w:t>
      </w:r>
    </w:p>
    <w:p w14:paraId="6D7382E7" w14:textId="77777777" w:rsidR="00D97715" w:rsidRPr="006A6461" w:rsidRDefault="00D97715" w:rsidP="00206B7B">
      <w:pPr>
        <w:spacing w:after="0"/>
        <w:jc w:val="both"/>
        <w:rPr>
          <w:rFonts w:ascii="Times New Roman" w:hAnsi="Times New Roman" w:cs="Times New Roman"/>
          <w:noProof/>
          <w:sz w:val="24"/>
          <w:szCs w:val="24"/>
        </w:rPr>
      </w:pPr>
    </w:p>
    <w:p w14:paraId="3E708501" w14:textId="305CA6B0" w:rsidR="00206B7B" w:rsidRPr="006A6461" w:rsidRDefault="00206B7B" w:rsidP="00206B7B">
      <w:pPr>
        <w:spacing w:after="0"/>
        <w:jc w:val="both"/>
        <w:rPr>
          <w:rFonts w:ascii="Times New Roman" w:hAnsi="Times New Roman" w:cs="Times New Roman"/>
          <w:noProof/>
          <w:sz w:val="24"/>
          <w:szCs w:val="24"/>
        </w:rPr>
      </w:pPr>
      <w:r>
        <w:rPr>
          <w:rFonts w:ascii="Times New Roman" w:hAnsi="Times New Roman"/>
          <w:noProof/>
          <w:sz w:val="24"/>
        </w:rPr>
        <w:t>Поради това цялостното отражение върху разходите е, както следва:</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206B7B" w:rsidRPr="006A6461" w14:paraId="2E99A5A6" w14:textId="77777777" w:rsidTr="00330BFA">
        <w:trPr>
          <w:jc w:val="center"/>
        </w:trPr>
        <w:tc>
          <w:tcPr>
            <w:tcW w:w="9810" w:type="dxa"/>
            <w:gridSpan w:val="4"/>
            <w:tcBorders>
              <w:top w:val="nil"/>
              <w:left w:val="nil"/>
              <w:bottom w:val="single" w:sz="4" w:space="0" w:color="auto"/>
              <w:right w:val="nil"/>
            </w:tcBorders>
            <w:shd w:val="clear" w:color="auto" w:fill="auto"/>
            <w:vAlign w:val="center"/>
          </w:tcPr>
          <w:p w14:paraId="436C58DB" w14:textId="77777777" w:rsidR="00206B7B" w:rsidRPr="006A6461" w:rsidRDefault="00206B7B" w:rsidP="00330BFA">
            <w:pPr>
              <w:widowControl w:val="0"/>
              <w:spacing w:before="15" w:after="15"/>
              <w:jc w:val="right"/>
              <w:rPr>
                <w:rFonts w:ascii="Times New Roman" w:hAnsi="Times New Roman" w:cs="Times New Roman"/>
                <w:i/>
                <w:noProof/>
                <w:sz w:val="20"/>
                <w:szCs w:val="20"/>
              </w:rPr>
            </w:pPr>
            <w:r>
              <w:rPr>
                <w:rFonts w:ascii="Times New Roman" w:hAnsi="Times New Roman"/>
                <w:i/>
                <w:noProof/>
                <w:sz w:val="20"/>
              </w:rPr>
              <w:t>EUR</w:t>
            </w:r>
          </w:p>
        </w:tc>
      </w:tr>
      <w:tr w:rsidR="00206B7B" w:rsidRPr="006A6461" w14:paraId="46E6F9A1" w14:textId="77777777" w:rsidTr="00330BFA">
        <w:trPr>
          <w:jc w:val="center"/>
        </w:trPr>
        <w:tc>
          <w:tcPr>
            <w:tcW w:w="1276" w:type="dxa"/>
            <w:tcBorders>
              <w:top w:val="single" w:sz="4" w:space="0" w:color="auto"/>
            </w:tcBorders>
            <w:shd w:val="clear" w:color="auto" w:fill="D9D9D9" w:themeFill="background1" w:themeFillShade="D9"/>
            <w:vAlign w:val="center"/>
          </w:tcPr>
          <w:p w14:paraId="57748DD8" w14:textId="77777777" w:rsidR="00206B7B" w:rsidRPr="006A6461" w:rsidRDefault="00206B7B" w:rsidP="00330BFA">
            <w:pPr>
              <w:keepNext/>
              <w:spacing w:before="15" w:after="15"/>
              <w:jc w:val="center"/>
              <w:rPr>
                <w:rFonts w:ascii="Times New Roman" w:hAnsi="Times New Roman" w:cs="Times New Roman"/>
                <w:b/>
                <w:noProof/>
                <w:sz w:val="20"/>
                <w:szCs w:val="20"/>
              </w:rPr>
            </w:pPr>
            <w:r>
              <w:rPr>
                <w:rFonts w:ascii="Times New Roman" w:hAnsi="Times New Roman"/>
                <w:b/>
                <w:noProof/>
                <w:sz w:val="20"/>
              </w:rPr>
              <w:t>Бюджетен ред</w:t>
            </w:r>
          </w:p>
        </w:tc>
        <w:tc>
          <w:tcPr>
            <w:tcW w:w="5132" w:type="dxa"/>
            <w:tcBorders>
              <w:top w:val="single" w:sz="4" w:space="0" w:color="auto"/>
            </w:tcBorders>
            <w:shd w:val="clear" w:color="auto" w:fill="D9D9D9" w:themeFill="background1" w:themeFillShade="D9"/>
            <w:vAlign w:val="center"/>
          </w:tcPr>
          <w:p w14:paraId="2D728EAE" w14:textId="77777777" w:rsidR="00206B7B" w:rsidRPr="006A6461" w:rsidRDefault="00206B7B" w:rsidP="00330BFA">
            <w:pPr>
              <w:widowControl w:val="0"/>
              <w:spacing w:before="15" w:after="15"/>
              <w:jc w:val="center"/>
              <w:rPr>
                <w:rFonts w:ascii="Times New Roman" w:hAnsi="Times New Roman" w:cs="Times New Roman"/>
                <w:b/>
                <w:noProof/>
                <w:sz w:val="20"/>
                <w:szCs w:val="20"/>
              </w:rPr>
            </w:pPr>
            <w:r>
              <w:rPr>
                <w:rFonts w:ascii="Times New Roman" w:hAnsi="Times New Roman"/>
                <w:b/>
                <w:noProof/>
                <w:sz w:val="20"/>
              </w:rPr>
              <w:t>Наименование</w:t>
            </w:r>
          </w:p>
        </w:tc>
        <w:tc>
          <w:tcPr>
            <w:tcW w:w="1701" w:type="dxa"/>
            <w:tcBorders>
              <w:top w:val="single" w:sz="4" w:space="0" w:color="auto"/>
            </w:tcBorders>
            <w:shd w:val="clear" w:color="auto" w:fill="D9D9D9" w:themeFill="background1" w:themeFillShade="D9"/>
            <w:vAlign w:val="center"/>
          </w:tcPr>
          <w:p w14:paraId="1ED882AD" w14:textId="77777777" w:rsidR="00206B7B" w:rsidRPr="006A6461" w:rsidRDefault="00206B7B" w:rsidP="00330BFA">
            <w:pPr>
              <w:widowControl w:val="0"/>
              <w:spacing w:before="15" w:after="15"/>
              <w:jc w:val="center"/>
              <w:rPr>
                <w:rFonts w:ascii="Times New Roman" w:hAnsi="Times New Roman" w:cs="Times New Roman"/>
                <w:b/>
                <w:noProof/>
                <w:sz w:val="20"/>
                <w:szCs w:val="20"/>
              </w:rPr>
            </w:pPr>
            <w:r>
              <w:rPr>
                <w:rFonts w:ascii="Times New Roman" w:hAnsi="Times New Roman"/>
                <w:b/>
                <w:noProof/>
                <w:sz w:val="20"/>
              </w:rPr>
              <w:t>Бюджетни кредити за поети задължения</w:t>
            </w:r>
          </w:p>
        </w:tc>
        <w:tc>
          <w:tcPr>
            <w:tcW w:w="1701" w:type="dxa"/>
            <w:tcBorders>
              <w:top w:val="single" w:sz="4" w:space="0" w:color="auto"/>
            </w:tcBorders>
            <w:shd w:val="clear" w:color="auto" w:fill="D9D9D9" w:themeFill="background1" w:themeFillShade="D9"/>
            <w:vAlign w:val="center"/>
          </w:tcPr>
          <w:p w14:paraId="7319FC0A" w14:textId="77777777" w:rsidR="00206B7B" w:rsidRPr="006A6461" w:rsidRDefault="00206B7B" w:rsidP="00330BFA">
            <w:pPr>
              <w:widowControl w:val="0"/>
              <w:spacing w:before="15" w:after="15"/>
              <w:jc w:val="center"/>
              <w:rPr>
                <w:rFonts w:ascii="Times New Roman" w:hAnsi="Times New Roman" w:cs="Times New Roman"/>
                <w:b/>
                <w:bCs/>
                <w:noProof/>
                <w:sz w:val="20"/>
                <w:szCs w:val="20"/>
              </w:rPr>
            </w:pPr>
            <w:r>
              <w:rPr>
                <w:rFonts w:ascii="Times New Roman" w:hAnsi="Times New Roman"/>
                <w:b/>
                <w:noProof/>
                <w:sz w:val="20"/>
              </w:rPr>
              <w:t>Бюджетни кредити за плащания</w:t>
            </w:r>
          </w:p>
        </w:tc>
      </w:tr>
      <w:tr w:rsidR="00206B7B" w:rsidRPr="006A6461" w14:paraId="6ACD5277" w14:textId="77777777" w:rsidTr="00330BFA">
        <w:trPr>
          <w:jc w:val="center"/>
        </w:trPr>
        <w:tc>
          <w:tcPr>
            <w:tcW w:w="9810" w:type="dxa"/>
            <w:gridSpan w:val="4"/>
            <w:shd w:val="clear" w:color="auto" w:fill="F2F2F2" w:themeFill="background1" w:themeFillShade="F2"/>
            <w:vAlign w:val="center"/>
          </w:tcPr>
          <w:p w14:paraId="260361D8" w14:textId="77777777" w:rsidR="00206B7B" w:rsidRPr="006A6461" w:rsidRDefault="00206B7B" w:rsidP="00330BFA">
            <w:pPr>
              <w:widowControl w:val="0"/>
              <w:spacing w:before="15" w:after="15"/>
              <w:rPr>
                <w:rFonts w:ascii="Times New Roman" w:hAnsi="Times New Roman" w:cs="Times New Roman"/>
                <w:i/>
                <w:noProof/>
                <w:sz w:val="20"/>
                <w:szCs w:val="20"/>
              </w:rPr>
            </w:pPr>
            <w:r>
              <w:rPr>
                <w:rFonts w:ascii="Times New Roman" w:hAnsi="Times New Roman"/>
                <w:i/>
                <w:noProof/>
                <w:sz w:val="20"/>
              </w:rPr>
              <w:t>Раздел III — Комисия</w:t>
            </w:r>
          </w:p>
        </w:tc>
      </w:tr>
      <w:tr w:rsidR="000A3ADC" w:rsidRPr="006A6461" w14:paraId="6BF65BD9" w14:textId="77777777" w:rsidTr="00330BFA">
        <w:trPr>
          <w:jc w:val="center"/>
        </w:trPr>
        <w:tc>
          <w:tcPr>
            <w:tcW w:w="1276" w:type="dxa"/>
          </w:tcPr>
          <w:p w14:paraId="61E18581" w14:textId="6234E7AE" w:rsidR="000A3ADC" w:rsidRPr="006A6461" w:rsidRDefault="000A3ADC" w:rsidP="000A3ADC">
            <w:pPr>
              <w:widowControl w:val="0"/>
              <w:spacing w:before="15" w:after="15"/>
              <w:ind w:right="-113"/>
              <w:jc w:val="both"/>
              <w:rPr>
                <w:rFonts w:ascii="Times New Roman" w:hAnsi="Times New Roman" w:cs="Times New Roman"/>
                <w:noProof/>
                <w:sz w:val="16"/>
                <w:szCs w:val="16"/>
              </w:rPr>
            </w:pPr>
            <w:r>
              <w:rPr>
                <w:rFonts w:ascii="Times New Roman" w:hAnsi="Times New Roman"/>
                <w:noProof/>
                <w:sz w:val="16"/>
              </w:rPr>
              <w:t>04 10 01</w:t>
            </w:r>
          </w:p>
        </w:tc>
        <w:tc>
          <w:tcPr>
            <w:tcW w:w="5132" w:type="dxa"/>
          </w:tcPr>
          <w:p w14:paraId="23CBA3D2" w14:textId="7C24C83B" w:rsidR="000A3ADC" w:rsidRPr="006A6461" w:rsidRDefault="000A3ADC" w:rsidP="000A3ADC">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rPr>
              <w:t>Агенция на Европейския съюз за космическата програма (EUSPA)</w:t>
            </w:r>
          </w:p>
        </w:tc>
        <w:tc>
          <w:tcPr>
            <w:tcW w:w="1701" w:type="dxa"/>
          </w:tcPr>
          <w:p w14:paraId="56586FBA" w14:textId="6AE3D4F0" w:rsidR="000A3ADC" w:rsidRPr="006A6461" w:rsidRDefault="000A3ADC" w:rsidP="000A3ADC">
            <w:pPr>
              <w:widowControl w:val="0"/>
              <w:spacing w:before="15" w:after="15"/>
              <w:jc w:val="right"/>
              <w:rPr>
                <w:rFonts w:ascii="Times New Roman" w:hAnsi="Times New Roman" w:cs="Times New Roman"/>
                <w:noProof/>
                <w:sz w:val="16"/>
                <w:szCs w:val="16"/>
              </w:rPr>
            </w:pPr>
            <w:r>
              <w:rPr>
                <w:rFonts w:ascii="Times New Roman" w:hAnsi="Times New Roman"/>
                <w:noProof/>
                <w:sz w:val="16"/>
              </w:rPr>
              <w:t>308 000</w:t>
            </w:r>
          </w:p>
        </w:tc>
        <w:tc>
          <w:tcPr>
            <w:tcW w:w="1701" w:type="dxa"/>
          </w:tcPr>
          <w:p w14:paraId="19C31481" w14:textId="65CECF92" w:rsidR="000A3ADC" w:rsidRPr="006A6461" w:rsidRDefault="000A3ADC" w:rsidP="000A3ADC">
            <w:pPr>
              <w:widowControl w:val="0"/>
              <w:spacing w:before="15" w:after="15"/>
              <w:jc w:val="right"/>
              <w:rPr>
                <w:rFonts w:ascii="Times New Roman" w:hAnsi="Times New Roman" w:cs="Times New Roman"/>
                <w:noProof/>
                <w:sz w:val="16"/>
                <w:szCs w:val="16"/>
              </w:rPr>
            </w:pPr>
            <w:r>
              <w:rPr>
                <w:rFonts w:ascii="Times New Roman" w:hAnsi="Times New Roman"/>
                <w:noProof/>
                <w:sz w:val="16"/>
              </w:rPr>
              <w:t>308 000</w:t>
            </w:r>
          </w:p>
        </w:tc>
      </w:tr>
      <w:tr w:rsidR="00206B7B" w:rsidRPr="006A6461" w14:paraId="388EEF62" w14:textId="77777777" w:rsidTr="00330BFA">
        <w:trPr>
          <w:jc w:val="center"/>
        </w:trPr>
        <w:tc>
          <w:tcPr>
            <w:tcW w:w="1276" w:type="dxa"/>
          </w:tcPr>
          <w:p w14:paraId="652E7C81" w14:textId="64F0EAFB" w:rsidR="00206B7B" w:rsidRPr="006A6461" w:rsidRDefault="00117B08" w:rsidP="00330BFA">
            <w:pPr>
              <w:widowControl w:val="0"/>
              <w:spacing w:before="15" w:after="15"/>
              <w:ind w:right="-113"/>
              <w:jc w:val="both"/>
              <w:rPr>
                <w:rFonts w:ascii="Times New Roman" w:hAnsi="Times New Roman" w:cs="Times New Roman"/>
                <w:noProof/>
                <w:sz w:val="16"/>
                <w:szCs w:val="16"/>
              </w:rPr>
            </w:pPr>
            <w:r>
              <w:rPr>
                <w:rFonts w:ascii="Times New Roman" w:hAnsi="Times New Roman"/>
                <w:noProof/>
                <w:sz w:val="16"/>
              </w:rPr>
              <w:t>04 02 01</w:t>
            </w:r>
          </w:p>
        </w:tc>
        <w:tc>
          <w:tcPr>
            <w:tcW w:w="5132" w:type="dxa"/>
          </w:tcPr>
          <w:p w14:paraId="436B57A0" w14:textId="562EEA88" w:rsidR="00206B7B" w:rsidRPr="006A6461" w:rsidRDefault="00C25B19" w:rsidP="00330BFA">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rPr>
              <w:t>„Галилео“ / EGNOS</w:t>
            </w:r>
          </w:p>
        </w:tc>
        <w:tc>
          <w:tcPr>
            <w:tcW w:w="1701" w:type="dxa"/>
          </w:tcPr>
          <w:p w14:paraId="080D6B25" w14:textId="2FF7F25A" w:rsidR="00206B7B" w:rsidRPr="006A6461" w:rsidRDefault="000A3ADC" w:rsidP="00311C9F">
            <w:pPr>
              <w:pStyle w:val="ListParagraph"/>
              <w:widowControl w:val="0"/>
              <w:spacing w:before="15" w:after="15"/>
              <w:jc w:val="right"/>
              <w:rPr>
                <w:noProof/>
                <w:sz w:val="16"/>
                <w:szCs w:val="16"/>
              </w:rPr>
            </w:pPr>
            <w:r>
              <w:rPr>
                <w:noProof/>
                <w:sz w:val="16"/>
              </w:rPr>
              <w:t>-308 000</w:t>
            </w:r>
          </w:p>
        </w:tc>
        <w:tc>
          <w:tcPr>
            <w:tcW w:w="1701" w:type="dxa"/>
          </w:tcPr>
          <w:p w14:paraId="05D43200" w14:textId="2A2C50A0" w:rsidR="00206B7B" w:rsidRPr="006A6461" w:rsidRDefault="000A3ADC" w:rsidP="00330BFA">
            <w:pPr>
              <w:widowControl w:val="0"/>
              <w:spacing w:before="15" w:after="15"/>
              <w:jc w:val="right"/>
              <w:rPr>
                <w:rFonts w:ascii="Times New Roman" w:hAnsi="Times New Roman" w:cs="Times New Roman"/>
                <w:noProof/>
                <w:sz w:val="16"/>
                <w:szCs w:val="16"/>
              </w:rPr>
            </w:pPr>
            <w:r>
              <w:rPr>
                <w:rFonts w:ascii="Times New Roman" w:hAnsi="Times New Roman"/>
                <w:noProof/>
                <w:sz w:val="16"/>
              </w:rPr>
              <w:t>-308 000</w:t>
            </w:r>
          </w:p>
        </w:tc>
      </w:tr>
      <w:tr w:rsidR="00206B7B" w:rsidRPr="006A6461" w14:paraId="547C467D" w14:textId="77777777" w:rsidTr="00330BFA">
        <w:trPr>
          <w:jc w:val="center"/>
        </w:trPr>
        <w:tc>
          <w:tcPr>
            <w:tcW w:w="6408" w:type="dxa"/>
            <w:gridSpan w:val="2"/>
            <w:shd w:val="clear" w:color="auto" w:fill="D9D9D9" w:themeFill="background1" w:themeFillShade="D9"/>
          </w:tcPr>
          <w:p w14:paraId="5E826415" w14:textId="77777777" w:rsidR="00206B7B" w:rsidRPr="006A6461" w:rsidRDefault="00206B7B" w:rsidP="00330BFA">
            <w:pPr>
              <w:widowControl w:val="0"/>
              <w:spacing w:before="15" w:after="15"/>
              <w:ind w:right="-113"/>
              <w:jc w:val="both"/>
              <w:rPr>
                <w:rFonts w:ascii="Times New Roman" w:hAnsi="Times New Roman" w:cs="Times New Roman"/>
                <w:noProof/>
                <w:sz w:val="20"/>
                <w:szCs w:val="20"/>
              </w:rPr>
            </w:pPr>
            <w:r>
              <w:rPr>
                <w:rFonts w:ascii="Times New Roman" w:hAnsi="Times New Roman"/>
                <w:b/>
                <w:noProof/>
                <w:sz w:val="20"/>
              </w:rPr>
              <w:t>Общо</w:t>
            </w:r>
            <w:r>
              <w:rPr>
                <w:rFonts w:ascii="Times New Roman" w:hAnsi="Times New Roman"/>
                <w:b/>
                <w:noProof/>
                <w:sz w:val="20"/>
              </w:rPr>
              <w:tab/>
            </w:r>
          </w:p>
        </w:tc>
        <w:tc>
          <w:tcPr>
            <w:tcW w:w="1701" w:type="dxa"/>
            <w:shd w:val="clear" w:color="auto" w:fill="D9D9D9" w:themeFill="background1" w:themeFillShade="D9"/>
          </w:tcPr>
          <w:p w14:paraId="4B465F88" w14:textId="77777777" w:rsidR="00206B7B" w:rsidRPr="006A6461" w:rsidRDefault="00206B7B" w:rsidP="00330BFA">
            <w:pPr>
              <w:widowControl w:val="0"/>
              <w:spacing w:before="15" w:after="15"/>
              <w:jc w:val="right"/>
              <w:rPr>
                <w:rFonts w:ascii="Times New Roman" w:hAnsi="Times New Roman" w:cs="Times New Roman"/>
                <w:b/>
                <w:bCs/>
                <w:noProof/>
                <w:sz w:val="20"/>
                <w:szCs w:val="20"/>
              </w:rPr>
            </w:pPr>
            <w:r>
              <w:rPr>
                <w:rFonts w:ascii="Times New Roman" w:hAnsi="Times New Roman"/>
                <w:b/>
                <w:noProof/>
                <w:sz w:val="20"/>
              </w:rPr>
              <w:t>0</w:t>
            </w:r>
          </w:p>
        </w:tc>
        <w:tc>
          <w:tcPr>
            <w:tcW w:w="1701" w:type="dxa"/>
            <w:shd w:val="clear" w:color="auto" w:fill="D9D9D9" w:themeFill="background1" w:themeFillShade="D9"/>
          </w:tcPr>
          <w:p w14:paraId="65CBBF71" w14:textId="77777777" w:rsidR="00206B7B" w:rsidRPr="006A6461" w:rsidRDefault="00206B7B" w:rsidP="00330BFA">
            <w:pPr>
              <w:widowControl w:val="0"/>
              <w:spacing w:before="15" w:after="15"/>
              <w:jc w:val="right"/>
              <w:rPr>
                <w:rFonts w:ascii="Times New Roman" w:hAnsi="Times New Roman" w:cs="Times New Roman"/>
                <w:b/>
                <w:bCs/>
                <w:noProof/>
                <w:sz w:val="20"/>
                <w:szCs w:val="20"/>
              </w:rPr>
            </w:pPr>
            <w:r>
              <w:rPr>
                <w:rFonts w:ascii="Times New Roman" w:hAnsi="Times New Roman"/>
                <w:b/>
                <w:noProof/>
                <w:sz w:val="20"/>
              </w:rPr>
              <w:t>0</w:t>
            </w:r>
          </w:p>
        </w:tc>
      </w:tr>
    </w:tbl>
    <w:p w14:paraId="2CC8302D" w14:textId="2F7FE020" w:rsidR="00206B7B" w:rsidRPr="006A6461" w:rsidRDefault="00311C9F" w:rsidP="00311C9F">
      <w:pPr>
        <w:spacing w:before="240"/>
        <w:jc w:val="both"/>
        <w:rPr>
          <w:rFonts w:ascii="Times New Roman" w:hAnsi="Times New Roman" w:cs="Times New Roman"/>
          <w:noProof/>
          <w:sz w:val="24"/>
          <w:szCs w:val="24"/>
        </w:rPr>
      </w:pPr>
      <w:r>
        <w:rPr>
          <w:rFonts w:ascii="Times New Roman" w:hAnsi="Times New Roman"/>
          <w:noProof/>
          <w:sz w:val="24"/>
        </w:rPr>
        <w:t>Съответните промени в щатното разписание са посочени в бюджетното приложение.</w:t>
      </w:r>
    </w:p>
    <w:p w14:paraId="101659D8" w14:textId="75201647" w:rsidR="00DE4FA5" w:rsidRPr="006A6461" w:rsidRDefault="00DE4FA5" w:rsidP="00974EDC">
      <w:pPr>
        <w:keepNext/>
        <w:tabs>
          <w:tab w:val="left" w:pos="850"/>
        </w:tabs>
        <w:spacing w:before="360" w:after="120"/>
        <w:ind w:left="850" w:hanging="850"/>
        <w:jc w:val="both"/>
        <w:outlineLvl w:val="1"/>
        <w:rPr>
          <w:rFonts w:ascii="Times New Roman" w:eastAsia="Calibri" w:hAnsi="Times New Roman" w:cs="Times New Roman"/>
          <w:b/>
          <w:noProof/>
          <w:sz w:val="24"/>
          <w:szCs w:val="24"/>
        </w:rPr>
      </w:pPr>
      <w:bookmarkStart w:id="46" w:name="_Toc173242914"/>
      <w:r>
        <w:rPr>
          <w:rFonts w:ascii="Times New Roman" w:hAnsi="Times New Roman"/>
          <w:b/>
          <w:noProof/>
          <w:sz w:val="24"/>
        </w:rPr>
        <w:t>3.5</w:t>
      </w:r>
      <w:r>
        <w:rPr>
          <w:rFonts w:ascii="Times New Roman" w:hAnsi="Times New Roman"/>
          <w:b/>
          <w:noProof/>
          <w:sz w:val="24"/>
        </w:rPr>
        <w:tab/>
        <w:t>Увеличаване на вноската на ЕС за Европейската агенция по лекарствата (EMA)</w:t>
      </w:r>
      <w:bookmarkEnd w:id="46"/>
    </w:p>
    <w:p w14:paraId="09E48236" w14:textId="7FB45DD3" w:rsidR="00DE4FA5" w:rsidRPr="006A6461" w:rsidRDefault="00CB1C5B" w:rsidP="00DE4FA5">
      <w:pPr>
        <w:spacing w:after="0"/>
        <w:jc w:val="both"/>
        <w:rPr>
          <w:rFonts w:ascii="Times New Roman" w:hAnsi="Times New Roman" w:cs="Times New Roman"/>
          <w:noProof/>
          <w:sz w:val="24"/>
          <w:szCs w:val="24"/>
        </w:rPr>
      </w:pPr>
      <w:r>
        <w:rPr>
          <w:rFonts w:ascii="Times New Roman" w:hAnsi="Times New Roman"/>
          <w:noProof/>
          <w:sz w:val="24"/>
        </w:rPr>
        <w:t>Вследствие на Споразумението за оттегляне през януари 2020 г. Европейската агенция по лекарствата (ЕМА) беше преместена от Лондон в Амстердам. Впоследствие помещенията, в които се намираше седалището на EMA в Лондон, бяха отдадени под наем на дружеството WeWork. Вследствие на претърпените от WeWork финансови затруднения и неотдавнашното предоговаряне на договора за наем е необходимо изравнителната вноска на ЕС за ЕМА да бъде увеличена, за да се покрие намалението на приходите, които ще се получават от наема на сградата.</w:t>
      </w:r>
    </w:p>
    <w:p w14:paraId="79093DFC" w14:textId="77777777" w:rsidR="00FA73F9" w:rsidRPr="006A6461" w:rsidRDefault="00FA73F9" w:rsidP="00DE4FA5">
      <w:pPr>
        <w:spacing w:after="0"/>
        <w:jc w:val="both"/>
        <w:rPr>
          <w:rFonts w:ascii="Times New Roman" w:hAnsi="Times New Roman" w:cs="Times New Roman"/>
          <w:noProof/>
          <w:sz w:val="24"/>
          <w:szCs w:val="24"/>
        </w:rPr>
      </w:pPr>
    </w:p>
    <w:p w14:paraId="1E63F74F" w14:textId="77777777" w:rsidR="00DE4FA5" w:rsidRPr="006A6461" w:rsidRDefault="00DE4FA5" w:rsidP="00DE4FA5">
      <w:pPr>
        <w:spacing w:after="0"/>
        <w:jc w:val="both"/>
        <w:rPr>
          <w:rFonts w:ascii="Times New Roman" w:hAnsi="Times New Roman" w:cs="Times New Roman"/>
          <w:noProof/>
          <w:sz w:val="24"/>
          <w:szCs w:val="24"/>
        </w:rPr>
      </w:pPr>
      <w:r>
        <w:rPr>
          <w:rFonts w:ascii="Times New Roman" w:hAnsi="Times New Roman"/>
          <w:noProof/>
          <w:sz w:val="24"/>
        </w:rPr>
        <w:t>Поради това цялостното отражение върху разходите е, както следва:</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DE4FA5" w:rsidRPr="006A6461" w14:paraId="0C6B28D7" w14:textId="77777777" w:rsidTr="00330BFA">
        <w:trPr>
          <w:jc w:val="center"/>
        </w:trPr>
        <w:tc>
          <w:tcPr>
            <w:tcW w:w="9810" w:type="dxa"/>
            <w:gridSpan w:val="4"/>
            <w:tcBorders>
              <w:top w:val="nil"/>
              <w:left w:val="nil"/>
              <w:bottom w:val="single" w:sz="4" w:space="0" w:color="auto"/>
              <w:right w:val="nil"/>
            </w:tcBorders>
            <w:shd w:val="clear" w:color="auto" w:fill="auto"/>
            <w:vAlign w:val="center"/>
          </w:tcPr>
          <w:p w14:paraId="7C13532F" w14:textId="77777777" w:rsidR="00DE4FA5" w:rsidRPr="006A6461" w:rsidRDefault="00DE4FA5" w:rsidP="00330BFA">
            <w:pPr>
              <w:widowControl w:val="0"/>
              <w:spacing w:before="15" w:after="15"/>
              <w:jc w:val="right"/>
              <w:rPr>
                <w:rFonts w:ascii="Times New Roman" w:hAnsi="Times New Roman" w:cs="Times New Roman"/>
                <w:i/>
                <w:noProof/>
                <w:sz w:val="20"/>
                <w:szCs w:val="20"/>
              </w:rPr>
            </w:pPr>
            <w:r>
              <w:rPr>
                <w:rFonts w:ascii="Times New Roman" w:hAnsi="Times New Roman"/>
                <w:i/>
                <w:noProof/>
                <w:sz w:val="20"/>
              </w:rPr>
              <w:t>EUR</w:t>
            </w:r>
          </w:p>
        </w:tc>
      </w:tr>
      <w:tr w:rsidR="00DE4FA5" w:rsidRPr="006A6461" w14:paraId="2D138DE5" w14:textId="77777777" w:rsidTr="00330BFA">
        <w:trPr>
          <w:jc w:val="center"/>
        </w:trPr>
        <w:tc>
          <w:tcPr>
            <w:tcW w:w="1276" w:type="dxa"/>
            <w:tcBorders>
              <w:top w:val="single" w:sz="4" w:space="0" w:color="auto"/>
            </w:tcBorders>
            <w:shd w:val="clear" w:color="auto" w:fill="D9D9D9" w:themeFill="background1" w:themeFillShade="D9"/>
            <w:vAlign w:val="center"/>
          </w:tcPr>
          <w:p w14:paraId="060A6FD7" w14:textId="77777777" w:rsidR="00DE4FA5" w:rsidRPr="006A6461" w:rsidRDefault="00DE4FA5" w:rsidP="00330BFA">
            <w:pPr>
              <w:keepNext/>
              <w:spacing w:before="15" w:after="15"/>
              <w:jc w:val="center"/>
              <w:rPr>
                <w:rFonts w:ascii="Times New Roman" w:hAnsi="Times New Roman" w:cs="Times New Roman"/>
                <w:b/>
                <w:noProof/>
                <w:sz w:val="20"/>
                <w:szCs w:val="20"/>
              </w:rPr>
            </w:pPr>
            <w:r>
              <w:rPr>
                <w:rFonts w:ascii="Times New Roman" w:hAnsi="Times New Roman"/>
                <w:b/>
                <w:noProof/>
                <w:sz w:val="20"/>
              </w:rPr>
              <w:t>Бюджетен ред</w:t>
            </w:r>
          </w:p>
        </w:tc>
        <w:tc>
          <w:tcPr>
            <w:tcW w:w="5132" w:type="dxa"/>
            <w:tcBorders>
              <w:top w:val="single" w:sz="4" w:space="0" w:color="auto"/>
            </w:tcBorders>
            <w:shd w:val="clear" w:color="auto" w:fill="D9D9D9" w:themeFill="background1" w:themeFillShade="D9"/>
            <w:vAlign w:val="center"/>
          </w:tcPr>
          <w:p w14:paraId="59713344" w14:textId="77777777" w:rsidR="00DE4FA5" w:rsidRPr="006A6461" w:rsidRDefault="00DE4FA5" w:rsidP="00330BFA">
            <w:pPr>
              <w:widowControl w:val="0"/>
              <w:spacing w:before="15" w:after="15"/>
              <w:jc w:val="center"/>
              <w:rPr>
                <w:rFonts w:ascii="Times New Roman" w:hAnsi="Times New Roman" w:cs="Times New Roman"/>
                <w:b/>
                <w:noProof/>
                <w:sz w:val="20"/>
                <w:szCs w:val="20"/>
              </w:rPr>
            </w:pPr>
            <w:r>
              <w:rPr>
                <w:rFonts w:ascii="Times New Roman" w:hAnsi="Times New Roman"/>
                <w:b/>
                <w:noProof/>
                <w:sz w:val="20"/>
              </w:rPr>
              <w:t>Наименование</w:t>
            </w:r>
          </w:p>
        </w:tc>
        <w:tc>
          <w:tcPr>
            <w:tcW w:w="1701" w:type="dxa"/>
            <w:tcBorders>
              <w:top w:val="single" w:sz="4" w:space="0" w:color="auto"/>
            </w:tcBorders>
            <w:shd w:val="clear" w:color="auto" w:fill="D9D9D9" w:themeFill="background1" w:themeFillShade="D9"/>
            <w:vAlign w:val="center"/>
          </w:tcPr>
          <w:p w14:paraId="66C89F54" w14:textId="77777777" w:rsidR="00DE4FA5" w:rsidRPr="006A6461" w:rsidRDefault="00DE4FA5" w:rsidP="00330BFA">
            <w:pPr>
              <w:widowControl w:val="0"/>
              <w:spacing w:before="15" w:after="15"/>
              <w:jc w:val="center"/>
              <w:rPr>
                <w:rFonts w:ascii="Times New Roman" w:hAnsi="Times New Roman" w:cs="Times New Roman"/>
                <w:b/>
                <w:noProof/>
                <w:sz w:val="20"/>
                <w:szCs w:val="20"/>
              </w:rPr>
            </w:pPr>
            <w:r>
              <w:rPr>
                <w:rFonts w:ascii="Times New Roman" w:hAnsi="Times New Roman"/>
                <w:b/>
                <w:noProof/>
                <w:sz w:val="20"/>
              </w:rPr>
              <w:t>Бюджетни кредити за поети задължения</w:t>
            </w:r>
          </w:p>
        </w:tc>
        <w:tc>
          <w:tcPr>
            <w:tcW w:w="1701" w:type="dxa"/>
            <w:tcBorders>
              <w:top w:val="single" w:sz="4" w:space="0" w:color="auto"/>
            </w:tcBorders>
            <w:shd w:val="clear" w:color="auto" w:fill="D9D9D9" w:themeFill="background1" w:themeFillShade="D9"/>
            <w:vAlign w:val="center"/>
          </w:tcPr>
          <w:p w14:paraId="39953B5F" w14:textId="77777777" w:rsidR="00DE4FA5" w:rsidRPr="006A6461" w:rsidRDefault="00DE4FA5" w:rsidP="00330BFA">
            <w:pPr>
              <w:widowControl w:val="0"/>
              <w:spacing w:before="15" w:after="15"/>
              <w:jc w:val="center"/>
              <w:rPr>
                <w:rFonts w:ascii="Times New Roman" w:hAnsi="Times New Roman" w:cs="Times New Roman"/>
                <w:b/>
                <w:bCs/>
                <w:noProof/>
                <w:sz w:val="20"/>
                <w:szCs w:val="20"/>
              </w:rPr>
            </w:pPr>
            <w:r>
              <w:rPr>
                <w:rFonts w:ascii="Times New Roman" w:hAnsi="Times New Roman"/>
                <w:b/>
                <w:noProof/>
                <w:sz w:val="20"/>
              </w:rPr>
              <w:t>Бюджетни кредити за плащания</w:t>
            </w:r>
          </w:p>
        </w:tc>
      </w:tr>
      <w:tr w:rsidR="00DE4FA5" w:rsidRPr="006A6461" w14:paraId="7F1CDA12" w14:textId="77777777" w:rsidTr="00330BFA">
        <w:trPr>
          <w:jc w:val="center"/>
        </w:trPr>
        <w:tc>
          <w:tcPr>
            <w:tcW w:w="9810" w:type="dxa"/>
            <w:gridSpan w:val="4"/>
            <w:shd w:val="clear" w:color="auto" w:fill="F2F2F2" w:themeFill="background1" w:themeFillShade="F2"/>
            <w:vAlign w:val="center"/>
          </w:tcPr>
          <w:p w14:paraId="6237509F" w14:textId="77777777" w:rsidR="00DE4FA5" w:rsidRPr="006A6461" w:rsidRDefault="00DE4FA5" w:rsidP="00330BFA">
            <w:pPr>
              <w:widowControl w:val="0"/>
              <w:spacing w:before="15" w:after="15"/>
              <w:rPr>
                <w:rFonts w:ascii="Times New Roman" w:hAnsi="Times New Roman" w:cs="Times New Roman"/>
                <w:i/>
                <w:noProof/>
                <w:sz w:val="20"/>
                <w:szCs w:val="20"/>
              </w:rPr>
            </w:pPr>
            <w:r>
              <w:rPr>
                <w:rFonts w:ascii="Times New Roman" w:hAnsi="Times New Roman"/>
                <w:i/>
                <w:noProof/>
                <w:sz w:val="20"/>
              </w:rPr>
              <w:t>Раздел III — Комисия</w:t>
            </w:r>
          </w:p>
        </w:tc>
      </w:tr>
      <w:tr w:rsidR="00DE4FA5" w:rsidRPr="006A6461" w14:paraId="1D44856E" w14:textId="77777777" w:rsidTr="00330BFA">
        <w:trPr>
          <w:jc w:val="center"/>
        </w:trPr>
        <w:tc>
          <w:tcPr>
            <w:tcW w:w="1276" w:type="dxa"/>
          </w:tcPr>
          <w:p w14:paraId="10E6DD7A" w14:textId="6C04DC8C" w:rsidR="00DE4FA5" w:rsidRPr="006A6461" w:rsidRDefault="00DE4FA5" w:rsidP="00330BFA">
            <w:pPr>
              <w:widowControl w:val="0"/>
              <w:spacing w:before="15" w:after="15"/>
              <w:ind w:right="-113"/>
              <w:jc w:val="both"/>
              <w:rPr>
                <w:rFonts w:ascii="Times New Roman" w:hAnsi="Times New Roman" w:cs="Times New Roman"/>
                <w:noProof/>
                <w:sz w:val="16"/>
                <w:szCs w:val="16"/>
              </w:rPr>
            </w:pPr>
            <w:r>
              <w:rPr>
                <w:rFonts w:ascii="Times New Roman" w:hAnsi="Times New Roman"/>
                <w:noProof/>
                <w:sz w:val="16"/>
              </w:rPr>
              <w:t>06 10 03 01</w:t>
            </w:r>
          </w:p>
        </w:tc>
        <w:tc>
          <w:tcPr>
            <w:tcW w:w="5132" w:type="dxa"/>
          </w:tcPr>
          <w:p w14:paraId="03CB4B65" w14:textId="5547C46D" w:rsidR="00DE4FA5" w:rsidRPr="006A6461" w:rsidRDefault="00DE4FA5" w:rsidP="00330BFA">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rPr>
              <w:t>Европейска агенция по лекарствата (EMA)</w:t>
            </w:r>
          </w:p>
        </w:tc>
        <w:tc>
          <w:tcPr>
            <w:tcW w:w="1701" w:type="dxa"/>
          </w:tcPr>
          <w:p w14:paraId="29180C67" w14:textId="48E59056" w:rsidR="00DE4FA5" w:rsidRPr="006A6461" w:rsidRDefault="009D676D" w:rsidP="00330BFA">
            <w:pPr>
              <w:widowControl w:val="0"/>
              <w:spacing w:before="15" w:after="15"/>
              <w:jc w:val="right"/>
              <w:rPr>
                <w:rFonts w:ascii="Times New Roman" w:hAnsi="Times New Roman" w:cs="Times New Roman"/>
                <w:noProof/>
                <w:sz w:val="16"/>
                <w:szCs w:val="16"/>
              </w:rPr>
            </w:pPr>
            <w:r>
              <w:rPr>
                <w:rFonts w:ascii="Times New Roman" w:hAnsi="Times New Roman"/>
                <w:noProof/>
                <w:sz w:val="16"/>
              </w:rPr>
              <w:t>11 186 000</w:t>
            </w:r>
          </w:p>
        </w:tc>
        <w:tc>
          <w:tcPr>
            <w:tcW w:w="1701" w:type="dxa"/>
          </w:tcPr>
          <w:p w14:paraId="1AA0936D" w14:textId="5CDCB6A6" w:rsidR="00DE4FA5" w:rsidRPr="006A6461" w:rsidRDefault="009D676D" w:rsidP="00330BFA">
            <w:pPr>
              <w:widowControl w:val="0"/>
              <w:spacing w:before="15" w:after="15"/>
              <w:jc w:val="right"/>
              <w:rPr>
                <w:rFonts w:ascii="Times New Roman" w:hAnsi="Times New Roman" w:cs="Times New Roman"/>
                <w:noProof/>
                <w:sz w:val="16"/>
                <w:szCs w:val="16"/>
              </w:rPr>
            </w:pPr>
            <w:r>
              <w:rPr>
                <w:rFonts w:ascii="Times New Roman" w:hAnsi="Times New Roman"/>
                <w:noProof/>
                <w:sz w:val="16"/>
              </w:rPr>
              <w:t>11 186 000</w:t>
            </w:r>
          </w:p>
        </w:tc>
      </w:tr>
      <w:tr w:rsidR="00DE4FA5" w:rsidRPr="006A6461" w14:paraId="20D7F973" w14:textId="77777777" w:rsidTr="00330BFA">
        <w:trPr>
          <w:jc w:val="center"/>
        </w:trPr>
        <w:tc>
          <w:tcPr>
            <w:tcW w:w="6408" w:type="dxa"/>
            <w:gridSpan w:val="2"/>
            <w:shd w:val="clear" w:color="auto" w:fill="D9D9D9" w:themeFill="background1" w:themeFillShade="D9"/>
          </w:tcPr>
          <w:p w14:paraId="068A5620" w14:textId="77777777" w:rsidR="00DE4FA5" w:rsidRPr="006A6461" w:rsidRDefault="00DE4FA5" w:rsidP="00330BFA">
            <w:pPr>
              <w:widowControl w:val="0"/>
              <w:spacing w:before="15" w:after="15"/>
              <w:ind w:right="-113"/>
              <w:jc w:val="both"/>
              <w:rPr>
                <w:rFonts w:ascii="Times New Roman" w:hAnsi="Times New Roman" w:cs="Times New Roman"/>
                <w:noProof/>
                <w:sz w:val="20"/>
                <w:szCs w:val="20"/>
              </w:rPr>
            </w:pPr>
            <w:r>
              <w:rPr>
                <w:rFonts w:ascii="Times New Roman" w:hAnsi="Times New Roman"/>
                <w:b/>
                <w:noProof/>
                <w:sz w:val="20"/>
              </w:rPr>
              <w:t>Общо</w:t>
            </w:r>
            <w:r>
              <w:rPr>
                <w:rFonts w:ascii="Times New Roman" w:hAnsi="Times New Roman"/>
                <w:b/>
                <w:noProof/>
                <w:sz w:val="20"/>
              </w:rPr>
              <w:tab/>
            </w:r>
          </w:p>
        </w:tc>
        <w:tc>
          <w:tcPr>
            <w:tcW w:w="1701" w:type="dxa"/>
            <w:shd w:val="clear" w:color="auto" w:fill="D9D9D9" w:themeFill="background1" w:themeFillShade="D9"/>
          </w:tcPr>
          <w:p w14:paraId="0416BF0E" w14:textId="0865245D" w:rsidR="00DE4FA5" w:rsidRPr="006A6461" w:rsidRDefault="009D676D" w:rsidP="00330BFA">
            <w:pPr>
              <w:widowControl w:val="0"/>
              <w:spacing w:before="15" w:after="15"/>
              <w:jc w:val="right"/>
              <w:rPr>
                <w:rFonts w:ascii="Times New Roman" w:hAnsi="Times New Roman" w:cs="Times New Roman"/>
                <w:b/>
                <w:bCs/>
                <w:noProof/>
                <w:sz w:val="20"/>
                <w:szCs w:val="20"/>
              </w:rPr>
            </w:pPr>
            <w:r>
              <w:rPr>
                <w:rFonts w:ascii="Times New Roman" w:hAnsi="Times New Roman"/>
                <w:b/>
                <w:noProof/>
                <w:sz w:val="20"/>
              </w:rPr>
              <w:t>11 186 000</w:t>
            </w:r>
          </w:p>
        </w:tc>
        <w:tc>
          <w:tcPr>
            <w:tcW w:w="1701" w:type="dxa"/>
            <w:shd w:val="clear" w:color="auto" w:fill="D9D9D9" w:themeFill="background1" w:themeFillShade="D9"/>
          </w:tcPr>
          <w:p w14:paraId="77AC1CC0" w14:textId="1662D52A" w:rsidR="00DE4FA5" w:rsidRPr="006A6461" w:rsidRDefault="009D676D" w:rsidP="00330BFA">
            <w:pPr>
              <w:widowControl w:val="0"/>
              <w:spacing w:before="15" w:after="15"/>
              <w:jc w:val="right"/>
              <w:rPr>
                <w:rFonts w:ascii="Times New Roman" w:hAnsi="Times New Roman" w:cs="Times New Roman"/>
                <w:b/>
                <w:bCs/>
                <w:noProof/>
                <w:sz w:val="20"/>
                <w:szCs w:val="20"/>
              </w:rPr>
            </w:pPr>
            <w:r>
              <w:rPr>
                <w:rFonts w:ascii="Times New Roman" w:hAnsi="Times New Roman"/>
                <w:b/>
                <w:noProof/>
                <w:sz w:val="20"/>
              </w:rPr>
              <w:t>11 186 000</w:t>
            </w:r>
          </w:p>
        </w:tc>
      </w:tr>
    </w:tbl>
    <w:p w14:paraId="36C36437" w14:textId="273E0D86" w:rsidR="0090467A" w:rsidRPr="006A6461" w:rsidRDefault="0090467A" w:rsidP="00974EDC">
      <w:pPr>
        <w:keepNext/>
        <w:tabs>
          <w:tab w:val="left" w:pos="850"/>
        </w:tabs>
        <w:spacing w:before="360" w:after="120"/>
        <w:ind w:left="850" w:hanging="850"/>
        <w:jc w:val="both"/>
        <w:outlineLvl w:val="1"/>
        <w:rPr>
          <w:rFonts w:ascii="Times New Roman" w:eastAsia="Calibri" w:hAnsi="Times New Roman" w:cs="Times New Roman"/>
          <w:b/>
          <w:noProof/>
          <w:sz w:val="24"/>
          <w:szCs w:val="24"/>
        </w:rPr>
      </w:pPr>
      <w:bookmarkStart w:id="47" w:name="_Toc173242915"/>
      <w:r>
        <w:rPr>
          <w:rFonts w:ascii="Times New Roman" w:hAnsi="Times New Roman"/>
          <w:b/>
          <w:noProof/>
          <w:sz w:val="24"/>
        </w:rPr>
        <w:t>3.6</w:t>
      </w:r>
      <w:r>
        <w:rPr>
          <w:rFonts w:ascii="Times New Roman" w:hAnsi="Times New Roman"/>
          <w:b/>
          <w:noProof/>
          <w:sz w:val="24"/>
        </w:rPr>
        <w:tab/>
        <w:t>Увеличаване на вноската на ЕС за Агенцията на Европейския съюз за сътрудничество в областта на наказателното правосъдие (Евроюст)</w:t>
      </w:r>
      <w:bookmarkEnd w:id="47"/>
    </w:p>
    <w:p w14:paraId="02F91924" w14:textId="2F0A6D18" w:rsidR="0090467A" w:rsidRPr="00CB31B6" w:rsidRDefault="00CB1C5B" w:rsidP="0090467A">
      <w:pPr>
        <w:spacing w:after="0"/>
        <w:jc w:val="both"/>
        <w:rPr>
          <w:rFonts w:ascii="Times New Roman" w:hAnsi="Times New Roman" w:cs="Times New Roman"/>
          <w:noProof/>
          <w:sz w:val="24"/>
          <w:szCs w:val="24"/>
        </w:rPr>
      </w:pPr>
      <w:r>
        <w:rPr>
          <w:rFonts w:ascii="Times New Roman" w:hAnsi="Times New Roman"/>
          <w:noProof/>
          <w:sz w:val="24"/>
        </w:rPr>
        <w:t xml:space="preserve">През последните години разходите на Агенцията на Европейския съюз за сътрудничество в областта на наказателното правосъдие (Евроюст) бяха подложени на особен натиск поради силната инфлация, която имаше значително пряко въздействие върху разходите за заплати, както и върху разходите за сгради и поддръжка. За да може Евроюст да продължи да финансира оперативните си разходи, през 2023 г. Комисията предостави на агенцията 2,46 милиона евро, а проектобюджетът за 2025 г. съдържа допълнителна сума в размер на 2 милиона евро за тази цел. За 2024 г. се предлага вноската на ЕС за Евроюст да бъде увеличена с 2 милиона евро, за да бъде бюджетът на агенцията стабилен.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90467A" w:rsidRPr="006A6461" w14:paraId="026E67DD" w14:textId="77777777" w:rsidTr="30E0B28E">
        <w:trPr>
          <w:jc w:val="center"/>
        </w:trPr>
        <w:tc>
          <w:tcPr>
            <w:tcW w:w="9810" w:type="dxa"/>
            <w:gridSpan w:val="4"/>
            <w:tcBorders>
              <w:top w:val="nil"/>
              <w:left w:val="nil"/>
              <w:bottom w:val="single" w:sz="4" w:space="0" w:color="auto"/>
              <w:right w:val="nil"/>
            </w:tcBorders>
            <w:shd w:val="clear" w:color="auto" w:fill="auto"/>
            <w:vAlign w:val="center"/>
          </w:tcPr>
          <w:p w14:paraId="2946210B" w14:textId="77777777" w:rsidR="0090467A" w:rsidRPr="006A6461" w:rsidRDefault="0090467A" w:rsidP="00330BFA">
            <w:pPr>
              <w:widowControl w:val="0"/>
              <w:spacing w:before="15" w:after="15"/>
              <w:jc w:val="right"/>
              <w:rPr>
                <w:rFonts w:ascii="Times New Roman" w:hAnsi="Times New Roman" w:cs="Times New Roman"/>
                <w:i/>
                <w:noProof/>
                <w:sz w:val="20"/>
                <w:szCs w:val="20"/>
              </w:rPr>
            </w:pPr>
            <w:r>
              <w:rPr>
                <w:rFonts w:ascii="Times New Roman" w:hAnsi="Times New Roman"/>
                <w:i/>
                <w:noProof/>
                <w:sz w:val="20"/>
              </w:rPr>
              <w:t>EUR</w:t>
            </w:r>
          </w:p>
        </w:tc>
      </w:tr>
      <w:tr w:rsidR="0090467A" w:rsidRPr="006A6461" w14:paraId="7240C408" w14:textId="77777777" w:rsidTr="30E0B28E">
        <w:trPr>
          <w:jc w:val="center"/>
        </w:trPr>
        <w:tc>
          <w:tcPr>
            <w:tcW w:w="1276" w:type="dxa"/>
            <w:tcBorders>
              <w:top w:val="single" w:sz="4" w:space="0" w:color="auto"/>
            </w:tcBorders>
            <w:shd w:val="clear" w:color="auto" w:fill="D9D9D9" w:themeFill="background1" w:themeFillShade="D9"/>
            <w:vAlign w:val="center"/>
          </w:tcPr>
          <w:p w14:paraId="60932AA0" w14:textId="77777777" w:rsidR="0090467A" w:rsidRPr="006A6461" w:rsidRDefault="0090467A" w:rsidP="00330BFA">
            <w:pPr>
              <w:keepNext/>
              <w:spacing w:before="15" w:after="15"/>
              <w:jc w:val="center"/>
              <w:rPr>
                <w:rFonts w:ascii="Times New Roman" w:hAnsi="Times New Roman" w:cs="Times New Roman"/>
                <w:b/>
                <w:noProof/>
                <w:sz w:val="20"/>
                <w:szCs w:val="20"/>
              </w:rPr>
            </w:pPr>
            <w:r>
              <w:rPr>
                <w:rFonts w:ascii="Times New Roman" w:hAnsi="Times New Roman"/>
                <w:b/>
                <w:noProof/>
                <w:sz w:val="20"/>
              </w:rPr>
              <w:t>Бюджетен ред</w:t>
            </w:r>
          </w:p>
        </w:tc>
        <w:tc>
          <w:tcPr>
            <w:tcW w:w="5132" w:type="dxa"/>
            <w:tcBorders>
              <w:top w:val="single" w:sz="4" w:space="0" w:color="auto"/>
            </w:tcBorders>
            <w:shd w:val="clear" w:color="auto" w:fill="D9D9D9" w:themeFill="background1" w:themeFillShade="D9"/>
            <w:vAlign w:val="center"/>
          </w:tcPr>
          <w:p w14:paraId="08D735D1" w14:textId="77777777" w:rsidR="0090467A" w:rsidRPr="006A6461" w:rsidRDefault="0090467A" w:rsidP="00330BFA">
            <w:pPr>
              <w:widowControl w:val="0"/>
              <w:spacing w:before="15" w:after="15"/>
              <w:jc w:val="center"/>
              <w:rPr>
                <w:rFonts w:ascii="Times New Roman" w:hAnsi="Times New Roman" w:cs="Times New Roman"/>
                <w:b/>
                <w:noProof/>
                <w:sz w:val="20"/>
                <w:szCs w:val="20"/>
              </w:rPr>
            </w:pPr>
            <w:r>
              <w:rPr>
                <w:rFonts w:ascii="Times New Roman" w:hAnsi="Times New Roman"/>
                <w:b/>
                <w:noProof/>
                <w:sz w:val="20"/>
              </w:rPr>
              <w:t>Наименование</w:t>
            </w:r>
          </w:p>
        </w:tc>
        <w:tc>
          <w:tcPr>
            <w:tcW w:w="1701" w:type="dxa"/>
            <w:tcBorders>
              <w:top w:val="single" w:sz="4" w:space="0" w:color="auto"/>
            </w:tcBorders>
            <w:shd w:val="clear" w:color="auto" w:fill="D9D9D9" w:themeFill="background1" w:themeFillShade="D9"/>
            <w:vAlign w:val="center"/>
          </w:tcPr>
          <w:p w14:paraId="43383671" w14:textId="77777777" w:rsidR="0090467A" w:rsidRPr="006A6461" w:rsidRDefault="0090467A" w:rsidP="00330BFA">
            <w:pPr>
              <w:widowControl w:val="0"/>
              <w:spacing w:before="15" w:after="15"/>
              <w:jc w:val="center"/>
              <w:rPr>
                <w:rFonts w:ascii="Times New Roman" w:hAnsi="Times New Roman" w:cs="Times New Roman"/>
                <w:b/>
                <w:noProof/>
                <w:sz w:val="20"/>
                <w:szCs w:val="20"/>
              </w:rPr>
            </w:pPr>
            <w:r>
              <w:rPr>
                <w:rFonts w:ascii="Times New Roman" w:hAnsi="Times New Roman"/>
                <w:b/>
                <w:noProof/>
                <w:sz w:val="20"/>
              </w:rPr>
              <w:t>Бюджетни кредити за поети задължения</w:t>
            </w:r>
          </w:p>
        </w:tc>
        <w:tc>
          <w:tcPr>
            <w:tcW w:w="1701" w:type="dxa"/>
            <w:tcBorders>
              <w:top w:val="single" w:sz="4" w:space="0" w:color="auto"/>
            </w:tcBorders>
            <w:shd w:val="clear" w:color="auto" w:fill="D9D9D9" w:themeFill="background1" w:themeFillShade="D9"/>
            <w:vAlign w:val="center"/>
          </w:tcPr>
          <w:p w14:paraId="5E8D6AA2" w14:textId="77777777" w:rsidR="0090467A" w:rsidRPr="006A6461" w:rsidRDefault="0090467A" w:rsidP="00330BFA">
            <w:pPr>
              <w:widowControl w:val="0"/>
              <w:spacing w:before="15" w:after="15"/>
              <w:jc w:val="center"/>
              <w:rPr>
                <w:rFonts w:ascii="Times New Roman" w:hAnsi="Times New Roman" w:cs="Times New Roman"/>
                <w:b/>
                <w:bCs/>
                <w:noProof/>
                <w:sz w:val="20"/>
                <w:szCs w:val="20"/>
              </w:rPr>
            </w:pPr>
            <w:r>
              <w:rPr>
                <w:rFonts w:ascii="Times New Roman" w:hAnsi="Times New Roman"/>
                <w:b/>
                <w:noProof/>
                <w:sz w:val="20"/>
              </w:rPr>
              <w:t>Бюджетни кредити за плащания</w:t>
            </w:r>
          </w:p>
        </w:tc>
      </w:tr>
      <w:tr w:rsidR="0090467A" w:rsidRPr="006A6461" w14:paraId="4A260844" w14:textId="77777777" w:rsidTr="30E0B28E">
        <w:trPr>
          <w:jc w:val="center"/>
        </w:trPr>
        <w:tc>
          <w:tcPr>
            <w:tcW w:w="9810" w:type="dxa"/>
            <w:gridSpan w:val="4"/>
            <w:shd w:val="clear" w:color="auto" w:fill="F2F2F2" w:themeFill="background1" w:themeFillShade="F2"/>
            <w:vAlign w:val="center"/>
          </w:tcPr>
          <w:p w14:paraId="39AD586C" w14:textId="77777777" w:rsidR="0090467A" w:rsidRPr="006A6461" w:rsidRDefault="0090467A" w:rsidP="00330BFA">
            <w:pPr>
              <w:widowControl w:val="0"/>
              <w:spacing w:before="15" w:after="15"/>
              <w:rPr>
                <w:rFonts w:ascii="Times New Roman" w:hAnsi="Times New Roman" w:cs="Times New Roman"/>
                <w:i/>
                <w:noProof/>
                <w:sz w:val="20"/>
                <w:szCs w:val="20"/>
              </w:rPr>
            </w:pPr>
            <w:r>
              <w:rPr>
                <w:rFonts w:ascii="Times New Roman" w:hAnsi="Times New Roman"/>
                <w:i/>
                <w:noProof/>
                <w:sz w:val="20"/>
              </w:rPr>
              <w:t>Раздел III — Комисия</w:t>
            </w:r>
          </w:p>
        </w:tc>
      </w:tr>
      <w:tr w:rsidR="0090467A" w:rsidRPr="006A6461" w14:paraId="1F97FEB1" w14:textId="77777777" w:rsidTr="30E0B28E">
        <w:trPr>
          <w:jc w:val="center"/>
        </w:trPr>
        <w:tc>
          <w:tcPr>
            <w:tcW w:w="1276" w:type="dxa"/>
          </w:tcPr>
          <w:p w14:paraId="3017FB29" w14:textId="0F967178" w:rsidR="0090467A" w:rsidRPr="006A6461" w:rsidRDefault="0090467A" w:rsidP="00330BFA">
            <w:pPr>
              <w:widowControl w:val="0"/>
              <w:spacing w:before="15" w:after="15"/>
              <w:ind w:right="-113"/>
              <w:jc w:val="both"/>
              <w:rPr>
                <w:rFonts w:ascii="Times New Roman" w:hAnsi="Times New Roman" w:cs="Times New Roman"/>
                <w:noProof/>
                <w:sz w:val="16"/>
                <w:szCs w:val="16"/>
              </w:rPr>
            </w:pPr>
            <w:r>
              <w:rPr>
                <w:rFonts w:ascii="Times New Roman" w:hAnsi="Times New Roman"/>
                <w:noProof/>
                <w:sz w:val="16"/>
              </w:rPr>
              <w:t>07 10 07</w:t>
            </w:r>
          </w:p>
        </w:tc>
        <w:tc>
          <w:tcPr>
            <w:tcW w:w="5132" w:type="dxa"/>
          </w:tcPr>
          <w:p w14:paraId="230B214C" w14:textId="23589120" w:rsidR="0090467A" w:rsidRPr="006A6461" w:rsidRDefault="00825164" w:rsidP="00330BFA">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rPr>
              <w:t>Агенция на Европейския съюз за сътрудничество в областта на наказателното правосъдие</w:t>
            </w:r>
          </w:p>
        </w:tc>
        <w:tc>
          <w:tcPr>
            <w:tcW w:w="1701" w:type="dxa"/>
          </w:tcPr>
          <w:p w14:paraId="7D092C6F" w14:textId="10DF30FC" w:rsidR="0090467A" w:rsidRPr="006A6461" w:rsidRDefault="6BDC247E" w:rsidP="00330BFA">
            <w:pPr>
              <w:widowControl w:val="0"/>
              <w:spacing w:before="15" w:after="15"/>
              <w:jc w:val="right"/>
              <w:rPr>
                <w:rFonts w:ascii="Times New Roman" w:hAnsi="Times New Roman" w:cs="Times New Roman"/>
                <w:noProof/>
                <w:sz w:val="16"/>
                <w:szCs w:val="16"/>
              </w:rPr>
            </w:pPr>
            <w:r>
              <w:rPr>
                <w:rFonts w:ascii="Times New Roman" w:hAnsi="Times New Roman"/>
                <w:noProof/>
                <w:sz w:val="16"/>
              </w:rPr>
              <w:t>2 000 000</w:t>
            </w:r>
          </w:p>
        </w:tc>
        <w:tc>
          <w:tcPr>
            <w:tcW w:w="1701" w:type="dxa"/>
          </w:tcPr>
          <w:p w14:paraId="63FA97A2" w14:textId="5D66FC9A" w:rsidR="0090467A" w:rsidRPr="006A6461" w:rsidRDefault="50B68895" w:rsidP="30E0B28E">
            <w:pPr>
              <w:widowControl w:val="0"/>
              <w:spacing w:before="15" w:after="15"/>
              <w:jc w:val="right"/>
              <w:rPr>
                <w:rFonts w:ascii="Times New Roman" w:eastAsia="Times New Roman" w:hAnsi="Times New Roman" w:cs="Times New Roman"/>
                <w:noProof/>
                <w:sz w:val="16"/>
                <w:szCs w:val="16"/>
              </w:rPr>
            </w:pPr>
            <w:r>
              <w:rPr>
                <w:rFonts w:ascii="Times New Roman" w:hAnsi="Times New Roman"/>
                <w:noProof/>
                <w:sz w:val="16"/>
              </w:rPr>
              <w:t>2 000 000</w:t>
            </w:r>
          </w:p>
        </w:tc>
      </w:tr>
      <w:tr w:rsidR="0090467A" w:rsidRPr="006A6461" w14:paraId="016EA7F7" w14:textId="77777777" w:rsidTr="30E0B28E">
        <w:trPr>
          <w:jc w:val="center"/>
        </w:trPr>
        <w:tc>
          <w:tcPr>
            <w:tcW w:w="6408" w:type="dxa"/>
            <w:gridSpan w:val="2"/>
            <w:shd w:val="clear" w:color="auto" w:fill="D9D9D9" w:themeFill="background1" w:themeFillShade="D9"/>
          </w:tcPr>
          <w:p w14:paraId="251281CD" w14:textId="77777777" w:rsidR="0090467A" w:rsidRPr="006A6461" w:rsidRDefault="0090467A" w:rsidP="00330BFA">
            <w:pPr>
              <w:widowControl w:val="0"/>
              <w:spacing w:before="15" w:after="15"/>
              <w:ind w:right="-113"/>
              <w:jc w:val="both"/>
              <w:rPr>
                <w:rFonts w:ascii="Times New Roman" w:hAnsi="Times New Roman" w:cs="Times New Roman"/>
                <w:noProof/>
                <w:sz w:val="20"/>
                <w:szCs w:val="20"/>
              </w:rPr>
            </w:pPr>
            <w:r>
              <w:rPr>
                <w:rFonts w:ascii="Times New Roman" w:hAnsi="Times New Roman"/>
                <w:b/>
                <w:noProof/>
                <w:sz w:val="20"/>
              </w:rPr>
              <w:t>Общо</w:t>
            </w:r>
            <w:r>
              <w:rPr>
                <w:rFonts w:ascii="Times New Roman" w:hAnsi="Times New Roman"/>
                <w:b/>
                <w:noProof/>
                <w:sz w:val="20"/>
              </w:rPr>
              <w:tab/>
            </w:r>
          </w:p>
        </w:tc>
        <w:tc>
          <w:tcPr>
            <w:tcW w:w="1701" w:type="dxa"/>
            <w:shd w:val="clear" w:color="auto" w:fill="D9D9D9" w:themeFill="background1" w:themeFillShade="D9"/>
          </w:tcPr>
          <w:p w14:paraId="520A6379" w14:textId="52F57D9B" w:rsidR="0090467A" w:rsidRPr="006A6461" w:rsidRDefault="257CB903" w:rsidP="00330BFA">
            <w:pPr>
              <w:widowControl w:val="0"/>
              <w:spacing w:before="15" w:after="15"/>
              <w:jc w:val="right"/>
              <w:rPr>
                <w:rFonts w:ascii="Times New Roman" w:hAnsi="Times New Roman" w:cs="Times New Roman"/>
                <w:b/>
                <w:bCs/>
                <w:noProof/>
                <w:sz w:val="20"/>
                <w:szCs w:val="20"/>
              </w:rPr>
            </w:pPr>
            <w:r>
              <w:rPr>
                <w:rFonts w:ascii="Times New Roman" w:hAnsi="Times New Roman"/>
                <w:b/>
                <w:noProof/>
                <w:sz w:val="20"/>
              </w:rPr>
              <w:t>2 000 000</w:t>
            </w:r>
          </w:p>
        </w:tc>
        <w:tc>
          <w:tcPr>
            <w:tcW w:w="1701" w:type="dxa"/>
            <w:shd w:val="clear" w:color="auto" w:fill="D9D9D9" w:themeFill="background1" w:themeFillShade="D9"/>
          </w:tcPr>
          <w:p w14:paraId="7396F62A" w14:textId="2EE07F19" w:rsidR="0090467A" w:rsidRPr="006A6461" w:rsidRDefault="5196FEE9" w:rsidP="00330BFA">
            <w:pPr>
              <w:widowControl w:val="0"/>
              <w:spacing w:before="15" w:after="15"/>
              <w:jc w:val="right"/>
              <w:rPr>
                <w:rFonts w:ascii="Times New Roman" w:hAnsi="Times New Roman" w:cs="Times New Roman"/>
                <w:b/>
                <w:bCs/>
                <w:noProof/>
                <w:sz w:val="20"/>
                <w:szCs w:val="20"/>
              </w:rPr>
            </w:pPr>
            <w:r>
              <w:rPr>
                <w:rFonts w:ascii="Times New Roman" w:hAnsi="Times New Roman"/>
                <w:b/>
                <w:noProof/>
                <w:sz w:val="20"/>
              </w:rPr>
              <w:t>2 000 000</w:t>
            </w:r>
          </w:p>
        </w:tc>
      </w:tr>
    </w:tbl>
    <w:p w14:paraId="40C58A03" w14:textId="350D2469" w:rsidR="007C0358" w:rsidRPr="006A6461" w:rsidRDefault="007C0358" w:rsidP="007C0358">
      <w:pPr>
        <w:spacing w:after="0"/>
        <w:jc w:val="both"/>
        <w:rPr>
          <w:rFonts w:ascii="Times New Roman" w:hAnsi="Times New Roman" w:cs="Times New Roman"/>
          <w:noProof/>
          <w:sz w:val="24"/>
          <w:szCs w:val="24"/>
        </w:rPr>
      </w:pPr>
    </w:p>
    <w:p w14:paraId="4DBF15B2" w14:textId="543AAD21" w:rsidR="00024C5C" w:rsidRPr="006A6461" w:rsidRDefault="00024C5C" w:rsidP="00974EDC">
      <w:pPr>
        <w:keepNext/>
        <w:tabs>
          <w:tab w:val="left" w:pos="850"/>
        </w:tabs>
        <w:spacing w:before="360" w:after="120"/>
        <w:ind w:left="850" w:hanging="850"/>
        <w:jc w:val="both"/>
        <w:outlineLvl w:val="1"/>
        <w:rPr>
          <w:rFonts w:ascii="Times New Roman" w:eastAsia="Calibri" w:hAnsi="Times New Roman" w:cs="Times New Roman"/>
          <w:b/>
          <w:noProof/>
          <w:sz w:val="24"/>
          <w:szCs w:val="24"/>
        </w:rPr>
      </w:pPr>
      <w:bookmarkStart w:id="48" w:name="_Toc173242916"/>
      <w:bookmarkStart w:id="49" w:name="_Toc84231370"/>
      <w:r>
        <w:rPr>
          <w:rFonts w:ascii="Times New Roman" w:hAnsi="Times New Roman"/>
          <w:b/>
          <w:noProof/>
          <w:sz w:val="24"/>
        </w:rPr>
        <w:t>3.7</w:t>
      </w:r>
      <w:r>
        <w:rPr>
          <w:rFonts w:ascii="Times New Roman" w:hAnsi="Times New Roman"/>
          <w:b/>
          <w:noProof/>
          <w:sz w:val="24"/>
        </w:rPr>
        <w:tab/>
        <w:t>Увеличение на вноската на ЕС за Агенцията на Европейския съюз за оперативното управление на широкомащабни информационни системи в пространството на свобода, сигурност и правосъдие (eu-LISA)</w:t>
      </w:r>
      <w:bookmarkEnd w:id="48"/>
    </w:p>
    <w:p w14:paraId="1AB73E1F" w14:textId="07731723" w:rsidR="6B7417CC" w:rsidRPr="006A6461" w:rsidRDefault="6B7417CC" w:rsidP="006F7B88">
      <w:pPr>
        <w:spacing w:after="120"/>
        <w:jc w:val="both"/>
        <w:rPr>
          <w:rFonts w:ascii="Times New Roman" w:eastAsia="Calibri" w:hAnsi="Times New Roman" w:cs="Times New Roman"/>
          <w:noProof/>
          <w:sz w:val="24"/>
          <w:szCs w:val="24"/>
        </w:rPr>
      </w:pPr>
      <w:r>
        <w:rPr>
          <w:rFonts w:ascii="Times New Roman" w:hAnsi="Times New Roman"/>
          <w:noProof/>
          <w:sz w:val="24"/>
        </w:rPr>
        <w:t>Редица законодателни инициативи в контекста на пакта за миграцията и убежището разшириха обхвата на дейностите на Агенцията на Европейския съюз за оперативното управление на широкомащабни информационни системи в пространството на свобода, сигурност и правосъдие (eu-LISA). Това изисква подходящо увеличаване на числеността на персонала, заделен за новите дейности, и увеличаване на свързаните с това разходи. Това засяга по-специално:</w:t>
      </w:r>
    </w:p>
    <w:p w14:paraId="36366042" w14:textId="56932A61" w:rsidR="00565634" w:rsidRPr="006A6461" w:rsidRDefault="2FB41657" w:rsidP="003B1921">
      <w:pPr>
        <w:pStyle w:val="ListParagraph"/>
        <w:numPr>
          <w:ilvl w:val="0"/>
          <w:numId w:val="29"/>
        </w:numPr>
        <w:spacing w:after="120"/>
        <w:ind w:left="714" w:hanging="357"/>
        <w:contextualSpacing w:val="0"/>
        <w:jc w:val="both"/>
        <w:rPr>
          <w:rFonts w:eastAsia="Calibri"/>
          <w:noProof/>
        </w:rPr>
      </w:pPr>
      <w:r>
        <w:rPr>
          <w:noProof/>
        </w:rPr>
        <w:t>Групирането в eu-LISA на дейностите, свързани с Европейската база данни за дактилоскопични отпечатъци в областта на убежището (EURODAC)</w:t>
      </w:r>
      <w:r w:rsidR="00002715" w:rsidRPr="006A6461">
        <w:rPr>
          <w:rStyle w:val="FootnoteReference"/>
          <w:rFonts w:eastAsia="Calibri"/>
          <w:noProof/>
          <w:lang w:eastAsia="de-DE"/>
        </w:rPr>
        <w:footnoteReference w:id="17"/>
      </w:r>
      <w:r>
        <w:rPr>
          <w:noProof/>
        </w:rPr>
        <w:t>, включени в пакта за миграцията и убежището, изисква осем допълнителни срочно наети служители и седем договорно наети служители и свързаното с това увеличение с 13,685 милиона евро бюджетни кредити за поети задължения и 1,045 милиона евро бюджетни кредити за плащания. Предлага се това увеличение да бъде компенсирано изцяло чрез намаление на бюджетните кредити за фонд „Убежище, миграция и интеграция“ (ФУМИ) (40 %, или 5,474 милиона евро бюджетни кредити за поети задължения и 0,42 милиона евро бюджетни кредити за плащания) и за Инструмента за финансова подкрепа за управлението на границите и визовата политика (ИУГВП) (60 %, или 8,211 милиона евро бюджетни кредити за поети задължения и 0,63 милиона евро бюджетни кредити за плащания), поради което увеличението е неутрално по отношение на бюджета. Увеличението на персонала (длъжности по щатното разписание + договорно наети служители) в eu-LISA ще бъде компенсирано частично за сметка на Frontex в съответствие със законодателната финансова обосновка за EURODAC.</w:t>
      </w:r>
    </w:p>
    <w:p w14:paraId="14E70120" w14:textId="570F9B13" w:rsidR="00727B9D" w:rsidRPr="006A6461" w:rsidRDefault="663DF89F" w:rsidP="003B1921">
      <w:pPr>
        <w:pStyle w:val="ListParagraph"/>
        <w:numPr>
          <w:ilvl w:val="0"/>
          <w:numId w:val="29"/>
        </w:numPr>
        <w:spacing w:after="120"/>
        <w:ind w:left="714" w:hanging="357"/>
        <w:contextualSpacing w:val="0"/>
        <w:jc w:val="both"/>
        <w:rPr>
          <w:rFonts w:eastAsia="Calibri"/>
          <w:noProof/>
        </w:rPr>
      </w:pPr>
      <w:r>
        <w:rPr>
          <w:noProof/>
        </w:rPr>
        <w:t>ЗФО, свързана със скрининга на граждани на трети държави по външните граници, включен в пакта за миграцията и убежището</w:t>
      </w:r>
      <w:r w:rsidR="00E541C4" w:rsidRPr="006A6461">
        <w:rPr>
          <w:rStyle w:val="FootnoteReference"/>
          <w:rFonts w:eastAsia="Calibri"/>
          <w:noProof/>
          <w:lang w:eastAsia="de-DE"/>
        </w:rPr>
        <w:footnoteReference w:id="18"/>
      </w:r>
      <w:r>
        <w:rPr>
          <w:noProof/>
        </w:rPr>
        <w:t>, която изисква петима допълнителни срочно наети служители и двама договорно наети служители. Предлага се свързаните с това разходи в размер на 10,494 милиона евро бюджетни кредити за поети задължения и 0,884 милиона евро бюджетни кредити за плащания да бъдат компенсирани от ИУГВП.</w:t>
      </w:r>
    </w:p>
    <w:p w14:paraId="7CFDDE1A" w14:textId="5D254D4C" w:rsidR="00D352CC" w:rsidRPr="006A6461" w:rsidRDefault="00D352CC" w:rsidP="39C3FE47">
      <w:pPr>
        <w:spacing w:after="0"/>
        <w:jc w:val="both"/>
        <w:rPr>
          <w:rFonts w:ascii="Times New Roman" w:eastAsia="Calibri" w:hAnsi="Times New Roman" w:cs="Times New Roman"/>
          <w:noProof/>
          <w:sz w:val="24"/>
          <w:szCs w:val="24"/>
          <w:lang w:eastAsia="de-DE"/>
        </w:rPr>
      </w:pPr>
    </w:p>
    <w:p w14:paraId="648A6988" w14:textId="30A89D4C" w:rsidR="00F641AD" w:rsidRPr="006A6461" w:rsidRDefault="00F641AD" w:rsidP="39C3FE47">
      <w:pPr>
        <w:spacing w:after="0"/>
        <w:jc w:val="both"/>
        <w:rPr>
          <w:rFonts w:ascii="Times New Roman" w:eastAsia="Calibri" w:hAnsi="Times New Roman" w:cs="Times New Roman"/>
          <w:noProof/>
          <w:sz w:val="24"/>
          <w:szCs w:val="24"/>
        </w:rPr>
      </w:pPr>
      <w:r>
        <w:rPr>
          <w:rFonts w:ascii="Times New Roman" w:hAnsi="Times New Roman"/>
          <w:noProof/>
          <w:sz w:val="24"/>
        </w:rPr>
        <w:t>Съответните промени в щатното разписание са посочени в бюджетното приложение.</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024C5C" w:rsidRPr="006A6461" w14:paraId="2D6828CA" w14:textId="77777777" w:rsidTr="340945D5">
        <w:trPr>
          <w:jc w:val="center"/>
        </w:trPr>
        <w:tc>
          <w:tcPr>
            <w:tcW w:w="9810" w:type="dxa"/>
            <w:gridSpan w:val="4"/>
            <w:tcBorders>
              <w:top w:val="nil"/>
              <w:left w:val="nil"/>
              <w:bottom w:val="single" w:sz="4" w:space="0" w:color="auto"/>
              <w:right w:val="nil"/>
            </w:tcBorders>
            <w:shd w:val="clear" w:color="auto" w:fill="auto"/>
            <w:vAlign w:val="center"/>
          </w:tcPr>
          <w:p w14:paraId="13EAAFD5" w14:textId="77777777" w:rsidR="00024C5C" w:rsidRPr="006A6461" w:rsidRDefault="00024C5C" w:rsidP="00330BFA">
            <w:pPr>
              <w:widowControl w:val="0"/>
              <w:spacing w:before="15" w:after="15"/>
              <w:jc w:val="right"/>
              <w:rPr>
                <w:rFonts w:ascii="Times New Roman" w:hAnsi="Times New Roman" w:cs="Times New Roman"/>
                <w:i/>
                <w:noProof/>
                <w:sz w:val="20"/>
                <w:szCs w:val="20"/>
              </w:rPr>
            </w:pPr>
            <w:r>
              <w:rPr>
                <w:rFonts w:ascii="Times New Roman" w:hAnsi="Times New Roman"/>
                <w:i/>
                <w:noProof/>
                <w:sz w:val="20"/>
              </w:rPr>
              <w:t>EUR</w:t>
            </w:r>
          </w:p>
        </w:tc>
      </w:tr>
      <w:tr w:rsidR="00024C5C" w:rsidRPr="006A6461" w14:paraId="30F35139" w14:textId="77777777" w:rsidTr="340945D5">
        <w:trPr>
          <w:jc w:val="center"/>
        </w:trPr>
        <w:tc>
          <w:tcPr>
            <w:tcW w:w="1276" w:type="dxa"/>
            <w:tcBorders>
              <w:top w:val="single" w:sz="4" w:space="0" w:color="auto"/>
            </w:tcBorders>
            <w:shd w:val="clear" w:color="auto" w:fill="D9D9D9" w:themeFill="background1" w:themeFillShade="D9"/>
            <w:vAlign w:val="center"/>
          </w:tcPr>
          <w:p w14:paraId="0FF19FE2" w14:textId="77777777" w:rsidR="00024C5C" w:rsidRPr="006A6461" w:rsidRDefault="00024C5C" w:rsidP="00330BFA">
            <w:pPr>
              <w:keepNext/>
              <w:spacing w:before="15" w:after="15"/>
              <w:jc w:val="center"/>
              <w:rPr>
                <w:rFonts w:ascii="Times New Roman" w:hAnsi="Times New Roman" w:cs="Times New Roman"/>
                <w:b/>
                <w:noProof/>
                <w:sz w:val="20"/>
                <w:szCs w:val="20"/>
              </w:rPr>
            </w:pPr>
            <w:r>
              <w:rPr>
                <w:rFonts w:ascii="Times New Roman" w:hAnsi="Times New Roman"/>
                <w:b/>
                <w:noProof/>
                <w:sz w:val="20"/>
              </w:rPr>
              <w:t>Бюджетен ред</w:t>
            </w:r>
          </w:p>
        </w:tc>
        <w:tc>
          <w:tcPr>
            <w:tcW w:w="5132" w:type="dxa"/>
            <w:tcBorders>
              <w:top w:val="single" w:sz="4" w:space="0" w:color="auto"/>
            </w:tcBorders>
            <w:shd w:val="clear" w:color="auto" w:fill="D9D9D9" w:themeFill="background1" w:themeFillShade="D9"/>
            <w:vAlign w:val="center"/>
          </w:tcPr>
          <w:p w14:paraId="438F540E" w14:textId="77777777" w:rsidR="00024C5C" w:rsidRPr="006A6461" w:rsidRDefault="00024C5C" w:rsidP="00330BFA">
            <w:pPr>
              <w:widowControl w:val="0"/>
              <w:spacing w:before="15" w:after="15"/>
              <w:jc w:val="center"/>
              <w:rPr>
                <w:rFonts w:ascii="Times New Roman" w:hAnsi="Times New Roman" w:cs="Times New Roman"/>
                <w:b/>
                <w:noProof/>
                <w:sz w:val="20"/>
                <w:szCs w:val="20"/>
              </w:rPr>
            </w:pPr>
            <w:r>
              <w:rPr>
                <w:rFonts w:ascii="Times New Roman" w:hAnsi="Times New Roman"/>
                <w:b/>
                <w:noProof/>
                <w:sz w:val="20"/>
              </w:rPr>
              <w:t>Наименование</w:t>
            </w:r>
          </w:p>
        </w:tc>
        <w:tc>
          <w:tcPr>
            <w:tcW w:w="1701" w:type="dxa"/>
            <w:tcBorders>
              <w:top w:val="single" w:sz="4" w:space="0" w:color="auto"/>
            </w:tcBorders>
            <w:shd w:val="clear" w:color="auto" w:fill="D9D9D9" w:themeFill="background1" w:themeFillShade="D9"/>
            <w:vAlign w:val="center"/>
          </w:tcPr>
          <w:p w14:paraId="6C986457" w14:textId="77777777" w:rsidR="00024C5C" w:rsidRPr="006A6461" w:rsidRDefault="00024C5C" w:rsidP="00330BFA">
            <w:pPr>
              <w:widowControl w:val="0"/>
              <w:spacing w:before="15" w:after="15"/>
              <w:jc w:val="center"/>
              <w:rPr>
                <w:rFonts w:ascii="Times New Roman" w:hAnsi="Times New Roman" w:cs="Times New Roman"/>
                <w:b/>
                <w:noProof/>
                <w:sz w:val="20"/>
                <w:szCs w:val="20"/>
              </w:rPr>
            </w:pPr>
            <w:r>
              <w:rPr>
                <w:rFonts w:ascii="Times New Roman" w:hAnsi="Times New Roman"/>
                <w:b/>
                <w:noProof/>
                <w:sz w:val="20"/>
              </w:rPr>
              <w:t>Бюджетни кредити за поети задължения</w:t>
            </w:r>
          </w:p>
        </w:tc>
        <w:tc>
          <w:tcPr>
            <w:tcW w:w="1701" w:type="dxa"/>
            <w:tcBorders>
              <w:top w:val="single" w:sz="4" w:space="0" w:color="auto"/>
            </w:tcBorders>
            <w:shd w:val="clear" w:color="auto" w:fill="D9D9D9" w:themeFill="background1" w:themeFillShade="D9"/>
            <w:vAlign w:val="center"/>
          </w:tcPr>
          <w:p w14:paraId="2D4E53D8" w14:textId="77777777" w:rsidR="00024C5C" w:rsidRPr="006A6461" w:rsidRDefault="00024C5C" w:rsidP="00330BFA">
            <w:pPr>
              <w:widowControl w:val="0"/>
              <w:spacing w:before="15" w:after="15"/>
              <w:jc w:val="center"/>
              <w:rPr>
                <w:rFonts w:ascii="Times New Roman" w:hAnsi="Times New Roman" w:cs="Times New Roman"/>
                <w:b/>
                <w:bCs/>
                <w:noProof/>
                <w:sz w:val="20"/>
                <w:szCs w:val="20"/>
              </w:rPr>
            </w:pPr>
            <w:r>
              <w:rPr>
                <w:rFonts w:ascii="Times New Roman" w:hAnsi="Times New Roman"/>
                <w:b/>
                <w:noProof/>
                <w:sz w:val="20"/>
              </w:rPr>
              <w:t>Бюджетни кредити за плащания</w:t>
            </w:r>
          </w:p>
        </w:tc>
      </w:tr>
      <w:tr w:rsidR="00024C5C" w:rsidRPr="006A6461" w14:paraId="1D82F175" w14:textId="77777777" w:rsidTr="340945D5">
        <w:trPr>
          <w:jc w:val="center"/>
        </w:trPr>
        <w:tc>
          <w:tcPr>
            <w:tcW w:w="9810" w:type="dxa"/>
            <w:gridSpan w:val="4"/>
            <w:shd w:val="clear" w:color="auto" w:fill="F2F2F2" w:themeFill="background1" w:themeFillShade="F2"/>
            <w:vAlign w:val="center"/>
          </w:tcPr>
          <w:p w14:paraId="017FC3B0" w14:textId="77777777" w:rsidR="00024C5C" w:rsidRPr="006A6461" w:rsidRDefault="00024C5C" w:rsidP="00330BFA">
            <w:pPr>
              <w:widowControl w:val="0"/>
              <w:spacing w:before="15" w:after="15"/>
              <w:rPr>
                <w:rFonts w:ascii="Times New Roman" w:hAnsi="Times New Roman" w:cs="Times New Roman"/>
                <w:i/>
                <w:noProof/>
                <w:sz w:val="20"/>
                <w:szCs w:val="20"/>
              </w:rPr>
            </w:pPr>
            <w:r>
              <w:rPr>
                <w:rFonts w:ascii="Times New Roman" w:hAnsi="Times New Roman"/>
                <w:i/>
                <w:noProof/>
                <w:sz w:val="20"/>
              </w:rPr>
              <w:t>Раздел III — Комисия</w:t>
            </w:r>
          </w:p>
        </w:tc>
      </w:tr>
      <w:tr w:rsidR="00024C5C" w:rsidRPr="006A6461" w14:paraId="18B2AE6A" w14:textId="77777777" w:rsidTr="001A23DC">
        <w:trPr>
          <w:jc w:val="center"/>
        </w:trPr>
        <w:tc>
          <w:tcPr>
            <w:tcW w:w="1276" w:type="dxa"/>
          </w:tcPr>
          <w:p w14:paraId="4375EA06" w14:textId="05512A2F" w:rsidR="00024C5C" w:rsidRPr="006A6461" w:rsidRDefault="00501EC1" w:rsidP="00330BFA">
            <w:pPr>
              <w:widowControl w:val="0"/>
              <w:spacing w:before="15" w:after="15"/>
              <w:ind w:right="-113"/>
              <w:jc w:val="both"/>
              <w:rPr>
                <w:rFonts w:ascii="Times New Roman" w:hAnsi="Times New Roman" w:cs="Times New Roman"/>
                <w:noProof/>
                <w:sz w:val="16"/>
                <w:szCs w:val="16"/>
              </w:rPr>
            </w:pPr>
            <w:r>
              <w:rPr>
                <w:rFonts w:ascii="Times New Roman" w:hAnsi="Times New Roman"/>
                <w:noProof/>
                <w:sz w:val="16"/>
              </w:rPr>
              <w:t>11 10 02</w:t>
            </w:r>
          </w:p>
        </w:tc>
        <w:tc>
          <w:tcPr>
            <w:tcW w:w="5132" w:type="dxa"/>
          </w:tcPr>
          <w:p w14:paraId="1D9FC954" w14:textId="2D6BD566" w:rsidR="00024C5C" w:rsidRPr="006A6461" w:rsidRDefault="000260F9" w:rsidP="00330BFA">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rPr>
              <w:t>Агенция на Европейския съюз за оперативното управление на широкомащабни информационни системи в пространството на свобода, сигурност и правосъдие</w:t>
            </w:r>
          </w:p>
        </w:tc>
        <w:tc>
          <w:tcPr>
            <w:tcW w:w="1701" w:type="dxa"/>
          </w:tcPr>
          <w:p w14:paraId="15FB4EEB" w14:textId="2A9E3124" w:rsidR="00024C5C" w:rsidRPr="006A6461" w:rsidRDefault="65F106F0" w:rsidP="340945D5">
            <w:pPr>
              <w:widowControl w:val="0"/>
              <w:spacing w:before="15" w:after="15"/>
              <w:jc w:val="right"/>
              <w:rPr>
                <w:rFonts w:ascii="Times New Roman" w:eastAsia="Times New Roman" w:hAnsi="Times New Roman" w:cs="Times New Roman"/>
                <w:noProof/>
                <w:sz w:val="16"/>
                <w:szCs w:val="16"/>
              </w:rPr>
            </w:pPr>
            <w:r>
              <w:rPr>
                <w:rFonts w:ascii="Times New Roman" w:hAnsi="Times New Roman"/>
                <w:noProof/>
                <w:sz w:val="16"/>
              </w:rPr>
              <w:t>24 179 000</w:t>
            </w:r>
          </w:p>
        </w:tc>
        <w:tc>
          <w:tcPr>
            <w:tcW w:w="1701" w:type="dxa"/>
          </w:tcPr>
          <w:p w14:paraId="650F5813" w14:textId="73C81AAA" w:rsidR="00024C5C" w:rsidRPr="006A6461" w:rsidRDefault="3D94461A" w:rsidP="006F4B32">
            <w:pPr>
              <w:widowControl w:val="0"/>
              <w:spacing w:before="15" w:after="15"/>
              <w:jc w:val="right"/>
              <w:rPr>
                <w:rFonts w:ascii="Times New Roman" w:eastAsia="Times New Roman" w:hAnsi="Times New Roman" w:cs="Times New Roman"/>
                <w:noProof/>
                <w:sz w:val="16"/>
                <w:szCs w:val="16"/>
              </w:rPr>
            </w:pPr>
            <w:r>
              <w:rPr>
                <w:rFonts w:ascii="Times New Roman" w:hAnsi="Times New Roman"/>
                <w:noProof/>
                <w:sz w:val="16"/>
              </w:rPr>
              <w:t>1 929 000</w:t>
            </w:r>
          </w:p>
        </w:tc>
      </w:tr>
      <w:tr w:rsidR="007E16C1" w:rsidRPr="006A6461" w14:paraId="33397C98" w14:textId="77777777" w:rsidTr="001A23DC">
        <w:trPr>
          <w:jc w:val="center"/>
        </w:trPr>
        <w:tc>
          <w:tcPr>
            <w:tcW w:w="1276" w:type="dxa"/>
          </w:tcPr>
          <w:p w14:paraId="40DFF651" w14:textId="73E75D33" w:rsidR="007E16C1" w:rsidRPr="006A6461" w:rsidRDefault="00733968" w:rsidP="00330BFA">
            <w:pPr>
              <w:widowControl w:val="0"/>
              <w:spacing w:before="15" w:after="15"/>
              <w:ind w:right="-113"/>
              <w:jc w:val="both"/>
              <w:rPr>
                <w:rFonts w:ascii="Times New Roman" w:hAnsi="Times New Roman" w:cs="Times New Roman"/>
                <w:noProof/>
                <w:sz w:val="16"/>
                <w:szCs w:val="16"/>
              </w:rPr>
            </w:pPr>
            <w:r>
              <w:rPr>
                <w:rFonts w:ascii="Times New Roman" w:hAnsi="Times New Roman"/>
                <w:noProof/>
                <w:sz w:val="16"/>
              </w:rPr>
              <w:t>10 02 01</w:t>
            </w:r>
          </w:p>
        </w:tc>
        <w:tc>
          <w:tcPr>
            <w:tcW w:w="5132" w:type="dxa"/>
          </w:tcPr>
          <w:p w14:paraId="6AF95E7C" w14:textId="383509DC" w:rsidR="007E16C1" w:rsidRPr="006A6461" w:rsidRDefault="007834CD" w:rsidP="00330BFA">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rPr>
              <w:t>Фонд „Убежище, миграция и интеграция“ (ФУМИ)</w:t>
            </w:r>
          </w:p>
        </w:tc>
        <w:tc>
          <w:tcPr>
            <w:tcW w:w="1701" w:type="dxa"/>
          </w:tcPr>
          <w:p w14:paraId="7BAAABD0" w14:textId="2063514A" w:rsidR="007E16C1" w:rsidRPr="006A6461" w:rsidRDefault="30C0758E" w:rsidP="00330BFA">
            <w:pPr>
              <w:widowControl w:val="0"/>
              <w:spacing w:before="15" w:after="15"/>
              <w:jc w:val="right"/>
              <w:rPr>
                <w:rFonts w:ascii="Times New Roman" w:hAnsi="Times New Roman" w:cs="Times New Roman"/>
                <w:noProof/>
                <w:sz w:val="16"/>
                <w:szCs w:val="16"/>
              </w:rPr>
            </w:pPr>
            <w:r>
              <w:rPr>
                <w:rFonts w:ascii="Times New Roman" w:hAnsi="Times New Roman"/>
                <w:noProof/>
                <w:sz w:val="16"/>
              </w:rPr>
              <w:t>-5 474 000</w:t>
            </w:r>
          </w:p>
        </w:tc>
        <w:tc>
          <w:tcPr>
            <w:tcW w:w="1701" w:type="dxa"/>
          </w:tcPr>
          <w:p w14:paraId="5D8E32A3" w14:textId="7D926A1D" w:rsidR="007E16C1" w:rsidRPr="006A6461" w:rsidRDefault="006F4B32" w:rsidP="001A23DC">
            <w:pPr>
              <w:pStyle w:val="ListParagraph"/>
              <w:widowControl w:val="0"/>
              <w:spacing w:before="15" w:after="15"/>
              <w:jc w:val="right"/>
              <w:rPr>
                <w:noProof/>
                <w:sz w:val="16"/>
                <w:szCs w:val="16"/>
              </w:rPr>
            </w:pPr>
            <w:r>
              <w:rPr>
                <w:noProof/>
                <w:sz w:val="16"/>
              </w:rPr>
              <w:t>-418 000</w:t>
            </w:r>
          </w:p>
        </w:tc>
      </w:tr>
      <w:tr w:rsidR="007E16C1" w:rsidRPr="006A6461" w14:paraId="05BCF4D1" w14:textId="77777777" w:rsidTr="001A23DC">
        <w:trPr>
          <w:jc w:val="center"/>
        </w:trPr>
        <w:tc>
          <w:tcPr>
            <w:tcW w:w="1276" w:type="dxa"/>
          </w:tcPr>
          <w:p w14:paraId="679211ED" w14:textId="00BDA88F" w:rsidR="007E16C1" w:rsidRPr="006A6461" w:rsidRDefault="0031025B" w:rsidP="00330BFA">
            <w:pPr>
              <w:widowControl w:val="0"/>
              <w:spacing w:before="15" w:after="15"/>
              <w:ind w:right="-113"/>
              <w:jc w:val="both"/>
              <w:rPr>
                <w:rFonts w:ascii="Times New Roman" w:hAnsi="Times New Roman" w:cs="Times New Roman"/>
                <w:noProof/>
                <w:sz w:val="16"/>
                <w:szCs w:val="16"/>
              </w:rPr>
            </w:pPr>
            <w:r>
              <w:rPr>
                <w:rFonts w:ascii="Times New Roman" w:hAnsi="Times New Roman"/>
                <w:noProof/>
                <w:sz w:val="16"/>
              </w:rPr>
              <w:t>11 02 01</w:t>
            </w:r>
          </w:p>
        </w:tc>
        <w:tc>
          <w:tcPr>
            <w:tcW w:w="5132" w:type="dxa"/>
          </w:tcPr>
          <w:p w14:paraId="69C6A96E" w14:textId="3A19ACA4" w:rsidR="007E16C1" w:rsidRPr="006A6461" w:rsidRDefault="00EC3E16" w:rsidP="00330BFA">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rPr>
              <w:t>Инструмент за финансова подкрепа за управлението на границите и визовата политика (ИУГВП)</w:t>
            </w:r>
          </w:p>
        </w:tc>
        <w:tc>
          <w:tcPr>
            <w:tcW w:w="1701" w:type="dxa"/>
          </w:tcPr>
          <w:p w14:paraId="055ED63A" w14:textId="0F8692F8" w:rsidR="007E16C1" w:rsidRPr="006A6461" w:rsidRDefault="7F6535E1" w:rsidP="00330BFA">
            <w:pPr>
              <w:widowControl w:val="0"/>
              <w:spacing w:before="15" w:after="15"/>
              <w:jc w:val="right"/>
              <w:rPr>
                <w:rFonts w:ascii="Times New Roman" w:hAnsi="Times New Roman" w:cs="Times New Roman"/>
                <w:noProof/>
                <w:sz w:val="16"/>
                <w:szCs w:val="16"/>
              </w:rPr>
            </w:pPr>
            <w:r>
              <w:rPr>
                <w:rFonts w:ascii="Times New Roman" w:hAnsi="Times New Roman"/>
                <w:noProof/>
                <w:sz w:val="16"/>
              </w:rPr>
              <w:t>-18 705 000</w:t>
            </w:r>
          </w:p>
        </w:tc>
        <w:tc>
          <w:tcPr>
            <w:tcW w:w="1701" w:type="dxa"/>
          </w:tcPr>
          <w:p w14:paraId="224D2CD0" w14:textId="0B569609" w:rsidR="007E16C1" w:rsidRPr="006A6461" w:rsidRDefault="006F4B32" w:rsidP="001A23DC">
            <w:pPr>
              <w:pStyle w:val="ListParagraph"/>
              <w:widowControl w:val="0"/>
              <w:spacing w:before="15" w:after="15"/>
              <w:jc w:val="right"/>
              <w:rPr>
                <w:noProof/>
                <w:sz w:val="16"/>
                <w:szCs w:val="16"/>
              </w:rPr>
            </w:pPr>
            <w:r>
              <w:rPr>
                <w:noProof/>
                <w:sz w:val="16"/>
              </w:rPr>
              <w:t>-1 511 000</w:t>
            </w:r>
          </w:p>
        </w:tc>
      </w:tr>
      <w:tr w:rsidR="00024C5C" w:rsidRPr="006A6461" w14:paraId="786D5EE5" w14:textId="77777777" w:rsidTr="340945D5">
        <w:trPr>
          <w:jc w:val="center"/>
        </w:trPr>
        <w:tc>
          <w:tcPr>
            <w:tcW w:w="6408" w:type="dxa"/>
            <w:gridSpan w:val="2"/>
            <w:shd w:val="clear" w:color="auto" w:fill="D9D9D9" w:themeFill="background1" w:themeFillShade="D9"/>
          </w:tcPr>
          <w:p w14:paraId="19D9E65C" w14:textId="77777777" w:rsidR="00024C5C" w:rsidRPr="006A6461" w:rsidRDefault="00024C5C" w:rsidP="00330BFA">
            <w:pPr>
              <w:widowControl w:val="0"/>
              <w:spacing w:before="15" w:after="15"/>
              <w:ind w:right="-113"/>
              <w:jc w:val="both"/>
              <w:rPr>
                <w:rFonts w:ascii="Times New Roman" w:hAnsi="Times New Roman" w:cs="Times New Roman"/>
                <w:noProof/>
                <w:sz w:val="20"/>
                <w:szCs w:val="20"/>
              </w:rPr>
            </w:pPr>
            <w:r>
              <w:rPr>
                <w:rFonts w:ascii="Times New Roman" w:hAnsi="Times New Roman"/>
                <w:b/>
                <w:noProof/>
                <w:sz w:val="20"/>
              </w:rPr>
              <w:t>Общо</w:t>
            </w:r>
            <w:r>
              <w:rPr>
                <w:rFonts w:ascii="Times New Roman" w:hAnsi="Times New Roman"/>
                <w:b/>
                <w:noProof/>
                <w:sz w:val="20"/>
              </w:rPr>
              <w:tab/>
            </w:r>
          </w:p>
        </w:tc>
        <w:tc>
          <w:tcPr>
            <w:tcW w:w="1701" w:type="dxa"/>
            <w:shd w:val="clear" w:color="auto" w:fill="D9D9D9" w:themeFill="background1" w:themeFillShade="D9"/>
          </w:tcPr>
          <w:p w14:paraId="576726B2" w14:textId="001A17C6" w:rsidR="00024C5C" w:rsidRPr="006A6461" w:rsidRDefault="00EC3E16" w:rsidP="00330BFA">
            <w:pPr>
              <w:widowControl w:val="0"/>
              <w:spacing w:before="15" w:after="15"/>
              <w:jc w:val="right"/>
              <w:rPr>
                <w:rFonts w:ascii="Times New Roman" w:hAnsi="Times New Roman" w:cs="Times New Roman"/>
                <w:b/>
                <w:bCs/>
                <w:noProof/>
                <w:sz w:val="20"/>
                <w:szCs w:val="20"/>
              </w:rPr>
            </w:pPr>
            <w:r>
              <w:rPr>
                <w:rFonts w:ascii="Times New Roman" w:hAnsi="Times New Roman"/>
                <w:b/>
                <w:noProof/>
                <w:sz w:val="20"/>
              </w:rPr>
              <w:t>0</w:t>
            </w:r>
          </w:p>
        </w:tc>
        <w:tc>
          <w:tcPr>
            <w:tcW w:w="1701" w:type="dxa"/>
            <w:shd w:val="clear" w:color="auto" w:fill="D9D9D9" w:themeFill="background1" w:themeFillShade="D9"/>
          </w:tcPr>
          <w:p w14:paraId="2B445B40" w14:textId="49D84424" w:rsidR="00024C5C" w:rsidRPr="006A6461" w:rsidRDefault="00EC3E16" w:rsidP="00330BFA">
            <w:pPr>
              <w:widowControl w:val="0"/>
              <w:spacing w:before="15" w:after="15"/>
              <w:jc w:val="right"/>
              <w:rPr>
                <w:rFonts w:ascii="Times New Roman" w:hAnsi="Times New Roman" w:cs="Times New Roman"/>
                <w:b/>
                <w:bCs/>
                <w:noProof/>
                <w:sz w:val="20"/>
                <w:szCs w:val="20"/>
              </w:rPr>
            </w:pPr>
            <w:r>
              <w:rPr>
                <w:rFonts w:ascii="Times New Roman" w:hAnsi="Times New Roman"/>
                <w:b/>
                <w:noProof/>
                <w:sz w:val="20"/>
              </w:rPr>
              <w:t>0</w:t>
            </w:r>
          </w:p>
        </w:tc>
      </w:tr>
    </w:tbl>
    <w:p w14:paraId="498F76F8" w14:textId="4D5BB2F4" w:rsidR="009B6020" w:rsidRPr="006A6461" w:rsidRDefault="005638C6" w:rsidP="005638C6">
      <w:pPr>
        <w:keepNext/>
        <w:tabs>
          <w:tab w:val="left" w:pos="850"/>
        </w:tabs>
        <w:spacing w:before="240" w:after="120"/>
        <w:ind w:left="851" w:hanging="851"/>
        <w:jc w:val="both"/>
        <w:outlineLvl w:val="0"/>
        <w:rPr>
          <w:rFonts w:ascii="Times New Roman" w:hAnsi="Times New Roman" w:cs="Times New Roman"/>
          <w:b/>
          <w:smallCaps/>
          <w:noProof/>
          <w:sz w:val="24"/>
          <w:szCs w:val="24"/>
        </w:rPr>
      </w:pPr>
      <w:bookmarkStart w:id="50" w:name="_Toc173242917"/>
      <w:r>
        <w:rPr>
          <w:rFonts w:ascii="Times New Roman" w:hAnsi="Times New Roman"/>
          <w:b/>
          <w:smallCaps/>
          <w:noProof/>
          <w:sz w:val="24"/>
        </w:rPr>
        <w:t>4.</w:t>
      </w:r>
      <w:r>
        <w:rPr>
          <w:rFonts w:ascii="Times New Roman" w:hAnsi="Times New Roman"/>
          <w:b/>
          <w:smallCaps/>
          <w:noProof/>
          <w:sz w:val="24"/>
        </w:rPr>
        <w:tab/>
        <w:t>Финансиране</w:t>
      </w:r>
      <w:bookmarkEnd w:id="49"/>
      <w:bookmarkEnd w:id="50"/>
    </w:p>
    <w:p w14:paraId="5CEA7388" w14:textId="6D8AEA66" w:rsidR="00EC42DC" w:rsidRPr="00C45FCA" w:rsidRDefault="000E013D" w:rsidP="00C45FCA">
      <w:pPr>
        <w:jc w:val="both"/>
        <w:rPr>
          <w:rFonts w:ascii="Times New Roman" w:eastAsia="Times New Roman" w:hAnsi="Times New Roman" w:cs="Times New Roman"/>
          <w:noProof/>
          <w:sz w:val="24"/>
          <w:szCs w:val="24"/>
        </w:rPr>
      </w:pPr>
      <w:bookmarkStart w:id="51" w:name="_Hlk137570371"/>
      <w:bookmarkStart w:id="52" w:name="_Toc35506112"/>
      <w:bookmarkEnd w:id="2"/>
      <w:r>
        <w:rPr>
          <w:rFonts w:ascii="Times New Roman" w:hAnsi="Times New Roman"/>
          <w:noProof/>
          <w:sz w:val="24"/>
        </w:rPr>
        <w:t xml:space="preserve">Като цяло нетното отражение на ПКБ 4/2024 върху разходите представлява увеличение с 12,0 милиона евро както бюджетни кредити за поети задължения, така и бюджетни кредити за плащания. </w:t>
      </w:r>
      <w:bookmarkEnd w:id="51"/>
      <w:r>
        <w:rPr>
          <w:rFonts w:ascii="Times New Roman" w:hAnsi="Times New Roman"/>
          <w:noProof/>
          <w:sz w:val="24"/>
        </w:rPr>
        <w:t>Предлага се приходната част на бюджета да бъде коригирана, както е посочено в настоящия ПКБ 4/2024.</w:t>
      </w:r>
    </w:p>
    <w:p w14:paraId="22D0E703" w14:textId="33D9879C" w:rsidR="00EC42DC" w:rsidRPr="006A6461" w:rsidRDefault="2A089E35" w:rsidP="00EC42DC">
      <w:pPr>
        <w:jc w:val="both"/>
        <w:rPr>
          <w:rFonts w:ascii="Times New Roman" w:eastAsia="Times New Roman" w:hAnsi="Times New Roman" w:cs="Times New Roman"/>
          <w:noProof/>
          <w:sz w:val="24"/>
          <w:szCs w:val="24"/>
        </w:rPr>
      </w:pPr>
      <w:r>
        <w:rPr>
          <w:rFonts w:ascii="Times New Roman" w:hAnsi="Times New Roman"/>
          <w:noProof/>
          <w:sz w:val="24"/>
        </w:rPr>
        <w:t>Поради липсата на маржове и на възможност за преразпределяне на средства в подфункция 2б Комисията предлага да бъде мобилизиран Инструментът за гъвкавост в съответствие с член 12 от Регламент (ЕС, Евратом) 2020/2093</w:t>
      </w:r>
      <w:r w:rsidR="00EC42DC" w:rsidRPr="006A6461">
        <w:rPr>
          <w:rStyle w:val="FootnoteReference"/>
          <w:rFonts w:ascii="Times New Roman" w:eastAsia="Times New Roman" w:hAnsi="Times New Roman" w:cs="Times New Roman"/>
          <w:noProof/>
          <w:sz w:val="24"/>
          <w:szCs w:val="24"/>
          <w:lang w:eastAsia="en-GB"/>
        </w:rPr>
        <w:footnoteReference w:id="19"/>
      </w:r>
      <w:r>
        <w:rPr>
          <w:rFonts w:ascii="Times New Roman" w:hAnsi="Times New Roman"/>
          <w:noProof/>
          <w:sz w:val="24"/>
        </w:rPr>
        <w:t xml:space="preserve"> под формата на бюджетни кредити за поети задължения в размер на 13,2 милиона евро за подфункция 2б „Устойчивост и ценности“, за да се увеличи вноската на ЕС за ЕМА и Евроюст. </w:t>
      </w:r>
    </w:p>
    <w:p w14:paraId="433B1191" w14:textId="411319CF" w:rsidR="00EC42DC" w:rsidRPr="006A6461" w:rsidRDefault="00EC42DC" w:rsidP="00EC42DC">
      <w:pPr>
        <w:jc w:val="both"/>
        <w:rPr>
          <w:rFonts w:ascii="Times New Roman" w:eastAsia="Times New Roman" w:hAnsi="Times New Roman" w:cs="Times New Roman"/>
          <w:noProof/>
          <w:sz w:val="24"/>
          <w:szCs w:val="24"/>
        </w:rPr>
      </w:pPr>
      <w:r>
        <w:rPr>
          <w:rFonts w:ascii="Times New Roman" w:hAnsi="Times New Roman"/>
          <w:noProof/>
          <w:sz w:val="24"/>
        </w:rPr>
        <w:t>Бюджетните кредити за плащания за 2024 г., свързани с мобилизирането на Инструмента за гъвкавост през годините от 2021 до 2024, възлизат на 1 751,2 милиона евро. Прогнозният график на плащанията за съответните неизплатени суми за тези години е представен подробно в следната таблица:</w:t>
      </w:r>
    </w:p>
    <w:p w14:paraId="7D961D91" w14:textId="77777777" w:rsidR="005E4F20" w:rsidRPr="006A6461" w:rsidRDefault="005E4F20" w:rsidP="00EC42DC">
      <w:pPr>
        <w:jc w:val="both"/>
        <w:rPr>
          <w:rFonts w:ascii="Times New Roman" w:eastAsia="Times New Roman" w:hAnsi="Times New Roman" w:cs="Times New Roman"/>
          <w:noProof/>
          <w:sz w:val="24"/>
          <w:szCs w:val="24"/>
          <w:lang w:eastAsia="en-GB"/>
        </w:rPr>
      </w:pPr>
    </w:p>
    <w:tbl>
      <w:tblPr>
        <w:tblW w:w="8080" w:type="dxa"/>
        <w:tblLook w:val="04A0" w:firstRow="1" w:lastRow="0" w:firstColumn="1" w:lastColumn="0" w:noHBand="0" w:noVBand="1"/>
      </w:tblPr>
      <w:tblGrid>
        <w:gridCol w:w="1838"/>
        <w:gridCol w:w="1280"/>
        <w:gridCol w:w="1305"/>
        <w:gridCol w:w="1305"/>
        <w:gridCol w:w="1163"/>
        <w:gridCol w:w="1189"/>
      </w:tblGrid>
      <w:tr w:rsidR="00EC42DC" w:rsidRPr="006A6461" w14:paraId="2B5C64B9" w14:textId="77777777" w:rsidTr="003D7759">
        <w:trPr>
          <w:trHeight w:val="290"/>
        </w:trPr>
        <w:tc>
          <w:tcPr>
            <w:tcW w:w="80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DB959" w14:textId="77777777" w:rsidR="00EC42DC" w:rsidRPr="006A6461" w:rsidRDefault="00EC42DC" w:rsidP="003D7759">
            <w:pPr>
              <w:spacing w:after="0" w:line="240" w:lineRule="auto"/>
              <w:jc w:val="center"/>
              <w:rPr>
                <w:rFonts w:ascii="Times New Roman" w:eastAsia="Times New Roman" w:hAnsi="Times New Roman" w:cs="Times New Roman"/>
                <w:i/>
                <w:iCs/>
                <w:noProof/>
                <w:color w:val="000000"/>
                <w:sz w:val="20"/>
                <w:szCs w:val="20"/>
              </w:rPr>
            </w:pPr>
            <w:r>
              <w:rPr>
                <w:rFonts w:ascii="Times New Roman" w:hAnsi="Times New Roman"/>
                <w:i/>
                <w:noProof/>
                <w:color w:val="000000"/>
                <w:sz w:val="20"/>
              </w:rPr>
              <w:t>Инструмент за гъвкавост — профил на плащанията (в милиони евро)</w:t>
            </w:r>
          </w:p>
        </w:tc>
      </w:tr>
      <w:tr w:rsidR="00EC42DC" w:rsidRPr="006A6461" w14:paraId="4B5F007A" w14:textId="77777777" w:rsidTr="003D7759">
        <w:trPr>
          <w:trHeight w:val="28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290DB6F" w14:textId="77777777" w:rsidR="00EC42DC" w:rsidRPr="006A6461" w:rsidRDefault="00EC42DC" w:rsidP="003D7759">
            <w:pPr>
              <w:spacing w:after="0" w:line="240" w:lineRule="auto"/>
              <w:rPr>
                <w:rFonts w:ascii="Times New Roman" w:eastAsia="Times New Roman" w:hAnsi="Times New Roman" w:cs="Times New Roman"/>
                <w:i/>
                <w:iCs/>
                <w:noProof/>
                <w:color w:val="000000"/>
              </w:rPr>
            </w:pPr>
            <w:r>
              <w:rPr>
                <w:rFonts w:ascii="Times New Roman" w:hAnsi="Times New Roman"/>
                <w:i/>
                <w:noProof/>
                <w:color w:val="000000"/>
              </w:rPr>
              <w:t>Година на мобилизиране</w:t>
            </w:r>
          </w:p>
        </w:tc>
        <w:tc>
          <w:tcPr>
            <w:tcW w:w="1280" w:type="dxa"/>
            <w:tcBorders>
              <w:top w:val="nil"/>
              <w:left w:val="nil"/>
              <w:bottom w:val="single" w:sz="4" w:space="0" w:color="auto"/>
              <w:right w:val="single" w:sz="4" w:space="0" w:color="auto"/>
            </w:tcBorders>
            <w:shd w:val="clear" w:color="auto" w:fill="auto"/>
            <w:noWrap/>
            <w:vAlign w:val="bottom"/>
            <w:hideMark/>
          </w:tcPr>
          <w:p w14:paraId="5A3EFD13" w14:textId="77777777" w:rsidR="00EC42DC" w:rsidRPr="006A6461" w:rsidRDefault="00EC42DC" w:rsidP="003D7759">
            <w:pPr>
              <w:spacing w:after="0" w:line="240" w:lineRule="auto"/>
              <w:jc w:val="right"/>
              <w:rPr>
                <w:rFonts w:ascii="Times New Roman" w:eastAsia="Times New Roman" w:hAnsi="Times New Roman" w:cs="Times New Roman"/>
                <w:b/>
                <w:bCs/>
                <w:noProof/>
                <w:color w:val="000000"/>
              </w:rPr>
            </w:pPr>
            <w:r>
              <w:rPr>
                <w:rFonts w:ascii="Times New Roman" w:hAnsi="Times New Roman"/>
                <w:b/>
                <w:noProof/>
                <w:color w:val="000000"/>
              </w:rPr>
              <w:t>2024 г.</w:t>
            </w:r>
          </w:p>
        </w:tc>
        <w:tc>
          <w:tcPr>
            <w:tcW w:w="1305" w:type="dxa"/>
            <w:tcBorders>
              <w:top w:val="nil"/>
              <w:left w:val="nil"/>
              <w:bottom w:val="single" w:sz="4" w:space="0" w:color="auto"/>
              <w:right w:val="single" w:sz="4" w:space="0" w:color="auto"/>
            </w:tcBorders>
            <w:shd w:val="clear" w:color="auto" w:fill="auto"/>
            <w:noWrap/>
            <w:vAlign w:val="bottom"/>
            <w:hideMark/>
          </w:tcPr>
          <w:p w14:paraId="3D7FB43E" w14:textId="77777777" w:rsidR="00EC42DC" w:rsidRPr="006A6461" w:rsidRDefault="00EC42DC" w:rsidP="003D7759">
            <w:pPr>
              <w:spacing w:after="0" w:line="240" w:lineRule="auto"/>
              <w:jc w:val="right"/>
              <w:rPr>
                <w:rFonts w:ascii="Times New Roman" w:eastAsia="Times New Roman" w:hAnsi="Times New Roman" w:cs="Times New Roman"/>
                <w:b/>
                <w:bCs/>
                <w:noProof/>
                <w:color w:val="000000"/>
              </w:rPr>
            </w:pPr>
            <w:r>
              <w:rPr>
                <w:rFonts w:ascii="Times New Roman" w:hAnsi="Times New Roman"/>
                <w:b/>
                <w:noProof/>
                <w:color w:val="000000"/>
              </w:rPr>
              <w:t>2025 г.</w:t>
            </w:r>
          </w:p>
        </w:tc>
        <w:tc>
          <w:tcPr>
            <w:tcW w:w="1305" w:type="dxa"/>
            <w:tcBorders>
              <w:top w:val="nil"/>
              <w:left w:val="nil"/>
              <w:bottom w:val="single" w:sz="4" w:space="0" w:color="auto"/>
              <w:right w:val="single" w:sz="4" w:space="0" w:color="auto"/>
            </w:tcBorders>
            <w:shd w:val="clear" w:color="auto" w:fill="auto"/>
            <w:noWrap/>
            <w:vAlign w:val="bottom"/>
            <w:hideMark/>
          </w:tcPr>
          <w:p w14:paraId="67328F67" w14:textId="77777777" w:rsidR="00EC42DC" w:rsidRPr="006A6461" w:rsidRDefault="00EC42DC" w:rsidP="003D7759">
            <w:pPr>
              <w:spacing w:after="0" w:line="240" w:lineRule="auto"/>
              <w:jc w:val="right"/>
              <w:rPr>
                <w:rFonts w:ascii="Times New Roman" w:eastAsia="Times New Roman" w:hAnsi="Times New Roman" w:cs="Times New Roman"/>
                <w:b/>
                <w:bCs/>
                <w:noProof/>
                <w:color w:val="000000"/>
              </w:rPr>
            </w:pPr>
            <w:r>
              <w:rPr>
                <w:rFonts w:ascii="Times New Roman" w:hAnsi="Times New Roman"/>
                <w:b/>
                <w:noProof/>
                <w:color w:val="000000"/>
              </w:rPr>
              <w:t>2026 г.</w:t>
            </w:r>
          </w:p>
        </w:tc>
        <w:tc>
          <w:tcPr>
            <w:tcW w:w="1163" w:type="dxa"/>
            <w:tcBorders>
              <w:top w:val="nil"/>
              <w:left w:val="nil"/>
              <w:bottom w:val="single" w:sz="4" w:space="0" w:color="auto"/>
              <w:right w:val="single" w:sz="4" w:space="0" w:color="auto"/>
            </w:tcBorders>
            <w:shd w:val="clear" w:color="auto" w:fill="auto"/>
            <w:noWrap/>
            <w:vAlign w:val="bottom"/>
            <w:hideMark/>
          </w:tcPr>
          <w:p w14:paraId="19B45D4E" w14:textId="77777777" w:rsidR="00EC42DC" w:rsidRPr="006A6461" w:rsidRDefault="00EC42DC" w:rsidP="003D7759">
            <w:pPr>
              <w:spacing w:after="0" w:line="240" w:lineRule="auto"/>
              <w:jc w:val="right"/>
              <w:rPr>
                <w:rFonts w:ascii="Times New Roman" w:eastAsia="Times New Roman" w:hAnsi="Times New Roman" w:cs="Times New Roman"/>
                <w:b/>
                <w:bCs/>
                <w:noProof/>
                <w:color w:val="000000"/>
              </w:rPr>
            </w:pPr>
            <w:r>
              <w:rPr>
                <w:rFonts w:ascii="Times New Roman" w:hAnsi="Times New Roman"/>
                <w:b/>
                <w:noProof/>
                <w:color w:val="000000"/>
              </w:rPr>
              <w:t>2027 г.</w:t>
            </w:r>
          </w:p>
        </w:tc>
        <w:tc>
          <w:tcPr>
            <w:tcW w:w="1189" w:type="dxa"/>
            <w:tcBorders>
              <w:top w:val="nil"/>
              <w:left w:val="nil"/>
              <w:bottom w:val="single" w:sz="4" w:space="0" w:color="auto"/>
              <w:right w:val="single" w:sz="4" w:space="0" w:color="auto"/>
            </w:tcBorders>
            <w:shd w:val="clear" w:color="auto" w:fill="auto"/>
            <w:noWrap/>
            <w:vAlign w:val="bottom"/>
            <w:hideMark/>
          </w:tcPr>
          <w:p w14:paraId="376C289E" w14:textId="77777777" w:rsidR="00EC42DC" w:rsidRPr="006A6461" w:rsidRDefault="00EC42DC" w:rsidP="003D7759">
            <w:pPr>
              <w:spacing w:after="0" w:line="240" w:lineRule="auto"/>
              <w:jc w:val="right"/>
              <w:rPr>
                <w:rFonts w:ascii="Times New Roman" w:eastAsia="Times New Roman" w:hAnsi="Times New Roman" w:cs="Times New Roman"/>
                <w:b/>
                <w:bCs/>
                <w:noProof/>
                <w:color w:val="000000"/>
              </w:rPr>
            </w:pPr>
            <w:r>
              <w:rPr>
                <w:rFonts w:ascii="Times New Roman" w:hAnsi="Times New Roman"/>
                <w:b/>
                <w:noProof/>
                <w:color w:val="000000"/>
              </w:rPr>
              <w:t>Общо</w:t>
            </w:r>
          </w:p>
        </w:tc>
      </w:tr>
      <w:tr w:rsidR="00EC42DC" w:rsidRPr="006A6461" w14:paraId="5B6D0257" w14:textId="77777777" w:rsidTr="003D7759">
        <w:trPr>
          <w:trHeight w:val="28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A22250" w14:textId="77777777" w:rsidR="00EC42DC" w:rsidRPr="006A6461" w:rsidRDefault="00EC42DC" w:rsidP="003D7759">
            <w:pPr>
              <w:spacing w:after="0" w:line="240" w:lineRule="auto"/>
              <w:rPr>
                <w:rFonts w:ascii="Times New Roman" w:eastAsia="Times New Roman" w:hAnsi="Times New Roman" w:cs="Times New Roman"/>
                <w:noProof/>
                <w:color w:val="000000"/>
              </w:rPr>
            </w:pPr>
            <w:r>
              <w:rPr>
                <w:rFonts w:ascii="Times New Roman" w:hAnsi="Times New Roman"/>
                <w:noProof/>
                <w:color w:val="000000"/>
              </w:rPr>
              <w:t>2021 г.</w:t>
            </w:r>
          </w:p>
        </w:tc>
        <w:tc>
          <w:tcPr>
            <w:tcW w:w="1280" w:type="dxa"/>
            <w:tcBorders>
              <w:top w:val="nil"/>
              <w:left w:val="nil"/>
              <w:bottom w:val="single" w:sz="4" w:space="0" w:color="auto"/>
              <w:right w:val="single" w:sz="4" w:space="0" w:color="auto"/>
            </w:tcBorders>
            <w:shd w:val="clear" w:color="auto" w:fill="auto"/>
            <w:noWrap/>
            <w:hideMark/>
          </w:tcPr>
          <w:p w14:paraId="650B104E" w14:textId="77777777" w:rsidR="00EC42DC" w:rsidRPr="006A6461" w:rsidRDefault="00EC42DC" w:rsidP="003D7759">
            <w:pPr>
              <w:spacing w:after="0" w:line="240" w:lineRule="auto"/>
              <w:jc w:val="right"/>
              <w:rPr>
                <w:rFonts w:ascii="Times New Roman" w:eastAsia="Times New Roman" w:hAnsi="Times New Roman" w:cs="Times New Roman"/>
                <w:noProof/>
                <w:color w:val="000000"/>
              </w:rPr>
            </w:pPr>
            <w:r>
              <w:rPr>
                <w:rFonts w:ascii="Times New Roman" w:hAnsi="Times New Roman"/>
                <w:noProof/>
              </w:rPr>
              <w:t>7,6</w:t>
            </w:r>
          </w:p>
        </w:tc>
        <w:tc>
          <w:tcPr>
            <w:tcW w:w="1305" w:type="dxa"/>
            <w:tcBorders>
              <w:top w:val="nil"/>
              <w:left w:val="nil"/>
              <w:bottom w:val="single" w:sz="4" w:space="0" w:color="auto"/>
              <w:right w:val="single" w:sz="4" w:space="0" w:color="auto"/>
            </w:tcBorders>
            <w:shd w:val="clear" w:color="auto" w:fill="auto"/>
            <w:noWrap/>
            <w:hideMark/>
          </w:tcPr>
          <w:p w14:paraId="747D77D8" w14:textId="77777777" w:rsidR="00EC42DC" w:rsidRPr="006A6461" w:rsidRDefault="00EC42DC" w:rsidP="003D7759">
            <w:pPr>
              <w:spacing w:after="0" w:line="240" w:lineRule="auto"/>
              <w:jc w:val="right"/>
              <w:rPr>
                <w:rFonts w:ascii="Times New Roman" w:eastAsia="Times New Roman" w:hAnsi="Times New Roman" w:cs="Times New Roman"/>
                <w:noProof/>
                <w:color w:val="000000"/>
              </w:rPr>
            </w:pPr>
            <w:r>
              <w:rPr>
                <w:rFonts w:ascii="Times New Roman" w:hAnsi="Times New Roman"/>
                <w:noProof/>
              </w:rPr>
              <w:t>0,0</w:t>
            </w:r>
          </w:p>
        </w:tc>
        <w:tc>
          <w:tcPr>
            <w:tcW w:w="1305" w:type="dxa"/>
            <w:tcBorders>
              <w:top w:val="nil"/>
              <w:left w:val="nil"/>
              <w:bottom w:val="single" w:sz="4" w:space="0" w:color="auto"/>
              <w:right w:val="single" w:sz="4" w:space="0" w:color="auto"/>
            </w:tcBorders>
            <w:shd w:val="clear" w:color="auto" w:fill="auto"/>
            <w:noWrap/>
            <w:hideMark/>
          </w:tcPr>
          <w:p w14:paraId="0C6B8ECF" w14:textId="77777777" w:rsidR="00EC42DC" w:rsidRPr="006A6461" w:rsidRDefault="00EC42DC" w:rsidP="003D7759">
            <w:pPr>
              <w:spacing w:after="0" w:line="240" w:lineRule="auto"/>
              <w:jc w:val="right"/>
              <w:rPr>
                <w:rFonts w:ascii="Times New Roman" w:eastAsia="Times New Roman" w:hAnsi="Times New Roman" w:cs="Times New Roman"/>
                <w:noProof/>
                <w:color w:val="000000"/>
              </w:rPr>
            </w:pPr>
            <w:r>
              <w:rPr>
                <w:rFonts w:ascii="Times New Roman" w:hAnsi="Times New Roman"/>
                <w:noProof/>
              </w:rPr>
              <w:t>0,0</w:t>
            </w:r>
          </w:p>
        </w:tc>
        <w:tc>
          <w:tcPr>
            <w:tcW w:w="1163" w:type="dxa"/>
            <w:tcBorders>
              <w:top w:val="nil"/>
              <w:left w:val="nil"/>
              <w:bottom w:val="single" w:sz="4" w:space="0" w:color="auto"/>
              <w:right w:val="single" w:sz="4" w:space="0" w:color="auto"/>
            </w:tcBorders>
            <w:shd w:val="clear" w:color="auto" w:fill="auto"/>
            <w:noWrap/>
            <w:hideMark/>
          </w:tcPr>
          <w:p w14:paraId="15526010" w14:textId="77777777" w:rsidR="00EC42DC" w:rsidRPr="006A6461" w:rsidRDefault="00EC42DC" w:rsidP="003D7759">
            <w:pPr>
              <w:spacing w:after="0" w:line="240" w:lineRule="auto"/>
              <w:jc w:val="right"/>
              <w:rPr>
                <w:rFonts w:ascii="Times New Roman" w:eastAsia="Times New Roman" w:hAnsi="Times New Roman" w:cs="Times New Roman"/>
                <w:noProof/>
                <w:color w:val="000000"/>
              </w:rPr>
            </w:pPr>
            <w:r>
              <w:rPr>
                <w:rFonts w:ascii="Times New Roman" w:hAnsi="Times New Roman"/>
                <w:noProof/>
              </w:rPr>
              <w:t>0,0</w:t>
            </w:r>
          </w:p>
        </w:tc>
        <w:tc>
          <w:tcPr>
            <w:tcW w:w="1189" w:type="dxa"/>
            <w:tcBorders>
              <w:top w:val="nil"/>
              <w:left w:val="nil"/>
              <w:bottom w:val="single" w:sz="4" w:space="0" w:color="auto"/>
              <w:right w:val="single" w:sz="4" w:space="0" w:color="auto"/>
            </w:tcBorders>
            <w:shd w:val="clear" w:color="auto" w:fill="auto"/>
            <w:noWrap/>
            <w:hideMark/>
          </w:tcPr>
          <w:p w14:paraId="143BF685" w14:textId="77777777" w:rsidR="00EC42DC" w:rsidRPr="006A6461" w:rsidRDefault="00EC42DC" w:rsidP="003D7759">
            <w:pPr>
              <w:spacing w:after="0" w:line="240" w:lineRule="auto"/>
              <w:jc w:val="right"/>
              <w:rPr>
                <w:rFonts w:ascii="Times New Roman" w:eastAsia="Times New Roman" w:hAnsi="Times New Roman" w:cs="Times New Roman"/>
                <w:b/>
                <w:bCs/>
                <w:noProof/>
                <w:color w:val="000000"/>
              </w:rPr>
            </w:pPr>
            <w:r>
              <w:rPr>
                <w:rFonts w:ascii="Times New Roman" w:hAnsi="Times New Roman"/>
                <w:b/>
                <w:noProof/>
              </w:rPr>
              <w:t>7,6</w:t>
            </w:r>
          </w:p>
        </w:tc>
      </w:tr>
      <w:tr w:rsidR="00EC42DC" w:rsidRPr="006A6461" w14:paraId="64069CD0" w14:textId="77777777" w:rsidTr="003D7759">
        <w:trPr>
          <w:trHeight w:val="28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FFF9C04" w14:textId="77777777" w:rsidR="00EC42DC" w:rsidRPr="006A6461" w:rsidRDefault="00EC42DC" w:rsidP="003D7759">
            <w:pPr>
              <w:spacing w:after="0" w:line="240" w:lineRule="auto"/>
              <w:rPr>
                <w:rFonts w:ascii="Times New Roman" w:eastAsia="Times New Roman" w:hAnsi="Times New Roman" w:cs="Times New Roman"/>
                <w:noProof/>
                <w:color w:val="000000"/>
              </w:rPr>
            </w:pPr>
            <w:r>
              <w:rPr>
                <w:rFonts w:ascii="Times New Roman" w:hAnsi="Times New Roman"/>
                <w:noProof/>
                <w:color w:val="000000"/>
              </w:rPr>
              <w:t>2022 г.</w:t>
            </w:r>
          </w:p>
        </w:tc>
        <w:tc>
          <w:tcPr>
            <w:tcW w:w="1280" w:type="dxa"/>
            <w:tcBorders>
              <w:top w:val="nil"/>
              <w:left w:val="nil"/>
              <w:bottom w:val="single" w:sz="4" w:space="0" w:color="auto"/>
              <w:right w:val="single" w:sz="4" w:space="0" w:color="auto"/>
            </w:tcBorders>
            <w:shd w:val="clear" w:color="auto" w:fill="auto"/>
            <w:noWrap/>
            <w:hideMark/>
          </w:tcPr>
          <w:p w14:paraId="0C11528C" w14:textId="77777777" w:rsidR="00EC42DC" w:rsidRPr="006A6461" w:rsidRDefault="00EC42DC" w:rsidP="003D7759">
            <w:pPr>
              <w:spacing w:after="0" w:line="240" w:lineRule="auto"/>
              <w:jc w:val="right"/>
              <w:rPr>
                <w:rFonts w:ascii="Times New Roman" w:eastAsia="Times New Roman" w:hAnsi="Times New Roman" w:cs="Times New Roman"/>
                <w:noProof/>
                <w:color w:val="000000"/>
              </w:rPr>
            </w:pPr>
            <w:r>
              <w:rPr>
                <w:rFonts w:ascii="Times New Roman" w:hAnsi="Times New Roman"/>
                <w:noProof/>
              </w:rPr>
              <w:t>49,8</w:t>
            </w:r>
          </w:p>
        </w:tc>
        <w:tc>
          <w:tcPr>
            <w:tcW w:w="1305" w:type="dxa"/>
            <w:tcBorders>
              <w:top w:val="nil"/>
              <w:left w:val="nil"/>
              <w:bottom w:val="single" w:sz="4" w:space="0" w:color="auto"/>
              <w:right w:val="single" w:sz="4" w:space="0" w:color="auto"/>
            </w:tcBorders>
            <w:shd w:val="clear" w:color="auto" w:fill="auto"/>
            <w:noWrap/>
            <w:hideMark/>
          </w:tcPr>
          <w:p w14:paraId="0F98798A" w14:textId="77777777" w:rsidR="00EC42DC" w:rsidRPr="006A6461" w:rsidRDefault="00EC42DC" w:rsidP="003D7759">
            <w:pPr>
              <w:spacing w:after="0" w:line="240" w:lineRule="auto"/>
              <w:jc w:val="right"/>
              <w:rPr>
                <w:rFonts w:ascii="Times New Roman" w:eastAsia="Times New Roman" w:hAnsi="Times New Roman" w:cs="Times New Roman"/>
                <w:noProof/>
                <w:color w:val="000000"/>
              </w:rPr>
            </w:pPr>
            <w:r>
              <w:rPr>
                <w:rFonts w:ascii="Times New Roman" w:hAnsi="Times New Roman"/>
                <w:noProof/>
              </w:rPr>
              <w:t>36,7</w:t>
            </w:r>
          </w:p>
        </w:tc>
        <w:tc>
          <w:tcPr>
            <w:tcW w:w="1305" w:type="dxa"/>
            <w:tcBorders>
              <w:top w:val="nil"/>
              <w:left w:val="nil"/>
              <w:bottom w:val="single" w:sz="4" w:space="0" w:color="auto"/>
              <w:right w:val="single" w:sz="4" w:space="0" w:color="auto"/>
            </w:tcBorders>
            <w:shd w:val="clear" w:color="auto" w:fill="auto"/>
            <w:noWrap/>
            <w:hideMark/>
          </w:tcPr>
          <w:p w14:paraId="677B4AD8" w14:textId="77777777" w:rsidR="00EC42DC" w:rsidRPr="006A6461" w:rsidRDefault="00EC42DC" w:rsidP="003D7759">
            <w:pPr>
              <w:spacing w:after="0" w:line="240" w:lineRule="auto"/>
              <w:jc w:val="right"/>
              <w:rPr>
                <w:rFonts w:ascii="Times New Roman" w:eastAsia="Times New Roman" w:hAnsi="Times New Roman" w:cs="Times New Roman"/>
                <w:noProof/>
                <w:color w:val="000000"/>
              </w:rPr>
            </w:pPr>
            <w:r>
              <w:rPr>
                <w:rFonts w:ascii="Times New Roman" w:hAnsi="Times New Roman"/>
                <w:noProof/>
              </w:rPr>
              <w:t>0,0</w:t>
            </w:r>
          </w:p>
        </w:tc>
        <w:tc>
          <w:tcPr>
            <w:tcW w:w="1163" w:type="dxa"/>
            <w:tcBorders>
              <w:top w:val="nil"/>
              <w:left w:val="nil"/>
              <w:bottom w:val="single" w:sz="4" w:space="0" w:color="auto"/>
              <w:right w:val="single" w:sz="4" w:space="0" w:color="auto"/>
            </w:tcBorders>
            <w:shd w:val="clear" w:color="auto" w:fill="auto"/>
            <w:noWrap/>
            <w:hideMark/>
          </w:tcPr>
          <w:p w14:paraId="7FF324A5" w14:textId="77777777" w:rsidR="00EC42DC" w:rsidRPr="006A6461" w:rsidRDefault="00EC42DC" w:rsidP="003D7759">
            <w:pPr>
              <w:spacing w:after="0" w:line="240" w:lineRule="auto"/>
              <w:jc w:val="right"/>
              <w:rPr>
                <w:rFonts w:ascii="Times New Roman" w:eastAsia="Times New Roman" w:hAnsi="Times New Roman" w:cs="Times New Roman"/>
                <w:noProof/>
                <w:color w:val="000000"/>
              </w:rPr>
            </w:pPr>
            <w:r>
              <w:rPr>
                <w:rFonts w:ascii="Times New Roman" w:hAnsi="Times New Roman"/>
                <w:noProof/>
              </w:rPr>
              <w:t>0,0</w:t>
            </w:r>
          </w:p>
        </w:tc>
        <w:tc>
          <w:tcPr>
            <w:tcW w:w="1189" w:type="dxa"/>
            <w:tcBorders>
              <w:top w:val="nil"/>
              <w:left w:val="nil"/>
              <w:bottom w:val="single" w:sz="4" w:space="0" w:color="auto"/>
              <w:right w:val="single" w:sz="4" w:space="0" w:color="auto"/>
            </w:tcBorders>
            <w:shd w:val="clear" w:color="auto" w:fill="auto"/>
            <w:noWrap/>
            <w:hideMark/>
          </w:tcPr>
          <w:p w14:paraId="2DD1C887" w14:textId="77777777" w:rsidR="00EC42DC" w:rsidRPr="006A6461" w:rsidRDefault="00EC42DC" w:rsidP="003D7759">
            <w:pPr>
              <w:spacing w:after="0" w:line="240" w:lineRule="auto"/>
              <w:jc w:val="right"/>
              <w:rPr>
                <w:rFonts w:ascii="Times New Roman" w:eastAsia="Times New Roman" w:hAnsi="Times New Roman" w:cs="Times New Roman"/>
                <w:b/>
                <w:bCs/>
                <w:noProof/>
                <w:color w:val="000000"/>
              </w:rPr>
            </w:pPr>
            <w:r>
              <w:rPr>
                <w:rFonts w:ascii="Times New Roman" w:hAnsi="Times New Roman"/>
                <w:b/>
                <w:noProof/>
              </w:rPr>
              <w:t>86,5</w:t>
            </w:r>
          </w:p>
        </w:tc>
      </w:tr>
      <w:tr w:rsidR="00EC42DC" w:rsidRPr="006A6461" w14:paraId="4E33263A" w14:textId="77777777" w:rsidTr="003D7759">
        <w:trPr>
          <w:trHeight w:val="28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CBAB31F" w14:textId="77777777" w:rsidR="00EC42DC" w:rsidRPr="006A6461" w:rsidRDefault="00EC42DC" w:rsidP="003D7759">
            <w:pPr>
              <w:spacing w:after="0" w:line="240" w:lineRule="auto"/>
              <w:rPr>
                <w:rFonts w:ascii="Times New Roman" w:eastAsia="Times New Roman" w:hAnsi="Times New Roman" w:cs="Times New Roman"/>
                <w:noProof/>
                <w:color w:val="000000"/>
              </w:rPr>
            </w:pPr>
            <w:r>
              <w:rPr>
                <w:rFonts w:ascii="Times New Roman" w:hAnsi="Times New Roman"/>
                <w:noProof/>
                <w:color w:val="000000"/>
              </w:rPr>
              <w:t>2023 г.</w:t>
            </w:r>
          </w:p>
        </w:tc>
        <w:tc>
          <w:tcPr>
            <w:tcW w:w="1280" w:type="dxa"/>
            <w:tcBorders>
              <w:top w:val="nil"/>
              <w:left w:val="nil"/>
              <w:bottom w:val="single" w:sz="4" w:space="0" w:color="auto"/>
              <w:right w:val="single" w:sz="4" w:space="0" w:color="auto"/>
            </w:tcBorders>
            <w:shd w:val="clear" w:color="auto" w:fill="auto"/>
            <w:noWrap/>
            <w:hideMark/>
          </w:tcPr>
          <w:p w14:paraId="5176AB1D" w14:textId="77777777" w:rsidR="00EC42DC" w:rsidRPr="006A6461" w:rsidRDefault="00EC42DC" w:rsidP="003D7759">
            <w:pPr>
              <w:spacing w:after="0" w:line="240" w:lineRule="auto"/>
              <w:jc w:val="right"/>
              <w:rPr>
                <w:rFonts w:ascii="Times New Roman" w:eastAsia="Times New Roman" w:hAnsi="Times New Roman" w:cs="Times New Roman"/>
                <w:noProof/>
                <w:color w:val="000000"/>
              </w:rPr>
            </w:pPr>
            <w:r>
              <w:rPr>
                <w:rFonts w:ascii="Times New Roman" w:hAnsi="Times New Roman"/>
                <w:noProof/>
              </w:rPr>
              <w:t>279,0</w:t>
            </w:r>
          </w:p>
        </w:tc>
        <w:tc>
          <w:tcPr>
            <w:tcW w:w="1305" w:type="dxa"/>
            <w:tcBorders>
              <w:top w:val="nil"/>
              <w:left w:val="nil"/>
              <w:bottom w:val="single" w:sz="4" w:space="0" w:color="auto"/>
              <w:right w:val="single" w:sz="4" w:space="0" w:color="auto"/>
            </w:tcBorders>
            <w:shd w:val="clear" w:color="auto" w:fill="auto"/>
            <w:noWrap/>
            <w:hideMark/>
          </w:tcPr>
          <w:p w14:paraId="508F654E" w14:textId="77777777" w:rsidR="00EC42DC" w:rsidRPr="006A6461" w:rsidRDefault="00EC42DC" w:rsidP="003D7759">
            <w:pPr>
              <w:spacing w:after="0" w:line="240" w:lineRule="auto"/>
              <w:jc w:val="right"/>
              <w:rPr>
                <w:rFonts w:ascii="Times New Roman" w:eastAsia="Times New Roman" w:hAnsi="Times New Roman" w:cs="Times New Roman"/>
                <w:noProof/>
                <w:color w:val="000000"/>
              </w:rPr>
            </w:pPr>
            <w:r>
              <w:rPr>
                <w:rFonts w:ascii="Times New Roman" w:hAnsi="Times New Roman"/>
                <w:noProof/>
              </w:rPr>
              <w:t>120,6</w:t>
            </w:r>
          </w:p>
        </w:tc>
        <w:tc>
          <w:tcPr>
            <w:tcW w:w="1305" w:type="dxa"/>
            <w:tcBorders>
              <w:top w:val="nil"/>
              <w:left w:val="nil"/>
              <w:bottom w:val="single" w:sz="4" w:space="0" w:color="auto"/>
              <w:right w:val="single" w:sz="4" w:space="0" w:color="auto"/>
            </w:tcBorders>
            <w:shd w:val="clear" w:color="auto" w:fill="auto"/>
            <w:noWrap/>
            <w:hideMark/>
          </w:tcPr>
          <w:p w14:paraId="282E3F26" w14:textId="77777777" w:rsidR="00EC42DC" w:rsidRPr="006A6461" w:rsidRDefault="00EC42DC" w:rsidP="003D7759">
            <w:pPr>
              <w:spacing w:after="0" w:line="240" w:lineRule="auto"/>
              <w:jc w:val="right"/>
              <w:rPr>
                <w:rFonts w:ascii="Times New Roman" w:eastAsia="Times New Roman" w:hAnsi="Times New Roman" w:cs="Times New Roman"/>
                <w:noProof/>
                <w:color w:val="000000"/>
              </w:rPr>
            </w:pPr>
            <w:r>
              <w:rPr>
                <w:rFonts w:ascii="Times New Roman" w:hAnsi="Times New Roman"/>
                <w:noProof/>
              </w:rPr>
              <w:t>83,2</w:t>
            </w:r>
          </w:p>
        </w:tc>
        <w:tc>
          <w:tcPr>
            <w:tcW w:w="1163" w:type="dxa"/>
            <w:tcBorders>
              <w:top w:val="nil"/>
              <w:left w:val="nil"/>
              <w:bottom w:val="single" w:sz="4" w:space="0" w:color="auto"/>
              <w:right w:val="single" w:sz="4" w:space="0" w:color="auto"/>
            </w:tcBorders>
            <w:shd w:val="clear" w:color="auto" w:fill="auto"/>
            <w:noWrap/>
            <w:hideMark/>
          </w:tcPr>
          <w:p w14:paraId="1139582B" w14:textId="77777777" w:rsidR="00EC42DC" w:rsidRPr="006A6461" w:rsidRDefault="00EC42DC" w:rsidP="003D7759">
            <w:pPr>
              <w:spacing w:after="0" w:line="240" w:lineRule="auto"/>
              <w:jc w:val="right"/>
              <w:rPr>
                <w:rFonts w:ascii="Times New Roman" w:eastAsia="Times New Roman" w:hAnsi="Times New Roman" w:cs="Times New Roman"/>
                <w:noProof/>
                <w:color w:val="000000"/>
              </w:rPr>
            </w:pPr>
            <w:r>
              <w:rPr>
                <w:rFonts w:ascii="Times New Roman" w:hAnsi="Times New Roman"/>
                <w:noProof/>
              </w:rPr>
              <w:t>0,0</w:t>
            </w:r>
          </w:p>
        </w:tc>
        <w:tc>
          <w:tcPr>
            <w:tcW w:w="1189" w:type="dxa"/>
            <w:tcBorders>
              <w:top w:val="nil"/>
              <w:left w:val="nil"/>
              <w:bottom w:val="single" w:sz="4" w:space="0" w:color="auto"/>
              <w:right w:val="single" w:sz="4" w:space="0" w:color="auto"/>
            </w:tcBorders>
            <w:shd w:val="clear" w:color="auto" w:fill="auto"/>
            <w:noWrap/>
            <w:hideMark/>
          </w:tcPr>
          <w:p w14:paraId="5FF82869" w14:textId="77777777" w:rsidR="00EC42DC" w:rsidRPr="006A6461" w:rsidRDefault="00EC42DC" w:rsidP="003D7759">
            <w:pPr>
              <w:spacing w:after="0" w:line="240" w:lineRule="auto"/>
              <w:jc w:val="right"/>
              <w:rPr>
                <w:rFonts w:ascii="Times New Roman" w:eastAsia="Times New Roman" w:hAnsi="Times New Roman" w:cs="Times New Roman"/>
                <w:b/>
                <w:bCs/>
                <w:noProof/>
                <w:color w:val="000000"/>
              </w:rPr>
            </w:pPr>
            <w:r>
              <w:rPr>
                <w:rFonts w:ascii="Times New Roman" w:hAnsi="Times New Roman"/>
                <w:b/>
                <w:noProof/>
              </w:rPr>
              <w:t>482,8</w:t>
            </w:r>
          </w:p>
        </w:tc>
      </w:tr>
      <w:tr w:rsidR="00F05E5E" w:rsidRPr="006A6461" w14:paraId="251EB49F" w14:textId="77777777" w:rsidTr="002703B7">
        <w:trPr>
          <w:trHeight w:val="28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B4E4FFF" w14:textId="77777777" w:rsidR="00F05E5E" w:rsidRPr="006A6461" w:rsidRDefault="00F05E5E" w:rsidP="00F05E5E">
            <w:pPr>
              <w:spacing w:after="0" w:line="240" w:lineRule="auto"/>
              <w:rPr>
                <w:rFonts w:ascii="Times New Roman" w:eastAsia="Times New Roman" w:hAnsi="Times New Roman" w:cs="Times New Roman"/>
                <w:noProof/>
                <w:color w:val="000000"/>
              </w:rPr>
            </w:pPr>
            <w:r>
              <w:rPr>
                <w:rFonts w:ascii="Times New Roman" w:hAnsi="Times New Roman"/>
                <w:noProof/>
                <w:color w:val="000000"/>
              </w:rPr>
              <w:t>2024 г.</w:t>
            </w:r>
          </w:p>
        </w:tc>
        <w:tc>
          <w:tcPr>
            <w:tcW w:w="1280" w:type="dxa"/>
            <w:tcBorders>
              <w:top w:val="nil"/>
              <w:left w:val="nil"/>
              <w:bottom w:val="single" w:sz="4" w:space="0" w:color="auto"/>
              <w:right w:val="single" w:sz="4" w:space="0" w:color="auto"/>
            </w:tcBorders>
            <w:shd w:val="clear" w:color="auto" w:fill="auto"/>
            <w:noWrap/>
            <w:vAlign w:val="bottom"/>
            <w:hideMark/>
          </w:tcPr>
          <w:p w14:paraId="265FA3B5" w14:textId="14D1F3E4" w:rsidR="00F05E5E" w:rsidRPr="002703B7" w:rsidRDefault="00F05E5E" w:rsidP="00F05E5E">
            <w:pPr>
              <w:spacing w:after="0" w:line="240" w:lineRule="auto"/>
              <w:jc w:val="right"/>
              <w:rPr>
                <w:rFonts w:ascii="Times New Roman" w:hAnsi="Times New Roman" w:cs="Times New Roman"/>
                <w:noProof/>
              </w:rPr>
            </w:pPr>
            <w:r>
              <w:rPr>
                <w:rFonts w:ascii="Times New Roman" w:hAnsi="Times New Roman"/>
                <w:noProof/>
              </w:rPr>
              <w:t>1 414,7</w:t>
            </w:r>
          </w:p>
        </w:tc>
        <w:tc>
          <w:tcPr>
            <w:tcW w:w="1305" w:type="dxa"/>
            <w:tcBorders>
              <w:top w:val="nil"/>
              <w:left w:val="nil"/>
              <w:bottom w:val="single" w:sz="4" w:space="0" w:color="auto"/>
              <w:right w:val="single" w:sz="4" w:space="0" w:color="auto"/>
            </w:tcBorders>
            <w:shd w:val="clear" w:color="auto" w:fill="auto"/>
            <w:noWrap/>
            <w:vAlign w:val="bottom"/>
            <w:hideMark/>
          </w:tcPr>
          <w:p w14:paraId="3E1827D4" w14:textId="55863590" w:rsidR="00F05E5E" w:rsidRPr="002703B7" w:rsidRDefault="00F05E5E" w:rsidP="00F05E5E">
            <w:pPr>
              <w:spacing w:after="0" w:line="240" w:lineRule="auto"/>
              <w:jc w:val="right"/>
              <w:rPr>
                <w:rFonts w:ascii="Times New Roman" w:hAnsi="Times New Roman" w:cs="Times New Roman"/>
                <w:noProof/>
              </w:rPr>
            </w:pPr>
            <w:r>
              <w:rPr>
                <w:rFonts w:ascii="Times New Roman" w:hAnsi="Times New Roman"/>
                <w:noProof/>
              </w:rPr>
              <w:t>107,6</w:t>
            </w:r>
          </w:p>
        </w:tc>
        <w:tc>
          <w:tcPr>
            <w:tcW w:w="1305" w:type="dxa"/>
            <w:tcBorders>
              <w:top w:val="nil"/>
              <w:left w:val="nil"/>
              <w:bottom w:val="single" w:sz="4" w:space="0" w:color="auto"/>
              <w:right w:val="single" w:sz="4" w:space="0" w:color="auto"/>
            </w:tcBorders>
            <w:shd w:val="clear" w:color="auto" w:fill="auto"/>
            <w:noWrap/>
            <w:hideMark/>
          </w:tcPr>
          <w:p w14:paraId="3FBCB806" w14:textId="77777777" w:rsidR="00F05E5E" w:rsidRPr="006A6461" w:rsidRDefault="00F05E5E" w:rsidP="00F05E5E">
            <w:pPr>
              <w:spacing w:after="0" w:line="240" w:lineRule="auto"/>
              <w:jc w:val="right"/>
              <w:rPr>
                <w:rFonts w:ascii="Times New Roman" w:eastAsia="Times New Roman" w:hAnsi="Times New Roman" w:cs="Times New Roman"/>
                <w:noProof/>
                <w:color w:val="000000"/>
              </w:rPr>
            </w:pPr>
            <w:r>
              <w:rPr>
                <w:rFonts w:ascii="Times New Roman" w:hAnsi="Times New Roman"/>
                <w:noProof/>
              </w:rPr>
              <w:t>83,7</w:t>
            </w:r>
          </w:p>
        </w:tc>
        <w:tc>
          <w:tcPr>
            <w:tcW w:w="1163" w:type="dxa"/>
            <w:tcBorders>
              <w:top w:val="nil"/>
              <w:left w:val="nil"/>
              <w:bottom w:val="single" w:sz="4" w:space="0" w:color="auto"/>
              <w:right w:val="single" w:sz="4" w:space="0" w:color="auto"/>
            </w:tcBorders>
            <w:shd w:val="clear" w:color="auto" w:fill="auto"/>
            <w:noWrap/>
            <w:hideMark/>
          </w:tcPr>
          <w:p w14:paraId="45EC8703" w14:textId="77777777" w:rsidR="00F05E5E" w:rsidRPr="006A6461" w:rsidRDefault="00F05E5E" w:rsidP="00F05E5E">
            <w:pPr>
              <w:spacing w:after="0" w:line="240" w:lineRule="auto"/>
              <w:jc w:val="right"/>
              <w:rPr>
                <w:rFonts w:ascii="Times New Roman" w:eastAsia="Times New Roman" w:hAnsi="Times New Roman" w:cs="Times New Roman"/>
                <w:noProof/>
                <w:color w:val="000000"/>
              </w:rPr>
            </w:pPr>
            <w:r>
              <w:rPr>
                <w:rFonts w:ascii="Times New Roman" w:hAnsi="Times New Roman"/>
                <w:noProof/>
              </w:rPr>
              <w:t>46,3</w:t>
            </w:r>
          </w:p>
        </w:tc>
        <w:tc>
          <w:tcPr>
            <w:tcW w:w="1189" w:type="dxa"/>
            <w:tcBorders>
              <w:top w:val="nil"/>
              <w:left w:val="nil"/>
              <w:bottom w:val="single" w:sz="4" w:space="0" w:color="auto"/>
              <w:right w:val="single" w:sz="4" w:space="0" w:color="auto"/>
            </w:tcBorders>
            <w:shd w:val="clear" w:color="auto" w:fill="auto"/>
            <w:noWrap/>
            <w:vAlign w:val="bottom"/>
            <w:hideMark/>
          </w:tcPr>
          <w:p w14:paraId="1E0446D9" w14:textId="18C1B6F2" w:rsidR="00F05E5E" w:rsidRPr="002703B7" w:rsidRDefault="00F05E5E" w:rsidP="00F05E5E">
            <w:pPr>
              <w:spacing w:after="0" w:line="240" w:lineRule="auto"/>
              <w:jc w:val="right"/>
              <w:rPr>
                <w:rFonts w:ascii="Times New Roman" w:hAnsi="Times New Roman" w:cs="Times New Roman"/>
                <w:b/>
                <w:bCs/>
                <w:noProof/>
              </w:rPr>
            </w:pPr>
            <w:r>
              <w:rPr>
                <w:rFonts w:ascii="Times New Roman" w:hAnsi="Times New Roman"/>
                <w:b/>
                <w:noProof/>
              </w:rPr>
              <w:t>1 652,3</w:t>
            </w:r>
          </w:p>
        </w:tc>
      </w:tr>
      <w:tr w:rsidR="00F05E5E" w:rsidRPr="006A6461" w14:paraId="4E544DF0" w14:textId="77777777" w:rsidTr="002703B7">
        <w:trPr>
          <w:trHeight w:val="280"/>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5C9C84C6" w14:textId="42C92B3E" w:rsidR="00F05E5E" w:rsidRPr="006A6461" w:rsidRDefault="00F05E5E" w:rsidP="00F05E5E">
            <w:pPr>
              <w:spacing w:after="0" w:line="240" w:lineRule="auto"/>
              <w:rPr>
                <w:rFonts w:ascii="Times New Roman" w:eastAsia="Times New Roman" w:hAnsi="Times New Roman" w:cs="Times New Roman"/>
                <w:noProof/>
                <w:color w:val="000000"/>
              </w:rPr>
            </w:pPr>
            <w:r>
              <w:rPr>
                <w:rFonts w:ascii="Times New Roman" w:hAnsi="Times New Roman"/>
                <w:noProof/>
                <w:color w:val="000000"/>
              </w:rPr>
              <w:t>2025 г.</w:t>
            </w:r>
          </w:p>
        </w:tc>
        <w:tc>
          <w:tcPr>
            <w:tcW w:w="1280" w:type="dxa"/>
            <w:tcBorders>
              <w:top w:val="nil"/>
              <w:left w:val="nil"/>
              <w:bottom w:val="single" w:sz="4" w:space="0" w:color="auto"/>
              <w:right w:val="single" w:sz="4" w:space="0" w:color="auto"/>
            </w:tcBorders>
            <w:shd w:val="clear" w:color="auto" w:fill="auto"/>
            <w:noWrap/>
            <w:vAlign w:val="bottom"/>
          </w:tcPr>
          <w:p w14:paraId="7B9E8275" w14:textId="5A942F63" w:rsidR="00F05E5E" w:rsidRPr="006A6461" w:rsidRDefault="00F05E5E" w:rsidP="00F05E5E">
            <w:pPr>
              <w:spacing w:after="0" w:line="240" w:lineRule="auto"/>
              <w:jc w:val="right"/>
              <w:rPr>
                <w:rFonts w:ascii="Times New Roman" w:hAnsi="Times New Roman" w:cs="Times New Roman"/>
                <w:noProof/>
              </w:rPr>
            </w:pPr>
            <w:r>
              <w:rPr>
                <w:rFonts w:ascii="Times New Roman" w:hAnsi="Times New Roman"/>
                <w:noProof/>
              </w:rPr>
              <w:t>0,0</w:t>
            </w:r>
          </w:p>
        </w:tc>
        <w:tc>
          <w:tcPr>
            <w:tcW w:w="1305" w:type="dxa"/>
            <w:tcBorders>
              <w:top w:val="nil"/>
              <w:left w:val="nil"/>
              <w:bottom w:val="single" w:sz="4" w:space="0" w:color="auto"/>
              <w:right w:val="single" w:sz="4" w:space="0" w:color="auto"/>
            </w:tcBorders>
            <w:shd w:val="clear" w:color="auto" w:fill="auto"/>
            <w:noWrap/>
            <w:vAlign w:val="bottom"/>
          </w:tcPr>
          <w:p w14:paraId="0AFFBD3D" w14:textId="01EAE221" w:rsidR="00F05E5E" w:rsidRPr="006A6461" w:rsidRDefault="00F05E5E" w:rsidP="00F05E5E">
            <w:pPr>
              <w:spacing w:after="0" w:line="240" w:lineRule="auto"/>
              <w:jc w:val="right"/>
              <w:rPr>
                <w:rFonts w:ascii="Times New Roman" w:hAnsi="Times New Roman" w:cs="Times New Roman"/>
                <w:noProof/>
              </w:rPr>
            </w:pPr>
            <w:r>
              <w:rPr>
                <w:rFonts w:ascii="Times New Roman" w:hAnsi="Times New Roman"/>
                <w:noProof/>
              </w:rPr>
              <w:t>1 192,8</w:t>
            </w:r>
          </w:p>
        </w:tc>
        <w:tc>
          <w:tcPr>
            <w:tcW w:w="1305" w:type="dxa"/>
            <w:tcBorders>
              <w:top w:val="nil"/>
              <w:left w:val="nil"/>
              <w:bottom w:val="single" w:sz="4" w:space="0" w:color="auto"/>
              <w:right w:val="single" w:sz="4" w:space="0" w:color="auto"/>
            </w:tcBorders>
            <w:shd w:val="clear" w:color="auto" w:fill="auto"/>
            <w:noWrap/>
          </w:tcPr>
          <w:p w14:paraId="100B9505" w14:textId="29050BE7" w:rsidR="00F05E5E" w:rsidRPr="006A6461" w:rsidRDefault="00F05E5E" w:rsidP="00F05E5E">
            <w:pPr>
              <w:spacing w:after="0" w:line="240" w:lineRule="auto"/>
              <w:jc w:val="right"/>
              <w:rPr>
                <w:rFonts w:ascii="Times New Roman" w:hAnsi="Times New Roman" w:cs="Times New Roman"/>
                <w:noProof/>
              </w:rPr>
            </w:pPr>
            <w:r>
              <w:rPr>
                <w:rFonts w:ascii="Times New Roman" w:hAnsi="Times New Roman"/>
                <w:noProof/>
              </w:rPr>
              <w:t>0,0</w:t>
            </w:r>
          </w:p>
        </w:tc>
        <w:tc>
          <w:tcPr>
            <w:tcW w:w="1163" w:type="dxa"/>
            <w:tcBorders>
              <w:top w:val="nil"/>
              <w:left w:val="nil"/>
              <w:bottom w:val="single" w:sz="4" w:space="0" w:color="auto"/>
              <w:right w:val="single" w:sz="4" w:space="0" w:color="auto"/>
            </w:tcBorders>
            <w:shd w:val="clear" w:color="auto" w:fill="auto"/>
            <w:noWrap/>
          </w:tcPr>
          <w:p w14:paraId="27609BB6" w14:textId="000FE92F" w:rsidR="00F05E5E" w:rsidRPr="006A6461" w:rsidRDefault="00F05E5E" w:rsidP="00F05E5E">
            <w:pPr>
              <w:spacing w:after="0" w:line="240" w:lineRule="auto"/>
              <w:jc w:val="right"/>
              <w:rPr>
                <w:rFonts w:ascii="Times New Roman" w:hAnsi="Times New Roman" w:cs="Times New Roman"/>
                <w:noProof/>
              </w:rPr>
            </w:pPr>
            <w:r>
              <w:rPr>
                <w:rFonts w:ascii="Times New Roman" w:hAnsi="Times New Roman"/>
                <w:noProof/>
              </w:rPr>
              <w:t>0,0</w:t>
            </w:r>
          </w:p>
        </w:tc>
        <w:tc>
          <w:tcPr>
            <w:tcW w:w="1189" w:type="dxa"/>
            <w:tcBorders>
              <w:top w:val="nil"/>
              <w:left w:val="nil"/>
              <w:bottom w:val="single" w:sz="4" w:space="0" w:color="auto"/>
              <w:right w:val="single" w:sz="4" w:space="0" w:color="auto"/>
            </w:tcBorders>
            <w:shd w:val="clear" w:color="auto" w:fill="auto"/>
            <w:noWrap/>
            <w:vAlign w:val="bottom"/>
          </w:tcPr>
          <w:p w14:paraId="4042661D" w14:textId="2AF1B474" w:rsidR="00F05E5E" w:rsidRPr="00F05E5E" w:rsidRDefault="00F05E5E" w:rsidP="00F05E5E">
            <w:pPr>
              <w:spacing w:after="0" w:line="240" w:lineRule="auto"/>
              <w:jc w:val="right"/>
              <w:rPr>
                <w:rFonts w:ascii="Times New Roman" w:hAnsi="Times New Roman" w:cs="Times New Roman"/>
                <w:b/>
                <w:bCs/>
                <w:noProof/>
              </w:rPr>
            </w:pPr>
            <w:r>
              <w:rPr>
                <w:rFonts w:ascii="Times New Roman" w:hAnsi="Times New Roman"/>
                <w:b/>
                <w:noProof/>
              </w:rPr>
              <w:t>1 192,8</w:t>
            </w:r>
          </w:p>
        </w:tc>
      </w:tr>
      <w:tr w:rsidR="00F05E5E" w:rsidRPr="006A6461" w14:paraId="686933A1" w14:textId="77777777" w:rsidTr="002703B7">
        <w:trPr>
          <w:trHeight w:val="28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603FDAC" w14:textId="77777777" w:rsidR="00F05E5E" w:rsidRPr="006A6461" w:rsidRDefault="00F05E5E" w:rsidP="00F05E5E">
            <w:pPr>
              <w:spacing w:after="0" w:line="240" w:lineRule="auto"/>
              <w:rPr>
                <w:rFonts w:ascii="Times New Roman" w:eastAsia="Times New Roman" w:hAnsi="Times New Roman" w:cs="Times New Roman"/>
                <w:b/>
                <w:bCs/>
                <w:noProof/>
                <w:color w:val="000000"/>
              </w:rPr>
            </w:pPr>
            <w:r>
              <w:rPr>
                <w:rFonts w:ascii="Times New Roman" w:hAnsi="Times New Roman"/>
                <w:b/>
                <w:noProof/>
                <w:color w:val="000000"/>
              </w:rPr>
              <w:t>Общо</w:t>
            </w:r>
          </w:p>
        </w:tc>
        <w:tc>
          <w:tcPr>
            <w:tcW w:w="1280" w:type="dxa"/>
            <w:tcBorders>
              <w:top w:val="nil"/>
              <w:left w:val="nil"/>
              <w:bottom w:val="single" w:sz="4" w:space="0" w:color="auto"/>
              <w:right w:val="single" w:sz="4" w:space="0" w:color="auto"/>
            </w:tcBorders>
            <w:shd w:val="clear" w:color="auto" w:fill="auto"/>
            <w:noWrap/>
            <w:vAlign w:val="bottom"/>
            <w:hideMark/>
          </w:tcPr>
          <w:p w14:paraId="02277506" w14:textId="15A47CEB" w:rsidR="00F05E5E" w:rsidRPr="002703B7" w:rsidRDefault="00F05E5E" w:rsidP="00F05E5E">
            <w:pPr>
              <w:spacing w:after="0" w:line="240" w:lineRule="auto"/>
              <w:jc w:val="right"/>
              <w:rPr>
                <w:rFonts w:ascii="Times New Roman" w:hAnsi="Times New Roman" w:cs="Times New Roman"/>
                <w:b/>
                <w:bCs/>
                <w:noProof/>
              </w:rPr>
            </w:pPr>
            <w:r>
              <w:rPr>
                <w:rFonts w:ascii="Times New Roman" w:hAnsi="Times New Roman"/>
                <w:b/>
                <w:noProof/>
              </w:rPr>
              <w:t>1 751,2</w:t>
            </w:r>
          </w:p>
        </w:tc>
        <w:tc>
          <w:tcPr>
            <w:tcW w:w="1305" w:type="dxa"/>
            <w:tcBorders>
              <w:top w:val="nil"/>
              <w:left w:val="nil"/>
              <w:bottom w:val="single" w:sz="4" w:space="0" w:color="auto"/>
              <w:right w:val="single" w:sz="4" w:space="0" w:color="auto"/>
            </w:tcBorders>
            <w:shd w:val="clear" w:color="auto" w:fill="auto"/>
            <w:noWrap/>
            <w:vAlign w:val="bottom"/>
            <w:hideMark/>
          </w:tcPr>
          <w:p w14:paraId="3EC109DF" w14:textId="62590562" w:rsidR="00F05E5E" w:rsidRPr="002703B7" w:rsidRDefault="00F05E5E" w:rsidP="00F05E5E">
            <w:pPr>
              <w:spacing w:after="0" w:line="240" w:lineRule="auto"/>
              <w:jc w:val="right"/>
              <w:rPr>
                <w:rFonts w:ascii="Times New Roman" w:hAnsi="Times New Roman" w:cs="Times New Roman"/>
                <w:b/>
                <w:bCs/>
                <w:noProof/>
              </w:rPr>
            </w:pPr>
            <w:r>
              <w:rPr>
                <w:rFonts w:ascii="Times New Roman" w:hAnsi="Times New Roman"/>
                <w:b/>
                <w:noProof/>
              </w:rPr>
              <w:t>1 457,8</w:t>
            </w:r>
          </w:p>
        </w:tc>
        <w:tc>
          <w:tcPr>
            <w:tcW w:w="1305" w:type="dxa"/>
            <w:tcBorders>
              <w:top w:val="nil"/>
              <w:left w:val="nil"/>
              <w:bottom w:val="single" w:sz="4" w:space="0" w:color="auto"/>
              <w:right w:val="single" w:sz="4" w:space="0" w:color="auto"/>
            </w:tcBorders>
            <w:shd w:val="clear" w:color="auto" w:fill="auto"/>
            <w:noWrap/>
            <w:hideMark/>
          </w:tcPr>
          <w:p w14:paraId="0EA48DAE" w14:textId="77777777" w:rsidR="00F05E5E" w:rsidRPr="006A6461" w:rsidRDefault="00F05E5E" w:rsidP="00F05E5E">
            <w:pPr>
              <w:spacing w:after="0" w:line="240" w:lineRule="auto"/>
              <w:jc w:val="right"/>
              <w:rPr>
                <w:rFonts w:ascii="Times New Roman" w:eastAsia="Times New Roman" w:hAnsi="Times New Roman" w:cs="Times New Roman"/>
                <w:b/>
                <w:bCs/>
                <w:noProof/>
                <w:color w:val="000000"/>
              </w:rPr>
            </w:pPr>
            <w:r>
              <w:rPr>
                <w:rFonts w:ascii="Times New Roman" w:hAnsi="Times New Roman"/>
                <w:b/>
                <w:noProof/>
              </w:rPr>
              <w:t>166,9</w:t>
            </w:r>
          </w:p>
        </w:tc>
        <w:tc>
          <w:tcPr>
            <w:tcW w:w="1163" w:type="dxa"/>
            <w:tcBorders>
              <w:top w:val="nil"/>
              <w:left w:val="nil"/>
              <w:bottom w:val="single" w:sz="4" w:space="0" w:color="auto"/>
              <w:right w:val="single" w:sz="4" w:space="0" w:color="auto"/>
            </w:tcBorders>
            <w:shd w:val="clear" w:color="auto" w:fill="auto"/>
            <w:noWrap/>
            <w:hideMark/>
          </w:tcPr>
          <w:p w14:paraId="59DBF246" w14:textId="77777777" w:rsidR="00F05E5E" w:rsidRPr="006A6461" w:rsidRDefault="00F05E5E" w:rsidP="00F05E5E">
            <w:pPr>
              <w:spacing w:after="0" w:line="240" w:lineRule="auto"/>
              <w:jc w:val="right"/>
              <w:rPr>
                <w:rFonts w:ascii="Times New Roman" w:eastAsia="Times New Roman" w:hAnsi="Times New Roman" w:cs="Times New Roman"/>
                <w:b/>
                <w:bCs/>
                <w:noProof/>
                <w:color w:val="000000"/>
              </w:rPr>
            </w:pPr>
            <w:r>
              <w:rPr>
                <w:rFonts w:ascii="Times New Roman" w:hAnsi="Times New Roman"/>
                <w:b/>
                <w:noProof/>
              </w:rPr>
              <w:t>46,3</w:t>
            </w:r>
          </w:p>
        </w:tc>
        <w:tc>
          <w:tcPr>
            <w:tcW w:w="1189" w:type="dxa"/>
            <w:tcBorders>
              <w:top w:val="nil"/>
              <w:left w:val="nil"/>
              <w:bottom w:val="single" w:sz="4" w:space="0" w:color="auto"/>
              <w:right w:val="single" w:sz="4" w:space="0" w:color="auto"/>
            </w:tcBorders>
            <w:shd w:val="clear" w:color="auto" w:fill="auto"/>
            <w:noWrap/>
            <w:vAlign w:val="bottom"/>
            <w:hideMark/>
          </w:tcPr>
          <w:p w14:paraId="65EA4BC2" w14:textId="0C305B6B" w:rsidR="00F05E5E" w:rsidRPr="002703B7" w:rsidRDefault="00F05E5E" w:rsidP="00F05E5E">
            <w:pPr>
              <w:spacing w:after="0" w:line="240" w:lineRule="auto"/>
              <w:jc w:val="right"/>
              <w:rPr>
                <w:rFonts w:ascii="Times New Roman" w:hAnsi="Times New Roman" w:cs="Times New Roman"/>
                <w:b/>
                <w:bCs/>
                <w:noProof/>
              </w:rPr>
            </w:pPr>
            <w:r>
              <w:rPr>
                <w:rFonts w:ascii="Times New Roman" w:hAnsi="Times New Roman"/>
                <w:b/>
                <w:noProof/>
              </w:rPr>
              <w:t>3 422,1</w:t>
            </w:r>
          </w:p>
        </w:tc>
      </w:tr>
    </w:tbl>
    <w:p w14:paraId="21134287" w14:textId="6D09135D" w:rsidR="009B6020" w:rsidRPr="006A6461" w:rsidRDefault="000E013D" w:rsidP="0077447C">
      <w:pPr>
        <w:keepNext/>
        <w:tabs>
          <w:tab w:val="left" w:pos="850"/>
        </w:tabs>
        <w:spacing w:before="360" w:after="120"/>
        <w:jc w:val="both"/>
        <w:outlineLvl w:val="1"/>
        <w:rPr>
          <w:rFonts w:ascii="Times New Roman" w:eastAsia="Times New Roman" w:hAnsi="Times New Roman" w:cs="Times New Roman"/>
          <w:smallCaps/>
          <w:noProof/>
          <w:sz w:val="24"/>
          <w:szCs w:val="24"/>
        </w:rPr>
      </w:pPr>
      <w:r>
        <w:rPr>
          <w:rFonts w:ascii="Times New Roman" w:hAnsi="Times New Roman"/>
          <w:noProof/>
          <w:sz w:val="24"/>
        </w:rPr>
        <w:t xml:space="preserve"> </w:t>
      </w:r>
      <w:r>
        <w:rPr>
          <w:rFonts w:ascii="Times New Roman" w:hAnsi="Times New Roman"/>
          <w:noProof/>
          <w:sz w:val="24"/>
        </w:rPr>
        <w:br w:type="page"/>
      </w:r>
    </w:p>
    <w:p w14:paraId="2F8F84CC" w14:textId="3C551E3D" w:rsidR="00E830B0" w:rsidRPr="006A6461" w:rsidRDefault="68358EFA" w:rsidP="6A41017F">
      <w:pPr>
        <w:keepNext/>
        <w:tabs>
          <w:tab w:val="left" w:pos="850"/>
        </w:tabs>
        <w:spacing w:before="240" w:after="120"/>
        <w:ind w:left="851" w:hanging="851"/>
        <w:jc w:val="both"/>
        <w:outlineLvl w:val="0"/>
        <w:rPr>
          <w:rFonts w:ascii="Times New Roman" w:hAnsi="Times New Roman" w:cs="Times New Roman"/>
          <w:b/>
          <w:bCs/>
          <w:smallCaps/>
          <w:noProof/>
          <w:sz w:val="24"/>
          <w:szCs w:val="24"/>
        </w:rPr>
      </w:pPr>
      <w:bookmarkStart w:id="53" w:name="_Toc84231371"/>
      <w:bookmarkStart w:id="54" w:name="_Toc173242918"/>
      <w:r>
        <w:rPr>
          <w:rFonts w:ascii="Times New Roman" w:hAnsi="Times New Roman"/>
          <w:b/>
          <w:smallCaps/>
          <w:noProof/>
          <w:sz w:val="24"/>
        </w:rPr>
        <w:t>5.</w:t>
      </w:r>
      <w:r>
        <w:rPr>
          <w:rFonts w:ascii="Times New Roman" w:hAnsi="Times New Roman"/>
          <w:noProof/>
        </w:rPr>
        <w:tab/>
      </w:r>
      <w:r>
        <w:rPr>
          <w:rFonts w:ascii="Times New Roman" w:hAnsi="Times New Roman"/>
          <w:b/>
          <w:smallCaps/>
          <w:noProof/>
          <w:sz w:val="24"/>
        </w:rPr>
        <w:t>Обобщаваща таблица по функции от МФР</w:t>
      </w:r>
      <w:bookmarkEnd w:id="52"/>
      <w:bookmarkEnd w:id="53"/>
      <w:bookmarkEnd w:id="54"/>
      <w:bookmarkEnd w:id="4"/>
      <w:bookmarkEnd w:id="3"/>
    </w:p>
    <w:tbl>
      <w:tblPr>
        <w:tblW w:w="5000" w:type="pct"/>
        <w:tblCellMar>
          <w:left w:w="0" w:type="dxa"/>
          <w:right w:w="0" w:type="dxa"/>
        </w:tblCellMar>
        <w:tblLook w:val="04A0" w:firstRow="1" w:lastRow="0" w:firstColumn="1" w:lastColumn="0" w:noHBand="0" w:noVBand="1"/>
      </w:tblPr>
      <w:tblGrid>
        <w:gridCol w:w="349"/>
        <w:gridCol w:w="1879"/>
        <w:gridCol w:w="1271"/>
        <w:gridCol w:w="1272"/>
        <w:gridCol w:w="1272"/>
        <w:gridCol w:w="1272"/>
        <w:gridCol w:w="1272"/>
        <w:gridCol w:w="1272"/>
        <w:gridCol w:w="36"/>
      </w:tblGrid>
      <w:tr w:rsidR="003D5E0A" w:rsidRPr="003D5E0A" w14:paraId="6165DF00" w14:textId="77777777" w:rsidTr="003D5E0A">
        <w:trPr>
          <w:gridAfter w:val="1"/>
          <w:wAfter w:w="17" w:type="pct"/>
          <w:trHeight w:val="315"/>
        </w:trPr>
        <w:tc>
          <w:tcPr>
            <w:tcW w:w="177" w:type="pct"/>
            <w:tcBorders>
              <w:top w:val="nil"/>
              <w:left w:val="nil"/>
              <w:bottom w:val="nil"/>
              <w:right w:val="nil"/>
            </w:tcBorders>
            <w:shd w:val="clear" w:color="000000" w:fill="FFFFFF"/>
            <w:noWrap/>
            <w:tcMar>
              <w:top w:w="15" w:type="dxa"/>
              <w:left w:w="15" w:type="dxa"/>
              <w:bottom w:w="0" w:type="dxa"/>
              <w:right w:w="15" w:type="dxa"/>
            </w:tcMar>
            <w:vAlign w:val="bottom"/>
            <w:hideMark/>
          </w:tcPr>
          <w:p w14:paraId="41FD8E0A" w14:textId="77777777" w:rsidR="003D5E0A" w:rsidRPr="002703B7" w:rsidRDefault="003D5E0A">
            <w:pPr>
              <w:rPr>
                <w:rFonts w:ascii="Times New Roman" w:hAnsi="Times New Roman" w:cs="Times New Roman"/>
                <w:noProof/>
                <w:color w:val="000000"/>
              </w:rPr>
            </w:pPr>
            <w:r>
              <w:rPr>
                <w:rFonts w:ascii="Times New Roman" w:hAnsi="Times New Roman"/>
                <w:noProof/>
                <w:color w:val="000000"/>
              </w:rPr>
              <w:t> </w:t>
            </w:r>
          </w:p>
        </w:tc>
        <w:tc>
          <w:tcPr>
            <w:tcW w:w="950" w:type="pct"/>
            <w:tcBorders>
              <w:top w:val="nil"/>
              <w:left w:val="nil"/>
              <w:bottom w:val="nil"/>
              <w:right w:val="nil"/>
            </w:tcBorders>
            <w:shd w:val="clear" w:color="000000" w:fill="FFFFFF"/>
            <w:noWrap/>
            <w:tcMar>
              <w:top w:w="15" w:type="dxa"/>
              <w:left w:w="15" w:type="dxa"/>
              <w:bottom w:w="0" w:type="dxa"/>
              <w:right w:w="15" w:type="dxa"/>
            </w:tcMar>
            <w:vAlign w:val="bottom"/>
            <w:hideMark/>
          </w:tcPr>
          <w:p w14:paraId="373EFB3D" w14:textId="77777777" w:rsidR="003D5E0A" w:rsidRPr="002703B7" w:rsidRDefault="003D5E0A">
            <w:pPr>
              <w:rPr>
                <w:rFonts w:ascii="Times New Roman" w:hAnsi="Times New Roman" w:cs="Times New Roman"/>
                <w:noProof/>
                <w:color w:val="000000"/>
              </w:rPr>
            </w:pPr>
            <w:r>
              <w:rPr>
                <w:rFonts w:ascii="Times New Roman" w:hAnsi="Times New Roman"/>
                <w:noProof/>
                <w:color w:val="000000"/>
              </w:rPr>
              <w:t> </w:t>
            </w:r>
          </w:p>
        </w:tc>
        <w:tc>
          <w:tcPr>
            <w:tcW w:w="643" w:type="pct"/>
            <w:tcBorders>
              <w:top w:val="nil"/>
              <w:left w:val="nil"/>
              <w:bottom w:val="nil"/>
              <w:right w:val="nil"/>
            </w:tcBorders>
            <w:shd w:val="clear" w:color="000000" w:fill="FFFFFF"/>
            <w:noWrap/>
            <w:tcMar>
              <w:top w:w="15" w:type="dxa"/>
              <w:left w:w="15" w:type="dxa"/>
              <w:bottom w:w="0" w:type="dxa"/>
              <w:right w:w="15" w:type="dxa"/>
            </w:tcMar>
            <w:vAlign w:val="bottom"/>
            <w:hideMark/>
          </w:tcPr>
          <w:p w14:paraId="06392955" w14:textId="77777777" w:rsidR="003D5E0A" w:rsidRPr="002703B7" w:rsidRDefault="003D5E0A">
            <w:pPr>
              <w:rPr>
                <w:rFonts w:ascii="Times New Roman" w:hAnsi="Times New Roman" w:cs="Times New Roman"/>
                <w:noProof/>
                <w:color w:val="000000"/>
              </w:rPr>
            </w:pPr>
            <w:r>
              <w:rPr>
                <w:rFonts w:ascii="Times New Roman" w:hAnsi="Times New Roman"/>
                <w:noProof/>
                <w:color w:val="000000"/>
              </w:rPr>
              <w:t> </w:t>
            </w:r>
          </w:p>
        </w:tc>
        <w:tc>
          <w:tcPr>
            <w:tcW w:w="643" w:type="pct"/>
            <w:tcBorders>
              <w:top w:val="nil"/>
              <w:left w:val="nil"/>
              <w:bottom w:val="nil"/>
              <w:right w:val="nil"/>
            </w:tcBorders>
            <w:shd w:val="clear" w:color="000000" w:fill="FFFFFF"/>
            <w:noWrap/>
            <w:tcMar>
              <w:top w:w="15" w:type="dxa"/>
              <w:left w:w="15" w:type="dxa"/>
              <w:bottom w:w="0" w:type="dxa"/>
              <w:right w:w="15" w:type="dxa"/>
            </w:tcMar>
            <w:vAlign w:val="bottom"/>
            <w:hideMark/>
          </w:tcPr>
          <w:p w14:paraId="59F35102" w14:textId="77777777" w:rsidR="003D5E0A" w:rsidRPr="002703B7" w:rsidRDefault="003D5E0A">
            <w:pPr>
              <w:rPr>
                <w:rFonts w:ascii="Times New Roman" w:hAnsi="Times New Roman" w:cs="Times New Roman"/>
                <w:noProof/>
                <w:color w:val="000000"/>
              </w:rPr>
            </w:pPr>
            <w:r>
              <w:rPr>
                <w:rFonts w:ascii="Times New Roman" w:hAnsi="Times New Roman"/>
                <w:noProof/>
                <w:color w:val="000000"/>
              </w:rPr>
              <w:t> </w:t>
            </w:r>
          </w:p>
        </w:tc>
        <w:tc>
          <w:tcPr>
            <w:tcW w:w="643" w:type="pct"/>
            <w:tcBorders>
              <w:top w:val="nil"/>
              <w:left w:val="nil"/>
              <w:bottom w:val="nil"/>
              <w:right w:val="nil"/>
            </w:tcBorders>
            <w:shd w:val="clear" w:color="000000" w:fill="FFFFFF"/>
            <w:noWrap/>
            <w:tcMar>
              <w:top w:w="15" w:type="dxa"/>
              <w:left w:w="15" w:type="dxa"/>
              <w:bottom w:w="0" w:type="dxa"/>
              <w:right w:w="15" w:type="dxa"/>
            </w:tcMar>
            <w:vAlign w:val="bottom"/>
            <w:hideMark/>
          </w:tcPr>
          <w:p w14:paraId="66779D3B" w14:textId="77777777" w:rsidR="003D5E0A" w:rsidRPr="002703B7" w:rsidRDefault="003D5E0A">
            <w:pPr>
              <w:rPr>
                <w:rFonts w:ascii="Times New Roman" w:hAnsi="Times New Roman" w:cs="Times New Roman"/>
                <w:noProof/>
                <w:color w:val="000000"/>
              </w:rPr>
            </w:pPr>
            <w:r>
              <w:rPr>
                <w:rFonts w:ascii="Times New Roman" w:hAnsi="Times New Roman"/>
                <w:noProof/>
                <w:color w:val="000000"/>
              </w:rPr>
              <w:t> </w:t>
            </w:r>
          </w:p>
        </w:tc>
        <w:tc>
          <w:tcPr>
            <w:tcW w:w="643" w:type="pct"/>
            <w:tcBorders>
              <w:top w:val="nil"/>
              <w:left w:val="nil"/>
              <w:bottom w:val="nil"/>
              <w:right w:val="nil"/>
            </w:tcBorders>
            <w:shd w:val="clear" w:color="000000" w:fill="FFFFFF"/>
            <w:noWrap/>
            <w:tcMar>
              <w:top w:w="15" w:type="dxa"/>
              <w:left w:w="15" w:type="dxa"/>
              <w:bottom w:w="0" w:type="dxa"/>
              <w:right w:w="15" w:type="dxa"/>
            </w:tcMar>
            <w:vAlign w:val="bottom"/>
            <w:hideMark/>
          </w:tcPr>
          <w:p w14:paraId="15D7C2AB" w14:textId="77777777" w:rsidR="003D5E0A" w:rsidRPr="002703B7" w:rsidRDefault="003D5E0A">
            <w:pPr>
              <w:rPr>
                <w:rFonts w:ascii="Times New Roman" w:hAnsi="Times New Roman" w:cs="Times New Roman"/>
                <w:noProof/>
                <w:color w:val="000000"/>
              </w:rPr>
            </w:pPr>
            <w:r>
              <w:rPr>
                <w:rFonts w:ascii="Times New Roman" w:hAnsi="Times New Roman"/>
                <w:noProof/>
                <w:color w:val="000000"/>
              </w:rPr>
              <w:t> </w:t>
            </w:r>
          </w:p>
        </w:tc>
        <w:tc>
          <w:tcPr>
            <w:tcW w:w="643" w:type="pct"/>
            <w:tcBorders>
              <w:top w:val="nil"/>
              <w:left w:val="nil"/>
              <w:bottom w:val="nil"/>
              <w:right w:val="nil"/>
            </w:tcBorders>
            <w:shd w:val="clear" w:color="000000" w:fill="FFFFFF"/>
            <w:noWrap/>
            <w:tcMar>
              <w:top w:w="15" w:type="dxa"/>
              <w:left w:w="15" w:type="dxa"/>
              <w:bottom w:w="0" w:type="dxa"/>
              <w:right w:w="15" w:type="dxa"/>
            </w:tcMar>
            <w:vAlign w:val="bottom"/>
            <w:hideMark/>
          </w:tcPr>
          <w:p w14:paraId="1153D29F" w14:textId="77777777" w:rsidR="003D5E0A" w:rsidRPr="002703B7" w:rsidRDefault="003D5E0A">
            <w:pPr>
              <w:rPr>
                <w:rFonts w:ascii="Times New Roman" w:hAnsi="Times New Roman" w:cs="Times New Roman"/>
                <w:noProof/>
                <w:color w:val="000000"/>
              </w:rPr>
            </w:pPr>
            <w:r>
              <w:rPr>
                <w:rFonts w:ascii="Times New Roman" w:hAnsi="Times New Roman"/>
                <w:noProof/>
                <w:color w:val="000000"/>
              </w:rPr>
              <w:t> </w:t>
            </w:r>
          </w:p>
        </w:tc>
        <w:tc>
          <w:tcPr>
            <w:tcW w:w="643" w:type="pct"/>
            <w:tcBorders>
              <w:top w:val="nil"/>
              <w:left w:val="nil"/>
              <w:bottom w:val="nil"/>
              <w:right w:val="nil"/>
            </w:tcBorders>
            <w:shd w:val="clear" w:color="000000" w:fill="FFFFFF"/>
            <w:noWrap/>
            <w:tcMar>
              <w:top w:w="15" w:type="dxa"/>
              <w:left w:w="15" w:type="dxa"/>
              <w:bottom w:w="0" w:type="dxa"/>
              <w:right w:w="15" w:type="dxa"/>
            </w:tcMar>
            <w:vAlign w:val="bottom"/>
            <w:hideMark/>
          </w:tcPr>
          <w:p w14:paraId="57C3CF97" w14:textId="77777777" w:rsidR="003D5E0A" w:rsidRPr="002703B7" w:rsidRDefault="003D5E0A">
            <w:pPr>
              <w:jc w:val="right"/>
              <w:rPr>
                <w:rFonts w:ascii="Times New Roman" w:hAnsi="Times New Roman" w:cs="Times New Roman"/>
                <w:i/>
                <w:iCs/>
                <w:noProof/>
                <w:color w:val="000000"/>
              </w:rPr>
            </w:pPr>
            <w:r>
              <w:rPr>
                <w:rFonts w:ascii="Times New Roman" w:hAnsi="Times New Roman"/>
                <w:i/>
                <w:noProof/>
                <w:color w:val="000000"/>
              </w:rPr>
              <w:t>В EUR</w:t>
            </w:r>
          </w:p>
        </w:tc>
      </w:tr>
      <w:tr w:rsidR="003D5E0A" w:rsidRPr="003D5E0A" w14:paraId="14DC83CF" w14:textId="77777777" w:rsidTr="002703B7">
        <w:trPr>
          <w:gridAfter w:val="1"/>
          <w:wAfter w:w="17" w:type="pct"/>
          <w:trHeight w:val="450"/>
        </w:trPr>
        <w:tc>
          <w:tcPr>
            <w:tcW w:w="1127" w:type="pct"/>
            <w:gridSpan w:val="2"/>
            <w:vMerge w:val="restart"/>
            <w:tcBorders>
              <w:top w:val="single" w:sz="8" w:space="0" w:color="auto"/>
              <w:left w:val="single" w:sz="8" w:space="0" w:color="auto"/>
              <w:bottom w:val="single" w:sz="8" w:space="0" w:color="000000"/>
              <w:right w:val="single" w:sz="8" w:space="0" w:color="000000"/>
            </w:tcBorders>
            <w:shd w:val="clear" w:color="000000" w:fill="BFBFBF"/>
            <w:tcMar>
              <w:top w:w="15" w:type="dxa"/>
              <w:left w:w="15" w:type="dxa"/>
              <w:bottom w:w="0" w:type="dxa"/>
              <w:right w:w="15" w:type="dxa"/>
            </w:tcMar>
            <w:vAlign w:val="center"/>
            <w:hideMark/>
          </w:tcPr>
          <w:p w14:paraId="2383C52D" w14:textId="77777777" w:rsidR="003D5E0A" w:rsidRPr="003D5E0A"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1285" w:type="pct"/>
            <w:gridSpan w:val="2"/>
            <w:vMerge w:val="restart"/>
            <w:tcBorders>
              <w:top w:val="single" w:sz="8" w:space="0" w:color="auto"/>
              <w:left w:val="single" w:sz="8" w:space="0" w:color="000000"/>
              <w:bottom w:val="single" w:sz="8" w:space="0" w:color="000000"/>
              <w:right w:val="single" w:sz="8" w:space="0" w:color="000000"/>
            </w:tcBorders>
            <w:shd w:val="clear" w:color="000000" w:fill="BFBFBF"/>
            <w:tcMar>
              <w:top w:w="15" w:type="dxa"/>
              <w:left w:w="15" w:type="dxa"/>
              <w:bottom w:w="0" w:type="dxa"/>
              <w:right w:w="15" w:type="dxa"/>
            </w:tcMar>
            <w:vAlign w:val="center"/>
            <w:hideMark/>
          </w:tcPr>
          <w:p w14:paraId="11301555" w14:textId="77777777" w:rsidR="003D5E0A" w:rsidRPr="002703B7" w:rsidRDefault="003D5E0A">
            <w:pPr>
              <w:jc w:val="center"/>
              <w:rPr>
                <w:rFonts w:ascii="Times New Roman" w:hAnsi="Times New Roman" w:cs="Times New Roman"/>
                <w:b/>
                <w:bCs/>
                <w:noProof/>
                <w:color w:val="000000"/>
                <w:sz w:val="16"/>
                <w:szCs w:val="16"/>
              </w:rPr>
            </w:pPr>
            <w:r>
              <w:rPr>
                <w:rFonts w:ascii="Times New Roman" w:hAnsi="Times New Roman"/>
                <w:b/>
                <w:noProof/>
                <w:color w:val="000000"/>
                <w:sz w:val="16"/>
              </w:rPr>
              <w:t>Бюджет за 2024 г. (вкл. КБ 1—2/2024, ПКБ 2/2024)</w:t>
            </w:r>
          </w:p>
        </w:tc>
        <w:tc>
          <w:tcPr>
            <w:tcW w:w="1285" w:type="pct"/>
            <w:gridSpan w:val="2"/>
            <w:vMerge w:val="restart"/>
            <w:tcBorders>
              <w:top w:val="single" w:sz="8" w:space="0" w:color="auto"/>
              <w:left w:val="single" w:sz="8" w:space="0" w:color="000000"/>
              <w:bottom w:val="single" w:sz="8" w:space="0" w:color="000000"/>
              <w:right w:val="single" w:sz="8" w:space="0" w:color="000000"/>
            </w:tcBorders>
            <w:shd w:val="clear" w:color="000000" w:fill="BFBFBF"/>
            <w:tcMar>
              <w:top w:w="15" w:type="dxa"/>
              <w:left w:w="15" w:type="dxa"/>
              <w:bottom w:w="0" w:type="dxa"/>
              <w:right w:w="15" w:type="dxa"/>
            </w:tcMar>
            <w:vAlign w:val="center"/>
            <w:hideMark/>
          </w:tcPr>
          <w:p w14:paraId="7CAF2A61" w14:textId="77777777" w:rsidR="003D5E0A" w:rsidRPr="002703B7" w:rsidRDefault="003D5E0A">
            <w:pPr>
              <w:jc w:val="center"/>
              <w:rPr>
                <w:rFonts w:ascii="Times New Roman" w:hAnsi="Times New Roman" w:cs="Times New Roman"/>
                <w:b/>
                <w:bCs/>
                <w:noProof/>
                <w:color w:val="000000"/>
                <w:sz w:val="16"/>
                <w:szCs w:val="16"/>
              </w:rPr>
            </w:pPr>
            <w:r>
              <w:rPr>
                <w:rFonts w:ascii="Times New Roman" w:hAnsi="Times New Roman"/>
                <w:b/>
                <w:noProof/>
                <w:color w:val="000000"/>
                <w:sz w:val="16"/>
              </w:rPr>
              <w:t>Проект на коригиращ бюджет 4/2024</w:t>
            </w:r>
          </w:p>
        </w:tc>
        <w:tc>
          <w:tcPr>
            <w:tcW w:w="1285" w:type="pct"/>
            <w:gridSpan w:val="2"/>
            <w:vMerge w:val="restart"/>
            <w:tcBorders>
              <w:top w:val="single" w:sz="8" w:space="0" w:color="auto"/>
              <w:left w:val="single" w:sz="8" w:space="0" w:color="000000"/>
              <w:bottom w:val="single" w:sz="8" w:space="0" w:color="000000"/>
              <w:right w:val="single" w:sz="8" w:space="0" w:color="000000"/>
            </w:tcBorders>
            <w:shd w:val="clear" w:color="000000" w:fill="BFBFBF"/>
            <w:tcMar>
              <w:top w:w="15" w:type="dxa"/>
              <w:left w:w="15" w:type="dxa"/>
              <w:bottom w:w="0" w:type="dxa"/>
              <w:right w:w="15" w:type="dxa"/>
            </w:tcMar>
            <w:vAlign w:val="center"/>
            <w:hideMark/>
          </w:tcPr>
          <w:p w14:paraId="66F9B689" w14:textId="77777777" w:rsidR="003D5E0A" w:rsidRPr="002703B7" w:rsidRDefault="003D5E0A">
            <w:pPr>
              <w:jc w:val="center"/>
              <w:rPr>
                <w:rFonts w:ascii="Times New Roman" w:hAnsi="Times New Roman" w:cs="Times New Roman"/>
                <w:b/>
                <w:bCs/>
                <w:noProof/>
                <w:color w:val="000000"/>
                <w:sz w:val="16"/>
                <w:szCs w:val="16"/>
              </w:rPr>
            </w:pPr>
            <w:r>
              <w:rPr>
                <w:rFonts w:ascii="Times New Roman" w:hAnsi="Times New Roman"/>
                <w:b/>
                <w:noProof/>
                <w:color w:val="000000"/>
                <w:sz w:val="16"/>
              </w:rPr>
              <w:t>Бюджет за 2024 г. (вкл. КБ 1—2/2024, ПКБ 2/2024, ПКБ 4/2024)</w:t>
            </w:r>
          </w:p>
        </w:tc>
      </w:tr>
      <w:tr w:rsidR="003D5E0A" w:rsidRPr="003D5E0A" w14:paraId="65A04721" w14:textId="77777777" w:rsidTr="002703B7">
        <w:trPr>
          <w:trHeight w:val="315"/>
        </w:trPr>
        <w:tc>
          <w:tcPr>
            <w:tcW w:w="1127" w:type="pct"/>
            <w:gridSpan w:val="2"/>
            <w:vMerge/>
            <w:tcBorders>
              <w:top w:val="single" w:sz="8" w:space="0" w:color="auto"/>
              <w:left w:val="single" w:sz="8" w:space="0" w:color="auto"/>
              <w:bottom w:val="single" w:sz="8" w:space="0" w:color="000000"/>
              <w:right w:val="single" w:sz="8" w:space="0" w:color="000000"/>
            </w:tcBorders>
            <w:tcMar>
              <w:top w:w="15" w:type="dxa"/>
              <w:left w:w="15" w:type="dxa"/>
              <w:bottom w:w="0" w:type="dxa"/>
              <w:right w:w="15" w:type="dxa"/>
            </w:tcMar>
            <w:vAlign w:val="center"/>
            <w:hideMark/>
          </w:tcPr>
          <w:p w14:paraId="6AB94E19" w14:textId="77777777" w:rsidR="003D5E0A" w:rsidRPr="002703B7" w:rsidRDefault="003D5E0A">
            <w:pPr>
              <w:rPr>
                <w:rFonts w:ascii="Times New Roman" w:hAnsi="Times New Roman" w:cs="Times New Roman"/>
                <w:noProof/>
                <w:color w:val="000000"/>
                <w:sz w:val="16"/>
                <w:szCs w:val="16"/>
              </w:rPr>
            </w:pPr>
          </w:p>
        </w:tc>
        <w:tc>
          <w:tcPr>
            <w:tcW w:w="1285" w:type="pct"/>
            <w:gridSpan w:val="2"/>
            <w:vMerge/>
            <w:tcBorders>
              <w:top w:val="single" w:sz="8" w:space="0" w:color="auto"/>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1F6143C" w14:textId="77777777" w:rsidR="003D5E0A" w:rsidRPr="002703B7" w:rsidRDefault="003D5E0A">
            <w:pPr>
              <w:rPr>
                <w:rFonts w:ascii="Times New Roman" w:hAnsi="Times New Roman" w:cs="Times New Roman"/>
                <w:b/>
                <w:bCs/>
                <w:noProof/>
                <w:color w:val="000000"/>
                <w:sz w:val="16"/>
                <w:szCs w:val="16"/>
              </w:rPr>
            </w:pPr>
          </w:p>
        </w:tc>
        <w:tc>
          <w:tcPr>
            <w:tcW w:w="1285" w:type="pct"/>
            <w:gridSpan w:val="2"/>
            <w:vMerge/>
            <w:tcBorders>
              <w:top w:val="single" w:sz="8" w:space="0" w:color="auto"/>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732501" w14:textId="77777777" w:rsidR="003D5E0A" w:rsidRPr="002703B7" w:rsidRDefault="003D5E0A">
            <w:pPr>
              <w:rPr>
                <w:rFonts w:ascii="Times New Roman" w:hAnsi="Times New Roman" w:cs="Times New Roman"/>
                <w:b/>
                <w:bCs/>
                <w:noProof/>
                <w:color w:val="000000"/>
                <w:sz w:val="16"/>
                <w:szCs w:val="16"/>
              </w:rPr>
            </w:pPr>
          </w:p>
        </w:tc>
        <w:tc>
          <w:tcPr>
            <w:tcW w:w="1285" w:type="pct"/>
            <w:gridSpan w:val="2"/>
            <w:vMerge/>
            <w:tcBorders>
              <w:top w:val="single" w:sz="8" w:space="0" w:color="auto"/>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45F5DB9" w14:textId="77777777" w:rsidR="003D5E0A" w:rsidRPr="002703B7" w:rsidRDefault="003D5E0A">
            <w:pPr>
              <w:rPr>
                <w:rFonts w:ascii="Times New Roman" w:hAnsi="Times New Roman" w:cs="Times New Roman"/>
                <w:b/>
                <w:bCs/>
                <w:noProof/>
                <w:color w:val="000000"/>
                <w:sz w:val="16"/>
                <w:szCs w:val="16"/>
              </w:rPr>
            </w:pPr>
          </w:p>
        </w:tc>
        <w:tc>
          <w:tcPr>
            <w:tcW w:w="17" w:type="pct"/>
            <w:tcBorders>
              <w:top w:val="nil"/>
              <w:left w:val="nil"/>
              <w:bottom w:val="nil"/>
              <w:right w:val="nil"/>
            </w:tcBorders>
            <w:shd w:val="clear" w:color="auto" w:fill="auto"/>
            <w:noWrap/>
            <w:tcMar>
              <w:top w:w="15" w:type="dxa"/>
              <w:left w:w="15" w:type="dxa"/>
              <w:bottom w:w="0" w:type="dxa"/>
              <w:right w:w="15" w:type="dxa"/>
            </w:tcMar>
            <w:vAlign w:val="bottom"/>
            <w:hideMark/>
          </w:tcPr>
          <w:p w14:paraId="499B4B30" w14:textId="77777777" w:rsidR="003D5E0A" w:rsidRPr="002703B7" w:rsidRDefault="003D5E0A">
            <w:pPr>
              <w:jc w:val="center"/>
              <w:rPr>
                <w:rFonts w:ascii="Times New Roman" w:hAnsi="Times New Roman" w:cs="Times New Roman"/>
                <w:b/>
                <w:bCs/>
                <w:noProof/>
                <w:color w:val="000000"/>
                <w:sz w:val="16"/>
                <w:szCs w:val="16"/>
              </w:rPr>
            </w:pPr>
          </w:p>
        </w:tc>
      </w:tr>
      <w:tr w:rsidR="003D5E0A" w:rsidRPr="003D5E0A" w14:paraId="4CBA3560" w14:textId="77777777" w:rsidTr="002703B7">
        <w:trPr>
          <w:trHeight w:val="315"/>
        </w:trPr>
        <w:tc>
          <w:tcPr>
            <w:tcW w:w="1127" w:type="pct"/>
            <w:gridSpan w:val="2"/>
            <w:vMerge/>
            <w:tcBorders>
              <w:top w:val="single" w:sz="8" w:space="0" w:color="auto"/>
              <w:left w:val="single" w:sz="8" w:space="0" w:color="auto"/>
              <w:bottom w:val="single" w:sz="8" w:space="0" w:color="000000"/>
              <w:right w:val="single" w:sz="8" w:space="0" w:color="000000"/>
            </w:tcBorders>
            <w:vAlign w:val="center"/>
            <w:hideMark/>
          </w:tcPr>
          <w:p w14:paraId="50D59CE5" w14:textId="77777777" w:rsidR="003D5E0A" w:rsidRPr="002703B7" w:rsidRDefault="003D5E0A">
            <w:pPr>
              <w:rPr>
                <w:rFonts w:ascii="Times New Roman" w:hAnsi="Times New Roman" w:cs="Times New Roman"/>
                <w:noProof/>
                <w:color w:val="000000"/>
                <w:sz w:val="16"/>
                <w:szCs w:val="16"/>
              </w:rPr>
            </w:pPr>
          </w:p>
        </w:tc>
        <w:tc>
          <w:tcPr>
            <w:tcW w:w="643" w:type="pct"/>
            <w:tcBorders>
              <w:top w:val="nil"/>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2DF0EA37" w14:textId="77777777" w:rsidR="003D5E0A" w:rsidRPr="002703B7" w:rsidRDefault="003D5E0A">
            <w:pPr>
              <w:jc w:val="center"/>
              <w:rPr>
                <w:rFonts w:ascii="Times New Roman" w:hAnsi="Times New Roman" w:cs="Times New Roman"/>
                <w:b/>
                <w:bCs/>
                <w:noProof/>
                <w:color w:val="000000"/>
                <w:sz w:val="16"/>
                <w:szCs w:val="16"/>
              </w:rPr>
            </w:pPr>
            <w:r>
              <w:rPr>
                <w:rFonts w:ascii="Times New Roman" w:hAnsi="Times New Roman"/>
                <w:b/>
                <w:noProof/>
                <w:color w:val="000000"/>
                <w:sz w:val="16"/>
              </w:rPr>
              <w:t>БКПЗ</w:t>
            </w:r>
          </w:p>
        </w:tc>
        <w:tc>
          <w:tcPr>
            <w:tcW w:w="643" w:type="pct"/>
            <w:tcBorders>
              <w:top w:val="nil"/>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0E55FE79" w14:textId="77777777" w:rsidR="003D5E0A" w:rsidRPr="002703B7" w:rsidRDefault="003D5E0A">
            <w:pPr>
              <w:jc w:val="center"/>
              <w:rPr>
                <w:rFonts w:ascii="Times New Roman" w:hAnsi="Times New Roman" w:cs="Times New Roman"/>
                <w:b/>
                <w:bCs/>
                <w:noProof/>
                <w:color w:val="000000"/>
                <w:sz w:val="16"/>
                <w:szCs w:val="16"/>
              </w:rPr>
            </w:pPr>
            <w:r>
              <w:rPr>
                <w:rFonts w:ascii="Times New Roman" w:hAnsi="Times New Roman"/>
                <w:b/>
                <w:noProof/>
                <w:color w:val="000000"/>
                <w:sz w:val="16"/>
              </w:rPr>
              <w:t>БКП</w:t>
            </w:r>
          </w:p>
        </w:tc>
        <w:tc>
          <w:tcPr>
            <w:tcW w:w="643" w:type="pct"/>
            <w:tcBorders>
              <w:top w:val="nil"/>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14102E2B" w14:textId="77777777" w:rsidR="003D5E0A" w:rsidRPr="002703B7" w:rsidRDefault="003D5E0A">
            <w:pPr>
              <w:jc w:val="center"/>
              <w:rPr>
                <w:rFonts w:ascii="Times New Roman" w:hAnsi="Times New Roman" w:cs="Times New Roman"/>
                <w:b/>
                <w:bCs/>
                <w:noProof/>
                <w:color w:val="000000"/>
                <w:sz w:val="16"/>
                <w:szCs w:val="16"/>
              </w:rPr>
            </w:pPr>
            <w:r>
              <w:rPr>
                <w:rFonts w:ascii="Times New Roman" w:hAnsi="Times New Roman"/>
                <w:b/>
                <w:noProof/>
                <w:color w:val="000000"/>
                <w:sz w:val="16"/>
              </w:rPr>
              <w:t>БКПЗ</w:t>
            </w:r>
          </w:p>
        </w:tc>
        <w:tc>
          <w:tcPr>
            <w:tcW w:w="643" w:type="pct"/>
            <w:tcBorders>
              <w:top w:val="nil"/>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4BC7E2AA" w14:textId="77777777" w:rsidR="003D5E0A" w:rsidRPr="002703B7" w:rsidRDefault="003D5E0A">
            <w:pPr>
              <w:jc w:val="center"/>
              <w:rPr>
                <w:rFonts w:ascii="Times New Roman" w:hAnsi="Times New Roman" w:cs="Times New Roman"/>
                <w:b/>
                <w:bCs/>
                <w:noProof/>
                <w:color w:val="000000"/>
                <w:sz w:val="16"/>
                <w:szCs w:val="16"/>
              </w:rPr>
            </w:pPr>
            <w:r>
              <w:rPr>
                <w:rFonts w:ascii="Times New Roman" w:hAnsi="Times New Roman"/>
                <w:b/>
                <w:noProof/>
                <w:color w:val="000000"/>
                <w:sz w:val="16"/>
              </w:rPr>
              <w:t>БКП</w:t>
            </w:r>
          </w:p>
        </w:tc>
        <w:tc>
          <w:tcPr>
            <w:tcW w:w="643" w:type="pct"/>
            <w:tcBorders>
              <w:top w:val="nil"/>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4E4F72B1" w14:textId="77777777" w:rsidR="003D5E0A" w:rsidRPr="002703B7" w:rsidRDefault="003D5E0A">
            <w:pPr>
              <w:jc w:val="center"/>
              <w:rPr>
                <w:rFonts w:ascii="Times New Roman" w:hAnsi="Times New Roman" w:cs="Times New Roman"/>
                <w:b/>
                <w:bCs/>
                <w:noProof/>
                <w:color w:val="000000"/>
                <w:sz w:val="16"/>
                <w:szCs w:val="16"/>
              </w:rPr>
            </w:pPr>
            <w:r>
              <w:rPr>
                <w:rFonts w:ascii="Times New Roman" w:hAnsi="Times New Roman"/>
                <w:b/>
                <w:noProof/>
                <w:color w:val="000000"/>
                <w:sz w:val="16"/>
              </w:rPr>
              <w:t>БКПЗ</w:t>
            </w:r>
          </w:p>
        </w:tc>
        <w:tc>
          <w:tcPr>
            <w:tcW w:w="643" w:type="pct"/>
            <w:tcBorders>
              <w:top w:val="nil"/>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58EFCF75" w14:textId="77777777" w:rsidR="003D5E0A" w:rsidRPr="002703B7" w:rsidRDefault="003D5E0A">
            <w:pPr>
              <w:jc w:val="center"/>
              <w:rPr>
                <w:rFonts w:ascii="Times New Roman" w:hAnsi="Times New Roman" w:cs="Times New Roman"/>
                <w:b/>
                <w:bCs/>
                <w:noProof/>
                <w:color w:val="000000"/>
                <w:sz w:val="16"/>
                <w:szCs w:val="16"/>
              </w:rPr>
            </w:pPr>
            <w:r>
              <w:rPr>
                <w:rFonts w:ascii="Times New Roman" w:hAnsi="Times New Roman"/>
                <w:b/>
                <w:noProof/>
                <w:color w:val="000000"/>
                <w:sz w:val="16"/>
              </w:rPr>
              <w:t>БКП</w:t>
            </w:r>
          </w:p>
        </w:tc>
        <w:tc>
          <w:tcPr>
            <w:tcW w:w="17" w:type="pct"/>
            <w:vAlign w:val="center"/>
            <w:hideMark/>
          </w:tcPr>
          <w:p w14:paraId="02F6AF92" w14:textId="77777777" w:rsidR="003D5E0A" w:rsidRPr="002703B7" w:rsidRDefault="003D5E0A">
            <w:pPr>
              <w:rPr>
                <w:rFonts w:ascii="Times New Roman" w:hAnsi="Times New Roman" w:cs="Times New Roman"/>
                <w:noProof/>
                <w:sz w:val="20"/>
                <w:szCs w:val="20"/>
              </w:rPr>
            </w:pPr>
          </w:p>
        </w:tc>
      </w:tr>
      <w:tr w:rsidR="003D5E0A" w:rsidRPr="003D5E0A" w14:paraId="30AA8557" w14:textId="77777777" w:rsidTr="003D5E0A">
        <w:trPr>
          <w:trHeight w:val="420"/>
        </w:trPr>
        <w:tc>
          <w:tcPr>
            <w:tcW w:w="177" w:type="pct"/>
            <w:tcBorders>
              <w:top w:val="nil"/>
              <w:left w:val="single" w:sz="8" w:space="0" w:color="auto"/>
              <w:bottom w:val="dotted" w:sz="4" w:space="0" w:color="auto"/>
              <w:right w:val="nil"/>
            </w:tcBorders>
            <w:shd w:val="clear" w:color="000000" w:fill="D9D9D9"/>
            <w:tcMar>
              <w:top w:w="15" w:type="dxa"/>
              <w:left w:w="15" w:type="dxa"/>
              <w:bottom w:w="0" w:type="dxa"/>
              <w:right w:w="15" w:type="dxa"/>
            </w:tcMar>
            <w:vAlign w:val="center"/>
            <w:hideMark/>
          </w:tcPr>
          <w:p w14:paraId="1E9E8CB4" w14:textId="77777777" w:rsidR="003D5E0A" w:rsidRPr="002703B7" w:rsidRDefault="003D5E0A">
            <w:pPr>
              <w:jc w:val="both"/>
              <w:rPr>
                <w:rFonts w:ascii="Times New Roman" w:hAnsi="Times New Roman" w:cs="Times New Roman"/>
                <w:b/>
                <w:bCs/>
                <w:noProof/>
                <w:color w:val="000000"/>
                <w:sz w:val="16"/>
                <w:szCs w:val="16"/>
              </w:rPr>
            </w:pPr>
            <w:r>
              <w:rPr>
                <w:rFonts w:ascii="Times New Roman" w:hAnsi="Times New Roman"/>
                <w:b/>
                <w:noProof/>
                <w:color w:val="000000"/>
                <w:sz w:val="16"/>
              </w:rPr>
              <w:t>1</w:t>
            </w:r>
          </w:p>
        </w:tc>
        <w:tc>
          <w:tcPr>
            <w:tcW w:w="950"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4388A44A" w14:textId="77777777" w:rsidR="003D5E0A" w:rsidRPr="002703B7" w:rsidRDefault="003D5E0A">
            <w:pPr>
              <w:jc w:val="both"/>
              <w:rPr>
                <w:rFonts w:ascii="Times New Roman" w:hAnsi="Times New Roman" w:cs="Times New Roman"/>
                <w:b/>
                <w:bCs/>
                <w:noProof/>
                <w:color w:val="000000"/>
                <w:sz w:val="16"/>
                <w:szCs w:val="16"/>
              </w:rPr>
            </w:pPr>
            <w:r>
              <w:rPr>
                <w:rFonts w:ascii="Times New Roman" w:hAnsi="Times New Roman"/>
                <w:b/>
                <w:noProof/>
                <w:color w:val="000000"/>
                <w:sz w:val="16"/>
              </w:rPr>
              <w:t>Единен пазар, иновации и цифрова сфера</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6C138EFC"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21 493 372 987</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45614D29"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20 827 967 003</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40DA0239"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-1 156 166</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069426DE"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-1 156 166</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7CA3C42C"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21 492 216 821</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31A9CEA9"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20 826 810 837</w:t>
            </w:r>
          </w:p>
        </w:tc>
        <w:tc>
          <w:tcPr>
            <w:tcW w:w="17" w:type="pct"/>
            <w:vAlign w:val="center"/>
            <w:hideMark/>
          </w:tcPr>
          <w:p w14:paraId="5A69FAD7" w14:textId="77777777" w:rsidR="003D5E0A" w:rsidRPr="002703B7" w:rsidRDefault="003D5E0A">
            <w:pPr>
              <w:rPr>
                <w:rFonts w:ascii="Times New Roman" w:hAnsi="Times New Roman" w:cs="Times New Roman"/>
                <w:noProof/>
                <w:sz w:val="20"/>
                <w:szCs w:val="20"/>
              </w:rPr>
            </w:pPr>
          </w:p>
        </w:tc>
      </w:tr>
      <w:tr w:rsidR="003D5E0A" w:rsidRPr="003D5E0A" w14:paraId="24CC24E4" w14:textId="77777777" w:rsidTr="003D5E0A">
        <w:trPr>
          <w:trHeight w:val="300"/>
        </w:trPr>
        <w:tc>
          <w:tcPr>
            <w:tcW w:w="177" w:type="pct"/>
            <w:tcBorders>
              <w:top w:val="nil"/>
              <w:left w:val="single" w:sz="8" w:space="0" w:color="auto"/>
              <w:bottom w:val="dotted" w:sz="4" w:space="0" w:color="auto"/>
              <w:right w:val="nil"/>
            </w:tcBorders>
            <w:shd w:val="clear" w:color="000000" w:fill="FFFFFF"/>
            <w:tcMar>
              <w:top w:w="15" w:type="dxa"/>
              <w:left w:w="15" w:type="dxa"/>
              <w:bottom w:w="0" w:type="dxa"/>
              <w:right w:w="15" w:type="dxa"/>
            </w:tcMar>
            <w:vAlign w:val="center"/>
            <w:hideMark/>
          </w:tcPr>
          <w:p w14:paraId="6E6A0F3A"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75D7150F"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Таван</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574FDD5B"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21 598 000 000</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2DEBBE1B"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47E8E7AD"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4D0CB7D5"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7BF53400"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21 598 000 000</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08D8EB19"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17" w:type="pct"/>
            <w:vAlign w:val="center"/>
            <w:hideMark/>
          </w:tcPr>
          <w:p w14:paraId="04BFE4BE" w14:textId="77777777" w:rsidR="003D5E0A" w:rsidRPr="002703B7" w:rsidRDefault="003D5E0A">
            <w:pPr>
              <w:rPr>
                <w:rFonts w:ascii="Times New Roman" w:hAnsi="Times New Roman" w:cs="Times New Roman"/>
                <w:noProof/>
                <w:sz w:val="20"/>
                <w:szCs w:val="20"/>
              </w:rPr>
            </w:pPr>
          </w:p>
        </w:tc>
      </w:tr>
      <w:tr w:rsidR="003D5E0A" w:rsidRPr="003D5E0A" w14:paraId="22F19A3B" w14:textId="77777777" w:rsidTr="003D5E0A">
        <w:trPr>
          <w:trHeight w:val="315"/>
        </w:trPr>
        <w:tc>
          <w:tcPr>
            <w:tcW w:w="177" w:type="pct"/>
            <w:tcBorders>
              <w:top w:val="nil"/>
              <w:left w:val="single" w:sz="8" w:space="0" w:color="auto"/>
              <w:bottom w:val="single" w:sz="8" w:space="0" w:color="auto"/>
              <w:right w:val="nil"/>
            </w:tcBorders>
            <w:shd w:val="clear" w:color="000000" w:fill="FFFFFF"/>
            <w:tcMar>
              <w:top w:w="15" w:type="dxa"/>
              <w:left w:w="15" w:type="dxa"/>
              <w:bottom w:w="0" w:type="dxa"/>
              <w:right w:w="15" w:type="dxa"/>
            </w:tcMar>
            <w:vAlign w:val="center"/>
            <w:hideMark/>
          </w:tcPr>
          <w:p w14:paraId="19418D2A"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02D13F4E"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Марж</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0764BE8"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104 627 013</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454AE271"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64DDEDC1"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1 156 166</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0F6E3C0"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0A8C000A"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105 783 179</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7EA3775"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17" w:type="pct"/>
            <w:vAlign w:val="center"/>
            <w:hideMark/>
          </w:tcPr>
          <w:p w14:paraId="2F5E4358" w14:textId="77777777" w:rsidR="003D5E0A" w:rsidRPr="002703B7" w:rsidRDefault="003D5E0A">
            <w:pPr>
              <w:rPr>
                <w:rFonts w:ascii="Times New Roman" w:hAnsi="Times New Roman" w:cs="Times New Roman"/>
                <w:noProof/>
                <w:sz w:val="20"/>
                <w:szCs w:val="20"/>
              </w:rPr>
            </w:pPr>
          </w:p>
        </w:tc>
      </w:tr>
      <w:tr w:rsidR="003D5E0A" w:rsidRPr="003D5E0A" w14:paraId="31580BCF" w14:textId="77777777" w:rsidTr="003D5E0A">
        <w:trPr>
          <w:trHeight w:val="420"/>
        </w:trPr>
        <w:tc>
          <w:tcPr>
            <w:tcW w:w="177" w:type="pct"/>
            <w:tcBorders>
              <w:top w:val="nil"/>
              <w:left w:val="single" w:sz="8" w:space="0" w:color="auto"/>
              <w:bottom w:val="dotted" w:sz="4" w:space="0" w:color="auto"/>
              <w:right w:val="nil"/>
            </w:tcBorders>
            <w:shd w:val="clear" w:color="000000" w:fill="D9D9D9"/>
            <w:tcMar>
              <w:top w:w="15" w:type="dxa"/>
              <w:left w:w="15" w:type="dxa"/>
              <w:bottom w:w="0" w:type="dxa"/>
              <w:right w:w="15" w:type="dxa"/>
            </w:tcMar>
            <w:vAlign w:val="center"/>
            <w:hideMark/>
          </w:tcPr>
          <w:p w14:paraId="150C46E9" w14:textId="77777777" w:rsidR="003D5E0A" w:rsidRPr="002703B7" w:rsidRDefault="003D5E0A">
            <w:pPr>
              <w:jc w:val="both"/>
              <w:rPr>
                <w:rFonts w:ascii="Times New Roman" w:hAnsi="Times New Roman" w:cs="Times New Roman"/>
                <w:b/>
                <w:bCs/>
                <w:noProof/>
                <w:color w:val="000000"/>
                <w:sz w:val="16"/>
                <w:szCs w:val="16"/>
              </w:rPr>
            </w:pPr>
            <w:r>
              <w:rPr>
                <w:rFonts w:ascii="Times New Roman" w:hAnsi="Times New Roman"/>
                <w:b/>
                <w:noProof/>
                <w:color w:val="000000"/>
                <w:sz w:val="16"/>
              </w:rPr>
              <w:t>2</w:t>
            </w:r>
          </w:p>
        </w:tc>
        <w:tc>
          <w:tcPr>
            <w:tcW w:w="950"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130917F6" w14:textId="77777777" w:rsidR="003D5E0A" w:rsidRPr="002703B7" w:rsidRDefault="003D5E0A">
            <w:pPr>
              <w:jc w:val="both"/>
              <w:rPr>
                <w:rFonts w:ascii="Times New Roman" w:hAnsi="Times New Roman" w:cs="Times New Roman"/>
                <w:b/>
                <w:bCs/>
                <w:noProof/>
                <w:color w:val="000000"/>
                <w:sz w:val="16"/>
                <w:szCs w:val="16"/>
              </w:rPr>
            </w:pPr>
            <w:r>
              <w:rPr>
                <w:rFonts w:ascii="Times New Roman" w:hAnsi="Times New Roman"/>
                <w:b/>
                <w:noProof/>
                <w:color w:val="000000"/>
                <w:sz w:val="16"/>
              </w:rPr>
              <w:t>Сближаване, устойчивост и ценности</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5EE8FE80"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74 564 290 949</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2B784EF1"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33 719 596 204</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4179303E"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13 186 000</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613C994E"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13 186 000</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6CD23CEB"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74 577 476 949</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5877FFAD"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33 732 782 204</w:t>
            </w:r>
          </w:p>
        </w:tc>
        <w:tc>
          <w:tcPr>
            <w:tcW w:w="17" w:type="pct"/>
            <w:vAlign w:val="center"/>
            <w:hideMark/>
          </w:tcPr>
          <w:p w14:paraId="0E9876E1" w14:textId="77777777" w:rsidR="003D5E0A" w:rsidRPr="002703B7" w:rsidRDefault="003D5E0A">
            <w:pPr>
              <w:rPr>
                <w:rFonts w:ascii="Times New Roman" w:hAnsi="Times New Roman" w:cs="Times New Roman"/>
                <w:noProof/>
                <w:sz w:val="20"/>
                <w:szCs w:val="20"/>
              </w:rPr>
            </w:pPr>
          </w:p>
        </w:tc>
      </w:tr>
      <w:tr w:rsidR="003D5E0A" w:rsidRPr="003D5E0A" w14:paraId="54B69521" w14:textId="77777777" w:rsidTr="003D5E0A">
        <w:trPr>
          <w:trHeight w:val="450"/>
        </w:trPr>
        <w:tc>
          <w:tcPr>
            <w:tcW w:w="177" w:type="pct"/>
            <w:tcBorders>
              <w:top w:val="nil"/>
              <w:left w:val="single" w:sz="8" w:space="0" w:color="auto"/>
              <w:bottom w:val="dotted" w:sz="4" w:space="0" w:color="auto"/>
              <w:right w:val="nil"/>
            </w:tcBorders>
            <w:shd w:val="clear" w:color="000000" w:fill="FFFFFF"/>
            <w:tcMar>
              <w:top w:w="15" w:type="dxa"/>
              <w:left w:w="15" w:type="dxa"/>
              <w:bottom w:w="0" w:type="dxa"/>
              <w:right w:w="15" w:type="dxa"/>
            </w:tcMar>
            <w:vAlign w:val="center"/>
            <w:hideMark/>
          </w:tcPr>
          <w:p w14:paraId="6C3F44D1"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523FEFB9"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От които по Инструмента за гъвкавост</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79DC7853"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1 293 095 333</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1A010C7A"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354875C5"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13 186 000</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37DACB0D"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5FAC8C4F"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1 306 281 333</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798FA3B0"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17" w:type="pct"/>
            <w:vAlign w:val="center"/>
            <w:hideMark/>
          </w:tcPr>
          <w:p w14:paraId="168793D9" w14:textId="77777777" w:rsidR="003D5E0A" w:rsidRPr="002703B7" w:rsidRDefault="003D5E0A">
            <w:pPr>
              <w:rPr>
                <w:rFonts w:ascii="Times New Roman" w:hAnsi="Times New Roman" w:cs="Times New Roman"/>
                <w:noProof/>
                <w:sz w:val="20"/>
                <w:szCs w:val="20"/>
              </w:rPr>
            </w:pPr>
          </w:p>
        </w:tc>
      </w:tr>
      <w:tr w:rsidR="003D5E0A" w:rsidRPr="003D5E0A" w14:paraId="122E029C" w14:textId="77777777" w:rsidTr="003D5E0A">
        <w:trPr>
          <w:trHeight w:val="300"/>
        </w:trPr>
        <w:tc>
          <w:tcPr>
            <w:tcW w:w="177" w:type="pct"/>
            <w:tcBorders>
              <w:top w:val="nil"/>
              <w:left w:val="single" w:sz="8" w:space="0" w:color="auto"/>
              <w:bottom w:val="dotted" w:sz="4" w:space="0" w:color="auto"/>
              <w:right w:val="nil"/>
            </w:tcBorders>
            <w:shd w:val="clear" w:color="000000" w:fill="FFFFFF"/>
            <w:tcMar>
              <w:top w:w="15" w:type="dxa"/>
              <w:left w:w="15" w:type="dxa"/>
              <w:bottom w:w="0" w:type="dxa"/>
              <w:right w:w="15" w:type="dxa"/>
            </w:tcMar>
            <w:vAlign w:val="center"/>
            <w:hideMark/>
          </w:tcPr>
          <w:p w14:paraId="24A478D3"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54BBF045"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Таван</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48FD7B0E"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73 289 000 000</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3F66A8D2"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606746DF"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7516B6E5"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03735FE3"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73 289 000 000</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7C324221"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17" w:type="pct"/>
            <w:vAlign w:val="center"/>
            <w:hideMark/>
          </w:tcPr>
          <w:p w14:paraId="2F1FF4CF" w14:textId="77777777" w:rsidR="003D5E0A" w:rsidRPr="002703B7" w:rsidRDefault="003D5E0A">
            <w:pPr>
              <w:rPr>
                <w:rFonts w:ascii="Times New Roman" w:hAnsi="Times New Roman" w:cs="Times New Roman"/>
                <w:noProof/>
                <w:sz w:val="20"/>
                <w:szCs w:val="20"/>
              </w:rPr>
            </w:pPr>
          </w:p>
        </w:tc>
      </w:tr>
      <w:tr w:rsidR="003D5E0A" w:rsidRPr="003D5E0A" w14:paraId="6672AF4F" w14:textId="77777777" w:rsidTr="003D5E0A">
        <w:trPr>
          <w:trHeight w:val="300"/>
        </w:trPr>
        <w:tc>
          <w:tcPr>
            <w:tcW w:w="177" w:type="pct"/>
            <w:tcBorders>
              <w:top w:val="nil"/>
              <w:left w:val="single" w:sz="8" w:space="0" w:color="auto"/>
              <w:bottom w:val="dotted" w:sz="4" w:space="0" w:color="auto"/>
              <w:right w:val="nil"/>
            </w:tcBorders>
            <w:shd w:val="clear" w:color="000000" w:fill="FFFFFF"/>
            <w:tcMar>
              <w:top w:w="15" w:type="dxa"/>
              <w:left w:w="15" w:type="dxa"/>
              <w:bottom w:w="0" w:type="dxa"/>
              <w:right w:w="15" w:type="dxa"/>
            </w:tcMar>
            <w:vAlign w:val="center"/>
            <w:hideMark/>
          </w:tcPr>
          <w:p w14:paraId="1E7B7D84"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028AFBD0"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Марж</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28EAF949"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17 804 384</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596A2B21"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59057803"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41DA01ED"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6388BE15"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17 804 384</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0FF1156E"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17" w:type="pct"/>
            <w:vAlign w:val="center"/>
            <w:hideMark/>
          </w:tcPr>
          <w:p w14:paraId="2ECFE2B8" w14:textId="77777777" w:rsidR="003D5E0A" w:rsidRPr="002703B7" w:rsidRDefault="003D5E0A">
            <w:pPr>
              <w:rPr>
                <w:rFonts w:ascii="Times New Roman" w:hAnsi="Times New Roman" w:cs="Times New Roman"/>
                <w:noProof/>
                <w:sz w:val="20"/>
                <w:szCs w:val="20"/>
              </w:rPr>
            </w:pPr>
          </w:p>
        </w:tc>
      </w:tr>
      <w:tr w:rsidR="003D5E0A" w:rsidRPr="003D5E0A" w14:paraId="304B3757" w14:textId="77777777" w:rsidTr="003D5E0A">
        <w:trPr>
          <w:trHeight w:val="450"/>
        </w:trPr>
        <w:tc>
          <w:tcPr>
            <w:tcW w:w="177" w:type="pct"/>
            <w:tcBorders>
              <w:top w:val="nil"/>
              <w:left w:val="single" w:sz="8" w:space="0" w:color="auto"/>
              <w:bottom w:val="dotted" w:sz="4" w:space="0" w:color="auto"/>
              <w:right w:val="nil"/>
            </w:tcBorders>
            <w:shd w:val="clear" w:color="000000" w:fill="D9D9D9"/>
            <w:tcMar>
              <w:top w:w="15" w:type="dxa"/>
              <w:left w:w="15" w:type="dxa"/>
              <w:bottom w:w="0" w:type="dxa"/>
              <w:right w:w="15" w:type="dxa"/>
            </w:tcMar>
            <w:vAlign w:val="center"/>
            <w:hideMark/>
          </w:tcPr>
          <w:p w14:paraId="528ED222"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2a.</w:t>
            </w:r>
          </w:p>
        </w:tc>
        <w:tc>
          <w:tcPr>
            <w:tcW w:w="950"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4C203F56"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Икономическо, социално и териториално сближаване</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0C2AB00B" w14:textId="77777777" w:rsidR="003D5E0A" w:rsidRPr="002703B7" w:rsidRDefault="003D5E0A">
            <w:pPr>
              <w:jc w:val="right"/>
              <w:rPr>
                <w:rFonts w:ascii="Times New Roman" w:hAnsi="Times New Roman" w:cs="Times New Roman"/>
                <w:noProof/>
                <w:color w:val="000000"/>
                <w:sz w:val="16"/>
                <w:szCs w:val="16"/>
              </w:rPr>
            </w:pPr>
            <w:r>
              <w:rPr>
                <w:rFonts w:ascii="Times New Roman" w:hAnsi="Times New Roman"/>
                <w:noProof/>
                <w:color w:val="000000"/>
                <w:sz w:val="16"/>
              </w:rPr>
              <w:t>64 665 195 616</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5CB05BC1" w14:textId="77777777" w:rsidR="003D5E0A" w:rsidRPr="002703B7" w:rsidRDefault="003D5E0A">
            <w:pPr>
              <w:jc w:val="right"/>
              <w:rPr>
                <w:rFonts w:ascii="Times New Roman" w:hAnsi="Times New Roman" w:cs="Times New Roman"/>
                <w:noProof/>
                <w:color w:val="000000"/>
                <w:sz w:val="16"/>
                <w:szCs w:val="16"/>
              </w:rPr>
            </w:pPr>
            <w:r>
              <w:rPr>
                <w:rFonts w:ascii="Times New Roman" w:hAnsi="Times New Roman"/>
                <w:noProof/>
                <w:color w:val="000000"/>
                <w:sz w:val="16"/>
              </w:rPr>
              <w:t>24 155 654 152</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74BCD912" w14:textId="77777777" w:rsidR="003D5E0A" w:rsidRPr="002703B7" w:rsidRDefault="003D5E0A">
            <w:pPr>
              <w:jc w:val="right"/>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0BE07F34" w14:textId="77777777" w:rsidR="003D5E0A" w:rsidRPr="002703B7" w:rsidRDefault="003D5E0A">
            <w:pPr>
              <w:jc w:val="right"/>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3E7CA484" w14:textId="77777777" w:rsidR="003D5E0A" w:rsidRPr="002703B7" w:rsidRDefault="003D5E0A">
            <w:pPr>
              <w:jc w:val="right"/>
              <w:rPr>
                <w:rFonts w:ascii="Times New Roman" w:hAnsi="Times New Roman" w:cs="Times New Roman"/>
                <w:noProof/>
                <w:color w:val="000000"/>
                <w:sz w:val="16"/>
                <w:szCs w:val="16"/>
              </w:rPr>
            </w:pPr>
            <w:r>
              <w:rPr>
                <w:rFonts w:ascii="Times New Roman" w:hAnsi="Times New Roman"/>
                <w:noProof/>
                <w:color w:val="000000"/>
                <w:sz w:val="16"/>
              </w:rPr>
              <w:t>64 665 195 616</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4EC01F63" w14:textId="77777777" w:rsidR="003D5E0A" w:rsidRPr="002703B7" w:rsidRDefault="003D5E0A">
            <w:pPr>
              <w:jc w:val="right"/>
              <w:rPr>
                <w:rFonts w:ascii="Times New Roman" w:hAnsi="Times New Roman" w:cs="Times New Roman"/>
                <w:noProof/>
                <w:color w:val="000000"/>
                <w:sz w:val="16"/>
                <w:szCs w:val="16"/>
              </w:rPr>
            </w:pPr>
            <w:r>
              <w:rPr>
                <w:rFonts w:ascii="Times New Roman" w:hAnsi="Times New Roman"/>
                <w:noProof/>
                <w:color w:val="000000"/>
                <w:sz w:val="16"/>
              </w:rPr>
              <w:t>24 155 654 152</w:t>
            </w:r>
          </w:p>
        </w:tc>
        <w:tc>
          <w:tcPr>
            <w:tcW w:w="17" w:type="pct"/>
            <w:vAlign w:val="center"/>
            <w:hideMark/>
          </w:tcPr>
          <w:p w14:paraId="3B810516" w14:textId="77777777" w:rsidR="003D5E0A" w:rsidRPr="002703B7" w:rsidRDefault="003D5E0A">
            <w:pPr>
              <w:rPr>
                <w:rFonts w:ascii="Times New Roman" w:hAnsi="Times New Roman" w:cs="Times New Roman"/>
                <w:noProof/>
                <w:sz w:val="20"/>
                <w:szCs w:val="20"/>
              </w:rPr>
            </w:pPr>
          </w:p>
        </w:tc>
      </w:tr>
      <w:tr w:rsidR="003D5E0A" w:rsidRPr="003D5E0A" w14:paraId="2017DDF4" w14:textId="77777777" w:rsidTr="003D5E0A">
        <w:trPr>
          <w:trHeight w:val="300"/>
        </w:trPr>
        <w:tc>
          <w:tcPr>
            <w:tcW w:w="177" w:type="pct"/>
            <w:tcBorders>
              <w:top w:val="nil"/>
              <w:left w:val="single" w:sz="8" w:space="0" w:color="auto"/>
              <w:bottom w:val="dotted" w:sz="4" w:space="0" w:color="auto"/>
              <w:right w:val="nil"/>
            </w:tcBorders>
            <w:shd w:val="clear" w:color="000000" w:fill="FFFFFF"/>
            <w:tcMar>
              <w:top w:w="15" w:type="dxa"/>
              <w:left w:w="15" w:type="dxa"/>
              <w:bottom w:w="0" w:type="dxa"/>
              <w:right w:w="15" w:type="dxa"/>
            </w:tcMar>
            <w:vAlign w:val="center"/>
            <w:hideMark/>
          </w:tcPr>
          <w:p w14:paraId="0A2433F1"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29E95B1A"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Таван</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7858B0E9"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64 683 000 000</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7D87CAE2"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5D7F4433"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76683B5B"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17BA024E"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64 683 000 000</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55F721B5"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17" w:type="pct"/>
            <w:vAlign w:val="center"/>
            <w:hideMark/>
          </w:tcPr>
          <w:p w14:paraId="04D4FF83" w14:textId="77777777" w:rsidR="003D5E0A" w:rsidRPr="002703B7" w:rsidRDefault="003D5E0A">
            <w:pPr>
              <w:rPr>
                <w:rFonts w:ascii="Times New Roman" w:hAnsi="Times New Roman" w:cs="Times New Roman"/>
                <w:noProof/>
                <w:sz w:val="20"/>
                <w:szCs w:val="20"/>
              </w:rPr>
            </w:pPr>
          </w:p>
        </w:tc>
      </w:tr>
      <w:tr w:rsidR="003D5E0A" w:rsidRPr="003D5E0A" w14:paraId="18F361C0" w14:textId="77777777" w:rsidTr="003D5E0A">
        <w:trPr>
          <w:trHeight w:val="300"/>
        </w:trPr>
        <w:tc>
          <w:tcPr>
            <w:tcW w:w="177" w:type="pct"/>
            <w:tcBorders>
              <w:top w:val="nil"/>
              <w:left w:val="single" w:sz="8" w:space="0" w:color="auto"/>
              <w:bottom w:val="dotted" w:sz="4" w:space="0" w:color="auto"/>
              <w:right w:val="nil"/>
            </w:tcBorders>
            <w:shd w:val="clear" w:color="000000" w:fill="FFFFFF"/>
            <w:tcMar>
              <w:top w:w="15" w:type="dxa"/>
              <w:left w:w="15" w:type="dxa"/>
              <w:bottom w:w="0" w:type="dxa"/>
              <w:right w:w="15" w:type="dxa"/>
            </w:tcMar>
            <w:vAlign w:val="center"/>
            <w:hideMark/>
          </w:tcPr>
          <w:p w14:paraId="113B9B36"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36BE14B3"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Марж</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352CE5B4"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17 804 384</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1674F998"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2097EF79"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7FCAB1B8"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1E10EBF6"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17 804 384</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0A39099F"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17" w:type="pct"/>
            <w:vAlign w:val="center"/>
            <w:hideMark/>
          </w:tcPr>
          <w:p w14:paraId="4932D6A7" w14:textId="77777777" w:rsidR="003D5E0A" w:rsidRPr="002703B7" w:rsidRDefault="003D5E0A">
            <w:pPr>
              <w:rPr>
                <w:rFonts w:ascii="Times New Roman" w:hAnsi="Times New Roman" w:cs="Times New Roman"/>
                <w:noProof/>
                <w:sz w:val="20"/>
                <w:szCs w:val="20"/>
              </w:rPr>
            </w:pPr>
          </w:p>
        </w:tc>
      </w:tr>
      <w:tr w:rsidR="003D5E0A" w:rsidRPr="003D5E0A" w14:paraId="4F84494C" w14:textId="77777777" w:rsidTr="003D5E0A">
        <w:trPr>
          <w:trHeight w:val="300"/>
        </w:trPr>
        <w:tc>
          <w:tcPr>
            <w:tcW w:w="177" w:type="pct"/>
            <w:tcBorders>
              <w:top w:val="nil"/>
              <w:left w:val="single" w:sz="8" w:space="0" w:color="auto"/>
              <w:bottom w:val="dotted" w:sz="4" w:space="0" w:color="auto"/>
              <w:right w:val="nil"/>
            </w:tcBorders>
            <w:shd w:val="clear" w:color="000000" w:fill="D9D9D9"/>
            <w:tcMar>
              <w:top w:w="15" w:type="dxa"/>
              <w:left w:w="15" w:type="dxa"/>
              <w:bottom w:w="0" w:type="dxa"/>
              <w:right w:w="15" w:type="dxa"/>
            </w:tcMar>
            <w:vAlign w:val="center"/>
            <w:hideMark/>
          </w:tcPr>
          <w:p w14:paraId="423E7092"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2б.</w:t>
            </w:r>
          </w:p>
        </w:tc>
        <w:tc>
          <w:tcPr>
            <w:tcW w:w="950"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70716CF9"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Устойчивост и ценности</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4A6E87CA" w14:textId="77777777" w:rsidR="003D5E0A" w:rsidRPr="002703B7" w:rsidRDefault="003D5E0A">
            <w:pPr>
              <w:jc w:val="right"/>
              <w:rPr>
                <w:rFonts w:ascii="Times New Roman" w:hAnsi="Times New Roman" w:cs="Times New Roman"/>
                <w:noProof/>
                <w:color w:val="000000"/>
                <w:sz w:val="16"/>
                <w:szCs w:val="16"/>
              </w:rPr>
            </w:pPr>
            <w:r>
              <w:rPr>
                <w:rFonts w:ascii="Times New Roman" w:hAnsi="Times New Roman"/>
                <w:noProof/>
                <w:color w:val="000000"/>
                <w:sz w:val="16"/>
              </w:rPr>
              <w:t>9 899 095 333</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0D5C29A0" w14:textId="77777777" w:rsidR="003D5E0A" w:rsidRPr="002703B7" w:rsidRDefault="003D5E0A">
            <w:pPr>
              <w:jc w:val="right"/>
              <w:rPr>
                <w:rFonts w:ascii="Times New Roman" w:hAnsi="Times New Roman" w:cs="Times New Roman"/>
                <w:noProof/>
                <w:color w:val="000000"/>
                <w:sz w:val="16"/>
                <w:szCs w:val="16"/>
              </w:rPr>
            </w:pPr>
            <w:r>
              <w:rPr>
                <w:rFonts w:ascii="Times New Roman" w:hAnsi="Times New Roman"/>
                <w:noProof/>
                <w:color w:val="000000"/>
                <w:sz w:val="16"/>
              </w:rPr>
              <w:t>9 563 942 052</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23B59F6A" w14:textId="77777777" w:rsidR="003D5E0A" w:rsidRPr="002703B7" w:rsidRDefault="003D5E0A">
            <w:pPr>
              <w:jc w:val="right"/>
              <w:rPr>
                <w:rFonts w:ascii="Times New Roman" w:hAnsi="Times New Roman" w:cs="Times New Roman"/>
                <w:noProof/>
                <w:color w:val="000000"/>
                <w:sz w:val="16"/>
                <w:szCs w:val="16"/>
              </w:rPr>
            </w:pPr>
            <w:r>
              <w:rPr>
                <w:rFonts w:ascii="Times New Roman" w:hAnsi="Times New Roman"/>
                <w:noProof/>
                <w:color w:val="000000"/>
                <w:sz w:val="16"/>
              </w:rPr>
              <w:t>13 186 000</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09B17982" w14:textId="77777777" w:rsidR="003D5E0A" w:rsidRPr="002703B7" w:rsidRDefault="003D5E0A">
            <w:pPr>
              <w:jc w:val="right"/>
              <w:rPr>
                <w:rFonts w:ascii="Times New Roman" w:hAnsi="Times New Roman" w:cs="Times New Roman"/>
                <w:noProof/>
                <w:color w:val="000000"/>
                <w:sz w:val="16"/>
                <w:szCs w:val="16"/>
              </w:rPr>
            </w:pPr>
            <w:r>
              <w:rPr>
                <w:rFonts w:ascii="Times New Roman" w:hAnsi="Times New Roman"/>
                <w:noProof/>
                <w:color w:val="000000"/>
                <w:sz w:val="16"/>
              </w:rPr>
              <w:t>13 186 000</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788F1517" w14:textId="77777777" w:rsidR="003D5E0A" w:rsidRPr="002703B7" w:rsidRDefault="003D5E0A">
            <w:pPr>
              <w:jc w:val="right"/>
              <w:rPr>
                <w:rFonts w:ascii="Times New Roman" w:hAnsi="Times New Roman" w:cs="Times New Roman"/>
                <w:noProof/>
                <w:color w:val="000000"/>
                <w:sz w:val="16"/>
                <w:szCs w:val="16"/>
              </w:rPr>
            </w:pPr>
            <w:r>
              <w:rPr>
                <w:rFonts w:ascii="Times New Roman" w:hAnsi="Times New Roman"/>
                <w:noProof/>
                <w:color w:val="000000"/>
                <w:sz w:val="16"/>
              </w:rPr>
              <w:t>9 912 281 333</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2428FB48" w14:textId="77777777" w:rsidR="003D5E0A" w:rsidRPr="002703B7" w:rsidRDefault="003D5E0A">
            <w:pPr>
              <w:jc w:val="right"/>
              <w:rPr>
                <w:rFonts w:ascii="Times New Roman" w:hAnsi="Times New Roman" w:cs="Times New Roman"/>
                <w:noProof/>
                <w:color w:val="000000"/>
                <w:sz w:val="16"/>
                <w:szCs w:val="16"/>
              </w:rPr>
            </w:pPr>
            <w:r>
              <w:rPr>
                <w:rFonts w:ascii="Times New Roman" w:hAnsi="Times New Roman"/>
                <w:noProof/>
                <w:color w:val="000000"/>
                <w:sz w:val="16"/>
              </w:rPr>
              <w:t>9 577 128 052</w:t>
            </w:r>
          </w:p>
        </w:tc>
        <w:tc>
          <w:tcPr>
            <w:tcW w:w="17" w:type="pct"/>
            <w:vAlign w:val="center"/>
            <w:hideMark/>
          </w:tcPr>
          <w:p w14:paraId="533CD099" w14:textId="77777777" w:rsidR="003D5E0A" w:rsidRPr="002703B7" w:rsidRDefault="003D5E0A">
            <w:pPr>
              <w:rPr>
                <w:rFonts w:ascii="Times New Roman" w:hAnsi="Times New Roman" w:cs="Times New Roman"/>
                <w:noProof/>
                <w:sz w:val="20"/>
                <w:szCs w:val="20"/>
              </w:rPr>
            </w:pPr>
          </w:p>
        </w:tc>
      </w:tr>
      <w:tr w:rsidR="003D5E0A" w:rsidRPr="003D5E0A" w14:paraId="7B1D08F0" w14:textId="77777777" w:rsidTr="003D5E0A">
        <w:trPr>
          <w:trHeight w:val="450"/>
        </w:trPr>
        <w:tc>
          <w:tcPr>
            <w:tcW w:w="177" w:type="pct"/>
            <w:tcBorders>
              <w:top w:val="nil"/>
              <w:left w:val="single" w:sz="8" w:space="0" w:color="auto"/>
              <w:bottom w:val="dotted" w:sz="4" w:space="0" w:color="auto"/>
              <w:right w:val="nil"/>
            </w:tcBorders>
            <w:shd w:val="clear" w:color="000000" w:fill="FFFFFF"/>
            <w:tcMar>
              <w:top w:w="15" w:type="dxa"/>
              <w:left w:w="15" w:type="dxa"/>
              <w:bottom w:w="0" w:type="dxa"/>
              <w:right w:w="15" w:type="dxa"/>
            </w:tcMar>
            <w:vAlign w:val="center"/>
            <w:hideMark/>
          </w:tcPr>
          <w:p w14:paraId="36D03D97"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6DD78C17"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От които по Инструмента за гъвкавост</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01263E14"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1 293 095 333</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33283226"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2818AE14"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13 186 000</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55DB052D"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4E62719E"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1 306 281 333</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31AD8986"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17" w:type="pct"/>
            <w:vAlign w:val="center"/>
            <w:hideMark/>
          </w:tcPr>
          <w:p w14:paraId="6981AC53" w14:textId="77777777" w:rsidR="003D5E0A" w:rsidRPr="002703B7" w:rsidRDefault="003D5E0A">
            <w:pPr>
              <w:rPr>
                <w:rFonts w:ascii="Times New Roman" w:hAnsi="Times New Roman" w:cs="Times New Roman"/>
                <w:noProof/>
                <w:sz w:val="20"/>
                <w:szCs w:val="20"/>
              </w:rPr>
            </w:pPr>
          </w:p>
        </w:tc>
      </w:tr>
      <w:tr w:rsidR="003D5E0A" w:rsidRPr="003D5E0A" w14:paraId="700D69B3" w14:textId="77777777" w:rsidTr="003D5E0A">
        <w:trPr>
          <w:trHeight w:val="300"/>
        </w:trPr>
        <w:tc>
          <w:tcPr>
            <w:tcW w:w="177" w:type="pct"/>
            <w:tcBorders>
              <w:top w:val="nil"/>
              <w:left w:val="single" w:sz="8" w:space="0" w:color="auto"/>
              <w:bottom w:val="dotted" w:sz="4" w:space="0" w:color="auto"/>
              <w:right w:val="nil"/>
            </w:tcBorders>
            <w:shd w:val="clear" w:color="000000" w:fill="FFFFFF"/>
            <w:tcMar>
              <w:top w:w="15" w:type="dxa"/>
              <w:left w:w="15" w:type="dxa"/>
              <w:bottom w:w="0" w:type="dxa"/>
              <w:right w:w="15" w:type="dxa"/>
            </w:tcMar>
            <w:vAlign w:val="center"/>
            <w:hideMark/>
          </w:tcPr>
          <w:p w14:paraId="1D06FBCC"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2FF691BC"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Таван</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21419DDC"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8 606 000 000</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6D51BC1D"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73AA9167"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719919C5"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197E966D"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8 606 000 000</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285D90D1"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17" w:type="pct"/>
            <w:vAlign w:val="center"/>
            <w:hideMark/>
          </w:tcPr>
          <w:p w14:paraId="288964C3" w14:textId="77777777" w:rsidR="003D5E0A" w:rsidRPr="002703B7" w:rsidRDefault="003D5E0A">
            <w:pPr>
              <w:rPr>
                <w:rFonts w:ascii="Times New Roman" w:hAnsi="Times New Roman" w:cs="Times New Roman"/>
                <w:noProof/>
                <w:sz w:val="20"/>
                <w:szCs w:val="20"/>
              </w:rPr>
            </w:pPr>
          </w:p>
        </w:tc>
      </w:tr>
      <w:tr w:rsidR="003D5E0A" w:rsidRPr="003D5E0A" w14:paraId="725EB051" w14:textId="77777777" w:rsidTr="003D5E0A">
        <w:trPr>
          <w:trHeight w:val="315"/>
        </w:trPr>
        <w:tc>
          <w:tcPr>
            <w:tcW w:w="177" w:type="pct"/>
            <w:tcBorders>
              <w:top w:val="nil"/>
              <w:left w:val="single" w:sz="8" w:space="0" w:color="auto"/>
              <w:bottom w:val="single" w:sz="8" w:space="0" w:color="auto"/>
              <w:right w:val="nil"/>
            </w:tcBorders>
            <w:shd w:val="clear" w:color="000000" w:fill="FFFFFF"/>
            <w:tcMar>
              <w:top w:w="15" w:type="dxa"/>
              <w:left w:w="15" w:type="dxa"/>
              <w:bottom w:w="0" w:type="dxa"/>
              <w:right w:w="15" w:type="dxa"/>
            </w:tcMar>
            <w:vAlign w:val="center"/>
            <w:hideMark/>
          </w:tcPr>
          <w:p w14:paraId="16F17155"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4795982E"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Марж</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50FBEF6E"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6C1D3D2E"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8C0EEF8"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nil"/>
              <w:right w:val="single" w:sz="8" w:space="0" w:color="auto"/>
            </w:tcBorders>
            <w:shd w:val="clear" w:color="000000" w:fill="FFFFFF"/>
            <w:tcMar>
              <w:top w:w="15" w:type="dxa"/>
              <w:left w:w="15" w:type="dxa"/>
              <w:bottom w:w="0" w:type="dxa"/>
              <w:right w:w="15" w:type="dxa"/>
            </w:tcMar>
            <w:vAlign w:val="center"/>
            <w:hideMark/>
          </w:tcPr>
          <w:p w14:paraId="5C9C713D"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nil"/>
              <w:right w:val="single" w:sz="8" w:space="0" w:color="auto"/>
            </w:tcBorders>
            <w:shd w:val="clear" w:color="000000" w:fill="FFFFFF"/>
            <w:tcMar>
              <w:top w:w="15" w:type="dxa"/>
              <w:left w:w="15" w:type="dxa"/>
              <w:bottom w:w="0" w:type="dxa"/>
              <w:right w:w="15" w:type="dxa"/>
            </w:tcMar>
            <w:vAlign w:val="center"/>
            <w:hideMark/>
          </w:tcPr>
          <w:p w14:paraId="78B1267F"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nil"/>
              <w:right w:val="single" w:sz="8" w:space="0" w:color="auto"/>
            </w:tcBorders>
            <w:shd w:val="clear" w:color="000000" w:fill="FFFFFF"/>
            <w:tcMar>
              <w:top w:w="15" w:type="dxa"/>
              <w:left w:w="15" w:type="dxa"/>
              <w:bottom w:w="0" w:type="dxa"/>
              <w:right w:w="15" w:type="dxa"/>
            </w:tcMar>
            <w:vAlign w:val="center"/>
            <w:hideMark/>
          </w:tcPr>
          <w:p w14:paraId="3F1EC136"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17" w:type="pct"/>
            <w:vAlign w:val="center"/>
            <w:hideMark/>
          </w:tcPr>
          <w:p w14:paraId="19E6FDD3" w14:textId="77777777" w:rsidR="003D5E0A" w:rsidRPr="002703B7" w:rsidRDefault="003D5E0A">
            <w:pPr>
              <w:rPr>
                <w:rFonts w:ascii="Times New Roman" w:hAnsi="Times New Roman" w:cs="Times New Roman"/>
                <w:noProof/>
                <w:sz w:val="20"/>
                <w:szCs w:val="20"/>
              </w:rPr>
            </w:pPr>
          </w:p>
        </w:tc>
      </w:tr>
      <w:tr w:rsidR="003D5E0A" w:rsidRPr="003D5E0A" w14:paraId="7549229D" w14:textId="77777777" w:rsidTr="003D5E0A">
        <w:trPr>
          <w:trHeight w:val="420"/>
        </w:trPr>
        <w:tc>
          <w:tcPr>
            <w:tcW w:w="177" w:type="pct"/>
            <w:tcBorders>
              <w:top w:val="nil"/>
              <w:left w:val="single" w:sz="8" w:space="0" w:color="auto"/>
              <w:bottom w:val="dotted" w:sz="4" w:space="0" w:color="auto"/>
              <w:right w:val="nil"/>
            </w:tcBorders>
            <w:shd w:val="clear" w:color="000000" w:fill="D9D9D9"/>
            <w:tcMar>
              <w:top w:w="15" w:type="dxa"/>
              <w:left w:w="15" w:type="dxa"/>
              <w:bottom w:w="0" w:type="dxa"/>
              <w:right w:w="15" w:type="dxa"/>
            </w:tcMar>
            <w:vAlign w:val="center"/>
            <w:hideMark/>
          </w:tcPr>
          <w:p w14:paraId="33267403" w14:textId="77777777" w:rsidR="003D5E0A" w:rsidRPr="002703B7" w:rsidRDefault="003D5E0A">
            <w:pPr>
              <w:jc w:val="both"/>
              <w:rPr>
                <w:rFonts w:ascii="Times New Roman" w:hAnsi="Times New Roman" w:cs="Times New Roman"/>
                <w:b/>
                <w:bCs/>
                <w:noProof/>
                <w:color w:val="000000"/>
                <w:sz w:val="16"/>
                <w:szCs w:val="16"/>
              </w:rPr>
            </w:pPr>
            <w:r>
              <w:rPr>
                <w:rFonts w:ascii="Times New Roman" w:hAnsi="Times New Roman"/>
                <w:b/>
                <w:noProof/>
                <w:color w:val="000000"/>
                <w:sz w:val="16"/>
              </w:rPr>
              <w:t>3</w:t>
            </w:r>
          </w:p>
        </w:tc>
        <w:tc>
          <w:tcPr>
            <w:tcW w:w="950"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653D5EDF" w14:textId="77777777" w:rsidR="003D5E0A" w:rsidRPr="002703B7" w:rsidRDefault="003D5E0A">
            <w:pPr>
              <w:jc w:val="both"/>
              <w:rPr>
                <w:rFonts w:ascii="Times New Roman" w:hAnsi="Times New Roman" w:cs="Times New Roman"/>
                <w:b/>
                <w:bCs/>
                <w:noProof/>
                <w:color w:val="000000"/>
                <w:sz w:val="16"/>
                <w:szCs w:val="16"/>
              </w:rPr>
            </w:pPr>
            <w:r>
              <w:rPr>
                <w:rFonts w:ascii="Times New Roman" w:hAnsi="Times New Roman"/>
                <w:b/>
                <w:noProof/>
                <w:color w:val="000000"/>
                <w:sz w:val="16"/>
              </w:rPr>
              <w:t>Природни ресурси и околна среда</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7E6D6B4C"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57 338 630 839</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46BA3E17"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54 151 402 941</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71ECDF61"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 </w:t>
            </w:r>
          </w:p>
        </w:tc>
        <w:tc>
          <w:tcPr>
            <w:tcW w:w="643" w:type="pct"/>
            <w:tcBorders>
              <w:top w:val="single" w:sz="8" w:space="0" w:color="auto"/>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27428314"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 </w:t>
            </w:r>
          </w:p>
        </w:tc>
        <w:tc>
          <w:tcPr>
            <w:tcW w:w="643" w:type="pct"/>
            <w:tcBorders>
              <w:top w:val="single" w:sz="8" w:space="0" w:color="auto"/>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3DAB4D0A"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57 338 630 839</w:t>
            </w:r>
          </w:p>
        </w:tc>
        <w:tc>
          <w:tcPr>
            <w:tcW w:w="643" w:type="pct"/>
            <w:tcBorders>
              <w:top w:val="single" w:sz="8" w:space="0" w:color="auto"/>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6FB74A01"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54 151 402 941</w:t>
            </w:r>
          </w:p>
        </w:tc>
        <w:tc>
          <w:tcPr>
            <w:tcW w:w="17" w:type="pct"/>
            <w:vAlign w:val="center"/>
            <w:hideMark/>
          </w:tcPr>
          <w:p w14:paraId="659EEC3E" w14:textId="77777777" w:rsidR="003D5E0A" w:rsidRPr="002703B7" w:rsidRDefault="003D5E0A">
            <w:pPr>
              <w:rPr>
                <w:rFonts w:ascii="Times New Roman" w:hAnsi="Times New Roman" w:cs="Times New Roman"/>
                <w:noProof/>
                <w:sz w:val="20"/>
                <w:szCs w:val="20"/>
              </w:rPr>
            </w:pPr>
          </w:p>
        </w:tc>
      </w:tr>
      <w:tr w:rsidR="003D5E0A" w:rsidRPr="003D5E0A" w14:paraId="5F585D34" w14:textId="77777777" w:rsidTr="003D5E0A">
        <w:trPr>
          <w:trHeight w:val="300"/>
        </w:trPr>
        <w:tc>
          <w:tcPr>
            <w:tcW w:w="177" w:type="pct"/>
            <w:tcBorders>
              <w:top w:val="nil"/>
              <w:left w:val="single" w:sz="8" w:space="0" w:color="auto"/>
              <w:bottom w:val="dotted" w:sz="4" w:space="0" w:color="auto"/>
              <w:right w:val="nil"/>
            </w:tcBorders>
            <w:shd w:val="clear" w:color="000000" w:fill="FFFFFF"/>
            <w:tcMar>
              <w:top w:w="15" w:type="dxa"/>
              <w:left w:w="15" w:type="dxa"/>
              <w:bottom w:w="0" w:type="dxa"/>
              <w:right w:w="15" w:type="dxa"/>
            </w:tcMar>
            <w:vAlign w:val="center"/>
            <w:hideMark/>
          </w:tcPr>
          <w:p w14:paraId="6E3ED8EB"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7C14ABAC"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Таван</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400AF2E0"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57 449 000 000</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7F144BEB"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48B180B0"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5CA2C5C3"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6B89C445"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57 449 000 000</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1F3B83A1"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17" w:type="pct"/>
            <w:vAlign w:val="center"/>
            <w:hideMark/>
          </w:tcPr>
          <w:p w14:paraId="49357501" w14:textId="77777777" w:rsidR="003D5E0A" w:rsidRPr="002703B7" w:rsidRDefault="003D5E0A">
            <w:pPr>
              <w:rPr>
                <w:rFonts w:ascii="Times New Roman" w:hAnsi="Times New Roman" w:cs="Times New Roman"/>
                <w:noProof/>
                <w:sz w:val="20"/>
                <w:szCs w:val="20"/>
              </w:rPr>
            </w:pPr>
          </w:p>
        </w:tc>
      </w:tr>
      <w:tr w:rsidR="006965D0" w:rsidRPr="006965D0" w14:paraId="072A52ED" w14:textId="77777777" w:rsidTr="003D5E0A">
        <w:trPr>
          <w:trHeight w:val="300"/>
        </w:trPr>
        <w:tc>
          <w:tcPr>
            <w:tcW w:w="177" w:type="pct"/>
            <w:tcBorders>
              <w:top w:val="nil"/>
              <w:left w:val="single" w:sz="8" w:space="0" w:color="auto"/>
              <w:bottom w:val="dotted" w:sz="4" w:space="0" w:color="auto"/>
              <w:right w:val="nil"/>
            </w:tcBorders>
            <w:shd w:val="clear" w:color="000000" w:fill="FFFFFF"/>
            <w:tcMar>
              <w:top w:w="15" w:type="dxa"/>
              <w:left w:w="15" w:type="dxa"/>
              <w:bottom w:w="0" w:type="dxa"/>
              <w:right w:w="15" w:type="dxa"/>
            </w:tcMar>
            <w:vAlign w:val="center"/>
            <w:hideMark/>
          </w:tcPr>
          <w:p w14:paraId="1AE25129"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77504598"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Марж</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5D8ABECB"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110 369 161</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2EC66536"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0C259EF0"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1A4F1A42"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67AF0AE0"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110 369 161</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4141165B"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17" w:type="pct"/>
            <w:vAlign w:val="center"/>
            <w:hideMark/>
          </w:tcPr>
          <w:p w14:paraId="790378DF" w14:textId="77777777" w:rsidR="003D5E0A" w:rsidRPr="002703B7" w:rsidRDefault="003D5E0A">
            <w:pPr>
              <w:rPr>
                <w:rFonts w:ascii="Times New Roman" w:hAnsi="Times New Roman" w:cs="Times New Roman"/>
                <w:noProof/>
                <w:sz w:val="20"/>
                <w:szCs w:val="20"/>
              </w:rPr>
            </w:pPr>
          </w:p>
        </w:tc>
      </w:tr>
      <w:tr w:rsidR="006965D0" w:rsidRPr="006965D0" w14:paraId="69CB6F6E" w14:textId="77777777" w:rsidTr="003D5E0A">
        <w:trPr>
          <w:trHeight w:val="630"/>
        </w:trPr>
        <w:tc>
          <w:tcPr>
            <w:tcW w:w="177" w:type="pct"/>
            <w:tcBorders>
              <w:top w:val="nil"/>
              <w:left w:val="single" w:sz="8" w:space="0" w:color="auto"/>
              <w:bottom w:val="dotted" w:sz="4" w:space="0" w:color="auto"/>
              <w:right w:val="nil"/>
            </w:tcBorders>
            <w:shd w:val="clear" w:color="000000" w:fill="D9D9D9"/>
            <w:tcMar>
              <w:top w:w="15" w:type="dxa"/>
              <w:left w:w="15" w:type="dxa"/>
              <w:bottom w:w="0" w:type="dxa"/>
              <w:right w:w="15" w:type="dxa"/>
            </w:tcMar>
            <w:vAlign w:val="center"/>
            <w:hideMark/>
          </w:tcPr>
          <w:p w14:paraId="7978AE7C"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25CABC7E" w14:textId="77777777" w:rsidR="003D5E0A" w:rsidRPr="002703B7" w:rsidRDefault="003D5E0A">
            <w:pPr>
              <w:jc w:val="both"/>
              <w:rPr>
                <w:rFonts w:ascii="Times New Roman" w:hAnsi="Times New Roman" w:cs="Times New Roman"/>
                <w:b/>
                <w:bCs/>
                <w:noProof/>
                <w:color w:val="000000"/>
                <w:sz w:val="16"/>
                <w:szCs w:val="16"/>
              </w:rPr>
            </w:pPr>
            <w:r>
              <w:rPr>
                <w:rFonts w:ascii="Times New Roman" w:hAnsi="Times New Roman"/>
                <w:b/>
                <w:noProof/>
                <w:color w:val="000000"/>
                <w:sz w:val="16"/>
              </w:rPr>
              <w:t>От които: Разходи, свързани с пазара, и преки плащания</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6DADE18C"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40 517 278 000</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42B2A568"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40 505 482 213</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5A804FD6"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 </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0783A268"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 </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5FFA2534"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40 517 278 000</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1A72294A"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40 505 482 213</w:t>
            </w:r>
          </w:p>
        </w:tc>
        <w:tc>
          <w:tcPr>
            <w:tcW w:w="17" w:type="pct"/>
            <w:vAlign w:val="center"/>
            <w:hideMark/>
          </w:tcPr>
          <w:p w14:paraId="28A6B6DA" w14:textId="77777777" w:rsidR="003D5E0A" w:rsidRPr="002703B7" w:rsidRDefault="003D5E0A">
            <w:pPr>
              <w:rPr>
                <w:rFonts w:ascii="Times New Roman" w:hAnsi="Times New Roman" w:cs="Times New Roman"/>
                <w:noProof/>
                <w:sz w:val="20"/>
                <w:szCs w:val="20"/>
              </w:rPr>
            </w:pPr>
          </w:p>
        </w:tc>
      </w:tr>
      <w:tr w:rsidR="006965D0" w:rsidRPr="006965D0" w14:paraId="1BE8EE19" w14:textId="77777777" w:rsidTr="003D5E0A">
        <w:trPr>
          <w:trHeight w:val="300"/>
        </w:trPr>
        <w:tc>
          <w:tcPr>
            <w:tcW w:w="177" w:type="pct"/>
            <w:tcBorders>
              <w:top w:val="nil"/>
              <w:left w:val="single" w:sz="8" w:space="0" w:color="auto"/>
              <w:bottom w:val="dotted" w:sz="4" w:space="0" w:color="auto"/>
              <w:right w:val="nil"/>
            </w:tcBorders>
            <w:shd w:val="clear" w:color="000000" w:fill="FFFFFF"/>
            <w:tcMar>
              <w:top w:w="15" w:type="dxa"/>
              <w:left w:w="15" w:type="dxa"/>
              <w:bottom w:w="0" w:type="dxa"/>
              <w:right w:w="15" w:type="dxa"/>
            </w:tcMar>
            <w:vAlign w:val="center"/>
            <w:hideMark/>
          </w:tcPr>
          <w:p w14:paraId="0550852E"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7D11DCAC"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Подтаван за ЕФГЗ</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314B9DB5"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41 649 000 000</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3CEDFFE5"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117ED78D"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4A1FEA27"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4566C145"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41 649 000 000</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12114B83"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17" w:type="pct"/>
            <w:vAlign w:val="center"/>
            <w:hideMark/>
          </w:tcPr>
          <w:p w14:paraId="3C8A9318" w14:textId="77777777" w:rsidR="003D5E0A" w:rsidRPr="002703B7" w:rsidRDefault="003D5E0A">
            <w:pPr>
              <w:rPr>
                <w:rFonts w:ascii="Times New Roman" w:hAnsi="Times New Roman" w:cs="Times New Roman"/>
                <w:noProof/>
                <w:sz w:val="20"/>
                <w:szCs w:val="20"/>
              </w:rPr>
            </w:pPr>
          </w:p>
        </w:tc>
      </w:tr>
      <w:tr w:rsidR="006965D0" w:rsidRPr="006965D0" w14:paraId="3AB0746D" w14:textId="77777777" w:rsidTr="003D5E0A">
        <w:trPr>
          <w:trHeight w:val="675"/>
        </w:trPr>
        <w:tc>
          <w:tcPr>
            <w:tcW w:w="177" w:type="pct"/>
            <w:tcBorders>
              <w:top w:val="nil"/>
              <w:left w:val="single" w:sz="8" w:space="0" w:color="auto"/>
              <w:bottom w:val="dotted" w:sz="4" w:space="0" w:color="auto"/>
              <w:right w:val="nil"/>
            </w:tcBorders>
            <w:shd w:val="clear" w:color="000000" w:fill="FFFFFF"/>
            <w:tcMar>
              <w:top w:w="15" w:type="dxa"/>
              <w:left w:w="15" w:type="dxa"/>
              <w:bottom w:w="0" w:type="dxa"/>
              <w:right w:w="15" w:type="dxa"/>
            </w:tcMar>
            <w:vAlign w:val="center"/>
            <w:hideMark/>
          </w:tcPr>
          <w:p w14:paraId="620EFAA4"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73B2554B"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xml:space="preserve"> Разлика от закръгляне, изключена от изчислението на подмаржа</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1B7F17C8"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722 000</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75C01F1B"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66764BA3"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63409DBB"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40EFEFE4"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722 000</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4FD2D951"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17" w:type="pct"/>
            <w:vAlign w:val="center"/>
            <w:hideMark/>
          </w:tcPr>
          <w:p w14:paraId="66E7C9F2" w14:textId="77777777" w:rsidR="003D5E0A" w:rsidRPr="002703B7" w:rsidRDefault="003D5E0A">
            <w:pPr>
              <w:rPr>
                <w:rFonts w:ascii="Times New Roman" w:hAnsi="Times New Roman" w:cs="Times New Roman"/>
                <w:noProof/>
                <w:sz w:val="20"/>
                <w:szCs w:val="20"/>
              </w:rPr>
            </w:pPr>
          </w:p>
        </w:tc>
      </w:tr>
      <w:tr w:rsidR="006965D0" w:rsidRPr="006965D0" w14:paraId="72DC325D" w14:textId="77777777" w:rsidTr="003D5E0A">
        <w:trPr>
          <w:trHeight w:val="450"/>
        </w:trPr>
        <w:tc>
          <w:tcPr>
            <w:tcW w:w="177" w:type="pct"/>
            <w:tcBorders>
              <w:top w:val="nil"/>
              <w:left w:val="single" w:sz="8" w:space="0" w:color="auto"/>
              <w:bottom w:val="dotted" w:sz="4" w:space="0" w:color="auto"/>
              <w:right w:val="nil"/>
            </w:tcBorders>
            <w:shd w:val="clear" w:color="000000" w:fill="FFFFFF"/>
            <w:tcMar>
              <w:top w:w="15" w:type="dxa"/>
              <w:left w:w="15" w:type="dxa"/>
              <w:bottom w:w="0" w:type="dxa"/>
              <w:right w:w="15" w:type="dxa"/>
            </w:tcMar>
            <w:vAlign w:val="center"/>
            <w:hideMark/>
          </w:tcPr>
          <w:p w14:paraId="2C48EE67"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04EEB06D"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xml:space="preserve"> Нетни трансфери между ЕФГЗ и ЕЗФРСР</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53F2F241"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-1 046 000 000</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2A448B58"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22A27FBE"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4F0B6E85"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049BBDA3"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-1 046 000 000</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65C6B71B"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17" w:type="pct"/>
            <w:vAlign w:val="center"/>
            <w:hideMark/>
          </w:tcPr>
          <w:p w14:paraId="136B7D0C" w14:textId="77777777" w:rsidR="003D5E0A" w:rsidRPr="002703B7" w:rsidRDefault="003D5E0A">
            <w:pPr>
              <w:rPr>
                <w:rFonts w:ascii="Times New Roman" w:hAnsi="Times New Roman" w:cs="Times New Roman"/>
                <w:noProof/>
                <w:sz w:val="20"/>
                <w:szCs w:val="20"/>
              </w:rPr>
            </w:pPr>
          </w:p>
        </w:tc>
      </w:tr>
      <w:tr w:rsidR="006965D0" w:rsidRPr="006965D0" w14:paraId="0D4D040E" w14:textId="77777777" w:rsidTr="003D5E0A">
        <w:trPr>
          <w:trHeight w:val="1125"/>
        </w:trPr>
        <w:tc>
          <w:tcPr>
            <w:tcW w:w="177" w:type="pct"/>
            <w:tcBorders>
              <w:top w:val="nil"/>
              <w:left w:val="single" w:sz="8" w:space="0" w:color="auto"/>
              <w:bottom w:val="dotted" w:sz="4" w:space="0" w:color="auto"/>
              <w:right w:val="nil"/>
            </w:tcBorders>
            <w:shd w:val="clear" w:color="000000" w:fill="FFFFFF"/>
            <w:tcMar>
              <w:top w:w="15" w:type="dxa"/>
              <w:left w:w="15" w:type="dxa"/>
              <w:bottom w:w="0" w:type="dxa"/>
              <w:right w:w="15" w:type="dxa"/>
            </w:tcMar>
            <w:vAlign w:val="center"/>
            <w:hideMark/>
          </w:tcPr>
          <w:p w14:paraId="7796C1C5"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6D948BB0"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xml:space="preserve"> Нетно салдо, налично за разходите по ЕФГЗ (подтаван, коригиран с трансфери между ЕФГЗ и ЕЗФРСР)</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76BFD924"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40 603 000 000</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38FA442C"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74161CD4"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0F5CF0D9"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7B9063CF"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40 603 000 000</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6D51F821"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17" w:type="pct"/>
            <w:vAlign w:val="center"/>
            <w:hideMark/>
          </w:tcPr>
          <w:p w14:paraId="7CA8F49C" w14:textId="77777777" w:rsidR="003D5E0A" w:rsidRPr="002703B7" w:rsidRDefault="003D5E0A">
            <w:pPr>
              <w:rPr>
                <w:rFonts w:ascii="Times New Roman" w:hAnsi="Times New Roman" w:cs="Times New Roman"/>
                <w:noProof/>
                <w:sz w:val="20"/>
                <w:szCs w:val="20"/>
              </w:rPr>
            </w:pPr>
          </w:p>
        </w:tc>
      </w:tr>
      <w:tr w:rsidR="006965D0" w:rsidRPr="006965D0" w14:paraId="685D0509" w14:textId="77777777" w:rsidTr="003D5E0A">
        <w:trPr>
          <w:trHeight w:val="315"/>
        </w:trPr>
        <w:tc>
          <w:tcPr>
            <w:tcW w:w="177" w:type="pct"/>
            <w:tcBorders>
              <w:top w:val="nil"/>
              <w:left w:val="single" w:sz="8" w:space="0" w:color="auto"/>
              <w:bottom w:val="single" w:sz="8" w:space="0" w:color="auto"/>
              <w:right w:val="nil"/>
            </w:tcBorders>
            <w:shd w:val="clear" w:color="000000" w:fill="FFFFFF"/>
            <w:tcMar>
              <w:top w:w="15" w:type="dxa"/>
              <w:left w:w="15" w:type="dxa"/>
              <w:bottom w:w="0" w:type="dxa"/>
              <w:right w:w="15" w:type="dxa"/>
            </w:tcMar>
            <w:vAlign w:val="center"/>
            <w:hideMark/>
          </w:tcPr>
          <w:p w14:paraId="036E79C9"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4042C5FF"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Подмарж за ЕФГЗ</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5CB2A765"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85 722 000</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4CCCACC6"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630D1506"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07EC7301"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504AF74"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85 722 000</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6FCBB08E"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17" w:type="pct"/>
            <w:vAlign w:val="center"/>
            <w:hideMark/>
          </w:tcPr>
          <w:p w14:paraId="7441395C" w14:textId="77777777" w:rsidR="003D5E0A" w:rsidRPr="002703B7" w:rsidRDefault="003D5E0A">
            <w:pPr>
              <w:rPr>
                <w:rFonts w:ascii="Times New Roman" w:hAnsi="Times New Roman" w:cs="Times New Roman"/>
                <w:noProof/>
                <w:sz w:val="20"/>
                <w:szCs w:val="20"/>
              </w:rPr>
            </w:pPr>
          </w:p>
        </w:tc>
      </w:tr>
      <w:tr w:rsidR="006965D0" w:rsidRPr="006965D0" w14:paraId="1B518BCC" w14:textId="77777777" w:rsidTr="003D5E0A">
        <w:trPr>
          <w:trHeight w:val="420"/>
        </w:trPr>
        <w:tc>
          <w:tcPr>
            <w:tcW w:w="177" w:type="pct"/>
            <w:tcBorders>
              <w:top w:val="nil"/>
              <w:left w:val="single" w:sz="8" w:space="0" w:color="auto"/>
              <w:bottom w:val="dotted" w:sz="4" w:space="0" w:color="auto"/>
              <w:right w:val="nil"/>
            </w:tcBorders>
            <w:shd w:val="clear" w:color="000000" w:fill="D9D9D9"/>
            <w:tcMar>
              <w:top w:w="15" w:type="dxa"/>
              <w:left w:w="15" w:type="dxa"/>
              <w:bottom w:w="0" w:type="dxa"/>
              <w:right w:w="15" w:type="dxa"/>
            </w:tcMar>
            <w:vAlign w:val="center"/>
            <w:hideMark/>
          </w:tcPr>
          <w:p w14:paraId="60B62C41" w14:textId="77777777" w:rsidR="003D5E0A" w:rsidRPr="002703B7" w:rsidRDefault="003D5E0A">
            <w:pPr>
              <w:jc w:val="both"/>
              <w:rPr>
                <w:rFonts w:ascii="Times New Roman" w:hAnsi="Times New Roman" w:cs="Times New Roman"/>
                <w:b/>
                <w:bCs/>
                <w:noProof/>
                <w:color w:val="000000"/>
                <w:sz w:val="16"/>
                <w:szCs w:val="16"/>
              </w:rPr>
            </w:pPr>
            <w:r>
              <w:rPr>
                <w:rFonts w:ascii="Times New Roman" w:hAnsi="Times New Roman"/>
                <w:b/>
                <w:noProof/>
                <w:color w:val="000000"/>
                <w:sz w:val="16"/>
              </w:rPr>
              <w:t>4</w:t>
            </w:r>
          </w:p>
        </w:tc>
        <w:tc>
          <w:tcPr>
            <w:tcW w:w="950"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47CC96AD" w14:textId="77777777" w:rsidR="003D5E0A" w:rsidRPr="002703B7" w:rsidRDefault="003D5E0A">
            <w:pPr>
              <w:jc w:val="both"/>
              <w:rPr>
                <w:rFonts w:ascii="Times New Roman" w:hAnsi="Times New Roman" w:cs="Times New Roman"/>
                <w:b/>
                <w:bCs/>
                <w:noProof/>
                <w:color w:val="000000"/>
                <w:sz w:val="16"/>
                <w:szCs w:val="16"/>
              </w:rPr>
            </w:pPr>
            <w:r>
              <w:rPr>
                <w:rFonts w:ascii="Times New Roman" w:hAnsi="Times New Roman"/>
                <w:b/>
                <w:noProof/>
                <w:color w:val="000000"/>
                <w:sz w:val="16"/>
              </w:rPr>
              <w:t>Миграция и управление на границите</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0EBD3541"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3 892 705 671</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0BB0C041"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3 248 967 443</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16CC3596"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 </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33308945"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 </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680EE45F"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3 892 705 671</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1E5BF538"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3 248 967 443</w:t>
            </w:r>
          </w:p>
        </w:tc>
        <w:tc>
          <w:tcPr>
            <w:tcW w:w="17" w:type="pct"/>
            <w:vAlign w:val="center"/>
            <w:hideMark/>
          </w:tcPr>
          <w:p w14:paraId="48DB1D9D" w14:textId="77777777" w:rsidR="003D5E0A" w:rsidRPr="002703B7" w:rsidRDefault="003D5E0A">
            <w:pPr>
              <w:rPr>
                <w:rFonts w:ascii="Times New Roman" w:hAnsi="Times New Roman" w:cs="Times New Roman"/>
                <w:noProof/>
                <w:sz w:val="20"/>
                <w:szCs w:val="20"/>
              </w:rPr>
            </w:pPr>
          </w:p>
        </w:tc>
      </w:tr>
      <w:tr w:rsidR="006965D0" w:rsidRPr="006965D0" w14:paraId="613E0434" w14:textId="77777777" w:rsidTr="003D5E0A">
        <w:trPr>
          <w:trHeight w:val="300"/>
        </w:trPr>
        <w:tc>
          <w:tcPr>
            <w:tcW w:w="177" w:type="pct"/>
            <w:tcBorders>
              <w:top w:val="nil"/>
              <w:left w:val="single" w:sz="8" w:space="0" w:color="auto"/>
              <w:bottom w:val="dotted" w:sz="4" w:space="0" w:color="auto"/>
              <w:right w:val="nil"/>
            </w:tcBorders>
            <w:shd w:val="clear" w:color="000000" w:fill="FFFFFF"/>
            <w:tcMar>
              <w:top w:w="15" w:type="dxa"/>
              <w:left w:w="15" w:type="dxa"/>
              <w:bottom w:w="0" w:type="dxa"/>
              <w:right w:w="15" w:type="dxa"/>
            </w:tcMar>
            <w:vAlign w:val="center"/>
            <w:hideMark/>
          </w:tcPr>
          <w:p w14:paraId="7B768CC1"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0E02D4AF"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Таван</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1DA5E7C3"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4 020 000 000</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00B8E16F"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4FAD1EA3"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3F7D3FB6"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43020F05"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4 020 000 000</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41070DDB"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17" w:type="pct"/>
            <w:vAlign w:val="center"/>
            <w:hideMark/>
          </w:tcPr>
          <w:p w14:paraId="46AB58A2" w14:textId="77777777" w:rsidR="003D5E0A" w:rsidRPr="002703B7" w:rsidRDefault="003D5E0A">
            <w:pPr>
              <w:rPr>
                <w:rFonts w:ascii="Times New Roman" w:hAnsi="Times New Roman" w:cs="Times New Roman"/>
                <w:noProof/>
                <w:sz w:val="20"/>
                <w:szCs w:val="20"/>
              </w:rPr>
            </w:pPr>
          </w:p>
        </w:tc>
      </w:tr>
      <w:tr w:rsidR="006965D0" w:rsidRPr="006965D0" w14:paraId="642432B8" w14:textId="77777777" w:rsidTr="003D5E0A">
        <w:trPr>
          <w:trHeight w:val="315"/>
        </w:trPr>
        <w:tc>
          <w:tcPr>
            <w:tcW w:w="177" w:type="pct"/>
            <w:tcBorders>
              <w:top w:val="nil"/>
              <w:left w:val="single" w:sz="8" w:space="0" w:color="auto"/>
              <w:bottom w:val="single" w:sz="8" w:space="0" w:color="auto"/>
              <w:right w:val="nil"/>
            </w:tcBorders>
            <w:shd w:val="clear" w:color="000000" w:fill="FFFFFF"/>
            <w:tcMar>
              <w:top w:w="15" w:type="dxa"/>
              <w:left w:w="15" w:type="dxa"/>
              <w:bottom w:w="0" w:type="dxa"/>
              <w:right w:w="15" w:type="dxa"/>
            </w:tcMar>
            <w:vAlign w:val="center"/>
            <w:hideMark/>
          </w:tcPr>
          <w:p w14:paraId="2070BE21"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03AB1C3"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Марж</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06C23B0B"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127 294 329</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645FC71F"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4966DDF5"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0A5DD6D9"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4D080A50"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127 294 329</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488083D7"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17" w:type="pct"/>
            <w:vAlign w:val="center"/>
            <w:hideMark/>
          </w:tcPr>
          <w:p w14:paraId="054EB4B6" w14:textId="77777777" w:rsidR="003D5E0A" w:rsidRPr="002703B7" w:rsidRDefault="003D5E0A">
            <w:pPr>
              <w:rPr>
                <w:rFonts w:ascii="Times New Roman" w:hAnsi="Times New Roman" w:cs="Times New Roman"/>
                <w:noProof/>
                <w:sz w:val="20"/>
                <w:szCs w:val="20"/>
              </w:rPr>
            </w:pPr>
          </w:p>
        </w:tc>
      </w:tr>
      <w:tr w:rsidR="006965D0" w:rsidRPr="006965D0" w14:paraId="4A2407ED" w14:textId="77777777" w:rsidTr="003D5E0A">
        <w:trPr>
          <w:trHeight w:val="300"/>
        </w:trPr>
        <w:tc>
          <w:tcPr>
            <w:tcW w:w="177" w:type="pct"/>
            <w:tcBorders>
              <w:top w:val="nil"/>
              <w:left w:val="single" w:sz="8" w:space="0" w:color="auto"/>
              <w:bottom w:val="dotted" w:sz="4" w:space="0" w:color="auto"/>
              <w:right w:val="nil"/>
            </w:tcBorders>
            <w:shd w:val="clear" w:color="000000" w:fill="D9D9D9"/>
            <w:tcMar>
              <w:top w:w="15" w:type="dxa"/>
              <w:left w:w="15" w:type="dxa"/>
              <w:bottom w:w="0" w:type="dxa"/>
              <w:right w:w="15" w:type="dxa"/>
            </w:tcMar>
            <w:vAlign w:val="center"/>
            <w:hideMark/>
          </w:tcPr>
          <w:p w14:paraId="7B0ECDB6" w14:textId="77777777" w:rsidR="003D5E0A" w:rsidRPr="002703B7" w:rsidRDefault="003D5E0A">
            <w:pPr>
              <w:jc w:val="both"/>
              <w:rPr>
                <w:rFonts w:ascii="Times New Roman" w:hAnsi="Times New Roman" w:cs="Times New Roman"/>
                <w:b/>
                <w:bCs/>
                <w:noProof/>
                <w:color w:val="000000"/>
                <w:sz w:val="16"/>
                <w:szCs w:val="16"/>
              </w:rPr>
            </w:pPr>
            <w:r>
              <w:rPr>
                <w:rFonts w:ascii="Times New Roman" w:hAnsi="Times New Roman"/>
                <w:b/>
                <w:noProof/>
                <w:color w:val="000000"/>
                <w:sz w:val="16"/>
              </w:rPr>
              <w:t>5</w:t>
            </w:r>
          </w:p>
        </w:tc>
        <w:tc>
          <w:tcPr>
            <w:tcW w:w="950"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01F6C82A" w14:textId="77777777" w:rsidR="003D5E0A" w:rsidRPr="002703B7" w:rsidRDefault="003D5E0A">
            <w:pPr>
              <w:jc w:val="both"/>
              <w:rPr>
                <w:rFonts w:ascii="Times New Roman" w:hAnsi="Times New Roman" w:cs="Times New Roman"/>
                <w:b/>
                <w:bCs/>
                <w:noProof/>
                <w:color w:val="000000"/>
                <w:sz w:val="16"/>
                <w:szCs w:val="16"/>
              </w:rPr>
            </w:pPr>
            <w:r>
              <w:rPr>
                <w:rFonts w:ascii="Times New Roman" w:hAnsi="Times New Roman"/>
                <w:b/>
                <w:noProof/>
                <w:color w:val="000000"/>
                <w:sz w:val="16"/>
              </w:rPr>
              <w:t>Сигурност и отбрана</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7369AF46"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2 697 177 926</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3875FD3B"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2 035 413 531</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21808119"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 </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59E56C8E"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 </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51826092"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2 697 177 926</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11BFAAD7"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2 035 413 531</w:t>
            </w:r>
          </w:p>
        </w:tc>
        <w:tc>
          <w:tcPr>
            <w:tcW w:w="17" w:type="pct"/>
            <w:vAlign w:val="center"/>
            <w:hideMark/>
          </w:tcPr>
          <w:p w14:paraId="0109BFDE" w14:textId="77777777" w:rsidR="003D5E0A" w:rsidRPr="002703B7" w:rsidRDefault="003D5E0A">
            <w:pPr>
              <w:rPr>
                <w:rFonts w:ascii="Times New Roman" w:hAnsi="Times New Roman" w:cs="Times New Roman"/>
                <w:noProof/>
                <w:sz w:val="20"/>
                <w:szCs w:val="20"/>
              </w:rPr>
            </w:pPr>
          </w:p>
        </w:tc>
      </w:tr>
      <w:tr w:rsidR="006965D0" w:rsidRPr="006965D0" w14:paraId="4C187E3A" w14:textId="77777777" w:rsidTr="003D5E0A">
        <w:trPr>
          <w:trHeight w:val="450"/>
        </w:trPr>
        <w:tc>
          <w:tcPr>
            <w:tcW w:w="177" w:type="pct"/>
            <w:tcBorders>
              <w:top w:val="nil"/>
              <w:left w:val="single" w:sz="8" w:space="0" w:color="auto"/>
              <w:bottom w:val="dotted" w:sz="4" w:space="0" w:color="auto"/>
              <w:right w:val="nil"/>
            </w:tcBorders>
            <w:shd w:val="clear" w:color="000000" w:fill="FFFFFF"/>
            <w:tcMar>
              <w:top w:w="15" w:type="dxa"/>
              <w:left w:w="15" w:type="dxa"/>
              <w:bottom w:w="0" w:type="dxa"/>
              <w:right w:w="15" w:type="dxa"/>
            </w:tcMar>
            <w:vAlign w:val="center"/>
            <w:hideMark/>
          </w:tcPr>
          <w:p w14:paraId="51DCC52F"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1D85849A"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От които по Инструмента за гъвкавост</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263CCA55"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317 177 926</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052AF62D"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5C32C0E9"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221F9D10"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31D9304D"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317 177 926</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741ECA5E"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17" w:type="pct"/>
            <w:vAlign w:val="center"/>
            <w:hideMark/>
          </w:tcPr>
          <w:p w14:paraId="5C467487" w14:textId="77777777" w:rsidR="003D5E0A" w:rsidRPr="002703B7" w:rsidRDefault="003D5E0A">
            <w:pPr>
              <w:rPr>
                <w:rFonts w:ascii="Times New Roman" w:hAnsi="Times New Roman" w:cs="Times New Roman"/>
                <w:noProof/>
                <w:sz w:val="20"/>
                <w:szCs w:val="20"/>
              </w:rPr>
            </w:pPr>
          </w:p>
        </w:tc>
      </w:tr>
      <w:tr w:rsidR="006965D0" w:rsidRPr="006965D0" w14:paraId="7D64BDE8" w14:textId="77777777" w:rsidTr="003D5E0A">
        <w:trPr>
          <w:trHeight w:val="300"/>
        </w:trPr>
        <w:tc>
          <w:tcPr>
            <w:tcW w:w="177" w:type="pct"/>
            <w:tcBorders>
              <w:top w:val="nil"/>
              <w:left w:val="single" w:sz="8" w:space="0" w:color="auto"/>
              <w:bottom w:val="dotted" w:sz="4" w:space="0" w:color="auto"/>
              <w:right w:val="nil"/>
            </w:tcBorders>
            <w:shd w:val="clear" w:color="000000" w:fill="FFFFFF"/>
            <w:tcMar>
              <w:top w:w="15" w:type="dxa"/>
              <w:left w:w="15" w:type="dxa"/>
              <w:bottom w:w="0" w:type="dxa"/>
              <w:right w:w="15" w:type="dxa"/>
            </w:tcMar>
            <w:vAlign w:val="center"/>
            <w:hideMark/>
          </w:tcPr>
          <w:p w14:paraId="6522651D"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738DEB04"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Таван</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267DDE5C"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2 380 000 000</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45C82419"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2A1DA129"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4DBC5FB6"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4EB09D56"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2 380 000 000</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6890CC5F"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17" w:type="pct"/>
            <w:vAlign w:val="center"/>
            <w:hideMark/>
          </w:tcPr>
          <w:p w14:paraId="15FD5A71" w14:textId="77777777" w:rsidR="003D5E0A" w:rsidRPr="002703B7" w:rsidRDefault="003D5E0A">
            <w:pPr>
              <w:rPr>
                <w:rFonts w:ascii="Times New Roman" w:hAnsi="Times New Roman" w:cs="Times New Roman"/>
                <w:noProof/>
                <w:sz w:val="20"/>
                <w:szCs w:val="20"/>
              </w:rPr>
            </w:pPr>
          </w:p>
        </w:tc>
      </w:tr>
      <w:tr w:rsidR="006965D0" w:rsidRPr="006965D0" w14:paraId="025EFFEA" w14:textId="77777777" w:rsidTr="003D5E0A">
        <w:trPr>
          <w:trHeight w:val="315"/>
        </w:trPr>
        <w:tc>
          <w:tcPr>
            <w:tcW w:w="177" w:type="pct"/>
            <w:tcBorders>
              <w:top w:val="nil"/>
              <w:left w:val="single" w:sz="8" w:space="0" w:color="auto"/>
              <w:bottom w:val="single" w:sz="8" w:space="0" w:color="auto"/>
              <w:right w:val="nil"/>
            </w:tcBorders>
            <w:shd w:val="clear" w:color="000000" w:fill="FFFFFF"/>
            <w:tcMar>
              <w:top w:w="15" w:type="dxa"/>
              <w:left w:w="15" w:type="dxa"/>
              <w:bottom w:w="0" w:type="dxa"/>
              <w:right w:w="15" w:type="dxa"/>
            </w:tcMar>
            <w:vAlign w:val="center"/>
            <w:hideMark/>
          </w:tcPr>
          <w:p w14:paraId="501AD30B"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01F23D7"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Марж</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5AEB697"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0A9F7D46"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395A5AC"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F0176A6"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6319CDD"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85BACF8"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17" w:type="pct"/>
            <w:vAlign w:val="center"/>
            <w:hideMark/>
          </w:tcPr>
          <w:p w14:paraId="60076209" w14:textId="77777777" w:rsidR="003D5E0A" w:rsidRPr="002703B7" w:rsidRDefault="003D5E0A">
            <w:pPr>
              <w:rPr>
                <w:rFonts w:ascii="Times New Roman" w:hAnsi="Times New Roman" w:cs="Times New Roman"/>
                <w:noProof/>
                <w:sz w:val="20"/>
                <w:szCs w:val="20"/>
              </w:rPr>
            </w:pPr>
          </w:p>
        </w:tc>
      </w:tr>
      <w:tr w:rsidR="006965D0" w:rsidRPr="006965D0" w14:paraId="6D50D8C7" w14:textId="77777777" w:rsidTr="003D5E0A">
        <w:trPr>
          <w:trHeight w:val="420"/>
        </w:trPr>
        <w:tc>
          <w:tcPr>
            <w:tcW w:w="177" w:type="pct"/>
            <w:tcBorders>
              <w:top w:val="nil"/>
              <w:left w:val="single" w:sz="8" w:space="0" w:color="auto"/>
              <w:bottom w:val="dotted" w:sz="4" w:space="0" w:color="auto"/>
              <w:right w:val="nil"/>
            </w:tcBorders>
            <w:shd w:val="clear" w:color="000000" w:fill="D9D9D9"/>
            <w:tcMar>
              <w:top w:w="15" w:type="dxa"/>
              <w:left w:w="15" w:type="dxa"/>
              <w:bottom w:w="0" w:type="dxa"/>
              <w:right w:w="15" w:type="dxa"/>
            </w:tcMar>
            <w:vAlign w:val="center"/>
            <w:hideMark/>
          </w:tcPr>
          <w:p w14:paraId="03BD6828" w14:textId="77777777" w:rsidR="003D5E0A" w:rsidRPr="002703B7" w:rsidRDefault="003D5E0A">
            <w:pPr>
              <w:jc w:val="both"/>
              <w:rPr>
                <w:rFonts w:ascii="Times New Roman" w:hAnsi="Times New Roman" w:cs="Times New Roman"/>
                <w:b/>
                <w:bCs/>
                <w:noProof/>
                <w:color w:val="000000"/>
                <w:sz w:val="16"/>
                <w:szCs w:val="16"/>
              </w:rPr>
            </w:pPr>
            <w:r>
              <w:rPr>
                <w:rFonts w:ascii="Times New Roman" w:hAnsi="Times New Roman"/>
                <w:b/>
                <w:noProof/>
                <w:color w:val="000000"/>
                <w:sz w:val="16"/>
              </w:rPr>
              <w:t>6</w:t>
            </w:r>
          </w:p>
        </w:tc>
        <w:tc>
          <w:tcPr>
            <w:tcW w:w="950"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1451725E" w14:textId="77777777" w:rsidR="003D5E0A" w:rsidRPr="002703B7" w:rsidRDefault="003D5E0A">
            <w:pPr>
              <w:jc w:val="both"/>
              <w:rPr>
                <w:rFonts w:ascii="Times New Roman" w:hAnsi="Times New Roman" w:cs="Times New Roman"/>
                <w:b/>
                <w:bCs/>
                <w:noProof/>
                <w:color w:val="000000"/>
                <w:sz w:val="16"/>
                <w:szCs w:val="16"/>
              </w:rPr>
            </w:pPr>
            <w:r>
              <w:rPr>
                <w:rFonts w:ascii="Times New Roman" w:hAnsi="Times New Roman"/>
                <w:b/>
                <w:noProof/>
                <w:color w:val="000000"/>
                <w:sz w:val="16"/>
              </w:rPr>
              <w:t>Съседните региони и светът</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139D3D98"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16 731 000 000</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1250A19A"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15 315 050 313</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3A5438F5"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 </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4C19E8B1"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 </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1900B867"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16 731 000 000</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4BAF02B0"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15 315 050 313</w:t>
            </w:r>
          </w:p>
        </w:tc>
        <w:tc>
          <w:tcPr>
            <w:tcW w:w="17" w:type="pct"/>
            <w:vAlign w:val="center"/>
            <w:hideMark/>
          </w:tcPr>
          <w:p w14:paraId="1406E76B" w14:textId="77777777" w:rsidR="003D5E0A" w:rsidRPr="002703B7" w:rsidRDefault="003D5E0A">
            <w:pPr>
              <w:rPr>
                <w:rFonts w:ascii="Times New Roman" w:hAnsi="Times New Roman" w:cs="Times New Roman"/>
                <w:noProof/>
                <w:sz w:val="20"/>
                <w:szCs w:val="20"/>
              </w:rPr>
            </w:pPr>
          </w:p>
        </w:tc>
      </w:tr>
      <w:tr w:rsidR="006965D0" w:rsidRPr="006965D0" w14:paraId="77C68527" w14:textId="77777777" w:rsidTr="003D5E0A">
        <w:trPr>
          <w:trHeight w:val="450"/>
        </w:trPr>
        <w:tc>
          <w:tcPr>
            <w:tcW w:w="177" w:type="pct"/>
            <w:tcBorders>
              <w:top w:val="nil"/>
              <w:left w:val="single" w:sz="8" w:space="0" w:color="auto"/>
              <w:bottom w:val="dotted" w:sz="4" w:space="0" w:color="auto"/>
              <w:right w:val="nil"/>
            </w:tcBorders>
            <w:shd w:val="clear" w:color="000000" w:fill="FFFFFF"/>
            <w:tcMar>
              <w:top w:w="15" w:type="dxa"/>
              <w:left w:w="15" w:type="dxa"/>
              <w:bottom w:w="0" w:type="dxa"/>
              <w:right w:w="15" w:type="dxa"/>
            </w:tcMar>
            <w:vAlign w:val="center"/>
            <w:hideMark/>
          </w:tcPr>
          <w:p w14:paraId="625A9F29"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4998C508"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От които по Инструмента за гъвкавост</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04CB9548"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28 828 204</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112AA8AD"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2C95AD32"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0522216C"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0968DFF0"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28 828 204</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1763BA67"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17" w:type="pct"/>
            <w:vAlign w:val="center"/>
            <w:hideMark/>
          </w:tcPr>
          <w:p w14:paraId="67F2CE71" w14:textId="77777777" w:rsidR="003D5E0A" w:rsidRPr="002703B7" w:rsidRDefault="003D5E0A">
            <w:pPr>
              <w:rPr>
                <w:rFonts w:ascii="Times New Roman" w:hAnsi="Times New Roman" w:cs="Times New Roman"/>
                <w:noProof/>
                <w:sz w:val="20"/>
                <w:szCs w:val="20"/>
              </w:rPr>
            </w:pPr>
          </w:p>
        </w:tc>
      </w:tr>
      <w:tr w:rsidR="006965D0" w:rsidRPr="006965D0" w14:paraId="0AE40EA1" w14:textId="77777777" w:rsidTr="003D5E0A">
        <w:trPr>
          <w:trHeight w:val="675"/>
        </w:trPr>
        <w:tc>
          <w:tcPr>
            <w:tcW w:w="177" w:type="pct"/>
            <w:tcBorders>
              <w:top w:val="nil"/>
              <w:left w:val="single" w:sz="8" w:space="0" w:color="auto"/>
              <w:bottom w:val="dotted" w:sz="4" w:space="0" w:color="auto"/>
              <w:right w:val="nil"/>
            </w:tcBorders>
            <w:shd w:val="clear" w:color="000000" w:fill="FFFFFF"/>
            <w:tcMar>
              <w:top w:w="15" w:type="dxa"/>
              <w:left w:w="15" w:type="dxa"/>
              <w:bottom w:w="0" w:type="dxa"/>
              <w:right w:w="15" w:type="dxa"/>
            </w:tcMar>
            <w:vAlign w:val="center"/>
            <w:hideMark/>
          </w:tcPr>
          <w:p w14:paraId="7697B263"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34A38138"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От които по Единния инструмент за маржовете съгласно член 11, параграф 1, буква а)</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7FA1018E"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371 171 796</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5EC597F9"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5D64212B"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6559562C"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2F4BB0E0"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371 171 796</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05CD4184"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17" w:type="pct"/>
            <w:vAlign w:val="center"/>
            <w:hideMark/>
          </w:tcPr>
          <w:p w14:paraId="2E572B03" w14:textId="77777777" w:rsidR="003D5E0A" w:rsidRPr="002703B7" w:rsidRDefault="003D5E0A">
            <w:pPr>
              <w:rPr>
                <w:rFonts w:ascii="Times New Roman" w:hAnsi="Times New Roman" w:cs="Times New Roman"/>
                <w:noProof/>
                <w:sz w:val="20"/>
                <w:szCs w:val="20"/>
              </w:rPr>
            </w:pPr>
          </w:p>
        </w:tc>
      </w:tr>
      <w:tr w:rsidR="006965D0" w:rsidRPr="006965D0" w14:paraId="63717ACA" w14:textId="77777777" w:rsidTr="003D5E0A">
        <w:trPr>
          <w:trHeight w:val="300"/>
        </w:trPr>
        <w:tc>
          <w:tcPr>
            <w:tcW w:w="177" w:type="pct"/>
            <w:tcBorders>
              <w:top w:val="nil"/>
              <w:left w:val="single" w:sz="8" w:space="0" w:color="auto"/>
              <w:bottom w:val="dotted" w:sz="4" w:space="0" w:color="auto"/>
              <w:right w:val="nil"/>
            </w:tcBorders>
            <w:shd w:val="clear" w:color="000000" w:fill="FFFFFF"/>
            <w:tcMar>
              <w:top w:w="15" w:type="dxa"/>
              <w:left w:w="15" w:type="dxa"/>
              <w:bottom w:w="0" w:type="dxa"/>
              <w:right w:w="15" w:type="dxa"/>
            </w:tcMar>
            <w:vAlign w:val="center"/>
            <w:hideMark/>
          </w:tcPr>
          <w:p w14:paraId="39888620"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458E5809"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Таван</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00D42605"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16 331 000 000</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65C32BA3"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0B6DF14C"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13CEB0D3"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7B625BAD"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16 331 000 000</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0763F190"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17" w:type="pct"/>
            <w:vAlign w:val="center"/>
            <w:hideMark/>
          </w:tcPr>
          <w:p w14:paraId="2036E294" w14:textId="77777777" w:rsidR="003D5E0A" w:rsidRPr="002703B7" w:rsidRDefault="003D5E0A">
            <w:pPr>
              <w:rPr>
                <w:rFonts w:ascii="Times New Roman" w:hAnsi="Times New Roman" w:cs="Times New Roman"/>
                <w:noProof/>
                <w:sz w:val="20"/>
                <w:szCs w:val="20"/>
              </w:rPr>
            </w:pPr>
          </w:p>
        </w:tc>
      </w:tr>
      <w:tr w:rsidR="006965D0" w:rsidRPr="006965D0" w14:paraId="4D5498CD" w14:textId="77777777" w:rsidTr="003D5E0A">
        <w:trPr>
          <w:trHeight w:val="315"/>
        </w:trPr>
        <w:tc>
          <w:tcPr>
            <w:tcW w:w="177" w:type="pct"/>
            <w:tcBorders>
              <w:top w:val="nil"/>
              <w:left w:val="single" w:sz="8" w:space="0" w:color="auto"/>
              <w:bottom w:val="single" w:sz="8" w:space="0" w:color="auto"/>
              <w:right w:val="nil"/>
            </w:tcBorders>
            <w:shd w:val="clear" w:color="000000" w:fill="FFFFFF"/>
            <w:tcMar>
              <w:top w:w="15" w:type="dxa"/>
              <w:left w:w="15" w:type="dxa"/>
              <w:bottom w:w="0" w:type="dxa"/>
              <w:right w:w="15" w:type="dxa"/>
            </w:tcMar>
            <w:vAlign w:val="center"/>
            <w:hideMark/>
          </w:tcPr>
          <w:p w14:paraId="134CDD5C"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06D4D8EF"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Марж</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E92F961"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5775CCB0"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5D3A5C98"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2FF1933"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F76752C"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6E79E2F0"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17" w:type="pct"/>
            <w:vAlign w:val="center"/>
            <w:hideMark/>
          </w:tcPr>
          <w:p w14:paraId="5503F5BE" w14:textId="77777777" w:rsidR="003D5E0A" w:rsidRPr="002703B7" w:rsidRDefault="003D5E0A">
            <w:pPr>
              <w:rPr>
                <w:rFonts w:ascii="Times New Roman" w:hAnsi="Times New Roman" w:cs="Times New Roman"/>
                <w:noProof/>
                <w:sz w:val="20"/>
                <w:szCs w:val="20"/>
              </w:rPr>
            </w:pPr>
          </w:p>
        </w:tc>
      </w:tr>
      <w:tr w:rsidR="006965D0" w:rsidRPr="006965D0" w14:paraId="328574C2" w14:textId="77777777" w:rsidTr="003D5E0A">
        <w:trPr>
          <w:trHeight w:val="420"/>
        </w:trPr>
        <w:tc>
          <w:tcPr>
            <w:tcW w:w="177" w:type="pct"/>
            <w:tcBorders>
              <w:top w:val="nil"/>
              <w:left w:val="single" w:sz="8" w:space="0" w:color="auto"/>
              <w:bottom w:val="dotted" w:sz="4" w:space="0" w:color="auto"/>
              <w:right w:val="nil"/>
            </w:tcBorders>
            <w:shd w:val="clear" w:color="000000" w:fill="D9D9D9"/>
            <w:tcMar>
              <w:top w:w="15" w:type="dxa"/>
              <w:left w:w="15" w:type="dxa"/>
              <w:bottom w:w="0" w:type="dxa"/>
              <w:right w:w="15" w:type="dxa"/>
            </w:tcMar>
            <w:vAlign w:val="center"/>
            <w:hideMark/>
          </w:tcPr>
          <w:p w14:paraId="1100267B" w14:textId="77777777" w:rsidR="003D5E0A" w:rsidRPr="002703B7" w:rsidRDefault="003D5E0A">
            <w:pPr>
              <w:jc w:val="both"/>
              <w:rPr>
                <w:rFonts w:ascii="Times New Roman" w:hAnsi="Times New Roman" w:cs="Times New Roman"/>
                <w:b/>
                <w:bCs/>
                <w:noProof/>
                <w:color w:val="000000"/>
                <w:sz w:val="16"/>
                <w:szCs w:val="16"/>
              </w:rPr>
            </w:pPr>
            <w:r>
              <w:rPr>
                <w:rFonts w:ascii="Times New Roman" w:hAnsi="Times New Roman"/>
                <w:b/>
                <w:noProof/>
                <w:color w:val="000000"/>
                <w:sz w:val="16"/>
              </w:rPr>
              <w:t>7</w:t>
            </w:r>
          </w:p>
        </w:tc>
        <w:tc>
          <w:tcPr>
            <w:tcW w:w="950"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4DD0EB83" w14:textId="77777777" w:rsidR="003D5E0A" w:rsidRPr="002703B7" w:rsidRDefault="003D5E0A">
            <w:pPr>
              <w:jc w:val="both"/>
              <w:rPr>
                <w:rFonts w:ascii="Times New Roman" w:hAnsi="Times New Roman" w:cs="Times New Roman"/>
                <w:b/>
                <w:bCs/>
                <w:noProof/>
                <w:color w:val="000000"/>
                <w:sz w:val="16"/>
                <w:szCs w:val="16"/>
              </w:rPr>
            </w:pPr>
            <w:r>
              <w:rPr>
                <w:rFonts w:ascii="Times New Roman" w:hAnsi="Times New Roman"/>
                <w:b/>
                <w:noProof/>
                <w:color w:val="000000"/>
                <w:sz w:val="16"/>
              </w:rPr>
              <w:t>Европейска публична администрация</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62E7EE95"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11 988 000 603</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76B8BCD7"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11 988 000 603</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283187D5"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 </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0F34B672"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 </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7447F280"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11 988 000 603</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072F1675"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11 988 000 603</w:t>
            </w:r>
          </w:p>
        </w:tc>
        <w:tc>
          <w:tcPr>
            <w:tcW w:w="17" w:type="pct"/>
            <w:vAlign w:val="center"/>
            <w:hideMark/>
          </w:tcPr>
          <w:p w14:paraId="347D4705" w14:textId="77777777" w:rsidR="003D5E0A" w:rsidRPr="002703B7" w:rsidRDefault="003D5E0A">
            <w:pPr>
              <w:rPr>
                <w:rFonts w:ascii="Times New Roman" w:hAnsi="Times New Roman" w:cs="Times New Roman"/>
                <w:noProof/>
                <w:sz w:val="20"/>
                <w:szCs w:val="20"/>
              </w:rPr>
            </w:pPr>
          </w:p>
        </w:tc>
      </w:tr>
      <w:tr w:rsidR="006965D0" w:rsidRPr="006965D0" w14:paraId="3F6D424E" w14:textId="77777777" w:rsidTr="003D5E0A">
        <w:trPr>
          <w:trHeight w:val="675"/>
        </w:trPr>
        <w:tc>
          <w:tcPr>
            <w:tcW w:w="177" w:type="pct"/>
            <w:tcBorders>
              <w:top w:val="nil"/>
              <w:left w:val="single" w:sz="8" w:space="0" w:color="auto"/>
              <w:bottom w:val="dotted" w:sz="4" w:space="0" w:color="auto"/>
              <w:right w:val="nil"/>
            </w:tcBorders>
            <w:shd w:val="clear" w:color="000000" w:fill="FFFFFF"/>
            <w:tcMar>
              <w:top w:w="15" w:type="dxa"/>
              <w:left w:w="15" w:type="dxa"/>
              <w:bottom w:w="0" w:type="dxa"/>
              <w:right w:w="15" w:type="dxa"/>
            </w:tcMar>
            <w:vAlign w:val="center"/>
            <w:hideMark/>
          </w:tcPr>
          <w:p w14:paraId="1D165AED"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7DAAF8C8"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От които по Единния инструмент за маржовете съгласно член 11, параграф 1, буква а)</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231703D3"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215 000 603</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44FA702C"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56AE1C81"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70885681"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396B844E"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215 000 603</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6CBF7E79"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17" w:type="pct"/>
            <w:vAlign w:val="center"/>
            <w:hideMark/>
          </w:tcPr>
          <w:p w14:paraId="0963D582" w14:textId="77777777" w:rsidR="003D5E0A" w:rsidRPr="002703B7" w:rsidRDefault="003D5E0A">
            <w:pPr>
              <w:rPr>
                <w:rFonts w:ascii="Times New Roman" w:hAnsi="Times New Roman" w:cs="Times New Roman"/>
                <w:noProof/>
                <w:sz w:val="20"/>
                <w:szCs w:val="20"/>
              </w:rPr>
            </w:pPr>
          </w:p>
        </w:tc>
      </w:tr>
      <w:tr w:rsidR="006965D0" w:rsidRPr="006965D0" w14:paraId="3A2C0B90" w14:textId="77777777" w:rsidTr="003D5E0A">
        <w:trPr>
          <w:trHeight w:val="300"/>
        </w:trPr>
        <w:tc>
          <w:tcPr>
            <w:tcW w:w="177" w:type="pct"/>
            <w:tcBorders>
              <w:top w:val="nil"/>
              <w:left w:val="single" w:sz="8" w:space="0" w:color="auto"/>
              <w:bottom w:val="dotted" w:sz="4" w:space="0" w:color="auto"/>
              <w:right w:val="nil"/>
            </w:tcBorders>
            <w:shd w:val="clear" w:color="000000" w:fill="FFFFFF"/>
            <w:tcMar>
              <w:top w:w="15" w:type="dxa"/>
              <w:left w:w="15" w:type="dxa"/>
              <w:bottom w:w="0" w:type="dxa"/>
              <w:right w:w="15" w:type="dxa"/>
            </w:tcMar>
            <w:vAlign w:val="center"/>
            <w:hideMark/>
          </w:tcPr>
          <w:p w14:paraId="38CBDB08"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7F9E9DB1"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Таван</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03147CB3"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11 773 000 000</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440099FF"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6620A39A"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0D31453B"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3639ACB2"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11 773 000 000</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5DA2EE59"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17" w:type="pct"/>
            <w:vAlign w:val="center"/>
            <w:hideMark/>
          </w:tcPr>
          <w:p w14:paraId="4E9EA353" w14:textId="77777777" w:rsidR="003D5E0A" w:rsidRPr="002703B7" w:rsidRDefault="003D5E0A">
            <w:pPr>
              <w:rPr>
                <w:rFonts w:ascii="Times New Roman" w:hAnsi="Times New Roman" w:cs="Times New Roman"/>
                <w:noProof/>
                <w:sz w:val="20"/>
                <w:szCs w:val="20"/>
              </w:rPr>
            </w:pPr>
          </w:p>
        </w:tc>
      </w:tr>
      <w:tr w:rsidR="006965D0" w:rsidRPr="006965D0" w14:paraId="2DD1DF6A" w14:textId="77777777" w:rsidTr="003D5E0A">
        <w:trPr>
          <w:trHeight w:val="300"/>
        </w:trPr>
        <w:tc>
          <w:tcPr>
            <w:tcW w:w="177" w:type="pct"/>
            <w:tcBorders>
              <w:top w:val="nil"/>
              <w:left w:val="single" w:sz="8" w:space="0" w:color="auto"/>
              <w:bottom w:val="dotted" w:sz="4" w:space="0" w:color="auto"/>
              <w:right w:val="nil"/>
            </w:tcBorders>
            <w:shd w:val="clear" w:color="000000" w:fill="FFFFFF"/>
            <w:tcMar>
              <w:top w:w="15" w:type="dxa"/>
              <w:left w:w="15" w:type="dxa"/>
              <w:bottom w:w="0" w:type="dxa"/>
              <w:right w:w="15" w:type="dxa"/>
            </w:tcMar>
            <w:vAlign w:val="center"/>
            <w:hideMark/>
          </w:tcPr>
          <w:p w14:paraId="2973C994"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5A08F2C1"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Марж</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2455B49A"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06FE2D4C"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601C7CAC"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3FE7B7F0"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378849C8"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02833E19"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17" w:type="pct"/>
            <w:vAlign w:val="center"/>
            <w:hideMark/>
          </w:tcPr>
          <w:p w14:paraId="7FF200A5" w14:textId="77777777" w:rsidR="003D5E0A" w:rsidRPr="002703B7" w:rsidRDefault="003D5E0A">
            <w:pPr>
              <w:rPr>
                <w:rFonts w:ascii="Times New Roman" w:hAnsi="Times New Roman" w:cs="Times New Roman"/>
                <w:noProof/>
                <w:sz w:val="20"/>
                <w:szCs w:val="20"/>
              </w:rPr>
            </w:pPr>
          </w:p>
        </w:tc>
      </w:tr>
      <w:tr w:rsidR="006965D0" w:rsidRPr="006965D0" w14:paraId="6D62B4FC" w14:textId="77777777" w:rsidTr="003D5E0A">
        <w:trPr>
          <w:trHeight w:val="840"/>
        </w:trPr>
        <w:tc>
          <w:tcPr>
            <w:tcW w:w="177" w:type="pct"/>
            <w:tcBorders>
              <w:top w:val="nil"/>
              <w:left w:val="single" w:sz="8" w:space="0" w:color="auto"/>
              <w:bottom w:val="dotted" w:sz="4" w:space="0" w:color="auto"/>
              <w:right w:val="nil"/>
            </w:tcBorders>
            <w:shd w:val="clear" w:color="000000" w:fill="D9D9D9"/>
            <w:tcMar>
              <w:top w:w="15" w:type="dxa"/>
              <w:left w:w="15" w:type="dxa"/>
              <w:bottom w:w="0" w:type="dxa"/>
              <w:right w:w="15" w:type="dxa"/>
            </w:tcMar>
            <w:vAlign w:val="center"/>
            <w:hideMark/>
          </w:tcPr>
          <w:p w14:paraId="32B80B6C"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599AFC76" w14:textId="77777777" w:rsidR="003D5E0A" w:rsidRPr="002703B7" w:rsidRDefault="003D5E0A">
            <w:pPr>
              <w:jc w:val="both"/>
              <w:rPr>
                <w:rFonts w:ascii="Times New Roman" w:hAnsi="Times New Roman" w:cs="Times New Roman"/>
                <w:b/>
                <w:bCs/>
                <w:noProof/>
                <w:color w:val="000000"/>
                <w:sz w:val="16"/>
                <w:szCs w:val="16"/>
              </w:rPr>
            </w:pPr>
            <w:r>
              <w:rPr>
                <w:rFonts w:ascii="Times New Roman" w:hAnsi="Times New Roman"/>
                <w:b/>
                <w:noProof/>
                <w:color w:val="000000"/>
                <w:sz w:val="16"/>
              </w:rPr>
              <w:t>от които: Административни разходи на институциите</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29D41DA0"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9 175 375 841</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49814609"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9 175 375 841</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7F68A8F9"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 </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6D275343"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 </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18B22675"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9 175 375 841</w:t>
            </w:r>
          </w:p>
        </w:tc>
        <w:tc>
          <w:tcPr>
            <w:tcW w:w="643" w:type="pct"/>
            <w:tcBorders>
              <w:top w:val="nil"/>
              <w:left w:val="nil"/>
              <w:bottom w:val="dotted" w:sz="4" w:space="0" w:color="auto"/>
              <w:right w:val="single" w:sz="8" w:space="0" w:color="auto"/>
            </w:tcBorders>
            <w:shd w:val="clear" w:color="000000" w:fill="D9D9D9"/>
            <w:tcMar>
              <w:top w:w="15" w:type="dxa"/>
              <w:left w:w="15" w:type="dxa"/>
              <w:bottom w:w="0" w:type="dxa"/>
              <w:right w:w="15" w:type="dxa"/>
            </w:tcMar>
            <w:vAlign w:val="center"/>
            <w:hideMark/>
          </w:tcPr>
          <w:p w14:paraId="057A0663"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9 175 375 841</w:t>
            </w:r>
          </w:p>
        </w:tc>
        <w:tc>
          <w:tcPr>
            <w:tcW w:w="17" w:type="pct"/>
            <w:vAlign w:val="center"/>
            <w:hideMark/>
          </w:tcPr>
          <w:p w14:paraId="3553BA10" w14:textId="77777777" w:rsidR="003D5E0A" w:rsidRPr="002703B7" w:rsidRDefault="003D5E0A">
            <w:pPr>
              <w:rPr>
                <w:rFonts w:ascii="Times New Roman" w:hAnsi="Times New Roman" w:cs="Times New Roman"/>
                <w:noProof/>
                <w:sz w:val="20"/>
                <w:szCs w:val="20"/>
              </w:rPr>
            </w:pPr>
          </w:p>
        </w:tc>
      </w:tr>
      <w:tr w:rsidR="006965D0" w:rsidRPr="006965D0" w14:paraId="7F7E4329" w14:textId="77777777" w:rsidTr="003D5E0A">
        <w:trPr>
          <w:trHeight w:val="300"/>
        </w:trPr>
        <w:tc>
          <w:tcPr>
            <w:tcW w:w="177" w:type="pct"/>
            <w:tcBorders>
              <w:top w:val="nil"/>
              <w:left w:val="single" w:sz="8" w:space="0" w:color="auto"/>
              <w:bottom w:val="dotted" w:sz="4" w:space="0" w:color="auto"/>
              <w:right w:val="nil"/>
            </w:tcBorders>
            <w:shd w:val="clear" w:color="000000" w:fill="FFFFFF"/>
            <w:tcMar>
              <w:top w:w="15" w:type="dxa"/>
              <w:left w:w="15" w:type="dxa"/>
              <w:bottom w:w="0" w:type="dxa"/>
              <w:right w:w="15" w:type="dxa"/>
            </w:tcMar>
            <w:vAlign w:val="center"/>
            <w:hideMark/>
          </w:tcPr>
          <w:p w14:paraId="28ED7BC5"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39B20FE8"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Подтаван</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7F18FADD"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9 006 000 000</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7C5CEA57"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139707C4"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24119CEE"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52BE2F2D"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9 006 000 000</w:t>
            </w:r>
          </w:p>
        </w:tc>
        <w:tc>
          <w:tcPr>
            <w:tcW w:w="643" w:type="pct"/>
            <w:tcBorders>
              <w:top w:val="nil"/>
              <w:left w:val="nil"/>
              <w:bottom w:val="dotted" w:sz="4" w:space="0" w:color="auto"/>
              <w:right w:val="single" w:sz="8" w:space="0" w:color="auto"/>
            </w:tcBorders>
            <w:shd w:val="clear" w:color="000000" w:fill="FFFFFF"/>
            <w:tcMar>
              <w:top w:w="15" w:type="dxa"/>
              <w:left w:w="15" w:type="dxa"/>
              <w:bottom w:w="0" w:type="dxa"/>
              <w:right w:w="15" w:type="dxa"/>
            </w:tcMar>
            <w:vAlign w:val="center"/>
            <w:hideMark/>
          </w:tcPr>
          <w:p w14:paraId="6524AD95"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17" w:type="pct"/>
            <w:vAlign w:val="center"/>
            <w:hideMark/>
          </w:tcPr>
          <w:p w14:paraId="4B241DF8" w14:textId="77777777" w:rsidR="003D5E0A" w:rsidRPr="002703B7" w:rsidRDefault="003D5E0A">
            <w:pPr>
              <w:rPr>
                <w:rFonts w:ascii="Times New Roman" w:hAnsi="Times New Roman" w:cs="Times New Roman"/>
                <w:noProof/>
                <w:sz w:val="20"/>
                <w:szCs w:val="20"/>
              </w:rPr>
            </w:pPr>
          </w:p>
        </w:tc>
      </w:tr>
      <w:tr w:rsidR="006965D0" w:rsidRPr="006965D0" w14:paraId="1DEB0E80" w14:textId="77777777" w:rsidTr="003D5E0A">
        <w:trPr>
          <w:trHeight w:val="315"/>
        </w:trPr>
        <w:tc>
          <w:tcPr>
            <w:tcW w:w="177" w:type="pct"/>
            <w:tcBorders>
              <w:top w:val="nil"/>
              <w:left w:val="single" w:sz="8" w:space="0" w:color="auto"/>
              <w:bottom w:val="single" w:sz="8" w:space="0" w:color="auto"/>
              <w:right w:val="nil"/>
            </w:tcBorders>
            <w:shd w:val="clear" w:color="000000" w:fill="FFFFFF"/>
            <w:tcMar>
              <w:top w:w="15" w:type="dxa"/>
              <w:left w:w="15" w:type="dxa"/>
              <w:bottom w:w="0" w:type="dxa"/>
              <w:right w:w="15" w:type="dxa"/>
            </w:tcMar>
            <w:vAlign w:val="center"/>
            <w:hideMark/>
          </w:tcPr>
          <w:p w14:paraId="37BC1A07"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463F4CB1"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Подмарж</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056E0D74"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6A06C4E0"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0BBA5E3"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59D7A724"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4133FA54" w14:textId="77777777" w:rsidR="003D5E0A" w:rsidRPr="002703B7" w:rsidRDefault="003D5E0A">
            <w:pPr>
              <w:jc w:val="right"/>
              <w:rPr>
                <w:rFonts w:ascii="Times New Roman" w:hAnsi="Times New Roman" w:cs="Times New Roman"/>
                <w:i/>
                <w:iCs/>
                <w:noProof/>
                <w:color w:val="000000"/>
                <w:sz w:val="16"/>
                <w:szCs w:val="16"/>
              </w:rPr>
            </w:pPr>
            <w:r>
              <w:rPr>
                <w:rFonts w:ascii="Times New Roman" w:hAnsi="Times New Roman"/>
                <w:i/>
                <w:noProof/>
                <w:color w:val="000000"/>
                <w:sz w:val="16"/>
              </w:rPr>
              <w:t> </w:t>
            </w:r>
          </w:p>
        </w:tc>
        <w:tc>
          <w:tcPr>
            <w:tcW w:w="64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021731BA"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17" w:type="pct"/>
            <w:vAlign w:val="center"/>
            <w:hideMark/>
          </w:tcPr>
          <w:p w14:paraId="4EDB4B71" w14:textId="77777777" w:rsidR="003D5E0A" w:rsidRPr="002703B7" w:rsidRDefault="003D5E0A">
            <w:pPr>
              <w:rPr>
                <w:rFonts w:ascii="Times New Roman" w:hAnsi="Times New Roman" w:cs="Times New Roman"/>
                <w:noProof/>
                <w:sz w:val="20"/>
                <w:szCs w:val="20"/>
              </w:rPr>
            </w:pPr>
          </w:p>
        </w:tc>
      </w:tr>
      <w:tr w:rsidR="003D5E0A" w:rsidRPr="003D5E0A" w14:paraId="7626EE50" w14:textId="77777777" w:rsidTr="002703B7">
        <w:trPr>
          <w:trHeight w:val="315"/>
        </w:trPr>
        <w:tc>
          <w:tcPr>
            <w:tcW w:w="1127" w:type="pct"/>
            <w:gridSpan w:val="2"/>
            <w:tcBorders>
              <w:top w:val="single" w:sz="8" w:space="0" w:color="auto"/>
              <w:left w:val="single" w:sz="8" w:space="0" w:color="auto"/>
              <w:bottom w:val="single" w:sz="8" w:space="0" w:color="auto"/>
              <w:right w:val="single" w:sz="8" w:space="0" w:color="000000"/>
            </w:tcBorders>
            <w:shd w:val="clear" w:color="000000" w:fill="BFBFBF"/>
            <w:tcMar>
              <w:top w:w="15" w:type="dxa"/>
              <w:left w:w="15" w:type="dxa"/>
              <w:bottom w:w="0" w:type="dxa"/>
              <w:right w:w="15" w:type="dxa"/>
            </w:tcMar>
            <w:vAlign w:val="center"/>
            <w:hideMark/>
          </w:tcPr>
          <w:p w14:paraId="254C295E"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Бюджетни кредити за функциите</w:t>
            </w:r>
          </w:p>
        </w:tc>
        <w:tc>
          <w:tcPr>
            <w:tcW w:w="643" w:type="pct"/>
            <w:tcBorders>
              <w:top w:val="nil"/>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75DBCC5E"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188 705 178 975</w:t>
            </w:r>
          </w:p>
        </w:tc>
        <w:tc>
          <w:tcPr>
            <w:tcW w:w="643" w:type="pct"/>
            <w:tcBorders>
              <w:top w:val="nil"/>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0C3C2E75"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141 286 398 038</w:t>
            </w:r>
          </w:p>
        </w:tc>
        <w:tc>
          <w:tcPr>
            <w:tcW w:w="643" w:type="pct"/>
            <w:tcBorders>
              <w:top w:val="nil"/>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7BCEFF2A"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12 029 834</w:t>
            </w:r>
          </w:p>
        </w:tc>
        <w:tc>
          <w:tcPr>
            <w:tcW w:w="643" w:type="pct"/>
            <w:tcBorders>
              <w:top w:val="nil"/>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4F1FE518"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12 029 834</w:t>
            </w:r>
          </w:p>
        </w:tc>
        <w:tc>
          <w:tcPr>
            <w:tcW w:w="643" w:type="pct"/>
            <w:tcBorders>
              <w:top w:val="nil"/>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15A4A6DC"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188 717 208 809</w:t>
            </w:r>
          </w:p>
        </w:tc>
        <w:tc>
          <w:tcPr>
            <w:tcW w:w="643" w:type="pct"/>
            <w:tcBorders>
              <w:top w:val="nil"/>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68A1F0EE"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141 298 427 872</w:t>
            </w:r>
          </w:p>
        </w:tc>
        <w:tc>
          <w:tcPr>
            <w:tcW w:w="17" w:type="pct"/>
            <w:vAlign w:val="center"/>
            <w:hideMark/>
          </w:tcPr>
          <w:p w14:paraId="27A4BE58" w14:textId="77777777" w:rsidR="003D5E0A" w:rsidRPr="002703B7" w:rsidRDefault="003D5E0A">
            <w:pPr>
              <w:rPr>
                <w:rFonts w:ascii="Times New Roman" w:hAnsi="Times New Roman" w:cs="Times New Roman"/>
                <w:noProof/>
                <w:sz w:val="20"/>
                <w:szCs w:val="20"/>
              </w:rPr>
            </w:pPr>
          </w:p>
        </w:tc>
      </w:tr>
      <w:tr w:rsidR="006965D0" w:rsidRPr="006965D0" w14:paraId="06CF5CF6" w14:textId="77777777" w:rsidTr="003D5E0A">
        <w:trPr>
          <w:trHeight w:val="300"/>
        </w:trPr>
        <w:tc>
          <w:tcPr>
            <w:tcW w:w="177" w:type="pct"/>
            <w:tcBorders>
              <w:top w:val="nil"/>
              <w:left w:val="single" w:sz="8" w:space="0" w:color="auto"/>
              <w:bottom w:val="dotted" w:sz="4" w:space="0" w:color="auto"/>
              <w:right w:val="nil"/>
            </w:tcBorders>
            <w:shd w:val="clear" w:color="000000" w:fill="F2F2F2"/>
            <w:tcMar>
              <w:top w:w="15" w:type="dxa"/>
              <w:left w:w="15" w:type="dxa"/>
              <w:bottom w:w="0" w:type="dxa"/>
              <w:right w:w="15" w:type="dxa"/>
            </w:tcMar>
            <w:vAlign w:val="center"/>
            <w:hideMark/>
          </w:tcPr>
          <w:p w14:paraId="4E9163AE"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dotted" w:sz="4" w:space="0" w:color="auto"/>
              <w:right w:val="single" w:sz="8" w:space="0" w:color="auto"/>
            </w:tcBorders>
            <w:shd w:val="clear" w:color="000000" w:fill="F2F2F2"/>
            <w:tcMar>
              <w:top w:w="15" w:type="dxa"/>
              <w:left w:w="15" w:type="dxa"/>
              <w:bottom w:w="0" w:type="dxa"/>
              <w:right w:w="15" w:type="dxa"/>
            </w:tcMar>
            <w:vAlign w:val="center"/>
            <w:hideMark/>
          </w:tcPr>
          <w:p w14:paraId="3AA9E45A" w14:textId="77777777" w:rsidR="003D5E0A" w:rsidRPr="002703B7" w:rsidRDefault="003D5E0A">
            <w:pPr>
              <w:jc w:val="right"/>
              <w:rPr>
                <w:rFonts w:ascii="Times New Roman" w:hAnsi="Times New Roman" w:cs="Times New Roman"/>
                <w:b/>
                <w:bCs/>
                <w:i/>
                <w:iCs/>
                <w:noProof/>
                <w:color w:val="000000"/>
                <w:sz w:val="16"/>
                <w:szCs w:val="16"/>
              </w:rPr>
            </w:pPr>
            <w:r>
              <w:rPr>
                <w:rFonts w:ascii="Times New Roman" w:hAnsi="Times New Roman"/>
                <w:b/>
                <w:i/>
                <w:noProof/>
                <w:color w:val="000000"/>
                <w:sz w:val="16"/>
              </w:rPr>
              <w:t xml:space="preserve">Таван </w:t>
            </w:r>
          </w:p>
        </w:tc>
        <w:tc>
          <w:tcPr>
            <w:tcW w:w="643" w:type="pct"/>
            <w:tcBorders>
              <w:top w:val="nil"/>
              <w:left w:val="nil"/>
              <w:bottom w:val="dotted" w:sz="4" w:space="0" w:color="auto"/>
              <w:right w:val="single" w:sz="8" w:space="0" w:color="auto"/>
            </w:tcBorders>
            <w:shd w:val="clear" w:color="000000" w:fill="F2F2F2"/>
            <w:tcMar>
              <w:top w:w="15" w:type="dxa"/>
              <w:left w:w="15" w:type="dxa"/>
              <w:bottom w:w="0" w:type="dxa"/>
              <w:right w:w="15" w:type="dxa"/>
            </w:tcMar>
            <w:vAlign w:val="center"/>
            <w:hideMark/>
          </w:tcPr>
          <w:p w14:paraId="22AA17E1" w14:textId="77777777" w:rsidR="003D5E0A" w:rsidRPr="002703B7" w:rsidRDefault="003D5E0A">
            <w:pPr>
              <w:jc w:val="right"/>
              <w:rPr>
                <w:rFonts w:ascii="Times New Roman" w:hAnsi="Times New Roman" w:cs="Times New Roman"/>
                <w:b/>
                <w:bCs/>
                <w:i/>
                <w:iCs/>
                <w:noProof/>
                <w:color w:val="000000"/>
                <w:sz w:val="16"/>
                <w:szCs w:val="16"/>
              </w:rPr>
            </w:pPr>
            <w:r>
              <w:rPr>
                <w:rFonts w:ascii="Times New Roman" w:hAnsi="Times New Roman"/>
                <w:b/>
                <w:i/>
                <w:noProof/>
                <w:color w:val="000000"/>
                <w:sz w:val="16"/>
              </w:rPr>
              <w:t>186 840 000 000</w:t>
            </w:r>
          </w:p>
        </w:tc>
        <w:tc>
          <w:tcPr>
            <w:tcW w:w="643" w:type="pct"/>
            <w:tcBorders>
              <w:top w:val="nil"/>
              <w:left w:val="nil"/>
              <w:bottom w:val="dotted" w:sz="4" w:space="0" w:color="auto"/>
              <w:right w:val="single" w:sz="8" w:space="0" w:color="auto"/>
            </w:tcBorders>
            <w:shd w:val="clear" w:color="000000" w:fill="F2F2F2"/>
            <w:tcMar>
              <w:top w:w="15" w:type="dxa"/>
              <w:left w:w="15" w:type="dxa"/>
              <w:bottom w:w="0" w:type="dxa"/>
              <w:right w:w="15" w:type="dxa"/>
            </w:tcMar>
            <w:vAlign w:val="center"/>
            <w:hideMark/>
          </w:tcPr>
          <w:p w14:paraId="7262DBA4" w14:textId="77777777" w:rsidR="003D5E0A" w:rsidRPr="002703B7" w:rsidRDefault="003D5E0A">
            <w:pPr>
              <w:jc w:val="right"/>
              <w:rPr>
                <w:rFonts w:ascii="Times New Roman" w:hAnsi="Times New Roman" w:cs="Times New Roman"/>
                <w:b/>
                <w:bCs/>
                <w:i/>
                <w:iCs/>
                <w:noProof/>
                <w:color w:val="000000"/>
                <w:sz w:val="16"/>
                <w:szCs w:val="16"/>
              </w:rPr>
            </w:pPr>
            <w:r>
              <w:rPr>
                <w:rFonts w:ascii="Times New Roman" w:hAnsi="Times New Roman"/>
                <w:b/>
                <w:i/>
                <w:noProof/>
                <w:color w:val="000000"/>
                <w:sz w:val="16"/>
              </w:rPr>
              <w:t>170 543 000 000</w:t>
            </w:r>
          </w:p>
        </w:tc>
        <w:tc>
          <w:tcPr>
            <w:tcW w:w="643" w:type="pct"/>
            <w:tcBorders>
              <w:top w:val="nil"/>
              <w:left w:val="nil"/>
              <w:bottom w:val="dotted" w:sz="4" w:space="0" w:color="auto"/>
              <w:right w:val="single" w:sz="8" w:space="0" w:color="auto"/>
            </w:tcBorders>
            <w:shd w:val="clear" w:color="000000" w:fill="F2F2F2"/>
            <w:tcMar>
              <w:top w:w="15" w:type="dxa"/>
              <w:left w:w="15" w:type="dxa"/>
              <w:bottom w:w="0" w:type="dxa"/>
              <w:right w:w="15" w:type="dxa"/>
            </w:tcMar>
            <w:vAlign w:val="center"/>
            <w:hideMark/>
          </w:tcPr>
          <w:p w14:paraId="559118AA" w14:textId="77777777" w:rsidR="003D5E0A" w:rsidRPr="002703B7" w:rsidRDefault="003D5E0A">
            <w:pPr>
              <w:jc w:val="right"/>
              <w:rPr>
                <w:rFonts w:ascii="Times New Roman" w:hAnsi="Times New Roman" w:cs="Times New Roman"/>
                <w:b/>
                <w:bCs/>
                <w:i/>
                <w:iCs/>
                <w:noProof/>
                <w:color w:val="000000"/>
                <w:sz w:val="16"/>
                <w:szCs w:val="16"/>
              </w:rPr>
            </w:pPr>
            <w:r>
              <w:rPr>
                <w:rFonts w:ascii="Times New Roman" w:hAnsi="Times New Roman"/>
                <w:b/>
                <w:i/>
                <w:noProof/>
                <w:color w:val="000000"/>
                <w:sz w:val="16"/>
              </w:rPr>
              <w:t> </w:t>
            </w:r>
          </w:p>
        </w:tc>
        <w:tc>
          <w:tcPr>
            <w:tcW w:w="643" w:type="pct"/>
            <w:tcBorders>
              <w:top w:val="nil"/>
              <w:left w:val="nil"/>
              <w:bottom w:val="dotted" w:sz="4" w:space="0" w:color="auto"/>
              <w:right w:val="single" w:sz="8" w:space="0" w:color="auto"/>
            </w:tcBorders>
            <w:shd w:val="clear" w:color="000000" w:fill="F2F2F2"/>
            <w:tcMar>
              <w:top w:w="15" w:type="dxa"/>
              <w:left w:w="15" w:type="dxa"/>
              <w:bottom w:w="0" w:type="dxa"/>
              <w:right w:w="15" w:type="dxa"/>
            </w:tcMar>
            <w:vAlign w:val="center"/>
            <w:hideMark/>
          </w:tcPr>
          <w:p w14:paraId="3A6C15CA" w14:textId="77777777" w:rsidR="003D5E0A" w:rsidRPr="002703B7" w:rsidRDefault="003D5E0A">
            <w:pPr>
              <w:jc w:val="right"/>
              <w:rPr>
                <w:rFonts w:ascii="Times New Roman" w:hAnsi="Times New Roman" w:cs="Times New Roman"/>
                <w:b/>
                <w:bCs/>
                <w:i/>
                <w:iCs/>
                <w:noProof/>
                <w:color w:val="000000"/>
                <w:sz w:val="16"/>
                <w:szCs w:val="16"/>
              </w:rPr>
            </w:pPr>
            <w:r>
              <w:rPr>
                <w:rFonts w:ascii="Times New Roman" w:hAnsi="Times New Roman"/>
                <w:b/>
                <w:i/>
                <w:noProof/>
                <w:color w:val="000000"/>
                <w:sz w:val="16"/>
              </w:rPr>
              <w:t> </w:t>
            </w:r>
          </w:p>
        </w:tc>
        <w:tc>
          <w:tcPr>
            <w:tcW w:w="643" w:type="pct"/>
            <w:tcBorders>
              <w:top w:val="nil"/>
              <w:left w:val="nil"/>
              <w:bottom w:val="dotted" w:sz="4" w:space="0" w:color="auto"/>
              <w:right w:val="single" w:sz="8" w:space="0" w:color="auto"/>
            </w:tcBorders>
            <w:shd w:val="clear" w:color="000000" w:fill="F2F2F2"/>
            <w:tcMar>
              <w:top w:w="15" w:type="dxa"/>
              <w:left w:w="15" w:type="dxa"/>
              <w:bottom w:w="0" w:type="dxa"/>
              <w:right w:w="15" w:type="dxa"/>
            </w:tcMar>
            <w:vAlign w:val="center"/>
            <w:hideMark/>
          </w:tcPr>
          <w:p w14:paraId="5F8CACAA" w14:textId="77777777" w:rsidR="003D5E0A" w:rsidRPr="002703B7" w:rsidRDefault="003D5E0A">
            <w:pPr>
              <w:jc w:val="right"/>
              <w:rPr>
                <w:rFonts w:ascii="Times New Roman" w:hAnsi="Times New Roman" w:cs="Times New Roman"/>
                <w:b/>
                <w:bCs/>
                <w:i/>
                <w:iCs/>
                <w:noProof/>
                <w:color w:val="000000"/>
                <w:sz w:val="16"/>
                <w:szCs w:val="16"/>
              </w:rPr>
            </w:pPr>
            <w:r>
              <w:rPr>
                <w:rFonts w:ascii="Times New Roman" w:hAnsi="Times New Roman"/>
                <w:b/>
                <w:i/>
                <w:noProof/>
                <w:color w:val="000000"/>
                <w:sz w:val="16"/>
              </w:rPr>
              <w:t>186 840 000 000</w:t>
            </w:r>
          </w:p>
        </w:tc>
        <w:tc>
          <w:tcPr>
            <w:tcW w:w="643" w:type="pct"/>
            <w:tcBorders>
              <w:top w:val="nil"/>
              <w:left w:val="nil"/>
              <w:bottom w:val="dotted" w:sz="4" w:space="0" w:color="auto"/>
              <w:right w:val="single" w:sz="8" w:space="0" w:color="auto"/>
            </w:tcBorders>
            <w:shd w:val="clear" w:color="000000" w:fill="F2F2F2"/>
            <w:tcMar>
              <w:top w:w="15" w:type="dxa"/>
              <w:left w:w="15" w:type="dxa"/>
              <w:bottom w:w="0" w:type="dxa"/>
              <w:right w:w="15" w:type="dxa"/>
            </w:tcMar>
            <w:vAlign w:val="center"/>
            <w:hideMark/>
          </w:tcPr>
          <w:p w14:paraId="32C8DE22" w14:textId="77777777" w:rsidR="003D5E0A" w:rsidRPr="002703B7" w:rsidRDefault="003D5E0A">
            <w:pPr>
              <w:jc w:val="right"/>
              <w:rPr>
                <w:rFonts w:ascii="Times New Roman" w:hAnsi="Times New Roman" w:cs="Times New Roman"/>
                <w:b/>
                <w:bCs/>
                <w:i/>
                <w:iCs/>
                <w:noProof/>
                <w:color w:val="000000"/>
                <w:sz w:val="16"/>
                <w:szCs w:val="16"/>
              </w:rPr>
            </w:pPr>
            <w:r>
              <w:rPr>
                <w:rFonts w:ascii="Times New Roman" w:hAnsi="Times New Roman"/>
                <w:b/>
                <w:i/>
                <w:noProof/>
                <w:color w:val="000000"/>
                <w:sz w:val="16"/>
              </w:rPr>
              <w:t>170 543 000 000</w:t>
            </w:r>
          </w:p>
        </w:tc>
        <w:tc>
          <w:tcPr>
            <w:tcW w:w="17" w:type="pct"/>
            <w:vAlign w:val="center"/>
            <w:hideMark/>
          </w:tcPr>
          <w:p w14:paraId="5EFE992A" w14:textId="77777777" w:rsidR="003D5E0A" w:rsidRPr="002703B7" w:rsidRDefault="003D5E0A">
            <w:pPr>
              <w:rPr>
                <w:rFonts w:ascii="Times New Roman" w:hAnsi="Times New Roman" w:cs="Times New Roman"/>
                <w:noProof/>
                <w:sz w:val="20"/>
                <w:szCs w:val="20"/>
              </w:rPr>
            </w:pPr>
          </w:p>
        </w:tc>
      </w:tr>
      <w:tr w:rsidR="006965D0" w:rsidRPr="006965D0" w14:paraId="22096D2D" w14:textId="77777777" w:rsidTr="003D5E0A">
        <w:trPr>
          <w:trHeight w:val="450"/>
        </w:trPr>
        <w:tc>
          <w:tcPr>
            <w:tcW w:w="177" w:type="pct"/>
            <w:tcBorders>
              <w:top w:val="nil"/>
              <w:left w:val="single" w:sz="8" w:space="0" w:color="auto"/>
              <w:bottom w:val="dotted" w:sz="4" w:space="0" w:color="auto"/>
              <w:right w:val="nil"/>
            </w:tcBorders>
            <w:shd w:val="clear" w:color="000000" w:fill="F2F2F2"/>
            <w:tcMar>
              <w:top w:w="15" w:type="dxa"/>
              <w:left w:w="15" w:type="dxa"/>
              <w:bottom w:w="0" w:type="dxa"/>
              <w:right w:w="15" w:type="dxa"/>
            </w:tcMar>
            <w:vAlign w:val="center"/>
            <w:hideMark/>
          </w:tcPr>
          <w:p w14:paraId="7D3898EC"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dotted" w:sz="4" w:space="0" w:color="auto"/>
              <w:right w:val="single" w:sz="8" w:space="0" w:color="auto"/>
            </w:tcBorders>
            <w:shd w:val="clear" w:color="000000" w:fill="F2F2F2"/>
            <w:tcMar>
              <w:top w:w="15" w:type="dxa"/>
              <w:left w:w="15" w:type="dxa"/>
              <w:bottom w:w="0" w:type="dxa"/>
              <w:right w:w="15" w:type="dxa"/>
            </w:tcMar>
            <w:vAlign w:val="center"/>
            <w:hideMark/>
          </w:tcPr>
          <w:p w14:paraId="7F4F8F31" w14:textId="77777777" w:rsidR="003D5E0A" w:rsidRPr="002703B7" w:rsidRDefault="003D5E0A">
            <w:pPr>
              <w:jc w:val="right"/>
              <w:rPr>
                <w:rFonts w:ascii="Times New Roman" w:hAnsi="Times New Roman" w:cs="Times New Roman"/>
                <w:b/>
                <w:bCs/>
                <w:i/>
                <w:iCs/>
                <w:noProof/>
                <w:color w:val="000000"/>
                <w:sz w:val="16"/>
                <w:szCs w:val="16"/>
              </w:rPr>
            </w:pPr>
            <w:r>
              <w:rPr>
                <w:rFonts w:ascii="Times New Roman" w:hAnsi="Times New Roman"/>
                <w:b/>
                <w:i/>
                <w:noProof/>
                <w:color w:val="000000"/>
                <w:sz w:val="16"/>
              </w:rPr>
              <w:t>От които по Инструмента за гъвкавост</w:t>
            </w:r>
          </w:p>
        </w:tc>
        <w:tc>
          <w:tcPr>
            <w:tcW w:w="643" w:type="pct"/>
            <w:tcBorders>
              <w:top w:val="nil"/>
              <w:left w:val="nil"/>
              <w:bottom w:val="dotted" w:sz="4" w:space="0" w:color="auto"/>
              <w:right w:val="single" w:sz="8" w:space="0" w:color="auto"/>
            </w:tcBorders>
            <w:shd w:val="clear" w:color="000000" w:fill="F2F2F2"/>
            <w:tcMar>
              <w:top w:w="15" w:type="dxa"/>
              <w:left w:w="15" w:type="dxa"/>
              <w:bottom w:w="0" w:type="dxa"/>
              <w:right w:w="15" w:type="dxa"/>
            </w:tcMar>
            <w:vAlign w:val="center"/>
            <w:hideMark/>
          </w:tcPr>
          <w:p w14:paraId="2A353593" w14:textId="77777777" w:rsidR="003D5E0A" w:rsidRPr="002703B7" w:rsidRDefault="003D5E0A">
            <w:pPr>
              <w:jc w:val="right"/>
              <w:rPr>
                <w:rFonts w:ascii="Times New Roman" w:hAnsi="Times New Roman" w:cs="Times New Roman"/>
                <w:b/>
                <w:bCs/>
                <w:i/>
                <w:iCs/>
                <w:noProof/>
                <w:color w:val="000000"/>
                <w:sz w:val="16"/>
                <w:szCs w:val="16"/>
              </w:rPr>
            </w:pPr>
            <w:r>
              <w:rPr>
                <w:rFonts w:ascii="Times New Roman" w:hAnsi="Times New Roman"/>
                <w:b/>
                <w:i/>
                <w:noProof/>
                <w:color w:val="000000"/>
                <w:sz w:val="16"/>
              </w:rPr>
              <w:t>1 639 101 463</w:t>
            </w:r>
          </w:p>
        </w:tc>
        <w:tc>
          <w:tcPr>
            <w:tcW w:w="643" w:type="pct"/>
            <w:tcBorders>
              <w:top w:val="nil"/>
              <w:left w:val="nil"/>
              <w:bottom w:val="dotted" w:sz="4" w:space="0" w:color="auto"/>
              <w:right w:val="single" w:sz="8" w:space="0" w:color="auto"/>
            </w:tcBorders>
            <w:shd w:val="clear" w:color="000000" w:fill="F2F2F2"/>
            <w:tcMar>
              <w:top w:w="15" w:type="dxa"/>
              <w:left w:w="15" w:type="dxa"/>
              <w:bottom w:w="0" w:type="dxa"/>
              <w:right w:w="15" w:type="dxa"/>
            </w:tcMar>
            <w:vAlign w:val="center"/>
            <w:hideMark/>
          </w:tcPr>
          <w:p w14:paraId="56551C19" w14:textId="77777777" w:rsidR="003D5E0A" w:rsidRPr="002703B7" w:rsidRDefault="003D5E0A">
            <w:pPr>
              <w:jc w:val="right"/>
              <w:rPr>
                <w:rFonts w:ascii="Times New Roman" w:hAnsi="Times New Roman" w:cs="Times New Roman"/>
                <w:b/>
                <w:bCs/>
                <w:i/>
                <w:iCs/>
                <w:noProof/>
                <w:color w:val="000000"/>
                <w:sz w:val="16"/>
                <w:szCs w:val="16"/>
              </w:rPr>
            </w:pPr>
            <w:r>
              <w:rPr>
                <w:rFonts w:ascii="Times New Roman" w:hAnsi="Times New Roman"/>
                <w:b/>
                <w:i/>
                <w:noProof/>
                <w:color w:val="000000"/>
                <w:sz w:val="16"/>
              </w:rPr>
              <w:t>1 737 992 297</w:t>
            </w:r>
          </w:p>
        </w:tc>
        <w:tc>
          <w:tcPr>
            <w:tcW w:w="643" w:type="pct"/>
            <w:tcBorders>
              <w:top w:val="nil"/>
              <w:left w:val="nil"/>
              <w:bottom w:val="dotted" w:sz="4" w:space="0" w:color="auto"/>
              <w:right w:val="single" w:sz="8" w:space="0" w:color="auto"/>
            </w:tcBorders>
            <w:shd w:val="clear" w:color="000000" w:fill="F2F2F2"/>
            <w:tcMar>
              <w:top w:w="15" w:type="dxa"/>
              <w:left w:w="15" w:type="dxa"/>
              <w:bottom w:w="0" w:type="dxa"/>
              <w:right w:w="15" w:type="dxa"/>
            </w:tcMar>
            <w:vAlign w:val="center"/>
            <w:hideMark/>
          </w:tcPr>
          <w:p w14:paraId="1A23C0CD" w14:textId="77777777" w:rsidR="003D5E0A" w:rsidRPr="002703B7" w:rsidRDefault="003D5E0A">
            <w:pPr>
              <w:jc w:val="right"/>
              <w:rPr>
                <w:rFonts w:ascii="Times New Roman" w:hAnsi="Times New Roman" w:cs="Times New Roman"/>
                <w:b/>
                <w:bCs/>
                <w:i/>
                <w:iCs/>
                <w:noProof/>
                <w:color w:val="000000"/>
                <w:sz w:val="16"/>
                <w:szCs w:val="16"/>
              </w:rPr>
            </w:pPr>
            <w:r>
              <w:rPr>
                <w:rFonts w:ascii="Times New Roman" w:hAnsi="Times New Roman"/>
                <w:b/>
                <w:i/>
                <w:noProof/>
                <w:color w:val="000000"/>
                <w:sz w:val="16"/>
              </w:rPr>
              <w:t>13 186 000</w:t>
            </w:r>
          </w:p>
        </w:tc>
        <w:tc>
          <w:tcPr>
            <w:tcW w:w="643" w:type="pct"/>
            <w:tcBorders>
              <w:top w:val="nil"/>
              <w:left w:val="nil"/>
              <w:bottom w:val="dotted" w:sz="4" w:space="0" w:color="auto"/>
              <w:right w:val="single" w:sz="8" w:space="0" w:color="auto"/>
            </w:tcBorders>
            <w:shd w:val="clear" w:color="000000" w:fill="F2F2F2"/>
            <w:tcMar>
              <w:top w:w="15" w:type="dxa"/>
              <w:left w:w="15" w:type="dxa"/>
              <w:bottom w:w="0" w:type="dxa"/>
              <w:right w:w="15" w:type="dxa"/>
            </w:tcMar>
            <w:vAlign w:val="center"/>
            <w:hideMark/>
          </w:tcPr>
          <w:p w14:paraId="68A84A84" w14:textId="77777777" w:rsidR="003D5E0A" w:rsidRPr="002703B7" w:rsidRDefault="003D5E0A">
            <w:pPr>
              <w:jc w:val="right"/>
              <w:rPr>
                <w:rFonts w:ascii="Times New Roman" w:hAnsi="Times New Roman" w:cs="Times New Roman"/>
                <w:b/>
                <w:bCs/>
                <w:i/>
                <w:iCs/>
                <w:noProof/>
                <w:color w:val="000000"/>
                <w:sz w:val="16"/>
                <w:szCs w:val="16"/>
              </w:rPr>
            </w:pPr>
            <w:r>
              <w:rPr>
                <w:rFonts w:ascii="Times New Roman" w:hAnsi="Times New Roman"/>
                <w:b/>
                <w:i/>
                <w:noProof/>
                <w:color w:val="000000"/>
                <w:sz w:val="16"/>
              </w:rPr>
              <w:t>13 186 000</w:t>
            </w:r>
          </w:p>
        </w:tc>
        <w:tc>
          <w:tcPr>
            <w:tcW w:w="643" w:type="pct"/>
            <w:tcBorders>
              <w:top w:val="nil"/>
              <w:left w:val="nil"/>
              <w:bottom w:val="dotted" w:sz="4" w:space="0" w:color="auto"/>
              <w:right w:val="single" w:sz="8" w:space="0" w:color="auto"/>
            </w:tcBorders>
            <w:shd w:val="clear" w:color="000000" w:fill="F2F2F2"/>
            <w:tcMar>
              <w:top w:w="15" w:type="dxa"/>
              <w:left w:w="15" w:type="dxa"/>
              <w:bottom w:w="0" w:type="dxa"/>
              <w:right w:w="15" w:type="dxa"/>
            </w:tcMar>
            <w:vAlign w:val="center"/>
            <w:hideMark/>
          </w:tcPr>
          <w:p w14:paraId="1B3FA630" w14:textId="77777777" w:rsidR="003D5E0A" w:rsidRPr="002703B7" w:rsidRDefault="003D5E0A">
            <w:pPr>
              <w:jc w:val="right"/>
              <w:rPr>
                <w:rFonts w:ascii="Times New Roman" w:hAnsi="Times New Roman" w:cs="Times New Roman"/>
                <w:b/>
                <w:bCs/>
                <w:i/>
                <w:iCs/>
                <w:noProof/>
                <w:color w:val="000000"/>
                <w:sz w:val="16"/>
                <w:szCs w:val="16"/>
              </w:rPr>
            </w:pPr>
            <w:r>
              <w:rPr>
                <w:rFonts w:ascii="Times New Roman" w:hAnsi="Times New Roman"/>
                <w:b/>
                <w:i/>
                <w:noProof/>
                <w:color w:val="000000"/>
                <w:sz w:val="16"/>
              </w:rPr>
              <w:t>1 652 287 463</w:t>
            </w:r>
          </w:p>
        </w:tc>
        <w:tc>
          <w:tcPr>
            <w:tcW w:w="643" w:type="pct"/>
            <w:tcBorders>
              <w:top w:val="nil"/>
              <w:left w:val="nil"/>
              <w:bottom w:val="dotted" w:sz="4" w:space="0" w:color="auto"/>
              <w:right w:val="single" w:sz="8" w:space="0" w:color="auto"/>
            </w:tcBorders>
            <w:shd w:val="clear" w:color="000000" w:fill="F2F2F2"/>
            <w:tcMar>
              <w:top w:w="15" w:type="dxa"/>
              <w:left w:w="15" w:type="dxa"/>
              <w:bottom w:w="0" w:type="dxa"/>
              <w:right w:w="15" w:type="dxa"/>
            </w:tcMar>
            <w:vAlign w:val="center"/>
            <w:hideMark/>
          </w:tcPr>
          <w:p w14:paraId="73D7390E" w14:textId="77777777" w:rsidR="003D5E0A" w:rsidRPr="002703B7" w:rsidRDefault="003D5E0A">
            <w:pPr>
              <w:jc w:val="right"/>
              <w:rPr>
                <w:rFonts w:ascii="Times New Roman" w:hAnsi="Times New Roman" w:cs="Times New Roman"/>
                <w:b/>
                <w:bCs/>
                <w:i/>
                <w:iCs/>
                <w:noProof/>
                <w:color w:val="000000"/>
                <w:sz w:val="16"/>
                <w:szCs w:val="16"/>
              </w:rPr>
            </w:pPr>
            <w:r>
              <w:rPr>
                <w:rFonts w:ascii="Times New Roman" w:hAnsi="Times New Roman"/>
                <w:b/>
                <w:i/>
                <w:noProof/>
                <w:color w:val="000000"/>
                <w:sz w:val="16"/>
              </w:rPr>
              <w:t>1 751 178 297</w:t>
            </w:r>
          </w:p>
        </w:tc>
        <w:tc>
          <w:tcPr>
            <w:tcW w:w="17" w:type="pct"/>
            <w:vAlign w:val="center"/>
            <w:hideMark/>
          </w:tcPr>
          <w:p w14:paraId="22B4C214" w14:textId="77777777" w:rsidR="003D5E0A" w:rsidRPr="002703B7" w:rsidRDefault="003D5E0A">
            <w:pPr>
              <w:rPr>
                <w:rFonts w:ascii="Times New Roman" w:hAnsi="Times New Roman" w:cs="Times New Roman"/>
                <w:noProof/>
                <w:sz w:val="20"/>
                <w:szCs w:val="20"/>
              </w:rPr>
            </w:pPr>
          </w:p>
        </w:tc>
      </w:tr>
      <w:tr w:rsidR="006965D0" w:rsidRPr="006965D0" w14:paraId="2CB7A371" w14:textId="77777777" w:rsidTr="003D5E0A">
        <w:trPr>
          <w:trHeight w:val="675"/>
        </w:trPr>
        <w:tc>
          <w:tcPr>
            <w:tcW w:w="177" w:type="pct"/>
            <w:tcBorders>
              <w:top w:val="nil"/>
              <w:left w:val="single" w:sz="8" w:space="0" w:color="auto"/>
              <w:bottom w:val="dotted" w:sz="4" w:space="0" w:color="auto"/>
              <w:right w:val="nil"/>
            </w:tcBorders>
            <w:shd w:val="clear" w:color="000000" w:fill="F2F2F2"/>
            <w:tcMar>
              <w:top w:w="15" w:type="dxa"/>
              <w:left w:w="15" w:type="dxa"/>
              <w:bottom w:w="0" w:type="dxa"/>
              <w:right w:w="15" w:type="dxa"/>
            </w:tcMar>
            <w:vAlign w:val="center"/>
            <w:hideMark/>
          </w:tcPr>
          <w:p w14:paraId="3677BACC"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dotted" w:sz="4" w:space="0" w:color="auto"/>
              <w:right w:val="single" w:sz="8" w:space="0" w:color="auto"/>
            </w:tcBorders>
            <w:shd w:val="clear" w:color="000000" w:fill="F2F2F2"/>
            <w:tcMar>
              <w:top w:w="15" w:type="dxa"/>
              <w:left w:w="15" w:type="dxa"/>
              <w:bottom w:w="0" w:type="dxa"/>
              <w:right w:w="15" w:type="dxa"/>
            </w:tcMar>
            <w:vAlign w:val="center"/>
            <w:hideMark/>
          </w:tcPr>
          <w:p w14:paraId="2A4601FF" w14:textId="77777777" w:rsidR="003D5E0A" w:rsidRPr="002703B7" w:rsidRDefault="003D5E0A">
            <w:pPr>
              <w:jc w:val="right"/>
              <w:rPr>
                <w:rFonts w:ascii="Times New Roman" w:hAnsi="Times New Roman" w:cs="Times New Roman"/>
                <w:b/>
                <w:bCs/>
                <w:i/>
                <w:iCs/>
                <w:noProof/>
                <w:color w:val="000000"/>
                <w:sz w:val="16"/>
                <w:szCs w:val="16"/>
              </w:rPr>
            </w:pPr>
            <w:r>
              <w:rPr>
                <w:rFonts w:ascii="Times New Roman" w:hAnsi="Times New Roman"/>
                <w:b/>
                <w:i/>
                <w:noProof/>
                <w:color w:val="000000"/>
                <w:sz w:val="16"/>
              </w:rPr>
              <w:t>От които по Единния инструмент за маржовете съгласно член 11, параграф 1, буква а)</w:t>
            </w:r>
          </w:p>
        </w:tc>
        <w:tc>
          <w:tcPr>
            <w:tcW w:w="643" w:type="pct"/>
            <w:tcBorders>
              <w:top w:val="nil"/>
              <w:left w:val="nil"/>
              <w:bottom w:val="dotted" w:sz="4" w:space="0" w:color="auto"/>
              <w:right w:val="single" w:sz="8" w:space="0" w:color="auto"/>
            </w:tcBorders>
            <w:shd w:val="clear" w:color="000000" w:fill="F2F2F2"/>
            <w:tcMar>
              <w:top w:w="15" w:type="dxa"/>
              <w:left w:w="15" w:type="dxa"/>
              <w:bottom w:w="0" w:type="dxa"/>
              <w:right w:w="15" w:type="dxa"/>
            </w:tcMar>
            <w:vAlign w:val="center"/>
            <w:hideMark/>
          </w:tcPr>
          <w:p w14:paraId="5AC75DF7" w14:textId="77777777" w:rsidR="003D5E0A" w:rsidRPr="002703B7" w:rsidRDefault="003D5E0A">
            <w:pPr>
              <w:jc w:val="right"/>
              <w:rPr>
                <w:rFonts w:ascii="Times New Roman" w:hAnsi="Times New Roman" w:cs="Times New Roman"/>
                <w:b/>
                <w:bCs/>
                <w:i/>
                <w:iCs/>
                <w:noProof/>
                <w:color w:val="000000"/>
                <w:sz w:val="16"/>
                <w:szCs w:val="16"/>
              </w:rPr>
            </w:pPr>
            <w:r>
              <w:rPr>
                <w:rFonts w:ascii="Times New Roman" w:hAnsi="Times New Roman"/>
                <w:b/>
                <w:i/>
                <w:noProof/>
                <w:color w:val="000000"/>
                <w:sz w:val="16"/>
              </w:rPr>
              <w:t>586 172 399</w:t>
            </w:r>
          </w:p>
        </w:tc>
        <w:tc>
          <w:tcPr>
            <w:tcW w:w="643" w:type="pct"/>
            <w:tcBorders>
              <w:top w:val="nil"/>
              <w:left w:val="nil"/>
              <w:bottom w:val="dotted" w:sz="4" w:space="0" w:color="auto"/>
              <w:right w:val="single" w:sz="8" w:space="0" w:color="auto"/>
            </w:tcBorders>
            <w:shd w:val="clear" w:color="000000" w:fill="F2F2F2"/>
            <w:tcMar>
              <w:top w:w="15" w:type="dxa"/>
              <w:left w:w="15" w:type="dxa"/>
              <w:bottom w:w="0" w:type="dxa"/>
              <w:right w:w="15" w:type="dxa"/>
            </w:tcMar>
            <w:vAlign w:val="center"/>
            <w:hideMark/>
          </w:tcPr>
          <w:p w14:paraId="2D6CADC4" w14:textId="77777777" w:rsidR="003D5E0A" w:rsidRPr="002703B7" w:rsidRDefault="003D5E0A">
            <w:pPr>
              <w:jc w:val="right"/>
              <w:rPr>
                <w:rFonts w:ascii="Times New Roman" w:hAnsi="Times New Roman" w:cs="Times New Roman"/>
                <w:b/>
                <w:bCs/>
                <w:i/>
                <w:iCs/>
                <w:noProof/>
                <w:color w:val="000000"/>
                <w:sz w:val="16"/>
                <w:szCs w:val="16"/>
              </w:rPr>
            </w:pPr>
            <w:r>
              <w:rPr>
                <w:rFonts w:ascii="Times New Roman" w:hAnsi="Times New Roman"/>
                <w:b/>
                <w:i/>
                <w:noProof/>
                <w:color w:val="000000"/>
                <w:sz w:val="16"/>
              </w:rPr>
              <w:t> </w:t>
            </w:r>
          </w:p>
        </w:tc>
        <w:tc>
          <w:tcPr>
            <w:tcW w:w="643" w:type="pct"/>
            <w:tcBorders>
              <w:top w:val="nil"/>
              <w:left w:val="nil"/>
              <w:bottom w:val="dotted" w:sz="4" w:space="0" w:color="auto"/>
              <w:right w:val="single" w:sz="8" w:space="0" w:color="auto"/>
            </w:tcBorders>
            <w:shd w:val="clear" w:color="000000" w:fill="F2F2F2"/>
            <w:tcMar>
              <w:top w:w="15" w:type="dxa"/>
              <w:left w:w="15" w:type="dxa"/>
              <w:bottom w:w="0" w:type="dxa"/>
              <w:right w:w="15" w:type="dxa"/>
            </w:tcMar>
            <w:vAlign w:val="center"/>
            <w:hideMark/>
          </w:tcPr>
          <w:p w14:paraId="3D52F44C" w14:textId="77777777" w:rsidR="003D5E0A" w:rsidRPr="002703B7" w:rsidRDefault="003D5E0A">
            <w:pPr>
              <w:jc w:val="right"/>
              <w:rPr>
                <w:rFonts w:ascii="Times New Roman" w:hAnsi="Times New Roman" w:cs="Times New Roman"/>
                <w:b/>
                <w:bCs/>
                <w:i/>
                <w:iCs/>
                <w:noProof/>
                <w:color w:val="000000"/>
                <w:sz w:val="16"/>
                <w:szCs w:val="16"/>
              </w:rPr>
            </w:pPr>
            <w:r>
              <w:rPr>
                <w:rFonts w:ascii="Times New Roman" w:hAnsi="Times New Roman"/>
                <w:b/>
                <w:i/>
                <w:noProof/>
                <w:color w:val="000000"/>
                <w:sz w:val="16"/>
              </w:rPr>
              <w:t> </w:t>
            </w:r>
          </w:p>
        </w:tc>
        <w:tc>
          <w:tcPr>
            <w:tcW w:w="643" w:type="pct"/>
            <w:tcBorders>
              <w:top w:val="nil"/>
              <w:left w:val="nil"/>
              <w:bottom w:val="dotted" w:sz="4" w:space="0" w:color="auto"/>
              <w:right w:val="single" w:sz="8" w:space="0" w:color="auto"/>
            </w:tcBorders>
            <w:shd w:val="clear" w:color="000000" w:fill="F2F2F2"/>
            <w:tcMar>
              <w:top w:w="15" w:type="dxa"/>
              <w:left w:w="15" w:type="dxa"/>
              <w:bottom w:w="0" w:type="dxa"/>
              <w:right w:w="15" w:type="dxa"/>
            </w:tcMar>
            <w:vAlign w:val="center"/>
            <w:hideMark/>
          </w:tcPr>
          <w:p w14:paraId="3272D503" w14:textId="77777777" w:rsidR="003D5E0A" w:rsidRPr="002703B7" w:rsidRDefault="003D5E0A">
            <w:pPr>
              <w:jc w:val="right"/>
              <w:rPr>
                <w:rFonts w:ascii="Times New Roman" w:hAnsi="Times New Roman" w:cs="Times New Roman"/>
                <w:b/>
                <w:bCs/>
                <w:i/>
                <w:iCs/>
                <w:noProof/>
                <w:color w:val="000000"/>
                <w:sz w:val="16"/>
                <w:szCs w:val="16"/>
              </w:rPr>
            </w:pPr>
            <w:r>
              <w:rPr>
                <w:rFonts w:ascii="Times New Roman" w:hAnsi="Times New Roman"/>
                <w:b/>
                <w:i/>
                <w:noProof/>
                <w:color w:val="000000"/>
                <w:sz w:val="16"/>
              </w:rPr>
              <w:t> </w:t>
            </w:r>
          </w:p>
        </w:tc>
        <w:tc>
          <w:tcPr>
            <w:tcW w:w="643" w:type="pct"/>
            <w:tcBorders>
              <w:top w:val="nil"/>
              <w:left w:val="nil"/>
              <w:bottom w:val="dotted" w:sz="4" w:space="0" w:color="auto"/>
              <w:right w:val="single" w:sz="8" w:space="0" w:color="auto"/>
            </w:tcBorders>
            <w:shd w:val="clear" w:color="000000" w:fill="F2F2F2"/>
            <w:tcMar>
              <w:top w:w="15" w:type="dxa"/>
              <w:left w:w="15" w:type="dxa"/>
              <w:bottom w:w="0" w:type="dxa"/>
              <w:right w:w="15" w:type="dxa"/>
            </w:tcMar>
            <w:vAlign w:val="center"/>
            <w:hideMark/>
          </w:tcPr>
          <w:p w14:paraId="7A629FEA" w14:textId="77777777" w:rsidR="003D5E0A" w:rsidRPr="002703B7" w:rsidRDefault="003D5E0A">
            <w:pPr>
              <w:jc w:val="right"/>
              <w:rPr>
                <w:rFonts w:ascii="Times New Roman" w:hAnsi="Times New Roman" w:cs="Times New Roman"/>
                <w:b/>
                <w:bCs/>
                <w:i/>
                <w:iCs/>
                <w:noProof/>
                <w:color w:val="000000"/>
                <w:sz w:val="16"/>
                <w:szCs w:val="16"/>
              </w:rPr>
            </w:pPr>
            <w:r>
              <w:rPr>
                <w:rFonts w:ascii="Times New Roman" w:hAnsi="Times New Roman"/>
                <w:b/>
                <w:i/>
                <w:noProof/>
                <w:color w:val="000000"/>
                <w:sz w:val="16"/>
              </w:rPr>
              <w:t>586 172 399</w:t>
            </w:r>
          </w:p>
        </w:tc>
        <w:tc>
          <w:tcPr>
            <w:tcW w:w="643" w:type="pct"/>
            <w:tcBorders>
              <w:top w:val="nil"/>
              <w:left w:val="nil"/>
              <w:bottom w:val="dotted" w:sz="4" w:space="0" w:color="auto"/>
              <w:right w:val="single" w:sz="8" w:space="0" w:color="auto"/>
            </w:tcBorders>
            <w:shd w:val="clear" w:color="000000" w:fill="F2F2F2"/>
            <w:tcMar>
              <w:top w:w="15" w:type="dxa"/>
              <w:left w:w="15" w:type="dxa"/>
              <w:bottom w:w="0" w:type="dxa"/>
              <w:right w:w="15" w:type="dxa"/>
            </w:tcMar>
            <w:vAlign w:val="center"/>
            <w:hideMark/>
          </w:tcPr>
          <w:p w14:paraId="349DCD51" w14:textId="77777777" w:rsidR="003D5E0A" w:rsidRPr="002703B7" w:rsidRDefault="003D5E0A">
            <w:pPr>
              <w:jc w:val="right"/>
              <w:rPr>
                <w:rFonts w:ascii="Times New Roman" w:hAnsi="Times New Roman" w:cs="Times New Roman"/>
                <w:b/>
                <w:bCs/>
                <w:i/>
                <w:iCs/>
                <w:noProof/>
                <w:color w:val="000000"/>
                <w:sz w:val="16"/>
                <w:szCs w:val="16"/>
              </w:rPr>
            </w:pPr>
            <w:r>
              <w:rPr>
                <w:rFonts w:ascii="Times New Roman" w:hAnsi="Times New Roman"/>
                <w:b/>
                <w:i/>
                <w:noProof/>
                <w:color w:val="000000"/>
                <w:sz w:val="16"/>
              </w:rPr>
              <w:t> </w:t>
            </w:r>
          </w:p>
        </w:tc>
        <w:tc>
          <w:tcPr>
            <w:tcW w:w="17" w:type="pct"/>
            <w:vAlign w:val="center"/>
            <w:hideMark/>
          </w:tcPr>
          <w:p w14:paraId="24DA7944" w14:textId="77777777" w:rsidR="003D5E0A" w:rsidRPr="002703B7" w:rsidRDefault="003D5E0A">
            <w:pPr>
              <w:rPr>
                <w:rFonts w:ascii="Times New Roman" w:hAnsi="Times New Roman" w:cs="Times New Roman"/>
                <w:noProof/>
                <w:sz w:val="20"/>
                <w:szCs w:val="20"/>
              </w:rPr>
            </w:pPr>
          </w:p>
        </w:tc>
      </w:tr>
      <w:tr w:rsidR="006965D0" w:rsidRPr="006965D0" w14:paraId="76EEBA65" w14:textId="77777777" w:rsidTr="003D5E0A">
        <w:trPr>
          <w:trHeight w:val="315"/>
        </w:trPr>
        <w:tc>
          <w:tcPr>
            <w:tcW w:w="177" w:type="pct"/>
            <w:tcBorders>
              <w:top w:val="nil"/>
              <w:left w:val="single" w:sz="8" w:space="0" w:color="auto"/>
              <w:bottom w:val="single" w:sz="8" w:space="0" w:color="auto"/>
              <w:right w:val="nil"/>
            </w:tcBorders>
            <w:shd w:val="clear" w:color="000000" w:fill="F2F2F2"/>
            <w:tcMar>
              <w:top w:w="15" w:type="dxa"/>
              <w:left w:w="15" w:type="dxa"/>
              <w:bottom w:w="0" w:type="dxa"/>
              <w:right w:w="15" w:type="dxa"/>
            </w:tcMar>
            <w:vAlign w:val="center"/>
            <w:hideMark/>
          </w:tcPr>
          <w:p w14:paraId="5A6827E4"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single" w:sz="8" w:space="0" w:color="auto"/>
              <w:right w:val="single" w:sz="8" w:space="0" w:color="auto"/>
            </w:tcBorders>
            <w:shd w:val="clear" w:color="000000" w:fill="F2F2F2"/>
            <w:tcMar>
              <w:top w:w="15" w:type="dxa"/>
              <w:left w:w="15" w:type="dxa"/>
              <w:bottom w:w="0" w:type="dxa"/>
              <w:right w:w="15" w:type="dxa"/>
            </w:tcMar>
            <w:vAlign w:val="center"/>
            <w:hideMark/>
          </w:tcPr>
          <w:p w14:paraId="68CF331D" w14:textId="77777777" w:rsidR="003D5E0A" w:rsidRPr="002703B7" w:rsidRDefault="003D5E0A">
            <w:pPr>
              <w:jc w:val="right"/>
              <w:rPr>
                <w:rFonts w:ascii="Times New Roman" w:hAnsi="Times New Roman" w:cs="Times New Roman"/>
                <w:b/>
                <w:bCs/>
                <w:i/>
                <w:iCs/>
                <w:noProof/>
                <w:color w:val="000000"/>
                <w:sz w:val="16"/>
                <w:szCs w:val="16"/>
              </w:rPr>
            </w:pPr>
            <w:r>
              <w:rPr>
                <w:rFonts w:ascii="Times New Roman" w:hAnsi="Times New Roman"/>
                <w:b/>
                <w:i/>
                <w:noProof/>
                <w:color w:val="000000"/>
                <w:sz w:val="16"/>
              </w:rPr>
              <w:t>Марж</w:t>
            </w:r>
          </w:p>
        </w:tc>
        <w:tc>
          <w:tcPr>
            <w:tcW w:w="643" w:type="pct"/>
            <w:tcBorders>
              <w:top w:val="nil"/>
              <w:left w:val="nil"/>
              <w:bottom w:val="single" w:sz="8" w:space="0" w:color="auto"/>
              <w:right w:val="single" w:sz="8" w:space="0" w:color="auto"/>
            </w:tcBorders>
            <w:shd w:val="clear" w:color="000000" w:fill="F2F2F2"/>
            <w:tcMar>
              <w:top w:w="15" w:type="dxa"/>
              <w:left w:w="15" w:type="dxa"/>
              <w:bottom w:w="0" w:type="dxa"/>
              <w:right w:w="15" w:type="dxa"/>
            </w:tcMar>
            <w:vAlign w:val="center"/>
            <w:hideMark/>
          </w:tcPr>
          <w:p w14:paraId="6FE8BED7" w14:textId="77777777" w:rsidR="003D5E0A" w:rsidRPr="002703B7" w:rsidRDefault="003D5E0A">
            <w:pPr>
              <w:jc w:val="right"/>
              <w:rPr>
                <w:rFonts w:ascii="Times New Roman" w:hAnsi="Times New Roman" w:cs="Times New Roman"/>
                <w:b/>
                <w:bCs/>
                <w:i/>
                <w:iCs/>
                <w:noProof/>
                <w:color w:val="000000"/>
                <w:sz w:val="16"/>
                <w:szCs w:val="16"/>
              </w:rPr>
            </w:pPr>
            <w:r>
              <w:rPr>
                <w:rFonts w:ascii="Times New Roman" w:hAnsi="Times New Roman"/>
                <w:b/>
                <w:i/>
                <w:noProof/>
                <w:color w:val="000000"/>
                <w:sz w:val="16"/>
              </w:rPr>
              <w:t>360 094 887</w:t>
            </w:r>
          </w:p>
        </w:tc>
        <w:tc>
          <w:tcPr>
            <w:tcW w:w="643" w:type="pct"/>
            <w:tcBorders>
              <w:top w:val="nil"/>
              <w:left w:val="nil"/>
              <w:bottom w:val="single" w:sz="8" w:space="0" w:color="auto"/>
              <w:right w:val="single" w:sz="8" w:space="0" w:color="auto"/>
            </w:tcBorders>
            <w:shd w:val="clear" w:color="000000" w:fill="F2F2F2"/>
            <w:tcMar>
              <w:top w:w="15" w:type="dxa"/>
              <w:left w:w="15" w:type="dxa"/>
              <w:bottom w:w="0" w:type="dxa"/>
              <w:right w:w="15" w:type="dxa"/>
            </w:tcMar>
            <w:vAlign w:val="center"/>
            <w:hideMark/>
          </w:tcPr>
          <w:p w14:paraId="4EEE401B" w14:textId="77777777" w:rsidR="003D5E0A" w:rsidRPr="002703B7" w:rsidRDefault="003D5E0A">
            <w:pPr>
              <w:jc w:val="right"/>
              <w:rPr>
                <w:rFonts w:ascii="Times New Roman" w:hAnsi="Times New Roman" w:cs="Times New Roman"/>
                <w:b/>
                <w:bCs/>
                <w:i/>
                <w:iCs/>
                <w:noProof/>
                <w:color w:val="000000"/>
                <w:sz w:val="16"/>
                <w:szCs w:val="16"/>
              </w:rPr>
            </w:pPr>
            <w:r>
              <w:rPr>
                <w:rFonts w:ascii="Times New Roman" w:hAnsi="Times New Roman"/>
                <w:b/>
                <w:i/>
                <w:noProof/>
                <w:color w:val="000000"/>
                <w:sz w:val="16"/>
              </w:rPr>
              <w:t>30 994 594 259</w:t>
            </w:r>
          </w:p>
        </w:tc>
        <w:tc>
          <w:tcPr>
            <w:tcW w:w="643" w:type="pct"/>
            <w:tcBorders>
              <w:top w:val="nil"/>
              <w:left w:val="nil"/>
              <w:bottom w:val="single" w:sz="8" w:space="0" w:color="auto"/>
              <w:right w:val="single" w:sz="8" w:space="0" w:color="auto"/>
            </w:tcBorders>
            <w:shd w:val="clear" w:color="000000" w:fill="F2F2F2"/>
            <w:tcMar>
              <w:top w:w="15" w:type="dxa"/>
              <w:left w:w="15" w:type="dxa"/>
              <w:bottom w:w="0" w:type="dxa"/>
              <w:right w:w="15" w:type="dxa"/>
            </w:tcMar>
            <w:vAlign w:val="center"/>
            <w:hideMark/>
          </w:tcPr>
          <w:p w14:paraId="251E2B58" w14:textId="4D9394CF" w:rsidR="003D5E0A" w:rsidRPr="002703B7" w:rsidRDefault="00BC2F5C">
            <w:pPr>
              <w:jc w:val="right"/>
              <w:rPr>
                <w:rFonts w:ascii="Times New Roman" w:hAnsi="Times New Roman" w:cs="Times New Roman"/>
                <w:b/>
                <w:bCs/>
                <w:i/>
                <w:iCs/>
                <w:noProof/>
                <w:color w:val="000000"/>
                <w:sz w:val="16"/>
                <w:szCs w:val="16"/>
              </w:rPr>
            </w:pPr>
            <w:r>
              <w:rPr>
                <w:rFonts w:ascii="Times New Roman" w:hAnsi="Times New Roman"/>
                <w:b/>
                <w:i/>
                <w:noProof/>
                <w:color w:val="000000"/>
                <w:sz w:val="16"/>
              </w:rPr>
              <w:t>1 156 166 </w:t>
            </w:r>
          </w:p>
        </w:tc>
        <w:tc>
          <w:tcPr>
            <w:tcW w:w="643" w:type="pct"/>
            <w:tcBorders>
              <w:top w:val="nil"/>
              <w:left w:val="nil"/>
              <w:bottom w:val="single" w:sz="8" w:space="0" w:color="auto"/>
              <w:right w:val="single" w:sz="8" w:space="0" w:color="auto"/>
            </w:tcBorders>
            <w:shd w:val="clear" w:color="000000" w:fill="F2F2F2"/>
            <w:tcMar>
              <w:top w:w="15" w:type="dxa"/>
              <w:left w:w="15" w:type="dxa"/>
              <w:bottom w:w="0" w:type="dxa"/>
              <w:right w:w="15" w:type="dxa"/>
            </w:tcMar>
            <w:vAlign w:val="center"/>
            <w:hideMark/>
          </w:tcPr>
          <w:p w14:paraId="11719927" w14:textId="1E516D35" w:rsidR="003D5E0A" w:rsidRPr="002703B7" w:rsidRDefault="00BC2F5C">
            <w:pPr>
              <w:jc w:val="right"/>
              <w:rPr>
                <w:rFonts w:ascii="Times New Roman" w:hAnsi="Times New Roman" w:cs="Times New Roman"/>
                <w:b/>
                <w:bCs/>
                <w:i/>
                <w:iCs/>
                <w:noProof/>
                <w:color w:val="000000"/>
                <w:sz w:val="16"/>
                <w:szCs w:val="16"/>
              </w:rPr>
            </w:pPr>
            <w:r>
              <w:rPr>
                <w:rFonts w:ascii="Times New Roman" w:hAnsi="Times New Roman"/>
                <w:b/>
                <w:i/>
                <w:noProof/>
                <w:color w:val="000000"/>
                <w:sz w:val="16"/>
              </w:rPr>
              <w:t>1 156 166 </w:t>
            </w:r>
          </w:p>
        </w:tc>
        <w:tc>
          <w:tcPr>
            <w:tcW w:w="643" w:type="pct"/>
            <w:tcBorders>
              <w:top w:val="nil"/>
              <w:left w:val="nil"/>
              <w:bottom w:val="single" w:sz="8" w:space="0" w:color="auto"/>
              <w:right w:val="single" w:sz="8" w:space="0" w:color="auto"/>
            </w:tcBorders>
            <w:shd w:val="clear" w:color="000000" w:fill="F2F2F2"/>
            <w:tcMar>
              <w:top w:w="15" w:type="dxa"/>
              <w:left w:w="15" w:type="dxa"/>
              <w:bottom w:w="0" w:type="dxa"/>
              <w:right w:w="15" w:type="dxa"/>
            </w:tcMar>
            <w:vAlign w:val="center"/>
            <w:hideMark/>
          </w:tcPr>
          <w:p w14:paraId="4E0D19E6" w14:textId="77777777" w:rsidR="003D5E0A" w:rsidRPr="002703B7" w:rsidRDefault="003D5E0A">
            <w:pPr>
              <w:jc w:val="right"/>
              <w:rPr>
                <w:rFonts w:ascii="Times New Roman" w:hAnsi="Times New Roman" w:cs="Times New Roman"/>
                <w:b/>
                <w:bCs/>
                <w:i/>
                <w:iCs/>
                <w:noProof/>
                <w:sz w:val="16"/>
                <w:szCs w:val="16"/>
              </w:rPr>
            </w:pPr>
            <w:r>
              <w:rPr>
                <w:rFonts w:ascii="Times New Roman" w:hAnsi="Times New Roman"/>
                <w:b/>
                <w:i/>
                <w:noProof/>
                <w:sz w:val="16"/>
              </w:rPr>
              <w:t>361 251 053</w:t>
            </w:r>
          </w:p>
        </w:tc>
        <w:tc>
          <w:tcPr>
            <w:tcW w:w="643" w:type="pct"/>
            <w:tcBorders>
              <w:top w:val="nil"/>
              <w:left w:val="nil"/>
              <w:bottom w:val="single" w:sz="8" w:space="0" w:color="auto"/>
              <w:right w:val="single" w:sz="8" w:space="0" w:color="auto"/>
            </w:tcBorders>
            <w:shd w:val="clear" w:color="000000" w:fill="F2F2F2"/>
            <w:tcMar>
              <w:top w:w="15" w:type="dxa"/>
              <w:left w:w="15" w:type="dxa"/>
              <w:bottom w:w="0" w:type="dxa"/>
              <w:right w:w="15" w:type="dxa"/>
            </w:tcMar>
            <w:vAlign w:val="center"/>
            <w:hideMark/>
          </w:tcPr>
          <w:p w14:paraId="67A77740" w14:textId="77777777" w:rsidR="003D5E0A" w:rsidRPr="002703B7" w:rsidRDefault="003D5E0A">
            <w:pPr>
              <w:jc w:val="right"/>
              <w:rPr>
                <w:rFonts w:ascii="Times New Roman" w:hAnsi="Times New Roman" w:cs="Times New Roman"/>
                <w:b/>
                <w:bCs/>
                <w:i/>
                <w:iCs/>
                <w:noProof/>
                <w:sz w:val="16"/>
                <w:szCs w:val="16"/>
              </w:rPr>
            </w:pPr>
            <w:r>
              <w:rPr>
                <w:rFonts w:ascii="Times New Roman" w:hAnsi="Times New Roman"/>
                <w:b/>
                <w:i/>
                <w:noProof/>
                <w:sz w:val="16"/>
              </w:rPr>
              <w:t>30 995 750 425</w:t>
            </w:r>
          </w:p>
        </w:tc>
        <w:tc>
          <w:tcPr>
            <w:tcW w:w="17" w:type="pct"/>
            <w:vAlign w:val="center"/>
            <w:hideMark/>
          </w:tcPr>
          <w:p w14:paraId="1E96C544" w14:textId="77777777" w:rsidR="003D5E0A" w:rsidRPr="002703B7" w:rsidRDefault="003D5E0A">
            <w:pPr>
              <w:rPr>
                <w:rFonts w:ascii="Times New Roman" w:hAnsi="Times New Roman" w:cs="Times New Roman"/>
                <w:noProof/>
                <w:sz w:val="20"/>
                <w:szCs w:val="20"/>
              </w:rPr>
            </w:pPr>
          </w:p>
        </w:tc>
      </w:tr>
      <w:tr w:rsidR="006965D0" w:rsidRPr="006965D0" w14:paraId="56F24F66" w14:textId="77777777" w:rsidTr="003D5E0A">
        <w:trPr>
          <w:trHeight w:val="435"/>
        </w:trPr>
        <w:tc>
          <w:tcPr>
            <w:tcW w:w="177" w:type="pct"/>
            <w:tcBorders>
              <w:top w:val="nil"/>
              <w:left w:val="single" w:sz="8" w:space="0" w:color="auto"/>
              <w:bottom w:val="single" w:sz="8" w:space="0" w:color="auto"/>
              <w:right w:val="nil"/>
            </w:tcBorders>
            <w:shd w:val="clear" w:color="000000" w:fill="D9D9D9"/>
            <w:tcMar>
              <w:top w:w="15" w:type="dxa"/>
              <w:left w:w="15" w:type="dxa"/>
              <w:bottom w:w="0" w:type="dxa"/>
              <w:right w:w="15" w:type="dxa"/>
            </w:tcMar>
            <w:vAlign w:val="center"/>
            <w:hideMark/>
          </w:tcPr>
          <w:p w14:paraId="2BC2A132" w14:textId="77777777" w:rsidR="003D5E0A" w:rsidRPr="002703B7" w:rsidRDefault="003D5E0A">
            <w:pPr>
              <w:jc w:val="both"/>
              <w:rPr>
                <w:rFonts w:ascii="Times New Roman" w:hAnsi="Times New Roman" w:cs="Times New Roman"/>
                <w:noProof/>
                <w:color w:val="000000"/>
                <w:sz w:val="16"/>
                <w:szCs w:val="16"/>
              </w:rPr>
            </w:pPr>
            <w:r>
              <w:rPr>
                <w:rFonts w:ascii="Times New Roman" w:hAnsi="Times New Roman"/>
                <w:noProof/>
                <w:color w:val="000000"/>
                <w:sz w:val="16"/>
              </w:rPr>
              <w:t> </w:t>
            </w:r>
          </w:p>
        </w:tc>
        <w:tc>
          <w:tcPr>
            <w:tcW w:w="950" w:type="pct"/>
            <w:tcBorders>
              <w:top w:val="nil"/>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14:paraId="64AED42D"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Тематични специални инструменти</w:t>
            </w:r>
          </w:p>
        </w:tc>
        <w:tc>
          <w:tcPr>
            <w:tcW w:w="643" w:type="pct"/>
            <w:tcBorders>
              <w:top w:val="nil"/>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14:paraId="220EBA76"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6 517 600 432</w:t>
            </w:r>
          </w:p>
        </w:tc>
        <w:tc>
          <w:tcPr>
            <w:tcW w:w="643" w:type="pct"/>
            <w:tcBorders>
              <w:top w:val="nil"/>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14:paraId="2A13FADD"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5 491 076 559</w:t>
            </w:r>
          </w:p>
        </w:tc>
        <w:tc>
          <w:tcPr>
            <w:tcW w:w="643" w:type="pct"/>
            <w:tcBorders>
              <w:top w:val="nil"/>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14:paraId="5B8BBA63"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 </w:t>
            </w:r>
          </w:p>
        </w:tc>
        <w:tc>
          <w:tcPr>
            <w:tcW w:w="643" w:type="pct"/>
            <w:tcBorders>
              <w:top w:val="nil"/>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14:paraId="1A7A5A75"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 </w:t>
            </w:r>
          </w:p>
        </w:tc>
        <w:tc>
          <w:tcPr>
            <w:tcW w:w="643" w:type="pct"/>
            <w:tcBorders>
              <w:top w:val="nil"/>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14:paraId="62ED02F5"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6 517 600 432</w:t>
            </w:r>
          </w:p>
        </w:tc>
        <w:tc>
          <w:tcPr>
            <w:tcW w:w="643" w:type="pct"/>
            <w:tcBorders>
              <w:top w:val="nil"/>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14:paraId="399763A5"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5 491 076 559</w:t>
            </w:r>
          </w:p>
        </w:tc>
        <w:tc>
          <w:tcPr>
            <w:tcW w:w="17" w:type="pct"/>
            <w:vAlign w:val="center"/>
            <w:hideMark/>
          </w:tcPr>
          <w:p w14:paraId="7FD68755" w14:textId="77777777" w:rsidR="003D5E0A" w:rsidRPr="002703B7" w:rsidRDefault="003D5E0A">
            <w:pPr>
              <w:rPr>
                <w:rFonts w:ascii="Times New Roman" w:hAnsi="Times New Roman" w:cs="Times New Roman"/>
                <w:noProof/>
                <w:sz w:val="20"/>
                <w:szCs w:val="20"/>
              </w:rPr>
            </w:pPr>
          </w:p>
        </w:tc>
      </w:tr>
      <w:tr w:rsidR="003D5E0A" w:rsidRPr="003D5E0A" w14:paraId="44E6F088" w14:textId="77777777" w:rsidTr="002703B7">
        <w:trPr>
          <w:trHeight w:val="315"/>
        </w:trPr>
        <w:tc>
          <w:tcPr>
            <w:tcW w:w="1127" w:type="pct"/>
            <w:gridSpan w:val="2"/>
            <w:tcBorders>
              <w:top w:val="single" w:sz="8" w:space="0" w:color="auto"/>
              <w:left w:val="single" w:sz="8" w:space="0" w:color="auto"/>
              <w:bottom w:val="single" w:sz="8" w:space="0" w:color="auto"/>
              <w:right w:val="single" w:sz="8" w:space="0" w:color="000000"/>
            </w:tcBorders>
            <w:shd w:val="clear" w:color="000000" w:fill="BFBFBF"/>
            <w:tcMar>
              <w:top w:w="15" w:type="dxa"/>
              <w:left w:w="15" w:type="dxa"/>
              <w:bottom w:w="0" w:type="dxa"/>
              <w:right w:w="15" w:type="dxa"/>
            </w:tcMar>
            <w:vAlign w:val="center"/>
            <w:hideMark/>
          </w:tcPr>
          <w:p w14:paraId="3C4E24EF"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 xml:space="preserve">Общо бюджетни кредити </w:t>
            </w:r>
          </w:p>
        </w:tc>
        <w:tc>
          <w:tcPr>
            <w:tcW w:w="643" w:type="pct"/>
            <w:tcBorders>
              <w:top w:val="nil"/>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1CEBC82E"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195 222 779 407</w:t>
            </w:r>
          </w:p>
        </w:tc>
        <w:tc>
          <w:tcPr>
            <w:tcW w:w="643" w:type="pct"/>
            <w:tcBorders>
              <w:top w:val="nil"/>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1C6B6102"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146 777 474 597</w:t>
            </w:r>
          </w:p>
        </w:tc>
        <w:tc>
          <w:tcPr>
            <w:tcW w:w="643" w:type="pct"/>
            <w:tcBorders>
              <w:top w:val="nil"/>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5E754A77"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12 029 834</w:t>
            </w:r>
          </w:p>
        </w:tc>
        <w:tc>
          <w:tcPr>
            <w:tcW w:w="643" w:type="pct"/>
            <w:tcBorders>
              <w:top w:val="nil"/>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54B68EAC"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12 029 834</w:t>
            </w:r>
          </w:p>
        </w:tc>
        <w:tc>
          <w:tcPr>
            <w:tcW w:w="643" w:type="pct"/>
            <w:tcBorders>
              <w:top w:val="nil"/>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7A8C3559"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195 234 809 241</w:t>
            </w:r>
          </w:p>
        </w:tc>
        <w:tc>
          <w:tcPr>
            <w:tcW w:w="643" w:type="pct"/>
            <w:tcBorders>
              <w:top w:val="nil"/>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6FE78181" w14:textId="77777777" w:rsidR="003D5E0A" w:rsidRPr="002703B7" w:rsidRDefault="003D5E0A">
            <w:pPr>
              <w:jc w:val="right"/>
              <w:rPr>
                <w:rFonts w:ascii="Times New Roman" w:hAnsi="Times New Roman" w:cs="Times New Roman"/>
                <w:b/>
                <w:bCs/>
                <w:noProof/>
                <w:color w:val="000000"/>
                <w:sz w:val="16"/>
                <w:szCs w:val="16"/>
              </w:rPr>
            </w:pPr>
            <w:r>
              <w:rPr>
                <w:rFonts w:ascii="Times New Roman" w:hAnsi="Times New Roman"/>
                <w:b/>
                <w:noProof/>
                <w:color w:val="000000"/>
                <w:sz w:val="16"/>
              </w:rPr>
              <w:t>146 789 504 431</w:t>
            </w:r>
          </w:p>
        </w:tc>
        <w:tc>
          <w:tcPr>
            <w:tcW w:w="17" w:type="pct"/>
            <w:vAlign w:val="center"/>
            <w:hideMark/>
          </w:tcPr>
          <w:p w14:paraId="1F601A8A" w14:textId="77777777" w:rsidR="003D5E0A" w:rsidRPr="002703B7" w:rsidRDefault="003D5E0A">
            <w:pPr>
              <w:rPr>
                <w:rFonts w:ascii="Times New Roman" w:hAnsi="Times New Roman" w:cs="Times New Roman"/>
                <w:noProof/>
                <w:sz w:val="20"/>
                <w:szCs w:val="20"/>
              </w:rPr>
            </w:pPr>
          </w:p>
        </w:tc>
      </w:tr>
    </w:tbl>
    <w:p w14:paraId="5D7974A2" w14:textId="77777777" w:rsidR="000852D2" w:rsidRPr="006A6461" w:rsidRDefault="000852D2" w:rsidP="00311C9F">
      <w:pPr>
        <w:keepNext/>
        <w:tabs>
          <w:tab w:val="left" w:pos="850"/>
        </w:tabs>
        <w:spacing w:before="240" w:after="120"/>
        <w:ind w:left="851" w:hanging="851"/>
        <w:jc w:val="both"/>
        <w:outlineLvl w:val="0"/>
        <w:rPr>
          <w:rFonts w:ascii="Times New Roman" w:hAnsi="Times New Roman" w:cs="Times New Roman"/>
          <w:b/>
          <w:smallCaps/>
          <w:noProof/>
          <w:sz w:val="24"/>
          <w:szCs w:val="24"/>
          <w:lang w:eastAsia="de-DE"/>
        </w:rPr>
      </w:pPr>
    </w:p>
    <w:p w14:paraId="7838FC58" w14:textId="77777777" w:rsidR="000852D2" w:rsidRPr="006A6461" w:rsidRDefault="000852D2" w:rsidP="00311C9F">
      <w:pPr>
        <w:keepNext/>
        <w:tabs>
          <w:tab w:val="left" w:pos="850"/>
        </w:tabs>
        <w:spacing w:before="240" w:after="120"/>
        <w:ind w:left="851" w:hanging="851"/>
        <w:jc w:val="both"/>
        <w:outlineLvl w:val="0"/>
        <w:rPr>
          <w:rFonts w:ascii="Times New Roman" w:hAnsi="Times New Roman" w:cs="Times New Roman"/>
          <w:b/>
          <w:smallCaps/>
          <w:noProof/>
          <w:sz w:val="24"/>
          <w:szCs w:val="24"/>
          <w:lang w:eastAsia="de-DE"/>
        </w:rPr>
      </w:pPr>
    </w:p>
    <w:p w14:paraId="604E33A0" w14:textId="77777777" w:rsidR="000852D2" w:rsidRPr="006A6461" w:rsidRDefault="000852D2" w:rsidP="00311C9F">
      <w:pPr>
        <w:keepNext/>
        <w:tabs>
          <w:tab w:val="left" w:pos="850"/>
        </w:tabs>
        <w:spacing w:before="240" w:after="120"/>
        <w:ind w:left="851" w:hanging="851"/>
        <w:jc w:val="both"/>
        <w:outlineLvl w:val="0"/>
        <w:rPr>
          <w:rFonts w:ascii="Times New Roman" w:hAnsi="Times New Roman" w:cs="Times New Roman"/>
          <w:b/>
          <w:smallCaps/>
          <w:noProof/>
          <w:sz w:val="24"/>
          <w:szCs w:val="24"/>
          <w:lang w:eastAsia="de-DE"/>
        </w:rPr>
      </w:pPr>
    </w:p>
    <w:sectPr w:rsidR="000852D2" w:rsidRPr="006A6461" w:rsidSect="008234F4">
      <w:headerReference w:type="even" r:id="rId25"/>
      <w:headerReference w:type="default" r:id="rId26"/>
      <w:footerReference w:type="even" r:id="rId27"/>
      <w:footerReference w:type="default" r:id="rId28"/>
      <w:headerReference w:type="first" r:id="rId29"/>
      <w:footerReference w:type="first" r:id="rId30"/>
      <w:pgSz w:w="11907" w:h="16839"/>
      <w:pgMar w:top="720"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2C426" w14:textId="77777777" w:rsidR="00360B89" w:rsidRDefault="00360B89">
      <w:pPr>
        <w:spacing w:after="0" w:line="240" w:lineRule="auto"/>
      </w:pPr>
      <w:r>
        <w:separator/>
      </w:r>
    </w:p>
  </w:endnote>
  <w:endnote w:type="continuationSeparator" w:id="0">
    <w:p w14:paraId="38FA267C" w14:textId="77777777" w:rsidR="00360B89" w:rsidRDefault="00360B89">
      <w:pPr>
        <w:spacing w:after="0" w:line="240" w:lineRule="auto"/>
      </w:pPr>
      <w:r>
        <w:continuationSeparator/>
      </w:r>
    </w:p>
  </w:endnote>
  <w:endnote w:type="continuationNotice" w:id="1">
    <w:p w14:paraId="60E88A3A" w14:textId="77777777" w:rsidR="00360B89" w:rsidRDefault="00360B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F531E" w14:textId="4059AE33" w:rsidR="00020CDD" w:rsidRPr="00020CDD" w:rsidRDefault="00020CDD" w:rsidP="00020CDD">
    <w:pPr>
      <w:pStyle w:val="FooterCoverPage"/>
      <w:rPr>
        <w:rFonts w:ascii="Arial" w:hAnsi="Arial" w:cs="Arial"/>
        <w:b/>
        <w:sz w:val="48"/>
      </w:rPr>
    </w:pPr>
    <w:r w:rsidRPr="00020CDD">
      <w:rPr>
        <w:rFonts w:ascii="Arial" w:hAnsi="Arial" w:cs="Arial"/>
        <w:b/>
        <w:sz w:val="48"/>
      </w:rPr>
      <w:t>BG</w:t>
    </w:r>
    <w:r w:rsidRPr="00020CDD">
      <w:rPr>
        <w:rFonts w:ascii="Arial" w:hAnsi="Arial" w:cs="Arial"/>
        <w:b/>
        <w:sz w:val="48"/>
      </w:rPr>
      <w:tab/>
    </w:r>
    <w:r w:rsidRPr="00020CDD">
      <w:rPr>
        <w:rFonts w:ascii="Arial" w:hAnsi="Arial" w:cs="Arial"/>
        <w:b/>
        <w:sz w:val="48"/>
      </w:rPr>
      <w:tab/>
    </w:r>
    <w:r w:rsidRPr="00020CDD">
      <w:tab/>
    </w:r>
    <w:r w:rsidRPr="00020CDD">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172F5" w14:textId="3CD912CE" w:rsidR="00020CDD" w:rsidRPr="00020CDD" w:rsidRDefault="00020CDD" w:rsidP="00020CDD">
    <w:pPr>
      <w:pStyle w:val="FooterCoverPage"/>
      <w:rPr>
        <w:rFonts w:ascii="Arial" w:hAnsi="Arial" w:cs="Arial"/>
        <w:b/>
        <w:sz w:val="48"/>
      </w:rPr>
    </w:pPr>
    <w:r w:rsidRPr="00020CDD">
      <w:rPr>
        <w:rFonts w:ascii="Arial" w:hAnsi="Arial" w:cs="Arial"/>
        <w:b/>
        <w:sz w:val="48"/>
      </w:rPr>
      <w:t>BG</w:t>
    </w:r>
    <w:r w:rsidRPr="00020CDD">
      <w:rPr>
        <w:rFonts w:ascii="Arial" w:hAnsi="Arial" w:cs="Arial"/>
        <w:b/>
        <w:sz w:val="48"/>
      </w:rPr>
      <w:tab/>
    </w:r>
    <w:r w:rsidRPr="00020CDD">
      <w:rPr>
        <w:rFonts w:ascii="Arial" w:hAnsi="Arial" w:cs="Arial"/>
        <w:b/>
        <w:sz w:val="48"/>
      </w:rPr>
      <w:tab/>
    </w:r>
    <w:r w:rsidRPr="00020CDD">
      <w:tab/>
    </w:r>
    <w:r w:rsidRPr="00020CDD">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2DC16" w14:textId="77777777" w:rsidR="00020CDD" w:rsidRPr="00020CDD" w:rsidRDefault="00020CDD" w:rsidP="00020CD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E0CA3" w14:textId="77777777" w:rsidR="0038470B" w:rsidRDefault="003847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938B5" w14:textId="47168CC4" w:rsidR="0038470B" w:rsidRDefault="0038470B">
    <w:pPr>
      <w:pStyle w:val="Footer"/>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sidR="00020CDD">
      <w:rPr>
        <w:noProof/>
      </w:rPr>
      <w:t>1</w:t>
    </w:r>
    <w: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82496" w14:textId="77777777" w:rsidR="0038470B" w:rsidRDefault="0038470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4BA79" w14:textId="77777777" w:rsidR="0038470B" w:rsidRDefault="0038470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A7FE3" w14:textId="6E523B6A" w:rsidR="0038470B" w:rsidRDefault="00A737A2">
    <w:pPr>
      <w:pStyle w:val="Footer"/>
      <w:ind w:left="-851" w:right="-851"/>
      <w:rPr>
        <w:rFonts w:ascii="Arial" w:hAnsi="Arial" w:cs="Arial"/>
        <w:b/>
        <w:sz w:val="48"/>
      </w:rPr>
    </w:pPr>
    <w:r>
      <w:tab/>
    </w:r>
    <w:r w:rsidR="0038470B">
      <w:fldChar w:fldCharType="begin"/>
    </w:r>
    <w:r w:rsidR="0038470B">
      <w:instrText xml:space="preserve"> PAGE  \* MERGEFORMAT </w:instrText>
    </w:r>
    <w:r w:rsidR="0038470B">
      <w:fldChar w:fldCharType="separate"/>
    </w:r>
    <w:r w:rsidR="00020CDD">
      <w:rPr>
        <w:noProof/>
      </w:rPr>
      <w:t>4</w:t>
    </w:r>
    <w:r w:rsidR="0038470B">
      <w:fldChar w:fldCharType="end"/>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14D3A" w14:textId="77777777" w:rsidR="0038470B" w:rsidRDefault="00384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1072C" w14:textId="77777777" w:rsidR="00360B89" w:rsidRDefault="00360B89">
      <w:pPr>
        <w:spacing w:after="0" w:line="240" w:lineRule="auto"/>
      </w:pPr>
      <w:r>
        <w:separator/>
      </w:r>
    </w:p>
  </w:footnote>
  <w:footnote w:type="continuationSeparator" w:id="0">
    <w:p w14:paraId="33D9C458" w14:textId="77777777" w:rsidR="00360B89" w:rsidRDefault="00360B89">
      <w:pPr>
        <w:spacing w:after="0" w:line="240" w:lineRule="auto"/>
      </w:pPr>
      <w:r>
        <w:continuationSeparator/>
      </w:r>
    </w:p>
  </w:footnote>
  <w:footnote w:type="continuationNotice" w:id="1">
    <w:p w14:paraId="06A09727" w14:textId="77777777" w:rsidR="00360B89" w:rsidRDefault="00360B89">
      <w:pPr>
        <w:spacing w:after="0" w:line="240" w:lineRule="auto"/>
      </w:pPr>
    </w:p>
  </w:footnote>
  <w:footnote w:id="2">
    <w:p w14:paraId="25E9E437" w14:textId="77777777" w:rsidR="00D1196C" w:rsidRPr="000E77B6" w:rsidRDefault="00D1196C" w:rsidP="00D1196C">
      <w:pPr>
        <w:pStyle w:val="FootnoteText"/>
      </w:pPr>
      <w:r>
        <w:rPr>
          <w:rStyle w:val="FootnoteReference"/>
        </w:rPr>
        <w:footnoteRef/>
      </w:r>
      <w:r>
        <w:t xml:space="preserve"> </w:t>
      </w:r>
      <w:r>
        <w:tab/>
        <w:t>Решение (ЕС, Евратом) 2020/2053 на Съвета от 14 декември 2020 г. относно системата на собствените ресурси на Европейския съюз и за отмяна на Решение 2014/335/ЕС, Евратом (ОВ L 424, 15.12.2020 г.).</w:t>
      </w:r>
    </w:p>
  </w:footnote>
  <w:footnote w:id="3">
    <w:p w14:paraId="18E4CDC7" w14:textId="77777777" w:rsidR="00D1196C" w:rsidRPr="000E77B6" w:rsidRDefault="00D1196C" w:rsidP="00D1196C">
      <w:pPr>
        <w:pStyle w:val="FootnoteText"/>
      </w:pPr>
      <w:r>
        <w:rPr>
          <w:rStyle w:val="FootnoteReference"/>
        </w:rPr>
        <w:footnoteRef/>
      </w:r>
      <w:r>
        <w:t xml:space="preserve"> </w:t>
      </w:r>
      <w:r>
        <w:tab/>
        <w:t>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w:t>
      </w:r>
    </w:p>
  </w:footnote>
  <w:footnote w:id="4">
    <w:p w14:paraId="1CB6FCD3" w14:textId="46DC229C" w:rsidR="00D1196C" w:rsidRPr="0048340A" w:rsidRDefault="00D1196C" w:rsidP="00D1196C">
      <w:pPr>
        <w:pStyle w:val="FootnoteText"/>
      </w:pPr>
      <w:r>
        <w:rPr>
          <w:rStyle w:val="FootnoteReference"/>
        </w:rPr>
        <w:footnoteRef/>
      </w:r>
      <w:r>
        <w:t xml:space="preserve"> </w:t>
      </w:r>
      <w:r>
        <w:tab/>
        <w:t>ОВ L, 2024/207, 22.2.2024 г., ELI: http://data.europa.eu/eli/budget/2024/207/oj.</w:t>
      </w:r>
    </w:p>
  </w:footnote>
  <w:footnote w:id="5">
    <w:p w14:paraId="330DE09A" w14:textId="0EF19FF7" w:rsidR="00D1196C" w:rsidRPr="00311C9F" w:rsidRDefault="00D1196C" w:rsidP="00311C9F">
      <w:pPr>
        <w:pStyle w:val="FootnoteText"/>
        <w:jc w:val="left"/>
      </w:pPr>
      <w:r>
        <w:rPr>
          <w:rStyle w:val="FootnoteReference"/>
        </w:rPr>
        <w:footnoteRef/>
      </w:r>
      <w:r>
        <w:t xml:space="preserve"> </w:t>
      </w:r>
      <w:r>
        <w:tab/>
        <w:t>ОВ L, 2024/1430, 5.6.2024 г., ELI: http://data.europa.eu/eli/budget_suppl_amend/2024/1430/oj.</w:t>
      </w:r>
    </w:p>
  </w:footnote>
  <w:footnote w:id="6">
    <w:p w14:paraId="0BBB9EC5" w14:textId="27DD89D8" w:rsidR="00680834" w:rsidRPr="00311C9F" w:rsidRDefault="00680834" w:rsidP="00311C9F">
      <w:pPr>
        <w:pStyle w:val="FootnoteText"/>
        <w:jc w:val="left"/>
      </w:pPr>
      <w:r>
        <w:rPr>
          <w:rStyle w:val="FootnoteReference"/>
        </w:rPr>
        <w:footnoteRef/>
      </w:r>
      <w:r>
        <w:t xml:space="preserve"> </w:t>
      </w:r>
      <w:r>
        <w:tab/>
        <w:t>ОВ L, 2024/1509, 18.6.2024 г., ELI: http://data.europa.eu/eli/budget_suppl_amend/2024/1509/oj.</w:t>
      </w:r>
    </w:p>
  </w:footnote>
  <w:footnote w:id="7">
    <w:p w14:paraId="1B8A2F56" w14:textId="6535C9D8" w:rsidR="00D1196C" w:rsidRPr="00A64301" w:rsidRDefault="00D1196C">
      <w:pPr>
        <w:pStyle w:val="FootnoteText"/>
      </w:pPr>
      <w:r>
        <w:rPr>
          <w:rStyle w:val="FootnoteReference"/>
        </w:rPr>
        <w:footnoteRef/>
      </w:r>
      <w:r>
        <w:t xml:space="preserve"> </w:t>
      </w:r>
      <w:r>
        <w:tab/>
        <w:t>COM(2024) 920, 9.4.2024 г.</w:t>
      </w:r>
    </w:p>
  </w:footnote>
  <w:footnote w:id="8">
    <w:p w14:paraId="2A2B6988" w14:textId="0638BFA8" w:rsidR="00A737A2" w:rsidRPr="00A737A2" w:rsidRDefault="00A737A2">
      <w:pPr>
        <w:pStyle w:val="FootnoteText"/>
      </w:pPr>
      <w:r>
        <w:rPr>
          <w:rStyle w:val="FootnoteReference"/>
        </w:rPr>
        <w:footnoteRef/>
      </w:r>
      <w:r>
        <w:t xml:space="preserve"> </w:t>
      </w:r>
      <w:r>
        <w:tab/>
        <w:t>Регламент (ЕС, Евратом) 2018/1046 на Европейския парламент и на Съвета от 18 юли 2018 г. за финансовите правила, приложими за общия бюджет на Съюза (ОВ L 193, 30.7.2018 г., стр. 1—222).</w:t>
      </w:r>
    </w:p>
  </w:footnote>
  <w:footnote w:id="9">
    <w:p w14:paraId="4DAC6029" w14:textId="22D59515" w:rsidR="00BE3C8C" w:rsidRPr="00311C9F" w:rsidRDefault="00BE3C8C">
      <w:pPr>
        <w:pStyle w:val="FootnoteText"/>
      </w:pPr>
      <w:r>
        <w:rPr>
          <w:rStyle w:val="FootnoteReference"/>
        </w:rPr>
        <w:footnoteRef/>
      </w:r>
      <w:r>
        <w:t xml:space="preserve"> </w:t>
      </w:r>
      <w:r>
        <w:tab/>
        <w:t>Европейска комисия, 2024 г., Европейска икономическа прогноза — пролет на 2024 г., European Economy, Institutional Paper 286.</w:t>
      </w:r>
    </w:p>
  </w:footnote>
  <w:footnote w:id="10">
    <w:p w14:paraId="75492EC3" w14:textId="5B8D3D75" w:rsidR="009361C0" w:rsidRPr="009361C0" w:rsidRDefault="009361C0">
      <w:pPr>
        <w:pStyle w:val="FootnoteText"/>
      </w:pPr>
      <w:r>
        <w:rPr>
          <w:rStyle w:val="FootnoteReference"/>
        </w:rPr>
        <w:footnoteRef/>
      </w:r>
      <w:r>
        <w:t xml:space="preserve"> </w:t>
      </w:r>
      <w:r>
        <w:tab/>
        <w:t>В член 2, параграф 1, буква б) от РСР от 2020 г. се посочва, че за всяка държава членка базата за ДДС не може да надвишава 50</w:t>
      </w:r>
      <w:bookmarkStart w:id="26" w:name="_Hlk138066661"/>
      <w:r>
        <w:rPr>
          <w:rFonts w:ascii="Calibri" w:hAnsi="Calibri"/>
          <w:sz w:val="22"/>
        </w:rPr>
        <w:t> </w:t>
      </w:r>
      <w:bookmarkEnd w:id="26"/>
      <w:r>
        <w:t>% от БНД. За ПКБ 3/2023 Кипър, Люксембург, Малта, Полша, Словения и Хърватия ще имат таван на базата за ДДС, равен на 50 % от БНД.</w:t>
      </w:r>
    </w:p>
  </w:footnote>
  <w:footnote w:id="11">
    <w:p w14:paraId="32038A3C" w14:textId="3463F975" w:rsidR="009361C0" w:rsidRPr="009361C0" w:rsidRDefault="009361C0">
      <w:pPr>
        <w:pStyle w:val="FootnoteText"/>
      </w:pPr>
      <w:r>
        <w:rPr>
          <w:rStyle w:val="FootnoteReference"/>
        </w:rPr>
        <w:footnoteRef/>
      </w:r>
      <w:r>
        <w:t xml:space="preserve"> </w:t>
      </w:r>
      <w:r>
        <w:tab/>
        <w:t>Регламент (EС, Евратом) № 609/2014 на Съвета от 26 май 2014 г. относно методите и процедурата за предоставяне на традиционните собствени ресурси, собствените ресурси на база ДДС и на база БНД и относно мерките за удовлетворяване на потребностите от парични средства (ОВ L 168, 7.6.2014 г., стр. 39), последно изменен с Регламент (EС, Евратом) 2022/615 на Съвета от 5 април 2022 г. (ОВ L 115, 13.4.2022 г., стр. 51).</w:t>
      </w:r>
    </w:p>
  </w:footnote>
  <w:footnote w:id="12">
    <w:p w14:paraId="791299C6" w14:textId="77777777" w:rsidR="00D42D6E" w:rsidRPr="00FF2606" w:rsidRDefault="00D42D6E" w:rsidP="00D42D6E">
      <w:pPr>
        <w:pStyle w:val="FootnoteText"/>
        <w:ind w:left="284" w:hanging="284"/>
      </w:pPr>
      <w:r>
        <w:rPr>
          <w:rStyle w:val="FootnoteReference"/>
        </w:rPr>
        <w:footnoteRef/>
      </w:r>
      <w:r>
        <w:t xml:space="preserve"> </w:t>
      </w:r>
      <w:r>
        <w:tab/>
      </w:r>
      <w:r>
        <w:tab/>
        <w:t>Сумите в сиво произтичат от базите за ДДС с таван, както е обяснено по-горе в бележка под линия 10.</w:t>
      </w:r>
    </w:p>
  </w:footnote>
  <w:footnote w:id="13">
    <w:p w14:paraId="1ED984FA" w14:textId="77777777" w:rsidR="00D42D6E" w:rsidRDefault="00D42D6E" w:rsidP="00D42D6E">
      <w:pPr>
        <w:pStyle w:val="FootnoteText"/>
        <w:ind w:left="709" w:hanging="709"/>
      </w:pPr>
      <w:r>
        <w:rPr>
          <w:rStyle w:val="FootnoteReference"/>
        </w:rPr>
        <w:footnoteRef/>
      </w:r>
      <w:r>
        <w:t xml:space="preserve"> </w:t>
      </w:r>
      <w:r>
        <w:tab/>
      </w:r>
      <w:r>
        <w:tab/>
        <w:t>Споразумение за оттеглянето на Обединеното кралство Великобритания и Северна Ирландия от Европейския съюз и Европейската общност за атомна енергия (ОВ L 29, 31.1.2020 г., стр. 7).</w:t>
      </w:r>
    </w:p>
  </w:footnote>
  <w:footnote w:id="14">
    <w:p w14:paraId="19CF3A66" w14:textId="1BB8C86D" w:rsidR="00D42D6E" w:rsidRDefault="00D42D6E" w:rsidP="00D42D6E">
      <w:pPr>
        <w:pStyle w:val="FootnoteText"/>
        <w:ind w:left="284" w:hanging="284"/>
      </w:pPr>
      <w:r>
        <w:rPr>
          <w:rStyle w:val="FootnoteReference"/>
        </w:rPr>
        <w:footnoteRef/>
      </w:r>
      <w:r>
        <w:t xml:space="preserve"> </w:t>
      </w:r>
      <w:r>
        <w:tab/>
      </w:r>
      <w:r>
        <w:tab/>
        <w:t>Посочен в член 136, параграф 3, букви а) и в) и в членове 140—147 от Споразумението за оттегляне.</w:t>
      </w:r>
    </w:p>
  </w:footnote>
  <w:footnote w:id="15">
    <w:p w14:paraId="71AEEDE1" w14:textId="29D8E5F0" w:rsidR="00C702B3" w:rsidRPr="00311C9F" w:rsidRDefault="00C702B3">
      <w:pPr>
        <w:pStyle w:val="FootnoteText"/>
      </w:pPr>
      <w:r>
        <w:rPr>
          <w:rStyle w:val="FootnoteReference"/>
        </w:rPr>
        <w:footnoteRef/>
      </w:r>
      <w:r>
        <w:t xml:space="preserve"> </w:t>
      </w:r>
      <w:r>
        <w:tab/>
        <w:t xml:space="preserve">COM(2022) 454; Предложение за Регламент </w:t>
      </w:r>
      <w:bookmarkStart w:id="42" w:name="_Hlk169548845"/>
      <w:r>
        <w:t xml:space="preserve">на Европейския парламент и на Съвета </w:t>
      </w:r>
      <w:bookmarkEnd w:id="42"/>
      <w:r>
        <w:t xml:space="preserve">относно хоризонтални изисквания за киберсигурност за продукти с цифрови елементи и за изменение на Регламент (ЕС) 2019/1020. </w:t>
      </w:r>
    </w:p>
  </w:footnote>
  <w:footnote w:id="16">
    <w:p w14:paraId="748B28B8" w14:textId="638BE44F" w:rsidR="00D46D0F" w:rsidRPr="008A7F97" w:rsidRDefault="00D46D0F" w:rsidP="00D46D0F">
      <w:pPr>
        <w:pStyle w:val="FootnoteText"/>
      </w:pPr>
      <w:r>
        <w:rPr>
          <w:rStyle w:val="FootnoteReference"/>
        </w:rPr>
        <w:footnoteRef/>
      </w:r>
      <w:r>
        <w:t xml:space="preserve"> </w:t>
      </w:r>
      <w:r>
        <w:rPr>
          <w:color w:val="444444"/>
        </w:rPr>
        <w:t xml:space="preserve"> </w:t>
      </w:r>
      <w:r>
        <w:rPr>
          <w:color w:val="444444"/>
        </w:rPr>
        <w:tab/>
        <w:t>COM(2023) 148: Предложение за Регламент на Европейския парламент и на Съвета за изменение на регламенти (ЕС) 2019/943 и (ЕС) 2019/942, както и на директиви (ЕС) 2018/2001 и (ЕС) 2019/944 с цел подобряване на структурата на пазара на електроенергия в Съюза.</w:t>
      </w:r>
    </w:p>
  </w:footnote>
  <w:footnote w:id="17">
    <w:p w14:paraId="7CB4B1C9" w14:textId="2D701B51" w:rsidR="00002715" w:rsidRPr="00002715" w:rsidRDefault="00002715">
      <w:pPr>
        <w:pStyle w:val="FootnoteText"/>
      </w:pPr>
      <w:r>
        <w:rPr>
          <w:rStyle w:val="FootnoteReference"/>
        </w:rPr>
        <w:footnoteRef/>
      </w:r>
      <w:r>
        <w:t xml:space="preserve"> </w:t>
      </w:r>
      <w:r>
        <w:tab/>
        <w:t>Регламент (EC) 2024/1358 на Европейския парламент и на Съвета от 14 май 2024 г. за създаване на системата Евродак за сравняване на биометрични данни с цел ефективно прилагане на регламенти (ЕС) 2024/1351 и (ЕС) 2024/1350 на Европейския парламент и на Съвета и на Директива 2001/55/ЕО на Съвета и установяване на самоличността на незаконно пребиваващи граждани на трета държава и лица без гражданство и относно искания за сравняване с данните в Евродак, отправени от правоприлагащите органи на държавите членки и Европол за целите на правоприлагането, за изменение на регламенти (ЕС) 2018/1240 и (ЕС) 2019/818 на Европейския парламент и на Съвета и за отмяна на Регламент (ЕС) № 603/2013 на Европейския парламент и на Съвета (OВ L, 2024/1358, 22.5.2024 г., ELI: http://data.europa.eu/eli/reg/2024/1358/oj).</w:t>
      </w:r>
    </w:p>
  </w:footnote>
  <w:footnote w:id="18">
    <w:p w14:paraId="2D5C7EA3" w14:textId="55306E2C" w:rsidR="00E541C4" w:rsidRPr="00E541C4" w:rsidRDefault="00E541C4">
      <w:pPr>
        <w:pStyle w:val="FootnoteText"/>
      </w:pPr>
      <w:r>
        <w:rPr>
          <w:rStyle w:val="FootnoteReference"/>
        </w:rPr>
        <w:footnoteRef/>
      </w:r>
      <w:r>
        <w:t xml:space="preserve"> </w:t>
      </w:r>
      <w:r>
        <w:tab/>
        <w:t>Регламент (ЕС) 2024/1356 на Европейския парламент и на Съвета от 14 май 2024 г. за въвеждане на скрининг на граждани на трети държави на външните граници и за изменение на регламенти (ЕО) № 767/2008, (ЕС) 2017/2226, (ЕС) 2018/1240 и (ЕС) 2019/817 (ОВ L, 2024/1356, 22.5.2024 г., ELI: http://data.europa.eu/eli/reg/2024/1356/oj).</w:t>
      </w:r>
    </w:p>
  </w:footnote>
  <w:footnote w:id="19">
    <w:p w14:paraId="26EEA5BF" w14:textId="1D3E2BE3" w:rsidR="00EC42DC" w:rsidRPr="00242257" w:rsidRDefault="00EC42DC" w:rsidP="00EC42DC">
      <w:pPr>
        <w:pStyle w:val="FootnoteText"/>
      </w:pPr>
      <w:r>
        <w:rPr>
          <w:rStyle w:val="FootnoteReference"/>
        </w:rPr>
        <w:footnoteRef/>
      </w:r>
      <w:r>
        <w:tab/>
        <w:t>Регламент (ЕС, Евратом) 2020/2093 на Съвета от 17 декември 2020 г. за определяне на многогодишната финансова рамка за годините 2021—2027 (ОВ L 433I, 22.12.2020 г., стр. 11—22, ELI: http://data.europa.eu/eli/reg/2020/2093/oj).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D860A" w14:textId="77777777" w:rsidR="00020CDD" w:rsidRPr="00020CDD" w:rsidRDefault="00020CDD" w:rsidP="00020CDD">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A4DF3" w14:textId="77777777" w:rsidR="00020CDD" w:rsidRPr="00020CDD" w:rsidRDefault="00020CDD" w:rsidP="00020CD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1446A" w14:textId="77777777" w:rsidR="00020CDD" w:rsidRPr="00020CDD" w:rsidRDefault="00020CDD" w:rsidP="00020CD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2DD33" w14:textId="77777777" w:rsidR="0038470B" w:rsidRDefault="003847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6083B" w14:textId="77777777" w:rsidR="0038470B" w:rsidRDefault="0038470B">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2653E" w14:textId="77777777" w:rsidR="0038470B" w:rsidRDefault="0038470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F6D42" w14:textId="77777777" w:rsidR="0038470B" w:rsidRDefault="003847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B075C" w14:textId="77777777" w:rsidR="0038470B" w:rsidRDefault="0038470B">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1F7E4" w14:textId="77777777" w:rsidR="0038470B" w:rsidRDefault="00384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15:restartNumberingAfterBreak="0">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00003E8"/>
    <w:multiLevelType w:val="multilevel"/>
    <w:tmpl w:val="3B9ACA00"/>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1700"/>
        </w:tabs>
        <w:ind w:left="1700" w:hanging="1700"/>
      </w:pPr>
    </w:lvl>
    <w:lvl w:ilvl="5">
      <w:start w:val="1"/>
      <w:numFmt w:val="decimal"/>
      <w:lvlText w:val="%1.%2.%3.%4.%5.%6."/>
      <w:lvlJc w:val="left"/>
      <w:pPr>
        <w:tabs>
          <w:tab w:val="num" w:pos="1700"/>
        </w:tabs>
        <w:ind w:left="1700" w:hanging="1700"/>
      </w:pPr>
    </w:lvl>
    <w:lvl w:ilvl="6">
      <w:start w:val="1"/>
      <w:numFmt w:val="decimal"/>
      <w:lvlText w:val="%1.%2.%3.%4.%5.%6.%7."/>
      <w:lvlJc w:val="left"/>
      <w:pPr>
        <w:tabs>
          <w:tab w:val="num" w:pos="1700"/>
        </w:tabs>
        <w:ind w:left="1700" w:hanging="1700"/>
      </w:pPr>
    </w:lvl>
    <w:lvl w:ilvl="7">
      <w:start w:val="1"/>
      <w:numFmt w:val="decimal"/>
      <w:lvlText w:val="%1.%2.%3.%4.%5.%6.%7.%8."/>
      <w:lvlJc w:val="left"/>
      <w:pPr>
        <w:tabs>
          <w:tab w:val="num" w:pos="1700"/>
        </w:tabs>
        <w:ind w:left="1700" w:hanging="1700"/>
      </w:pPr>
    </w:lvl>
    <w:lvl w:ilvl="8">
      <w:start w:val="1"/>
      <w:numFmt w:val="decimal"/>
      <w:lvlText w:val="%1.%2.%3.%4.%5.%6.%7.%8.%9."/>
      <w:lvlJc w:val="left"/>
      <w:pPr>
        <w:tabs>
          <w:tab w:val="num" w:pos="1700"/>
        </w:tabs>
        <w:ind w:left="1700" w:hanging="1700"/>
      </w:pPr>
    </w:lvl>
  </w:abstractNum>
  <w:abstractNum w:abstractNumId="3" w15:restartNumberingAfterBreak="0">
    <w:nsid w:val="074E58E9"/>
    <w:multiLevelType w:val="hybridMultilevel"/>
    <w:tmpl w:val="5344ADAA"/>
    <w:lvl w:ilvl="0" w:tplc="38E2A2CC">
      <w:start w:val="1"/>
      <mc:AlternateContent>
        <mc:Choice Requires="w14">
          <w:numFmt w:val="custom" w:format="а, й, к, ..."/>
        </mc:Choice>
        <mc:Fallback>
          <w:numFmt w:val="decimal"/>
        </mc:Fallback>
      </mc:AlternateContent>
      <w:lvlText w:val="%1)"/>
      <w:lvlJc w:val="left"/>
      <w:pPr>
        <w:ind w:left="1440" w:hanging="360"/>
      </w:pPr>
      <w:rPr>
        <w:rFonts w:ascii="Times New Roman" w:hAnsi="Times New Roman" w:cs="Times New Roman" w:hint="default"/>
        <w:sz w:val="24"/>
        <w:szCs w:val="24"/>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E835770"/>
    <w:multiLevelType w:val="hybridMultilevel"/>
    <w:tmpl w:val="365E0218"/>
    <w:lvl w:ilvl="0" w:tplc="8264D7DC">
      <w:start w:val="1"/>
      <w:numFmt w:val="bullet"/>
      <w:pStyle w:val="agbullets"/>
      <w:lvlText w:val=""/>
      <w:lvlJc w:val="left"/>
      <w:pPr>
        <w:ind w:left="720" w:hanging="360"/>
      </w:pPr>
      <w:rPr>
        <w:rFonts w:ascii="Symbol" w:hAnsi="Symbol" w:hint="default"/>
      </w:rPr>
    </w:lvl>
    <w:lvl w:ilvl="1" w:tplc="B8AE865E">
      <w:numFmt w:val="decimal"/>
      <w:lvlText w:val=""/>
      <w:lvlJc w:val="left"/>
    </w:lvl>
    <w:lvl w:ilvl="2" w:tplc="581813B8">
      <w:numFmt w:val="decimal"/>
      <w:lvlText w:val=""/>
      <w:lvlJc w:val="left"/>
    </w:lvl>
    <w:lvl w:ilvl="3" w:tplc="B7C81A1E">
      <w:numFmt w:val="decimal"/>
      <w:lvlText w:val=""/>
      <w:lvlJc w:val="left"/>
    </w:lvl>
    <w:lvl w:ilvl="4" w:tplc="5030D16A">
      <w:numFmt w:val="decimal"/>
      <w:lvlText w:val=""/>
      <w:lvlJc w:val="left"/>
    </w:lvl>
    <w:lvl w:ilvl="5" w:tplc="7A1E383C">
      <w:numFmt w:val="decimal"/>
      <w:lvlText w:val=""/>
      <w:lvlJc w:val="left"/>
    </w:lvl>
    <w:lvl w:ilvl="6" w:tplc="CE08976E">
      <w:numFmt w:val="decimal"/>
      <w:lvlText w:val=""/>
      <w:lvlJc w:val="left"/>
    </w:lvl>
    <w:lvl w:ilvl="7" w:tplc="D5D01BC0">
      <w:numFmt w:val="decimal"/>
      <w:lvlText w:val=""/>
      <w:lvlJc w:val="left"/>
    </w:lvl>
    <w:lvl w:ilvl="8" w:tplc="05920FDA">
      <w:numFmt w:val="decimal"/>
      <w:lvlText w:val=""/>
      <w:lvlJc w:val="left"/>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CB96A93"/>
    <w:multiLevelType w:val="hybridMultilevel"/>
    <w:tmpl w:val="32EE40B4"/>
    <w:lvl w:ilvl="0" w:tplc="BD6A1E9E">
      <w:start w:val="1"/>
      <w:numFmt w:val="bullet"/>
      <w:lvlText w:val="-"/>
      <w:lvlJc w:val="left"/>
      <w:pPr>
        <w:ind w:left="720" w:hanging="360"/>
      </w:pPr>
      <w:rPr>
        <w:rFonts w:ascii="Aptos" w:hAnsi="Aptos" w:hint="default"/>
      </w:rPr>
    </w:lvl>
    <w:lvl w:ilvl="1" w:tplc="F5161578">
      <w:start w:val="1"/>
      <w:numFmt w:val="bullet"/>
      <w:lvlText w:val="o"/>
      <w:lvlJc w:val="left"/>
      <w:pPr>
        <w:ind w:left="1440" w:hanging="360"/>
      </w:pPr>
      <w:rPr>
        <w:rFonts w:ascii="Courier New" w:hAnsi="Courier New" w:hint="default"/>
      </w:rPr>
    </w:lvl>
    <w:lvl w:ilvl="2" w:tplc="15387E10">
      <w:start w:val="1"/>
      <w:numFmt w:val="bullet"/>
      <w:lvlText w:val=""/>
      <w:lvlJc w:val="left"/>
      <w:pPr>
        <w:ind w:left="2160" w:hanging="360"/>
      </w:pPr>
      <w:rPr>
        <w:rFonts w:ascii="Wingdings" w:hAnsi="Wingdings" w:hint="default"/>
      </w:rPr>
    </w:lvl>
    <w:lvl w:ilvl="3" w:tplc="9C888542">
      <w:start w:val="1"/>
      <w:numFmt w:val="bullet"/>
      <w:lvlText w:val=""/>
      <w:lvlJc w:val="left"/>
      <w:pPr>
        <w:ind w:left="2880" w:hanging="360"/>
      </w:pPr>
      <w:rPr>
        <w:rFonts w:ascii="Symbol" w:hAnsi="Symbol" w:hint="default"/>
      </w:rPr>
    </w:lvl>
    <w:lvl w:ilvl="4" w:tplc="CA4431E6">
      <w:start w:val="1"/>
      <w:numFmt w:val="bullet"/>
      <w:lvlText w:val="o"/>
      <w:lvlJc w:val="left"/>
      <w:pPr>
        <w:ind w:left="3600" w:hanging="360"/>
      </w:pPr>
      <w:rPr>
        <w:rFonts w:ascii="Courier New" w:hAnsi="Courier New" w:hint="default"/>
      </w:rPr>
    </w:lvl>
    <w:lvl w:ilvl="5" w:tplc="B2060B94">
      <w:start w:val="1"/>
      <w:numFmt w:val="bullet"/>
      <w:lvlText w:val=""/>
      <w:lvlJc w:val="left"/>
      <w:pPr>
        <w:ind w:left="4320" w:hanging="360"/>
      </w:pPr>
      <w:rPr>
        <w:rFonts w:ascii="Wingdings" w:hAnsi="Wingdings" w:hint="default"/>
      </w:rPr>
    </w:lvl>
    <w:lvl w:ilvl="6" w:tplc="96A84098">
      <w:start w:val="1"/>
      <w:numFmt w:val="bullet"/>
      <w:lvlText w:val=""/>
      <w:lvlJc w:val="left"/>
      <w:pPr>
        <w:ind w:left="5040" w:hanging="360"/>
      </w:pPr>
      <w:rPr>
        <w:rFonts w:ascii="Symbol" w:hAnsi="Symbol" w:hint="default"/>
      </w:rPr>
    </w:lvl>
    <w:lvl w:ilvl="7" w:tplc="5796A86E">
      <w:start w:val="1"/>
      <w:numFmt w:val="bullet"/>
      <w:lvlText w:val="o"/>
      <w:lvlJc w:val="left"/>
      <w:pPr>
        <w:ind w:left="5760" w:hanging="360"/>
      </w:pPr>
      <w:rPr>
        <w:rFonts w:ascii="Courier New" w:hAnsi="Courier New" w:hint="default"/>
      </w:rPr>
    </w:lvl>
    <w:lvl w:ilvl="8" w:tplc="051A29B8">
      <w:start w:val="1"/>
      <w:numFmt w:val="bullet"/>
      <w:lvlText w:val=""/>
      <w:lvlJc w:val="left"/>
      <w:pPr>
        <w:ind w:left="6480" w:hanging="360"/>
      </w:pPr>
      <w:rPr>
        <w:rFonts w:ascii="Wingdings" w:hAnsi="Wingdings" w:hint="default"/>
      </w:rPr>
    </w:lvl>
  </w:abstractNum>
  <w:abstractNum w:abstractNumId="7" w15:restartNumberingAfterBreak="0">
    <w:nsid w:val="1E305A62"/>
    <w:multiLevelType w:val="hybridMultilevel"/>
    <w:tmpl w:val="569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4D0AC4"/>
    <w:multiLevelType w:val="multilevel"/>
    <w:tmpl w:val="844E120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F6C26C4"/>
    <w:multiLevelType w:val="hybridMultilevel"/>
    <w:tmpl w:val="E2520B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BC301BD"/>
    <w:multiLevelType w:val="hybridMultilevel"/>
    <w:tmpl w:val="9C0294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2" w15:restartNumberingAfterBreak="0">
    <w:nsid w:val="2DC47FBE"/>
    <w:multiLevelType w:val="hybridMultilevel"/>
    <w:tmpl w:val="DD10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4" w15:restartNumberingAfterBreak="0">
    <w:nsid w:val="35247675"/>
    <w:multiLevelType w:val="hybridMultilevel"/>
    <w:tmpl w:val="7A36C7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0F25DB"/>
    <w:multiLevelType w:val="hybridMultilevel"/>
    <w:tmpl w:val="E7265104"/>
    <w:lvl w:ilvl="0" w:tplc="B0DC89EA">
      <w:start w:val="1"/>
      <w:numFmt w:val="bullet"/>
      <w:pStyle w:val="agtabbullets"/>
      <w:lvlText w:val=""/>
      <w:lvlJc w:val="left"/>
      <w:pPr>
        <w:ind w:left="1080" w:hanging="360"/>
      </w:pPr>
      <w:rPr>
        <w:rFonts w:ascii="Symbol" w:hAnsi="Symbol" w:hint="default"/>
      </w:rPr>
    </w:lvl>
    <w:lvl w:ilvl="1" w:tplc="510EFC82">
      <w:numFmt w:val="decimal"/>
      <w:lvlText w:val=""/>
      <w:lvlJc w:val="left"/>
    </w:lvl>
    <w:lvl w:ilvl="2" w:tplc="98DA8758">
      <w:numFmt w:val="decimal"/>
      <w:lvlText w:val=""/>
      <w:lvlJc w:val="left"/>
    </w:lvl>
    <w:lvl w:ilvl="3" w:tplc="A8DA21E8">
      <w:numFmt w:val="decimal"/>
      <w:lvlText w:val=""/>
      <w:lvlJc w:val="left"/>
    </w:lvl>
    <w:lvl w:ilvl="4" w:tplc="4C5E1946">
      <w:numFmt w:val="decimal"/>
      <w:lvlText w:val=""/>
      <w:lvlJc w:val="left"/>
    </w:lvl>
    <w:lvl w:ilvl="5" w:tplc="DC50A908">
      <w:numFmt w:val="decimal"/>
      <w:lvlText w:val=""/>
      <w:lvlJc w:val="left"/>
    </w:lvl>
    <w:lvl w:ilvl="6" w:tplc="277AF326">
      <w:numFmt w:val="decimal"/>
      <w:lvlText w:val=""/>
      <w:lvlJc w:val="left"/>
    </w:lvl>
    <w:lvl w:ilvl="7" w:tplc="96EC6C5E">
      <w:numFmt w:val="decimal"/>
      <w:lvlText w:val=""/>
      <w:lvlJc w:val="left"/>
    </w:lvl>
    <w:lvl w:ilvl="8" w:tplc="CF347B90">
      <w:numFmt w:val="decimal"/>
      <w:lvlText w:val=""/>
      <w:lvlJc w:val="left"/>
    </w:lvl>
  </w:abstractNum>
  <w:abstractNum w:abstractNumId="16"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7" w15:restartNumberingAfterBreak="0">
    <w:nsid w:val="3B4B760A"/>
    <w:multiLevelType w:val="hybridMultilevel"/>
    <w:tmpl w:val="A580B5C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E3A7BAF"/>
    <w:multiLevelType w:val="hybridMultilevel"/>
    <w:tmpl w:val="8F9A7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0" w15:restartNumberingAfterBreak="0">
    <w:nsid w:val="47C921C1"/>
    <w:multiLevelType w:val="hybridMultilevel"/>
    <w:tmpl w:val="5002F40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2" w15:restartNumberingAfterBreak="0">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5" w15:restartNumberingAfterBreak="0">
    <w:nsid w:val="77BD6154"/>
    <w:multiLevelType w:val="hybridMultilevel"/>
    <w:tmpl w:val="125219AE"/>
    <w:lvl w:ilvl="0" w:tplc="1B46BBFA">
      <w:start w:val="308"/>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7" w15:restartNumberingAfterBreak="0">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CAB6DC6"/>
    <w:multiLevelType w:val="hybridMultilevel"/>
    <w:tmpl w:val="5F28F8CA"/>
    <w:lvl w:ilvl="0" w:tplc="F2DEBE36">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13"/>
  </w:num>
  <w:num w:numId="3">
    <w:abstractNumId w:val="19"/>
  </w:num>
  <w:num w:numId="4">
    <w:abstractNumId w:val="24"/>
  </w:num>
  <w:num w:numId="5">
    <w:abstractNumId w:val="16"/>
  </w:num>
  <w:num w:numId="6">
    <w:abstractNumId w:val="11"/>
  </w:num>
  <w:num w:numId="7">
    <w:abstractNumId w:val="26"/>
  </w:num>
  <w:num w:numId="8">
    <w:abstractNumId w:val="22"/>
  </w:num>
  <w:num w:numId="9">
    <w:abstractNumId w:val="27"/>
  </w:num>
  <w:num w:numId="10">
    <w:abstractNumId w:val="23"/>
  </w:num>
  <w:num w:numId="11">
    <w:abstractNumId w:val="0"/>
  </w:num>
  <w:num w:numId="12">
    <w:abstractNumId w:val="1"/>
  </w:num>
  <w:num w:numId="13">
    <w:abstractNumId w:val="4"/>
  </w:num>
  <w:num w:numId="14">
    <w:abstractNumId w:val="15"/>
  </w:num>
  <w:num w:numId="15">
    <w:abstractNumId w:val="8"/>
  </w:num>
  <w:num w:numId="16">
    <w:abstractNumId w:val="17"/>
  </w:num>
  <w:num w:numId="17">
    <w:abstractNumId w:val="5"/>
  </w:num>
  <w:num w:numId="18">
    <w:abstractNumId w:val="12"/>
  </w:num>
  <w:num w:numId="19">
    <w:abstractNumId w:val="14"/>
  </w:num>
  <w:num w:numId="20">
    <w:abstractNumId w:val="13"/>
  </w:num>
  <w:num w:numId="21">
    <w:abstractNumId w:val="13"/>
  </w:num>
  <w:num w:numId="22">
    <w:abstractNumId w:val="10"/>
  </w:num>
  <w:num w:numId="23">
    <w:abstractNumId w:val="18"/>
  </w:num>
  <w:num w:numId="24">
    <w:abstractNumId w:val="7"/>
  </w:num>
  <w:num w:numId="25">
    <w:abstractNumId w:val="3"/>
  </w:num>
  <w:num w:numId="26">
    <w:abstractNumId w:val="20"/>
  </w:num>
  <w:num w:numId="27">
    <w:abstractNumId w:val="28"/>
  </w:num>
  <w:num w:numId="28">
    <w:abstractNumId w:val="25"/>
  </w:num>
  <w:num w:numId="2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it-IT"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6CD1825-1199-494F-BAC9-241D317118EC"/>
    <w:docVar w:name="LW_COVERPAGE_TYPE" w:val="1"/>
    <w:docVar w:name="LW_CROSSREFERENCE" w:val="&lt;UNUSED&gt;"/>
    <w:docVar w:name="LW_DocType" w:val="NORMAL"/>
    <w:docVar w:name="LW_EMISSION" w:val="19.7.2024"/>
    <w:docVar w:name="LW_EMISSION_ISODATE" w:val="2024-07-19"/>
    <w:docVar w:name="LW_EMISSION_LOCATION" w:val="BRX"/>
    <w:docVar w:name="LW_EMISSION_PREFIX" w:val="\u1041?\u1088?\u1102?\u1082?\u1089?\u1077?\u1083?, "/>
    <w:docVar w:name="LW_EMISSION_SUFFIX" w:val=" \u1075?."/>
    <w:docVar w:name="LW_ID_DOCTYPE_NONLW" w:val="CP-03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BUD"/>
    <w:docVar w:name="LW_REF.II.NEW.CP_NUMBER" w:val="0185"/>
    <w:docVar w:name="LW_REF.II.NEW.CP_YEAR" w:val="2024"/>
    <w:docVar w:name="LW_REF.INST.NEW" w:val="COM"/>
    <w:docVar w:name="LW_REF.INST.NEW_ADOPTED" w:val="final"/>
    <w:docVar w:name="LW_REF.INST.NEW_TEXT" w:val="(2024) 93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 "/>
    <w:docVar w:name="LW_STATUT.CP" w:val=" "/>
    <w:docVar w:name="LW_SUPERTITRE" w:val="&lt;UNUSED&gt;"/>
    <w:docVar w:name="LW_TITRE.OBJ.CP" w:val="\u1040?\u1082?\u1090?\u1091?\u1072?\u1083?\u1080?\u1079?\u1072?\u1094?\u1080?\u1103? \u1085?\u1072? \u1087?\u1088?\u1080?\u1093?\u1086?\u1076?\u1080?\u1090?\u1077? (\u1089?\u1086?\u1073?\u1089?\u1090?\u1074?\u1077?\u1085?\u1080?\u1090?\u1077? \u1088?\u1077?\u1089?\u1091?\u1088?\u1089?\u1080?) \u1080? \u1082?\u1086?\u1088?\u1077?\u1082?\u1094?\u1080?\u1080? \u1079?\u1072? \u1085?\u1103?\u1082?\u1086?\u1080? \u1076?\u1077?\u1094?\u1077?\u1085?\u1090?\u1088?\u1072?\u1083?\u1080?\u1079?\u1080?\u1088?\u1072?\u1085?\u1080? \u1072?\u1075?\u1077?\u1085?\u1094?\u1080?\u1080?"/>
    <w:docVar w:name="LW_TYPE.DOC.CP" w:val="\u1055?\u1056?\u1054?\u1045?\u1050?\u1058? \u1053?\u1040? \u1050?\u1054?\u1056?\u1048?\u1043?\u1048?\u1056?\u1040?\u1065? \u1041?\u1070?\u1044?\u1046?\u1045?\u1058? \u8470? 4_x000b_\u1050?\u1066?\u1052? \u1054?\u1041?\u1065?\u1048?\u1071? \u1041?\u1070?\u1044?\u1046?\u1045?\u1058? \u1047?\u1040? 2024 \u1043?._x000b__x000b_"/>
    <w:docVar w:name="LwApiVersions" w:val="LW4CoDe 1.24.5.0; LW 9.0, Build 20240221"/>
  </w:docVars>
  <w:rsids>
    <w:rsidRoot w:val="004319B6"/>
    <w:rsid w:val="00000737"/>
    <w:rsid w:val="000015CD"/>
    <w:rsid w:val="00001742"/>
    <w:rsid w:val="00002526"/>
    <w:rsid w:val="00002715"/>
    <w:rsid w:val="0000357A"/>
    <w:rsid w:val="00005341"/>
    <w:rsid w:val="0000620C"/>
    <w:rsid w:val="00011DDE"/>
    <w:rsid w:val="0001205D"/>
    <w:rsid w:val="00012E4F"/>
    <w:rsid w:val="0001316C"/>
    <w:rsid w:val="0001425F"/>
    <w:rsid w:val="00014F6C"/>
    <w:rsid w:val="00015E0B"/>
    <w:rsid w:val="00020CDD"/>
    <w:rsid w:val="000231F7"/>
    <w:rsid w:val="000244F9"/>
    <w:rsid w:val="00024C5C"/>
    <w:rsid w:val="00025EF8"/>
    <w:rsid w:val="000260F9"/>
    <w:rsid w:val="00026A4E"/>
    <w:rsid w:val="00027761"/>
    <w:rsid w:val="00027C11"/>
    <w:rsid w:val="000305B2"/>
    <w:rsid w:val="000317F0"/>
    <w:rsid w:val="00031879"/>
    <w:rsid w:val="00031FC4"/>
    <w:rsid w:val="00032069"/>
    <w:rsid w:val="000329FE"/>
    <w:rsid w:val="00032BE5"/>
    <w:rsid w:val="00032E01"/>
    <w:rsid w:val="000376E9"/>
    <w:rsid w:val="000403A5"/>
    <w:rsid w:val="00040651"/>
    <w:rsid w:val="0004187B"/>
    <w:rsid w:val="000425D4"/>
    <w:rsid w:val="00043402"/>
    <w:rsid w:val="00047127"/>
    <w:rsid w:val="00050555"/>
    <w:rsid w:val="0005213F"/>
    <w:rsid w:val="00053D66"/>
    <w:rsid w:val="00054EE3"/>
    <w:rsid w:val="00054F06"/>
    <w:rsid w:val="00061064"/>
    <w:rsid w:val="0006302A"/>
    <w:rsid w:val="000635B9"/>
    <w:rsid w:val="00065EAD"/>
    <w:rsid w:val="000676A7"/>
    <w:rsid w:val="00067824"/>
    <w:rsid w:val="000701B6"/>
    <w:rsid w:val="00071122"/>
    <w:rsid w:val="00074345"/>
    <w:rsid w:val="000750B0"/>
    <w:rsid w:val="0007526F"/>
    <w:rsid w:val="000758BC"/>
    <w:rsid w:val="00077F7F"/>
    <w:rsid w:val="000820BC"/>
    <w:rsid w:val="000852D2"/>
    <w:rsid w:val="00085929"/>
    <w:rsid w:val="00086BC1"/>
    <w:rsid w:val="00087480"/>
    <w:rsid w:val="00087846"/>
    <w:rsid w:val="000919A3"/>
    <w:rsid w:val="000921ED"/>
    <w:rsid w:val="00094981"/>
    <w:rsid w:val="0009626E"/>
    <w:rsid w:val="00096C9A"/>
    <w:rsid w:val="0009711A"/>
    <w:rsid w:val="00097974"/>
    <w:rsid w:val="000A0B84"/>
    <w:rsid w:val="000A2E5C"/>
    <w:rsid w:val="000A371A"/>
    <w:rsid w:val="000A37A4"/>
    <w:rsid w:val="000A3A9E"/>
    <w:rsid w:val="000A3ADC"/>
    <w:rsid w:val="000A4810"/>
    <w:rsid w:val="000A6EC8"/>
    <w:rsid w:val="000A72DC"/>
    <w:rsid w:val="000A768F"/>
    <w:rsid w:val="000B0A7C"/>
    <w:rsid w:val="000B1BE5"/>
    <w:rsid w:val="000B1CAD"/>
    <w:rsid w:val="000B65D9"/>
    <w:rsid w:val="000C4CE9"/>
    <w:rsid w:val="000C50F1"/>
    <w:rsid w:val="000C55F8"/>
    <w:rsid w:val="000C67C5"/>
    <w:rsid w:val="000D2E33"/>
    <w:rsid w:val="000D3A97"/>
    <w:rsid w:val="000D5B98"/>
    <w:rsid w:val="000E013D"/>
    <w:rsid w:val="000E0F20"/>
    <w:rsid w:val="000E30DF"/>
    <w:rsid w:val="000E559F"/>
    <w:rsid w:val="000E57CA"/>
    <w:rsid w:val="000E6613"/>
    <w:rsid w:val="000F13A6"/>
    <w:rsid w:val="000F22A9"/>
    <w:rsid w:val="000F3E4A"/>
    <w:rsid w:val="000F47BA"/>
    <w:rsid w:val="000F68DD"/>
    <w:rsid w:val="00100FDD"/>
    <w:rsid w:val="00103CE7"/>
    <w:rsid w:val="00103D17"/>
    <w:rsid w:val="00104448"/>
    <w:rsid w:val="00105647"/>
    <w:rsid w:val="00107CAA"/>
    <w:rsid w:val="001106CF"/>
    <w:rsid w:val="0011105D"/>
    <w:rsid w:val="00112AA9"/>
    <w:rsid w:val="001147AB"/>
    <w:rsid w:val="0011499F"/>
    <w:rsid w:val="00114FDE"/>
    <w:rsid w:val="001150EC"/>
    <w:rsid w:val="00115ACC"/>
    <w:rsid w:val="00116FAD"/>
    <w:rsid w:val="001173CB"/>
    <w:rsid w:val="00117B08"/>
    <w:rsid w:val="00120979"/>
    <w:rsid w:val="00121781"/>
    <w:rsid w:val="00124083"/>
    <w:rsid w:val="00125B2D"/>
    <w:rsid w:val="00127113"/>
    <w:rsid w:val="00127A6C"/>
    <w:rsid w:val="00127D01"/>
    <w:rsid w:val="00130492"/>
    <w:rsid w:val="001329DF"/>
    <w:rsid w:val="00136427"/>
    <w:rsid w:val="00136FFA"/>
    <w:rsid w:val="00141755"/>
    <w:rsid w:val="001421E7"/>
    <w:rsid w:val="00143A72"/>
    <w:rsid w:val="00143B08"/>
    <w:rsid w:val="001440BA"/>
    <w:rsid w:val="00144989"/>
    <w:rsid w:val="00152168"/>
    <w:rsid w:val="00160EF9"/>
    <w:rsid w:val="00162C99"/>
    <w:rsid w:val="00162CFD"/>
    <w:rsid w:val="00165868"/>
    <w:rsid w:val="00165FFB"/>
    <w:rsid w:val="001673A0"/>
    <w:rsid w:val="00167562"/>
    <w:rsid w:val="00167588"/>
    <w:rsid w:val="00170567"/>
    <w:rsid w:val="00170D75"/>
    <w:rsid w:val="0017112D"/>
    <w:rsid w:val="001713EE"/>
    <w:rsid w:val="00171BE9"/>
    <w:rsid w:val="00171CB0"/>
    <w:rsid w:val="0018024E"/>
    <w:rsid w:val="001804AF"/>
    <w:rsid w:val="00181ED3"/>
    <w:rsid w:val="00182675"/>
    <w:rsid w:val="00185659"/>
    <w:rsid w:val="001905DC"/>
    <w:rsid w:val="00190F09"/>
    <w:rsid w:val="00191002"/>
    <w:rsid w:val="0019148C"/>
    <w:rsid w:val="0019199A"/>
    <w:rsid w:val="0019321F"/>
    <w:rsid w:val="00193C3B"/>
    <w:rsid w:val="00195311"/>
    <w:rsid w:val="00197F1F"/>
    <w:rsid w:val="001A07CD"/>
    <w:rsid w:val="001A1448"/>
    <w:rsid w:val="001A1792"/>
    <w:rsid w:val="001A1B64"/>
    <w:rsid w:val="001A23DC"/>
    <w:rsid w:val="001A4EDD"/>
    <w:rsid w:val="001A61D4"/>
    <w:rsid w:val="001A7442"/>
    <w:rsid w:val="001B1BB4"/>
    <w:rsid w:val="001B24FC"/>
    <w:rsid w:val="001B30D7"/>
    <w:rsid w:val="001C2881"/>
    <w:rsid w:val="001C2AE0"/>
    <w:rsid w:val="001C3237"/>
    <w:rsid w:val="001C433E"/>
    <w:rsid w:val="001C54B3"/>
    <w:rsid w:val="001C73B8"/>
    <w:rsid w:val="001D155F"/>
    <w:rsid w:val="001D2BEE"/>
    <w:rsid w:val="001D3529"/>
    <w:rsid w:val="001D3BB5"/>
    <w:rsid w:val="001D4593"/>
    <w:rsid w:val="001D45C2"/>
    <w:rsid w:val="001D5CF9"/>
    <w:rsid w:val="001D60CC"/>
    <w:rsid w:val="001E1310"/>
    <w:rsid w:val="001E28B2"/>
    <w:rsid w:val="001E335A"/>
    <w:rsid w:val="001E4354"/>
    <w:rsid w:val="001F016C"/>
    <w:rsid w:val="001F39E8"/>
    <w:rsid w:val="001F3D84"/>
    <w:rsid w:val="001F5B63"/>
    <w:rsid w:val="001F6153"/>
    <w:rsid w:val="001F6BE4"/>
    <w:rsid w:val="001F6D39"/>
    <w:rsid w:val="001F7A63"/>
    <w:rsid w:val="00203BC9"/>
    <w:rsid w:val="002049FC"/>
    <w:rsid w:val="002069D0"/>
    <w:rsid w:val="00206B7B"/>
    <w:rsid w:val="00211FB4"/>
    <w:rsid w:val="00220E26"/>
    <w:rsid w:val="002211E4"/>
    <w:rsid w:val="002212BF"/>
    <w:rsid w:val="00230E2E"/>
    <w:rsid w:val="002318C5"/>
    <w:rsid w:val="0023265C"/>
    <w:rsid w:val="002337A6"/>
    <w:rsid w:val="00240B0B"/>
    <w:rsid w:val="00241D1E"/>
    <w:rsid w:val="002442BD"/>
    <w:rsid w:val="00244D81"/>
    <w:rsid w:val="00247092"/>
    <w:rsid w:val="002470FC"/>
    <w:rsid w:val="002477CD"/>
    <w:rsid w:val="002505DC"/>
    <w:rsid w:val="0025443F"/>
    <w:rsid w:val="00255A05"/>
    <w:rsid w:val="00256257"/>
    <w:rsid w:val="002579E0"/>
    <w:rsid w:val="00260179"/>
    <w:rsid w:val="00260C1E"/>
    <w:rsid w:val="002619F6"/>
    <w:rsid w:val="00263558"/>
    <w:rsid w:val="0026547F"/>
    <w:rsid w:val="00266B37"/>
    <w:rsid w:val="00267997"/>
    <w:rsid w:val="00270033"/>
    <w:rsid w:val="002703B7"/>
    <w:rsid w:val="00270C17"/>
    <w:rsid w:val="00270DA8"/>
    <w:rsid w:val="00274DEB"/>
    <w:rsid w:val="002803FB"/>
    <w:rsid w:val="00280B0F"/>
    <w:rsid w:val="002856CB"/>
    <w:rsid w:val="002856FC"/>
    <w:rsid w:val="00286B76"/>
    <w:rsid w:val="00290BB5"/>
    <w:rsid w:val="0029316C"/>
    <w:rsid w:val="002A1873"/>
    <w:rsid w:val="002A23FA"/>
    <w:rsid w:val="002A3549"/>
    <w:rsid w:val="002A48E6"/>
    <w:rsid w:val="002A4BC1"/>
    <w:rsid w:val="002A4FC0"/>
    <w:rsid w:val="002A6397"/>
    <w:rsid w:val="002A670A"/>
    <w:rsid w:val="002A695F"/>
    <w:rsid w:val="002A7203"/>
    <w:rsid w:val="002A786E"/>
    <w:rsid w:val="002B0462"/>
    <w:rsid w:val="002B2149"/>
    <w:rsid w:val="002B40BF"/>
    <w:rsid w:val="002B69C9"/>
    <w:rsid w:val="002B6BA4"/>
    <w:rsid w:val="002B6D7E"/>
    <w:rsid w:val="002C2E4E"/>
    <w:rsid w:val="002C43EA"/>
    <w:rsid w:val="002C57A6"/>
    <w:rsid w:val="002D1AB0"/>
    <w:rsid w:val="002D27CF"/>
    <w:rsid w:val="002D2DB1"/>
    <w:rsid w:val="002D621A"/>
    <w:rsid w:val="002E090C"/>
    <w:rsid w:val="002E22A5"/>
    <w:rsid w:val="002E49CC"/>
    <w:rsid w:val="002E59F2"/>
    <w:rsid w:val="002E6360"/>
    <w:rsid w:val="002E638B"/>
    <w:rsid w:val="002F0635"/>
    <w:rsid w:val="002F0C65"/>
    <w:rsid w:val="002F1295"/>
    <w:rsid w:val="002F1A19"/>
    <w:rsid w:val="002F275E"/>
    <w:rsid w:val="002F3FF4"/>
    <w:rsid w:val="002F59C1"/>
    <w:rsid w:val="002F6C73"/>
    <w:rsid w:val="00300531"/>
    <w:rsid w:val="003028A5"/>
    <w:rsid w:val="003029B8"/>
    <w:rsid w:val="0030352A"/>
    <w:rsid w:val="00305209"/>
    <w:rsid w:val="003052D4"/>
    <w:rsid w:val="00305D4C"/>
    <w:rsid w:val="00307EFD"/>
    <w:rsid w:val="0031025B"/>
    <w:rsid w:val="00311C9F"/>
    <w:rsid w:val="00312844"/>
    <w:rsid w:val="00312856"/>
    <w:rsid w:val="003159CE"/>
    <w:rsid w:val="00315DD4"/>
    <w:rsid w:val="0031731A"/>
    <w:rsid w:val="00317AC0"/>
    <w:rsid w:val="003201BC"/>
    <w:rsid w:val="00321CD7"/>
    <w:rsid w:val="00325F31"/>
    <w:rsid w:val="00327BBD"/>
    <w:rsid w:val="00330BFA"/>
    <w:rsid w:val="00330CC1"/>
    <w:rsid w:val="00331C0A"/>
    <w:rsid w:val="0033343A"/>
    <w:rsid w:val="003368FF"/>
    <w:rsid w:val="003371EF"/>
    <w:rsid w:val="00337C2A"/>
    <w:rsid w:val="00337D52"/>
    <w:rsid w:val="00340458"/>
    <w:rsid w:val="00341BAC"/>
    <w:rsid w:val="00341F1E"/>
    <w:rsid w:val="00342562"/>
    <w:rsid w:val="00343017"/>
    <w:rsid w:val="003433FB"/>
    <w:rsid w:val="00345E1E"/>
    <w:rsid w:val="00346AF8"/>
    <w:rsid w:val="00346B87"/>
    <w:rsid w:val="00353065"/>
    <w:rsid w:val="00353C49"/>
    <w:rsid w:val="00354D63"/>
    <w:rsid w:val="00355403"/>
    <w:rsid w:val="003559ED"/>
    <w:rsid w:val="003560A6"/>
    <w:rsid w:val="00357C4D"/>
    <w:rsid w:val="00360B89"/>
    <w:rsid w:val="0036167C"/>
    <w:rsid w:val="00365E71"/>
    <w:rsid w:val="00366790"/>
    <w:rsid w:val="003667A7"/>
    <w:rsid w:val="00366EE6"/>
    <w:rsid w:val="00370C49"/>
    <w:rsid w:val="0037521D"/>
    <w:rsid w:val="003752F3"/>
    <w:rsid w:val="00375942"/>
    <w:rsid w:val="00376156"/>
    <w:rsid w:val="0037654F"/>
    <w:rsid w:val="00376DED"/>
    <w:rsid w:val="00381BD7"/>
    <w:rsid w:val="00383E8A"/>
    <w:rsid w:val="0038470B"/>
    <w:rsid w:val="003865B8"/>
    <w:rsid w:val="00390529"/>
    <w:rsid w:val="00392680"/>
    <w:rsid w:val="00392A79"/>
    <w:rsid w:val="00393842"/>
    <w:rsid w:val="00393DA2"/>
    <w:rsid w:val="003942FC"/>
    <w:rsid w:val="00395D0A"/>
    <w:rsid w:val="003A14E3"/>
    <w:rsid w:val="003A17EF"/>
    <w:rsid w:val="003A2D71"/>
    <w:rsid w:val="003A4334"/>
    <w:rsid w:val="003A4AE1"/>
    <w:rsid w:val="003A683A"/>
    <w:rsid w:val="003B1921"/>
    <w:rsid w:val="003B31B7"/>
    <w:rsid w:val="003B3BDE"/>
    <w:rsid w:val="003B4380"/>
    <w:rsid w:val="003B4FF7"/>
    <w:rsid w:val="003C2243"/>
    <w:rsid w:val="003C446F"/>
    <w:rsid w:val="003C4742"/>
    <w:rsid w:val="003C4F2E"/>
    <w:rsid w:val="003C56BF"/>
    <w:rsid w:val="003C5975"/>
    <w:rsid w:val="003C60F9"/>
    <w:rsid w:val="003C6901"/>
    <w:rsid w:val="003C7054"/>
    <w:rsid w:val="003C7A1F"/>
    <w:rsid w:val="003C7AEE"/>
    <w:rsid w:val="003D0508"/>
    <w:rsid w:val="003D4349"/>
    <w:rsid w:val="003D4A08"/>
    <w:rsid w:val="003D5E0A"/>
    <w:rsid w:val="003D6AE8"/>
    <w:rsid w:val="003D6F41"/>
    <w:rsid w:val="003D7759"/>
    <w:rsid w:val="003E153A"/>
    <w:rsid w:val="003E4800"/>
    <w:rsid w:val="003E48DE"/>
    <w:rsid w:val="003E492B"/>
    <w:rsid w:val="003F1462"/>
    <w:rsid w:val="003F43BE"/>
    <w:rsid w:val="003F4F5C"/>
    <w:rsid w:val="003F7F04"/>
    <w:rsid w:val="00400D0F"/>
    <w:rsid w:val="0040137A"/>
    <w:rsid w:val="00403EF7"/>
    <w:rsid w:val="00404639"/>
    <w:rsid w:val="0040595B"/>
    <w:rsid w:val="00407ABC"/>
    <w:rsid w:val="00410AEC"/>
    <w:rsid w:val="00411922"/>
    <w:rsid w:val="00411C2D"/>
    <w:rsid w:val="00411EFD"/>
    <w:rsid w:val="00412102"/>
    <w:rsid w:val="00412B3F"/>
    <w:rsid w:val="004152F6"/>
    <w:rsid w:val="00415937"/>
    <w:rsid w:val="00416A94"/>
    <w:rsid w:val="004219A1"/>
    <w:rsid w:val="00422E34"/>
    <w:rsid w:val="00426DC4"/>
    <w:rsid w:val="00431795"/>
    <w:rsid w:val="004319B6"/>
    <w:rsid w:val="004345B7"/>
    <w:rsid w:val="00435D38"/>
    <w:rsid w:val="00435E1A"/>
    <w:rsid w:val="00436273"/>
    <w:rsid w:val="00440787"/>
    <w:rsid w:val="004408A3"/>
    <w:rsid w:val="004408C2"/>
    <w:rsid w:val="00440AAD"/>
    <w:rsid w:val="004433B6"/>
    <w:rsid w:val="004434A4"/>
    <w:rsid w:val="00443A0E"/>
    <w:rsid w:val="00444490"/>
    <w:rsid w:val="0044610B"/>
    <w:rsid w:val="004462D4"/>
    <w:rsid w:val="00447054"/>
    <w:rsid w:val="00454B63"/>
    <w:rsid w:val="00455185"/>
    <w:rsid w:val="00463763"/>
    <w:rsid w:val="00463D8A"/>
    <w:rsid w:val="00466827"/>
    <w:rsid w:val="004732B6"/>
    <w:rsid w:val="00473B4A"/>
    <w:rsid w:val="004747C6"/>
    <w:rsid w:val="00475F41"/>
    <w:rsid w:val="0047758B"/>
    <w:rsid w:val="0048085F"/>
    <w:rsid w:val="0048340A"/>
    <w:rsid w:val="00483651"/>
    <w:rsid w:val="0048388E"/>
    <w:rsid w:val="004858E4"/>
    <w:rsid w:val="004876A5"/>
    <w:rsid w:val="00490CF9"/>
    <w:rsid w:val="0049148D"/>
    <w:rsid w:val="00492F45"/>
    <w:rsid w:val="00493A0E"/>
    <w:rsid w:val="004942D0"/>
    <w:rsid w:val="004957D6"/>
    <w:rsid w:val="00496461"/>
    <w:rsid w:val="004A3BEC"/>
    <w:rsid w:val="004B0396"/>
    <w:rsid w:val="004B0503"/>
    <w:rsid w:val="004B0A11"/>
    <w:rsid w:val="004B1B67"/>
    <w:rsid w:val="004B39EB"/>
    <w:rsid w:val="004B3AA5"/>
    <w:rsid w:val="004B41D2"/>
    <w:rsid w:val="004B57E9"/>
    <w:rsid w:val="004B7885"/>
    <w:rsid w:val="004C1FBC"/>
    <w:rsid w:val="004C2ED7"/>
    <w:rsid w:val="004C351A"/>
    <w:rsid w:val="004C5ECE"/>
    <w:rsid w:val="004D6922"/>
    <w:rsid w:val="004D6FD1"/>
    <w:rsid w:val="004E118B"/>
    <w:rsid w:val="004E1811"/>
    <w:rsid w:val="004E26C3"/>
    <w:rsid w:val="004E7C6C"/>
    <w:rsid w:val="004F08B6"/>
    <w:rsid w:val="004F0EB1"/>
    <w:rsid w:val="004F250F"/>
    <w:rsid w:val="004F2EA2"/>
    <w:rsid w:val="004F5B40"/>
    <w:rsid w:val="00500D24"/>
    <w:rsid w:val="0050152A"/>
    <w:rsid w:val="00501EC1"/>
    <w:rsid w:val="00502546"/>
    <w:rsid w:val="0050382E"/>
    <w:rsid w:val="005048B1"/>
    <w:rsid w:val="00506564"/>
    <w:rsid w:val="0051037E"/>
    <w:rsid w:val="00511300"/>
    <w:rsid w:val="00512632"/>
    <w:rsid w:val="005137FA"/>
    <w:rsid w:val="0051487A"/>
    <w:rsid w:val="00515920"/>
    <w:rsid w:val="005173DB"/>
    <w:rsid w:val="0052002E"/>
    <w:rsid w:val="0052204F"/>
    <w:rsid w:val="00522108"/>
    <w:rsid w:val="005231B1"/>
    <w:rsid w:val="00523FDA"/>
    <w:rsid w:val="005258A9"/>
    <w:rsid w:val="00526849"/>
    <w:rsid w:val="00526F4A"/>
    <w:rsid w:val="00527CB9"/>
    <w:rsid w:val="0053056A"/>
    <w:rsid w:val="0053464B"/>
    <w:rsid w:val="00534A95"/>
    <w:rsid w:val="00534DAA"/>
    <w:rsid w:val="005352A3"/>
    <w:rsid w:val="00535FAA"/>
    <w:rsid w:val="00536CDF"/>
    <w:rsid w:val="00537C6C"/>
    <w:rsid w:val="00537EFA"/>
    <w:rsid w:val="005400D4"/>
    <w:rsid w:val="00541CD1"/>
    <w:rsid w:val="00542238"/>
    <w:rsid w:val="0054250C"/>
    <w:rsid w:val="00543966"/>
    <w:rsid w:val="00543B4B"/>
    <w:rsid w:val="00544356"/>
    <w:rsid w:val="00544B94"/>
    <w:rsid w:val="005452DF"/>
    <w:rsid w:val="00545C1F"/>
    <w:rsid w:val="00546EE0"/>
    <w:rsid w:val="0054738C"/>
    <w:rsid w:val="005513D5"/>
    <w:rsid w:val="0055273A"/>
    <w:rsid w:val="00552E6E"/>
    <w:rsid w:val="00554AC6"/>
    <w:rsid w:val="005565C1"/>
    <w:rsid w:val="005573CA"/>
    <w:rsid w:val="00563616"/>
    <w:rsid w:val="005638C6"/>
    <w:rsid w:val="0056434A"/>
    <w:rsid w:val="00564781"/>
    <w:rsid w:val="0056501E"/>
    <w:rsid w:val="00565634"/>
    <w:rsid w:val="0057027E"/>
    <w:rsid w:val="005707A4"/>
    <w:rsid w:val="00571590"/>
    <w:rsid w:val="00575139"/>
    <w:rsid w:val="005751F0"/>
    <w:rsid w:val="00576D09"/>
    <w:rsid w:val="00577D15"/>
    <w:rsid w:val="005820B8"/>
    <w:rsid w:val="00582AD6"/>
    <w:rsid w:val="00583E65"/>
    <w:rsid w:val="00584A61"/>
    <w:rsid w:val="0058579F"/>
    <w:rsid w:val="00585886"/>
    <w:rsid w:val="00586A0F"/>
    <w:rsid w:val="0059009F"/>
    <w:rsid w:val="005902A7"/>
    <w:rsid w:val="0059215D"/>
    <w:rsid w:val="00593239"/>
    <w:rsid w:val="00593836"/>
    <w:rsid w:val="00594E2A"/>
    <w:rsid w:val="00594FBE"/>
    <w:rsid w:val="0059501A"/>
    <w:rsid w:val="0059556F"/>
    <w:rsid w:val="005A10B0"/>
    <w:rsid w:val="005A333F"/>
    <w:rsid w:val="005A44BD"/>
    <w:rsid w:val="005A5882"/>
    <w:rsid w:val="005A5BF8"/>
    <w:rsid w:val="005A6657"/>
    <w:rsid w:val="005A7E89"/>
    <w:rsid w:val="005ACF73"/>
    <w:rsid w:val="005B1331"/>
    <w:rsid w:val="005B13BF"/>
    <w:rsid w:val="005B2535"/>
    <w:rsid w:val="005C5530"/>
    <w:rsid w:val="005C5599"/>
    <w:rsid w:val="005D1FF5"/>
    <w:rsid w:val="005D22C9"/>
    <w:rsid w:val="005D2930"/>
    <w:rsid w:val="005D34AD"/>
    <w:rsid w:val="005D4813"/>
    <w:rsid w:val="005D4A14"/>
    <w:rsid w:val="005D51CC"/>
    <w:rsid w:val="005D5D10"/>
    <w:rsid w:val="005D6CFE"/>
    <w:rsid w:val="005E0A8F"/>
    <w:rsid w:val="005E0EFF"/>
    <w:rsid w:val="005E1FA9"/>
    <w:rsid w:val="005E35DD"/>
    <w:rsid w:val="005E361A"/>
    <w:rsid w:val="005E4F20"/>
    <w:rsid w:val="005F2688"/>
    <w:rsid w:val="005F3CB8"/>
    <w:rsid w:val="005F5BD1"/>
    <w:rsid w:val="005F65B4"/>
    <w:rsid w:val="005F7A3B"/>
    <w:rsid w:val="0060271A"/>
    <w:rsid w:val="00603B5B"/>
    <w:rsid w:val="00605DE4"/>
    <w:rsid w:val="00610D6F"/>
    <w:rsid w:val="0061235A"/>
    <w:rsid w:val="006132CB"/>
    <w:rsid w:val="00614EA4"/>
    <w:rsid w:val="0061631C"/>
    <w:rsid w:val="00616CB4"/>
    <w:rsid w:val="00616F23"/>
    <w:rsid w:val="0061772E"/>
    <w:rsid w:val="00617DA4"/>
    <w:rsid w:val="00620301"/>
    <w:rsid w:val="00620A1E"/>
    <w:rsid w:val="00621656"/>
    <w:rsid w:val="006218DD"/>
    <w:rsid w:val="006222A9"/>
    <w:rsid w:val="00624C37"/>
    <w:rsid w:val="0062583D"/>
    <w:rsid w:val="006267BE"/>
    <w:rsid w:val="00626E9E"/>
    <w:rsid w:val="006276DA"/>
    <w:rsid w:val="0062775B"/>
    <w:rsid w:val="00630698"/>
    <w:rsid w:val="0063169D"/>
    <w:rsid w:val="0063203B"/>
    <w:rsid w:val="0063218C"/>
    <w:rsid w:val="006331AB"/>
    <w:rsid w:val="00634465"/>
    <w:rsid w:val="0063469E"/>
    <w:rsid w:val="00634774"/>
    <w:rsid w:val="00634DB3"/>
    <w:rsid w:val="00635A2B"/>
    <w:rsid w:val="0063683A"/>
    <w:rsid w:val="00647CF4"/>
    <w:rsid w:val="00651864"/>
    <w:rsid w:val="00652344"/>
    <w:rsid w:val="00652BB0"/>
    <w:rsid w:val="00654832"/>
    <w:rsid w:val="00654CD9"/>
    <w:rsid w:val="00655701"/>
    <w:rsid w:val="00655CA3"/>
    <w:rsid w:val="006609C1"/>
    <w:rsid w:val="00660DC0"/>
    <w:rsid w:val="0066124E"/>
    <w:rsid w:val="00663704"/>
    <w:rsid w:val="00663AC2"/>
    <w:rsid w:val="0067067B"/>
    <w:rsid w:val="00673411"/>
    <w:rsid w:val="0067763D"/>
    <w:rsid w:val="00680834"/>
    <w:rsid w:val="006846B2"/>
    <w:rsid w:val="0068698E"/>
    <w:rsid w:val="00692C14"/>
    <w:rsid w:val="00692DED"/>
    <w:rsid w:val="0069355E"/>
    <w:rsid w:val="006965A3"/>
    <w:rsid w:val="006965D0"/>
    <w:rsid w:val="00696D82"/>
    <w:rsid w:val="006A208B"/>
    <w:rsid w:val="006A2BC4"/>
    <w:rsid w:val="006A3E5C"/>
    <w:rsid w:val="006A5E32"/>
    <w:rsid w:val="006A6461"/>
    <w:rsid w:val="006A7956"/>
    <w:rsid w:val="006A7A16"/>
    <w:rsid w:val="006B095B"/>
    <w:rsid w:val="006B0983"/>
    <w:rsid w:val="006B1C0C"/>
    <w:rsid w:val="006B3C8A"/>
    <w:rsid w:val="006B521F"/>
    <w:rsid w:val="006B5B17"/>
    <w:rsid w:val="006B6489"/>
    <w:rsid w:val="006B7AE5"/>
    <w:rsid w:val="006C600F"/>
    <w:rsid w:val="006C606B"/>
    <w:rsid w:val="006C6480"/>
    <w:rsid w:val="006C6C02"/>
    <w:rsid w:val="006D043F"/>
    <w:rsid w:val="006D11C1"/>
    <w:rsid w:val="006D2745"/>
    <w:rsid w:val="006D4084"/>
    <w:rsid w:val="006D511B"/>
    <w:rsid w:val="006D548D"/>
    <w:rsid w:val="006D633C"/>
    <w:rsid w:val="006D78A3"/>
    <w:rsid w:val="006E055C"/>
    <w:rsid w:val="006E0689"/>
    <w:rsid w:val="006E1DD1"/>
    <w:rsid w:val="006E2A17"/>
    <w:rsid w:val="006E5F80"/>
    <w:rsid w:val="006F11E9"/>
    <w:rsid w:val="006F4B32"/>
    <w:rsid w:val="006F7281"/>
    <w:rsid w:val="006F7B88"/>
    <w:rsid w:val="0070264D"/>
    <w:rsid w:val="0070288D"/>
    <w:rsid w:val="00703072"/>
    <w:rsid w:val="00705251"/>
    <w:rsid w:val="00705D31"/>
    <w:rsid w:val="00706982"/>
    <w:rsid w:val="007111F0"/>
    <w:rsid w:val="00711422"/>
    <w:rsid w:val="0071181C"/>
    <w:rsid w:val="00711B20"/>
    <w:rsid w:val="00711DE0"/>
    <w:rsid w:val="00714743"/>
    <w:rsid w:val="007151D9"/>
    <w:rsid w:val="00715A11"/>
    <w:rsid w:val="00715CC0"/>
    <w:rsid w:val="00716607"/>
    <w:rsid w:val="00716968"/>
    <w:rsid w:val="00717986"/>
    <w:rsid w:val="00717A35"/>
    <w:rsid w:val="00721674"/>
    <w:rsid w:val="0072240E"/>
    <w:rsid w:val="00722F15"/>
    <w:rsid w:val="00725E9E"/>
    <w:rsid w:val="00726D74"/>
    <w:rsid w:val="00727B9D"/>
    <w:rsid w:val="00727BFF"/>
    <w:rsid w:val="00732834"/>
    <w:rsid w:val="007328EE"/>
    <w:rsid w:val="00733968"/>
    <w:rsid w:val="00734E92"/>
    <w:rsid w:val="00735715"/>
    <w:rsid w:val="007362CF"/>
    <w:rsid w:val="0073682F"/>
    <w:rsid w:val="00737CEE"/>
    <w:rsid w:val="00742CFB"/>
    <w:rsid w:val="00744F98"/>
    <w:rsid w:val="00745F03"/>
    <w:rsid w:val="007500C2"/>
    <w:rsid w:val="007500EE"/>
    <w:rsid w:val="0075096C"/>
    <w:rsid w:val="00760FD2"/>
    <w:rsid w:val="007627EC"/>
    <w:rsid w:val="0076635B"/>
    <w:rsid w:val="007664F9"/>
    <w:rsid w:val="00766C52"/>
    <w:rsid w:val="007679D0"/>
    <w:rsid w:val="00767A5C"/>
    <w:rsid w:val="00770201"/>
    <w:rsid w:val="0077301E"/>
    <w:rsid w:val="0077447C"/>
    <w:rsid w:val="007763CC"/>
    <w:rsid w:val="00777589"/>
    <w:rsid w:val="007801AC"/>
    <w:rsid w:val="0078168A"/>
    <w:rsid w:val="00782DAC"/>
    <w:rsid w:val="007834CD"/>
    <w:rsid w:val="00784FA0"/>
    <w:rsid w:val="00785D25"/>
    <w:rsid w:val="007864BD"/>
    <w:rsid w:val="00787496"/>
    <w:rsid w:val="00790C0E"/>
    <w:rsid w:val="0079650E"/>
    <w:rsid w:val="007966DA"/>
    <w:rsid w:val="00797531"/>
    <w:rsid w:val="007A0D69"/>
    <w:rsid w:val="007A3D67"/>
    <w:rsid w:val="007A4281"/>
    <w:rsid w:val="007A4316"/>
    <w:rsid w:val="007A61E2"/>
    <w:rsid w:val="007A6787"/>
    <w:rsid w:val="007B072C"/>
    <w:rsid w:val="007B0B1E"/>
    <w:rsid w:val="007B0DE6"/>
    <w:rsid w:val="007B1332"/>
    <w:rsid w:val="007B4ECE"/>
    <w:rsid w:val="007B792A"/>
    <w:rsid w:val="007C0358"/>
    <w:rsid w:val="007C225F"/>
    <w:rsid w:val="007C23BD"/>
    <w:rsid w:val="007C2C97"/>
    <w:rsid w:val="007C3834"/>
    <w:rsid w:val="007C6611"/>
    <w:rsid w:val="007C7EFF"/>
    <w:rsid w:val="007D2D33"/>
    <w:rsid w:val="007D3DA1"/>
    <w:rsid w:val="007D64AF"/>
    <w:rsid w:val="007E01AB"/>
    <w:rsid w:val="007E16C1"/>
    <w:rsid w:val="007E326A"/>
    <w:rsid w:val="007E687E"/>
    <w:rsid w:val="007F1FC3"/>
    <w:rsid w:val="007F553A"/>
    <w:rsid w:val="007F5996"/>
    <w:rsid w:val="007F7493"/>
    <w:rsid w:val="007F7E5D"/>
    <w:rsid w:val="00800B53"/>
    <w:rsid w:val="00801CE6"/>
    <w:rsid w:val="00801EE2"/>
    <w:rsid w:val="0080309D"/>
    <w:rsid w:val="00803A67"/>
    <w:rsid w:val="00804977"/>
    <w:rsid w:val="00804A45"/>
    <w:rsid w:val="00804B6F"/>
    <w:rsid w:val="008055DD"/>
    <w:rsid w:val="00810041"/>
    <w:rsid w:val="0081119B"/>
    <w:rsid w:val="00812EF8"/>
    <w:rsid w:val="00813382"/>
    <w:rsid w:val="00813CE1"/>
    <w:rsid w:val="00816DB5"/>
    <w:rsid w:val="00817B7A"/>
    <w:rsid w:val="00820947"/>
    <w:rsid w:val="008209A5"/>
    <w:rsid w:val="008234F4"/>
    <w:rsid w:val="00825164"/>
    <w:rsid w:val="00826EB0"/>
    <w:rsid w:val="008279A5"/>
    <w:rsid w:val="00830413"/>
    <w:rsid w:val="008348CF"/>
    <w:rsid w:val="00835A6E"/>
    <w:rsid w:val="0083791F"/>
    <w:rsid w:val="0084088A"/>
    <w:rsid w:val="00840B8D"/>
    <w:rsid w:val="00843767"/>
    <w:rsid w:val="00843BD4"/>
    <w:rsid w:val="00844F47"/>
    <w:rsid w:val="00845A01"/>
    <w:rsid w:val="0084624D"/>
    <w:rsid w:val="00851486"/>
    <w:rsid w:val="00852BD5"/>
    <w:rsid w:val="00853579"/>
    <w:rsid w:val="008577F9"/>
    <w:rsid w:val="008609A1"/>
    <w:rsid w:val="00863CD3"/>
    <w:rsid w:val="00866C95"/>
    <w:rsid w:val="008673AC"/>
    <w:rsid w:val="00867682"/>
    <w:rsid w:val="0087003B"/>
    <w:rsid w:val="0087033D"/>
    <w:rsid w:val="00870E92"/>
    <w:rsid w:val="00873318"/>
    <w:rsid w:val="00873423"/>
    <w:rsid w:val="00874CB0"/>
    <w:rsid w:val="008755FB"/>
    <w:rsid w:val="00876CD0"/>
    <w:rsid w:val="0087780B"/>
    <w:rsid w:val="00880369"/>
    <w:rsid w:val="00882F17"/>
    <w:rsid w:val="00891B67"/>
    <w:rsid w:val="0089275D"/>
    <w:rsid w:val="008929E5"/>
    <w:rsid w:val="00892CBC"/>
    <w:rsid w:val="00892FC6"/>
    <w:rsid w:val="00893403"/>
    <w:rsid w:val="0089460D"/>
    <w:rsid w:val="00894BC7"/>
    <w:rsid w:val="00894C3B"/>
    <w:rsid w:val="008952DB"/>
    <w:rsid w:val="008961B8"/>
    <w:rsid w:val="00897775"/>
    <w:rsid w:val="008A301B"/>
    <w:rsid w:val="008A67EA"/>
    <w:rsid w:val="008B20B9"/>
    <w:rsid w:val="008B2A56"/>
    <w:rsid w:val="008B3600"/>
    <w:rsid w:val="008B6EA9"/>
    <w:rsid w:val="008B73C0"/>
    <w:rsid w:val="008C5840"/>
    <w:rsid w:val="008C6BEC"/>
    <w:rsid w:val="008D02F2"/>
    <w:rsid w:val="008D0BB1"/>
    <w:rsid w:val="008D18CE"/>
    <w:rsid w:val="008D199C"/>
    <w:rsid w:val="008D19C9"/>
    <w:rsid w:val="008D1D2F"/>
    <w:rsid w:val="008D38E3"/>
    <w:rsid w:val="008D4B27"/>
    <w:rsid w:val="008D4CBD"/>
    <w:rsid w:val="008D5228"/>
    <w:rsid w:val="008D5ABA"/>
    <w:rsid w:val="008D5DE4"/>
    <w:rsid w:val="008D7584"/>
    <w:rsid w:val="008D7C14"/>
    <w:rsid w:val="008D7D1A"/>
    <w:rsid w:val="008E0D00"/>
    <w:rsid w:val="008E1D92"/>
    <w:rsid w:val="008E2EB5"/>
    <w:rsid w:val="008E35F3"/>
    <w:rsid w:val="008E5EB0"/>
    <w:rsid w:val="008F0EB3"/>
    <w:rsid w:val="008F1EA6"/>
    <w:rsid w:val="008F5A7A"/>
    <w:rsid w:val="00900527"/>
    <w:rsid w:val="00900BB7"/>
    <w:rsid w:val="00902C68"/>
    <w:rsid w:val="009033FC"/>
    <w:rsid w:val="0090351B"/>
    <w:rsid w:val="0090380F"/>
    <w:rsid w:val="0090387D"/>
    <w:rsid w:val="00904490"/>
    <w:rsid w:val="0090467A"/>
    <w:rsid w:val="009057D3"/>
    <w:rsid w:val="009071CB"/>
    <w:rsid w:val="009076A6"/>
    <w:rsid w:val="00912560"/>
    <w:rsid w:val="00912EE9"/>
    <w:rsid w:val="009148E2"/>
    <w:rsid w:val="009200A1"/>
    <w:rsid w:val="0092020F"/>
    <w:rsid w:val="00920CDF"/>
    <w:rsid w:val="009220F4"/>
    <w:rsid w:val="0092420F"/>
    <w:rsid w:val="0092522D"/>
    <w:rsid w:val="009328E6"/>
    <w:rsid w:val="00934068"/>
    <w:rsid w:val="0093432F"/>
    <w:rsid w:val="00934EA8"/>
    <w:rsid w:val="009361C0"/>
    <w:rsid w:val="0093691F"/>
    <w:rsid w:val="00937054"/>
    <w:rsid w:val="00943FC3"/>
    <w:rsid w:val="00945D14"/>
    <w:rsid w:val="00947763"/>
    <w:rsid w:val="00947A9D"/>
    <w:rsid w:val="009535D7"/>
    <w:rsid w:val="0095548E"/>
    <w:rsid w:val="00956D36"/>
    <w:rsid w:val="0096231F"/>
    <w:rsid w:val="00966969"/>
    <w:rsid w:val="0097267E"/>
    <w:rsid w:val="00974EDC"/>
    <w:rsid w:val="00975646"/>
    <w:rsid w:val="00975685"/>
    <w:rsid w:val="00975CDB"/>
    <w:rsid w:val="00975E7C"/>
    <w:rsid w:val="0097634B"/>
    <w:rsid w:val="0098019C"/>
    <w:rsid w:val="0098077A"/>
    <w:rsid w:val="00980CFC"/>
    <w:rsid w:val="0098135A"/>
    <w:rsid w:val="00982B86"/>
    <w:rsid w:val="00987B36"/>
    <w:rsid w:val="00993DE6"/>
    <w:rsid w:val="00993FC1"/>
    <w:rsid w:val="0099440E"/>
    <w:rsid w:val="00997081"/>
    <w:rsid w:val="009A00C2"/>
    <w:rsid w:val="009A0CDC"/>
    <w:rsid w:val="009A3087"/>
    <w:rsid w:val="009A32FB"/>
    <w:rsid w:val="009A75CF"/>
    <w:rsid w:val="009A7973"/>
    <w:rsid w:val="009B3553"/>
    <w:rsid w:val="009B364D"/>
    <w:rsid w:val="009B4373"/>
    <w:rsid w:val="009B533E"/>
    <w:rsid w:val="009B6020"/>
    <w:rsid w:val="009B6896"/>
    <w:rsid w:val="009B759B"/>
    <w:rsid w:val="009C5E1C"/>
    <w:rsid w:val="009C6A2A"/>
    <w:rsid w:val="009C6E0E"/>
    <w:rsid w:val="009D01FB"/>
    <w:rsid w:val="009D0624"/>
    <w:rsid w:val="009D1209"/>
    <w:rsid w:val="009D237E"/>
    <w:rsid w:val="009D5D91"/>
    <w:rsid w:val="009D676D"/>
    <w:rsid w:val="009E0091"/>
    <w:rsid w:val="009E0C09"/>
    <w:rsid w:val="009E0DE1"/>
    <w:rsid w:val="009E1790"/>
    <w:rsid w:val="009E260F"/>
    <w:rsid w:val="009E391C"/>
    <w:rsid w:val="009E4168"/>
    <w:rsid w:val="009E6444"/>
    <w:rsid w:val="009F2086"/>
    <w:rsid w:val="009F2F49"/>
    <w:rsid w:val="009F3591"/>
    <w:rsid w:val="009F4E6A"/>
    <w:rsid w:val="009F61EF"/>
    <w:rsid w:val="009F7268"/>
    <w:rsid w:val="009F7382"/>
    <w:rsid w:val="00A029B5"/>
    <w:rsid w:val="00A02A51"/>
    <w:rsid w:val="00A03DE1"/>
    <w:rsid w:val="00A04F1F"/>
    <w:rsid w:val="00A05D5B"/>
    <w:rsid w:val="00A06F55"/>
    <w:rsid w:val="00A103A8"/>
    <w:rsid w:val="00A10B6A"/>
    <w:rsid w:val="00A10FBC"/>
    <w:rsid w:val="00A112E7"/>
    <w:rsid w:val="00A12A32"/>
    <w:rsid w:val="00A13C34"/>
    <w:rsid w:val="00A13CA8"/>
    <w:rsid w:val="00A15DAC"/>
    <w:rsid w:val="00A16D10"/>
    <w:rsid w:val="00A170A0"/>
    <w:rsid w:val="00A20ADA"/>
    <w:rsid w:val="00A20DC0"/>
    <w:rsid w:val="00A23ACE"/>
    <w:rsid w:val="00A261BD"/>
    <w:rsid w:val="00A30464"/>
    <w:rsid w:val="00A307E0"/>
    <w:rsid w:val="00A33362"/>
    <w:rsid w:val="00A33EBE"/>
    <w:rsid w:val="00A34D68"/>
    <w:rsid w:val="00A360F3"/>
    <w:rsid w:val="00A40DDF"/>
    <w:rsid w:val="00A43088"/>
    <w:rsid w:val="00A45A91"/>
    <w:rsid w:val="00A5314D"/>
    <w:rsid w:val="00A53AC2"/>
    <w:rsid w:val="00A54440"/>
    <w:rsid w:val="00A5601B"/>
    <w:rsid w:val="00A570F3"/>
    <w:rsid w:val="00A60649"/>
    <w:rsid w:val="00A62C6D"/>
    <w:rsid w:val="00A63D30"/>
    <w:rsid w:val="00A64301"/>
    <w:rsid w:val="00A67DE5"/>
    <w:rsid w:val="00A73434"/>
    <w:rsid w:val="00A737A2"/>
    <w:rsid w:val="00A73964"/>
    <w:rsid w:val="00A73BBD"/>
    <w:rsid w:val="00A74BAB"/>
    <w:rsid w:val="00A755AC"/>
    <w:rsid w:val="00A76207"/>
    <w:rsid w:val="00A7641F"/>
    <w:rsid w:val="00A76E84"/>
    <w:rsid w:val="00A775C7"/>
    <w:rsid w:val="00A8153D"/>
    <w:rsid w:val="00A81732"/>
    <w:rsid w:val="00A82BA1"/>
    <w:rsid w:val="00A929D7"/>
    <w:rsid w:val="00A92C4F"/>
    <w:rsid w:val="00A92F9D"/>
    <w:rsid w:val="00A931F3"/>
    <w:rsid w:val="00A93303"/>
    <w:rsid w:val="00AA0454"/>
    <w:rsid w:val="00AA0FAC"/>
    <w:rsid w:val="00AA1BCA"/>
    <w:rsid w:val="00AA293E"/>
    <w:rsid w:val="00AA41F1"/>
    <w:rsid w:val="00AA4FFC"/>
    <w:rsid w:val="00AA507E"/>
    <w:rsid w:val="00AA54F2"/>
    <w:rsid w:val="00AA5ACF"/>
    <w:rsid w:val="00AB0B7D"/>
    <w:rsid w:val="00AB14BE"/>
    <w:rsid w:val="00AB2C01"/>
    <w:rsid w:val="00AB527E"/>
    <w:rsid w:val="00AB615F"/>
    <w:rsid w:val="00AC094C"/>
    <w:rsid w:val="00AC1E69"/>
    <w:rsid w:val="00AC2098"/>
    <w:rsid w:val="00AC46C4"/>
    <w:rsid w:val="00AC7459"/>
    <w:rsid w:val="00AC7FAC"/>
    <w:rsid w:val="00AD62AD"/>
    <w:rsid w:val="00AD6353"/>
    <w:rsid w:val="00AD6CB9"/>
    <w:rsid w:val="00AD75B7"/>
    <w:rsid w:val="00AE06D9"/>
    <w:rsid w:val="00AE3BD6"/>
    <w:rsid w:val="00AE4CBB"/>
    <w:rsid w:val="00AE5762"/>
    <w:rsid w:val="00AE718E"/>
    <w:rsid w:val="00AF0CA4"/>
    <w:rsid w:val="00AF1D83"/>
    <w:rsid w:val="00AF2475"/>
    <w:rsid w:val="00AF3352"/>
    <w:rsid w:val="00AF4025"/>
    <w:rsid w:val="00AF4A4D"/>
    <w:rsid w:val="00AF5277"/>
    <w:rsid w:val="00AF5306"/>
    <w:rsid w:val="00AF56DE"/>
    <w:rsid w:val="00AF5FAB"/>
    <w:rsid w:val="00B03AC3"/>
    <w:rsid w:val="00B059F8"/>
    <w:rsid w:val="00B071B6"/>
    <w:rsid w:val="00B12A62"/>
    <w:rsid w:val="00B13223"/>
    <w:rsid w:val="00B13AF4"/>
    <w:rsid w:val="00B1401F"/>
    <w:rsid w:val="00B14624"/>
    <w:rsid w:val="00B14923"/>
    <w:rsid w:val="00B1647C"/>
    <w:rsid w:val="00B16C70"/>
    <w:rsid w:val="00B237EF"/>
    <w:rsid w:val="00B23F16"/>
    <w:rsid w:val="00B25878"/>
    <w:rsid w:val="00B304E7"/>
    <w:rsid w:val="00B30B1A"/>
    <w:rsid w:val="00B31192"/>
    <w:rsid w:val="00B342CC"/>
    <w:rsid w:val="00B35E49"/>
    <w:rsid w:val="00B36453"/>
    <w:rsid w:val="00B430C6"/>
    <w:rsid w:val="00B43490"/>
    <w:rsid w:val="00B446EA"/>
    <w:rsid w:val="00B45F35"/>
    <w:rsid w:val="00B463A4"/>
    <w:rsid w:val="00B50523"/>
    <w:rsid w:val="00B51769"/>
    <w:rsid w:val="00B556FD"/>
    <w:rsid w:val="00B55CC9"/>
    <w:rsid w:val="00B55D4E"/>
    <w:rsid w:val="00B56A70"/>
    <w:rsid w:val="00B61F79"/>
    <w:rsid w:val="00B63D82"/>
    <w:rsid w:val="00B64468"/>
    <w:rsid w:val="00B655C7"/>
    <w:rsid w:val="00B66DBD"/>
    <w:rsid w:val="00B67244"/>
    <w:rsid w:val="00B70313"/>
    <w:rsid w:val="00B70CF1"/>
    <w:rsid w:val="00B71EA0"/>
    <w:rsid w:val="00B7375D"/>
    <w:rsid w:val="00B73EF0"/>
    <w:rsid w:val="00B742A2"/>
    <w:rsid w:val="00B757C1"/>
    <w:rsid w:val="00B75A5C"/>
    <w:rsid w:val="00B778B7"/>
    <w:rsid w:val="00B8174A"/>
    <w:rsid w:val="00B8601D"/>
    <w:rsid w:val="00B86748"/>
    <w:rsid w:val="00B87D09"/>
    <w:rsid w:val="00B90113"/>
    <w:rsid w:val="00B912DE"/>
    <w:rsid w:val="00B939B6"/>
    <w:rsid w:val="00B95EFB"/>
    <w:rsid w:val="00B96C40"/>
    <w:rsid w:val="00BA1462"/>
    <w:rsid w:val="00BA6FE4"/>
    <w:rsid w:val="00BA746D"/>
    <w:rsid w:val="00BAEC82"/>
    <w:rsid w:val="00BB00D1"/>
    <w:rsid w:val="00BB1320"/>
    <w:rsid w:val="00BB2372"/>
    <w:rsid w:val="00BB38DD"/>
    <w:rsid w:val="00BB5DDE"/>
    <w:rsid w:val="00BB795C"/>
    <w:rsid w:val="00BC235B"/>
    <w:rsid w:val="00BC2F5C"/>
    <w:rsid w:val="00BC38A6"/>
    <w:rsid w:val="00BC430E"/>
    <w:rsid w:val="00BC4AD2"/>
    <w:rsid w:val="00BC5065"/>
    <w:rsid w:val="00BC5AF2"/>
    <w:rsid w:val="00BC6399"/>
    <w:rsid w:val="00BC64FF"/>
    <w:rsid w:val="00BD317D"/>
    <w:rsid w:val="00BD31A7"/>
    <w:rsid w:val="00BD3707"/>
    <w:rsid w:val="00BD4544"/>
    <w:rsid w:val="00BD525C"/>
    <w:rsid w:val="00BD5372"/>
    <w:rsid w:val="00BD5D66"/>
    <w:rsid w:val="00BD7F86"/>
    <w:rsid w:val="00BE0D32"/>
    <w:rsid w:val="00BE1A5C"/>
    <w:rsid w:val="00BE3291"/>
    <w:rsid w:val="00BE3C8C"/>
    <w:rsid w:val="00BE4A23"/>
    <w:rsid w:val="00BE4A4E"/>
    <w:rsid w:val="00BE6DBE"/>
    <w:rsid w:val="00BF0041"/>
    <w:rsid w:val="00BF078B"/>
    <w:rsid w:val="00BF16AC"/>
    <w:rsid w:val="00BF2E0F"/>
    <w:rsid w:val="00BF544E"/>
    <w:rsid w:val="00BF5896"/>
    <w:rsid w:val="00BF66FF"/>
    <w:rsid w:val="00C00592"/>
    <w:rsid w:val="00C00F5C"/>
    <w:rsid w:val="00C0171C"/>
    <w:rsid w:val="00C02763"/>
    <w:rsid w:val="00C031BA"/>
    <w:rsid w:val="00C03BD1"/>
    <w:rsid w:val="00C0432B"/>
    <w:rsid w:val="00C045D4"/>
    <w:rsid w:val="00C077B6"/>
    <w:rsid w:val="00C078F2"/>
    <w:rsid w:val="00C0791C"/>
    <w:rsid w:val="00C110D6"/>
    <w:rsid w:val="00C1361E"/>
    <w:rsid w:val="00C13BE0"/>
    <w:rsid w:val="00C14AE1"/>
    <w:rsid w:val="00C15EC1"/>
    <w:rsid w:val="00C1658C"/>
    <w:rsid w:val="00C17455"/>
    <w:rsid w:val="00C17D96"/>
    <w:rsid w:val="00C20A88"/>
    <w:rsid w:val="00C22420"/>
    <w:rsid w:val="00C231C9"/>
    <w:rsid w:val="00C2468E"/>
    <w:rsid w:val="00C25B19"/>
    <w:rsid w:val="00C27DDB"/>
    <w:rsid w:val="00C27F19"/>
    <w:rsid w:val="00C30D85"/>
    <w:rsid w:val="00C30FB4"/>
    <w:rsid w:val="00C31E8E"/>
    <w:rsid w:val="00C32611"/>
    <w:rsid w:val="00C3411F"/>
    <w:rsid w:val="00C35FC6"/>
    <w:rsid w:val="00C36959"/>
    <w:rsid w:val="00C407AC"/>
    <w:rsid w:val="00C43AB9"/>
    <w:rsid w:val="00C444E4"/>
    <w:rsid w:val="00C45FCA"/>
    <w:rsid w:val="00C50851"/>
    <w:rsid w:val="00C50962"/>
    <w:rsid w:val="00C50B5D"/>
    <w:rsid w:val="00C64377"/>
    <w:rsid w:val="00C64CAE"/>
    <w:rsid w:val="00C65E57"/>
    <w:rsid w:val="00C66784"/>
    <w:rsid w:val="00C67768"/>
    <w:rsid w:val="00C702B3"/>
    <w:rsid w:val="00C7317E"/>
    <w:rsid w:val="00C774F5"/>
    <w:rsid w:val="00C77A2D"/>
    <w:rsid w:val="00C81524"/>
    <w:rsid w:val="00C8401C"/>
    <w:rsid w:val="00C851FE"/>
    <w:rsid w:val="00C87595"/>
    <w:rsid w:val="00C90C57"/>
    <w:rsid w:val="00C90CA1"/>
    <w:rsid w:val="00C90FAD"/>
    <w:rsid w:val="00C92A25"/>
    <w:rsid w:val="00C94230"/>
    <w:rsid w:val="00C94872"/>
    <w:rsid w:val="00CA148A"/>
    <w:rsid w:val="00CA27D2"/>
    <w:rsid w:val="00CA3A08"/>
    <w:rsid w:val="00CA50BC"/>
    <w:rsid w:val="00CA55D4"/>
    <w:rsid w:val="00CB1B8B"/>
    <w:rsid w:val="00CB1C5B"/>
    <w:rsid w:val="00CB1CE4"/>
    <w:rsid w:val="00CB21C9"/>
    <w:rsid w:val="00CB31B6"/>
    <w:rsid w:val="00CB4038"/>
    <w:rsid w:val="00CB40ED"/>
    <w:rsid w:val="00CB6791"/>
    <w:rsid w:val="00CB745C"/>
    <w:rsid w:val="00CC107E"/>
    <w:rsid w:val="00CC526D"/>
    <w:rsid w:val="00CC59BC"/>
    <w:rsid w:val="00CC623B"/>
    <w:rsid w:val="00CC660A"/>
    <w:rsid w:val="00CD01F6"/>
    <w:rsid w:val="00CD19AB"/>
    <w:rsid w:val="00CD1A62"/>
    <w:rsid w:val="00CD3061"/>
    <w:rsid w:val="00CD3933"/>
    <w:rsid w:val="00CD40EE"/>
    <w:rsid w:val="00CD5F86"/>
    <w:rsid w:val="00CD621B"/>
    <w:rsid w:val="00CD70CA"/>
    <w:rsid w:val="00CE08BD"/>
    <w:rsid w:val="00CE308F"/>
    <w:rsid w:val="00CE3FEC"/>
    <w:rsid w:val="00CE4947"/>
    <w:rsid w:val="00CE6359"/>
    <w:rsid w:val="00CF01B0"/>
    <w:rsid w:val="00CF08F1"/>
    <w:rsid w:val="00CF21DC"/>
    <w:rsid w:val="00CF3790"/>
    <w:rsid w:val="00CF70CC"/>
    <w:rsid w:val="00D00EA8"/>
    <w:rsid w:val="00D03737"/>
    <w:rsid w:val="00D05F1C"/>
    <w:rsid w:val="00D07746"/>
    <w:rsid w:val="00D07930"/>
    <w:rsid w:val="00D11441"/>
    <w:rsid w:val="00D1196C"/>
    <w:rsid w:val="00D12915"/>
    <w:rsid w:val="00D146E1"/>
    <w:rsid w:val="00D20D5B"/>
    <w:rsid w:val="00D22CD4"/>
    <w:rsid w:val="00D23F37"/>
    <w:rsid w:val="00D24399"/>
    <w:rsid w:val="00D245AC"/>
    <w:rsid w:val="00D252D0"/>
    <w:rsid w:val="00D26D22"/>
    <w:rsid w:val="00D27472"/>
    <w:rsid w:val="00D27659"/>
    <w:rsid w:val="00D312EF"/>
    <w:rsid w:val="00D3147A"/>
    <w:rsid w:val="00D352CC"/>
    <w:rsid w:val="00D37392"/>
    <w:rsid w:val="00D4066E"/>
    <w:rsid w:val="00D41CC5"/>
    <w:rsid w:val="00D42D6E"/>
    <w:rsid w:val="00D44DFA"/>
    <w:rsid w:val="00D46D0F"/>
    <w:rsid w:val="00D471FE"/>
    <w:rsid w:val="00D52F81"/>
    <w:rsid w:val="00D5473C"/>
    <w:rsid w:val="00D54E27"/>
    <w:rsid w:val="00D55629"/>
    <w:rsid w:val="00D56951"/>
    <w:rsid w:val="00D57754"/>
    <w:rsid w:val="00D60451"/>
    <w:rsid w:val="00D66871"/>
    <w:rsid w:val="00D7133B"/>
    <w:rsid w:val="00D74920"/>
    <w:rsid w:val="00D75B7D"/>
    <w:rsid w:val="00D762C2"/>
    <w:rsid w:val="00D76697"/>
    <w:rsid w:val="00D76766"/>
    <w:rsid w:val="00D8162C"/>
    <w:rsid w:val="00D827F7"/>
    <w:rsid w:val="00D830AC"/>
    <w:rsid w:val="00D830B1"/>
    <w:rsid w:val="00D842C8"/>
    <w:rsid w:val="00D85E03"/>
    <w:rsid w:val="00D86C02"/>
    <w:rsid w:val="00D87550"/>
    <w:rsid w:val="00D919F9"/>
    <w:rsid w:val="00D924AB"/>
    <w:rsid w:val="00D92A27"/>
    <w:rsid w:val="00D950DD"/>
    <w:rsid w:val="00D97364"/>
    <w:rsid w:val="00D97715"/>
    <w:rsid w:val="00DA2632"/>
    <w:rsid w:val="00DA49BF"/>
    <w:rsid w:val="00DA6F3A"/>
    <w:rsid w:val="00DB0296"/>
    <w:rsid w:val="00DB0BDA"/>
    <w:rsid w:val="00DB18E1"/>
    <w:rsid w:val="00DB1B04"/>
    <w:rsid w:val="00DB43BB"/>
    <w:rsid w:val="00DB5C91"/>
    <w:rsid w:val="00DB6621"/>
    <w:rsid w:val="00DB70B7"/>
    <w:rsid w:val="00DC0A1E"/>
    <w:rsid w:val="00DC26A8"/>
    <w:rsid w:val="00DC3D08"/>
    <w:rsid w:val="00DC68FE"/>
    <w:rsid w:val="00DD000A"/>
    <w:rsid w:val="00DD1AFF"/>
    <w:rsid w:val="00DD2F72"/>
    <w:rsid w:val="00DD4A21"/>
    <w:rsid w:val="00DD4CE2"/>
    <w:rsid w:val="00DD7797"/>
    <w:rsid w:val="00DE110A"/>
    <w:rsid w:val="00DE1C7E"/>
    <w:rsid w:val="00DE2232"/>
    <w:rsid w:val="00DE2FF0"/>
    <w:rsid w:val="00DE317A"/>
    <w:rsid w:val="00DE4FA5"/>
    <w:rsid w:val="00DE6318"/>
    <w:rsid w:val="00DE6647"/>
    <w:rsid w:val="00DE6AEE"/>
    <w:rsid w:val="00DE786B"/>
    <w:rsid w:val="00DF0DFF"/>
    <w:rsid w:val="00DF1709"/>
    <w:rsid w:val="00DF4940"/>
    <w:rsid w:val="00DF5FEB"/>
    <w:rsid w:val="00DF7CFB"/>
    <w:rsid w:val="00DF7DBC"/>
    <w:rsid w:val="00E0016F"/>
    <w:rsid w:val="00E00745"/>
    <w:rsid w:val="00E0103F"/>
    <w:rsid w:val="00E0263F"/>
    <w:rsid w:val="00E04DAB"/>
    <w:rsid w:val="00E05751"/>
    <w:rsid w:val="00E07186"/>
    <w:rsid w:val="00E07401"/>
    <w:rsid w:val="00E106E3"/>
    <w:rsid w:val="00E13405"/>
    <w:rsid w:val="00E15859"/>
    <w:rsid w:val="00E20270"/>
    <w:rsid w:val="00E20400"/>
    <w:rsid w:val="00E206C6"/>
    <w:rsid w:val="00E231B9"/>
    <w:rsid w:val="00E23554"/>
    <w:rsid w:val="00E24D12"/>
    <w:rsid w:val="00E250C6"/>
    <w:rsid w:val="00E269A7"/>
    <w:rsid w:val="00E26F6B"/>
    <w:rsid w:val="00E3199A"/>
    <w:rsid w:val="00E337EF"/>
    <w:rsid w:val="00E33B70"/>
    <w:rsid w:val="00E345DD"/>
    <w:rsid w:val="00E35A01"/>
    <w:rsid w:val="00E35F05"/>
    <w:rsid w:val="00E402BE"/>
    <w:rsid w:val="00E4032D"/>
    <w:rsid w:val="00E403C5"/>
    <w:rsid w:val="00E40EE9"/>
    <w:rsid w:val="00E41C22"/>
    <w:rsid w:val="00E423FD"/>
    <w:rsid w:val="00E438F4"/>
    <w:rsid w:val="00E43D06"/>
    <w:rsid w:val="00E470DA"/>
    <w:rsid w:val="00E47493"/>
    <w:rsid w:val="00E500D7"/>
    <w:rsid w:val="00E50A95"/>
    <w:rsid w:val="00E53DCF"/>
    <w:rsid w:val="00E541C4"/>
    <w:rsid w:val="00E54369"/>
    <w:rsid w:val="00E55282"/>
    <w:rsid w:val="00E606A3"/>
    <w:rsid w:val="00E60765"/>
    <w:rsid w:val="00E60B93"/>
    <w:rsid w:val="00E6438F"/>
    <w:rsid w:val="00E64464"/>
    <w:rsid w:val="00E6724C"/>
    <w:rsid w:val="00E67712"/>
    <w:rsid w:val="00E70114"/>
    <w:rsid w:val="00E7401C"/>
    <w:rsid w:val="00E74F2C"/>
    <w:rsid w:val="00E80965"/>
    <w:rsid w:val="00E82AB7"/>
    <w:rsid w:val="00E830B0"/>
    <w:rsid w:val="00E8351C"/>
    <w:rsid w:val="00E848BC"/>
    <w:rsid w:val="00E86243"/>
    <w:rsid w:val="00E877DF"/>
    <w:rsid w:val="00E90C3E"/>
    <w:rsid w:val="00E90E4C"/>
    <w:rsid w:val="00E91297"/>
    <w:rsid w:val="00E92D0C"/>
    <w:rsid w:val="00E937DF"/>
    <w:rsid w:val="00E93CF1"/>
    <w:rsid w:val="00E94139"/>
    <w:rsid w:val="00EA4C7A"/>
    <w:rsid w:val="00EA5342"/>
    <w:rsid w:val="00EA56BE"/>
    <w:rsid w:val="00EA57AA"/>
    <w:rsid w:val="00EA5896"/>
    <w:rsid w:val="00EA6053"/>
    <w:rsid w:val="00EA688C"/>
    <w:rsid w:val="00EB0A4C"/>
    <w:rsid w:val="00EB2058"/>
    <w:rsid w:val="00EB2694"/>
    <w:rsid w:val="00EB28BD"/>
    <w:rsid w:val="00EB3B1E"/>
    <w:rsid w:val="00EB3EB9"/>
    <w:rsid w:val="00EB56F8"/>
    <w:rsid w:val="00EC1227"/>
    <w:rsid w:val="00EC1593"/>
    <w:rsid w:val="00EC1DA1"/>
    <w:rsid w:val="00EC3E16"/>
    <w:rsid w:val="00EC42DC"/>
    <w:rsid w:val="00EC50BD"/>
    <w:rsid w:val="00EC7151"/>
    <w:rsid w:val="00EC7938"/>
    <w:rsid w:val="00ED1157"/>
    <w:rsid w:val="00ED37EE"/>
    <w:rsid w:val="00ED5F89"/>
    <w:rsid w:val="00ED630B"/>
    <w:rsid w:val="00ED6E85"/>
    <w:rsid w:val="00ED7237"/>
    <w:rsid w:val="00EE0986"/>
    <w:rsid w:val="00EE1EBA"/>
    <w:rsid w:val="00EE3671"/>
    <w:rsid w:val="00EE51C8"/>
    <w:rsid w:val="00EE51CB"/>
    <w:rsid w:val="00EE556C"/>
    <w:rsid w:val="00EE6E77"/>
    <w:rsid w:val="00EE6F55"/>
    <w:rsid w:val="00EF0A74"/>
    <w:rsid w:val="00EF3D2D"/>
    <w:rsid w:val="00EF3F7A"/>
    <w:rsid w:val="00EF4E51"/>
    <w:rsid w:val="00EF6D0F"/>
    <w:rsid w:val="00EF7A17"/>
    <w:rsid w:val="00F0065C"/>
    <w:rsid w:val="00F00D0C"/>
    <w:rsid w:val="00F03C80"/>
    <w:rsid w:val="00F046D3"/>
    <w:rsid w:val="00F04CB0"/>
    <w:rsid w:val="00F05A85"/>
    <w:rsid w:val="00F05E5E"/>
    <w:rsid w:val="00F06B6B"/>
    <w:rsid w:val="00F07914"/>
    <w:rsid w:val="00F07FC3"/>
    <w:rsid w:val="00F11283"/>
    <w:rsid w:val="00F14189"/>
    <w:rsid w:val="00F21824"/>
    <w:rsid w:val="00F21E82"/>
    <w:rsid w:val="00F22C81"/>
    <w:rsid w:val="00F2592F"/>
    <w:rsid w:val="00F2618C"/>
    <w:rsid w:val="00F27E08"/>
    <w:rsid w:val="00F27FF8"/>
    <w:rsid w:val="00F30759"/>
    <w:rsid w:val="00F311B0"/>
    <w:rsid w:val="00F314D9"/>
    <w:rsid w:val="00F317C8"/>
    <w:rsid w:val="00F34549"/>
    <w:rsid w:val="00F36E70"/>
    <w:rsid w:val="00F37A72"/>
    <w:rsid w:val="00F42C0F"/>
    <w:rsid w:val="00F458E4"/>
    <w:rsid w:val="00F45BD3"/>
    <w:rsid w:val="00F51943"/>
    <w:rsid w:val="00F528A3"/>
    <w:rsid w:val="00F52ADF"/>
    <w:rsid w:val="00F52BB5"/>
    <w:rsid w:val="00F553C1"/>
    <w:rsid w:val="00F572A5"/>
    <w:rsid w:val="00F62B0E"/>
    <w:rsid w:val="00F641AD"/>
    <w:rsid w:val="00F64C60"/>
    <w:rsid w:val="00F663CD"/>
    <w:rsid w:val="00F66B2A"/>
    <w:rsid w:val="00F67550"/>
    <w:rsid w:val="00F67E5A"/>
    <w:rsid w:val="00F690C1"/>
    <w:rsid w:val="00F72E25"/>
    <w:rsid w:val="00F83075"/>
    <w:rsid w:val="00F84217"/>
    <w:rsid w:val="00F85851"/>
    <w:rsid w:val="00F86CB8"/>
    <w:rsid w:val="00F87BDE"/>
    <w:rsid w:val="00F901F5"/>
    <w:rsid w:val="00F915EF"/>
    <w:rsid w:val="00F92F08"/>
    <w:rsid w:val="00F9342B"/>
    <w:rsid w:val="00F935A8"/>
    <w:rsid w:val="00F9393D"/>
    <w:rsid w:val="00F93ED2"/>
    <w:rsid w:val="00F94506"/>
    <w:rsid w:val="00F95543"/>
    <w:rsid w:val="00F96E4B"/>
    <w:rsid w:val="00F97F9D"/>
    <w:rsid w:val="00FA1BAF"/>
    <w:rsid w:val="00FA2F06"/>
    <w:rsid w:val="00FA3440"/>
    <w:rsid w:val="00FA3B31"/>
    <w:rsid w:val="00FA432D"/>
    <w:rsid w:val="00FA54F4"/>
    <w:rsid w:val="00FA67B1"/>
    <w:rsid w:val="00FA73F9"/>
    <w:rsid w:val="00FB0F9B"/>
    <w:rsid w:val="00FB1523"/>
    <w:rsid w:val="00FB5C28"/>
    <w:rsid w:val="00FB6BCB"/>
    <w:rsid w:val="00FC0642"/>
    <w:rsid w:val="00FC213F"/>
    <w:rsid w:val="00FC25DA"/>
    <w:rsid w:val="00FC295D"/>
    <w:rsid w:val="00FC36EA"/>
    <w:rsid w:val="00FC3A6B"/>
    <w:rsid w:val="00FC795E"/>
    <w:rsid w:val="00FD1545"/>
    <w:rsid w:val="00FD2259"/>
    <w:rsid w:val="00FD38EB"/>
    <w:rsid w:val="00FD3999"/>
    <w:rsid w:val="00FD75A3"/>
    <w:rsid w:val="00FD7B0C"/>
    <w:rsid w:val="00FE205D"/>
    <w:rsid w:val="00FE3E58"/>
    <w:rsid w:val="00FF0265"/>
    <w:rsid w:val="00FF30BA"/>
    <w:rsid w:val="00FF3559"/>
    <w:rsid w:val="00FF3B10"/>
    <w:rsid w:val="00FF51CC"/>
    <w:rsid w:val="00FF5701"/>
    <w:rsid w:val="00FF6A91"/>
    <w:rsid w:val="00FF7205"/>
    <w:rsid w:val="00FF7DB4"/>
    <w:rsid w:val="01145E33"/>
    <w:rsid w:val="0132D8E1"/>
    <w:rsid w:val="0135BC75"/>
    <w:rsid w:val="013869BF"/>
    <w:rsid w:val="0170C09E"/>
    <w:rsid w:val="0174650B"/>
    <w:rsid w:val="019BA016"/>
    <w:rsid w:val="01CB409E"/>
    <w:rsid w:val="01F453EE"/>
    <w:rsid w:val="02166AF2"/>
    <w:rsid w:val="02350F9B"/>
    <w:rsid w:val="026E60FB"/>
    <w:rsid w:val="028AE0AE"/>
    <w:rsid w:val="02DBF06E"/>
    <w:rsid w:val="0302394B"/>
    <w:rsid w:val="03075DCC"/>
    <w:rsid w:val="033742BD"/>
    <w:rsid w:val="038C5C0C"/>
    <w:rsid w:val="03B14AB7"/>
    <w:rsid w:val="03CE2CD5"/>
    <w:rsid w:val="03EB4DF8"/>
    <w:rsid w:val="03F279D1"/>
    <w:rsid w:val="041BF983"/>
    <w:rsid w:val="0422D43E"/>
    <w:rsid w:val="0447B2E1"/>
    <w:rsid w:val="0452BE16"/>
    <w:rsid w:val="04580A73"/>
    <w:rsid w:val="0478112F"/>
    <w:rsid w:val="048B5EBF"/>
    <w:rsid w:val="04F12710"/>
    <w:rsid w:val="051237AC"/>
    <w:rsid w:val="05343C2D"/>
    <w:rsid w:val="058BA579"/>
    <w:rsid w:val="05AF4873"/>
    <w:rsid w:val="05B032B4"/>
    <w:rsid w:val="05DA25D7"/>
    <w:rsid w:val="0616582D"/>
    <w:rsid w:val="063F35BA"/>
    <w:rsid w:val="064CA1D8"/>
    <w:rsid w:val="0652DBF8"/>
    <w:rsid w:val="066A1A32"/>
    <w:rsid w:val="06AB824A"/>
    <w:rsid w:val="06C0CB05"/>
    <w:rsid w:val="06EC5E03"/>
    <w:rsid w:val="06ED97A2"/>
    <w:rsid w:val="06F11E82"/>
    <w:rsid w:val="06F6F966"/>
    <w:rsid w:val="07131914"/>
    <w:rsid w:val="07828B22"/>
    <w:rsid w:val="07985A66"/>
    <w:rsid w:val="07B1315B"/>
    <w:rsid w:val="07D156DD"/>
    <w:rsid w:val="07D4ABDD"/>
    <w:rsid w:val="07D527E0"/>
    <w:rsid w:val="081C11C8"/>
    <w:rsid w:val="08415636"/>
    <w:rsid w:val="08945BE7"/>
    <w:rsid w:val="08BF189B"/>
    <w:rsid w:val="08E19978"/>
    <w:rsid w:val="08E34FB2"/>
    <w:rsid w:val="094A754F"/>
    <w:rsid w:val="095432A3"/>
    <w:rsid w:val="0963E9FB"/>
    <w:rsid w:val="0991361B"/>
    <w:rsid w:val="099CD821"/>
    <w:rsid w:val="09CBEC4A"/>
    <w:rsid w:val="0A080D08"/>
    <w:rsid w:val="0A2C4C36"/>
    <w:rsid w:val="0A5166E2"/>
    <w:rsid w:val="0A5D924A"/>
    <w:rsid w:val="0A74A03C"/>
    <w:rsid w:val="0AE8D02F"/>
    <w:rsid w:val="0B1E4FA5"/>
    <w:rsid w:val="0B2D74AB"/>
    <w:rsid w:val="0B61C80C"/>
    <w:rsid w:val="0B87B8E0"/>
    <w:rsid w:val="0B993A52"/>
    <w:rsid w:val="0BC4F67E"/>
    <w:rsid w:val="0C022EAD"/>
    <w:rsid w:val="0C21EDE4"/>
    <w:rsid w:val="0C47FE11"/>
    <w:rsid w:val="0C8CDE99"/>
    <w:rsid w:val="0C99A095"/>
    <w:rsid w:val="0CB258EC"/>
    <w:rsid w:val="0CC6BFF2"/>
    <w:rsid w:val="0CD6CAD6"/>
    <w:rsid w:val="0CE5A0CE"/>
    <w:rsid w:val="0DA413AB"/>
    <w:rsid w:val="0DC04D0B"/>
    <w:rsid w:val="0DF465DB"/>
    <w:rsid w:val="0E202673"/>
    <w:rsid w:val="0E25603B"/>
    <w:rsid w:val="0E304911"/>
    <w:rsid w:val="0E6CC6FD"/>
    <w:rsid w:val="0EECC391"/>
    <w:rsid w:val="0F183241"/>
    <w:rsid w:val="0F38BFC1"/>
    <w:rsid w:val="0F620131"/>
    <w:rsid w:val="0F64E3E5"/>
    <w:rsid w:val="0FADB5E2"/>
    <w:rsid w:val="0FD11DD1"/>
    <w:rsid w:val="0FD48522"/>
    <w:rsid w:val="101A0AC9"/>
    <w:rsid w:val="10790154"/>
    <w:rsid w:val="10A72445"/>
    <w:rsid w:val="10EF8756"/>
    <w:rsid w:val="110A750E"/>
    <w:rsid w:val="11192E62"/>
    <w:rsid w:val="113FAC6F"/>
    <w:rsid w:val="1146D6E2"/>
    <w:rsid w:val="116DE9D2"/>
    <w:rsid w:val="11820BCE"/>
    <w:rsid w:val="118B0B55"/>
    <w:rsid w:val="11E26CC5"/>
    <w:rsid w:val="121180C4"/>
    <w:rsid w:val="12324766"/>
    <w:rsid w:val="129C5811"/>
    <w:rsid w:val="13460C5A"/>
    <w:rsid w:val="135581C7"/>
    <w:rsid w:val="137A5E4B"/>
    <w:rsid w:val="13802169"/>
    <w:rsid w:val="1385D02E"/>
    <w:rsid w:val="139949C6"/>
    <w:rsid w:val="139B121C"/>
    <w:rsid w:val="13ECA255"/>
    <w:rsid w:val="14163AB7"/>
    <w:rsid w:val="1444F93B"/>
    <w:rsid w:val="147B34D6"/>
    <w:rsid w:val="14823F17"/>
    <w:rsid w:val="148ED9FC"/>
    <w:rsid w:val="14F50604"/>
    <w:rsid w:val="1503993E"/>
    <w:rsid w:val="1535E96D"/>
    <w:rsid w:val="155993B8"/>
    <w:rsid w:val="157CE73F"/>
    <w:rsid w:val="161DEF42"/>
    <w:rsid w:val="1699802E"/>
    <w:rsid w:val="169A5683"/>
    <w:rsid w:val="169F8434"/>
    <w:rsid w:val="16B937E3"/>
    <w:rsid w:val="16BA2ECB"/>
    <w:rsid w:val="16C998F3"/>
    <w:rsid w:val="16D0EA88"/>
    <w:rsid w:val="16E60417"/>
    <w:rsid w:val="16FD7361"/>
    <w:rsid w:val="1711EF1B"/>
    <w:rsid w:val="1722070A"/>
    <w:rsid w:val="17826400"/>
    <w:rsid w:val="17BE25C0"/>
    <w:rsid w:val="1804C033"/>
    <w:rsid w:val="18544CE6"/>
    <w:rsid w:val="188CFD82"/>
    <w:rsid w:val="192311BE"/>
    <w:rsid w:val="1929CFF9"/>
    <w:rsid w:val="192BACE1"/>
    <w:rsid w:val="19300B3B"/>
    <w:rsid w:val="19613B18"/>
    <w:rsid w:val="1972E64D"/>
    <w:rsid w:val="198F1457"/>
    <w:rsid w:val="198F71B1"/>
    <w:rsid w:val="1A0DDEB6"/>
    <w:rsid w:val="1A45DA5A"/>
    <w:rsid w:val="1A94E858"/>
    <w:rsid w:val="1AA2380B"/>
    <w:rsid w:val="1AD39A7B"/>
    <w:rsid w:val="1AE5D807"/>
    <w:rsid w:val="1AFFB757"/>
    <w:rsid w:val="1B462FD8"/>
    <w:rsid w:val="1B665EF7"/>
    <w:rsid w:val="1BA88ADD"/>
    <w:rsid w:val="1BB8EA33"/>
    <w:rsid w:val="1BC17AF2"/>
    <w:rsid w:val="1BD6F05D"/>
    <w:rsid w:val="1C0BEF6E"/>
    <w:rsid w:val="1C2E55E3"/>
    <w:rsid w:val="1C5BCF43"/>
    <w:rsid w:val="1C684967"/>
    <w:rsid w:val="1CB781E3"/>
    <w:rsid w:val="1CDCB637"/>
    <w:rsid w:val="1D1431C8"/>
    <w:rsid w:val="1DAEBE5E"/>
    <w:rsid w:val="1E27D89D"/>
    <w:rsid w:val="1E7401B7"/>
    <w:rsid w:val="1E7C2B1B"/>
    <w:rsid w:val="1E90AC87"/>
    <w:rsid w:val="1E990290"/>
    <w:rsid w:val="1EE37D9E"/>
    <w:rsid w:val="1EF1F0E2"/>
    <w:rsid w:val="1F0B2994"/>
    <w:rsid w:val="1F1CF75C"/>
    <w:rsid w:val="1F24C0EA"/>
    <w:rsid w:val="1F2AA037"/>
    <w:rsid w:val="1F72CF04"/>
    <w:rsid w:val="1F9F3345"/>
    <w:rsid w:val="1FDAF37E"/>
    <w:rsid w:val="1FF4D059"/>
    <w:rsid w:val="20248F62"/>
    <w:rsid w:val="203AE651"/>
    <w:rsid w:val="20880E25"/>
    <w:rsid w:val="209F35DD"/>
    <w:rsid w:val="20A40E72"/>
    <w:rsid w:val="20A52942"/>
    <w:rsid w:val="20D15441"/>
    <w:rsid w:val="2133853D"/>
    <w:rsid w:val="215049FC"/>
    <w:rsid w:val="215981BB"/>
    <w:rsid w:val="218A0782"/>
    <w:rsid w:val="21999E7D"/>
    <w:rsid w:val="21F389E8"/>
    <w:rsid w:val="22026258"/>
    <w:rsid w:val="220B667A"/>
    <w:rsid w:val="2216341C"/>
    <w:rsid w:val="222B8EBB"/>
    <w:rsid w:val="2252ED5F"/>
    <w:rsid w:val="22AA6FC6"/>
    <w:rsid w:val="22C27BF4"/>
    <w:rsid w:val="22E197AD"/>
    <w:rsid w:val="22FA3B4A"/>
    <w:rsid w:val="2316A289"/>
    <w:rsid w:val="23287530"/>
    <w:rsid w:val="2341D988"/>
    <w:rsid w:val="236BB7B0"/>
    <w:rsid w:val="2394019D"/>
    <w:rsid w:val="23C4DC6D"/>
    <w:rsid w:val="2403E242"/>
    <w:rsid w:val="240CEE8D"/>
    <w:rsid w:val="245E4C55"/>
    <w:rsid w:val="247794CE"/>
    <w:rsid w:val="248B2F74"/>
    <w:rsid w:val="24CB8B94"/>
    <w:rsid w:val="2529B603"/>
    <w:rsid w:val="2530C0CE"/>
    <w:rsid w:val="25414A8E"/>
    <w:rsid w:val="2550574D"/>
    <w:rsid w:val="2556F195"/>
    <w:rsid w:val="257919B3"/>
    <w:rsid w:val="257CB903"/>
    <w:rsid w:val="2594AEE5"/>
    <w:rsid w:val="25D837A4"/>
    <w:rsid w:val="25FA1CB6"/>
    <w:rsid w:val="26901A70"/>
    <w:rsid w:val="26AE0B8B"/>
    <w:rsid w:val="26C6D807"/>
    <w:rsid w:val="26DA5D0E"/>
    <w:rsid w:val="270B6971"/>
    <w:rsid w:val="27CA692D"/>
    <w:rsid w:val="27E83C8E"/>
    <w:rsid w:val="2819E804"/>
    <w:rsid w:val="28295982"/>
    <w:rsid w:val="28330763"/>
    <w:rsid w:val="283C9F20"/>
    <w:rsid w:val="286D7AEB"/>
    <w:rsid w:val="28BC2EA7"/>
    <w:rsid w:val="28D91C36"/>
    <w:rsid w:val="28E4FF9B"/>
    <w:rsid w:val="2916FE27"/>
    <w:rsid w:val="2924098E"/>
    <w:rsid w:val="292A3EEB"/>
    <w:rsid w:val="29537F22"/>
    <w:rsid w:val="29553E9C"/>
    <w:rsid w:val="296CA602"/>
    <w:rsid w:val="298C52C2"/>
    <w:rsid w:val="29B1EA24"/>
    <w:rsid w:val="29D24436"/>
    <w:rsid w:val="29D59F4E"/>
    <w:rsid w:val="2A089E35"/>
    <w:rsid w:val="2A486CBE"/>
    <w:rsid w:val="2A4D8FC1"/>
    <w:rsid w:val="2A52BBD0"/>
    <w:rsid w:val="2A71AFD5"/>
    <w:rsid w:val="2A974AF9"/>
    <w:rsid w:val="2AFC97BA"/>
    <w:rsid w:val="2AFFBFA1"/>
    <w:rsid w:val="2B4DB25D"/>
    <w:rsid w:val="2B560732"/>
    <w:rsid w:val="2BABEDEC"/>
    <w:rsid w:val="2BC2F4EA"/>
    <w:rsid w:val="2C2C53C4"/>
    <w:rsid w:val="2C955025"/>
    <w:rsid w:val="2CA649D6"/>
    <w:rsid w:val="2CE1F7D0"/>
    <w:rsid w:val="2CFC1B69"/>
    <w:rsid w:val="2CFF3CE2"/>
    <w:rsid w:val="2D0DD3E5"/>
    <w:rsid w:val="2D4E1723"/>
    <w:rsid w:val="2D8DEE7B"/>
    <w:rsid w:val="2DBA1906"/>
    <w:rsid w:val="2E3B8DED"/>
    <w:rsid w:val="2E549E1B"/>
    <w:rsid w:val="2E6AC76B"/>
    <w:rsid w:val="2E8DA7F4"/>
    <w:rsid w:val="2EA5C3A5"/>
    <w:rsid w:val="2EAAA894"/>
    <w:rsid w:val="2EE0E560"/>
    <w:rsid w:val="2EE571CF"/>
    <w:rsid w:val="2EE5AA75"/>
    <w:rsid w:val="2F181E62"/>
    <w:rsid w:val="2F2049CF"/>
    <w:rsid w:val="2F2800D1"/>
    <w:rsid w:val="2F483B59"/>
    <w:rsid w:val="2F6B7063"/>
    <w:rsid w:val="2F95291B"/>
    <w:rsid w:val="2FB41657"/>
    <w:rsid w:val="300DCCB1"/>
    <w:rsid w:val="3062D03B"/>
    <w:rsid w:val="30B7DD88"/>
    <w:rsid w:val="30C0758E"/>
    <w:rsid w:val="30E0B28E"/>
    <w:rsid w:val="3128C87B"/>
    <w:rsid w:val="312C234B"/>
    <w:rsid w:val="317B2A8D"/>
    <w:rsid w:val="31C3F718"/>
    <w:rsid w:val="31D675C2"/>
    <w:rsid w:val="31DF63D8"/>
    <w:rsid w:val="31E52B04"/>
    <w:rsid w:val="31F47147"/>
    <w:rsid w:val="325C94E9"/>
    <w:rsid w:val="328560C1"/>
    <w:rsid w:val="32BF3E98"/>
    <w:rsid w:val="32D9F08E"/>
    <w:rsid w:val="32F71396"/>
    <w:rsid w:val="33216A20"/>
    <w:rsid w:val="3334305D"/>
    <w:rsid w:val="33790759"/>
    <w:rsid w:val="337A4174"/>
    <w:rsid w:val="33B960B5"/>
    <w:rsid w:val="33BC9E61"/>
    <w:rsid w:val="33C3F8CE"/>
    <w:rsid w:val="33C41AEE"/>
    <w:rsid w:val="33FD1D37"/>
    <w:rsid w:val="340945D5"/>
    <w:rsid w:val="343338F1"/>
    <w:rsid w:val="3466E9E3"/>
    <w:rsid w:val="3478139D"/>
    <w:rsid w:val="34F687D8"/>
    <w:rsid w:val="35854A14"/>
    <w:rsid w:val="358A184F"/>
    <w:rsid w:val="3590337E"/>
    <w:rsid w:val="35D1DC08"/>
    <w:rsid w:val="366C8283"/>
    <w:rsid w:val="36A98133"/>
    <w:rsid w:val="36BDA570"/>
    <w:rsid w:val="36C67782"/>
    <w:rsid w:val="36CCDFC7"/>
    <w:rsid w:val="36DF5CE7"/>
    <w:rsid w:val="37261065"/>
    <w:rsid w:val="375FD2C8"/>
    <w:rsid w:val="376408E3"/>
    <w:rsid w:val="3766DE7D"/>
    <w:rsid w:val="377CE338"/>
    <w:rsid w:val="377EBEE3"/>
    <w:rsid w:val="3793A51E"/>
    <w:rsid w:val="37C3CA4C"/>
    <w:rsid w:val="38439293"/>
    <w:rsid w:val="38446130"/>
    <w:rsid w:val="384B00F6"/>
    <w:rsid w:val="38DC9A5A"/>
    <w:rsid w:val="3942B790"/>
    <w:rsid w:val="3943F873"/>
    <w:rsid w:val="3948B148"/>
    <w:rsid w:val="39551374"/>
    <w:rsid w:val="395DCECF"/>
    <w:rsid w:val="396059B1"/>
    <w:rsid w:val="39740E00"/>
    <w:rsid w:val="3982E54B"/>
    <w:rsid w:val="3983114F"/>
    <w:rsid w:val="39A1A2FA"/>
    <w:rsid w:val="39C3FE47"/>
    <w:rsid w:val="39C8685B"/>
    <w:rsid w:val="3A044E86"/>
    <w:rsid w:val="3A0AC256"/>
    <w:rsid w:val="3A5A607D"/>
    <w:rsid w:val="3A6E5419"/>
    <w:rsid w:val="3A789405"/>
    <w:rsid w:val="3A8D09AB"/>
    <w:rsid w:val="3AA88329"/>
    <w:rsid w:val="3AC51347"/>
    <w:rsid w:val="3AFF5B45"/>
    <w:rsid w:val="3AFFC8CC"/>
    <w:rsid w:val="3B6C2AFC"/>
    <w:rsid w:val="3BA11CB7"/>
    <w:rsid w:val="3BBF6868"/>
    <w:rsid w:val="3BC29B3B"/>
    <w:rsid w:val="3BC8B299"/>
    <w:rsid w:val="3BCF7C81"/>
    <w:rsid w:val="3BE89E02"/>
    <w:rsid w:val="3C2B0FD2"/>
    <w:rsid w:val="3C585D24"/>
    <w:rsid w:val="3C832EDF"/>
    <w:rsid w:val="3C8C8856"/>
    <w:rsid w:val="3C90A219"/>
    <w:rsid w:val="3CB1204B"/>
    <w:rsid w:val="3CB2610F"/>
    <w:rsid w:val="3CCB7E4C"/>
    <w:rsid w:val="3CF4AEC9"/>
    <w:rsid w:val="3CFB06F0"/>
    <w:rsid w:val="3CFD7110"/>
    <w:rsid w:val="3D2BF6ED"/>
    <w:rsid w:val="3D370612"/>
    <w:rsid w:val="3D94461A"/>
    <w:rsid w:val="3DB178EC"/>
    <w:rsid w:val="3DCC5D66"/>
    <w:rsid w:val="3E22A239"/>
    <w:rsid w:val="3E3308AD"/>
    <w:rsid w:val="3E37293F"/>
    <w:rsid w:val="3E3E372A"/>
    <w:rsid w:val="3E51C0AD"/>
    <w:rsid w:val="3E72942A"/>
    <w:rsid w:val="3E9731C8"/>
    <w:rsid w:val="3EA5CB1A"/>
    <w:rsid w:val="3F7CF3EB"/>
    <w:rsid w:val="3FD89A82"/>
    <w:rsid w:val="4000419C"/>
    <w:rsid w:val="400A89D6"/>
    <w:rsid w:val="4028D051"/>
    <w:rsid w:val="40AA53BC"/>
    <w:rsid w:val="40F07A6D"/>
    <w:rsid w:val="4104440F"/>
    <w:rsid w:val="417B34EF"/>
    <w:rsid w:val="41BB520F"/>
    <w:rsid w:val="41DB5578"/>
    <w:rsid w:val="42672470"/>
    <w:rsid w:val="42ADB571"/>
    <w:rsid w:val="42E8842D"/>
    <w:rsid w:val="42EA3E42"/>
    <w:rsid w:val="431EC12F"/>
    <w:rsid w:val="438BA7A5"/>
    <w:rsid w:val="439AAFCB"/>
    <w:rsid w:val="43EE26FA"/>
    <w:rsid w:val="448F63C1"/>
    <w:rsid w:val="44BDD444"/>
    <w:rsid w:val="44F94725"/>
    <w:rsid w:val="454E75E5"/>
    <w:rsid w:val="45550FD7"/>
    <w:rsid w:val="45C00494"/>
    <w:rsid w:val="46187BAE"/>
    <w:rsid w:val="463993AF"/>
    <w:rsid w:val="4648E490"/>
    <w:rsid w:val="466E930A"/>
    <w:rsid w:val="468226EC"/>
    <w:rsid w:val="4685288C"/>
    <w:rsid w:val="46B6CB29"/>
    <w:rsid w:val="46F1BCD2"/>
    <w:rsid w:val="4723225A"/>
    <w:rsid w:val="473E1D4C"/>
    <w:rsid w:val="474EBAA5"/>
    <w:rsid w:val="47A18B0A"/>
    <w:rsid w:val="47B71E96"/>
    <w:rsid w:val="480F8F12"/>
    <w:rsid w:val="48248E5F"/>
    <w:rsid w:val="4850B921"/>
    <w:rsid w:val="485E934A"/>
    <w:rsid w:val="488DC250"/>
    <w:rsid w:val="489083DF"/>
    <w:rsid w:val="48A27A47"/>
    <w:rsid w:val="48C0BAEC"/>
    <w:rsid w:val="48DF872D"/>
    <w:rsid w:val="490029E4"/>
    <w:rsid w:val="49025FB5"/>
    <w:rsid w:val="495AE073"/>
    <w:rsid w:val="49787083"/>
    <w:rsid w:val="498A837D"/>
    <w:rsid w:val="49960147"/>
    <w:rsid w:val="49C15F82"/>
    <w:rsid w:val="49D7CC52"/>
    <w:rsid w:val="49EE6BEB"/>
    <w:rsid w:val="4A0CBA56"/>
    <w:rsid w:val="4A29B1F8"/>
    <w:rsid w:val="4A2A2F5C"/>
    <w:rsid w:val="4A67DF44"/>
    <w:rsid w:val="4A6F5859"/>
    <w:rsid w:val="4AC240AE"/>
    <w:rsid w:val="4B0DD932"/>
    <w:rsid w:val="4B0DFE58"/>
    <w:rsid w:val="4B589EF2"/>
    <w:rsid w:val="4B63F604"/>
    <w:rsid w:val="4B6BF32D"/>
    <w:rsid w:val="4B6F8980"/>
    <w:rsid w:val="4B8A3C4C"/>
    <w:rsid w:val="4BAFD5D4"/>
    <w:rsid w:val="4BC1010F"/>
    <w:rsid w:val="4C035A7B"/>
    <w:rsid w:val="4C3268F3"/>
    <w:rsid w:val="4C615DAB"/>
    <w:rsid w:val="4C719F06"/>
    <w:rsid w:val="4C72DBA4"/>
    <w:rsid w:val="4CB2D842"/>
    <w:rsid w:val="4CB8DC70"/>
    <w:rsid w:val="4D0019E3"/>
    <w:rsid w:val="4D2AD8AE"/>
    <w:rsid w:val="4D34017F"/>
    <w:rsid w:val="4D55F1AF"/>
    <w:rsid w:val="4DC1B765"/>
    <w:rsid w:val="4DFD9DAB"/>
    <w:rsid w:val="4DFEF4F9"/>
    <w:rsid w:val="4E0889DA"/>
    <w:rsid w:val="4E1E5345"/>
    <w:rsid w:val="4E1F4DAC"/>
    <w:rsid w:val="4E22455A"/>
    <w:rsid w:val="4E76F882"/>
    <w:rsid w:val="4EAF8C3A"/>
    <w:rsid w:val="4EB41303"/>
    <w:rsid w:val="4EB44E69"/>
    <w:rsid w:val="4EB7BEC7"/>
    <w:rsid w:val="4ECFD1E0"/>
    <w:rsid w:val="4F0515D4"/>
    <w:rsid w:val="4F34CD9E"/>
    <w:rsid w:val="4F7F95E7"/>
    <w:rsid w:val="4F823C00"/>
    <w:rsid w:val="4FA19E2B"/>
    <w:rsid w:val="4FA9588E"/>
    <w:rsid w:val="4FD91C69"/>
    <w:rsid w:val="4FEA28AB"/>
    <w:rsid w:val="501C17AC"/>
    <w:rsid w:val="5033C039"/>
    <w:rsid w:val="503C7E8C"/>
    <w:rsid w:val="505A775A"/>
    <w:rsid w:val="5068C2CD"/>
    <w:rsid w:val="50B68895"/>
    <w:rsid w:val="50B8BD60"/>
    <w:rsid w:val="50E73578"/>
    <w:rsid w:val="50FB7713"/>
    <w:rsid w:val="5112EED7"/>
    <w:rsid w:val="5114DDB0"/>
    <w:rsid w:val="5139BDD7"/>
    <w:rsid w:val="5196FEE9"/>
    <w:rsid w:val="51A04670"/>
    <w:rsid w:val="521C7A43"/>
    <w:rsid w:val="5235CB84"/>
    <w:rsid w:val="52538FF7"/>
    <w:rsid w:val="52974323"/>
    <w:rsid w:val="529874EB"/>
    <w:rsid w:val="52CC2AE0"/>
    <w:rsid w:val="531E4C1D"/>
    <w:rsid w:val="535B6AB5"/>
    <w:rsid w:val="5376AC8B"/>
    <w:rsid w:val="538351EA"/>
    <w:rsid w:val="53A11FBA"/>
    <w:rsid w:val="53B7D635"/>
    <w:rsid w:val="5441E1B1"/>
    <w:rsid w:val="548E5EA7"/>
    <w:rsid w:val="5495E9C8"/>
    <w:rsid w:val="54CB1703"/>
    <w:rsid w:val="54FD6B4F"/>
    <w:rsid w:val="550AC01E"/>
    <w:rsid w:val="552DE87D"/>
    <w:rsid w:val="5569FF6C"/>
    <w:rsid w:val="55A1CC10"/>
    <w:rsid w:val="55FE6D7B"/>
    <w:rsid w:val="566948E7"/>
    <w:rsid w:val="568A9AE5"/>
    <w:rsid w:val="56A2F289"/>
    <w:rsid w:val="56CCEEF3"/>
    <w:rsid w:val="56EB23CA"/>
    <w:rsid w:val="57018426"/>
    <w:rsid w:val="57362CD2"/>
    <w:rsid w:val="5739895D"/>
    <w:rsid w:val="5743DAF4"/>
    <w:rsid w:val="579E51B4"/>
    <w:rsid w:val="57A05D24"/>
    <w:rsid w:val="57C65E05"/>
    <w:rsid w:val="57F99D8B"/>
    <w:rsid w:val="583867FB"/>
    <w:rsid w:val="587C644C"/>
    <w:rsid w:val="589C61E8"/>
    <w:rsid w:val="58DE024B"/>
    <w:rsid w:val="58FF606E"/>
    <w:rsid w:val="59015DA1"/>
    <w:rsid w:val="592B34F5"/>
    <w:rsid w:val="59383EDD"/>
    <w:rsid w:val="59657D9B"/>
    <w:rsid w:val="596F13B7"/>
    <w:rsid w:val="597D6EF9"/>
    <w:rsid w:val="59D724B4"/>
    <w:rsid w:val="59F7B518"/>
    <w:rsid w:val="5A06D91E"/>
    <w:rsid w:val="5A365D31"/>
    <w:rsid w:val="5A57F6CA"/>
    <w:rsid w:val="5A8AE8DC"/>
    <w:rsid w:val="5A92EB83"/>
    <w:rsid w:val="5AA66CF7"/>
    <w:rsid w:val="5AA87815"/>
    <w:rsid w:val="5AB11B68"/>
    <w:rsid w:val="5ABAA09A"/>
    <w:rsid w:val="5AE06DD9"/>
    <w:rsid w:val="5B081242"/>
    <w:rsid w:val="5B15FEC4"/>
    <w:rsid w:val="5B2E0AD3"/>
    <w:rsid w:val="5B519842"/>
    <w:rsid w:val="5B5EAD31"/>
    <w:rsid w:val="5BCB7F5F"/>
    <w:rsid w:val="5BCD25E6"/>
    <w:rsid w:val="5C410361"/>
    <w:rsid w:val="5C59C18D"/>
    <w:rsid w:val="5C727C25"/>
    <w:rsid w:val="5C819282"/>
    <w:rsid w:val="5C9C6554"/>
    <w:rsid w:val="5CA84793"/>
    <w:rsid w:val="5D1FD205"/>
    <w:rsid w:val="5D39B4BB"/>
    <w:rsid w:val="5D3D7219"/>
    <w:rsid w:val="5D670A3C"/>
    <w:rsid w:val="5D7BA6D4"/>
    <w:rsid w:val="5DC2C7ED"/>
    <w:rsid w:val="5DDBE99D"/>
    <w:rsid w:val="5DF26889"/>
    <w:rsid w:val="5E16CB0D"/>
    <w:rsid w:val="5E189D46"/>
    <w:rsid w:val="5E411854"/>
    <w:rsid w:val="5E5CEF5F"/>
    <w:rsid w:val="5E62B6E4"/>
    <w:rsid w:val="5EBC5C22"/>
    <w:rsid w:val="5F0C6FF5"/>
    <w:rsid w:val="5F23F714"/>
    <w:rsid w:val="5F842F00"/>
    <w:rsid w:val="6006DB84"/>
    <w:rsid w:val="6008951A"/>
    <w:rsid w:val="605EB7A2"/>
    <w:rsid w:val="6093C191"/>
    <w:rsid w:val="60EF3D8D"/>
    <w:rsid w:val="61946CC7"/>
    <w:rsid w:val="622F26F1"/>
    <w:rsid w:val="628198D9"/>
    <w:rsid w:val="62F5F01C"/>
    <w:rsid w:val="630BF813"/>
    <w:rsid w:val="6336F85E"/>
    <w:rsid w:val="63403F3B"/>
    <w:rsid w:val="635B317A"/>
    <w:rsid w:val="636D7CA7"/>
    <w:rsid w:val="6374A6E2"/>
    <w:rsid w:val="63F99795"/>
    <w:rsid w:val="640B2606"/>
    <w:rsid w:val="644AA264"/>
    <w:rsid w:val="649C54FC"/>
    <w:rsid w:val="64CF08F6"/>
    <w:rsid w:val="64E498A3"/>
    <w:rsid w:val="653CA7CA"/>
    <w:rsid w:val="6541EBFB"/>
    <w:rsid w:val="655CB694"/>
    <w:rsid w:val="659E66CC"/>
    <w:rsid w:val="65A1C76D"/>
    <w:rsid w:val="65F106F0"/>
    <w:rsid w:val="661E61D5"/>
    <w:rsid w:val="663DF89F"/>
    <w:rsid w:val="6655F82E"/>
    <w:rsid w:val="6669CF1F"/>
    <w:rsid w:val="6698686B"/>
    <w:rsid w:val="66A6546A"/>
    <w:rsid w:val="66AA1BD4"/>
    <w:rsid w:val="670C64A0"/>
    <w:rsid w:val="673D144D"/>
    <w:rsid w:val="674F2DD3"/>
    <w:rsid w:val="678A7FD1"/>
    <w:rsid w:val="67BCBC7C"/>
    <w:rsid w:val="67D81010"/>
    <w:rsid w:val="67F1DB95"/>
    <w:rsid w:val="68358EFA"/>
    <w:rsid w:val="68DBFFB4"/>
    <w:rsid w:val="69060E9F"/>
    <w:rsid w:val="69237636"/>
    <w:rsid w:val="69307B8F"/>
    <w:rsid w:val="696FA2FD"/>
    <w:rsid w:val="69BE3265"/>
    <w:rsid w:val="69DC30AA"/>
    <w:rsid w:val="69F249C5"/>
    <w:rsid w:val="6A0B4142"/>
    <w:rsid w:val="6A0E8DB3"/>
    <w:rsid w:val="6A18DE30"/>
    <w:rsid w:val="6A272AA6"/>
    <w:rsid w:val="6A41017F"/>
    <w:rsid w:val="6A470954"/>
    <w:rsid w:val="6A4CF75B"/>
    <w:rsid w:val="6A8559B9"/>
    <w:rsid w:val="6AA93D75"/>
    <w:rsid w:val="6AF54E15"/>
    <w:rsid w:val="6B02E737"/>
    <w:rsid w:val="6B2F6324"/>
    <w:rsid w:val="6B7417CC"/>
    <w:rsid w:val="6B75EDFC"/>
    <w:rsid w:val="6B7FFEEC"/>
    <w:rsid w:val="6BAE4DC5"/>
    <w:rsid w:val="6BB33DDB"/>
    <w:rsid w:val="6BD784D8"/>
    <w:rsid w:val="6BDC247E"/>
    <w:rsid w:val="6BF5E747"/>
    <w:rsid w:val="6C16757F"/>
    <w:rsid w:val="6C1A25A7"/>
    <w:rsid w:val="6C3B8428"/>
    <w:rsid w:val="6C490096"/>
    <w:rsid w:val="6C60A919"/>
    <w:rsid w:val="6C66D032"/>
    <w:rsid w:val="6CB647C4"/>
    <w:rsid w:val="6CBDD5C6"/>
    <w:rsid w:val="6CC0F1E3"/>
    <w:rsid w:val="6CFA7FFD"/>
    <w:rsid w:val="6D5BBD7D"/>
    <w:rsid w:val="6D81671F"/>
    <w:rsid w:val="6DCBDBB8"/>
    <w:rsid w:val="6DF44BBB"/>
    <w:rsid w:val="6E10AB59"/>
    <w:rsid w:val="6E271E74"/>
    <w:rsid w:val="6E28AA80"/>
    <w:rsid w:val="6E6703E6"/>
    <w:rsid w:val="6E953EFE"/>
    <w:rsid w:val="6ECEADEC"/>
    <w:rsid w:val="6EDBFC7B"/>
    <w:rsid w:val="6F2DA768"/>
    <w:rsid w:val="6F3B597F"/>
    <w:rsid w:val="6F6FAADE"/>
    <w:rsid w:val="6F7259FD"/>
    <w:rsid w:val="6F88D015"/>
    <w:rsid w:val="6FFE227A"/>
    <w:rsid w:val="70545648"/>
    <w:rsid w:val="709C05B7"/>
    <w:rsid w:val="70BF4858"/>
    <w:rsid w:val="70EF45A5"/>
    <w:rsid w:val="714B673C"/>
    <w:rsid w:val="717BF2CC"/>
    <w:rsid w:val="71AE95DA"/>
    <w:rsid w:val="71C9444A"/>
    <w:rsid w:val="71CC753E"/>
    <w:rsid w:val="71D88683"/>
    <w:rsid w:val="71F5F4E4"/>
    <w:rsid w:val="720D374D"/>
    <w:rsid w:val="72489EC1"/>
    <w:rsid w:val="7273CC8A"/>
    <w:rsid w:val="72740566"/>
    <w:rsid w:val="72988DC9"/>
    <w:rsid w:val="72D1D85A"/>
    <w:rsid w:val="73167EF6"/>
    <w:rsid w:val="7329B828"/>
    <w:rsid w:val="739E009A"/>
    <w:rsid w:val="73B30081"/>
    <w:rsid w:val="73BA19EE"/>
    <w:rsid w:val="73CC0D91"/>
    <w:rsid w:val="73E3DCD7"/>
    <w:rsid w:val="746FBB6A"/>
    <w:rsid w:val="74804DE4"/>
    <w:rsid w:val="74D39C4E"/>
    <w:rsid w:val="752FD1D4"/>
    <w:rsid w:val="754ECF05"/>
    <w:rsid w:val="7551F3AC"/>
    <w:rsid w:val="758D2DFB"/>
    <w:rsid w:val="75B15245"/>
    <w:rsid w:val="75D91BA4"/>
    <w:rsid w:val="75EFF699"/>
    <w:rsid w:val="75F0A2FE"/>
    <w:rsid w:val="75F552BE"/>
    <w:rsid w:val="766319AD"/>
    <w:rsid w:val="76A6976F"/>
    <w:rsid w:val="76DC8B29"/>
    <w:rsid w:val="76E4C59B"/>
    <w:rsid w:val="76E55CC5"/>
    <w:rsid w:val="76F79496"/>
    <w:rsid w:val="76FE5556"/>
    <w:rsid w:val="770B13B8"/>
    <w:rsid w:val="7728DAE2"/>
    <w:rsid w:val="772BD2E9"/>
    <w:rsid w:val="777F4E66"/>
    <w:rsid w:val="77AF0BBB"/>
    <w:rsid w:val="77BE2EE9"/>
    <w:rsid w:val="78938BF4"/>
    <w:rsid w:val="78C9D144"/>
    <w:rsid w:val="78CA9305"/>
    <w:rsid w:val="78CC4211"/>
    <w:rsid w:val="7915967C"/>
    <w:rsid w:val="79432C8D"/>
    <w:rsid w:val="7980D82D"/>
    <w:rsid w:val="7981C530"/>
    <w:rsid w:val="79BF97F3"/>
    <w:rsid w:val="79E70B2C"/>
    <w:rsid w:val="79EDF8CF"/>
    <w:rsid w:val="7A11DD87"/>
    <w:rsid w:val="7A203B66"/>
    <w:rsid w:val="7A3C4FC0"/>
    <w:rsid w:val="7ABB747F"/>
    <w:rsid w:val="7AD4F86F"/>
    <w:rsid w:val="7AED5A4F"/>
    <w:rsid w:val="7B05DFD8"/>
    <w:rsid w:val="7B4964F4"/>
    <w:rsid w:val="7B5E6206"/>
    <w:rsid w:val="7BD30740"/>
    <w:rsid w:val="7BF3072F"/>
    <w:rsid w:val="7C04C37D"/>
    <w:rsid w:val="7C93763E"/>
    <w:rsid w:val="7CA9B4A3"/>
    <w:rsid w:val="7CC69BB6"/>
    <w:rsid w:val="7CD7E4A0"/>
    <w:rsid w:val="7D2E0A4F"/>
    <w:rsid w:val="7D36C232"/>
    <w:rsid w:val="7D3B0BDD"/>
    <w:rsid w:val="7D525097"/>
    <w:rsid w:val="7D6E9042"/>
    <w:rsid w:val="7DBEA46B"/>
    <w:rsid w:val="7DCC183E"/>
    <w:rsid w:val="7DDCD451"/>
    <w:rsid w:val="7DE7A324"/>
    <w:rsid w:val="7DFB6CA1"/>
    <w:rsid w:val="7E0B62D8"/>
    <w:rsid w:val="7E2EC130"/>
    <w:rsid w:val="7E55AC66"/>
    <w:rsid w:val="7E6D0B09"/>
    <w:rsid w:val="7EE126BB"/>
    <w:rsid w:val="7EF35E29"/>
    <w:rsid w:val="7F110820"/>
    <w:rsid w:val="7F568C19"/>
    <w:rsid w:val="7F6535E1"/>
    <w:rsid w:val="7F7028F1"/>
    <w:rsid w:val="7F78FC7C"/>
    <w:rsid w:val="7FAE1366"/>
    <w:rsid w:val="7FF56C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9908B6D"/>
  <w15:docId w15:val="{22683BFD-B1EE-4763-8E43-7AF1A552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91C"/>
  </w:style>
  <w:style w:type="paragraph" w:styleId="Heading1">
    <w:name w:val="heading 1"/>
    <w:basedOn w:val="Normal"/>
    <w:next w:val="Normal"/>
    <w:link w:val="Heading1Char"/>
    <w:autoRedefine/>
    <w:qFormat/>
    <w:rsid w:val="00D75B7D"/>
    <w:pPr>
      <w:keepNext/>
      <w:spacing w:before="240" w:after="120" w:line="240" w:lineRule="auto"/>
      <w:outlineLvl w:val="0"/>
    </w:pPr>
    <w:rPr>
      <w:rFonts w:ascii="Arial" w:eastAsia="Times New Roman" w:hAnsi="Arial" w:cs="Arial"/>
      <w:b/>
      <w:bCs/>
      <w:kern w:val="32"/>
      <w:sz w:val="32"/>
      <w:szCs w:val="32"/>
      <w:lang w:eastAsia="en-GB"/>
    </w:rPr>
  </w:style>
  <w:style w:type="paragraph" w:styleId="Heading2">
    <w:name w:val="heading 2"/>
    <w:aliases w:val="Char, Char,Abschnitt"/>
    <w:basedOn w:val="Normal"/>
    <w:next w:val="Normal"/>
    <w:link w:val="Heading2Char"/>
    <w:autoRedefine/>
    <w:qFormat/>
    <w:pPr>
      <w:keepNext/>
      <w:spacing w:before="240" w:after="120" w:line="240" w:lineRule="auto"/>
      <w:ind w:left="720" w:hanging="720"/>
      <w:outlineLvl w:val="1"/>
    </w:pPr>
    <w:rPr>
      <w:rFonts w:ascii="Arial" w:eastAsia="Times New Roman" w:hAnsi="Arial" w:cs="Arial"/>
      <w:b/>
      <w:bCs/>
      <w:i/>
      <w:iCs/>
      <w:sz w:val="28"/>
      <w:szCs w:val="28"/>
      <w:lang w:eastAsia="en-GB"/>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line="240" w:lineRule="auto"/>
      <w:ind w:left="850" w:hanging="850"/>
      <w:jc w:val="both"/>
      <w:outlineLvl w:val="2"/>
    </w:pPr>
    <w:rPr>
      <w:rFonts w:ascii="Arial" w:eastAsia="Times New Roman" w:hAnsi="Arial" w:cs="Arial"/>
      <w:b/>
      <w:bCs/>
      <w:i/>
      <w:sz w:val="26"/>
      <w:szCs w:val="26"/>
      <w:lang w:eastAsia="en-GB"/>
    </w:rPr>
  </w:style>
  <w:style w:type="paragraph" w:styleId="Heading4">
    <w:name w:val="heading 4"/>
    <w:basedOn w:val="Normal"/>
    <w:next w:val="Normal"/>
    <w:link w:val="Heading4Char"/>
    <w:qFormat/>
    <w:pPr>
      <w:keepNext/>
      <w:numPr>
        <w:ilvl w:val="3"/>
      </w:numPr>
      <w:tabs>
        <w:tab w:val="num" w:pos="1030"/>
      </w:tabs>
      <w:spacing w:before="120" w:after="120" w:line="240" w:lineRule="auto"/>
      <w:ind w:left="1030" w:hanging="850"/>
      <w:jc w:val="both"/>
      <w:outlineLvl w:val="3"/>
    </w:pPr>
    <w:rPr>
      <w:rFonts w:ascii="Times New Roman" w:eastAsia="Times New Roman" w:hAnsi="Times New Roman" w:cs="Times New Roman"/>
      <w:b/>
      <w:bCs/>
      <w:sz w:val="24"/>
      <w:szCs w:val="28"/>
      <w:lang w:eastAsia="de-DE"/>
    </w:rPr>
  </w:style>
  <w:style w:type="paragraph" w:styleId="Heading5">
    <w:name w:val="heading 5"/>
    <w:basedOn w:val="Normal"/>
    <w:next w:val="Normal"/>
    <w:link w:val="Heading5Char"/>
    <w:uiPriority w:val="99"/>
    <w:qFormat/>
    <w:pPr>
      <w:spacing w:before="240" w:after="60" w:line="240" w:lineRule="auto"/>
      <w:jc w:val="both"/>
      <w:outlineLvl w:val="4"/>
    </w:pPr>
    <w:rPr>
      <w:rFonts w:ascii="Arial" w:eastAsiaTheme="majorEastAsia" w:hAnsi="Arial" w:cs="Arial"/>
    </w:rPr>
  </w:style>
  <w:style w:type="paragraph" w:styleId="Heading6">
    <w:name w:val="heading 6"/>
    <w:basedOn w:val="Normal"/>
    <w:next w:val="Normal"/>
    <w:link w:val="Heading6Char"/>
    <w:uiPriority w:val="99"/>
    <w:qFormat/>
    <w:pPr>
      <w:spacing w:before="240" w:after="60" w:line="240" w:lineRule="auto"/>
      <w:jc w:val="both"/>
      <w:outlineLvl w:val="5"/>
    </w:pPr>
    <w:rPr>
      <w:rFonts w:ascii="Arial" w:eastAsiaTheme="majorEastAsia" w:hAnsi="Arial" w:cs="Arial"/>
      <w:i/>
      <w:iCs/>
    </w:rPr>
  </w:style>
  <w:style w:type="paragraph" w:styleId="Heading7">
    <w:name w:val="heading 7"/>
    <w:basedOn w:val="Normal"/>
    <w:next w:val="Normal"/>
    <w:link w:val="Heading7Char"/>
    <w:uiPriority w:val="99"/>
    <w:qFormat/>
    <w:pPr>
      <w:spacing w:before="240" w:after="60" w:line="240" w:lineRule="auto"/>
      <w:jc w:val="both"/>
      <w:outlineLvl w:val="6"/>
    </w:pPr>
    <w:rPr>
      <w:rFonts w:ascii="Arial" w:eastAsiaTheme="majorEastAsia" w:hAnsi="Arial" w:cs="Arial"/>
      <w:szCs w:val="20"/>
    </w:rPr>
  </w:style>
  <w:style w:type="paragraph" w:styleId="Heading8">
    <w:name w:val="heading 8"/>
    <w:basedOn w:val="Normal"/>
    <w:next w:val="Normal"/>
    <w:link w:val="Heading8Char"/>
    <w:uiPriority w:val="99"/>
    <w:qFormat/>
    <w:pPr>
      <w:spacing w:before="240" w:after="60" w:line="240" w:lineRule="auto"/>
      <w:jc w:val="both"/>
      <w:outlineLvl w:val="7"/>
    </w:pPr>
    <w:rPr>
      <w:rFonts w:ascii="Arial" w:eastAsiaTheme="majorEastAsia" w:hAnsi="Arial" w:cs="Arial"/>
      <w:i/>
      <w:iCs/>
      <w:szCs w:val="20"/>
    </w:rPr>
  </w:style>
  <w:style w:type="paragraph" w:styleId="Heading9">
    <w:name w:val="heading 9"/>
    <w:basedOn w:val="Normal"/>
    <w:next w:val="Normal"/>
    <w:link w:val="Heading9Char"/>
    <w:uiPriority w:val="99"/>
    <w:qFormat/>
    <w:pPr>
      <w:spacing w:before="240" w:after="60" w:line="240" w:lineRule="auto"/>
      <w:jc w:val="both"/>
      <w:outlineLvl w:val="8"/>
    </w:pPr>
    <w:rPr>
      <w:rFonts w:ascii="Arial" w:eastAsiaTheme="maj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Char Char Char Char Char Char,Char Char Char"/>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
    <w:basedOn w:val="DefaultParagraphFont"/>
    <w:link w:val="FootnoteText"/>
    <w:uiPriority w:val="99"/>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qFormat/>
    <w:rPr>
      <w:vertAlign w:val="superscript"/>
    </w:rPr>
  </w:style>
  <w:style w:type="paragraph" w:customStyle="1" w:styleId="Tiret0">
    <w:name w:val="Tiret 0"/>
    <w:basedOn w:val="Normal"/>
    <w:pPr>
      <w:numPr>
        <w:numId w:val="2"/>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qFormat/>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D75B7D"/>
    <w:rPr>
      <w:rFonts w:ascii="Arial" w:eastAsia="Times New Roman" w:hAnsi="Arial" w:cs="Arial"/>
      <w:b/>
      <w:bCs/>
      <w:kern w:val="32"/>
      <w:sz w:val="32"/>
      <w:szCs w:val="32"/>
      <w:lang w:eastAsia="en-GB"/>
    </w:rPr>
  </w:style>
  <w:style w:type="character" w:customStyle="1" w:styleId="Heading2Char">
    <w:name w:val="Heading 2 Char"/>
    <w:aliases w:val="Char Char, Char Char,Abschnitt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aliases w:val="Heading 3 Auto Char"/>
    <w:basedOn w:val="DefaultParagraphFont"/>
    <w:link w:val="Heading3"/>
    <w:rPr>
      <w:rFonts w:ascii="Arial" w:eastAsia="Times New Roman" w:hAnsi="Arial" w:cs="Arial"/>
      <w:b/>
      <w:bCs/>
      <w:i/>
      <w:sz w:val="26"/>
      <w:szCs w:val="26"/>
      <w:lang w:eastAsia="en-GB"/>
    </w:rPr>
  </w:style>
  <w:style w:type="character" w:customStyle="1" w:styleId="Heading4Char">
    <w:name w:val="Heading 4 Char"/>
    <w:basedOn w:val="DefaultParagraphFont"/>
    <w:link w:val="Heading4"/>
    <w:rPr>
      <w:rFonts w:ascii="Times New Roman" w:eastAsia="Times New Roman" w:hAnsi="Times New Roman" w:cs="Times New Roman"/>
      <w:b/>
      <w:bCs/>
      <w:sz w:val="24"/>
      <w:szCs w:val="28"/>
      <w:lang w:eastAsia="de-DE"/>
    </w:rPr>
  </w:style>
  <w:style w:type="character" w:customStyle="1" w:styleId="Heading5Char">
    <w:name w:val="Heading 5 Char"/>
    <w:basedOn w:val="DefaultParagraphFont"/>
    <w:link w:val="Heading5"/>
    <w:uiPriority w:val="99"/>
    <w:rPr>
      <w:rFonts w:ascii="Arial" w:eastAsiaTheme="majorEastAsia" w:hAnsi="Arial" w:cs="Arial"/>
    </w:rPr>
  </w:style>
  <w:style w:type="character" w:customStyle="1" w:styleId="Heading6Char">
    <w:name w:val="Heading 6 Char"/>
    <w:basedOn w:val="DefaultParagraphFont"/>
    <w:link w:val="Heading6"/>
    <w:uiPriority w:val="99"/>
    <w:rPr>
      <w:rFonts w:ascii="Arial" w:eastAsiaTheme="majorEastAsia" w:hAnsi="Arial" w:cs="Arial"/>
      <w:i/>
      <w:iCs/>
    </w:rPr>
  </w:style>
  <w:style w:type="character" w:customStyle="1" w:styleId="Heading7Char">
    <w:name w:val="Heading 7 Char"/>
    <w:basedOn w:val="DefaultParagraphFont"/>
    <w:link w:val="Heading7"/>
    <w:uiPriority w:val="99"/>
    <w:rPr>
      <w:rFonts w:ascii="Arial" w:eastAsiaTheme="majorEastAsia" w:hAnsi="Arial" w:cs="Arial"/>
      <w:szCs w:val="20"/>
    </w:rPr>
  </w:style>
  <w:style w:type="character" w:customStyle="1" w:styleId="Heading8Char">
    <w:name w:val="Heading 8 Char"/>
    <w:basedOn w:val="DefaultParagraphFont"/>
    <w:link w:val="Heading8"/>
    <w:uiPriority w:val="99"/>
    <w:rPr>
      <w:rFonts w:ascii="Arial" w:eastAsiaTheme="majorEastAsia" w:hAnsi="Arial" w:cs="Arial"/>
      <w:i/>
      <w:iCs/>
      <w:szCs w:val="20"/>
    </w:rPr>
  </w:style>
  <w:style w:type="character" w:customStyle="1" w:styleId="Heading9Char">
    <w:name w:val="Heading 9 Char"/>
    <w:basedOn w:val="DefaultParagraphFont"/>
    <w:link w:val="Heading9"/>
    <w:uiPriority w:val="99"/>
    <w:rPr>
      <w:rFonts w:ascii="Arial" w:eastAsiaTheme="majorEastAsia" w:hAnsi="Arial" w:cs="Arial"/>
      <w:i/>
      <w:iCs/>
      <w:sz w:val="18"/>
      <w:szCs w:val="18"/>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paragraph" w:customStyle="1" w:styleId="ListDash">
    <w:name w:val="List Dash"/>
    <w:basedOn w:val="Normal"/>
    <w:link w:val="ListDashChar"/>
    <w:pPr>
      <w:numPr>
        <w:numId w:val="3"/>
      </w:numPr>
      <w:spacing w:before="120" w:after="120" w:line="240" w:lineRule="auto"/>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styleId="TOC2">
    <w:name w:val="toc 2"/>
    <w:basedOn w:val="Normal"/>
    <w:next w:val="Normal"/>
    <w:autoRedefine/>
    <w:uiPriority w:val="39"/>
    <w:qFormat/>
    <w:rsid w:val="003A17EF"/>
    <w:pPr>
      <w:tabs>
        <w:tab w:val="left" w:pos="720"/>
        <w:tab w:val="right" w:leader="dot" w:pos="9855"/>
      </w:tabs>
      <w:spacing w:after="0" w:line="240" w:lineRule="auto"/>
      <w:ind w:left="240"/>
    </w:pPr>
    <w:rPr>
      <w:rFonts w:ascii="Times New Roman" w:eastAsia="Times New Roman" w:hAnsi="Times New Roman" w:cs="Times New Roman"/>
      <w:smallCaps/>
      <w:sz w:val="20"/>
      <w:szCs w:val="20"/>
      <w:lang w:eastAsia="en-GB"/>
    </w:rPr>
  </w:style>
  <w:style w:type="paragraph" w:styleId="TOC3">
    <w:name w:val="toc 3"/>
    <w:basedOn w:val="Normal"/>
    <w:next w:val="Normal"/>
    <w:autoRedefine/>
    <w:qFormat/>
    <w:pPr>
      <w:spacing w:after="0" w:line="240" w:lineRule="auto"/>
      <w:ind w:left="480"/>
    </w:pPr>
    <w:rPr>
      <w:rFonts w:ascii="Times New Roman" w:eastAsia="Times New Roman" w:hAnsi="Times New Roman" w:cs="Times New Roman"/>
      <w:i/>
      <w:iCs/>
      <w:sz w:val="20"/>
      <w:szCs w:val="20"/>
      <w:lang w:eastAsia="en-GB"/>
    </w:rPr>
  </w:style>
  <w:style w:type="paragraph" w:styleId="TOC4">
    <w:name w:val="toc 4"/>
    <w:basedOn w:val="Normal"/>
    <w:next w:val="Normal"/>
    <w:autoRedefine/>
    <w:semiHidden/>
    <w:pPr>
      <w:spacing w:after="0" w:line="240" w:lineRule="auto"/>
      <w:ind w:left="720"/>
    </w:pPr>
    <w:rPr>
      <w:rFonts w:ascii="Times New Roman" w:eastAsia="Times New Roman" w:hAnsi="Times New Roman" w:cs="Times New Roman"/>
      <w:sz w:val="18"/>
      <w:szCs w:val="18"/>
      <w:lang w:eastAsia="en-GB"/>
    </w:rPr>
  </w:style>
  <w:style w:type="paragraph" w:styleId="TOC5">
    <w:name w:val="toc 5"/>
    <w:basedOn w:val="Normal"/>
    <w:next w:val="Normal"/>
    <w:autoRedefine/>
    <w:semiHidden/>
    <w:pPr>
      <w:spacing w:after="0" w:line="240" w:lineRule="auto"/>
      <w:ind w:left="960"/>
    </w:pPr>
    <w:rPr>
      <w:rFonts w:ascii="Times New Roman" w:eastAsia="Times New Roman" w:hAnsi="Times New Roman" w:cs="Times New Roman"/>
      <w:sz w:val="18"/>
      <w:szCs w:val="18"/>
      <w:lang w:eastAsia="en-GB"/>
    </w:rPr>
  </w:style>
  <w:style w:type="paragraph" w:styleId="TOC6">
    <w:name w:val="toc 6"/>
    <w:basedOn w:val="Normal"/>
    <w:next w:val="Normal"/>
    <w:autoRedefine/>
    <w:semiHidden/>
    <w:pPr>
      <w:spacing w:after="0" w:line="240" w:lineRule="auto"/>
      <w:ind w:left="1200"/>
    </w:pPr>
    <w:rPr>
      <w:rFonts w:ascii="Times New Roman" w:eastAsia="Times New Roman" w:hAnsi="Times New Roman" w:cs="Times New Roman"/>
      <w:sz w:val="18"/>
      <w:szCs w:val="18"/>
      <w:lang w:eastAsia="en-GB"/>
    </w:rPr>
  </w:style>
  <w:style w:type="paragraph" w:styleId="TOC7">
    <w:name w:val="toc 7"/>
    <w:basedOn w:val="Normal"/>
    <w:next w:val="Normal"/>
    <w:autoRedefine/>
    <w:semiHidden/>
    <w:pPr>
      <w:spacing w:after="0" w:line="240" w:lineRule="auto"/>
      <w:ind w:left="1440"/>
    </w:pPr>
    <w:rPr>
      <w:rFonts w:ascii="Times New Roman" w:eastAsia="Times New Roman" w:hAnsi="Times New Roman" w:cs="Times New Roman"/>
      <w:sz w:val="18"/>
      <w:szCs w:val="18"/>
      <w:lang w:eastAsia="en-GB"/>
    </w:rPr>
  </w:style>
  <w:style w:type="paragraph" w:styleId="TOC8">
    <w:name w:val="toc 8"/>
    <w:basedOn w:val="Normal"/>
    <w:next w:val="Normal"/>
    <w:autoRedefine/>
    <w:semiHidden/>
    <w:pPr>
      <w:spacing w:after="0" w:line="240" w:lineRule="auto"/>
      <w:ind w:left="1680"/>
    </w:pPr>
    <w:rPr>
      <w:rFonts w:ascii="Times New Roman" w:eastAsia="Times New Roman" w:hAnsi="Times New Roman" w:cs="Times New Roman"/>
      <w:sz w:val="18"/>
      <w:szCs w:val="18"/>
      <w:lang w:eastAsia="en-GB"/>
    </w:rPr>
  </w:style>
  <w:style w:type="paragraph" w:styleId="TOC9">
    <w:name w:val="toc 9"/>
    <w:basedOn w:val="Normal"/>
    <w:next w:val="Normal"/>
    <w:autoRedefine/>
    <w:semiHidden/>
    <w:pPr>
      <w:spacing w:after="0" w:line="240" w:lineRule="auto"/>
      <w:ind w:left="1920"/>
    </w:pPr>
    <w:rPr>
      <w:rFonts w:ascii="Times New Roman" w:eastAsia="Times New Roman" w:hAnsi="Times New Roman" w:cs="Times New Roman"/>
      <w:sz w:val="18"/>
      <w:szCs w:val="18"/>
      <w:lang w:eastAsia="en-GB"/>
    </w:rPr>
  </w:style>
  <w:style w:type="paragraph" w:styleId="ListBullet">
    <w:name w:val="List Bullet"/>
    <w:basedOn w:val="Normal"/>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tabs>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Text1"/>
    <w:pPr>
      <w:numPr>
        <w:numId w:val="5"/>
      </w:numPr>
      <w:spacing w:before="0" w:after="240"/>
    </w:pPr>
    <w:rPr>
      <w:szCs w:val="20"/>
      <w:lang w:eastAsia="en-US"/>
    </w:rPr>
  </w:style>
  <w:style w:type="paragraph" w:styleId="ListBullet2">
    <w:name w:val="List Bullet 2"/>
    <w:basedOn w:val="Normal"/>
    <w:pPr>
      <w:numPr>
        <w:numId w:val="6"/>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Emphasis">
    <w:name w:val="Emphasis"/>
    <w:uiPriority w:val="20"/>
    <w:qFormat/>
    <w:rPr>
      <w:i/>
      <w:iCs/>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paragraph" w:styleId="ListNumber">
    <w:name w:val="List Number"/>
    <w:basedOn w:val="Normal"/>
    <w:pPr>
      <w:numPr>
        <w:numId w:val="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8"/>
      </w:num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cs="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cs="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cs="Times New Roman"/>
      <w:sz w:val="24"/>
      <w:szCs w:val="24"/>
      <w:lang w:eastAsia="en-GB"/>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Normal"/>
    <w:pPr>
      <w:numPr>
        <w:ilvl w:val="1"/>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3">
    <w:name w:val="NumPar 3"/>
    <w:basedOn w:val="Normal"/>
    <w:next w:val="Normal"/>
    <w:pPr>
      <w:numPr>
        <w:ilvl w:val="2"/>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4">
    <w:name w:val="NumPar 4"/>
    <w:basedOn w:val="Normal"/>
    <w:next w:val="Normal"/>
    <w:pPr>
      <w:numPr>
        <w:ilvl w:val="3"/>
        <w:numId w:val="9"/>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Footnoter">
    <w:name w:val="Footnote r"/>
    <w:basedOn w:val="Normal"/>
    <w:pPr>
      <w:shd w:val="clear" w:color="auto" w:fill="F2F8FB"/>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style>
  <w:style w:type="paragraph" w:customStyle="1" w:styleId="Tiret2">
    <w:name w:val="Tiret 2"/>
    <w:basedOn w:val="Normal"/>
    <w:pPr>
      <w:numPr>
        <w:numId w:val="10"/>
      </w:numPr>
      <w:spacing w:before="120" w:after="120" w:line="240" w:lineRule="auto"/>
      <w:jc w:val="both"/>
    </w:pPr>
    <w:rPr>
      <w:rFonts w:ascii="Times New Roman" w:eastAsia="Times New Roman" w:hAnsi="Times New Roman" w:cs="Times New Roman"/>
      <w:sz w:val="24"/>
      <w:lang w:eastAsia="en-GB"/>
    </w:rPr>
  </w:style>
  <w:style w:type="paragraph" w:styleId="ListNumber5">
    <w:name w:val="List Number 5"/>
    <w:basedOn w:val="Normal"/>
    <w:pPr>
      <w:numPr>
        <w:numId w:val="11"/>
      </w:numPr>
      <w:spacing w:after="0" w:line="240" w:lineRule="auto"/>
      <w:contextualSpacing/>
    </w:pPr>
    <w:rPr>
      <w:rFonts w:ascii="Times New Roman" w:eastAsia="Times New Roman" w:hAnsi="Times New Roman" w:cs="Times New Roman"/>
      <w:sz w:val="24"/>
      <w:szCs w:val="24"/>
      <w:lang w:eastAsia="en-GB"/>
    </w:rPr>
  </w:style>
  <w:style w:type="character" w:styleId="Strong">
    <w:name w:val="Strong"/>
    <w:basedOn w:val="DefaultParagraphFont"/>
    <w:qFormat/>
    <w:rPr>
      <w:b/>
      <w:bCs/>
    </w:rPr>
  </w:style>
  <w:style w:type="paragraph" w:styleId="ListBullet3">
    <w:name w:val="List Bullet 3"/>
    <w:basedOn w:val="Normal"/>
    <w:uiPriority w:val="99"/>
    <w:unhideWhenUsed/>
    <w:pPr>
      <w:numPr>
        <w:numId w:val="12"/>
      </w:numPr>
      <w:spacing w:before="120" w:after="120" w:line="240" w:lineRule="auto"/>
      <w:contextualSpacing/>
      <w:jc w:val="both"/>
    </w:pPr>
    <w:rPr>
      <w:rFonts w:ascii="Times New Roman" w:eastAsia="Calibri" w:hAnsi="Times New Roman" w:cs="Times New Roman"/>
      <w:sz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paragraph" w:styleId="Caption">
    <w:name w:val="caption"/>
    <w:basedOn w:val="Normal"/>
    <w:next w:val="Normal"/>
    <w:semiHidden/>
    <w:unhideWhenUsed/>
    <w:qFormat/>
    <w:pPr>
      <w:spacing w:after="200" w:line="240" w:lineRule="auto"/>
    </w:pPr>
    <w:rPr>
      <w:rFonts w:ascii="Times New Roman" w:eastAsia="Times New Roman" w:hAnsi="Times New Roman" w:cs="Times New Roman"/>
      <w:b/>
      <w:bCs/>
      <w:color w:val="5B9BD5" w:themeColor="accent1"/>
      <w:sz w:val="18"/>
      <w:szCs w:val="18"/>
    </w:rPr>
  </w:style>
  <w:style w:type="paragraph" w:styleId="Title">
    <w:name w:val="Title"/>
    <w:basedOn w:val="Normal"/>
    <w:link w:val="TitleChar"/>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link w:val="SubtitleChar"/>
    <w:qFormat/>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5B9BD5" w:themeColor="accent1"/>
      <w:spacing w:val="15"/>
      <w:sz w:val="24"/>
      <w:szCs w:val="24"/>
    </w:rPr>
  </w:style>
  <w:style w:type="paragraph" w:customStyle="1" w:styleId="agbullets">
    <w:name w:val="ag_bullets"/>
    <w:basedOn w:val="Normal"/>
    <w:qFormat/>
    <w:pPr>
      <w:numPr>
        <w:numId w:val="13"/>
      </w:numPr>
      <w:spacing w:after="0" w:line="240" w:lineRule="auto"/>
    </w:pPr>
    <w:rPr>
      <w:rFonts w:ascii="Times New Roman" w:eastAsia="Times New Roman" w:hAnsi="Times New Roman" w:cs="Times New Roman"/>
      <w:szCs w:val="20"/>
    </w:rPr>
  </w:style>
  <w:style w:type="paragraph" w:customStyle="1" w:styleId="agtabbullets">
    <w:name w:val="ag_tab_bullets"/>
    <w:basedOn w:val="Normal"/>
    <w:qFormat/>
    <w:pPr>
      <w:numPr>
        <w:numId w:val="14"/>
      </w:numPr>
      <w:spacing w:after="0" w:line="240" w:lineRule="auto"/>
      <w:jc w:val="both"/>
    </w:pPr>
    <w:rPr>
      <w:rFonts w:ascii="Times New Roman" w:eastAsia="Times New Roman" w:hAnsi="Times New Roman" w:cs="Times New Roman"/>
      <w:sz w:val="18"/>
      <w:szCs w:val="20"/>
    </w:rPr>
  </w:style>
  <w:style w:type="paragraph" w:customStyle="1" w:styleId="agfootnote">
    <w:name w:val="ag_footnote"/>
    <w:basedOn w:val="Normal"/>
    <w:qFormat/>
    <w:pPr>
      <w:spacing w:after="120" w:line="240" w:lineRule="auto"/>
      <w:jc w:val="both"/>
    </w:pPr>
    <w:rPr>
      <w:rFonts w:ascii="Times New Roman" w:eastAsia="Times New Roman" w:hAnsi="Times New Roman" w:cs="Times New Roman"/>
      <w:sz w:val="16"/>
      <w:szCs w:val="20"/>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character" w:customStyle="1" w:styleId="s2">
    <w:name w:val="s2"/>
    <w:basedOn w:val="DefaultParagraphFont"/>
    <w:rsid w:val="009B6020"/>
  </w:style>
  <w:style w:type="paragraph" w:customStyle="1" w:styleId="Article">
    <w:name w:val="Article"/>
    <w:basedOn w:val="Normal"/>
    <w:next w:val="Normal"/>
    <w:uiPriority w:val="99"/>
    <w:rsid w:val="009B6020"/>
    <w:pPr>
      <w:keepNext/>
      <w:spacing w:before="480" w:after="120" w:line="240" w:lineRule="auto"/>
    </w:pPr>
    <w:rPr>
      <w:rFonts w:ascii="Times New Roman" w:eastAsia="Times New Roman" w:hAnsi="Times New Roman" w:cs="Times New Roman"/>
      <w:b/>
      <w:bCs/>
      <w:i/>
      <w:iCs/>
      <w:sz w:val="24"/>
      <w:szCs w:val="24"/>
      <w:lang w:eastAsia="en-GB"/>
    </w:rPr>
  </w:style>
  <w:style w:type="paragraph" w:customStyle="1" w:styleId="Figures">
    <w:name w:val="Figures"/>
    <w:basedOn w:val="Normal"/>
    <w:next w:val="Normal"/>
    <w:uiPriority w:val="99"/>
    <w:rsid w:val="009B6020"/>
    <w:pPr>
      <w:keepNext/>
      <w:spacing w:before="120" w:after="120" w:line="240" w:lineRule="auto"/>
    </w:pPr>
    <w:rPr>
      <w:rFonts w:ascii="Times New Roman" w:eastAsia="Times New Roman" w:hAnsi="Times New Roman" w:cs="Times New Roman"/>
      <w:i/>
      <w:iCs/>
      <w:sz w:val="20"/>
      <w:szCs w:val="20"/>
      <w:lang w:eastAsia="en-GB"/>
    </w:rPr>
  </w:style>
  <w:style w:type="paragraph" w:customStyle="1" w:styleId="Remarks">
    <w:name w:val="Remarks"/>
    <w:basedOn w:val="Normal"/>
    <w:next w:val="Normal"/>
    <w:uiPriority w:val="99"/>
    <w:rsid w:val="009B6020"/>
    <w:pPr>
      <w:keepNext/>
      <w:spacing w:before="120" w:after="120" w:line="240" w:lineRule="auto"/>
    </w:pPr>
    <w:rPr>
      <w:rFonts w:ascii="Times New Roman" w:eastAsia="Times New Roman" w:hAnsi="Times New Roman" w:cs="Times New Roman"/>
      <w:i/>
      <w:iCs/>
      <w:sz w:val="20"/>
      <w:szCs w:val="20"/>
      <w:lang w:eastAsia="en-GB"/>
    </w:rPr>
  </w:style>
  <w:style w:type="character" w:customStyle="1" w:styleId="ReusedInlineInfo">
    <w:name w:val="ReusedInlineInfo"/>
    <w:uiPriority w:val="99"/>
    <w:rsid w:val="009B6020"/>
    <w:rPr>
      <w:sz w:val="16"/>
      <w:szCs w:val="16"/>
      <w:u w:val="dash"/>
      <w:shd w:val="clear" w:color="auto" w:fill="FFFF00"/>
    </w:rPr>
  </w:style>
  <w:style w:type="paragraph" w:styleId="ListBullet4">
    <w:name w:val="List Bullet 4"/>
    <w:basedOn w:val="Normal"/>
    <w:rsid w:val="00D52F81"/>
    <w:pPr>
      <w:numPr>
        <w:numId w:val="17"/>
      </w:numPr>
      <w:spacing w:after="240" w:line="240" w:lineRule="auto"/>
      <w:jc w:val="both"/>
    </w:pPr>
    <w:rPr>
      <w:rFonts w:ascii="Times New Roman" w:eastAsia="Times New Roman" w:hAnsi="Times New Roman" w:cs="Times New Roman"/>
      <w:sz w:val="24"/>
      <w:szCs w:val="20"/>
    </w:rPr>
  </w:style>
  <w:style w:type="table" w:customStyle="1" w:styleId="TableGrid1">
    <w:name w:val="Table Grid1"/>
    <w:basedOn w:val="TableNormal"/>
    <w:next w:val="TableGrid"/>
    <w:rsid w:val="007A431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unhideWhenUsed/>
    <w:rsid w:val="00FD38EB"/>
    <w:rPr>
      <w:color w:val="605E5C"/>
      <w:shd w:val="clear" w:color="auto" w:fill="E1DFDD"/>
    </w:rPr>
  </w:style>
  <w:style w:type="character" w:customStyle="1" w:styleId="Mention">
    <w:name w:val="Mention"/>
    <w:basedOn w:val="DefaultParagraphFont"/>
    <w:uiPriority w:val="99"/>
    <w:unhideWhenUsed/>
    <w:rsid w:val="00FD38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8529">
      <w:bodyDiv w:val="1"/>
      <w:marLeft w:val="0"/>
      <w:marRight w:val="0"/>
      <w:marTop w:val="0"/>
      <w:marBottom w:val="0"/>
      <w:divBdr>
        <w:top w:val="none" w:sz="0" w:space="0" w:color="auto"/>
        <w:left w:val="none" w:sz="0" w:space="0" w:color="auto"/>
        <w:bottom w:val="none" w:sz="0" w:space="0" w:color="auto"/>
        <w:right w:val="none" w:sz="0" w:space="0" w:color="auto"/>
      </w:divBdr>
    </w:div>
    <w:div w:id="232665939">
      <w:bodyDiv w:val="1"/>
      <w:marLeft w:val="0"/>
      <w:marRight w:val="0"/>
      <w:marTop w:val="0"/>
      <w:marBottom w:val="0"/>
      <w:divBdr>
        <w:top w:val="none" w:sz="0" w:space="0" w:color="auto"/>
        <w:left w:val="none" w:sz="0" w:space="0" w:color="auto"/>
        <w:bottom w:val="none" w:sz="0" w:space="0" w:color="auto"/>
        <w:right w:val="none" w:sz="0" w:space="0" w:color="auto"/>
      </w:divBdr>
    </w:div>
    <w:div w:id="241839112">
      <w:bodyDiv w:val="1"/>
      <w:marLeft w:val="0"/>
      <w:marRight w:val="0"/>
      <w:marTop w:val="0"/>
      <w:marBottom w:val="0"/>
      <w:divBdr>
        <w:top w:val="none" w:sz="0" w:space="0" w:color="auto"/>
        <w:left w:val="none" w:sz="0" w:space="0" w:color="auto"/>
        <w:bottom w:val="none" w:sz="0" w:space="0" w:color="auto"/>
        <w:right w:val="none" w:sz="0" w:space="0" w:color="auto"/>
      </w:divBdr>
    </w:div>
    <w:div w:id="281305610">
      <w:bodyDiv w:val="1"/>
      <w:marLeft w:val="0"/>
      <w:marRight w:val="0"/>
      <w:marTop w:val="0"/>
      <w:marBottom w:val="0"/>
      <w:divBdr>
        <w:top w:val="none" w:sz="0" w:space="0" w:color="auto"/>
        <w:left w:val="none" w:sz="0" w:space="0" w:color="auto"/>
        <w:bottom w:val="none" w:sz="0" w:space="0" w:color="auto"/>
        <w:right w:val="none" w:sz="0" w:space="0" w:color="auto"/>
      </w:divBdr>
    </w:div>
    <w:div w:id="283968262">
      <w:bodyDiv w:val="1"/>
      <w:marLeft w:val="0"/>
      <w:marRight w:val="0"/>
      <w:marTop w:val="0"/>
      <w:marBottom w:val="0"/>
      <w:divBdr>
        <w:top w:val="none" w:sz="0" w:space="0" w:color="auto"/>
        <w:left w:val="none" w:sz="0" w:space="0" w:color="auto"/>
        <w:bottom w:val="none" w:sz="0" w:space="0" w:color="auto"/>
        <w:right w:val="none" w:sz="0" w:space="0" w:color="auto"/>
      </w:divBdr>
    </w:div>
    <w:div w:id="327371309">
      <w:bodyDiv w:val="1"/>
      <w:marLeft w:val="0"/>
      <w:marRight w:val="0"/>
      <w:marTop w:val="0"/>
      <w:marBottom w:val="0"/>
      <w:divBdr>
        <w:top w:val="none" w:sz="0" w:space="0" w:color="auto"/>
        <w:left w:val="none" w:sz="0" w:space="0" w:color="auto"/>
        <w:bottom w:val="none" w:sz="0" w:space="0" w:color="auto"/>
        <w:right w:val="none" w:sz="0" w:space="0" w:color="auto"/>
      </w:divBdr>
    </w:div>
    <w:div w:id="345451314">
      <w:bodyDiv w:val="1"/>
      <w:marLeft w:val="0"/>
      <w:marRight w:val="0"/>
      <w:marTop w:val="0"/>
      <w:marBottom w:val="0"/>
      <w:divBdr>
        <w:top w:val="none" w:sz="0" w:space="0" w:color="auto"/>
        <w:left w:val="none" w:sz="0" w:space="0" w:color="auto"/>
        <w:bottom w:val="none" w:sz="0" w:space="0" w:color="auto"/>
        <w:right w:val="none" w:sz="0" w:space="0" w:color="auto"/>
      </w:divBdr>
    </w:div>
    <w:div w:id="346761550">
      <w:bodyDiv w:val="1"/>
      <w:marLeft w:val="0"/>
      <w:marRight w:val="0"/>
      <w:marTop w:val="0"/>
      <w:marBottom w:val="0"/>
      <w:divBdr>
        <w:top w:val="none" w:sz="0" w:space="0" w:color="auto"/>
        <w:left w:val="none" w:sz="0" w:space="0" w:color="auto"/>
        <w:bottom w:val="none" w:sz="0" w:space="0" w:color="auto"/>
        <w:right w:val="none" w:sz="0" w:space="0" w:color="auto"/>
      </w:divBdr>
    </w:div>
    <w:div w:id="357858846">
      <w:bodyDiv w:val="1"/>
      <w:marLeft w:val="0"/>
      <w:marRight w:val="0"/>
      <w:marTop w:val="0"/>
      <w:marBottom w:val="0"/>
      <w:divBdr>
        <w:top w:val="none" w:sz="0" w:space="0" w:color="auto"/>
        <w:left w:val="none" w:sz="0" w:space="0" w:color="auto"/>
        <w:bottom w:val="none" w:sz="0" w:space="0" w:color="auto"/>
        <w:right w:val="none" w:sz="0" w:space="0" w:color="auto"/>
      </w:divBdr>
    </w:div>
    <w:div w:id="440686104">
      <w:bodyDiv w:val="1"/>
      <w:marLeft w:val="0"/>
      <w:marRight w:val="0"/>
      <w:marTop w:val="0"/>
      <w:marBottom w:val="0"/>
      <w:divBdr>
        <w:top w:val="none" w:sz="0" w:space="0" w:color="auto"/>
        <w:left w:val="none" w:sz="0" w:space="0" w:color="auto"/>
        <w:bottom w:val="none" w:sz="0" w:space="0" w:color="auto"/>
        <w:right w:val="none" w:sz="0" w:space="0" w:color="auto"/>
      </w:divBdr>
    </w:div>
    <w:div w:id="471216937">
      <w:bodyDiv w:val="1"/>
      <w:marLeft w:val="0"/>
      <w:marRight w:val="0"/>
      <w:marTop w:val="0"/>
      <w:marBottom w:val="0"/>
      <w:divBdr>
        <w:top w:val="none" w:sz="0" w:space="0" w:color="auto"/>
        <w:left w:val="none" w:sz="0" w:space="0" w:color="auto"/>
        <w:bottom w:val="none" w:sz="0" w:space="0" w:color="auto"/>
        <w:right w:val="none" w:sz="0" w:space="0" w:color="auto"/>
      </w:divBdr>
    </w:div>
    <w:div w:id="709498027">
      <w:bodyDiv w:val="1"/>
      <w:marLeft w:val="0"/>
      <w:marRight w:val="0"/>
      <w:marTop w:val="0"/>
      <w:marBottom w:val="0"/>
      <w:divBdr>
        <w:top w:val="none" w:sz="0" w:space="0" w:color="auto"/>
        <w:left w:val="none" w:sz="0" w:space="0" w:color="auto"/>
        <w:bottom w:val="none" w:sz="0" w:space="0" w:color="auto"/>
        <w:right w:val="none" w:sz="0" w:space="0" w:color="auto"/>
      </w:divBdr>
    </w:div>
    <w:div w:id="787431719">
      <w:bodyDiv w:val="1"/>
      <w:marLeft w:val="0"/>
      <w:marRight w:val="0"/>
      <w:marTop w:val="0"/>
      <w:marBottom w:val="0"/>
      <w:divBdr>
        <w:top w:val="none" w:sz="0" w:space="0" w:color="auto"/>
        <w:left w:val="none" w:sz="0" w:space="0" w:color="auto"/>
        <w:bottom w:val="none" w:sz="0" w:space="0" w:color="auto"/>
        <w:right w:val="none" w:sz="0" w:space="0" w:color="auto"/>
      </w:divBdr>
    </w:div>
    <w:div w:id="909120534">
      <w:bodyDiv w:val="1"/>
      <w:marLeft w:val="0"/>
      <w:marRight w:val="0"/>
      <w:marTop w:val="0"/>
      <w:marBottom w:val="0"/>
      <w:divBdr>
        <w:top w:val="none" w:sz="0" w:space="0" w:color="auto"/>
        <w:left w:val="none" w:sz="0" w:space="0" w:color="auto"/>
        <w:bottom w:val="none" w:sz="0" w:space="0" w:color="auto"/>
        <w:right w:val="none" w:sz="0" w:space="0" w:color="auto"/>
      </w:divBdr>
    </w:div>
    <w:div w:id="990910297">
      <w:bodyDiv w:val="1"/>
      <w:marLeft w:val="0"/>
      <w:marRight w:val="0"/>
      <w:marTop w:val="0"/>
      <w:marBottom w:val="0"/>
      <w:divBdr>
        <w:top w:val="none" w:sz="0" w:space="0" w:color="auto"/>
        <w:left w:val="none" w:sz="0" w:space="0" w:color="auto"/>
        <w:bottom w:val="none" w:sz="0" w:space="0" w:color="auto"/>
        <w:right w:val="none" w:sz="0" w:space="0" w:color="auto"/>
      </w:divBdr>
    </w:div>
    <w:div w:id="1028876713">
      <w:bodyDiv w:val="1"/>
      <w:marLeft w:val="0"/>
      <w:marRight w:val="0"/>
      <w:marTop w:val="0"/>
      <w:marBottom w:val="0"/>
      <w:divBdr>
        <w:top w:val="none" w:sz="0" w:space="0" w:color="auto"/>
        <w:left w:val="none" w:sz="0" w:space="0" w:color="auto"/>
        <w:bottom w:val="none" w:sz="0" w:space="0" w:color="auto"/>
        <w:right w:val="none" w:sz="0" w:space="0" w:color="auto"/>
      </w:divBdr>
    </w:div>
    <w:div w:id="1031951835">
      <w:bodyDiv w:val="1"/>
      <w:marLeft w:val="0"/>
      <w:marRight w:val="0"/>
      <w:marTop w:val="0"/>
      <w:marBottom w:val="0"/>
      <w:divBdr>
        <w:top w:val="none" w:sz="0" w:space="0" w:color="auto"/>
        <w:left w:val="none" w:sz="0" w:space="0" w:color="auto"/>
        <w:bottom w:val="none" w:sz="0" w:space="0" w:color="auto"/>
        <w:right w:val="none" w:sz="0" w:space="0" w:color="auto"/>
      </w:divBdr>
    </w:div>
    <w:div w:id="1048529592">
      <w:bodyDiv w:val="1"/>
      <w:marLeft w:val="0"/>
      <w:marRight w:val="0"/>
      <w:marTop w:val="0"/>
      <w:marBottom w:val="0"/>
      <w:divBdr>
        <w:top w:val="none" w:sz="0" w:space="0" w:color="auto"/>
        <w:left w:val="none" w:sz="0" w:space="0" w:color="auto"/>
        <w:bottom w:val="none" w:sz="0" w:space="0" w:color="auto"/>
        <w:right w:val="none" w:sz="0" w:space="0" w:color="auto"/>
      </w:divBdr>
    </w:div>
    <w:div w:id="1100569723">
      <w:bodyDiv w:val="1"/>
      <w:marLeft w:val="0"/>
      <w:marRight w:val="0"/>
      <w:marTop w:val="0"/>
      <w:marBottom w:val="0"/>
      <w:divBdr>
        <w:top w:val="none" w:sz="0" w:space="0" w:color="auto"/>
        <w:left w:val="none" w:sz="0" w:space="0" w:color="auto"/>
        <w:bottom w:val="none" w:sz="0" w:space="0" w:color="auto"/>
        <w:right w:val="none" w:sz="0" w:space="0" w:color="auto"/>
      </w:divBdr>
    </w:div>
    <w:div w:id="1217622189">
      <w:bodyDiv w:val="1"/>
      <w:marLeft w:val="0"/>
      <w:marRight w:val="0"/>
      <w:marTop w:val="0"/>
      <w:marBottom w:val="0"/>
      <w:divBdr>
        <w:top w:val="none" w:sz="0" w:space="0" w:color="auto"/>
        <w:left w:val="none" w:sz="0" w:space="0" w:color="auto"/>
        <w:bottom w:val="none" w:sz="0" w:space="0" w:color="auto"/>
        <w:right w:val="none" w:sz="0" w:space="0" w:color="auto"/>
      </w:divBdr>
    </w:div>
    <w:div w:id="1240795381">
      <w:bodyDiv w:val="1"/>
      <w:marLeft w:val="0"/>
      <w:marRight w:val="0"/>
      <w:marTop w:val="0"/>
      <w:marBottom w:val="0"/>
      <w:divBdr>
        <w:top w:val="none" w:sz="0" w:space="0" w:color="auto"/>
        <w:left w:val="none" w:sz="0" w:space="0" w:color="auto"/>
        <w:bottom w:val="none" w:sz="0" w:space="0" w:color="auto"/>
        <w:right w:val="none" w:sz="0" w:space="0" w:color="auto"/>
      </w:divBdr>
    </w:div>
    <w:div w:id="1245608302">
      <w:bodyDiv w:val="1"/>
      <w:marLeft w:val="0"/>
      <w:marRight w:val="0"/>
      <w:marTop w:val="0"/>
      <w:marBottom w:val="0"/>
      <w:divBdr>
        <w:top w:val="none" w:sz="0" w:space="0" w:color="auto"/>
        <w:left w:val="none" w:sz="0" w:space="0" w:color="auto"/>
        <w:bottom w:val="none" w:sz="0" w:space="0" w:color="auto"/>
        <w:right w:val="none" w:sz="0" w:space="0" w:color="auto"/>
      </w:divBdr>
    </w:div>
    <w:div w:id="1258634942">
      <w:bodyDiv w:val="1"/>
      <w:marLeft w:val="0"/>
      <w:marRight w:val="0"/>
      <w:marTop w:val="0"/>
      <w:marBottom w:val="0"/>
      <w:divBdr>
        <w:top w:val="none" w:sz="0" w:space="0" w:color="auto"/>
        <w:left w:val="none" w:sz="0" w:space="0" w:color="auto"/>
        <w:bottom w:val="none" w:sz="0" w:space="0" w:color="auto"/>
        <w:right w:val="none" w:sz="0" w:space="0" w:color="auto"/>
      </w:divBdr>
    </w:div>
    <w:div w:id="1295015434">
      <w:bodyDiv w:val="1"/>
      <w:marLeft w:val="0"/>
      <w:marRight w:val="0"/>
      <w:marTop w:val="0"/>
      <w:marBottom w:val="0"/>
      <w:divBdr>
        <w:top w:val="none" w:sz="0" w:space="0" w:color="auto"/>
        <w:left w:val="none" w:sz="0" w:space="0" w:color="auto"/>
        <w:bottom w:val="none" w:sz="0" w:space="0" w:color="auto"/>
        <w:right w:val="none" w:sz="0" w:space="0" w:color="auto"/>
      </w:divBdr>
    </w:div>
    <w:div w:id="1305350326">
      <w:bodyDiv w:val="1"/>
      <w:marLeft w:val="0"/>
      <w:marRight w:val="0"/>
      <w:marTop w:val="0"/>
      <w:marBottom w:val="0"/>
      <w:divBdr>
        <w:top w:val="none" w:sz="0" w:space="0" w:color="auto"/>
        <w:left w:val="none" w:sz="0" w:space="0" w:color="auto"/>
        <w:bottom w:val="none" w:sz="0" w:space="0" w:color="auto"/>
        <w:right w:val="none" w:sz="0" w:space="0" w:color="auto"/>
      </w:divBdr>
    </w:div>
    <w:div w:id="1402169971">
      <w:bodyDiv w:val="1"/>
      <w:marLeft w:val="0"/>
      <w:marRight w:val="0"/>
      <w:marTop w:val="0"/>
      <w:marBottom w:val="0"/>
      <w:divBdr>
        <w:top w:val="none" w:sz="0" w:space="0" w:color="auto"/>
        <w:left w:val="none" w:sz="0" w:space="0" w:color="auto"/>
        <w:bottom w:val="none" w:sz="0" w:space="0" w:color="auto"/>
        <w:right w:val="none" w:sz="0" w:space="0" w:color="auto"/>
      </w:divBdr>
    </w:div>
    <w:div w:id="1502546623">
      <w:bodyDiv w:val="1"/>
      <w:marLeft w:val="0"/>
      <w:marRight w:val="0"/>
      <w:marTop w:val="0"/>
      <w:marBottom w:val="0"/>
      <w:divBdr>
        <w:top w:val="none" w:sz="0" w:space="0" w:color="auto"/>
        <w:left w:val="none" w:sz="0" w:space="0" w:color="auto"/>
        <w:bottom w:val="none" w:sz="0" w:space="0" w:color="auto"/>
        <w:right w:val="none" w:sz="0" w:space="0" w:color="auto"/>
      </w:divBdr>
    </w:div>
    <w:div w:id="1644189320">
      <w:bodyDiv w:val="1"/>
      <w:marLeft w:val="0"/>
      <w:marRight w:val="0"/>
      <w:marTop w:val="0"/>
      <w:marBottom w:val="0"/>
      <w:divBdr>
        <w:top w:val="none" w:sz="0" w:space="0" w:color="auto"/>
        <w:left w:val="none" w:sz="0" w:space="0" w:color="auto"/>
        <w:bottom w:val="none" w:sz="0" w:space="0" w:color="auto"/>
        <w:right w:val="none" w:sz="0" w:space="0" w:color="auto"/>
      </w:divBdr>
    </w:div>
    <w:div w:id="1671255423">
      <w:bodyDiv w:val="1"/>
      <w:marLeft w:val="0"/>
      <w:marRight w:val="0"/>
      <w:marTop w:val="0"/>
      <w:marBottom w:val="0"/>
      <w:divBdr>
        <w:top w:val="none" w:sz="0" w:space="0" w:color="auto"/>
        <w:left w:val="none" w:sz="0" w:space="0" w:color="auto"/>
        <w:bottom w:val="none" w:sz="0" w:space="0" w:color="auto"/>
        <w:right w:val="none" w:sz="0" w:space="0" w:color="auto"/>
      </w:divBdr>
    </w:div>
    <w:div w:id="1759209847">
      <w:bodyDiv w:val="1"/>
      <w:marLeft w:val="0"/>
      <w:marRight w:val="0"/>
      <w:marTop w:val="0"/>
      <w:marBottom w:val="0"/>
      <w:divBdr>
        <w:top w:val="none" w:sz="0" w:space="0" w:color="auto"/>
        <w:left w:val="none" w:sz="0" w:space="0" w:color="auto"/>
        <w:bottom w:val="none" w:sz="0" w:space="0" w:color="auto"/>
        <w:right w:val="none" w:sz="0" w:space="0" w:color="auto"/>
      </w:divBdr>
    </w:div>
    <w:div w:id="180041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ur-lex.europa.eu/budget/www/index-bg.htm"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ep xmlns="30742824-8895-4978-a73e-94c4e1e1ddec">dab_04</Step>
    <DocType xmlns="30742824-8895-4978-a73e-94c4e1e1ddec">Report</DocType>
    <FreeText xmlns="30742824-8895-4978-a73e-94c4e1e1ddec" xsi:nil="true"/>
    <Author0 xmlns="30742824-8895-4978-a73e-94c4e1e1ddec">
      <UserInfo>
        <DisplayName>SAIL Etienne (BUDG)</DisplayName>
        <AccountId>12</AccountId>
        <AccountType/>
      </UserInfo>
    </Author0>
    <Year xmlns="30742824-8895-4978-a73e-94c4e1e1ddec">2024</Year>
    <FolderCode xmlns="30742824-8895-4978-a73e-94c4e1e1ddec" xsi:nil="true"/>
    <_Flow_SignoffStatus xmlns="30742824-8895-4978-a73e-94c4e1e1dd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6A2DBC849B7441B19B5B49D1306482" ma:contentTypeVersion="13" ma:contentTypeDescription="Create a new document." ma:contentTypeScope="" ma:versionID="47ebab96c390358f0eda69cd77df8d66">
  <xsd:schema xmlns:xsd="http://www.w3.org/2001/XMLSchema" xmlns:xs="http://www.w3.org/2001/XMLSchema" xmlns:p="http://schemas.microsoft.com/office/2006/metadata/properties" xmlns:ns2="30742824-8895-4978-a73e-94c4e1e1ddec" xmlns:ns3="013aa35d-30e5-41d1-9a7b-1c862c539650" targetNamespace="http://schemas.microsoft.com/office/2006/metadata/properties" ma:root="true" ma:fieldsID="3046ef7ec0c6c3d2c9dafd7de3dd9131" ns2:_="" ns3:_="">
    <xsd:import namespace="30742824-8895-4978-a73e-94c4e1e1ddec"/>
    <xsd:import namespace="013aa35d-30e5-41d1-9a7b-1c862c539650"/>
    <xsd:element name="properties">
      <xsd:complexType>
        <xsd:sequence>
          <xsd:element name="documentManagement">
            <xsd:complexType>
              <xsd:all>
                <xsd:element ref="ns2:Author0"/>
                <xsd:element ref="ns2:Year"/>
                <xsd:element ref="ns2:Step"/>
                <xsd:element ref="ns2:DocType"/>
                <xsd:element ref="ns2:FreeText" minOccurs="0"/>
                <xsd:element ref="ns2:FolderCod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42824-8895-4978-a73e-94c4e1e1ddec" elementFormDefault="qualified">
    <xsd:import namespace="http://schemas.microsoft.com/office/2006/documentManagement/types"/>
    <xsd:import namespace="http://schemas.microsoft.com/office/infopath/2007/PartnerControls"/>
    <xsd:element name="Author0" ma:index="8" ma:displayName="Author" ma:list="UserInfo" ma:SearchPeopleOnly="false"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Year" ma:index="9" ma:displayName="Year" ma:format="Dropdown" ma:internalName="Year">
      <xsd:simpleType>
        <xsd:restriction base="dms:Choice">
          <xsd:enumeration value="2020"/>
          <xsd:enumeration value="2021"/>
          <xsd:enumeration value="2022"/>
          <xsd:enumeration value="2023"/>
          <xsd:enumeration value="2024"/>
          <xsd:enumeration value="2025"/>
          <xsd:enumeration value="2026"/>
          <xsd:enumeration value="2027"/>
        </xsd:restriction>
      </xsd:simpleType>
    </xsd:element>
    <xsd:element name="Step" ma:index="10" ma:displayName="Step" ma:format="Dropdown" ma:internalName="Step">
      <xsd:simpleType>
        <xsd:restriction base="dms:Choice">
          <xsd:enumeration value="dab_01"/>
          <xsd:enumeration value="dab_02"/>
          <xsd:enumeration value="dab_03"/>
          <xsd:enumeration value="dab_04"/>
          <xsd:enumeration value="dab_05"/>
          <xsd:enumeration value="dab_06"/>
          <xsd:enumeration value="dab_07"/>
          <xsd:enumeration value="dab_08"/>
          <xsd:enumeration value="dab_09"/>
          <xsd:enumeration value="dab_10"/>
          <xsd:enumeration value="hearings"/>
          <xsd:enumeration value="draft_budget_1"/>
          <xsd:enumeration value="parliament_1"/>
          <xsd:enumeration value="council_1"/>
          <xsd:enumeration value="amending_letter_1"/>
          <xsd:enumeration value="amending_letter_2"/>
          <xsd:enumeration value="draft_budget_2"/>
          <xsd:enumeration value="parliament_2"/>
          <xsd:enumeration value="council_2"/>
          <xsd:enumeration value="budget"/>
          <xsd:enumeration value="tufp"/>
          <xsd:enumeration value="other"/>
        </xsd:restriction>
      </xsd:simpleType>
    </xsd:element>
    <xsd:element name="DocType" ma:index="11" ma:displayName="DocType" ma:format="Dropdown" ma:internalName="DocType">
      <xsd:simpleType>
        <xsd:restriction base="dms:Choice">
          <xsd:enumeration value="Report"/>
          <xsd:enumeration value="Presentation"/>
          <xsd:enumeration value="Spreadsheet"/>
          <xsd:enumeration value="Other"/>
        </xsd:restriction>
      </xsd:simpleType>
    </xsd:element>
    <xsd:element name="FreeText" ma:index="12" nillable="true" ma:displayName="FreeText" ma:internalName="FreeText">
      <xsd:simpleType>
        <xsd:restriction base="dms:Text">
          <xsd:maxLength value="255"/>
        </xsd:restriction>
      </xsd:simpleType>
    </xsd:element>
    <xsd:element name="FolderCode" ma:index="13" nillable="true" ma:displayName="FolderCode" ma:internalName="FolderCod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DFB74-7068-447D-BA5C-232AD40720DE}">
  <ds:schemaRefs>
    <ds:schemaRef ds:uri="http://schemas.microsoft.com/office/2006/metadata/properties"/>
    <ds:schemaRef ds:uri="http://schemas.microsoft.com/office/infopath/2007/PartnerControls"/>
    <ds:schemaRef ds:uri="30742824-8895-4978-a73e-94c4e1e1ddec"/>
  </ds:schemaRefs>
</ds:datastoreItem>
</file>

<file path=customXml/itemProps2.xml><?xml version="1.0" encoding="utf-8"?>
<ds:datastoreItem xmlns:ds="http://schemas.openxmlformats.org/officeDocument/2006/customXml" ds:itemID="{B12FB31D-EACB-4C40-8446-4590BA6F62A3}">
  <ds:schemaRefs>
    <ds:schemaRef ds:uri="http://schemas.microsoft.com/sharepoint/v3/contenttype/forms"/>
  </ds:schemaRefs>
</ds:datastoreItem>
</file>

<file path=customXml/itemProps3.xml><?xml version="1.0" encoding="utf-8"?>
<ds:datastoreItem xmlns:ds="http://schemas.openxmlformats.org/officeDocument/2006/customXml" ds:itemID="{A4D9A689-8AA8-4790-A4AE-B66AD66AC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42824-8895-4978-a73e-94c4e1e1ddec"/>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95D361-58BE-453E-AC04-A45FECA3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5901</Words>
  <Characters>33636</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10</cp:revision>
  <cp:lastPrinted>2024-06-18T15:51:00Z</cp:lastPrinted>
  <dcterms:created xsi:type="dcterms:W3CDTF">2024-07-24T09:48:00Z</dcterms:created>
  <dcterms:modified xsi:type="dcterms:W3CDTF">2024-07-31T12:42:00Z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CP-032</vt:lpwstr>
  </property>
  <property fmtid="{D5CDD505-2E9C-101B-9397-08002B2CF9AE}" pid="7" name="Last edited using">
    <vt:lpwstr>LW 9.0, Build 20230317</vt:lpwstr>
  </property>
  <property fmtid="{D5CDD505-2E9C-101B-9397-08002B2CF9AE}" pid="8" name="Created using">
    <vt:lpwstr>LW 7.0, Build 20190717</vt:lpwstr>
  </property>
  <property fmtid="{D5CDD505-2E9C-101B-9397-08002B2CF9AE}" pid="9" name="MSIP_Label_6bd9ddd1-4d20-43f6-abfa-fc3c07406f94_Enabled">
    <vt:lpwstr>true</vt:lpwstr>
  </property>
  <property fmtid="{D5CDD505-2E9C-101B-9397-08002B2CF9AE}" pid="10" name="MSIP_Label_6bd9ddd1-4d20-43f6-abfa-fc3c07406f94_SetDate">
    <vt:lpwstr>2022-03-29T09:22:25Z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393ab6d8-7298-425f-a6af-10a6e6cab6a0</vt:lpwstr>
  </property>
  <property fmtid="{D5CDD505-2E9C-101B-9397-08002B2CF9AE}" pid="15" name="MSIP_Label_6bd9ddd1-4d20-43f6-abfa-fc3c07406f94_ContentBits">
    <vt:lpwstr>0</vt:lpwstr>
  </property>
  <property fmtid="{D5CDD505-2E9C-101B-9397-08002B2CF9AE}" pid="16" name="ContentTypeId">
    <vt:lpwstr>0x0101006E6A2DBC849B7441B19B5B49D1306482</vt:lpwstr>
  </property>
</Properties>
</file>