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2FB1" w:rsidRPr="00920C92" w:rsidRDefault="00246EA1" w:rsidP="00246EA1">
      <w:pPr>
        <w:pStyle w:val="Pagedecouverture"/>
        <w:rPr>
          <w:noProof/>
          <w:lang w:val="es-ES"/>
        </w:rPr>
      </w:pPr>
      <w:r>
        <w:rPr>
          <w:noProof/>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D357753B-E5FD-4479-AB71-48883BDC7EDC" style="width:455.25pt;height:355.5pt">
            <v:imagedata r:id="rId11" o:title=""/>
          </v:shape>
        </w:pict>
      </w:r>
    </w:p>
    <w:p w:rsidR="00AE2FB1" w:rsidRPr="00920C92" w:rsidRDefault="00AE2FB1" w:rsidP="00AE2FB1">
      <w:pPr>
        <w:rPr>
          <w:noProof/>
          <w:lang w:val="es-ES"/>
        </w:rPr>
        <w:sectPr w:rsidR="00AE2FB1" w:rsidRPr="00920C92" w:rsidSect="00246EA1">
          <w:footerReference w:type="even" r:id="rId12"/>
          <w:footerReference w:type="default" r:id="rId13"/>
          <w:pgSz w:w="11907" w:h="16839"/>
          <w:pgMar w:top="1134" w:right="1417" w:bottom="1134" w:left="1417" w:header="709" w:footer="709" w:gutter="0"/>
          <w:pgNumType w:start="0"/>
          <w:cols w:space="720"/>
          <w:docGrid w:linePitch="360"/>
        </w:sectPr>
      </w:pPr>
    </w:p>
    <w:p w:rsidR="00AE2FB1" w:rsidRPr="00920C92" w:rsidRDefault="00AE2FB1" w:rsidP="00974B16">
      <w:pPr>
        <w:pStyle w:val="Exposdesmotifstitre"/>
        <w:rPr>
          <w:noProof/>
          <w:lang w:val="es-ES"/>
        </w:rPr>
      </w:pPr>
      <w:bookmarkStart w:id="0" w:name="_GoBack"/>
      <w:bookmarkEnd w:id="0"/>
      <w:r w:rsidRPr="00920C92">
        <w:rPr>
          <w:noProof/>
          <w:lang w:val="es-ES"/>
        </w:rPr>
        <w:lastRenderedPageBreak/>
        <w:t>EXPOSICIÓN DE MOTIVOS</w:t>
      </w:r>
    </w:p>
    <w:p w:rsidR="00AE2FB1" w:rsidRPr="00920C92" w:rsidRDefault="00B31960" w:rsidP="00B31960">
      <w:pPr>
        <w:pStyle w:val="ManualHeading1"/>
        <w:rPr>
          <w:rFonts w:eastAsia="Arial Unicode MS"/>
          <w:noProof/>
          <w:lang w:val="es-ES"/>
        </w:rPr>
      </w:pPr>
      <w:r w:rsidRPr="00B31960">
        <w:rPr>
          <w:noProof/>
        </w:rPr>
        <w:t>1.</w:t>
      </w:r>
      <w:r w:rsidRPr="00B31960">
        <w:rPr>
          <w:noProof/>
        </w:rPr>
        <w:tab/>
      </w:r>
      <w:r w:rsidR="00AE2FB1" w:rsidRPr="00920C92">
        <w:rPr>
          <w:noProof/>
          <w:lang w:val="es-ES"/>
        </w:rPr>
        <w:t>Objeto de la propuesta</w:t>
      </w:r>
    </w:p>
    <w:p w:rsidR="00AE2FB1" w:rsidRPr="00920C92" w:rsidRDefault="00AE2FB1" w:rsidP="00974B16">
      <w:pPr>
        <w:rPr>
          <w:rFonts w:eastAsia="Arial Unicode MS"/>
          <w:noProof/>
          <w:lang w:val="es-ES"/>
        </w:rPr>
      </w:pPr>
      <w:r w:rsidRPr="00920C92">
        <w:rPr>
          <w:noProof/>
          <w:color w:val="000000" w:themeColor="text1"/>
          <w:lang w:val="es-ES"/>
        </w:rPr>
        <w:t xml:space="preserve">La presente propuesta se refiere a la Decisión por la que se establece la posición que debe adoptarse en nombre de la Unión en la </w:t>
      </w:r>
      <w:r w:rsidRPr="00920C92">
        <w:rPr>
          <w:noProof/>
          <w:lang w:val="es-ES"/>
        </w:rPr>
        <w:t>Asamblea General de la OIV de 18 de octubre de 2024</w:t>
      </w:r>
      <w:r w:rsidR="00920C92" w:rsidRPr="00920C92">
        <w:rPr>
          <w:noProof/>
          <w:lang w:val="es-ES"/>
        </w:rPr>
        <w:t> </w:t>
      </w:r>
      <w:r w:rsidRPr="00920C92">
        <w:rPr>
          <w:noProof/>
          <w:color w:val="000000" w:themeColor="text1"/>
          <w:lang w:val="es-ES"/>
        </w:rPr>
        <w:t xml:space="preserve">en relación con la adopción prevista de </w:t>
      </w:r>
      <w:r w:rsidRPr="00920C92">
        <w:rPr>
          <w:noProof/>
          <w:lang w:val="es-ES"/>
        </w:rPr>
        <w:t>resoluciones de la OIV que pueden surtir efectos jurídicos en el Derecho de la Unión.</w:t>
      </w:r>
    </w:p>
    <w:p w:rsidR="00AE2FB1" w:rsidRPr="00920C92" w:rsidRDefault="00B31960" w:rsidP="00B31960">
      <w:pPr>
        <w:pStyle w:val="ManualHeading1"/>
        <w:rPr>
          <w:noProof/>
          <w:lang w:val="es-ES"/>
        </w:rPr>
      </w:pPr>
      <w:r w:rsidRPr="00B31960">
        <w:rPr>
          <w:noProof/>
        </w:rPr>
        <w:t>2.</w:t>
      </w:r>
      <w:r w:rsidRPr="00B31960">
        <w:rPr>
          <w:noProof/>
        </w:rPr>
        <w:tab/>
      </w:r>
      <w:r w:rsidR="00AE2FB1" w:rsidRPr="00920C92">
        <w:rPr>
          <w:noProof/>
          <w:lang w:val="es-ES"/>
        </w:rPr>
        <w:t>Contexto de la propuesta</w:t>
      </w:r>
    </w:p>
    <w:p w:rsidR="00AE2FB1" w:rsidRPr="00920C92" w:rsidRDefault="00B31960" w:rsidP="00B31960">
      <w:pPr>
        <w:pStyle w:val="ManualHeading2"/>
        <w:rPr>
          <w:noProof/>
          <w:lang w:val="es-ES"/>
        </w:rPr>
      </w:pPr>
      <w:r w:rsidRPr="00B31960">
        <w:rPr>
          <w:noProof/>
        </w:rPr>
        <w:t>2.1.</w:t>
      </w:r>
      <w:r w:rsidRPr="00B31960">
        <w:rPr>
          <w:noProof/>
        </w:rPr>
        <w:tab/>
      </w:r>
      <w:r w:rsidR="00AE2FB1" w:rsidRPr="00920C92">
        <w:rPr>
          <w:noProof/>
          <w:lang w:val="es-ES"/>
        </w:rPr>
        <w:t>Estatuto particular de la UE en la OIV</w:t>
      </w:r>
    </w:p>
    <w:p w:rsidR="00AE2FB1" w:rsidRPr="00920C92" w:rsidRDefault="00AE2FB1" w:rsidP="00974B16">
      <w:pPr>
        <w:rPr>
          <w:rFonts w:eastAsia="Arial Unicode MS"/>
          <w:noProof/>
          <w:lang w:val="es-ES"/>
        </w:rPr>
      </w:pPr>
      <w:r w:rsidRPr="00920C92">
        <w:rPr>
          <w:noProof/>
          <w:lang w:val="es-ES"/>
        </w:rPr>
        <w:t>Actualmente son miembros de la OIV 50 Estados, de los cuales 20 son Estados miembros de la Unión. Si bien la UE no es miembro de la OIV, esta le ha concedido, desde el 20 de octubre de 2017, el estatuto particular previsto en el artículo 4 del Reglamento interno de la OIV, que permite a la Unión intervenir en los trabajos de las comisiones, subcomisiones y grupos de expertos y asistir a las reuniones de la Asamblea General y del Comité Ejecutivo.</w:t>
      </w:r>
    </w:p>
    <w:p w:rsidR="00AE2FB1" w:rsidRPr="00920C92" w:rsidRDefault="00B31960" w:rsidP="00B31960">
      <w:pPr>
        <w:pStyle w:val="ManualHeading2"/>
        <w:rPr>
          <w:noProof/>
          <w:lang w:val="es-ES"/>
        </w:rPr>
      </w:pPr>
      <w:r w:rsidRPr="00B31960">
        <w:rPr>
          <w:noProof/>
        </w:rPr>
        <w:t>2.2.</w:t>
      </w:r>
      <w:r w:rsidRPr="00B31960">
        <w:rPr>
          <w:noProof/>
        </w:rPr>
        <w:tab/>
      </w:r>
      <w:r w:rsidR="00AE2FB1" w:rsidRPr="00920C92">
        <w:rPr>
          <w:noProof/>
          <w:lang w:val="es-ES"/>
        </w:rPr>
        <w:t>La OIV</w:t>
      </w:r>
    </w:p>
    <w:p w:rsidR="00AE2FB1" w:rsidRPr="00920C92" w:rsidRDefault="00AE2FB1" w:rsidP="00974B16">
      <w:pPr>
        <w:rPr>
          <w:rFonts w:eastAsia="Arial Unicode MS"/>
          <w:noProof/>
          <w:lang w:val="es-ES"/>
        </w:rPr>
      </w:pPr>
      <w:r w:rsidRPr="00920C92">
        <w:rPr>
          <w:noProof/>
          <w:lang w:val="es-ES"/>
        </w:rPr>
        <w:t>La Organización Internacional de la Viña y el Vino (OIV) es una organización intergubernamental de carácter científico y técnico que opera en el ámbito de la viña y el vino, de las bebidas elaboradas a base de vino, las uvas de mesa, las uvas pasas y otros productos derivados de la vid. Los objetivos de la OIV son i) indicar las medidas destinadas a tener en cuenta las preocupaciones de los productores, consumidores y demás agentes del sector vitivinícola, ii) asistir a las otras organizaciones internacionales que desempeñan actividades normativas y iii) contribuir a la armonización internacional de las prácticas y normas existentes.</w:t>
      </w:r>
    </w:p>
    <w:p w:rsidR="00AE2FB1" w:rsidRPr="00920C92" w:rsidRDefault="00B31960" w:rsidP="00B31960">
      <w:pPr>
        <w:pStyle w:val="ManualHeading2"/>
        <w:rPr>
          <w:noProof/>
          <w:lang w:val="es-ES"/>
        </w:rPr>
      </w:pPr>
      <w:r w:rsidRPr="00B31960">
        <w:rPr>
          <w:noProof/>
        </w:rPr>
        <w:t>2.3.</w:t>
      </w:r>
      <w:r w:rsidRPr="00B31960">
        <w:rPr>
          <w:noProof/>
        </w:rPr>
        <w:tab/>
      </w:r>
      <w:r w:rsidR="00AE2FB1" w:rsidRPr="00920C92">
        <w:rPr>
          <w:noProof/>
          <w:lang w:val="es-ES"/>
        </w:rPr>
        <w:t>Acto previsto de la OIV</w:t>
      </w:r>
    </w:p>
    <w:p w:rsidR="00AE2FB1" w:rsidRPr="00920C92" w:rsidRDefault="00AE2FB1" w:rsidP="00AE2FB1">
      <w:pPr>
        <w:rPr>
          <w:noProof/>
          <w:lang w:val="es-ES"/>
        </w:rPr>
      </w:pPr>
      <w:r w:rsidRPr="00920C92">
        <w:rPr>
          <w:noProof/>
          <w:lang w:val="es-ES"/>
        </w:rPr>
        <w:t>La próxima Asamblea General de la OIV se celebrará el 18 de octubre de 2024. En este contexto y sobre la base de los debates celebrados en las reuniones del grupo de expertos que tuvieron lugar en abril de 2024, cabe esperar que las siguientes resoluciones, que surtirán efectos jurídicos en el Derecho de la UE, figuren en el orden del día de la Asamblea General para su adopción:</w:t>
      </w:r>
    </w:p>
    <w:p w:rsidR="00640A5A" w:rsidRPr="00920C92" w:rsidRDefault="00640A5A" w:rsidP="007A1319">
      <w:pPr>
        <w:pStyle w:val="Tiret0"/>
        <w:numPr>
          <w:ilvl w:val="0"/>
          <w:numId w:val="1"/>
        </w:numPr>
        <w:rPr>
          <w:noProof/>
          <w:lang w:val="es-ES"/>
        </w:rPr>
      </w:pPr>
      <w:r w:rsidRPr="00920C92">
        <w:rPr>
          <w:noProof/>
          <w:lang w:val="es-ES"/>
        </w:rPr>
        <w:t xml:space="preserve">Proyecto de Resolución </w:t>
      </w:r>
      <w:bookmarkStart w:id="1" w:name="_Hlk167894480"/>
      <w:r w:rsidRPr="00920C92">
        <w:rPr>
          <w:noProof/>
          <w:lang w:val="es-ES"/>
        </w:rPr>
        <w:t>OENO-MICRO 23-740 por la que se amplía el ámbito de aplicación de varias resoluciones existentes</w:t>
      </w:r>
      <w:bookmarkEnd w:id="1"/>
      <w:r w:rsidRPr="00920C92">
        <w:rPr>
          <w:noProof/>
          <w:lang w:val="es-ES"/>
        </w:rPr>
        <w:t>,</w:t>
      </w:r>
    </w:p>
    <w:p w:rsidR="00640A5A" w:rsidRPr="00920C92" w:rsidRDefault="00640A5A" w:rsidP="007A1319">
      <w:pPr>
        <w:pStyle w:val="Tiret0"/>
        <w:numPr>
          <w:ilvl w:val="0"/>
          <w:numId w:val="1"/>
        </w:numPr>
        <w:rPr>
          <w:noProof/>
          <w:lang w:val="es-ES"/>
        </w:rPr>
      </w:pPr>
      <w:r w:rsidRPr="00920C92">
        <w:rPr>
          <w:noProof/>
          <w:lang w:val="es-ES"/>
        </w:rPr>
        <w:t>Proyecto de resolución OENO-SPECIF 23-723 por la que se modifica una monografía existente de la OIV.</w:t>
      </w:r>
    </w:p>
    <w:p w:rsidR="00AE2FB1" w:rsidRPr="00920C92" w:rsidRDefault="00AE2FB1" w:rsidP="007A1319">
      <w:pPr>
        <w:pStyle w:val="Tiret0"/>
        <w:numPr>
          <w:ilvl w:val="0"/>
          <w:numId w:val="1"/>
        </w:numPr>
        <w:rPr>
          <w:noProof/>
          <w:lang w:val="es-ES"/>
        </w:rPr>
      </w:pPr>
      <w:r w:rsidRPr="00920C92">
        <w:rPr>
          <w:noProof/>
          <w:lang w:val="es-ES"/>
        </w:rPr>
        <w:t>Proyectos de resoluciones OENO-TECHNO 15-581B y OENO-TECHNO 20-672B, por las que se establecen nuevas prácticas enológicas.</w:t>
      </w:r>
    </w:p>
    <w:p w:rsidR="00AE2FB1" w:rsidRPr="00920C92" w:rsidRDefault="00AE2FB1" w:rsidP="00AE2FB1">
      <w:pPr>
        <w:rPr>
          <w:rFonts w:eastAsia="Arial Unicode MS"/>
          <w:noProof/>
          <w:lang w:val="es-ES"/>
        </w:rPr>
      </w:pPr>
      <w:r w:rsidRPr="00920C92">
        <w:rPr>
          <w:noProof/>
          <w:lang w:val="es-ES"/>
        </w:rPr>
        <w:t>Al igual que en el pasado, es posible que el orden del día de la reunión de la Asamblea General de la OIV sufra modificaciones y que se añadan al mismo otras resoluciones que surtan efectos jurídicos en el Derecho de la Unión. A fin de garantizar la eficacia de la labor de la Asamblea General, respetando al mismo tiempo las normas de los Tratados, la Comisión complementará o modificará, en su momento, la presente propuesta para que el Consejo pueda establecer la posición que deba adoptarse también con respecto a esas resoluciones.</w:t>
      </w:r>
    </w:p>
    <w:p w:rsidR="00AE2FB1" w:rsidRPr="00920C92" w:rsidRDefault="00B31960" w:rsidP="00B31960">
      <w:pPr>
        <w:pStyle w:val="ManualHeading1"/>
        <w:rPr>
          <w:rFonts w:eastAsia="Arial Unicode MS"/>
          <w:noProof/>
          <w:lang w:val="es-ES"/>
        </w:rPr>
      </w:pPr>
      <w:r w:rsidRPr="00B31960">
        <w:rPr>
          <w:noProof/>
        </w:rPr>
        <w:t>3.</w:t>
      </w:r>
      <w:r w:rsidRPr="00B31960">
        <w:rPr>
          <w:noProof/>
        </w:rPr>
        <w:tab/>
      </w:r>
      <w:r w:rsidR="00AE2FB1" w:rsidRPr="00920C92">
        <w:rPr>
          <w:noProof/>
          <w:lang w:val="es-ES"/>
        </w:rPr>
        <w:t>Posición que ha de adoptarse en nombre de la Unión</w:t>
      </w:r>
    </w:p>
    <w:p w:rsidR="00AE2FB1" w:rsidRPr="00920C92" w:rsidRDefault="00AE2FB1" w:rsidP="00130B34">
      <w:pPr>
        <w:rPr>
          <w:noProof/>
          <w:lang w:val="es-ES"/>
        </w:rPr>
      </w:pPr>
      <w:r w:rsidRPr="00920C92">
        <w:rPr>
          <w:noProof/>
          <w:lang w:val="es-ES"/>
        </w:rPr>
        <w:t>Los proyectos de resoluciones que se someterán a votación en la próxima Asamblea General de la OIV, que han sido objeto de un amplio debate entre expertos científicos y técnicos del sector vitivinícola, contribuyen a la armonización internacional de las normas del vino y establecerán un marco que garantizará la competencia leal en los intercambios comerciales de los productos del sector vitivinícola. Por lo tanto, deben ser apoyados.</w:t>
      </w:r>
    </w:p>
    <w:p w:rsidR="00AE2FB1" w:rsidRPr="00920C92" w:rsidRDefault="00B31960" w:rsidP="00B31960">
      <w:pPr>
        <w:pStyle w:val="ManualHeading1"/>
        <w:rPr>
          <w:noProof/>
          <w:lang w:val="es-ES"/>
        </w:rPr>
      </w:pPr>
      <w:r w:rsidRPr="00B31960">
        <w:rPr>
          <w:noProof/>
        </w:rPr>
        <w:t>4.</w:t>
      </w:r>
      <w:r w:rsidRPr="00B31960">
        <w:rPr>
          <w:noProof/>
        </w:rPr>
        <w:tab/>
      </w:r>
      <w:r w:rsidR="00AE2FB1" w:rsidRPr="00920C92">
        <w:rPr>
          <w:noProof/>
          <w:lang w:val="es-ES"/>
        </w:rPr>
        <w:t>Base jurídica</w:t>
      </w:r>
    </w:p>
    <w:p w:rsidR="00AE2FB1" w:rsidRPr="00920C92" w:rsidRDefault="00B31960" w:rsidP="00B31960">
      <w:pPr>
        <w:pStyle w:val="ManualHeading2"/>
        <w:rPr>
          <w:noProof/>
          <w:lang w:val="es-ES"/>
        </w:rPr>
      </w:pPr>
      <w:r w:rsidRPr="00B31960">
        <w:rPr>
          <w:noProof/>
        </w:rPr>
        <w:t>4.1.</w:t>
      </w:r>
      <w:r w:rsidRPr="00B31960">
        <w:rPr>
          <w:noProof/>
        </w:rPr>
        <w:tab/>
      </w:r>
      <w:r w:rsidR="00AE2FB1" w:rsidRPr="00920C92">
        <w:rPr>
          <w:noProof/>
          <w:lang w:val="es-ES"/>
        </w:rPr>
        <w:t>Base jurídica procedimental</w:t>
      </w:r>
    </w:p>
    <w:p w:rsidR="00AE2FB1" w:rsidRPr="00920C92" w:rsidRDefault="00B31960" w:rsidP="00B31960">
      <w:pPr>
        <w:pStyle w:val="ManualHeading3"/>
        <w:rPr>
          <w:noProof/>
          <w:lang w:val="es-ES"/>
        </w:rPr>
      </w:pPr>
      <w:r w:rsidRPr="00B31960">
        <w:rPr>
          <w:noProof/>
        </w:rPr>
        <w:t>4.1.1.</w:t>
      </w:r>
      <w:r w:rsidRPr="00B31960">
        <w:rPr>
          <w:noProof/>
        </w:rPr>
        <w:tab/>
      </w:r>
      <w:r w:rsidR="00AE2FB1" w:rsidRPr="00920C92">
        <w:rPr>
          <w:noProof/>
          <w:lang w:val="es-ES"/>
        </w:rPr>
        <w:t>Principios</w:t>
      </w:r>
    </w:p>
    <w:p w:rsidR="00AE2FB1" w:rsidRPr="00920C92" w:rsidRDefault="00AE2FB1" w:rsidP="00974B16">
      <w:pPr>
        <w:rPr>
          <w:noProof/>
          <w:lang w:val="es-ES"/>
        </w:rPr>
      </w:pPr>
      <w:r w:rsidRPr="00920C92">
        <w:rPr>
          <w:noProof/>
          <w:lang w:val="es-ES"/>
        </w:rPr>
        <w:t>El artículo 218, apartado 9, del Tratado de Funcionamiento de la Unión Europea</w:t>
      </w:r>
      <w:r w:rsidR="00920C92" w:rsidRPr="00920C92">
        <w:rPr>
          <w:noProof/>
          <w:lang w:val="es-ES"/>
        </w:rPr>
        <w:t> </w:t>
      </w:r>
      <w:r w:rsidRPr="00920C92">
        <w:rPr>
          <w:noProof/>
          <w:lang w:val="es-ES"/>
        </w:rPr>
        <w:t>(TFUE)</w:t>
      </w:r>
      <w:r w:rsidR="00920C92" w:rsidRPr="00920C92">
        <w:rPr>
          <w:noProof/>
          <w:lang w:val="es-ES"/>
        </w:rPr>
        <w:t> </w:t>
      </w:r>
      <w:r w:rsidRPr="00920C92">
        <w:rPr>
          <w:noProof/>
          <w:lang w:val="es-ES"/>
        </w:rPr>
        <w:t>contempla la adopción de decisiones por las que se establezcan «las posiciones que deban adoptarse en nombre de la Unión en un organismo creado por un acuerdo, cuando dicho organismo deba adoptar actos que surtan efectos jurídicos, con excepción de los actos que completen o modifiquen el marco institucional del acuerdo».</w:t>
      </w:r>
    </w:p>
    <w:p w:rsidR="00AE2FB1" w:rsidRPr="00920C92" w:rsidRDefault="00AE2FB1" w:rsidP="00974B16">
      <w:pPr>
        <w:rPr>
          <w:noProof/>
          <w:lang w:val="es-ES"/>
        </w:rPr>
      </w:pPr>
      <w:r w:rsidRPr="00920C92">
        <w:rPr>
          <w:noProof/>
          <w:lang w:val="es-ES"/>
        </w:rPr>
        <w:t>El artículo 218, apartado 9, del TFUE es de aplicación independientemente de que la Unión sea miembro del organismo o Parte en el acuerdo en cuestión</w:t>
      </w:r>
      <w:r w:rsidRPr="00920C92">
        <w:rPr>
          <w:rStyle w:val="FootnoteReference"/>
          <w:noProof/>
          <w:lang w:val="es-ES"/>
        </w:rPr>
        <w:footnoteReference w:id="2"/>
      </w:r>
      <w:r w:rsidRPr="00920C92">
        <w:rPr>
          <w:noProof/>
          <w:lang w:val="es-ES"/>
        </w:rPr>
        <w:t>.</w:t>
      </w:r>
    </w:p>
    <w:p w:rsidR="00AE2FB1" w:rsidRPr="00920C92" w:rsidRDefault="00AE2FB1" w:rsidP="00974B16">
      <w:pPr>
        <w:rPr>
          <w:noProof/>
          <w:lang w:val="es-ES"/>
        </w:rPr>
      </w:pPr>
      <w:r w:rsidRPr="00920C92">
        <w:rPr>
          <w:noProof/>
          <w:lang w:val="es-ES"/>
        </w:rPr>
        <w:t>El concepto de «actos que surtan efectos jurídicos» incluye los actos que surten efectos jurídicos en virtud de las normas de Derecho internacional por las que se rija el organismo de que se trate. Incluye asimismo aquellos actos que no tienen fuerza vinculante con arreglo al Derecho internacional, pero que «influyen de manera determinante [en] el contenido de la normativa adoptada por el legislador de la Unión»</w:t>
      </w:r>
      <w:r w:rsidRPr="00920C92">
        <w:rPr>
          <w:rStyle w:val="FootnoteReference"/>
          <w:noProof/>
          <w:lang w:val="es-ES"/>
        </w:rPr>
        <w:footnoteReference w:id="3"/>
      </w:r>
      <w:r w:rsidRPr="00920C92">
        <w:rPr>
          <w:noProof/>
          <w:lang w:val="es-ES"/>
        </w:rPr>
        <w:t>.</w:t>
      </w:r>
    </w:p>
    <w:p w:rsidR="00AE2FB1" w:rsidRPr="00920C92" w:rsidRDefault="00B31960" w:rsidP="00B31960">
      <w:pPr>
        <w:pStyle w:val="ManualHeading3"/>
        <w:rPr>
          <w:noProof/>
          <w:lang w:val="es-ES"/>
        </w:rPr>
      </w:pPr>
      <w:r w:rsidRPr="00B31960">
        <w:rPr>
          <w:noProof/>
        </w:rPr>
        <w:t>4.1.2.</w:t>
      </w:r>
      <w:r w:rsidRPr="00B31960">
        <w:rPr>
          <w:noProof/>
        </w:rPr>
        <w:tab/>
      </w:r>
      <w:r w:rsidR="00AE2FB1" w:rsidRPr="00920C92">
        <w:rPr>
          <w:noProof/>
          <w:lang w:val="es-ES"/>
        </w:rPr>
        <w:t>Aplicación al presente caso</w:t>
      </w:r>
    </w:p>
    <w:p w:rsidR="00AE2FB1" w:rsidRPr="00920C92" w:rsidRDefault="00AE2FB1" w:rsidP="00AE2FB1">
      <w:pPr>
        <w:rPr>
          <w:rFonts w:eastAsia="Times New Roman"/>
          <w:noProof/>
          <w:szCs w:val="24"/>
          <w:lang w:val="es-ES"/>
        </w:rPr>
      </w:pPr>
      <w:r w:rsidRPr="00920C92">
        <w:rPr>
          <w:noProof/>
          <w:lang w:val="es-ES"/>
        </w:rPr>
        <w:t>La Organización Internacional de la Viña y el Vino (OIV) es una organización intergubernamental de carácter científico y técnico que opera en el ámbito de la viña y el vino, de las bebidas elaboradas a base de vino, las uvas de mesa, las uvas pasas y otros productos derivados de la vid. Actualmente son miembros de la OIV 50 Estados, de los cuales 20 son Estados miembros de la Unión. La UE no es miembro de la OIV. Sin embargo, desde el 20 de octubre de 2017, la OIV ha concedido a la Unión el estatuto particular previsto en el artículo 4 del Reglamento interno de la OIV, que le permite intervenir en los trabajos de las comisiones, subcomisiones y grupos de expertos y asistir a las reuniones de la Asamblea General y del Comité Ejecutivo.</w:t>
      </w:r>
    </w:p>
    <w:p w:rsidR="00AE2FB1" w:rsidRPr="00920C92" w:rsidRDefault="00AE2FB1" w:rsidP="00AE2FB1">
      <w:pPr>
        <w:rPr>
          <w:noProof/>
          <w:lang w:val="es-ES"/>
        </w:rPr>
      </w:pPr>
      <w:r w:rsidRPr="00920C92">
        <w:rPr>
          <w:noProof/>
          <w:lang w:val="es-ES"/>
        </w:rPr>
        <w:t>Según lo dispuesto en el Reglamento (UE) n.º 1308/2013 del Parlamento Europeo y del Consejo y en el Reglamento Delegado (UE) 2019/934 de la Comisión, algunas resoluciones adoptadas y publicadas por la OIV surten efectos jurídicos en el Derecho de la Unión. Por tanto, el Consejo debe adoptar la posición de la Unión respecto de las resoluciones en cuestión en lo referente a los asuntos que sean de su competencia, y los Estados miembros pertenecientes a la organización, actuando conjuntamente al servicio de los intereses de la Unión, han de expresar la posición adoptada en las reuniones de la OIV.</w:t>
      </w:r>
    </w:p>
    <w:p w:rsidR="00AE2FB1" w:rsidRPr="00920C92" w:rsidRDefault="00AE2FB1" w:rsidP="00AE2FB1">
      <w:pPr>
        <w:rPr>
          <w:noProof/>
          <w:lang w:val="es-ES"/>
        </w:rPr>
      </w:pPr>
      <w:r w:rsidRPr="00920C92">
        <w:rPr>
          <w:noProof/>
          <w:lang w:val="es-ES"/>
        </w:rPr>
        <w:t>Por consiguiente, la base jurídica procedimental de la Decisión propuesta es el artículo 218, apartado 9, del TFUE.</w:t>
      </w:r>
    </w:p>
    <w:p w:rsidR="00AE2FB1" w:rsidRPr="00920C92" w:rsidRDefault="00B31960" w:rsidP="00B31960">
      <w:pPr>
        <w:pStyle w:val="ManualHeading2"/>
        <w:rPr>
          <w:noProof/>
          <w:lang w:val="es-ES"/>
        </w:rPr>
      </w:pPr>
      <w:r w:rsidRPr="00B31960">
        <w:rPr>
          <w:noProof/>
        </w:rPr>
        <w:t>4.2.</w:t>
      </w:r>
      <w:r w:rsidRPr="00B31960">
        <w:rPr>
          <w:noProof/>
        </w:rPr>
        <w:tab/>
      </w:r>
      <w:r w:rsidR="00AE2FB1" w:rsidRPr="00920C92">
        <w:rPr>
          <w:noProof/>
          <w:lang w:val="es-ES"/>
        </w:rPr>
        <w:t>Base jurídica sustantiva</w:t>
      </w:r>
    </w:p>
    <w:p w:rsidR="00AE2FB1" w:rsidRPr="00920C92" w:rsidRDefault="00B31960" w:rsidP="00B31960">
      <w:pPr>
        <w:pStyle w:val="ManualHeading3"/>
        <w:rPr>
          <w:noProof/>
          <w:lang w:val="es-ES"/>
        </w:rPr>
      </w:pPr>
      <w:r w:rsidRPr="00B31960">
        <w:rPr>
          <w:noProof/>
        </w:rPr>
        <w:t>4.2.1.</w:t>
      </w:r>
      <w:r w:rsidRPr="00B31960">
        <w:rPr>
          <w:noProof/>
        </w:rPr>
        <w:tab/>
      </w:r>
      <w:r w:rsidR="00AE2FB1" w:rsidRPr="00920C92">
        <w:rPr>
          <w:noProof/>
          <w:lang w:val="es-ES"/>
        </w:rPr>
        <w:t>Principios</w:t>
      </w:r>
    </w:p>
    <w:p w:rsidR="00AE2FB1" w:rsidRPr="00920C92" w:rsidRDefault="00AE2FB1" w:rsidP="00974B16">
      <w:pPr>
        <w:rPr>
          <w:noProof/>
          <w:lang w:val="es-ES"/>
        </w:rPr>
      </w:pPr>
      <w:r w:rsidRPr="00920C92">
        <w:rPr>
          <w:noProof/>
          <w:lang w:val="es-ES"/>
        </w:rPr>
        <w:t>La base jurídica sustantiva de las decisiones adoptadas con arreglo al artículo 218, apartado 9, del TFUE depende principalmente del objetivo y del contenido del acto respecto del cual se toma una posición en nombre de la Unión. Si el acto previsto persigue un doble objetivo o tiene un componente doble, y si uno de dichos objetivos o componentes puede calificarse de principal, mientras que el otro solamente es accesorio, la decisión adoptada con arreglo al artículo 218, apartado 9, del TFUE debe fundarse en una única base jurídica sustantiva, a saber, la que exija el objetivo o componente principal o preponderante.</w:t>
      </w:r>
    </w:p>
    <w:p w:rsidR="00AE2FB1" w:rsidRPr="00920C92" w:rsidRDefault="00B31960" w:rsidP="00B31960">
      <w:pPr>
        <w:pStyle w:val="ManualHeading3"/>
        <w:rPr>
          <w:noProof/>
          <w:lang w:val="es-ES"/>
        </w:rPr>
      </w:pPr>
      <w:r w:rsidRPr="00B31960">
        <w:rPr>
          <w:noProof/>
        </w:rPr>
        <w:t>4.2.2.</w:t>
      </w:r>
      <w:r w:rsidRPr="00B31960">
        <w:rPr>
          <w:noProof/>
        </w:rPr>
        <w:tab/>
      </w:r>
      <w:r w:rsidR="00AE2FB1" w:rsidRPr="00920C92">
        <w:rPr>
          <w:noProof/>
          <w:lang w:val="es-ES"/>
        </w:rPr>
        <w:t>Aplicación al presente caso</w:t>
      </w:r>
    </w:p>
    <w:p w:rsidR="00AE2FB1" w:rsidRPr="00920C92" w:rsidRDefault="00AE2FB1" w:rsidP="00974B16">
      <w:pPr>
        <w:rPr>
          <w:noProof/>
          <w:lang w:val="es-ES"/>
        </w:rPr>
      </w:pPr>
      <w:r w:rsidRPr="00920C92">
        <w:rPr>
          <w:noProof/>
          <w:color w:val="000000" w:themeColor="text1"/>
          <w:lang w:val="es-ES"/>
        </w:rPr>
        <w:t>El principal objetivo de los proyectos de resoluciones previstos se refiere a la armonización de normas sobre el vino y, por tanto, a la aplicación de una política agrícola común. Por lo tanto, la base jurídica sustantiva de la Decisión propuesta incluye el artículo 43 del TFUE.</w:t>
      </w:r>
    </w:p>
    <w:p w:rsidR="00AE2FB1" w:rsidRPr="00920C92" w:rsidRDefault="00B31960" w:rsidP="00B31960">
      <w:pPr>
        <w:pStyle w:val="ManualHeading2"/>
        <w:rPr>
          <w:noProof/>
          <w:lang w:val="es-ES"/>
        </w:rPr>
      </w:pPr>
      <w:r w:rsidRPr="00B31960">
        <w:rPr>
          <w:noProof/>
        </w:rPr>
        <w:t>4.3.</w:t>
      </w:r>
      <w:r w:rsidRPr="00B31960">
        <w:rPr>
          <w:noProof/>
        </w:rPr>
        <w:tab/>
      </w:r>
      <w:r w:rsidR="00AE2FB1" w:rsidRPr="00920C92">
        <w:rPr>
          <w:noProof/>
          <w:lang w:val="es-ES"/>
        </w:rPr>
        <w:t>Conclusión</w:t>
      </w:r>
    </w:p>
    <w:p w:rsidR="00AE2FB1" w:rsidRPr="00920C92" w:rsidRDefault="00AE2FB1" w:rsidP="00974B16">
      <w:pPr>
        <w:rPr>
          <w:noProof/>
          <w:lang w:val="es-ES"/>
        </w:rPr>
      </w:pPr>
      <w:r w:rsidRPr="00920C92">
        <w:rPr>
          <w:noProof/>
          <w:lang w:val="es-ES"/>
        </w:rPr>
        <w:t>La base jurídica de la Decisión propuesta debe ser el artículo 43 del TFUE, en relación con su artículo 218, apartado 9.</w:t>
      </w:r>
    </w:p>
    <w:p w:rsidR="00AE2FB1" w:rsidRPr="00920C92" w:rsidRDefault="00B31960" w:rsidP="00B31960">
      <w:pPr>
        <w:pStyle w:val="ManualHeading1"/>
        <w:rPr>
          <w:noProof/>
          <w:lang w:val="es-ES"/>
        </w:rPr>
      </w:pPr>
      <w:r w:rsidRPr="00B31960">
        <w:rPr>
          <w:noProof/>
        </w:rPr>
        <w:t>5.</w:t>
      </w:r>
      <w:r w:rsidRPr="00B31960">
        <w:rPr>
          <w:noProof/>
        </w:rPr>
        <w:tab/>
      </w:r>
      <w:r w:rsidR="00AE2FB1" w:rsidRPr="00920C92">
        <w:rPr>
          <w:noProof/>
          <w:lang w:val="es-ES"/>
        </w:rPr>
        <w:t>Publicación del acto previsto</w:t>
      </w:r>
    </w:p>
    <w:p w:rsidR="00AE2FB1" w:rsidRPr="00920C92" w:rsidRDefault="00AE2FB1" w:rsidP="00974B16">
      <w:pPr>
        <w:rPr>
          <w:noProof/>
          <w:lang w:val="es-ES"/>
        </w:rPr>
      </w:pPr>
      <w:r w:rsidRPr="00920C92">
        <w:rPr>
          <w:noProof/>
          <w:lang w:val="es-ES"/>
        </w:rPr>
        <w:t>No aplicable.</w:t>
      </w:r>
    </w:p>
    <w:p w:rsidR="00AE2FB1" w:rsidRPr="00920C92" w:rsidRDefault="00AE2FB1" w:rsidP="00974B16">
      <w:pPr>
        <w:rPr>
          <w:noProof/>
          <w:lang w:val="es-ES"/>
        </w:rPr>
        <w:sectPr w:rsidR="00AE2FB1" w:rsidRPr="00920C92" w:rsidSect="00246EA1">
          <w:headerReference w:type="even" r:id="rId14"/>
          <w:footerReference w:type="even" r:id="rId15"/>
          <w:footerReference w:type="default" r:id="rId16"/>
          <w:headerReference w:type="first" r:id="rId17"/>
          <w:footerReference w:type="first" r:id="rId18"/>
          <w:pgSz w:w="11907" w:h="16839"/>
          <w:pgMar w:top="1134" w:right="1417" w:bottom="1134" w:left="1417" w:header="709" w:footer="709" w:gutter="0"/>
          <w:cols w:space="708"/>
          <w:docGrid w:linePitch="360"/>
        </w:sectPr>
      </w:pPr>
    </w:p>
    <w:p w:rsidR="0003271B" w:rsidRDefault="00E06CFB">
      <w:pPr>
        <w:pStyle w:val="Rfrenceinterinstitutionnelle"/>
        <w:rPr>
          <w:noProof/>
        </w:rPr>
      </w:pPr>
      <w:r>
        <w:rPr>
          <w:noProof/>
        </w:rPr>
        <w:t>2024/0209 (NLE)</w:t>
      </w:r>
    </w:p>
    <w:p w:rsidR="00AE2FB1" w:rsidRPr="00920C92" w:rsidRDefault="00920C92" w:rsidP="00920C92">
      <w:pPr>
        <w:pStyle w:val="Statut"/>
        <w:rPr>
          <w:noProof/>
          <w:lang w:val="es-ES"/>
        </w:rPr>
      </w:pPr>
      <w:r w:rsidRPr="00920C92">
        <w:rPr>
          <w:noProof/>
          <w:lang w:val="es-ES"/>
        </w:rPr>
        <w:t>Propuesta de</w:t>
      </w:r>
    </w:p>
    <w:p w:rsidR="00AE2FB1" w:rsidRPr="00920C92" w:rsidRDefault="00920C92" w:rsidP="00920C92">
      <w:pPr>
        <w:pStyle w:val="Typedudocument"/>
        <w:rPr>
          <w:noProof/>
          <w:lang w:val="es-ES"/>
        </w:rPr>
      </w:pPr>
      <w:r w:rsidRPr="00920C92">
        <w:rPr>
          <w:noProof/>
          <w:lang w:val="es-ES"/>
        </w:rPr>
        <w:t>DECISIÓN DEL CONSEJO</w:t>
      </w:r>
    </w:p>
    <w:p w:rsidR="00AE2FB1" w:rsidRPr="00920C92" w:rsidRDefault="00920C92" w:rsidP="00920C92">
      <w:pPr>
        <w:pStyle w:val="Titreobjet"/>
        <w:rPr>
          <w:noProof/>
          <w:lang w:val="es-ES"/>
        </w:rPr>
      </w:pPr>
      <w:r w:rsidRPr="00920C92">
        <w:rPr>
          <w:noProof/>
          <w:lang w:val="es-ES"/>
        </w:rPr>
        <w:t>relativa a la posición que ha de adoptarse, en nombre de la Unión Europea, en la Organización Internacional de la Viña y el Vino (OIV)</w:t>
      </w:r>
    </w:p>
    <w:p w:rsidR="00AE2FB1" w:rsidRPr="00920C92" w:rsidRDefault="00AE2FB1" w:rsidP="00974B16">
      <w:pPr>
        <w:pStyle w:val="Institutionquiagit"/>
        <w:rPr>
          <w:noProof/>
          <w:lang w:val="es-ES"/>
        </w:rPr>
      </w:pPr>
      <w:r w:rsidRPr="00920C92">
        <w:rPr>
          <w:noProof/>
          <w:lang w:val="es-ES"/>
        </w:rPr>
        <w:t>EL CONSEJO DE LA UNIÓN EUROPEA,</w:t>
      </w:r>
    </w:p>
    <w:p w:rsidR="004676B9" w:rsidRPr="00920C92" w:rsidRDefault="004676B9" w:rsidP="004676B9">
      <w:pPr>
        <w:rPr>
          <w:noProof/>
          <w:lang w:val="es-ES"/>
        </w:rPr>
      </w:pPr>
      <w:r w:rsidRPr="00920C92">
        <w:rPr>
          <w:noProof/>
          <w:lang w:val="es-ES"/>
        </w:rPr>
        <w:t>Visto el Tratado de Funcionamiento de la Unión Europea, y en particular su artículo 43, en relación con su artículo 218, apartado 9,</w:t>
      </w:r>
    </w:p>
    <w:p w:rsidR="004676B9" w:rsidRPr="00920C92" w:rsidRDefault="004676B9" w:rsidP="004676B9">
      <w:pPr>
        <w:rPr>
          <w:noProof/>
          <w:lang w:val="es-ES"/>
        </w:rPr>
      </w:pPr>
      <w:r w:rsidRPr="00920C92">
        <w:rPr>
          <w:noProof/>
          <w:lang w:val="es-ES"/>
        </w:rPr>
        <w:t>Vista la propuesta de la Comisión Europea,</w:t>
      </w:r>
    </w:p>
    <w:p w:rsidR="004676B9" w:rsidRPr="00920C92" w:rsidRDefault="004676B9" w:rsidP="004676B9">
      <w:pPr>
        <w:rPr>
          <w:noProof/>
          <w:lang w:val="es-ES"/>
        </w:rPr>
      </w:pPr>
      <w:r w:rsidRPr="00920C92">
        <w:rPr>
          <w:noProof/>
          <w:lang w:val="es-ES"/>
        </w:rPr>
        <w:t>Considerando lo siguiente:</w:t>
      </w:r>
    </w:p>
    <w:p w:rsidR="004676B9" w:rsidRPr="00920C92" w:rsidRDefault="00B31960" w:rsidP="00B31960">
      <w:pPr>
        <w:pStyle w:val="ManualConsidrant"/>
        <w:rPr>
          <w:noProof/>
          <w:lang w:val="es-ES"/>
        </w:rPr>
      </w:pPr>
      <w:r w:rsidRPr="00B31960">
        <w:rPr>
          <w:noProof/>
        </w:rPr>
        <w:t>(1)</w:t>
      </w:r>
      <w:r w:rsidRPr="00B31960">
        <w:rPr>
          <w:noProof/>
        </w:rPr>
        <w:tab/>
      </w:r>
      <w:r w:rsidR="004676B9" w:rsidRPr="00920C92">
        <w:rPr>
          <w:noProof/>
          <w:lang w:val="es-ES"/>
        </w:rPr>
        <w:t>En su próxima Asamblea General de 18 de octubre de 2024, la Organización Internacional de la Viña y el Vino (OIV) analizará y probablemente adoptará resoluciones que surtirán efectos jurídicos en el sentido del artículo 218, apartado 9, del TFUE.</w:t>
      </w:r>
    </w:p>
    <w:p w:rsidR="004676B9" w:rsidRPr="00920C92" w:rsidRDefault="00B31960" w:rsidP="00B31960">
      <w:pPr>
        <w:pStyle w:val="ManualConsidrant"/>
        <w:rPr>
          <w:noProof/>
          <w:lang w:val="es-ES"/>
        </w:rPr>
      </w:pPr>
      <w:r w:rsidRPr="00B31960">
        <w:rPr>
          <w:noProof/>
        </w:rPr>
        <w:t>(2)</w:t>
      </w:r>
      <w:r w:rsidRPr="00B31960">
        <w:rPr>
          <w:noProof/>
        </w:rPr>
        <w:tab/>
      </w:r>
      <w:r w:rsidR="004676B9" w:rsidRPr="00920C92">
        <w:rPr>
          <w:noProof/>
          <w:lang w:val="es-ES"/>
        </w:rPr>
        <w:t>Si bien la Unión no es miembro de la OIV, esta le concedió, el 20 de octubre de 2017, el estatuto particular previsto en el artículo 4 del Reglamento interno de la OIV.</w:t>
      </w:r>
    </w:p>
    <w:p w:rsidR="004676B9" w:rsidRPr="00920C92" w:rsidRDefault="00B31960" w:rsidP="00B31960">
      <w:pPr>
        <w:pStyle w:val="ManualConsidrant"/>
        <w:rPr>
          <w:noProof/>
          <w:lang w:val="es-ES"/>
        </w:rPr>
      </w:pPr>
      <w:r w:rsidRPr="00B31960">
        <w:rPr>
          <w:noProof/>
        </w:rPr>
        <w:t>(3)</w:t>
      </w:r>
      <w:r w:rsidRPr="00B31960">
        <w:rPr>
          <w:noProof/>
        </w:rPr>
        <w:tab/>
      </w:r>
      <w:r w:rsidR="004676B9" w:rsidRPr="00920C92">
        <w:rPr>
          <w:noProof/>
          <w:lang w:val="es-ES"/>
        </w:rPr>
        <w:t>Veinte Estados miembros forman parte de la OIV. Estos Estados miembros pueden proponer enmiendas a los proyectos de resolución de la OIV y se les pedirá que aprueben esas resoluciones en la próxima asamblea general de la OIV, que se celebrará el 18 de octubre de 2024.</w:t>
      </w:r>
    </w:p>
    <w:p w:rsidR="004676B9" w:rsidRPr="00920C92" w:rsidRDefault="00B31960" w:rsidP="00B31960">
      <w:pPr>
        <w:pStyle w:val="ManualConsidrant"/>
        <w:rPr>
          <w:noProof/>
          <w:lang w:val="es-ES"/>
        </w:rPr>
      </w:pPr>
      <w:r w:rsidRPr="00B31960">
        <w:rPr>
          <w:noProof/>
        </w:rPr>
        <w:t>(4)</w:t>
      </w:r>
      <w:r w:rsidRPr="00B31960">
        <w:rPr>
          <w:noProof/>
        </w:rPr>
        <w:tab/>
      </w:r>
      <w:r w:rsidR="004676B9" w:rsidRPr="00920C92">
        <w:rPr>
          <w:noProof/>
          <w:lang w:val="es-ES"/>
        </w:rPr>
        <w:t>Por tanto, el Consejo debe adoptar la posición de la Unión respecto de las resoluciones en cuestión en lo referente a los asuntos que sean de su competencia, y los Estados miembros pertenecientes a la organización, actuando conjuntamente al servicio de los intereses de la Unión, han de expresar la posición adoptada en las reuniones de la OIV.</w:t>
      </w:r>
    </w:p>
    <w:p w:rsidR="004676B9" w:rsidRPr="00920C92" w:rsidRDefault="00B31960" w:rsidP="00B31960">
      <w:pPr>
        <w:pStyle w:val="ManualConsidrant"/>
        <w:rPr>
          <w:noProof/>
          <w:lang w:val="es-ES"/>
        </w:rPr>
      </w:pPr>
      <w:r w:rsidRPr="00B31960">
        <w:rPr>
          <w:noProof/>
        </w:rPr>
        <w:t>(5)</w:t>
      </w:r>
      <w:r w:rsidRPr="00B31960">
        <w:rPr>
          <w:noProof/>
        </w:rPr>
        <w:tab/>
      </w:r>
      <w:r w:rsidR="004676B9" w:rsidRPr="00920C92">
        <w:rPr>
          <w:noProof/>
          <w:lang w:val="es-ES"/>
        </w:rPr>
        <w:t>Según lo dispuesto en el Reglamento (UE) n.º 1308/2013 del Parlamento Europeo y del Consejo</w:t>
      </w:r>
      <w:r w:rsidR="004676B9" w:rsidRPr="00920C92">
        <w:rPr>
          <w:rStyle w:val="FootnoteReference"/>
          <w:noProof/>
          <w:lang w:val="es-ES"/>
        </w:rPr>
        <w:footnoteReference w:id="4"/>
      </w:r>
      <w:r w:rsidR="004676B9" w:rsidRPr="00920C92">
        <w:rPr>
          <w:noProof/>
          <w:lang w:val="es-ES"/>
        </w:rPr>
        <w:t xml:space="preserve"> y en el Reglamento Delegado (UE) 2019/934 de la Comisión</w:t>
      </w:r>
      <w:r w:rsidR="004676B9" w:rsidRPr="00920C92">
        <w:rPr>
          <w:rStyle w:val="FootnoteReference"/>
          <w:noProof/>
          <w:lang w:val="es-ES"/>
        </w:rPr>
        <w:footnoteReference w:id="5"/>
      </w:r>
      <w:r w:rsidR="004676B9" w:rsidRPr="00920C92">
        <w:rPr>
          <w:noProof/>
          <w:lang w:val="es-ES"/>
        </w:rPr>
        <w:t>, algunas resoluciones adoptadas y publicadas por la OIV surtirán efectos jurídicos.</w:t>
      </w:r>
    </w:p>
    <w:p w:rsidR="004676B9" w:rsidRPr="00920C92" w:rsidRDefault="00B31960" w:rsidP="00B31960">
      <w:pPr>
        <w:pStyle w:val="ManualConsidrant"/>
        <w:rPr>
          <w:noProof/>
          <w:lang w:val="es-ES"/>
        </w:rPr>
      </w:pPr>
      <w:r w:rsidRPr="00B31960">
        <w:rPr>
          <w:noProof/>
        </w:rPr>
        <w:t>(6)</w:t>
      </w:r>
      <w:r w:rsidRPr="00B31960">
        <w:rPr>
          <w:noProof/>
        </w:rPr>
        <w:tab/>
      </w:r>
      <w:r w:rsidR="004676B9" w:rsidRPr="00920C92">
        <w:rPr>
          <w:noProof/>
          <w:lang w:val="es-ES"/>
        </w:rPr>
        <w:t>El artículo 80, apartado 3, letra a), del Reglamento (UE) n.º 1308/2013 establece que, cuando autorice prácticas enológicas, la Comisión debe tener en cuenta las prácticas enológicas y los métodos de análisis recomendados y publicados por la OIV.</w:t>
      </w:r>
    </w:p>
    <w:p w:rsidR="004676B9" w:rsidRPr="00920C92" w:rsidRDefault="00B31960" w:rsidP="00B31960">
      <w:pPr>
        <w:pStyle w:val="ManualConsidrant"/>
        <w:rPr>
          <w:noProof/>
          <w:lang w:val="es-ES"/>
        </w:rPr>
      </w:pPr>
      <w:r w:rsidRPr="00B31960">
        <w:rPr>
          <w:noProof/>
        </w:rPr>
        <w:t>(7)</w:t>
      </w:r>
      <w:r w:rsidRPr="00B31960">
        <w:rPr>
          <w:noProof/>
        </w:rPr>
        <w:tab/>
      </w:r>
      <w:r w:rsidR="004676B9" w:rsidRPr="00920C92">
        <w:rPr>
          <w:noProof/>
          <w:lang w:val="es-ES"/>
        </w:rPr>
        <w:t>El artículo 90, apartado 2, del Reglamento (UE) n.º 1308/2013 dispone que los productos del sector vitivinícola importados en la Unión deben producirse de acuerdo con las prácticas enológicas autorizadas por la Unión con arreglo a dicho Reglamento</w:t>
      </w:r>
      <w:r w:rsidR="00920C92" w:rsidRPr="00920C92">
        <w:rPr>
          <w:noProof/>
          <w:lang w:val="es-ES"/>
        </w:rPr>
        <w:t> </w:t>
      </w:r>
      <w:r w:rsidR="004676B9" w:rsidRPr="00920C92">
        <w:rPr>
          <w:noProof/>
          <w:lang w:val="es-ES"/>
        </w:rPr>
        <w:t>o, antes de dicha autorización, producidos de acuerdo con las prácticas enológicas recomendadas y publicadas por la OIV.</w:t>
      </w:r>
    </w:p>
    <w:p w:rsidR="00D31F9C" w:rsidRPr="00920C92" w:rsidRDefault="00B31960" w:rsidP="00B31960">
      <w:pPr>
        <w:pStyle w:val="ManualConsidrant"/>
        <w:rPr>
          <w:noProof/>
          <w:lang w:val="es-ES"/>
        </w:rPr>
      </w:pPr>
      <w:r w:rsidRPr="00B31960">
        <w:rPr>
          <w:noProof/>
        </w:rPr>
        <w:t>(8)</w:t>
      </w:r>
      <w:r w:rsidRPr="00B31960">
        <w:rPr>
          <w:noProof/>
        </w:rPr>
        <w:tab/>
      </w:r>
      <w:r w:rsidR="00D31F9C" w:rsidRPr="00920C92">
        <w:rPr>
          <w:noProof/>
          <w:lang w:val="es-ES"/>
        </w:rPr>
        <w:t>El artículo 9, apartado 1, del Reglamento Delegado (UE) 2019/934 establece que, cuando no hayan sido establecidas por la Comisión, las características de pureza e identidad de las sustancias utilizadas en las prácticas enológicas han de ser las establecidas en el anexo I, parte A, cuadro 2, columna 4, de dicho Reglamento, que remiten a las recomendaciones de la OIV.</w:t>
      </w:r>
    </w:p>
    <w:p w:rsidR="00D31F9C" w:rsidRPr="00920C92" w:rsidRDefault="00B31960" w:rsidP="00B31960">
      <w:pPr>
        <w:pStyle w:val="ManualConsidrant"/>
        <w:rPr>
          <w:noProof/>
          <w:lang w:val="es-ES"/>
        </w:rPr>
      </w:pPr>
      <w:r w:rsidRPr="00B31960">
        <w:rPr>
          <w:noProof/>
        </w:rPr>
        <w:t>(9)</w:t>
      </w:r>
      <w:r w:rsidRPr="00B31960">
        <w:rPr>
          <w:noProof/>
        </w:rPr>
        <w:tab/>
      </w:r>
      <w:r w:rsidR="00653349" w:rsidRPr="00920C92">
        <w:rPr>
          <w:noProof/>
          <w:lang w:val="es-ES"/>
        </w:rPr>
        <w:t xml:space="preserve">El proyecto de resolución OENO-MICRO 23-740 amplía el ámbito de aplicación de varias resoluciones para incluir las levaduras no </w:t>
      </w:r>
      <w:r w:rsidR="00653349" w:rsidRPr="00920C92">
        <w:rPr>
          <w:i/>
          <w:iCs/>
          <w:noProof/>
          <w:lang w:val="es-ES"/>
        </w:rPr>
        <w:t>Saccharomyces</w:t>
      </w:r>
      <w:r w:rsidR="00653349" w:rsidRPr="00920C92">
        <w:rPr>
          <w:noProof/>
          <w:lang w:val="es-ES"/>
        </w:rPr>
        <w:t xml:space="preserve"> con el fin de regular su uso. De conformidad con el artículo 80, apartado 3, letra a), y el artículo</w:t>
      </w:r>
      <w:r w:rsidR="00920C92" w:rsidRPr="00920C92">
        <w:rPr>
          <w:noProof/>
          <w:lang w:val="es-ES"/>
        </w:rPr>
        <w:t> </w:t>
      </w:r>
      <w:r w:rsidR="00653349" w:rsidRPr="00920C92">
        <w:rPr>
          <w:noProof/>
          <w:lang w:val="es-ES"/>
        </w:rPr>
        <w:t>90,</w:t>
      </w:r>
      <w:r w:rsidR="00920C92" w:rsidRPr="00920C92">
        <w:rPr>
          <w:noProof/>
          <w:lang w:val="es-ES"/>
        </w:rPr>
        <w:t> </w:t>
      </w:r>
      <w:r w:rsidR="00653349" w:rsidRPr="00920C92">
        <w:rPr>
          <w:noProof/>
          <w:lang w:val="es-ES"/>
        </w:rPr>
        <w:t>apartado 2, del Reglamento (UE) n.º 1308/2013, dicha resolución surtirá efectos jurídicos.</w:t>
      </w:r>
    </w:p>
    <w:p w:rsidR="00D57470" w:rsidRPr="00920C92" w:rsidRDefault="00B31960" w:rsidP="00B31960">
      <w:pPr>
        <w:pStyle w:val="ManualConsidrant"/>
        <w:rPr>
          <w:noProof/>
          <w:lang w:val="es-ES"/>
        </w:rPr>
      </w:pPr>
      <w:r w:rsidRPr="00B31960">
        <w:rPr>
          <w:noProof/>
        </w:rPr>
        <w:t>(10)</w:t>
      </w:r>
      <w:r w:rsidRPr="00B31960">
        <w:rPr>
          <w:noProof/>
        </w:rPr>
        <w:tab/>
      </w:r>
      <w:r w:rsidR="00D57470" w:rsidRPr="00920C92">
        <w:rPr>
          <w:noProof/>
          <w:lang w:val="es-ES"/>
        </w:rPr>
        <w:t>El proyecto de resolución OENO-SPECIF 23-723 retira las proteínas de trigo de todos los documentos de la OIV, incluidos el Codex ecológico internacional y el Código internacional de prácticas enológicas. De conformidad con el artículo 80, apartado 3, punto a), y el artículo 90, apartado 2, del Reglamento (UE) n.º 1308/2013, y el artículo 9 del Reglamento Delegado (UE) 2019/934, dicha resolución surtirá efectos jurídicos.</w:t>
      </w:r>
    </w:p>
    <w:p w:rsidR="004676B9" w:rsidRPr="00920C92" w:rsidRDefault="00B31960" w:rsidP="00B31960">
      <w:pPr>
        <w:pStyle w:val="ManualConsidrant"/>
        <w:rPr>
          <w:noProof/>
          <w:lang w:val="es-ES"/>
        </w:rPr>
      </w:pPr>
      <w:r w:rsidRPr="00B31960">
        <w:rPr>
          <w:noProof/>
        </w:rPr>
        <w:t>(11)</w:t>
      </w:r>
      <w:r w:rsidRPr="00B31960">
        <w:rPr>
          <w:noProof/>
        </w:rPr>
        <w:tab/>
      </w:r>
      <w:r w:rsidR="0072431E" w:rsidRPr="00920C92">
        <w:rPr>
          <w:noProof/>
          <w:lang w:val="es-ES"/>
        </w:rPr>
        <w:t>El proyecto de resolución OENO-TECHNO 15-581B establece una nueva práctica enológica a fin de mejorar la acidez del vino con el uso de ácido fumárico. El proyecto de resolución OENO-TECHNO 20-672B establece una nueva práctica enológica para la estabilización proteica de los vinos utilizando sílice mesoporosa funcionalizada. De</w:t>
      </w:r>
      <w:r w:rsidR="00920C92" w:rsidRPr="00920C92">
        <w:rPr>
          <w:noProof/>
          <w:lang w:val="es-ES"/>
        </w:rPr>
        <w:t> </w:t>
      </w:r>
      <w:r w:rsidR="0072431E" w:rsidRPr="00920C92">
        <w:rPr>
          <w:noProof/>
          <w:lang w:val="es-ES"/>
        </w:rPr>
        <w:t>conformidad con el artículo 80, apartado 3, punto a), y el artículo 90, apartado 2, del Reglamento (UE) n.º 1308/2013, dichas resoluciones surtirán efectos jurídicos.</w:t>
      </w:r>
    </w:p>
    <w:p w:rsidR="004676B9" w:rsidRPr="00920C92" w:rsidRDefault="00B31960" w:rsidP="00B31960">
      <w:pPr>
        <w:pStyle w:val="ManualConsidrant"/>
        <w:rPr>
          <w:noProof/>
          <w:lang w:val="es-ES"/>
        </w:rPr>
      </w:pPr>
      <w:r w:rsidRPr="00B31960">
        <w:rPr>
          <w:noProof/>
        </w:rPr>
        <w:t>(12)</w:t>
      </w:r>
      <w:r w:rsidRPr="00B31960">
        <w:rPr>
          <w:noProof/>
        </w:rPr>
        <w:tab/>
      </w:r>
      <w:r w:rsidR="004676B9" w:rsidRPr="00920C92">
        <w:rPr>
          <w:noProof/>
          <w:lang w:val="es-ES"/>
        </w:rPr>
        <w:t>Los proyectos de resoluciones de la OIV mencionados, que han sido objeto de un amplio debate entre expertos científicos y técnicos del sector vitivinícola, contribuyen a la armonización internacional de las normas del vino y establecerán un marco que garantizará la competencia leal en los intercambios comerciales de los productos del sector vitivinícola. Por lo tanto, deben ser apoyados.</w:t>
      </w:r>
    </w:p>
    <w:p w:rsidR="00AE2FB1" w:rsidRPr="00920C92" w:rsidRDefault="00B31960" w:rsidP="00B31960">
      <w:pPr>
        <w:pStyle w:val="ManualConsidrant"/>
        <w:rPr>
          <w:noProof/>
          <w:lang w:val="es-ES"/>
        </w:rPr>
      </w:pPr>
      <w:r w:rsidRPr="00B31960">
        <w:rPr>
          <w:noProof/>
        </w:rPr>
        <w:t>(13)</w:t>
      </w:r>
      <w:r w:rsidRPr="00B31960">
        <w:rPr>
          <w:noProof/>
        </w:rPr>
        <w:tab/>
      </w:r>
      <w:r w:rsidR="004676B9" w:rsidRPr="00920C92">
        <w:rPr>
          <w:noProof/>
          <w:lang w:val="es-ES"/>
        </w:rPr>
        <w:t>Con el fin de asegurar la flexibilidad necesaria durante las negociaciones previas a la Asamblea General de la OIV de 18 de octubre de 2024, debe autorizarse a los Estados</w:t>
      </w:r>
      <w:r w:rsidR="00920C92" w:rsidRPr="00920C92">
        <w:rPr>
          <w:noProof/>
          <w:lang w:val="es-ES"/>
        </w:rPr>
        <w:t> </w:t>
      </w:r>
      <w:r w:rsidR="004676B9" w:rsidRPr="00920C92">
        <w:rPr>
          <w:noProof/>
          <w:lang w:val="es-ES"/>
        </w:rPr>
        <w:t>miembros pertenecientes a la OIV a aceptar las modificaciones de los proyectos de resoluciones de la OIV mencionados, siempre que no alteren el fondo de las resoluciones.</w:t>
      </w:r>
    </w:p>
    <w:p w:rsidR="00AE2FB1" w:rsidRPr="00920C92" w:rsidRDefault="00AE2FB1" w:rsidP="00974B16">
      <w:pPr>
        <w:pStyle w:val="Formuledadoption"/>
        <w:rPr>
          <w:noProof/>
          <w:lang w:val="es-ES"/>
        </w:rPr>
      </w:pPr>
      <w:r w:rsidRPr="00920C92">
        <w:rPr>
          <w:noProof/>
          <w:lang w:val="es-ES"/>
        </w:rPr>
        <w:t>HA ADOPTADO LA PRESENTE DECISIÓN:</w:t>
      </w:r>
    </w:p>
    <w:p w:rsidR="00AE2FB1" w:rsidRPr="00920C92" w:rsidRDefault="00AE2FB1" w:rsidP="00974B16">
      <w:pPr>
        <w:pStyle w:val="Titrearticle"/>
        <w:rPr>
          <w:noProof/>
          <w:lang w:val="es-ES"/>
        </w:rPr>
      </w:pPr>
      <w:r w:rsidRPr="00920C92">
        <w:rPr>
          <w:noProof/>
          <w:lang w:val="es-ES"/>
        </w:rPr>
        <w:t>Artículo 1</w:t>
      </w:r>
    </w:p>
    <w:p w:rsidR="00F020D7" w:rsidRPr="00920C92" w:rsidRDefault="004676B9" w:rsidP="00974B16">
      <w:pPr>
        <w:jc w:val="left"/>
        <w:rPr>
          <w:noProof/>
          <w:lang w:val="es-ES"/>
        </w:rPr>
      </w:pPr>
      <w:r w:rsidRPr="00920C92">
        <w:rPr>
          <w:noProof/>
          <w:lang w:val="es-ES"/>
        </w:rPr>
        <w:t>La posición que debe adoptarse en nombre de la Unión en la Asamblea General de la OIV, prevista para el 18 de octubre de 2024, figura en el Anexo.</w:t>
      </w:r>
    </w:p>
    <w:p w:rsidR="00F020D7" w:rsidRPr="00920C92" w:rsidRDefault="00F020D7" w:rsidP="00F020D7">
      <w:pPr>
        <w:pStyle w:val="Titrearticle"/>
        <w:rPr>
          <w:noProof/>
          <w:lang w:val="es-ES"/>
        </w:rPr>
      </w:pPr>
      <w:r w:rsidRPr="00920C92">
        <w:rPr>
          <w:noProof/>
          <w:lang w:val="es-ES"/>
        </w:rPr>
        <w:t>Artículo 2</w:t>
      </w:r>
    </w:p>
    <w:p w:rsidR="00AE2FB1" w:rsidRPr="00920C92" w:rsidRDefault="00F020D7" w:rsidP="00974B16">
      <w:pPr>
        <w:jc w:val="left"/>
        <w:rPr>
          <w:i/>
          <w:noProof/>
          <w:lang w:val="es-ES"/>
        </w:rPr>
      </w:pPr>
      <w:r w:rsidRPr="00920C92">
        <w:rPr>
          <w:noProof/>
          <w:lang w:val="es-ES"/>
        </w:rPr>
        <w:t>La posición a la que se refiere el artículo 1 será expresada por los Estados miembros de la Unión que sean miembros de la OIV, actuando conjuntamente.</w:t>
      </w:r>
    </w:p>
    <w:p w:rsidR="00AE2FB1" w:rsidRPr="00920C92" w:rsidRDefault="00AE2FB1" w:rsidP="00974B16">
      <w:pPr>
        <w:pStyle w:val="Titrearticle"/>
        <w:rPr>
          <w:noProof/>
          <w:lang w:val="es-ES"/>
        </w:rPr>
      </w:pPr>
      <w:r w:rsidRPr="00920C92">
        <w:rPr>
          <w:noProof/>
          <w:lang w:val="es-ES"/>
        </w:rPr>
        <w:t>Artículo 3</w:t>
      </w:r>
    </w:p>
    <w:p w:rsidR="004676B9" w:rsidRPr="00920C92" w:rsidRDefault="004676B9" w:rsidP="005E1AD3">
      <w:pPr>
        <w:pStyle w:val="Point0"/>
        <w:rPr>
          <w:noProof/>
          <w:lang w:val="es-ES"/>
        </w:rPr>
      </w:pPr>
      <w:r w:rsidRPr="00920C92">
        <w:rPr>
          <w:noProof/>
          <w:lang w:val="es-ES"/>
        </w:rPr>
        <w:t>1.</w:t>
      </w:r>
      <w:r w:rsidRPr="00920C92">
        <w:rPr>
          <w:noProof/>
          <w:lang w:val="es-ES"/>
        </w:rPr>
        <w:tab/>
        <w:t>Cuando la posición a la que se refiere el artículo 1 pueda verse afectada por nueva información científica o técnica presentada antes o durante las reuniones de la OIV, los Estados miembros pertenecientes a la OIV solicitarán que se aplace la votación de la Asamblea General de la OIV hasta que se haya establecido la posición de la Unión sobre la base de la nueva información.</w:t>
      </w:r>
    </w:p>
    <w:p w:rsidR="00AE2FB1" w:rsidRPr="00920C92" w:rsidRDefault="004676B9" w:rsidP="005E1AD3">
      <w:pPr>
        <w:pStyle w:val="Point0"/>
        <w:rPr>
          <w:noProof/>
          <w:lang w:val="es-ES"/>
        </w:rPr>
      </w:pPr>
      <w:r w:rsidRPr="00920C92">
        <w:rPr>
          <w:noProof/>
          <w:lang w:val="es-ES"/>
        </w:rPr>
        <w:t>2.</w:t>
      </w:r>
      <w:r w:rsidRPr="00920C92">
        <w:rPr>
          <w:noProof/>
          <w:lang w:val="es-ES"/>
        </w:rPr>
        <w:tab/>
        <w:t>Previa coordinación, y sin otra decisión del Consejo que establezca la posición de la Unión, los Estados miembros pertenecientes a la OIV, actuando conjuntamente en nombre de la Unión, podrán aceptar las modificaciones de los proyectos de resoluciones mencionados en el anexo que no alteren el fondo de las resoluciones.</w:t>
      </w:r>
    </w:p>
    <w:p w:rsidR="00AE2FB1" w:rsidRPr="00920C92" w:rsidRDefault="00AE2FB1" w:rsidP="00D814F9">
      <w:pPr>
        <w:pStyle w:val="Titrearticle"/>
        <w:rPr>
          <w:noProof/>
          <w:lang w:val="es-ES"/>
        </w:rPr>
      </w:pPr>
      <w:r w:rsidRPr="00920C92">
        <w:rPr>
          <w:noProof/>
          <w:lang w:val="es-ES"/>
        </w:rPr>
        <w:t>Artículo 4</w:t>
      </w:r>
    </w:p>
    <w:p w:rsidR="00AE2FB1" w:rsidRPr="00920C92" w:rsidRDefault="00AE2FB1" w:rsidP="00974B16">
      <w:pPr>
        <w:rPr>
          <w:noProof/>
          <w:lang w:val="es-ES"/>
        </w:rPr>
      </w:pPr>
      <w:r w:rsidRPr="00920C92">
        <w:rPr>
          <w:noProof/>
          <w:lang w:val="es-ES"/>
        </w:rPr>
        <w:t>Los destinatarios de la presente Decisión son los Estados miembros.</w:t>
      </w:r>
    </w:p>
    <w:p w:rsidR="00AE2FB1" w:rsidRPr="00920C92" w:rsidRDefault="00920C92" w:rsidP="00D814F9">
      <w:pPr>
        <w:pStyle w:val="Fait"/>
        <w:rPr>
          <w:noProof/>
          <w:lang w:val="es-ES"/>
        </w:rPr>
      </w:pPr>
      <w:r>
        <w:rPr>
          <w:noProof/>
        </w:rPr>
        <w:t>Hecho en Bruselas, el</w:t>
      </w:r>
    </w:p>
    <w:p w:rsidR="00AE2FB1" w:rsidRPr="00920C92" w:rsidRDefault="00AE2FB1" w:rsidP="00D814F9">
      <w:pPr>
        <w:pStyle w:val="Institutionquisigne"/>
        <w:rPr>
          <w:noProof/>
          <w:lang w:val="es-ES"/>
        </w:rPr>
      </w:pPr>
      <w:r w:rsidRPr="00920C92">
        <w:rPr>
          <w:noProof/>
          <w:lang w:val="es-ES"/>
        </w:rPr>
        <w:tab/>
        <w:t>Por el Consejo</w:t>
      </w:r>
    </w:p>
    <w:p w:rsidR="00AE2FB1" w:rsidRPr="00920C92" w:rsidRDefault="00AE2FB1" w:rsidP="00AE2FB1">
      <w:pPr>
        <w:pStyle w:val="Personnequisigne"/>
        <w:rPr>
          <w:noProof/>
          <w:lang w:val="es-ES"/>
        </w:rPr>
      </w:pPr>
      <w:r w:rsidRPr="00920C92">
        <w:rPr>
          <w:noProof/>
          <w:lang w:val="es-ES"/>
        </w:rPr>
        <w:tab/>
        <w:t>El Presidente</w:t>
      </w:r>
      <w:r w:rsidRPr="00920C92">
        <w:rPr>
          <w:noProof/>
          <w:lang w:val="es-ES"/>
        </w:rPr>
        <w:br/>
      </w:r>
      <w:r w:rsidRPr="00920C92">
        <w:rPr>
          <w:noProof/>
          <w:lang w:val="es-ES"/>
        </w:rPr>
        <w:tab/>
      </w:r>
    </w:p>
    <w:sectPr w:rsidR="00AE2FB1" w:rsidRPr="00920C92" w:rsidSect="00246EA1">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2FB1" w:rsidRDefault="00AE2FB1" w:rsidP="00AE2FB1">
      <w:pPr>
        <w:spacing w:before="0" w:after="0"/>
      </w:pPr>
      <w:r>
        <w:separator/>
      </w:r>
    </w:p>
  </w:endnote>
  <w:endnote w:type="continuationSeparator" w:id="0">
    <w:p w:rsidR="00AE2FB1" w:rsidRDefault="00AE2FB1" w:rsidP="00AE2FB1">
      <w:pPr>
        <w:spacing w:before="0" w:after="0"/>
      </w:pPr>
      <w:r>
        <w:continuationSeparator/>
      </w:r>
    </w:p>
  </w:endnote>
  <w:endnote w:type="continuationNotice" w:id="1">
    <w:p w:rsidR="007021DB" w:rsidRDefault="007021DB">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6EA1" w:rsidRPr="00246EA1" w:rsidRDefault="00246EA1" w:rsidP="00246EA1">
    <w:pPr>
      <w:pStyle w:val="Footer"/>
      <w:rPr>
        <w:rFonts w:ascii="Arial" w:hAnsi="Arial" w:cs="Arial"/>
        <w:b/>
        <w:sz w:val="48"/>
      </w:rPr>
    </w:pPr>
    <w:r w:rsidRPr="00246EA1">
      <w:rPr>
        <w:rFonts w:ascii="Arial" w:hAnsi="Arial" w:cs="Arial"/>
        <w:b/>
        <w:sz w:val="48"/>
      </w:rPr>
      <w:t>ES</w:t>
    </w:r>
    <w:r w:rsidRPr="00246EA1">
      <w:rPr>
        <w:rFonts w:ascii="Arial" w:hAnsi="Arial" w:cs="Arial"/>
        <w:b/>
        <w:sz w:val="48"/>
      </w:rPr>
      <w:tab/>
    </w:r>
    <w:r w:rsidRPr="00246EA1">
      <w:rPr>
        <w:rFonts w:ascii="Arial" w:hAnsi="Arial" w:cs="Arial"/>
        <w:b/>
        <w:sz w:val="48"/>
      </w:rPr>
      <w:tab/>
    </w:r>
    <w:r w:rsidRPr="00246EA1">
      <w:tab/>
    </w:r>
    <w:r w:rsidRPr="00246EA1">
      <w:rPr>
        <w:rFonts w:ascii="Arial" w:hAnsi="Arial" w:cs="Arial"/>
        <w:b/>
        <w:sz w:val="48"/>
      </w:rPr>
      <w:t>ES</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6EA1" w:rsidRPr="00246EA1" w:rsidRDefault="00246EA1" w:rsidP="00246EA1">
    <w:pPr>
      <w:pStyle w:val="Footer"/>
      <w:rPr>
        <w:rFonts w:ascii="Arial" w:hAnsi="Arial" w:cs="Arial"/>
        <w:b/>
        <w:sz w:val="48"/>
      </w:rPr>
    </w:pPr>
    <w:r w:rsidRPr="00246EA1">
      <w:rPr>
        <w:rFonts w:ascii="Arial" w:hAnsi="Arial" w:cs="Arial"/>
        <w:b/>
        <w:sz w:val="48"/>
      </w:rPr>
      <w:t>ES</w:t>
    </w:r>
    <w:r w:rsidRPr="00246EA1">
      <w:rPr>
        <w:rFonts w:ascii="Arial" w:hAnsi="Arial" w:cs="Arial"/>
        <w:b/>
        <w:sz w:val="48"/>
      </w:rPr>
      <w:tab/>
    </w:r>
    <w:r w:rsidRPr="00246EA1">
      <w:rPr>
        <w:rFonts w:ascii="Arial" w:hAnsi="Arial" w:cs="Arial"/>
        <w:b/>
        <w:sz w:val="48"/>
      </w:rPr>
      <w:tab/>
    </w:r>
    <w:r w:rsidRPr="00246EA1">
      <w:tab/>
    </w:r>
    <w:r w:rsidRPr="00246EA1">
      <w:rPr>
        <w:rFonts w:ascii="Arial" w:hAnsi="Arial" w:cs="Arial"/>
        <w:b/>
        <w:sz w:val="48"/>
      </w:rPr>
      <w:t>ES</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6EA1" w:rsidRDefault="00246EA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6EA1" w:rsidRPr="00246EA1" w:rsidRDefault="00246EA1" w:rsidP="00246EA1">
    <w:pPr>
      <w:pStyle w:val="Footer"/>
      <w:rPr>
        <w:rFonts w:ascii="Arial" w:hAnsi="Arial" w:cs="Arial"/>
        <w:b/>
        <w:sz w:val="48"/>
      </w:rPr>
    </w:pPr>
    <w:r w:rsidRPr="00246EA1">
      <w:rPr>
        <w:rFonts w:ascii="Arial" w:hAnsi="Arial" w:cs="Arial"/>
        <w:b/>
        <w:sz w:val="48"/>
      </w:rPr>
      <w:t>ES</w:t>
    </w:r>
    <w:r w:rsidRPr="00246EA1">
      <w:rPr>
        <w:rFonts w:ascii="Arial" w:hAnsi="Arial" w:cs="Arial"/>
        <w:b/>
        <w:sz w:val="48"/>
      </w:rPr>
      <w:tab/>
    </w:r>
    <w:r>
      <w:fldChar w:fldCharType="begin"/>
    </w:r>
    <w:r>
      <w:instrText xml:space="preserve"> PAGE  \* MERGEFORMAT </w:instrText>
    </w:r>
    <w:r>
      <w:fldChar w:fldCharType="separate"/>
    </w:r>
    <w:r w:rsidR="00D814F9">
      <w:rPr>
        <w:noProof/>
      </w:rPr>
      <w:t>6</w:t>
    </w:r>
    <w:r>
      <w:fldChar w:fldCharType="end"/>
    </w:r>
    <w:r>
      <w:tab/>
    </w:r>
    <w:r w:rsidRPr="00246EA1">
      <w:tab/>
    </w:r>
    <w:r w:rsidRPr="00246EA1">
      <w:rPr>
        <w:rFonts w:ascii="Arial" w:hAnsi="Arial" w:cs="Arial"/>
        <w:b/>
        <w:sz w:val="48"/>
      </w:rPr>
      <w:t>ES</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6EA1" w:rsidRDefault="00246EA1" w:rsidP="00246E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2FB1" w:rsidRDefault="00AE2FB1" w:rsidP="00AE2FB1">
      <w:pPr>
        <w:spacing w:before="0" w:after="0"/>
      </w:pPr>
      <w:r>
        <w:separator/>
      </w:r>
    </w:p>
  </w:footnote>
  <w:footnote w:type="continuationSeparator" w:id="0">
    <w:p w:rsidR="00AE2FB1" w:rsidRDefault="00AE2FB1" w:rsidP="00AE2FB1">
      <w:pPr>
        <w:spacing w:before="0" w:after="0"/>
      </w:pPr>
      <w:r>
        <w:continuationSeparator/>
      </w:r>
    </w:p>
  </w:footnote>
  <w:footnote w:type="continuationNotice" w:id="1">
    <w:p w:rsidR="007021DB" w:rsidRDefault="007021DB">
      <w:pPr>
        <w:spacing w:before="0" w:after="0"/>
      </w:pPr>
    </w:p>
  </w:footnote>
  <w:footnote w:id="2">
    <w:p w:rsidR="00AE2FB1" w:rsidRPr="00920C92" w:rsidRDefault="00AE2FB1" w:rsidP="00974B16">
      <w:pPr>
        <w:pStyle w:val="FootnoteText"/>
        <w:rPr>
          <w:lang w:val="es-ES"/>
        </w:rPr>
      </w:pPr>
      <w:r>
        <w:rPr>
          <w:rStyle w:val="FootnoteReference"/>
        </w:rPr>
        <w:footnoteRef/>
      </w:r>
      <w:r>
        <w:tab/>
      </w:r>
      <w:r w:rsidRPr="00920C92">
        <w:rPr>
          <w:lang w:val="es-ES"/>
        </w:rPr>
        <w:t>Sentencia del Tribunal de Justicia de 7 de octubre de 2014, Alemania/Consejo, C-399/12, ECLI:EU:C:2014:2258, apartado 64.</w:t>
      </w:r>
    </w:p>
  </w:footnote>
  <w:footnote w:id="3">
    <w:p w:rsidR="00AE2FB1" w:rsidRPr="00920C92" w:rsidRDefault="00AE2FB1" w:rsidP="00974B16">
      <w:pPr>
        <w:pStyle w:val="FootnoteText"/>
        <w:rPr>
          <w:lang w:val="es-ES"/>
        </w:rPr>
      </w:pPr>
      <w:r w:rsidRPr="00920C92">
        <w:rPr>
          <w:rStyle w:val="FootnoteReference"/>
          <w:lang w:val="es-ES"/>
        </w:rPr>
        <w:footnoteRef/>
      </w:r>
      <w:r w:rsidRPr="00920C92">
        <w:rPr>
          <w:lang w:val="es-ES"/>
        </w:rPr>
        <w:tab/>
        <w:t>Sentencia del Tribunal de Justicia de 7 de octubre de 2014, Alemania/Consejo, C-399/12, ECLI:EU:C:2014:2258, apartados 61 a 64.</w:t>
      </w:r>
    </w:p>
  </w:footnote>
  <w:footnote w:id="4">
    <w:p w:rsidR="004676B9" w:rsidRPr="00920C92" w:rsidRDefault="004676B9" w:rsidP="004676B9">
      <w:pPr>
        <w:pStyle w:val="FootnoteText"/>
        <w:rPr>
          <w:lang w:val="es-ES"/>
        </w:rPr>
      </w:pPr>
      <w:r w:rsidRPr="00920C92">
        <w:rPr>
          <w:rStyle w:val="FootnoteReference"/>
          <w:lang w:val="es-ES"/>
        </w:rPr>
        <w:footnoteRef/>
      </w:r>
      <w:r w:rsidRPr="00920C92">
        <w:rPr>
          <w:lang w:val="es-ES"/>
        </w:rPr>
        <w:tab/>
        <w:t>Reglamento (UE) n.º 1308/2013 del Parlamento Europeo y del Consejo, de 17 de diciembre de 2013, por el que se crea la organización común de mercados de los productos agrarios y por el que se derogan los Reglamentos (CEE) n.º 922/72, (CEE) n.º 234/79, (CE) n.º 1037/2001 y (CE)</w:t>
      </w:r>
      <w:r w:rsidR="00920C92">
        <w:rPr>
          <w:lang w:val="es-ES"/>
        </w:rPr>
        <w:t> </w:t>
      </w:r>
      <w:r w:rsidRPr="00920C92">
        <w:rPr>
          <w:lang w:val="es-ES"/>
        </w:rPr>
        <w:t>n.º 1234/2007</w:t>
      </w:r>
      <w:r w:rsidR="00920C92">
        <w:rPr>
          <w:lang w:val="es-ES"/>
        </w:rPr>
        <w:t> </w:t>
      </w:r>
      <w:r w:rsidRPr="00920C92">
        <w:rPr>
          <w:lang w:val="es-ES"/>
        </w:rPr>
        <w:t>(DO</w:t>
      </w:r>
      <w:r w:rsidR="00920C92">
        <w:rPr>
          <w:lang w:val="es-ES"/>
        </w:rPr>
        <w:t> </w:t>
      </w:r>
      <w:r w:rsidRPr="00920C92">
        <w:rPr>
          <w:lang w:val="es-ES"/>
        </w:rPr>
        <w:t>L</w:t>
      </w:r>
      <w:r w:rsidR="00920C92">
        <w:rPr>
          <w:lang w:val="es-ES"/>
        </w:rPr>
        <w:t> </w:t>
      </w:r>
      <w:r w:rsidRPr="00920C92">
        <w:rPr>
          <w:lang w:val="es-ES"/>
        </w:rPr>
        <w:t>347 de 20.12.2013, p. 671, ELI: http://data.europa.eu/eli/reg/2013/1308/oj).</w:t>
      </w:r>
    </w:p>
  </w:footnote>
  <w:footnote w:id="5">
    <w:p w:rsidR="004676B9" w:rsidRPr="00920C92" w:rsidRDefault="004676B9" w:rsidP="004676B9">
      <w:pPr>
        <w:pStyle w:val="FootnoteText"/>
        <w:rPr>
          <w:lang w:val="es-ES"/>
        </w:rPr>
      </w:pPr>
      <w:r w:rsidRPr="00920C92">
        <w:rPr>
          <w:rStyle w:val="FootnoteReference"/>
          <w:lang w:val="es-ES"/>
        </w:rPr>
        <w:footnoteRef/>
      </w:r>
      <w:r w:rsidRPr="00920C92">
        <w:rPr>
          <w:lang w:val="es-ES"/>
        </w:rPr>
        <w:tab/>
        <w:t>Reglamento Delegado (UE) 2019/934 de la Comisión, de 12 de marzo de 2019, por el que se completa el Reglamento (UE) n.º 1308/2013 del Parlamento Europeo y del Consejo en lo que se refiere a las zonas vitícolas donde el grado alcohólico pueda verse incrementado, las prácticas enológicas autorizadas y las restricciones aplicables a la producción y conservación de los productos vitícolas, el porcentaje mínimo de alcohol para subproductos y la eliminación de estos, y la publicación de las fichas de la OIV (DO L 149 de 7.6.2019, p. 1 ELI: http://data.europa.eu/eli/reg_del/2019/934/oj).</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6EA1" w:rsidRDefault="00246E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6EA1" w:rsidRDefault="00246E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CA828450"/>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38BAA828"/>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6502542C"/>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47029A26"/>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C01C7CD8"/>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7308068"/>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91CA1D0"/>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69EC0448"/>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5"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9"/>
    <w:lvlOverride w:ilvl="0">
      <w:startOverride w:val="1"/>
    </w:lvlOverride>
  </w:num>
  <w:num w:numId="2">
    <w:abstractNumId w:val="7"/>
  </w:num>
  <w:num w:numId="3">
    <w:abstractNumId w:val="5"/>
  </w:num>
  <w:num w:numId="4">
    <w:abstractNumId w:val="4"/>
  </w:num>
  <w:num w:numId="5">
    <w:abstractNumId w:val="3"/>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lvlOverride w:ilvl="0">
      <w:startOverride w:val="1"/>
    </w:lvlOverride>
  </w:num>
  <w:num w:numId="8">
    <w:abstractNumId w:val="6"/>
  </w:num>
  <w:num w:numId="9">
    <w:abstractNumId w:val="2"/>
  </w:num>
  <w:num w:numId="10">
    <w:abstractNumId w:val="1"/>
  </w:num>
  <w:num w:numId="11">
    <w:abstractNumId w:val="0"/>
  </w:num>
  <w:num w:numId="12">
    <w:abstractNumId w:val="19"/>
  </w:num>
  <w:num w:numId="13">
    <w:abstractNumId w:val="12"/>
  </w:num>
  <w:num w:numId="14">
    <w:abstractNumId w:val="21"/>
  </w:num>
  <w:num w:numId="15">
    <w:abstractNumId w:val="11"/>
  </w:num>
  <w:num w:numId="16">
    <w:abstractNumId w:val="13"/>
  </w:num>
  <w:num w:numId="17">
    <w:abstractNumId w:val="14"/>
  </w:num>
  <w:num w:numId="18">
    <w:abstractNumId w:val="9"/>
  </w:num>
  <w:num w:numId="19">
    <w:abstractNumId w:val="20"/>
  </w:num>
  <w:num w:numId="20">
    <w:abstractNumId w:val="8"/>
  </w:num>
  <w:num w:numId="21">
    <w:abstractNumId w:val="15"/>
  </w:num>
  <w:num w:numId="22">
    <w:abstractNumId w:val="17"/>
  </w:num>
  <w:num w:numId="23">
    <w:abstractNumId w:val="18"/>
  </w:num>
  <w:num w:numId="24">
    <w:abstractNumId w:val="10"/>
  </w:num>
  <w:num w:numId="25">
    <w:abstractNumId w:val="16"/>
  </w:num>
  <w:num w:numId="26">
    <w:abstractNumId w:val="2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ttachedTemplate r:id="rId1"/>
  <w:revisionView w:markup="0"/>
  <w:defaultTabStop w:val="720"/>
  <w:characterSpacingControl w:val="doNotCompress"/>
  <w:hdrShapeDefaults>
    <o:shapedefaults v:ext="edit" spidmax="9625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24-08-16 08:54:50"/>
    <w:docVar w:name="DQCResult_Distribution" w:val="0;0"/>
    <w:docVar w:name="DQCResult_DocumentContent" w:val="0;0"/>
    <w:docVar w:name="DQCResult_DocumentSize" w:val="0;0"/>
    <w:docVar w:name="DQCResult_InvalidFootnotes" w:val="0;0"/>
    <w:docVar w:name="DQCResult_ModifiedMarkers" w:val="0;0"/>
    <w:docVar w:name="DQCResult_ModifiedNumbering" w:val="0;0"/>
    <w:docVar w:name="DQCResult_Objects" w:val="0;0"/>
    <w:docVar w:name="DQCResult_StructureCheck" w:val="0;0"/>
    <w:docVar w:name="DQCStatus" w:val="Green"/>
    <w:docVar w:name="DQCVersion" w:val="3"/>
    <w:docVar w:name="DQCWithWarnings" w:val="0"/>
    <w:docVar w:name="LW_CORRIGENDUM" w:val="&lt;UNUSED&gt;"/>
    <w:docVar w:name="LW_COVERPAGE_EXISTS" w:val="True"/>
    <w:docVar w:name="LW_COVERPAGE_GUID" w:val="D357753B-E5FD-4479-AB71-48883BDC7EDC"/>
    <w:docVar w:name="LW_COVERPAGE_TYPE" w:val="1"/>
    <w:docVar w:name="LW_CROSSREFERENCE" w:val="&lt;UNUSED&gt;"/>
    <w:docVar w:name="LW_DocType" w:val="COM"/>
    <w:docVar w:name="LW_EMISSION" w:val="16.8.2024"/>
    <w:docVar w:name="LW_EMISSION_ISODATE" w:val="2024-08-16"/>
    <w:docVar w:name="LW_EMISSION_LOCATION" w:val="BRX"/>
    <w:docVar w:name="LW_EMISSION_PREFIX" w:val="Bruselas, "/>
    <w:docVar w:name="LW_EMISSION_SUFFIX" w:val=" "/>
    <w:docVar w:name="LW_ID_DOCMODEL" w:val="SJ-043"/>
    <w:docVar w:name="LW_ID_DOCSIGNATURE" w:val="SJ-019"/>
    <w:docVar w:name="LW_ID_DOCSTRUCTURE" w:val="COM/PL/ORG"/>
    <w:docVar w:name="LW_ID_DOCTYPE" w:val="SJ-043"/>
    <w:docVar w:name="LW_ID_EXP.MOTIFS.NEW" w:val="EM_PL2_"/>
    <w:docVar w:name="LW_ID_STATUT" w:val="SJ-019"/>
    <w:docVar w:name="LW_INTERETEEE.CP" w:val="&lt;UNUSED&gt;"/>
    <w:docVar w:name="LW_LANGUE" w:val="ES"/>
    <w:docVar w:name="LW_LEVEL_OF_SENSITIVITY" w:val="Standard treatment"/>
    <w:docVar w:name="LW_NOM.INST" w:val="COMISIÓN EUROPEA"/>
    <w:docVar w:name="LW_NOM.INST_JOINTDOC" w:val="&lt;EMPTY&gt;"/>
    <w:docVar w:name="LW_PART_NBR" w:val="1"/>
    <w:docVar w:name="LW_PART_NBR_TOTAL" w:val="1"/>
    <w:docVar w:name="LW_REF.II.NEW.CP" w:val="NLE"/>
    <w:docVar w:name="LW_REF.II.NEW.CP_NUMBER" w:val="0209"/>
    <w:docVar w:name="LW_REF.II.NEW.CP_YEAR" w:val="2024"/>
    <w:docVar w:name="LW_REF.INST.NEW" w:val="COM"/>
    <w:docVar w:name="LW_REF.INST.NEW_ADOPTED" w:val="final"/>
    <w:docVar w:name="LW_REF.INST.NEW_TEXT" w:val="(2024) 379"/>
    <w:docVar w:name="LW_REF.INTERNE" w:val="&lt;UNUSED&gt;"/>
    <w:docVar w:name="LW_SENSITIVITY" w:val="&lt;?xml version=&quot;1.0&quot; encoding=&quot;utf-8&quot;?&gt;_x000d__x000a_&lt;SensitivityLevel xmlns:xsd=&quot;http://www.w3.org/2001/XMLSchema&quot; xmlns:xsi=&quot;http://www.w3.org/2001/XMLSchema-instance&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uesta de"/>
    <w:docVar w:name="LW_SUPERTITRE" w:val="&lt;UNUSED&gt;"/>
    <w:docVar w:name="LW_TITRE.OBJ.CP" w:val="relativa a la posición que ha de adoptarse, en nombre de la Unión Europea, en la Organización Internacional de la Viña y el Vino (OIV)"/>
    <w:docVar w:name="LW_TYPE.DOC.CP" w:val="DECISIÓN DEL CONSEJO"/>
    <w:docVar w:name="LwApiVersions" w:val="LW4CoDe 1.24.5.0; LW 9.0, Build 20240221"/>
  </w:docVars>
  <w:rsids>
    <w:rsidRoot w:val="00AE2FB1"/>
    <w:rsid w:val="00012E1C"/>
    <w:rsid w:val="0003271B"/>
    <w:rsid w:val="00035B84"/>
    <w:rsid w:val="00047D5F"/>
    <w:rsid w:val="0009342A"/>
    <w:rsid w:val="000B2EDB"/>
    <w:rsid w:val="000B42F3"/>
    <w:rsid w:val="000B7A7D"/>
    <w:rsid w:val="000E4FF9"/>
    <w:rsid w:val="00130B34"/>
    <w:rsid w:val="0014701E"/>
    <w:rsid w:val="00152894"/>
    <w:rsid w:val="00166FF6"/>
    <w:rsid w:val="00174736"/>
    <w:rsid w:val="00176E45"/>
    <w:rsid w:val="001816F8"/>
    <w:rsid w:val="001A4DDB"/>
    <w:rsid w:val="001F74C6"/>
    <w:rsid w:val="00237743"/>
    <w:rsid w:val="00246EA1"/>
    <w:rsid w:val="00270D3A"/>
    <w:rsid w:val="002A7892"/>
    <w:rsid w:val="002D4DB9"/>
    <w:rsid w:val="002F34D8"/>
    <w:rsid w:val="00333651"/>
    <w:rsid w:val="003836BF"/>
    <w:rsid w:val="003939D6"/>
    <w:rsid w:val="00396ACD"/>
    <w:rsid w:val="003A784C"/>
    <w:rsid w:val="003D3FA4"/>
    <w:rsid w:val="003F72B0"/>
    <w:rsid w:val="00437AA5"/>
    <w:rsid w:val="00457F81"/>
    <w:rsid w:val="004676B9"/>
    <w:rsid w:val="00492396"/>
    <w:rsid w:val="004A6D3E"/>
    <w:rsid w:val="004E19F9"/>
    <w:rsid w:val="00501D36"/>
    <w:rsid w:val="00505654"/>
    <w:rsid w:val="00507441"/>
    <w:rsid w:val="00517205"/>
    <w:rsid w:val="00517282"/>
    <w:rsid w:val="00542487"/>
    <w:rsid w:val="00582810"/>
    <w:rsid w:val="00595540"/>
    <w:rsid w:val="00595A9C"/>
    <w:rsid w:val="005B510E"/>
    <w:rsid w:val="005B5FA6"/>
    <w:rsid w:val="005D7EC5"/>
    <w:rsid w:val="005E1AD3"/>
    <w:rsid w:val="006101FD"/>
    <w:rsid w:val="006271AD"/>
    <w:rsid w:val="00632AB6"/>
    <w:rsid w:val="00640A5A"/>
    <w:rsid w:val="00641BE1"/>
    <w:rsid w:val="00653349"/>
    <w:rsid w:val="00660778"/>
    <w:rsid w:val="006654AB"/>
    <w:rsid w:val="00672808"/>
    <w:rsid w:val="006C4110"/>
    <w:rsid w:val="006C467E"/>
    <w:rsid w:val="006F05D9"/>
    <w:rsid w:val="006F5DE0"/>
    <w:rsid w:val="006F7EFE"/>
    <w:rsid w:val="007021DB"/>
    <w:rsid w:val="0072431E"/>
    <w:rsid w:val="00731DC4"/>
    <w:rsid w:val="0079569F"/>
    <w:rsid w:val="007A1319"/>
    <w:rsid w:val="007D0861"/>
    <w:rsid w:val="007D42D2"/>
    <w:rsid w:val="007E010B"/>
    <w:rsid w:val="007E7DB3"/>
    <w:rsid w:val="007F3D05"/>
    <w:rsid w:val="007F7CA7"/>
    <w:rsid w:val="00802FC2"/>
    <w:rsid w:val="00825AA9"/>
    <w:rsid w:val="00832DEC"/>
    <w:rsid w:val="008B12DF"/>
    <w:rsid w:val="008B7752"/>
    <w:rsid w:val="008E2694"/>
    <w:rsid w:val="00905B56"/>
    <w:rsid w:val="00920C92"/>
    <w:rsid w:val="009352E6"/>
    <w:rsid w:val="00940731"/>
    <w:rsid w:val="00974B16"/>
    <w:rsid w:val="00975728"/>
    <w:rsid w:val="00976E0B"/>
    <w:rsid w:val="009957C5"/>
    <w:rsid w:val="009B3E63"/>
    <w:rsid w:val="00A12875"/>
    <w:rsid w:val="00A15345"/>
    <w:rsid w:val="00A21AA9"/>
    <w:rsid w:val="00A565C7"/>
    <w:rsid w:val="00A57022"/>
    <w:rsid w:val="00A81E87"/>
    <w:rsid w:val="00AE2FB1"/>
    <w:rsid w:val="00B22B98"/>
    <w:rsid w:val="00B31960"/>
    <w:rsid w:val="00B81B86"/>
    <w:rsid w:val="00BD2F5B"/>
    <w:rsid w:val="00BD378F"/>
    <w:rsid w:val="00C17584"/>
    <w:rsid w:val="00C3731F"/>
    <w:rsid w:val="00C40576"/>
    <w:rsid w:val="00C51E4C"/>
    <w:rsid w:val="00CC385A"/>
    <w:rsid w:val="00CD67FC"/>
    <w:rsid w:val="00CD7E62"/>
    <w:rsid w:val="00D10572"/>
    <w:rsid w:val="00D30234"/>
    <w:rsid w:val="00D31F9C"/>
    <w:rsid w:val="00D46598"/>
    <w:rsid w:val="00D57470"/>
    <w:rsid w:val="00D76B3C"/>
    <w:rsid w:val="00D814F9"/>
    <w:rsid w:val="00D945C5"/>
    <w:rsid w:val="00DA42C4"/>
    <w:rsid w:val="00DB4B20"/>
    <w:rsid w:val="00DF3FF7"/>
    <w:rsid w:val="00E07235"/>
    <w:rsid w:val="00E33C9F"/>
    <w:rsid w:val="00E85D99"/>
    <w:rsid w:val="00E90A10"/>
    <w:rsid w:val="00E979AB"/>
    <w:rsid w:val="00EC39BC"/>
    <w:rsid w:val="00EE140B"/>
    <w:rsid w:val="00F020D7"/>
    <w:rsid w:val="00F140F4"/>
    <w:rsid w:val="00F171A5"/>
    <w:rsid w:val="00F27A2A"/>
    <w:rsid w:val="00F52B32"/>
    <w:rsid w:val="00F57064"/>
    <w:rsid w:val="00F60FB5"/>
    <w:rsid w:val="00F81D88"/>
    <w:rsid w:val="00FB3CDD"/>
    <w:rsid w:val="00FC2396"/>
    <w:rsid w:val="00FD1952"/>
    <w:rsid w:val="03210E86"/>
    <w:rsid w:val="034A0DED"/>
    <w:rsid w:val="10763227"/>
    <w:rsid w:val="1BF143C7"/>
    <w:rsid w:val="1C0C0D1A"/>
    <w:rsid w:val="1E19B69E"/>
    <w:rsid w:val="2229C370"/>
    <w:rsid w:val="270910FC"/>
    <w:rsid w:val="2893AB10"/>
    <w:rsid w:val="2B16F4C6"/>
    <w:rsid w:val="2DFEB8D8"/>
    <w:rsid w:val="30DC4E42"/>
    <w:rsid w:val="3441A426"/>
    <w:rsid w:val="3664C315"/>
    <w:rsid w:val="3760D393"/>
    <w:rsid w:val="3E9BA5B1"/>
    <w:rsid w:val="42D38619"/>
    <w:rsid w:val="4750F715"/>
    <w:rsid w:val="5312413C"/>
    <w:rsid w:val="5AB3159F"/>
    <w:rsid w:val="657FA6E2"/>
    <w:rsid w:val="6CC429A8"/>
    <w:rsid w:val="702BBF54"/>
    <w:rsid w:val="76ACA8E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96257"/>
    <o:shapelayout v:ext="edit">
      <o:idmap v:ext="edit" data="1"/>
    </o:shapelayout>
  </w:shapeDefaults>
  <w:decimalSymbol w:val=","/>
  <w:listSeparator w:val=";"/>
  <w15:docId w15:val="{18425794-2218-4E62-B7E9-4DA4BF0C9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es-ES_tradnl"/>
    </w:rPr>
  </w:style>
  <w:style w:type="paragraph" w:styleId="Heading1">
    <w:name w:val="heading 1"/>
    <w:basedOn w:val="Normal"/>
    <w:next w:val="Text1"/>
    <w:link w:val="Heading1Char"/>
    <w:uiPriority w:val="9"/>
    <w:qFormat/>
    <w:pPr>
      <w:keepNext/>
      <w:numPr>
        <w:numId w:val="1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9"/>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19"/>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19"/>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19"/>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rsid w:val="00237743"/>
    <w:pPr>
      <w:numPr>
        <w:numId w:val="2"/>
      </w:numPr>
      <w:contextualSpacing/>
    </w:pPr>
  </w:style>
  <w:style w:type="paragraph" w:styleId="ListBullet2">
    <w:name w:val="List Bullet 2"/>
    <w:basedOn w:val="Normal"/>
    <w:uiPriority w:val="99"/>
    <w:semiHidden/>
    <w:unhideWhenUsed/>
    <w:rsid w:val="00237743"/>
    <w:pPr>
      <w:numPr>
        <w:numId w:val="3"/>
      </w:numPr>
      <w:contextualSpacing/>
    </w:pPr>
  </w:style>
  <w:style w:type="paragraph" w:styleId="ListBullet3">
    <w:name w:val="List Bullet 3"/>
    <w:basedOn w:val="Normal"/>
    <w:uiPriority w:val="99"/>
    <w:semiHidden/>
    <w:unhideWhenUsed/>
    <w:rsid w:val="00237743"/>
    <w:pPr>
      <w:numPr>
        <w:numId w:val="4"/>
      </w:numPr>
      <w:contextualSpacing/>
    </w:pPr>
  </w:style>
  <w:style w:type="paragraph" w:styleId="ListBullet4">
    <w:name w:val="List Bullet 4"/>
    <w:basedOn w:val="Normal"/>
    <w:uiPriority w:val="99"/>
    <w:semiHidden/>
    <w:unhideWhenUsed/>
    <w:rsid w:val="00237743"/>
    <w:pPr>
      <w:numPr>
        <w:numId w:val="5"/>
      </w:numPr>
      <w:contextualSpacing/>
    </w:pPr>
  </w:style>
  <w:style w:type="paragraph" w:styleId="BalloonText">
    <w:name w:val="Balloon Text"/>
    <w:basedOn w:val="Normal"/>
    <w:link w:val="BalloonTextChar"/>
    <w:uiPriority w:val="99"/>
    <w:semiHidden/>
    <w:unhideWhenUsed/>
    <w:rsid w:val="00237743"/>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7743"/>
    <w:rPr>
      <w:rFonts w:ascii="Segoe UI" w:hAnsi="Segoe UI" w:cs="Segoe UI"/>
      <w:sz w:val="18"/>
      <w:szCs w:val="18"/>
      <w:lang w:val="es-ES"/>
    </w:rPr>
  </w:style>
  <w:style w:type="paragraph" w:styleId="Caption">
    <w:name w:val="caption"/>
    <w:basedOn w:val="Normal"/>
    <w:next w:val="Normal"/>
    <w:uiPriority w:val="35"/>
    <w:semiHidden/>
    <w:unhideWhenUsed/>
    <w:qFormat/>
    <w:rsid w:val="00A21AA9"/>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rsid w:val="00A21AA9"/>
    <w:pPr>
      <w:spacing w:after="0"/>
    </w:pPr>
  </w:style>
  <w:style w:type="paragraph" w:styleId="ListNumber">
    <w:name w:val="List Number"/>
    <w:basedOn w:val="Normal"/>
    <w:uiPriority w:val="99"/>
    <w:semiHidden/>
    <w:unhideWhenUsed/>
    <w:rsid w:val="00A21AA9"/>
    <w:pPr>
      <w:numPr>
        <w:numId w:val="8"/>
      </w:numPr>
      <w:contextualSpacing/>
    </w:pPr>
  </w:style>
  <w:style w:type="paragraph" w:styleId="ListNumber2">
    <w:name w:val="List Number 2"/>
    <w:basedOn w:val="Normal"/>
    <w:uiPriority w:val="99"/>
    <w:semiHidden/>
    <w:unhideWhenUsed/>
    <w:rsid w:val="00A21AA9"/>
    <w:pPr>
      <w:numPr>
        <w:numId w:val="9"/>
      </w:numPr>
      <w:contextualSpacing/>
    </w:pPr>
  </w:style>
  <w:style w:type="paragraph" w:styleId="ListNumber3">
    <w:name w:val="List Number 3"/>
    <w:basedOn w:val="Normal"/>
    <w:uiPriority w:val="99"/>
    <w:semiHidden/>
    <w:unhideWhenUsed/>
    <w:rsid w:val="00A21AA9"/>
    <w:pPr>
      <w:numPr>
        <w:numId w:val="10"/>
      </w:numPr>
      <w:contextualSpacing/>
    </w:pPr>
  </w:style>
  <w:style w:type="paragraph" w:styleId="ListNumber4">
    <w:name w:val="List Number 4"/>
    <w:basedOn w:val="Normal"/>
    <w:uiPriority w:val="99"/>
    <w:semiHidden/>
    <w:unhideWhenUsed/>
    <w:rsid w:val="00A21AA9"/>
    <w:pPr>
      <w:numPr>
        <w:numId w:val="11"/>
      </w:numPr>
      <w:contextualSpacing/>
    </w:pPr>
  </w:style>
  <w:style w:type="character" w:styleId="CommentReference">
    <w:name w:val="annotation reference"/>
    <w:basedOn w:val="DefaultParagraphFont"/>
    <w:uiPriority w:val="99"/>
    <w:semiHidden/>
    <w:unhideWhenUsed/>
    <w:rsid w:val="002A7892"/>
    <w:rPr>
      <w:sz w:val="16"/>
      <w:szCs w:val="16"/>
    </w:rPr>
  </w:style>
  <w:style w:type="paragraph" w:styleId="CommentText">
    <w:name w:val="annotation text"/>
    <w:basedOn w:val="Normal"/>
    <w:link w:val="CommentTextChar"/>
    <w:uiPriority w:val="99"/>
    <w:semiHidden/>
    <w:unhideWhenUsed/>
    <w:rsid w:val="002A7892"/>
    <w:rPr>
      <w:sz w:val="20"/>
      <w:szCs w:val="20"/>
    </w:rPr>
  </w:style>
  <w:style w:type="character" w:customStyle="1" w:styleId="CommentTextChar">
    <w:name w:val="Comment Text Char"/>
    <w:basedOn w:val="DefaultParagraphFont"/>
    <w:link w:val="CommentText"/>
    <w:uiPriority w:val="99"/>
    <w:semiHidden/>
    <w:rsid w:val="002A7892"/>
    <w:rPr>
      <w:rFonts w:ascii="Times New Roman" w:hAnsi="Times New Roman" w:cs="Times New Roman"/>
      <w:sz w:val="20"/>
      <w:szCs w:val="20"/>
      <w:lang w:val="es-ES"/>
    </w:rPr>
  </w:style>
  <w:style w:type="paragraph" w:styleId="CommentSubject">
    <w:name w:val="annotation subject"/>
    <w:basedOn w:val="CommentText"/>
    <w:next w:val="CommentText"/>
    <w:link w:val="CommentSubjectChar"/>
    <w:uiPriority w:val="99"/>
    <w:semiHidden/>
    <w:unhideWhenUsed/>
    <w:rsid w:val="002A7892"/>
    <w:rPr>
      <w:b/>
      <w:bCs/>
    </w:rPr>
  </w:style>
  <w:style w:type="character" w:customStyle="1" w:styleId="CommentSubjectChar">
    <w:name w:val="Comment Subject Char"/>
    <w:basedOn w:val="CommentTextChar"/>
    <w:link w:val="CommentSubject"/>
    <w:uiPriority w:val="99"/>
    <w:semiHidden/>
    <w:rsid w:val="002A7892"/>
    <w:rPr>
      <w:rFonts w:ascii="Times New Roman" w:hAnsi="Times New Roman" w:cs="Times New Roman"/>
      <w:b/>
      <w:bCs/>
      <w:sz w:val="20"/>
      <w:szCs w:val="20"/>
      <w:lang w:val="es-ES"/>
    </w:rPr>
  </w:style>
  <w:style w:type="character" w:styleId="Hyperlink">
    <w:name w:val="Hyperlink"/>
    <w:basedOn w:val="DefaultParagraphFont"/>
    <w:uiPriority w:val="99"/>
    <w:unhideWhenUsed/>
    <w:rsid w:val="002A7892"/>
    <w:rPr>
      <w:color w:val="0000FF" w:themeColor="hyperlink"/>
      <w:u w:val="single"/>
    </w:rPr>
  </w:style>
  <w:style w:type="paragraph" w:styleId="Revision">
    <w:name w:val="Revision"/>
    <w:hidden/>
    <w:uiPriority w:val="99"/>
    <w:semiHidden/>
    <w:rsid w:val="00517282"/>
    <w:pPr>
      <w:spacing w:after="0" w:line="240" w:lineRule="auto"/>
    </w:pPr>
    <w:rPr>
      <w:rFonts w:ascii="Times New Roman" w:hAnsi="Times New Roman" w:cs="Times New Roman"/>
      <w:sz w:val="24"/>
    </w:rPr>
  </w:style>
  <w:style w:type="character" w:customStyle="1" w:styleId="HeaderChar">
    <w:name w:val="Header Char"/>
    <w:basedOn w:val="DefaultParagraphFont"/>
    <w:link w:val="Header"/>
    <w:uiPriority w:val="99"/>
    <w:rsid w:val="00246EA1"/>
    <w:rPr>
      <w:rFonts w:ascii="Times New Roman" w:hAnsi="Times New Roman" w:cs="Times New Roman"/>
      <w:sz w:val="24"/>
      <w:lang w:val="es-ES_tradnl"/>
    </w:rPr>
  </w:style>
  <w:style w:type="character" w:customStyle="1" w:styleId="FooterChar">
    <w:name w:val="Footer Char"/>
    <w:basedOn w:val="DefaultParagraphFont"/>
    <w:link w:val="Footer"/>
    <w:uiPriority w:val="99"/>
    <w:rsid w:val="00246EA1"/>
    <w:rPr>
      <w:rFonts w:ascii="Times New Roman" w:hAnsi="Times New Roman" w:cs="Times New Roman"/>
      <w:sz w:val="24"/>
      <w:lang w:val="es-ES_tradnl"/>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s-ES_tradnl"/>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s-ES_tradnl"/>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s-ES_tradnl"/>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s-ES_tradnl"/>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lang w:val="es-ES_tradnl"/>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lang w:val="es-ES_tradnl"/>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lang w:val="es-ES_tradnl"/>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ind w:left="1417" w:hanging="141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246EA1"/>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246EA1"/>
    <w:pPr>
      <w:spacing w:before="0"/>
      <w:jc w:val="right"/>
    </w:pPr>
    <w:rPr>
      <w:sz w:val="28"/>
    </w:rPr>
  </w:style>
  <w:style w:type="paragraph" w:customStyle="1" w:styleId="FooterSensitivity">
    <w:name w:val="Footer Sensitivity"/>
    <w:basedOn w:val="Normal"/>
    <w:rsid w:val="00246EA1"/>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Tiret5">
    <w:name w:val="Tiret 5"/>
    <w:basedOn w:val="Point5"/>
    <w:pPr>
      <w:numPr>
        <w:numId w:val="1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8"/>
      </w:numPr>
    </w:pPr>
  </w:style>
  <w:style w:type="paragraph" w:customStyle="1" w:styleId="NumPar2">
    <w:name w:val="NumPar 2"/>
    <w:basedOn w:val="Normal"/>
    <w:next w:val="Text1"/>
    <w:pPr>
      <w:numPr>
        <w:ilvl w:val="1"/>
        <w:numId w:val="18"/>
      </w:numPr>
    </w:pPr>
  </w:style>
  <w:style w:type="paragraph" w:customStyle="1" w:styleId="NumPar3">
    <w:name w:val="NumPar 3"/>
    <w:basedOn w:val="Normal"/>
    <w:next w:val="Text1"/>
    <w:pPr>
      <w:numPr>
        <w:ilvl w:val="2"/>
        <w:numId w:val="18"/>
      </w:numPr>
    </w:pPr>
  </w:style>
  <w:style w:type="paragraph" w:customStyle="1" w:styleId="NumPar4">
    <w:name w:val="NumPar 4"/>
    <w:basedOn w:val="Normal"/>
    <w:next w:val="Text1"/>
    <w:pPr>
      <w:numPr>
        <w:ilvl w:val="3"/>
        <w:numId w:val="18"/>
      </w:numPr>
    </w:pPr>
  </w:style>
  <w:style w:type="paragraph" w:customStyle="1" w:styleId="NumPar5">
    <w:name w:val="NumPar 5"/>
    <w:basedOn w:val="Normal"/>
    <w:next w:val="Text2"/>
    <w:pPr>
      <w:numPr>
        <w:ilvl w:val="4"/>
        <w:numId w:val="18"/>
      </w:numPr>
    </w:pPr>
  </w:style>
  <w:style w:type="paragraph" w:customStyle="1" w:styleId="NumPar6">
    <w:name w:val="NumPar 6"/>
    <w:basedOn w:val="Normal"/>
    <w:next w:val="Text2"/>
    <w:pPr>
      <w:numPr>
        <w:ilvl w:val="5"/>
        <w:numId w:val="18"/>
      </w:numPr>
    </w:pPr>
  </w:style>
  <w:style w:type="paragraph" w:customStyle="1" w:styleId="NumPar7">
    <w:name w:val="NumPar 7"/>
    <w:basedOn w:val="Normal"/>
    <w:next w:val="Text2"/>
    <w:pPr>
      <w:numPr>
        <w:ilvl w:val="6"/>
        <w:numId w:val="1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0"/>
      </w:numPr>
    </w:pPr>
  </w:style>
  <w:style w:type="paragraph" w:customStyle="1" w:styleId="Point1number">
    <w:name w:val="Point 1 (number)"/>
    <w:basedOn w:val="Normal"/>
    <w:pPr>
      <w:numPr>
        <w:ilvl w:val="2"/>
        <w:numId w:val="20"/>
      </w:numPr>
    </w:pPr>
  </w:style>
  <w:style w:type="paragraph" w:customStyle="1" w:styleId="Point2number">
    <w:name w:val="Point 2 (number)"/>
    <w:basedOn w:val="Normal"/>
    <w:pPr>
      <w:numPr>
        <w:ilvl w:val="4"/>
        <w:numId w:val="20"/>
      </w:numPr>
    </w:pPr>
  </w:style>
  <w:style w:type="paragraph" w:customStyle="1" w:styleId="Point3number">
    <w:name w:val="Point 3 (number)"/>
    <w:basedOn w:val="Normal"/>
    <w:pPr>
      <w:numPr>
        <w:ilvl w:val="6"/>
        <w:numId w:val="20"/>
      </w:numPr>
    </w:pPr>
  </w:style>
  <w:style w:type="paragraph" w:customStyle="1" w:styleId="Point0letter">
    <w:name w:val="Point 0 (letter)"/>
    <w:basedOn w:val="Normal"/>
    <w:pPr>
      <w:numPr>
        <w:ilvl w:val="1"/>
        <w:numId w:val="20"/>
      </w:numPr>
    </w:pPr>
  </w:style>
  <w:style w:type="paragraph" w:customStyle="1" w:styleId="Point1letter">
    <w:name w:val="Point 1 (letter)"/>
    <w:basedOn w:val="Normal"/>
    <w:pPr>
      <w:numPr>
        <w:ilvl w:val="3"/>
        <w:numId w:val="20"/>
      </w:numPr>
    </w:pPr>
  </w:style>
  <w:style w:type="paragraph" w:customStyle="1" w:styleId="Point2letter">
    <w:name w:val="Point 2 (letter)"/>
    <w:basedOn w:val="Normal"/>
    <w:pPr>
      <w:numPr>
        <w:ilvl w:val="5"/>
        <w:numId w:val="20"/>
      </w:numPr>
    </w:pPr>
  </w:style>
  <w:style w:type="paragraph" w:customStyle="1" w:styleId="Point3letter">
    <w:name w:val="Point 3 (letter)"/>
    <w:basedOn w:val="Normal"/>
    <w:pPr>
      <w:numPr>
        <w:ilvl w:val="7"/>
        <w:numId w:val="20"/>
      </w:numPr>
    </w:pPr>
  </w:style>
  <w:style w:type="paragraph" w:customStyle="1" w:styleId="Point4letter">
    <w:name w:val="Point 4 (letter)"/>
    <w:basedOn w:val="Normal"/>
    <w:pPr>
      <w:numPr>
        <w:ilvl w:val="8"/>
        <w:numId w:val="20"/>
      </w:numPr>
    </w:pPr>
  </w:style>
  <w:style w:type="paragraph" w:customStyle="1" w:styleId="Bullet0">
    <w:name w:val="Bullet 0"/>
    <w:basedOn w:val="Normal"/>
    <w:pPr>
      <w:numPr>
        <w:numId w:val="21"/>
      </w:numPr>
    </w:pPr>
  </w:style>
  <w:style w:type="paragraph" w:customStyle="1" w:styleId="Bullet1">
    <w:name w:val="Bullet 1"/>
    <w:basedOn w:val="Normal"/>
    <w:pPr>
      <w:numPr>
        <w:numId w:val="22"/>
      </w:numPr>
    </w:pPr>
  </w:style>
  <w:style w:type="paragraph" w:customStyle="1" w:styleId="Bullet2">
    <w:name w:val="Bullet 2"/>
    <w:basedOn w:val="Normal"/>
    <w:pPr>
      <w:numPr>
        <w:numId w:val="23"/>
      </w:numPr>
    </w:pPr>
  </w:style>
  <w:style w:type="paragraph" w:customStyle="1" w:styleId="Bullet3">
    <w:name w:val="Bullet 3"/>
    <w:basedOn w:val="Normal"/>
    <w:pPr>
      <w:numPr>
        <w:numId w:val="24"/>
      </w:numPr>
    </w:pPr>
  </w:style>
  <w:style w:type="paragraph" w:customStyle="1" w:styleId="Bullet4">
    <w:name w:val="Bullet 4"/>
    <w:basedOn w:val="Normal"/>
    <w:pPr>
      <w:numPr>
        <w:numId w:val="2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 w:type="paragraph" w:styleId="Header">
    <w:name w:val="header"/>
    <w:basedOn w:val="Normal"/>
    <w:link w:val="HeaderChar"/>
    <w:uiPriority w:val="99"/>
    <w:unhideWhenUsed/>
    <w:rsid w:val="00246EA1"/>
    <w:pPr>
      <w:tabs>
        <w:tab w:val="center" w:pos="4535"/>
        <w:tab w:val="right" w:pos="9071"/>
      </w:tabs>
      <w:spacing w:before="0"/>
    </w:pPr>
  </w:style>
  <w:style w:type="paragraph" w:customStyle="1" w:styleId="HeaderLandscape">
    <w:name w:val="HeaderLandscape"/>
    <w:basedOn w:val="Normal"/>
    <w:rsid w:val="00246EA1"/>
    <w:pPr>
      <w:tabs>
        <w:tab w:val="center" w:pos="7285"/>
        <w:tab w:val="right" w:pos="14003"/>
      </w:tabs>
      <w:spacing w:before="0"/>
    </w:pPr>
  </w:style>
  <w:style w:type="paragraph" w:styleId="Footer">
    <w:name w:val="footer"/>
    <w:basedOn w:val="Normal"/>
    <w:link w:val="FooterChar"/>
    <w:uiPriority w:val="99"/>
    <w:unhideWhenUsed/>
    <w:rsid w:val="00246EA1"/>
    <w:pPr>
      <w:tabs>
        <w:tab w:val="center" w:pos="4535"/>
        <w:tab w:val="right" w:pos="9071"/>
        <w:tab w:val="right" w:pos="9921"/>
      </w:tabs>
      <w:spacing w:before="360" w:after="0"/>
      <w:ind w:left="-850" w:right="-850"/>
      <w:jc w:val="left"/>
    </w:pPr>
  </w:style>
  <w:style w:type="paragraph" w:customStyle="1" w:styleId="FooterLandscape">
    <w:name w:val="FooterLandscape"/>
    <w:basedOn w:val="Normal"/>
    <w:rsid w:val="00246EA1"/>
    <w:pPr>
      <w:tabs>
        <w:tab w:val="center" w:pos="7285"/>
        <w:tab w:val="center" w:pos="10913"/>
        <w:tab w:val="right" w:pos="15137"/>
      </w:tabs>
      <w:spacing w:before="360" w:after="0"/>
      <w:ind w:left="-567" w:right="-567"/>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BAD999D84E12C74482EA5120F5227F6F00217DECAAC21D6B43958DFE68658C192E" ma:contentTypeVersion="20" ma:contentTypeDescription="Create a new document in this library." ma:contentTypeScope="" ma:versionID="9652a2d46328713989bb97f1a4bbd963">
  <xsd:schema xmlns:xsd="http://www.w3.org/2001/XMLSchema" xmlns:xs="http://www.w3.org/2001/XMLSchema" xmlns:p="http://schemas.microsoft.com/office/2006/metadata/properties" xmlns:ns2="http://schemas.microsoft.com/sharepoint/v3/fields" xmlns:ns3="144c03d0-0f03-451f-9d46-5279004462a4" xmlns:ns4="f7bb8512-91eb-4bfd-be42-d6f021407e9a" targetNamespace="http://schemas.microsoft.com/office/2006/metadata/properties" ma:root="true" ma:fieldsID="4f29c4ebe26ab41c5114504f141434bd" ns2:_="" ns3:_="" ns4:_="">
    <xsd:import namespace="http://schemas.microsoft.com/sharepoint/v3/fields"/>
    <xsd:import namespace="144c03d0-0f03-451f-9d46-5279004462a4"/>
    <xsd:import namespace="f7bb8512-91eb-4bfd-be42-d6f021407e9a"/>
    <xsd:element name="properties">
      <xsd:complexType>
        <xsd:sequence>
          <xsd:element name="documentManagement">
            <xsd:complexType>
              <xsd:all>
                <xsd:element ref="ns3:EC_Collab_Reference" minOccurs="0"/>
                <xsd:element ref="ns2:_Status" minOccurs="0"/>
                <xsd:element ref="ns3:EC_Collab_DocumentLanguage"/>
                <xsd:element ref="ns3:SharedWithUsers" minOccurs="0"/>
                <xsd:element ref="ns3:SharedWithDetails" minOccurs="0"/>
                <xsd:element ref="ns3:EC_Collab_Statu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ma:readOnly="false">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144c03d0-0f03-451f-9d46-5279004462a4"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ma:readOnly="false">
      <xsd:simpleType>
        <xsd:restriction base="dms:Text"/>
      </xsd:simpleType>
    </xsd:element>
    <xsd:element name="EC_Collab_DocumentLanguage" ma:index="14" ma:displayName="Language" ma:default="EN" ma:format="Dropdown" ma:internalName="EC_Collab_DocumentLanguage" ma:readOnly="fals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EC_Collab_Status" ma:index="17" nillable="true" ma:displayName="EC Status" ma:default="Not Started" ma:format="Dropdown" ma:internalName="EC_Collab_Status" ma:readOnly="false">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xsd="http://www.w3.org/2001/XMLSchema" xmlns:xs="http://www.w3.org/2001/XMLSchema" xmlns:dms="http://schemas.microsoft.com/office/2006/documentManagement/types" xmlns:pc="http://schemas.microsoft.com/office/infopath/2007/PartnerControls" targetNamespace="f7bb8512-91eb-4bfd-be42-d6f021407e9a" elementFormDefault="qualified">
    <xsd:import namespace="http://schemas.microsoft.com/office/2006/documentManagement/types"/>
    <xsd:import namespace="http://schemas.microsoft.com/office/infopath/2007/PartnerControls"/>
    <xsd:element name="MediaServiceSearchProperties" ma:index="1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C_Collab_Reference xmlns="144c03d0-0f03-451f-9d46-5279004462a4" xsi:nil="true"/>
    <EC_Collab_Status xmlns="144c03d0-0f03-451f-9d46-5279004462a4">Not Started</EC_Collab_Status>
    <_Status xmlns="http://schemas.microsoft.com/sharepoint/v3/fields">Not Started</_Status>
    <EC_Collab_DocumentLanguage xmlns="144c03d0-0f03-451f-9d46-5279004462a4">EN</EC_Collab_DocumentLanguag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59C996-6824-4681-BC5A-74CD1FDA14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144c03d0-0f03-451f-9d46-5279004462a4"/>
    <ds:schemaRef ds:uri="f7bb8512-91eb-4bfd-be42-d6f021407e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82790F-FC1E-4F6B-B621-9B29109E9AE0}">
  <ds:schemaRefs>
    <ds:schemaRef ds:uri="http://schemas.microsoft.com/sharepoint/v3/contenttype/forms"/>
  </ds:schemaRefs>
</ds:datastoreItem>
</file>

<file path=customXml/itemProps3.xml><?xml version="1.0" encoding="utf-8"?>
<ds:datastoreItem xmlns:ds="http://schemas.openxmlformats.org/officeDocument/2006/customXml" ds:itemID="{9F6A4D5F-9ECB-434C-AA07-6C640E22AE9A}">
  <ds:schemaRefs>
    <ds:schemaRef ds:uri="http://schemas.microsoft.com/office/2006/documentManagement/types"/>
    <ds:schemaRef ds:uri="http://purl.org/dc/terms/"/>
    <ds:schemaRef ds:uri="144c03d0-0f03-451f-9d46-5279004462a4"/>
    <ds:schemaRef ds:uri="http://schemas.microsoft.com/office/infopath/2007/PartnerControls"/>
    <ds:schemaRef ds:uri="f7bb8512-91eb-4bfd-be42-d6f021407e9a"/>
    <ds:schemaRef ds:uri="http://schemas.openxmlformats.org/package/2006/metadata/core-properties"/>
    <ds:schemaRef ds:uri="http://schemas.microsoft.com/office/2006/metadata/properties"/>
    <ds:schemaRef ds:uri="http://schemas.microsoft.com/sharepoint/v3/fields"/>
    <ds:schemaRef ds:uri="http://www.w3.org/XML/1998/namespace"/>
    <ds:schemaRef ds:uri="http://purl.org/dc/dcmitype/"/>
    <ds:schemaRef ds:uri="http://purl.org/dc/elements/1.1/"/>
  </ds:schemaRefs>
</ds:datastoreItem>
</file>

<file path=customXml/itemProps4.xml><?xml version="1.0" encoding="utf-8"?>
<ds:datastoreItem xmlns:ds="http://schemas.openxmlformats.org/officeDocument/2006/customXml" ds:itemID="{B67953BD-506E-4461-A0E3-738A38966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40</TotalTime>
  <Pages>7</Pages>
  <Words>1934</Words>
  <Characters>11027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21</cp:revision>
  <dcterms:created xsi:type="dcterms:W3CDTF">2024-07-24T09:13:00Z</dcterms:created>
  <dcterms:modified xsi:type="dcterms:W3CDTF">2024-08-16T06:54:00Z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8.0.25.0</vt:lpwstr>
  </property>
  <property fmtid="{D5CDD505-2E9C-101B-9397-08002B2CF9AE}" pid="4" name="Last edited using">
    <vt:lpwstr>LW 9.0, Build 20230317</vt:lpwstr>
  </property>
  <property fmtid="{D5CDD505-2E9C-101B-9397-08002B2CF9AE}" pid="5" name="Created using">
    <vt:lpwstr>LW 8.0.1, Build 20220429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SJ-043</vt:lpwstr>
  </property>
  <property fmtid="{D5CDD505-2E9C-101B-9397-08002B2CF9AE}" pid="10" name="MSIP_Label_6bd9ddd1-4d20-43f6-abfa-fc3c07406f94_Enabled">
    <vt:lpwstr>true</vt:lpwstr>
  </property>
  <property fmtid="{D5CDD505-2E9C-101B-9397-08002B2CF9AE}" pid="11" name="MSIP_Label_6bd9ddd1-4d20-43f6-abfa-fc3c07406f94_SetDate">
    <vt:lpwstr>2023-03-13T07:17:24Z</vt:lpwstr>
  </property>
  <property fmtid="{D5CDD505-2E9C-101B-9397-08002B2CF9AE}" pid="12" name="MSIP_Label_6bd9ddd1-4d20-43f6-abfa-fc3c07406f94_Method">
    <vt:lpwstr>Standard</vt:lpwstr>
  </property>
  <property fmtid="{D5CDD505-2E9C-101B-9397-08002B2CF9AE}" pid="13" name="MSIP_Label_6bd9ddd1-4d20-43f6-abfa-fc3c07406f94_Name">
    <vt:lpwstr>Commission Use</vt:lpwstr>
  </property>
  <property fmtid="{D5CDD505-2E9C-101B-9397-08002B2CF9AE}" pid="14" name="MSIP_Label_6bd9ddd1-4d20-43f6-abfa-fc3c07406f94_SiteId">
    <vt:lpwstr>b24c8b06-522c-46fe-9080-70926f8dddb1</vt:lpwstr>
  </property>
  <property fmtid="{D5CDD505-2E9C-101B-9397-08002B2CF9AE}" pid="15" name="MSIP_Label_6bd9ddd1-4d20-43f6-abfa-fc3c07406f94_ActionId">
    <vt:lpwstr>dfc87e73-c996-4bdf-9171-64439d8d142f</vt:lpwstr>
  </property>
  <property fmtid="{D5CDD505-2E9C-101B-9397-08002B2CF9AE}" pid="16" name="MSIP_Label_6bd9ddd1-4d20-43f6-abfa-fc3c07406f94_ContentBits">
    <vt:lpwstr>0</vt:lpwstr>
  </property>
  <property fmtid="{D5CDD505-2E9C-101B-9397-08002B2CF9AE}" pid="17" name="ContentTypeId">
    <vt:lpwstr>0x010100BAD999D84E12C74482EA5120F5227F6F00217DECAAC21D6B43958DFE68658C192E</vt:lpwstr>
  </property>
  <property fmtid="{D5CDD505-2E9C-101B-9397-08002B2CF9AE}" pid="18" name="DQCStatus">
    <vt:lpwstr>Green (DQC version 03)</vt:lpwstr>
  </property>
</Properties>
</file>