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B90F" w14:textId="44FEB208" w:rsidR="00C9045B" w:rsidRPr="00997BDE" w:rsidRDefault="006E6EA6" w:rsidP="00753A73">
      <w:pPr>
        <w:pStyle w:val="Pagedecouverture"/>
        <w:rPr>
          <w:noProof/>
        </w:rPr>
      </w:pPr>
      <w:r>
        <w:rPr>
          <w:noProof/>
        </w:rPr>
        <w:pict w14:anchorId="6B14A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2641F60-4ACF-4426-BC38-B24210DABA6A" style="width:455.25pt;height:369.75pt">
            <v:imagedata r:id="rId7" o:title=""/>
          </v:shape>
        </w:pict>
      </w:r>
    </w:p>
    <w:p w14:paraId="56CF42C0" w14:textId="77777777" w:rsidR="00C9045B" w:rsidRPr="00997BDE" w:rsidRDefault="00C9045B" w:rsidP="00C9045B">
      <w:pPr>
        <w:rPr>
          <w:noProof/>
        </w:rPr>
        <w:sectPr w:rsidR="00C9045B" w:rsidRPr="00997BDE" w:rsidSect="00753A73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8409278" w14:textId="77777777" w:rsidR="00C9045B" w:rsidRPr="00997BDE" w:rsidRDefault="00C9045B" w:rsidP="00BB6B30">
      <w:pPr>
        <w:pStyle w:val="Exposdesmotifstitre"/>
        <w:rPr>
          <w:noProof/>
        </w:rPr>
      </w:pPr>
      <w:r w:rsidRPr="00997BDE">
        <w:rPr>
          <w:noProof/>
        </w:rPr>
        <w:lastRenderedPageBreak/>
        <w:t>ОБЯСНИТЕЛЕН МЕМОРАНДУМ</w:t>
      </w:r>
    </w:p>
    <w:p w14:paraId="103FF3D1" w14:textId="77777777" w:rsidR="00012FD7" w:rsidRPr="00997BDE" w:rsidRDefault="00012FD7" w:rsidP="00012FD7">
      <w:pPr>
        <w:rPr>
          <w:noProof/>
        </w:rPr>
      </w:pPr>
    </w:p>
    <w:p w14:paraId="007953D3" w14:textId="77777777" w:rsidR="00C9045B" w:rsidRPr="00997BDE" w:rsidRDefault="00C9045B" w:rsidP="004C78E7">
      <w:pPr>
        <w:rPr>
          <w:noProof/>
        </w:rPr>
        <w:sectPr w:rsidR="00C9045B" w:rsidRPr="00997BDE" w:rsidSect="00753A73"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49917049" w14:textId="03646CC7" w:rsidR="0067439E" w:rsidRDefault="00753A73" w:rsidP="00753A73">
      <w:pPr>
        <w:pStyle w:val="Rfrenceinterinstitutionnelle"/>
        <w:rPr>
          <w:noProof/>
        </w:rPr>
      </w:pPr>
      <w:r w:rsidRPr="00753A73">
        <w:lastRenderedPageBreak/>
        <w:t>2024/0109 (NLE)</w:t>
      </w:r>
    </w:p>
    <w:p w14:paraId="6B8D87EB" w14:textId="77777777" w:rsidR="00C9045B" w:rsidRPr="00997BDE" w:rsidRDefault="00997BDE" w:rsidP="00997BDE">
      <w:pPr>
        <w:pStyle w:val="Statut"/>
        <w:rPr>
          <w:noProof/>
        </w:rPr>
      </w:pPr>
      <w:r w:rsidRPr="00997BDE">
        <w:rPr>
          <w:noProof/>
        </w:rPr>
        <w:t>Съвместно предложение за</w:t>
      </w:r>
    </w:p>
    <w:p w14:paraId="2FA44127" w14:textId="77777777" w:rsidR="00C9045B" w:rsidRPr="00997BDE" w:rsidRDefault="00997BDE" w:rsidP="00997BDE">
      <w:pPr>
        <w:pStyle w:val="Typedudocument"/>
        <w:rPr>
          <w:noProof/>
        </w:rPr>
      </w:pPr>
      <w:r w:rsidRPr="00997BDE">
        <w:rPr>
          <w:noProof/>
        </w:rPr>
        <w:t>РЕГЛАМЕНТ НА СЪВЕТА</w:t>
      </w:r>
    </w:p>
    <w:p w14:paraId="4B643588" w14:textId="77777777" w:rsidR="00C9045B" w:rsidRPr="00997BDE" w:rsidRDefault="00997BDE" w:rsidP="00997BDE">
      <w:pPr>
        <w:pStyle w:val="Titreobjet"/>
        <w:rPr>
          <w:noProof/>
        </w:rPr>
      </w:pPr>
      <w:r w:rsidRPr="00997BDE">
        <w:rPr>
          <w:noProof/>
        </w:rPr>
        <w:t>за изменение на Регламент (ЕС) № 833/2014 на Съвета относно ограничителни мерки с оглед на действията на Русия, дестабилизиращи положението в Украйна</w:t>
      </w:r>
    </w:p>
    <w:p w14:paraId="5E667D5E" w14:textId="77777777" w:rsidR="00485BB1" w:rsidRPr="00997BDE" w:rsidRDefault="00485BB1" w:rsidP="00485BB1">
      <w:pPr>
        <w:pStyle w:val="Institutionquiagit"/>
        <w:rPr>
          <w:noProof/>
        </w:rPr>
      </w:pPr>
      <w:r w:rsidRPr="00997BDE">
        <w:rPr>
          <w:noProof/>
        </w:rPr>
        <w:t>СЪВЕТЪТ НА ЕВРОПЕЙСКИЯ СЪЮЗ,</w:t>
      </w:r>
    </w:p>
    <w:p w14:paraId="1CE46C9F" w14:textId="77777777" w:rsidR="00485BB1" w:rsidRPr="00997BDE" w:rsidRDefault="00485BB1" w:rsidP="00485BB1">
      <w:pPr>
        <w:rPr>
          <w:noProof/>
        </w:rPr>
      </w:pPr>
      <w:r w:rsidRPr="00997BDE">
        <w:rPr>
          <w:noProof/>
        </w:rPr>
        <w:t>като взе предвид Договора за функционирането на Европейския съюз, и по-специално член 215 от него,</w:t>
      </w:r>
    </w:p>
    <w:p w14:paraId="0227D1B4" w14:textId="77777777" w:rsidR="00485BB1" w:rsidRPr="00997BDE" w:rsidRDefault="00485BB1" w:rsidP="00485BB1">
      <w:pPr>
        <w:rPr>
          <w:noProof/>
        </w:rPr>
      </w:pPr>
      <w:r w:rsidRPr="00997BDE">
        <w:rPr>
          <w:noProof/>
        </w:rPr>
        <w:t>като взе предвид Решение (ОВППС) 2024/746 на Съвета от 23 февруари 2024 г. за изменение на Решение 2014/512/ОВППС относно ограничителни мерки с оглед на действията на Русия, дестабилизиращи положението в Украйна,</w:t>
      </w:r>
    </w:p>
    <w:p w14:paraId="4CA493DF" w14:textId="77777777" w:rsidR="00485BB1" w:rsidRPr="00997BDE" w:rsidRDefault="00485BB1" w:rsidP="00485BB1">
      <w:pPr>
        <w:rPr>
          <w:noProof/>
        </w:rPr>
      </w:pPr>
      <w:r w:rsidRPr="00997BDE">
        <w:rPr>
          <w:noProof/>
        </w:rPr>
        <w:t>като взе предвид съвместното предложение на върховния представител на Съюза по въпросите на външните работи и политиката на сигурност и на Европейската комисия,</w:t>
      </w:r>
    </w:p>
    <w:p w14:paraId="60C9B5AB" w14:textId="77777777" w:rsidR="00485BB1" w:rsidRPr="00997BDE" w:rsidRDefault="00485BB1" w:rsidP="00485BB1">
      <w:pPr>
        <w:rPr>
          <w:noProof/>
        </w:rPr>
      </w:pPr>
      <w:r w:rsidRPr="00997BDE">
        <w:rPr>
          <w:noProof/>
        </w:rPr>
        <w:t>като има предвид, че:</w:t>
      </w:r>
    </w:p>
    <w:p w14:paraId="354B41EE" w14:textId="77777777" w:rsidR="00485BB1" w:rsidRPr="00997BDE" w:rsidRDefault="00485BB1" w:rsidP="00F11E77"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</w:r>
      <w:r w:rsidRPr="00997BDE">
        <w:rPr>
          <w:noProof/>
        </w:rPr>
        <w:t>На 31 юли 2014 г. Съветът прие Регламент (ЕС) № 833/2014 относно ограничителни мерки с оглед на действията на Русия, дестабилизиращи положението в Украйна.</w:t>
      </w:r>
    </w:p>
    <w:p w14:paraId="232D1504" w14:textId="77777777" w:rsidR="00485BB1" w:rsidRPr="00997BDE" w:rsidRDefault="00485BB1" w:rsidP="00485BB1"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</w:r>
      <w:r w:rsidRPr="00997BDE">
        <w:rPr>
          <w:noProof/>
        </w:rPr>
        <w:t>С Регламент (ЕС) № 833/2014 се привеждат в действие някои мерки, предвидени в Решение 2014/512/ОВППС на Съвета.</w:t>
      </w:r>
    </w:p>
    <w:p w14:paraId="138BEDDB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(3)</w:t>
      </w:r>
      <w:r>
        <w:rPr>
          <w:noProof/>
        </w:rPr>
        <w:tab/>
      </w:r>
      <w:r w:rsidRPr="00997BDE">
        <w:rPr>
          <w:rStyle w:val="normaltextrun"/>
          <w:noProof/>
          <w:color w:val="000000"/>
          <w:bdr w:val="none" w:sz="0" w:space="0" w:color="auto" w:frame="1"/>
        </w:rPr>
        <w:t>На XXX г. Съветът прие Решение (ОВППС) 2024/XXX за изменение на Решение 2014/512/ОВППС.</w:t>
      </w:r>
    </w:p>
    <w:p w14:paraId="7A30B542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(4)</w:t>
      </w:r>
      <w:r>
        <w:rPr>
          <w:noProof/>
        </w:rPr>
        <w:tab/>
      </w:r>
      <w:r w:rsidRPr="00997BDE">
        <w:rPr>
          <w:rStyle w:val="normaltextrun"/>
          <w:noProof/>
        </w:rPr>
        <w:t>В заключенията си от 24 февруари 2022 г. Европейският съвет осъди по възможно най-категоричен начин непровокираната и неоправдана военна агресия на Руската федерация срещу Украйна. Чрез своите незаконни военни действия Русия грубо нарушава международното право и принципите на Устава на Организацията на обединените нации и подкопава европейската и световната сигурност и стабилност. Европейският съвет призова за спешно изготвяне и приемане на още един пакет от допълнителни санкции срещу лица и икономически санкции. Европейският съвет призова Русия и подкрепяните от Русия въоръжени формирования да прекратят своята дезинформационна кампания.</w:t>
      </w:r>
    </w:p>
    <w:p w14:paraId="39A6A8DA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(5)</w:t>
      </w:r>
      <w:r>
        <w:rPr>
          <w:noProof/>
        </w:rPr>
        <w:tab/>
      </w:r>
      <w:r w:rsidRPr="00997BDE">
        <w:rPr>
          <w:rStyle w:val="normaltextrun"/>
          <w:noProof/>
        </w:rPr>
        <w:t>В заключенията си от 10 май 2021 г. Съветът подчерта необходимостта от по-нататъшно укрепване на устойчивостта на Съюза и на държавите членки, както и на способността им да се борят с хибридните заплахи, включително дезинформацията, като се гарантират координираното и интегрирано използване на съществуващите и възможните нови инструменти за борба с хибридните заплахи на равнището на Съюза и на държавите членки, както и възможни ответни действия в областта на хибридните заплахи, включително, наред с другото, на чуждестранна намеса и операции за оказване на влияние, които могат да включват превантивни мерки, както и налагането на разходи на враждебни държавни и недържавни участници.</w:t>
      </w:r>
    </w:p>
    <w:p w14:paraId="49A8810C" w14:textId="77777777" w:rsidR="007C387A" w:rsidRPr="00997BDE" w:rsidRDefault="007C387A" w:rsidP="007C387A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lastRenderedPageBreak/>
        <w:t>(6)</w:t>
      </w:r>
      <w:r>
        <w:rPr>
          <w:noProof/>
        </w:rPr>
        <w:tab/>
      </w:r>
      <w:r w:rsidRPr="00997BDE">
        <w:rPr>
          <w:rStyle w:val="normaltextrun"/>
          <w:noProof/>
        </w:rPr>
        <w:t>В заключенията си от 21 и 22 март 2024 г. Европейският съвет отново потвърди непоколебимата подкрепа на Съюза за независимостта, суверенитета и териториалната цялост на Украйна в рамките на международно признатите ѝ граници, както и за неотменимото ѝ право на самоотбрана срещу руската агресия. Той призова и за по-нататъшни стъпки, за да се отслаби способността на Русия да продължи да води агресивната си война, включително чрез засилване на санкциите.</w:t>
      </w:r>
    </w:p>
    <w:p w14:paraId="606B78A2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(7)</w:t>
      </w:r>
      <w:r>
        <w:rPr>
          <w:noProof/>
        </w:rPr>
        <w:tab/>
      </w:r>
      <w:r w:rsidRPr="00997BDE">
        <w:rPr>
          <w:rStyle w:val="normaltextrun"/>
          <w:noProof/>
        </w:rPr>
        <w:t>Руската федерация предприе системна международна кампания за медийна манипулация и изопачаване на фактите, за да засили стратегията си за дестабилизация на съседните ѝ държави и на Съюза и неговите държави членки. По-специално мишена на пропагандата многократно и последователно бяха европейски политически партии, особено по време на изборите, като мишена са и гражданското общество, лицата, търсещи убежище, руски етнически малцинства, полови малцинства, както и функционирането на демократичните институции в Съюза и неговите държави членки.</w:t>
      </w:r>
    </w:p>
    <w:p w14:paraId="15FFBF70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(8)</w:t>
      </w:r>
      <w:r>
        <w:rPr>
          <w:noProof/>
        </w:rPr>
        <w:tab/>
      </w:r>
      <w:r w:rsidRPr="00997BDE">
        <w:rPr>
          <w:rStyle w:val="normaltextrun"/>
          <w:noProof/>
        </w:rPr>
        <w:t>С цел да обоснове и подкрепи агресията си срещу Украйна, Руската федерация предприе продължителни и съгласувани пропагандни действия, насочени към гражданското общество в Съюза и в съседните държави, като сериозно изопачава и манипулира фактите.</w:t>
      </w:r>
    </w:p>
    <w:p w14:paraId="0F5FE456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(9)</w:t>
      </w:r>
      <w:r>
        <w:rPr>
          <w:noProof/>
        </w:rPr>
        <w:tab/>
      </w:r>
      <w:r w:rsidRPr="00997BDE">
        <w:rPr>
          <w:rStyle w:val="normaltextrun"/>
          <w:noProof/>
        </w:rPr>
        <w:t>Посочените пропагандни действия се осъществяват чрез редица медии под постоянния пряк или непряк контрол на ръководството на Руската федерация. Подобни действия представляват съществена и пряка заплаха за обществения ред и сигурността на Съюза.</w:t>
      </w:r>
    </w:p>
    <w:p w14:paraId="6CC77701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(10)</w:t>
      </w:r>
      <w:r>
        <w:rPr>
          <w:noProof/>
        </w:rPr>
        <w:tab/>
      </w:r>
      <w:r w:rsidRPr="00997BDE">
        <w:rPr>
          <w:rStyle w:val="normaltextrun"/>
          <w:noProof/>
        </w:rPr>
        <w:t>Споменатите медии са от съществено значение и допринасят за обосноваването на агресията срещу Украйна и за подкрепата на тази агресия, както и за дестабилизирането на съседните на Украйна държави.</w:t>
      </w:r>
    </w:p>
    <w:p w14:paraId="3B2D514F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(11)</w:t>
      </w:r>
      <w:r>
        <w:rPr>
          <w:noProof/>
        </w:rPr>
        <w:tab/>
      </w:r>
      <w:r w:rsidRPr="00997BDE">
        <w:rPr>
          <w:rStyle w:val="normaltextrun"/>
          <w:noProof/>
        </w:rPr>
        <w:t>С оглед на сериозната обстановка и в отговор на действията на Русия, дестабилизиращи положението в Украйна, е необходимо в съответствие с основните права и свободи, признати в Хартата на основните права, по-специално с правото на свобода на изразяване на мнение и на свобода на информация, както е признато в член 11 от нея, спешно да се преустановят дейностите по излъчване на допълнителни медии в Съюза, или на излъчванията им, насочени към Съюза. Тези мерки следва да се запазят, докато се сложи край на агресията срещу Украйна и докато Руската федерация и свързаните с нея медии престанат да извършват пропагандни действия срещу Съюза и неговите държави членки.</w:t>
      </w:r>
    </w:p>
    <w:p w14:paraId="5495058F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(12)</w:t>
      </w:r>
      <w:r>
        <w:rPr>
          <w:noProof/>
        </w:rPr>
        <w:tab/>
      </w:r>
      <w:r w:rsidRPr="00997BDE">
        <w:rPr>
          <w:rStyle w:val="normaltextrun"/>
          <w:noProof/>
        </w:rPr>
        <w:t>В съответствие с основните права и свободи, признати в Хартата на основните права, и по-специално с правото на свобода на изразяване на мнение и свободата на информация, свободата на стопанска инициатива и правото на собственост, както са признати в членове 11, 16 и 17 от нея, мерките не пречат на въпросните медии и техния персонал да извършват в Съюза други дейности, различни от излъчване, например изследвания и интервюта. По-специално тези мерки не променят задължението за зачитане на правата, свободите и принципите, посочени в член 6 от Договора за Европейския съюз, включително в Хартата на основните права, както и в конституциите на държавите членки, в рамките на съответното им приложно поле.</w:t>
      </w:r>
    </w:p>
    <w:p w14:paraId="74033230" w14:textId="77777777" w:rsidR="00E33F5E" w:rsidRPr="00997BDE" w:rsidRDefault="00E33F5E" w:rsidP="00E33F5E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lastRenderedPageBreak/>
        <w:t>(13)</w:t>
      </w:r>
      <w:r>
        <w:rPr>
          <w:noProof/>
        </w:rPr>
        <w:tab/>
      </w:r>
      <w:r w:rsidRPr="00997BDE">
        <w:rPr>
          <w:rStyle w:val="normaltextrun"/>
          <w:noProof/>
        </w:rPr>
        <w:t>С цел да се осигури съгласуваност с предвидената в Решение 2014/512/ОВППС процедура за спиране на срока на действие на лицензиите за телевизионно и радиоразпръскване, Съветът следва да упражни изпълнителни правомощия, за да реши — след разглеждане на съответните случаи — дали по отношение на няколко образувания, включени в приложение XV към Регламент (ЕС) № 833/2014, ограничителните мерки да започнат да се прилагат от посочената в Регламент (ЕС) № 833/2014 дата.</w:t>
      </w:r>
    </w:p>
    <w:p w14:paraId="39A94337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(14)</w:t>
      </w:r>
      <w:r>
        <w:rPr>
          <w:noProof/>
        </w:rPr>
        <w:tab/>
      </w:r>
      <w:r w:rsidRPr="00997BDE">
        <w:rPr>
          <w:rStyle w:val="normaltextrun"/>
          <w:noProof/>
        </w:rPr>
        <w:t>Мерките попадат в обхвата на Договора и следователно е необходим нормативен акт на равнището на Съюза, по-специално с цел да се осигури еднаквото им прилагане във всички държави членки.</w:t>
      </w:r>
    </w:p>
    <w:p w14:paraId="2D845E7D" w14:textId="77777777" w:rsidR="00485BB1" w:rsidRPr="00997BDE" w:rsidRDefault="00485BB1" w:rsidP="00485BB1">
      <w:pPr>
        <w:pStyle w:val="ManualConsidrant"/>
        <w:rPr>
          <w:rStyle w:val="normaltextrun"/>
          <w:noProof/>
          <w:szCs w:val="24"/>
        </w:rPr>
      </w:pPr>
      <w:r>
        <w:rPr>
          <w:noProof/>
        </w:rPr>
        <w:t>(15)</w:t>
      </w:r>
      <w:r>
        <w:rPr>
          <w:noProof/>
        </w:rPr>
        <w:tab/>
      </w:r>
      <w:r w:rsidRPr="00997BDE">
        <w:rPr>
          <w:rStyle w:val="normaltextrun"/>
          <w:noProof/>
        </w:rPr>
        <w:t>Поради това Регламент (ЕС) № 833/2014 следва да бъде съответно изменен,</w:t>
      </w:r>
    </w:p>
    <w:p w14:paraId="4A299C27" w14:textId="77777777" w:rsidR="00C9045B" w:rsidRPr="00997BDE" w:rsidRDefault="00C9045B" w:rsidP="00CE48A5">
      <w:pPr>
        <w:pStyle w:val="Formuledadoption"/>
        <w:rPr>
          <w:noProof/>
        </w:rPr>
      </w:pPr>
      <w:r w:rsidRPr="00997BDE">
        <w:rPr>
          <w:noProof/>
        </w:rPr>
        <w:t>ПРИЕ НАСТОЯЩИЯ РЕГЛАМЕНТ:</w:t>
      </w:r>
    </w:p>
    <w:p w14:paraId="39586D98" w14:textId="77777777" w:rsidR="00C9045B" w:rsidRPr="00997BDE" w:rsidRDefault="00C9045B" w:rsidP="00CE48A5">
      <w:pPr>
        <w:pStyle w:val="Titrearticle"/>
        <w:rPr>
          <w:noProof/>
        </w:rPr>
      </w:pPr>
      <w:r w:rsidRPr="00997BDE">
        <w:rPr>
          <w:noProof/>
        </w:rPr>
        <w:t>Член 1</w:t>
      </w:r>
    </w:p>
    <w:p w14:paraId="10712980" w14:textId="77777777" w:rsidR="00310A9D" w:rsidRPr="00997BDE" w:rsidRDefault="00310A9D" w:rsidP="00472DA1">
      <w:pPr>
        <w:rPr>
          <w:noProof/>
        </w:rPr>
      </w:pPr>
      <w:r w:rsidRPr="00997BDE">
        <w:rPr>
          <w:noProof/>
        </w:rPr>
        <w:t xml:space="preserve">Приложение XV </w:t>
      </w:r>
      <w:r w:rsidRPr="00997BDE">
        <w:rPr>
          <w:noProof/>
          <w:shd w:val="clear" w:color="auto" w:fill="FFFFFF"/>
        </w:rPr>
        <w:t>се изменя в съответствие с приложението към настоящия регламент.</w:t>
      </w:r>
      <w:r w:rsidRPr="00997BDE">
        <w:rPr>
          <w:noProof/>
        </w:rPr>
        <w:t xml:space="preserve"> </w:t>
      </w:r>
      <w:r w:rsidRPr="00997BDE">
        <w:rPr>
          <w:noProof/>
          <w:shd w:val="clear" w:color="auto" w:fill="FFFFFF"/>
        </w:rPr>
        <w:t>Настоящата точка се прилага по отношение на едно или няколко от образуванията, посочени в приложението към настоящия регламент, считано от [</w:t>
      </w:r>
      <w:r w:rsidRPr="00997BDE">
        <w:rPr>
          <w:i/>
          <w:noProof/>
          <w:shd w:val="clear" w:color="auto" w:fill="FFFFFF"/>
        </w:rPr>
        <w:t>да се впише подходяща дата, като се има предвид</w:t>
      </w:r>
      <w:r w:rsidRPr="00997BDE">
        <w:rPr>
          <w:noProof/>
          <w:shd w:val="clear" w:color="auto" w:fill="FFFFFF"/>
        </w:rPr>
        <w:t xml:space="preserve"> </w:t>
      </w:r>
      <w:r w:rsidRPr="00997BDE">
        <w:rPr>
          <w:i/>
          <w:iCs/>
          <w:noProof/>
          <w:shd w:val="clear" w:color="auto" w:fill="FFFFFF"/>
        </w:rPr>
        <w:t>предварителното уведомяване</w:t>
      </w:r>
      <w:r w:rsidRPr="00997BDE">
        <w:rPr>
          <w:noProof/>
          <w:shd w:val="clear" w:color="auto" w:fill="FFFFFF"/>
        </w:rPr>
        <w:t>] и при условие че Съветът, след като разгледа съответните случаи, реши така посредством акт за изпълнение.</w:t>
      </w:r>
    </w:p>
    <w:p w14:paraId="6051DFB3" w14:textId="77777777" w:rsidR="00C9045B" w:rsidRPr="00997BDE" w:rsidRDefault="00C9045B" w:rsidP="00CE48A5">
      <w:pPr>
        <w:rPr>
          <w:noProof/>
        </w:rPr>
      </w:pPr>
    </w:p>
    <w:p w14:paraId="3FFFCBD1" w14:textId="77777777" w:rsidR="00C9045B" w:rsidRPr="00997BDE" w:rsidRDefault="00C9045B" w:rsidP="00CE48A5">
      <w:pPr>
        <w:pStyle w:val="Titrearticle"/>
        <w:rPr>
          <w:noProof/>
        </w:rPr>
      </w:pPr>
      <w:r w:rsidRPr="00997BDE">
        <w:rPr>
          <w:noProof/>
        </w:rPr>
        <w:t>Член 2</w:t>
      </w:r>
    </w:p>
    <w:p w14:paraId="533AD915" w14:textId="77777777" w:rsidR="00C9045B" w:rsidRPr="00997BDE" w:rsidRDefault="00C9045B" w:rsidP="00CE48A5">
      <w:pPr>
        <w:rPr>
          <w:noProof/>
        </w:rPr>
      </w:pPr>
      <w:r w:rsidRPr="00997BDE">
        <w:rPr>
          <w:noProof/>
        </w:rPr>
        <w:t xml:space="preserve">Настоящият регламент влиза в сила на […] ден след деня на публикуването му в </w:t>
      </w:r>
      <w:r w:rsidRPr="00997BDE">
        <w:rPr>
          <w:i/>
          <w:iCs/>
          <w:noProof/>
        </w:rPr>
        <w:t>Официален вестник на Европейския съюз</w:t>
      </w:r>
      <w:r w:rsidRPr="00997BDE">
        <w:rPr>
          <w:noProof/>
        </w:rPr>
        <w:t>.</w:t>
      </w:r>
    </w:p>
    <w:p w14:paraId="13A6D166" w14:textId="77777777" w:rsidR="00C9045B" w:rsidRPr="00997BDE" w:rsidRDefault="00C9045B" w:rsidP="00CE48A5">
      <w:pPr>
        <w:pStyle w:val="Applicationdirecte"/>
        <w:rPr>
          <w:noProof/>
        </w:rPr>
      </w:pPr>
      <w:r w:rsidRPr="00997BDE">
        <w:rPr>
          <w:noProof/>
        </w:rPr>
        <w:t>Настоящият регламент е задължителен в своята цялост и се прилага пряко във всички държави членки.</w:t>
      </w:r>
    </w:p>
    <w:p w14:paraId="01BBF692" w14:textId="54BEBB18" w:rsidR="00C9045B" w:rsidRPr="00997BDE" w:rsidRDefault="00753A73" w:rsidP="00753A73">
      <w:pPr>
        <w:pStyle w:val="Fait"/>
        <w:rPr>
          <w:noProof/>
        </w:rPr>
      </w:pPr>
      <w:r w:rsidRPr="00753A73">
        <w:t xml:space="preserve">Съставено в Брюксел на </w:t>
      </w:r>
      <w:r w:rsidR="006E6EA6">
        <w:rPr>
          <w:rStyle w:val="Marker"/>
          <w:noProof/>
        </w:rPr>
        <w:t>[…]</w:t>
      </w:r>
      <w:r w:rsidRPr="00753A73">
        <w:t xml:space="preserve"> година.</w:t>
      </w:r>
    </w:p>
    <w:p w14:paraId="22EF0194" w14:textId="77777777" w:rsidR="00C9045B" w:rsidRPr="00997BDE" w:rsidRDefault="00C9045B" w:rsidP="0059601D">
      <w:pPr>
        <w:pStyle w:val="Institutionquisigne"/>
        <w:rPr>
          <w:noProof/>
        </w:rPr>
      </w:pPr>
      <w:r w:rsidRPr="00997BDE">
        <w:rPr>
          <w:noProof/>
        </w:rPr>
        <w:tab/>
        <w:t>За Съвета</w:t>
      </w:r>
    </w:p>
    <w:p w14:paraId="461C49A2" w14:textId="77777777" w:rsidR="00C9045B" w:rsidRPr="00997BDE" w:rsidRDefault="00C9045B" w:rsidP="00C9045B">
      <w:pPr>
        <w:pStyle w:val="Personnequisigne"/>
        <w:rPr>
          <w:noProof/>
        </w:rPr>
      </w:pPr>
      <w:r w:rsidRPr="00997BDE">
        <w:rPr>
          <w:noProof/>
        </w:rPr>
        <w:tab/>
        <w:t>Председател</w:t>
      </w:r>
    </w:p>
    <w:sectPr w:rsidR="00C9045B" w:rsidRPr="00997BDE" w:rsidSect="00753A73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863A" w14:textId="77777777" w:rsidR="0058035F" w:rsidRDefault="0058035F" w:rsidP="00C9045B">
      <w:pPr>
        <w:spacing w:before="0" w:after="0"/>
      </w:pPr>
      <w:r>
        <w:separator/>
      </w:r>
    </w:p>
  </w:endnote>
  <w:endnote w:type="continuationSeparator" w:id="0">
    <w:p w14:paraId="59F08525" w14:textId="77777777" w:rsidR="0058035F" w:rsidRDefault="0058035F" w:rsidP="00C904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413E" w14:textId="624613FF" w:rsidR="00753A73" w:rsidRPr="00753A73" w:rsidRDefault="00753A73" w:rsidP="00753A73">
    <w:pPr>
      <w:pStyle w:val="Footer"/>
      <w:rPr>
        <w:rFonts w:ascii="Arial" w:hAnsi="Arial" w:cs="Arial"/>
        <w:b/>
        <w:sz w:val="48"/>
      </w:rPr>
    </w:pPr>
    <w:r w:rsidRPr="00753A73">
      <w:rPr>
        <w:rFonts w:ascii="Arial" w:hAnsi="Arial" w:cs="Arial"/>
        <w:b/>
        <w:sz w:val="48"/>
      </w:rPr>
      <w:t>BG</w:t>
    </w:r>
    <w:r w:rsidRPr="00753A73">
      <w:rPr>
        <w:rFonts w:ascii="Arial" w:hAnsi="Arial" w:cs="Arial"/>
        <w:b/>
        <w:sz w:val="48"/>
      </w:rPr>
      <w:tab/>
    </w:r>
    <w:r w:rsidRPr="00753A73">
      <w:rPr>
        <w:rFonts w:ascii="Arial" w:hAnsi="Arial" w:cs="Arial"/>
        <w:b/>
        <w:sz w:val="48"/>
      </w:rPr>
      <w:tab/>
    </w:r>
    <w:r w:rsidRPr="00753A73">
      <w:tab/>
    </w:r>
    <w:r w:rsidRPr="00753A73"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8D97" w14:textId="09BBB273" w:rsidR="00753A73" w:rsidRPr="00753A73" w:rsidRDefault="00753A73" w:rsidP="00753A73">
    <w:pPr>
      <w:pStyle w:val="Footer"/>
      <w:rPr>
        <w:rFonts w:ascii="Arial" w:hAnsi="Arial" w:cs="Arial"/>
        <w:b/>
        <w:sz w:val="48"/>
      </w:rPr>
    </w:pPr>
    <w:r w:rsidRPr="00753A73">
      <w:rPr>
        <w:rFonts w:ascii="Arial" w:hAnsi="Arial" w:cs="Arial"/>
        <w:b/>
        <w:sz w:val="48"/>
      </w:rPr>
      <w:t>BG</w:t>
    </w:r>
    <w:r w:rsidRPr="00753A73">
      <w:rPr>
        <w:rFonts w:ascii="Arial" w:hAnsi="Arial" w:cs="Arial"/>
        <w:b/>
        <w:sz w:val="48"/>
      </w:rPr>
      <w:tab/>
    </w:r>
    <w:r w:rsidRPr="00753A73">
      <w:rPr>
        <w:rFonts w:ascii="Arial" w:hAnsi="Arial" w:cs="Arial"/>
        <w:b/>
        <w:sz w:val="48"/>
      </w:rPr>
      <w:tab/>
    </w:r>
    <w:r w:rsidRPr="00753A73">
      <w:tab/>
    </w:r>
    <w:r w:rsidRPr="00753A73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050F" w14:textId="3060E817" w:rsidR="00753A73" w:rsidRPr="00753A73" w:rsidRDefault="00753A73" w:rsidP="00753A73">
    <w:pPr>
      <w:pStyle w:val="Footer"/>
      <w:rPr>
        <w:rFonts w:ascii="Arial" w:hAnsi="Arial" w:cs="Arial"/>
        <w:b/>
        <w:sz w:val="48"/>
      </w:rPr>
    </w:pPr>
    <w:r w:rsidRPr="00753A73">
      <w:rPr>
        <w:rFonts w:ascii="Arial" w:hAnsi="Arial" w:cs="Arial"/>
        <w:b/>
        <w:sz w:val="48"/>
      </w:rPr>
      <w:t>BG</w:t>
    </w:r>
    <w:r w:rsidRPr="00753A7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753A73">
      <w:tab/>
    </w:r>
    <w:r w:rsidRPr="00753A73">
      <w:rPr>
        <w:rFonts w:ascii="Arial" w:hAnsi="Arial" w:cs="Arial"/>
        <w:b/>
        <w:sz w:val="48"/>
      </w:rPr>
      <w:t>BG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43B4" w14:textId="77777777" w:rsidR="00753A73" w:rsidRPr="00753A73" w:rsidRDefault="00753A73" w:rsidP="0075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7E11" w14:textId="77777777" w:rsidR="0058035F" w:rsidRDefault="0058035F" w:rsidP="00C9045B">
      <w:pPr>
        <w:spacing w:before="0" w:after="0"/>
      </w:pPr>
      <w:r>
        <w:separator/>
      </w:r>
    </w:p>
  </w:footnote>
  <w:footnote w:type="continuationSeparator" w:id="0">
    <w:p w14:paraId="7EF51C76" w14:textId="77777777" w:rsidR="0058035F" w:rsidRDefault="0058035F" w:rsidP="00C904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E8A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F609E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1E674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7001D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448156854">
    <w:abstractNumId w:val="3"/>
  </w:num>
  <w:num w:numId="2" w16cid:durableId="951546188">
    <w:abstractNumId w:val="2"/>
  </w:num>
  <w:num w:numId="3" w16cid:durableId="604921150">
    <w:abstractNumId w:val="1"/>
  </w:num>
  <w:num w:numId="4" w16cid:durableId="1776899091">
    <w:abstractNumId w:val="0"/>
  </w:num>
  <w:num w:numId="5" w16cid:durableId="1994791652">
    <w:abstractNumId w:val="18"/>
    <w:lvlOverride w:ilvl="0">
      <w:startOverride w:val="1"/>
    </w:lvlOverride>
  </w:num>
  <w:num w:numId="6" w16cid:durableId="283343406">
    <w:abstractNumId w:val="15"/>
  </w:num>
  <w:num w:numId="7" w16cid:durableId="1967392703">
    <w:abstractNumId w:val="8"/>
  </w:num>
  <w:num w:numId="8" w16cid:durableId="634719497">
    <w:abstractNumId w:val="17"/>
  </w:num>
  <w:num w:numId="9" w16cid:durableId="1646003973">
    <w:abstractNumId w:val="7"/>
  </w:num>
  <w:num w:numId="10" w16cid:durableId="1596402719">
    <w:abstractNumId w:val="9"/>
  </w:num>
  <w:num w:numId="11" w16cid:durableId="2005937390">
    <w:abstractNumId w:val="10"/>
  </w:num>
  <w:num w:numId="12" w16cid:durableId="470100973">
    <w:abstractNumId w:val="5"/>
  </w:num>
  <w:num w:numId="13" w16cid:durableId="152062253">
    <w:abstractNumId w:val="16"/>
  </w:num>
  <w:num w:numId="14" w16cid:durableId="1859418922">
    <w:abstractNumId w:val="4"/>
  </w:num>
  <w:num w:numId="15" w16cid:durableId="1336766794">
    <w:abstractNumId w:val="11"/>
  </w:num>
  <w:num w:numId="16" w16cid:durableId="1162231942">
    <w:abstractNumId w:val="13"/>
  </w:num>
  <w:num w:numId="17" w16cid:durableId="901793077">
    <w:abstractNumId w:val="14"/>
  </w:num>
  <w:num w:numId="18" w16cid:durableId="333143422">
    <w:abstractNumId w:val="6"/>
  </w:num>
  <w:num w:numId="19" w16cid:durableId="1388650411">
    <w:abstractNumId w:val="12"/>
  </w:num>
  <w:num w:numId="20" w16cid:durableId="1119059259">
    <w:abstractNumId w:val="18"/>
  </w:num>
  <w:num w:numId="21" w16cid:durableId="1445340467">
    <w:abstractNumId w:val="15"/>
  </w:num>
  <w:num w:numId="22" w16cid:durableId="1251966570">
    <w:abstractNumId w:val="8"/>
  </w:num>
  <w:num w:numId="23" w16cid:durableId="1596858341">
    <w:abstractNumId w:val="17"/>
  </w:num>
  <w:num w:numId="24" w16cid:durableId="1137184688">
    <w:abstractNumId w:val="7"/>
  </w:num>
  <w:num w:numId="25" w16cid:durableId="545291801">
    <w:abstractNumId w:val="9"/>
  </w:num>
  <w:num w:numId="26" w16cid:durableId="1278491086">
    <w:abstractNumId w:val="10"/>
  </w:num>
  <w:num w:numId="27" w16cid:durableId="606811988">
    <w:abstractNumId w:val="5"/>
  </w:num>
  <w:num w:numId="28" w16cid:durableId="1993170546">
    <w:abstractNumId w:val="16"/>
  </w:num>
  <w:num w:numId="29" w16cid:durableId="705907187">
    <w:abstractNumId w:val="4"/>
  </w:num>
  <w:num w:numId="30" w16cid:durableId="1020860756">
    <w:abstractNumId w:val="11"/>
  </w:num>
  <w:num w:numId="31" w16cid:durableId="567766013">
    <w:abstractNumId w:val="13"/>
  </w:num>
  <w:num w:numId="32" w16cid:durableId="550194261">
    <w:abstractNumId w:val="14"/>
  </w:num>
  <w:num w:numId="33" w16cid:durableId="235018670">
    <w:abstractNumId w:val="6"/>
  </w:num>
  <w:num w:numId="34" w16cid:durableId="2052878135">
    <w:abstractNumId w:val="12"/>
  </w:num>
  <w:num w:numId="35" w16cid:durableId="182769852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4-08-14 16:54:2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62641F60-4ACF-4426-BC38-B24210DABA6A"/>
    <w:docVar w:name="LW_COVERPAGE_TYPE" w:val="1"/>
    <w:docVar w:name="LW_CROSSREFERENCE" w:val="&lt;UNUSED&gt;"/>
    <w:docVar w:name="LW_DocType" w:val="COM"/>
    <w:docVar w:name="LW_EMISSION" w:val="3.5.2024"/>
    <w:docVar w:name="LW_EMISSION_ISODATE" w:val="2024-05-03"/>
    <w:docVar w:name="LW_EMISSION_LOCATION" w:val="BRX"/>
    <w:docVar w:name="LW_EMISSION_PREFIX" w:val="\u1041?\u1088?\u1102?\u1082?\u1089?\u1077?\u1083?, "/>
    <w:docVar w:name="LW_EMISSION_SUFFIX" w:val=" \u1075?."/>
    <w:docVar w:name="LW_ID_DOCMODEL" w:val="SG-057"/>
    <w:docVar w:name="LW_ID_DOCSIGNATURE" w:val="SJ-016"/>
    <w:docVar w:name="LW_ID_DOCSTRUCTURE" w:val="COM/PL/ORG"/>
    <w:docVar w:name="LW_ID_DOCTYPE" w:val="SG-057"/>
    <w:docVar w:name="LW_ID_STATUT" w:val="SG-057"/>
    <w:docVar w:name="LW_INSERT_EXP.MOTIFS.NEW" w:val="1"/>
    <w:docVar w:name="LW_INTERETEEE.CP" w:val="&lt;UNUSED&gt;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\u1042?\u1066?\u1056?\u1061?\u1054?\u1042?\u1045?\u1053? \u1055?\u1056?\u1045?\u1044?\u1057?\u1058?\u1040?\u1042?\u1048?\u1058?\u1045?\u1051? _x000b_\u1053?\u1040? \u1057?\u1066?\u1070?\u1047?A \u1055?\u1054? \u1042?\u1066?\u1055?\u1056?\u1054?\u1057?\u1048?\u1058?\u1045?_x000b_\u1053?\u1040? \u1042?\u1066?\u1053?\u1064?\u1053?\u1048?\u1058?\u1045? \u1056?\u1040?\u1041?\u1054?\u1058?\u1048? \u1048?_x000b_\u1055?\u1054?\u1051?\u1048?\u1058?\u1048?\u1050?\u1040?\u1058?\u1040? \u1053?\u1040? \u1057?\u1048?\u1043?\u1059?\u1056?\u1053?\u1054?\u1057?\u1058?"/>
    <w:docVar w:name="LW_PART_NBR" w:val="1"/>
    <w:docVar w:name="LW_PART_NBR_TOTAL" w:val="1"/>
    <w:docVar w:name="LW_REF.II.NEW.CP" w:val="NLE"/>
    <w:docVar w:name="LW_REF.II.NEW.CP_NUMBER" w:val="0109"/>
    <w:docVar w:name="LW_REF.II.NEW.CP_YEAR" w:val="2024"/>
    <w:docVar w:name="LW_REF.INST.NEW" w:val="JOIN"/>
    <w:docVar w:name="LW_REF.INST.NEW_ADOPTED" w:val="final/2 -     DOWNGRADED ON 19.8.2024"/>
    <w:docVar w:name="LW_REF.INST.NEW_TEXT" w:val="(2024) 1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\u1057?\u1098?\u1074?\u1084?\u1077?\u1089?\u1090?\u1085?\u1086? \u1087?\u1088?\u1077?\u1076?\u1083?\u1086?\u1078?\u1077?\u1085?\u1080?\u1077? \u1079?\u1072?"/>
    <w:docVar w:name="LW_SUPERTITRE" w:val="&lt;UNUSED&gt;"/>
    <w:docVar w:name="LW_TITRE.OBJ.CP" w:val="\u1079?\u1072? \u1080?\u1079?\u1084?\u1077?\u1085?\u1077?\u1085?\u1080?\u1077? \u1085?\u1072? \u1056?\u1077?\u1075?\u1083?\u1072?\u1084?\u1077?\u1085?\u1090? (\u1045?\u1057?) \u8470? 833/2014 \u1085?\u1072? \u1057?\u1098?\u1074?\u1077?\u1090?\u1072? \u1086?\u1090?\u1085?\u1086?\u1089?\u1085?\u1086? \u1086?\u1075?\u1088?\u1072?\u1085?\u1080?\u1095?\u1080?\u1090?\u1077?\u1083?\u1085?\u1080? \u1084?\u1077?\u1088?\u1082?\u1080? \u1089? \u1086?\u1075?\u1083?\u1077?\u1076? \u1085?\u1072? \u1076?\u1077?\u1081?\u1089?\u1090?\u1074?\u1080?\u1103?\u1090?\u1072? \u1085?\u1072? \u1056?\u1091?\u1089?\u1080?\u1103?, \u1076?\u1077?\u1089?\u1090?\u1072?\u1073?\u1080?\u1083?\u1080?\u1079?\u1080?\u1088?\u1072?\u1097?\u1080? \u1087?\u1086?\u1083?\u1086?\u1078?\u1077?\u1085?\u1080?\u1077?\u1090?\u1086? \u1074? \u1059?\u1082?\u1088?\u1072?\u1081?\u1085?\u1072?"/>
    <w:docVar w:name="LW_TYPE.DOC.CP" w:val="\u1056?\u1045?\u1043?\u1051?\u1040?\u1052?\u1045?\u1053?\u1058? \u1053?\u1040? \u1057?\u1066?\u1042?\u1045?\u1058?\u1040?"/>
    <w:docVar w:name="LwApiVersions" w:val="LW4CoDe 1.24.5.0; LW 9.0, Build 20240221"/>
  </w:docVars>
  <w:rsids>
    <w:rsidRoot w:val="00C9045B"/>
    <w:rsid w:val="00012FD7"/>
    <w:rsid w:val="0007178F"/>
    <w:rsid w:val="00071C19"/>
    <w:rsid w:val="00094ADA"/>
    <w:rsid w:val="000D2CB3"/>
    <w:rsid w:val="001065F5"/>
    <w:rsid w:val="00122E01"/>
    <w:rsid w:val="001238EF"/>
    <w:rsid w:val="00197613"/>
    <w:rsid w:val="001E2876"/>
    <w:rsid w:val="001E6156"/>
    <w:rsid w:val="002030CF"/>
    <w:rsid w:val="0022581C"/>
    <w:rsid w:val="00233DC7"/>
    <w:rsid w:val="00247779"/>
    <w:rsid w:val="00285BEE"/>
    <w:rsid w:val="0029533F"/>
    <w:rsid w:val="002B30AF"/>
    <w:rsid w:val="002F0700"/>
    <w:rsid w:val="002F6920"/>
    <w:rsid w:val="00310A9D"/>
    <w:rsid w:val="0033344A"/>
    <w:rsid w:val="0038224B"/>
    <w:rsid w:val="00386F10"/>
    <w:rsid w:val="00396372"/>
    <w:rsid w:val="0042648E"/>
    <w:rsid w:val="00426F9A"/>
    <w:rsid w:val="00443D37"/>
    <w:rsid w:val="0047083F"/>
    <w:rsid w:val="00472DA1"/>
    <w:rsid w:val="00485BB1"/>
    <w:rsid w:val="004936D2"/>
    <w:rsid w:val="004B73EE"/>
    <w:rsid w:val="0052533E"/>
    <w:rsid w:val="00552EE1"/>
    <w:rsid w:val="0058035F"/>
    <w:rsid w:val="0059601D"/>
    <w:rsid w:val="005B1EB6"/>
    <w:rsid w:val="005C510E"/>
    <w:rsid w:val="00664E78"/>
    <w:rsid w:val="0067439E"/>
    <w:rsid w:val="006E6EA6"/>
    <w:rsid w:val="00721CE0"/>
    <w:rsid w:val="00753A73"/>
    <w:rsid w:val="00761E63"/>
    <w:rsid w:val="0076565E"/>
    <w:rsid w:val="00773331"/>
    <w:rsid w:val="007932EF"/>
    <w:rsid w:val="007C387A"/>
    <w:rsid w:val="007E05B0"/>
    <w:rsid w:val="00820E81"/>
    <w:rsid w:val="00874D22"/>
    <w:rsid w:val="008A2914"/>
    <w:rsid w:val="008B079F"/>
    <w:rsid w:val="008E4D8E"/>
    <w:rsid w:val="00997BDE"/>
    <w:rsid w:val="009A43C0"/>
    <w:rsid w:val="00A24BED"/>
    <w:rsid w:val="00A779AB"/>
    <w:rsid w:val="00AB368A"/>
    <w:rsid w:val="00AF7203"/>
    <w:rsid w:val="00BA6A22"/>
    <w:rsid w:val="00C12301"/>
    <w:rsid w:val="00C7398D"/>
    <w:rsid w:val="00C8289E"/>
    <w:rsid w:val="00C9045B"/>
    <w:rsid w:val="00CB5585"/>
    <w:rsid w:val="00CB6D52"/>
    <w:rsid w:val="00CF305D"/>
    <w:rsid w:val="00CF4265"/>
    <w:rsid w:val="00D20381"/>
    <w:rsid w:val="00DA0871"/>
    <w:rsid w:val="00E33F5E"/>
    <w:rsid w:val="00E45703"/>
    <w:rsid w:val="00E7173E"/>
    <w:rsid w:val="00E734C6"/>
    <w:rsid w:val="00EE0C5A"/>
    <w:rsid w:val="00EE75F9"/>
    <w:rsid w:val="00F11E77"/>
    <w:rsid w:val="00F20D2D"/>
    <w:rsid w:val="00F30B71"/>
    <w:rsid w:val="00F50BB9"/>
    <w:rsid w:val="00FA7D43"/>
    <w:rsid w:val="00FC38F8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E473C86"/>
  <w15:docId w15:val="{2616AB6F-D55D-4551-BCDB-C9723E4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85BB1"/>
  </w:style>
  <w:style w:type="paragraph" w:styleId="ListBullet">
    <w:name w:val="List Bullet"/>
    <w:basedOn w:val="Normal"/>
    <w:uiPriority w:val="99"/>
    <w:semiHidden/>
    <w:unhideWhenUsed/>
    <w:rsid w:val="001E28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28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28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2876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FD7"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D7"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012F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FD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53A73"/>
    <w:rPr>
      <w:rFonts w:ascii="Times New Roman" w:hAnsi="Times New Roman" w:cs="Times New Roman"/>
      <w:sz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753A73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53A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53A7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53A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1"/>
      </w:numPr>
    </w:pPr>
  </w:style>
  <w:style w:type="paragraph" w:customStyle="1" w:styleId="Tiret1">
    <w:name w:val="Tiret 1"/>
    <w:basedOn w:val="Point1"/>
    <w:pPr>
      <w:numPr>
        <w:numId w:val="22"/>
      </w:numPr>
    </w:pPr>
  </w:style>
  <w:style w:type="paragraph" w:customStyle="1" w:styleId="Tiret2">
    <w:name w:val="Tiret 2"/>
    <w:basedOn w:val="Point2"/>
    <w:pPr>
      <w:numPr>
        <w:numId w:val="23"/>
      </w:numPr>
    </w:pPr>
  </w:style>
  <w:style w:type="paragraph" w:customStyle="1" w:styleId="Tiret3">
    <w:name w:val="Tiret 3"/>
    <w:basedOn w:val="Point3"/>
    <w:pPr>
      <w:numPr>
        <w:numId w:val="24"/>
      </w:numPr>
    </w:pPr>
  </w:style>
  <w:style w:type="paragraph" w:customStyle="1" w:styleId="Tiret4">
    <w:name w:val="Tiret 4"/>
    <w:basedOn w:val="Point4"/>
    <w:pPr>
      <w:numPr>
        <w:numId w:val="25"/>
      </w:numPr>
    </w:pPr>
  </w:style>
  <w:style w:type="paragraph" w:customStyle="1" w:styleId="Tiret5">
    <w:name w:val="Tiret 5"/>
    <w:basedOn w:val="Point5"/>
    <w:pPr>
      <w:numPr>
        <w:numId w:val="2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9"/>
      </w:numPr>
    </w:pPr>
  </w:style>
  <w:style w:type="paragraph" w:customStyle="1" w:styleId="Point1number">
    <w:name w:val="Point 1 (number)"/>
    <w:basedOn w:val="Normal"/>
    <w:pPr>
      <w:numPr>
        <w:ilvl w:val="2"/>
        <w:numId w:val="29"/>
      </w:numPr>
    </w:pPr>
  </w:style>
  <w:style w:type="paragraph" w:customStyle="1" w:styleId="Point2number">
    <w:name w:val="Point 2 (number)"/>
    <w:basedOn w:val="Normal"/>
    <w:pPr>
      <w:numPr>
        <w:ilvl w:val="4"/>
        <w:numId w:val="29"/>
      </w:numPr>
    </w:pPr>
  </w:style>
  <w:style w:type="paragraph" w:customStyle="1" w:styleId="Point3number">
    <w:name w:val="Point 3 (number)"/>
    <w:basedOn w:val="Normal"/>
    <w:pPr>
      <w:numPr>
        <w:ilvl w:val="6"/>
        <w:numId w:val="29"/>
      </w:numPr>
    </w:pPr>
  </w:style>
  <w:style w:type="paragraph" w:customStyle="1" w:styleId="Point0letter">
    <w:name w:val="Point 0 (letter)"/>
    <w:basedOn w:val="Normal"/>
    <w:pPr>
      <w:numPr>
        <w:ilvl w:val="1"/>
        <w:numId w:val="29"/>
      </w:numPr>
    </w:pPr>
  </w:style>
  <w:style w:type="paragraph" w:customStyle="1" w:styleId="Point1letter">
    <w:name w:val="Point 1 (letter)"/>
    <w:basedOn w:val="Normal"/>
    <w:pPr>
      <w:numPr>
        <w:ilvl w:val="3"/>
        <w:numId w:val="29"/>
      </w:numPr>
    </w:pPr>
  </w:style>
  <w:style w:type="paragraph" w:customStyle="1" w:styleId="Point2letter">
    <w:name w:val="Point 2 (letter)"/>
    <w:basedOn w:val="Normal"/>
    <w:pPr>
      <w:numPr>
        <w:ilvl w:val="5"/>
        <w:numId w:val="29"/>
      </w:numPr>
    </w:pPr>
  </w:style>
  <w:style w:type="paragraph" w:customStyle="1" w:styleId="Point3letter">
    <w:name w:val="Point 3 (letter)"/>
    <w:basedOn w:val="Normal"/>
    <w:pPr>
      <w:numPr>
        <w:ilvl w:val="7"/>
        <w:numId w:val="29"/>
      </w:numPr>
    </w:pPr>
  </w:style>
  <w:style w:type="paragraph" w:customStyle="1" w:styleId="Point4letter">
    <w:name w:val="Point 4 (letter)"/>
    <w:basedOn w:val="Normal"/>
    <w:pPr>
      <w:numPr>
        <w:ilvl w:val="8"/>
        <w:numId w:val="29"/>
      </w:numPr>
    </w:pPr>
  </w:style>
  <w:style w:type="paragraph" w:customStyle="1" w:styleId="Bullet0">
    <w:name w:val="Bullet 0"/>
    <w:basedOn w:val="Normal"/>
    <w:pPr>
      <w:numPr>
        <w:numId w:val="30"/>
      </w:numPr>
    </w:pPr>
  </w:style>
  <w:style w:type="paragraph" w:customStyle="1" w:styleId="Bullet1">
    <w:name w:val="Bullet 1"/>
    <w:basedOn w:val="Normal"/>
    <w:pPr>
      <w:numPr>
        <w:numId w:val="31"/>
      </w:numPr>
    </w:pPr>
  </w:style>
  <w:style w:type="paragraph" w:customStyle="1" w:styleId="Bullet2">
    <w:name w:val="Bullet 2"/>
    <w:basedOn w:val="Normal"/>
    <w:pPr>
      <w:numPr>
        <w:numId w:val="32"/>
      </w:numPr>
    </w:pPr>
  </w:style>
  <w:style w:type="paragraph" w:customStyle="1" w:styleId="Bullet3">
    <w:name w:val="Bullet 3"/>
    <w:basedOn w:val="Normal"/>
    <w:pPr>
      <w:numPr>
        <w:numId w:val="33"/>
      </w:numPr>
    </w:pPr>
  </w:style>
  <w:style w:type="paragraph" w:customStyle="1" w:styleId="Bullet4">
    <w:name w:val="Bullet 4"/>
    <w:basedOn w:val="Normal"/>
    <w:pPr>
      <w:numPr>
        <w:numId w:val="3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53A73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753A73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3A7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753A7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76</TotalTime>
  <Pages>5</Pages>
  <Words>1037</Words>
  <Characters>5985</Characters>
  <Application>Microsoft Office Word</Application>
  <DocSecurity>0</DocSecurity>
  <Lines>122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VANROY Anne (SG)</cp:lastModifiedBy>
  <cp:revision>79</cp:revision>
  <dcterms:created xsi:type="dcterms:W3CDTF">2024-04-25T14:11:00Z</dcterms:created>
  <dcterms:modified xsi:type="dcterms:W3CDTF">2024-08-18T09:37:00Z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9.0, Build 20230317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SG-057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2024-04-25T14:12:02Z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f5693ffa-9dd4-4874-85bb-868b1025dbcb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Yellow (DQC version 03)</vt:lpwstr>
  </property>
</Properties>
</file>